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6B064" w14:textId="77777777" w:rsidR="004A3BF4" w:rsidRPr="00C311A4" w:rsidRDefault="00056601" w:rsidP="004A3BF4">
      <w:pPr>
        <w:rPr>
          <w:sz w:val="24"/>
          <w:szCs w:val="24"/>
          <w:lang w:val="en-GB"/>
        </w:rPr>
      </w:pPr>
      <w:r w:rsidRPr="00C311A4">
        <w:rPr>
          <w:noProof/>
          <w:sz w:val="24"/>
          <w:szCs w:val="24"/>
          <w:lang w:val="en-GB"/>
        </w:rPr>
        <w:drawing>
          <wp:inline distT="0" distB="0" distL="0" distR="0" wp14:anchorId="38852500" wp14:editId="66E952E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EB9BEAD" w14:textId="77777777" w:rsidR="006B3847" w:rsidRPr="00C311A4" w:rsidRDefault="006B3847" w:rsidP="006B3847">
      <w:pPr>
        <w:rPr>
          <w:sz w:val="24"/>
          <w:szCs w:val="24"/>
          <w:lang w:val="en-GB"/>
        </w:rPr>
      </w:pPr>
    </w:p>
    <w:p w14:paraId="56D4BE39" w14:textId="55DB27FD" w:rsidR="006B3847" w:rsidRPr="00C311A4" w:rsidRDefault="006B3847" w:rsidP="006B3847">
      <w:pPr>
        <w:tabs>
          <w:tab w:val="right" w:pos="9356"/>
        </w:tabs>
        <w:rPr>
          <w:b/>
          <w:sz w:val="24"/>
          <w:szCs w:val="24"/>
          <w:lang w:val="en-GB"/>
        </w:rPr>
      </w:pPr>
      <w:r w:rsidRPr="00C311A4">
        <w:rPr>
          <w:b/>
          <w:sz w:val="24"/>
          <w:szCs w:val="24"/>
          <w:lang w:val="en-GB"/>
        </w:rPr>
        <w:tab/>
      </w:r>
      <w:r w:rsidR="00656FCF">
        <w:rPr>
          <w:b/>
          <w:sz w:val="24"/>
          <w:szCs w:val="24"/>
          <w:lang w:val="en-GB"/>
        </w:rPr>
        <w:t>11 December 2024</w:t>
      </w:r>
    </w:p>
    <w:p w14:paraId="3A928692" w14:textId="77777777" w:rsidR="006B3847" w:rsidRPr="00C311A4" w:rsidRDefault="006B3847" w:rsidP="006B3847">
      <w:pPr>
        <w:rPr>
          <w:sz w:val="24"/>
          <w:szCs w:val="24"/>
          <w:lang w:val="en-GB"/>
        </w:rPr>
      </w:pPr>
    </w:p>
    <w:p w14:paraId="22415E2A" w14:textId="77777777" w:rsidR="007C5D2A" w:rsidRPr="00C311A4" w:rsidRDefault="007C5D2A" w:rsidP="007C5D2A">
      <w:pPr>
        <w:rPr>
          <w:sz w:val="24"/>
          <w:szCs w:val="24"/>
          <w:lang w:val="en-GB"/>
        </w:rPr>
      </w:pPr>
    </w:p>
    <w:p w14:paraId="40C643E7" w14:textId="77777777" w:rsidR="007C5D2A" w:rsidRPr="00C311A4" w:rsidRDefault="007C5D2A" w:rsidP="007C5D2A">
      <w:pPr>
        <w:rPr>
          <w:sz w:val="24"/>
          <w:szCs w:val="24"/>
          <w:lang w:val="en-GB"/>
        </w:rPr>
      </w:pPr>
    </w:p>
    <w:p w14:paraId="1127DC2C" w14:textId="77777777" w:rsidR="007C5D2A" w:rsidRPr="00C311A4" w:rsidRDefault="007C5D2A" w:rsidP="007C5D2A">
      <w:pPr>
        <w:jc w:val="center"/>
        <w:rPr>
          <w:b/>
          <w:sz w:val="24"/>
          <w:szCs w:val="24"/>
          <w:lang w:val="en-GB"/>
        </w:rPr>
      </w:pPr>
      <w:bookmarkStart w:id="0" w:name="_Hlk49158549"/>
      <w:r w:rsidRPr="00C311A4">
        <w:rPr>
          <w:b/>
          <w:sz w:val="24"/>
          <w:szCs w:val="24"/>
          <w:lang w:val="en-GB"/>
        </w:rPr>
        <w:t>SUMMARY OF PRODUCT CHARACTERISTICS</w:t>
      </w:r>
    </w:p>
    <w:bookmarkEnd w:id="0"/>
    <w:p w14:paraId="41364300" w14:textId="77777777" w:rsidR="007C5D2A" w:rsidRPr="00C311A4" w:rsidRDefault="007C5D2A" w:rsidP="007C5D2A">
      <w:pPr>
        <w:jc w:val="center"/>
        <w:rPr>
          <w:sz w:val="24"/>
          <w:szCs w:val="24"/>
          <w:lang w:val="en-GB"/>
        </w:rPr>
      </w:pPr>
    </w:p>
    <w:p w14:paraId="59B5279F" w14:textId="77777777" w:rsidR="007C5D2A" w:rsidRPr="00C311A4" w:rsidRDefault="007C5D2A" w:rsidP="007C5D2A">
      <w:pPr>
        <w:jc w:val="center"/>
        <w:rPr>
          <w:b/>
          <w:sz w:val="24"/>
          <w:szCs w:val="24"/>
          <w:lang w:val="en-GB"/>
        </w:rPr>
      </w:pPr>
      <w:r w:rsidRPr="00C311A4">
        <w:rPr>
          <w:b/>
          <w:sz w:val="24"/>
          <w:szCs w:val="24"/>
          <w:lang w:val="en-GB"/>
        </w:rPr>
        <w:t>for</w:t>
      </w:r>
    </w:p>
    <w:p w14:paraId="15BDE9B0" w14:textId="77777777" w:rsidR="007C5D2A" w:rsidRPr="00C311A4" w:rsidRDefault="007C5D2A" w:rsidP="007C5D2A">
      <w:pPr>
        <w:jc w:val="center"/>
        <w:rPr>
          <w:sz w:val="24"/>
          <w:szCs w:val="24"/>
          <w:lang w:val="en-GB"/>
        </w:rPr>
      </w:pPr>
    </w:p>
    <w:p w14:paraId="31BAC022" w14:textId="19EA9A00" w:rsidR="007C5D2A" w:rsidRPr="00C311A4" w:rsidRDefault="00AF1CE8" w:rsidP="007C5D2A">
      <w:pPr>
        <w:jc w:val="center"/>
        <w:rPr>
          <w:b/>
          <w:sz w:val="24"/>
          <w:szCs w:val="24"/>
          <w:lang w:val="en-GB"/>
        </w:rPr>
      </w:pPr>
      <w:proofErr w:type="spellStart"/>
      <w:r w:rsidRPr="00C311A4">
        <w:rPr>
          <w:b/>
          <w:sz w:val="24"/>
          <w:szCs w:val="24"/>
          <w:lang w:val="en-GB"/>
        </w:rPr>
        <w:t>Nagilma</w:t>
      </w:r>
      <w:proofErr w:type="spellEnd"/>
      <w:r w:rsidRPr="00C311A4">
        <w:rPr>
          <w:b/>
          <w:sz w:val="24"/>
          <w:szCs w:val="24"/>
          <w:lang w:val="en-GB"/>
        </w:rPr>
        <w:t>, film-coated tablets</w:t>
      </w:r>
    </w:p>
    <w:p w14:paraId="64699EDB" w14:textId="77777777" w:rsidR="007C5D2A" w:rsidRPr="00C311A4" w:rsidRDefault="007C5D2A" w:rsidP="007C5D2A">
      <w:pPr>
        <w:jc w:val="both"/>
        <w:rPr>
          <w:sz w:val="24"/>
          <w:szCs w:val="24"/>
          <w:lang w:val="en-GB"/>
        </w:rPr>
      </w:pPr>
    </w:p>
    <w:p w14:paraId="430034D7" w14:textId="77777777" w:rsidR="0042292D" w:rsidRPr="00C311A4" w:rsidRDefault="0042292D" w:rsidP="007C5D2A">
      <w:pPr>
        <w:jc w:val="both"/>
        <w:rPr>
          <w:sz w:val="24"/>
          <w:szCs w:val="24"/>
          <w:lang w:val="en-GB"/>
        </w:rPr>
      </w:pPr>
    </w:p>
    <w:p w14:paraId="79F7EA8D" w14:textId="77777777" w:rsidR="008F2F8C" w:rsidRPr="00C311A4" w:rsidRDefault="008F2F8C" w:rsidP="008F2F8C">
      <w:pPr>
        <w:tabs>
          <w:tab w:val="left" w:pos="8222"/>
        </w:tabs>
        <w:ind w:left="851" w:hanging="851"/>
        <w:rPr>
          <w:b/>
          <w:sz w:val="24"/>
          <w:szCs w:val="24"/>
          <w:lang w:val="en-GB"/>
        </w:rPr>
      </w:pPr>
      <w:r w:rsidRPr="00C311A4">
        <w:rPr>
          <w:b/>
          <w:sz w:val="24"/>
          <w:szCs w:val="24"/>
          <w:lang w:val="en-GB"/>
        </w:rPr>
        <w:t>0.</w:t>
      </w:r>
      <w:r w:rsidRPr="00C311A4">
        <w:rPr>
          <w:b/>
          <w:sz w:val="24"/>
          <w:szCs w:val="24"/>
          <w:lang w:val="en-GB"/>
        </w:rPr>
        <w:tab/>
      </w:r>
      <w:proofErr w:type="gramStart"/>
      <w:r w:rsidRPr="00C311A4">
        <w:rPr>
          <w:b/>
          <w:sz w:val="24"/>
          <w:szCs w:val="24"/>
          <w:lang w:val="en-GB"/>
        </w:rPr>
        <w:t>D.SP.NO</w:t>
      </w:r>
      <w:proofErr w:type="gramEnd"/>
      <w:r w:rsidRPr="00C311A4">
        <w:rPr>
          <w:b/>
          <w:sz w:val="24"/>
          <w:szCs w:val="24"/>
          <w:lang w:val="en-GB"/>
        </w:rPr>
        <w:t>.</w:t>
      </w:r>
    </w:p>
    <w:p w14:paraId="36EE2A3F" w14:textId="57E7C88F" w:rsidR="008F2F8C" w:rsidRPr="00C311A4" w:rsidRDefault="00AF1CE8" w:rsidP="008F2F8C">
      <w:pPr>
        <w:tabs>
          <w:tab w:val="left" w:pos="8222"/>
        </w:tabs>
        <w:ind w:left="851"/>
        <w:rPr>
          <w:sz w:val="24"/>
          <w:szCs w:val="24"/>
          <w:lang w:val="en-GB"/>
        </w:rPr>
      </w:pPr>
      <w:r w:rsidRPr="00C311A4">
        <w:rPr>
          <w:sz w:val="24"/>
          <w:szCs w:val="24"/>
          <w:lang w:val="en-GB"/>
        </w:rPr>
        <w:t>33580</w:t>
      </w:r>
    </w:p>
    <w:p w14:paraId="69D772A6" w14:textId="77777777" w:rsidR="007C5D2A" w:rsidRPr="00C311A4" w:rsidRDefault="007C5D2A" w:rsidP="007C5D2A">
      <w:pPr>
        <w:tabs>
          <w:tab w:val="left" w:pos="851"/>
        </w:tabs>
        <w:jc w:val="both"/>
        <w:rPr>
          <w:sz w:val="24"/>
          <w:szCs w:val="24"/>
          <w:lang w:val="en-GB"/>
        </w:rPr>
      </w:pPr>
    </w:p>
    <w:p w14:paraId="09563A40" w14:textId="77777777" w:rsidR="007C5D2A" w:rsidRPr="00C311A4" w:rsidRDefault="009925C9" w:rsidP="007C5D2A">
      <w:pPr>
        <w:tabs>
          <w:tab w:val="left" w:pos="851"/>
        </w:tabs>
        <w:ind w:left="851" w:hanging="851"/>
        <w:rPr>
          <w:sz w:val="24"/>
          <w:szCs w:val="24"/>
          <w:lang w:val="en-GB"/>
        </w:rPr>
      </w:pPr>
      <w:r w:rsidRPr="00C311A4">
        <w:rPr>
          <w:b/>
          <w:sz w:val="24"/>
          <w:szCs w:val="24"/>
          <w:lang w:val="en-GB"/>
        </w:rPr>
        <w:t>1.</w:t>
      </w:r>
      <w:r w:rsidR="007C5D2A" w:rsidRPr="00C311A4">
        <w:rPr>
          <w:b/>
          <w:sz w:val="24"/>
          <w:szCs w:val="24"/>
          <w:lang w:val="en-GB"/>
        </w:rPr>
        <w:tab/>
        <w:t>NAME OF THE MEDICINAL PRODUCT</w:t>
      </w:r>
    </w:p>
    <w:p w14:paraId="4C056AF6" w14:textId="585852C4" w:rsidR="007C5D2A" w:rsidRPr="00C311A4" w:rsidRDefault="00AF1CE8" w:rsidP="004A3BF4">
      <w:pPr>
        <w:tabs>
          <w:tab w:val="left" w:pos="851"/>
        </w:tabs>
        <w:ind w:left="851"/>
        <w:rPr>
          <w:sz w:val="24"/>
          <w:szCs w:val="24"/>
          <w:lang w:val="en-GB"/>
        </w:rPr>
      </w:pPr>
      <w:proofErr w:type="spellStart"/>
      <w:r w:rsidRPr="00C311A4">
        <w:rPr>
          <w:sz w:val="24"/>
          <w:szCs w:val="24"/>
          <w:lang w:val="en-GB"/>
        </w:rPr>
        <w:t>Nagilma</w:t>
      </w:r>
      <w:proofErr w:type="spellEnd"/>
    </w:p>
    <w:p w14:paraId="06E544AD" w14:textId="77777777" w:rsidR="007C5D2A" w:rsidRPr="00C311A4" w:rsidRDefault="007C5D2A" w:rsidP="004A3BF4">
      <w:pPr>
        <w:tabs>
          <w:tab w:val="left" w:pos="851"/>
        </w:tabs>
        <w:ind w:left="851"/>
        <w:rPr>
          <w:sz w:val="24"/>
          <w:szCs w:val="24"/>
          <w:lang w:val="en-GB"/>
        </w:rPr>
      </w:pPr>
    </w:p>
    <w:p w14:paraId="24884424" w14:textId="77777777" w:rsidR="007C5D2A" w:rsidRPr="00C311A4" w:rsidRDefault="009925C9" w:rsidP="007C5D2A">
      <w:pPr>
        <w:ind w:left="851" w:hanging="851"/>
        <w:rPr>
          <w:b/>
          <w:sz w:val="24"/>
          <w:szCs w:val="24"/>
          <w:lang w:val="en-GB"/>
        </w:rPr>
      </w:pPr>
      <w:r w:rsidRPr="00C311A4">
        <w:rPr>
          <w:b/>
          <w:sz w:val="24"/>
          <w:szCs w:val="24"/>
          <w:lang w:val="en-GB"/>
        </w:rPr>
        <w:t>2.</w:t>
      </w:r>
      <w:r w:rsidR="007C5D2A" w:rsidRPr="00C311A4">
        <w:rPr>
          <w:b/>
          <w:sz w:val="24"/>
          <w:szCs w:val="24"/>
          <w:lang w:val="en-GB"/>
        </w:rPr>
        <w:tab/>
        <w:t>QUALITATIVE AND QUANTITATIVE COMPOSITION</w:t>
      </w:r>
    </w:p>
    <w:p w14:paraId="29D71346" w14:textId="77777777" w:rsidR="00C311A4" w:rsidRDefault="00C311A4" w:rsidP="00624EBB">
      <w:pPr>
        <w:ind w:left="851"/>
        <w:rPr>
          <w:noProof/>
          <w:sz w:val="24"/>
          <w:szCs w:val="24"/>
          <w:lang w:val="en-US"/>
        </w:rPr>
      </w:pPr>
    </w:p>
    <w:p w14:paraId="512FEB0B" w14:textId="1534E8E3" w:rsidR="004A1F86" w:rsidRPr="00C311A4" w:rsidRDefault="00C311A4" w:rsidP="00624EBB">
      <w:pPr>
        <w:ind w:left="851"/>
        <w:rPr>
          <w:sz w:val="24"/>
          <w:szCs w:val="24"/>
          <w:u w:val="single"/>
          <w:lang w:val="en-US"/>
        </w:rPr>
      </w:pPr>
      <w:r w:rsidRPr="00C311A4">
        <w:rPr>
          <w:noProof/>
          <w:sz w:val="24"/>
          <w:szCs w:val="24"/>
          <w:u w:val="single"/>
          <w:lang w:val="en-US"/>
        </w:rPr>
        <w:t>Nagilma</w:t>
      </w:r>
      <w:r w:rsidR="004A1F86" w:rsidRPr="00C311A4">
        <w:rPr>
          <w:noProof/>
          <w:sz w:val="24"/>
          <w:szCs w:val="24"/>
          <w:u w:val="single"/>
          <w:lang w:val="en-US"/>
        </w:rPr>
        <w:t xml:space="preserve"> </w:t>
      </w:r>
      <w:r w:rsidR="004A1F86" w:rsidRPr="00C311A4">
        <w:rPr>
          <w:sz w:val="24"/>
          <w:szCs w:val="24"/>
          <w:u w:val="single"/>
          <w:lang w:val="en-US"/>
        </w:rPr>
        <w:t>2.5 mg/850 mg film-coated tablets</w:t>
      </w:r>
    </w:p>
    <w:p w14:paraId="3658EAD4" w14:textId="77777777" w:rsidR="004A1F86" w:rsidRPr="00C311A4" w:rsidRDefault="004A1F86" w:rsidP="00624EBB">
      <w:pPr>
        <w:ind w:left="851"/>
        <w:rPr>
          <w:sz w:val="24"/>
          <w:szCs w:val="24"/>
          <w:lang w:val="en-US"/>
        </w:rPr>
      </w:pPr>
      <w:r w:rsidRPr="00C311A4">
        <w:rPr>
          <w:sz w:val="24"/>
          <w:szCs w:val="24"/>
          <w:lang w:val="en-US"/>
        </w:rPr>
        <w:t>Each tablet contains 2.5 mg of linagliptin and 850 mg of metformin hydrochloride.</w:t>
      </w:r>
    </w:p>
    <w:p w14:paraId="0C358BBA" w14:textId="77777777" w:rsidR="004A1F86" w:rsidRPr="00C311A4" w:rsidRDefault="004A1F86" w:rsidP="00624EBB">
      <w:pPr>
        <w:ind w:left="851"/>
        <w:rPr>
          <w:noProof/>
          <w:sz w:val="24"/>
          <w:szCs w:val="24"/>
          <w:lang w:val="en-US"/>
        </w:rPr>
      </w:pPr>
    </w:p>
    <w:p w14:paraId="7D3E27B2" w14:textId="59F1CD21" w:rsidR="004A1F86" w:rsidRPr="00C311A4" w:rsidRDefault="00C311A4" w:rsidP="00624EBB">
      <w:pPr>
        <w:ind w:left="851"/>
        <w:rPr>
          <w:sz w:val="24"/>
          <w:szCs w:val="24"/>
          <w:u w:val="single"/>
          <w:lang w:val="en-US"/>
        </w:rPr>
      </w:pPr>
      <w:r w:rsidRPr="00C311A4">
        <w:rPr>
          <w:noProof/>
          <w:sz w:val="24"/>
          <w:szCs w:val="24"/>
          <w:u w:val="single"/>
          <w:lang w:val="en-US"/>
        </w:rPr>
        <w:t>Nagilma</w:t>
      </w:r>
      <w:r w:rsidR="004A1F86" w:rsidRPr="00C311A4">
        <w:rPr>
          <w:noProof/>
          <w:sz w:val="24"/>
          <w:szCs w:val="24"/>
          <w:u w:val="single"/>
          <w:lang w:val="en-US"/>
        </w:rPr>
        <w:t xml:space="preserve"> </w:t>
      </w:r>
      <w:r w:rsidR="004A1F86" w:rsidRPr="00C311A4">
        <w:rPr>
          <w:sz w:val="24"/>
          <w:szCs w:val="24"/>
          <w:u w:val="single"/>
          <w:lang w:val="en-US"/>
        </w:rPr>
        <w:t>2.5 mg/1,000 mg film-coated tablets</w:t>
      </w:r>
    </w:p>
    <w:p w14:paraId="5485E2A8" w14:textId="77777777" w:rsidR="004A1F86" w:rsidRPr="00C311A4" w:rsidRDefault="004A1F86" w:rsidP="00624EBB">
      <w:pPr>
        <w:ind w:left="851"/>
        <w:rPr>
          <w:noProof/>
          <w:sz w:val="24"/>
          <w:szCs w:val="24"/>
          <w:lang w:val="en-GB"/>
        </w:rPr>
      </w:pPr>
      <w:r w:rsidRPr="00656FCF">
        <w:rPr>
          <w:sz w:val="24"/>
          <w:szCs w:val="24"/>
          <w:lang w:val="en-US"/>
        </w:rPr>
        <w:t>Each tablet contains 2.5 mg of linagliptin and 1,000 mg of metformin hydrochloride.</w:t>
      </w:r>
    </w:p>
    <w:p w14:paraId="2F551EC6" w14:textId="77777777" w:rsidR="004A1F86" w:rsidRPr="00C311A4" w:rsidRDefault="004A1F86" w:rsidP="00624EBB">
      <w:pPr>
        <w:ind w:left="851"/>
        <w:rPr>
          <w:sz w:val="24"/>
          <w:szCs w:val="24"/>
          <w:lang w:val="en-GB"/>
        </w:rPr>
      </w:pPr>
    </w:p>
    <w:p w14:paraId="6F8A604D" w14:textId="77777777" w:rsidR="004A1F86" w:rsidRPr="00C311A4" w:rsidRDefault="004A1F86" w:rsidP="00624EBB">
      <w:pPr>
        <w:ind w:left="851"/>
        <w:rPr>
          <w:sz w:val="24"/>
          <w:szCs w:val="24"/>
          <w:lang w:val="en-US"/>
        </w:rPr>
      </w:pPr>
      <w:r w:rsidRPr="00C311A4">
        <w:rPr>
          <w:sz w:val="24"/>
          <w:szCs w:val="24"/>
          <w:lang w:val="en-US"/>
        </w:rPr>
        <w:t>For the full list of excipients, see section 6.1.</w:t>
      </w:r>
    </w:p>
    <w:p w14:paraId="28A3B0A9" w14:textId="77777777" w:rsidR="007C5D2A" w:rsidRPr="00C311A4" w:rsidRDefault="007C5D2A" w:rsidP="004A3BF4">
      <w:pPr>
        <w:tabs>
          <w:tab w:val="left" w:pos="851"/>
        </w:tabs>
        <w:ind w:left="851"/>
        <w:rPr>
          <w:sz w:val="24"/>
          <w:szCs w:val="24"/>
          <w:lang w:val="en-US"/>
        </w:rPr>
      </w:pPr>
    </w:p>
    <w:p w14:paraId="2ABD0D6D" w14:textId="77777777" w:rsidR="007C5D2A" w:rsidRPr="00C311A4" w:rsidRDefault="007C5D2A" w:rsidP="007C5D2A">
      <w:pPr>
        <w:tabs>
          <w:tab w:val="left" w:pos="851"/>
        </w:tabs>
        <w:ind w:left="851" w:hanging="851"/>
        <w:rPr>
          <w:b/>
          <w:sz w:val="24"/>
          <w:szCs w:val="24"/>
          <w:lang w:val="en-GB"/>
        </w:rPr>
      </w:pPr>
      <w:r w:rsidRPr="00C311A4">
        <w:rPr>
          <w:b/>
          <w:sz w:val="24"/>
          <w:szCs w:val="24"/>
          <w:lang w:val="en-GB"/>
        </w:rPr>
        <w:t>3.</w:t>
      </w:r>
      <w:r w:rsidRPr="00C311A4">
        <w:rPr>
          <w:b/>
          <w:sz w:val="24"/>
          <w:szCs w:val="24"/>
          <w:lang w:val="en-GB"/>
        </w:rPr>
        <w:tab/>
        <w:t>PHARMACEUTICAL FORM</w:t>
      </w:r>
    </w:p>
    <w:p w14:paraId="5BDCEB2C" w14:textId="31E0579F" w:rsidR="004A1F86" w:rsidRPr="00C311A4" w:rsidRDefault="004A1F86" w:rsidP="00624EBB">
      <w:pPr>
        <w:ind w:left="851"/>
        <w:rPr>
          <w:sz w:val="24"/>
          <w:szCs w:val="24"/>
          <w:lang w:val="en-US"/>
        </w:rPr>
      </w:pPr>
      <w:r w:rsidRPr="00C311A4">
        <w:rPr>
          <w:sz w:val="24"/>
          <w:szCs w:val="24"/>
          <w:lang w:val="en-US"/>
        </w:rPr>
        <w:t>Film-coated tablet</w:t>
      </w:r>
      <w:r w:rsidR="00C311A4">
        <w:rPr>
          <w:sz w:val="24"/>
          <w:szCs w:val="24"/>
          <w:lang w:val="en-US"/>
        </w:rPr>
        <w:t>s</w:t>
      </w:r>
      <w:r w:rsidRPr="00C311A4">
        <w:rPr>
          <w:sz w:val="24"/>
          <w:szCs w:val="24"/>
          <w:lang w:val="en-US"/>
        </w:rPr>
        <w:t xml:space="preserve"> (tablet</w:t>
      </w:r>
      <w:r w:rsidR="00C311A4">
        <w:rPr>
          <w:sz w:val="24"/>
          <w:szCs w:val="24"/>
          <w:lang w:val="en-US"/>
        </w:rPr>
        <w:t>s</w:t>
      </w:r>
      <w:r w:rsidRPr="00C311A4">
        <w:rPr>
          <w:sz w:val="24"/>
          <w:szCs w:val="24"/>
          <w:lang w:val="en-US"/>
        </w:rPr>
        <w:t>)</w:t>
      </w:r>
    </w:p>
    <w:p w14:paraId="4536D937" w14:textId="77777777" w:rsidR="004A1F86" w:rsidRPr="00C311A4" w:rsidRDefault="004A1F86" w:rsidP="00624EBB">
      <w:pPr>
        <w:ind w:left="851"/>
        <w:rPr>
          <w:sz w:val="24"/>
          <w:szCs w:val="24"/>
          <w:lang w:val="en-US"/>
        </w:rPr>
      </w:pPr>
    </w:p>
    <w:p w14:paraId="6437F1D6" w14:textId="2D98EC6D" w:rsidR="004A1F86" w:rsidRPr="00C311A4" w:rsidRDefault="00C311A4" w:rsidP="00624EBB">
      <w:pPr>
        <w:ind w:left="851"/>
        <w:rPr>
          <w:sz w:val="24"/>
          <w:szCs w:val="24"/>
          <w:lang w:val="en-US"/>
        </w:rPr>
      </w:pPr>
      <w:r w:rsidRPr="00C311A4">
        <w:rPr>
          <w:noProof/>
          <w:sz w:val="24"/>
          <w:szCs w:val="24"/>
          <w:u w:val="single"/>
          <w:lang w:val="en-US"/>
        </w:rPr>
        <w:t>Nagilma</w:t>
      </w:r>
      <w:r w:rsidR="004A1F86" w:rsidRPr="00C311A4">
        <w:rPr>
          <w:noProof/>
          <w:sz w:val="24"/>
          <w:szCs w:val="24"/>
          <w:u w:val="single"/>
          <w:lang w:val="en-US"/>
        </w:rPr>
        <w:t xml:space="preserve"> </w:t>
      </w:r>
      <w:r w:rsidR="004A1F86" w:rsidRPr="00C311A4">
        <w:rPr>
          <w:sz w:val="24"/>
          <w:szCs w:val="24"/>
          <w:u w:val="single"/>
          <w:lang w:val="en-US"/>
        </w:rPr>
        <w:t>2.5 mg/850 mg film-coated tablets</w:t>
      </w:r>
    </w:p>
    <w:p w14:paraId="51459D4C" w14:textId="5C53877B" w:rsidR="004A1F86" w:rsidRPr="00C311A4" w:rsidRDefault="004A1F86" w:rsidP="00624EBB">
      <w:pPr>
        <w:ind w:left="851"/>
        <w:rPr>
          <w:sz w:val="24"/>
          <w:szCs w:val="24"/>
          <w:lang w:val="en-US"/>
        </w:rPr>
      </w:pPr>
      <w:r w:rsidRPr="00C311A4">
        <w:rPr>
          <w:sz w:val="24"/>
          <w:szCs w:val="24"/>
          <w:lang w:val="en-US"/>
        </w:rPr>
        <w:t>Light orange, oval, bi-convex film-coated tablets, plain on both sides, approximately 19.2</w:t>
      </w:r>
      <w:r w:rsidR="00C311A4">
        <w:rPr>
          <w:sz w:val="24"/>
          <w:szCs w:val="24"/>
          <w:lang w:val="en-US"/>
        </w:rPr>
        <w:t> </w:t>
      </w:r>
      <w:r w:rsidRPr="00C311A4">
        <w:rPr>
          <w:sz w:val="24"/>
          <w:szCs w:val="24"/>
          <w:lang w:val="en-US"/>
        </w:rPr>
        <w:t xml:space="preserve">mm </w:t>
      </w:r>
      <w:r w:rsidR="00C311A4">
        <w:rPr>
          <w:sz w:val="24"/>
          <w:szCs w:val="24"/>
          <w:lang w:val="en-US"/>
        </w:rPr>
        <w:t>×</w:t>
      </w:r>
      <w:r w:rsidRPr="00C311A4">
        <w:rPr>
          <w:sz w:val="24"/>
          <w:szCs w:val="24"/>
          <w:lang w:val="en-US"/>
        </w:rPr>
        <w:t xml:space="preserve"> 9.4 mm.</w:t>
      </w:r>
    </w:p>
    <w:p w14:paraId="76B03E6E" w14:textId="77777777" w:rsidR="004A1F86" w:rsidRPr="00C311A4" w:rsidRDefault="004A1F86" w:rsidP="00624EBB">
      <w:pPr>
        <w:ind w:left="851"/>
        <w:rPr>
          <w:sz w:val="24"/>
          <w:szCs w:val="24"/>
          <w:lang w:val="en-US"/>
        </w:rPr>
      </w:pPr>
    </w:p>
    <w:p w14:paraId="6257E949" w14:textId="10248331" w:rsidR="004A1F86" w:rsidRPr="00C311A4" w:rsidRDefault="00C311A4" w:rsidP="00624EBB">
      <w:pPr>
        <w:ind w:left="851"/>
        <w:rPr>
          <w:sz w:val="24"/>
          <w:szCs w:val="24"/>
          <w:lang w:val="en-US"/>
        </w:rPr>
      </w:pPr>
      <w:r w:rsidRPr="00C311A4">
        <w:rPr>
          <w:noProof/>
          <w:sz w:val="24"/>
          <w:szCs w:val="24"/>
          <w:u w:val="single"/>
          <w:lang w:val="en-US"/>
        </w:rPr>
        <w:t>Nagilma</w:t>
      </w:r>
      <w:r w:rsidR="004A1F86" w:rsidRPr="00C311A4">
        <w:rPr>
          <w:noProof/>
          <w:sz w:val="24"/>
          <w:szCs w:val="24"/>
          <w:u w:val="single"/>
          <w:lang w:val="en-US"/>
        </w:rPr>
        <w:t xml:space="preserve"> </w:t>
      </w:r>
      <w:r w:rsidR="004A1F86" w:rsidRPr="00C311A4">
        <w:rPr>
          <w:sz w:val="24"/>
          <w:szCs w:val="24"/>
          <w:u w:val="single"/>
          <w:lang w:val="en-US"/>
        </w:rPr>
        <w:t>2.5 mg/1,000 mg film-coated tablets</w:t>
      </w:r>
    </w:p>
    <w:p w14:paraId="619D81F0" w14:textId="7D7EF58D" w:rsidR="004A1F86" w:rsidRPr="00C311A4" w:rsidRDefault="004A1F86" w:rsidP="00624EBB">
      <w:pPr>
        <w:ind w:left="851"/>
        <w:rPr>
          <w:sz w:val="24"/>
          <w:szCs w:val="24"/>
          <w:lang w:val="en-US"/>
        </w:rPr>
      </w:pPr>
      <w:r w:rsidRPr="00C311A4">
        <w:rPr>
          <w:sz w:val="24"/>
          <w:szCs w:val="24"/>
          <w:lang w:val="en-US" w:eastAsia="en-GB"/>
        </w:rPr>
        <w:t>L</w:t>
      </w:r>
      <w:r w:rsidRPr="00C311A4">
        <w:rPr>
          <w:sz w:val="24"/>
          <w:szCs w:val="24"/>
          <w:lang w:val="en-US"/>
        </w:rPr>
        <w:t>ight pink, oval, bi-convex film-coated tablets, plain on both sides, approximately 20.4</w:t>
      </w:r>
      <w:r w:rsidR="00C311A4">
        <w:rPr>
          <w:sz w:val="24"/>
          <w:szCs w:val="24"/>
          <w:lang w:val="en-US"/>
        </w:rPr>
        <w:t> </w:t>
      </w:r>
      <w:r w:rsidRPr="00C311A4">
        <w:rPr>
          <w:sz w:val="24"/>
          <w:szCs w:val="24"/>
          <w:lang w:val="en-US"/>
        </w:rPr>
        <w:t xml:space="preserve">mm </w:t>
      </w:r>
      <w:r w:rsidR="00C311A4">
        <w:rPr>
          <w:sz w:val="24"/>
          <w:szCs w:val="24"/>
          <w:lang w:val="en-US"/>
        </w:rPr>
        <w:t>×</w:t>
      </w:r>
      <w:r w:rsidRPr="00C311A4">
        <w:rPr>
          <w:sz w:val="24"/>
          <w:szCs w:val="24"/>
          <w:lang w:val="en-US"/>
        </w:rPr>
        <w:t xml:space="preserve"> 9.7 mm.</w:t>
      </w:r>
    </w:p>
    <w:p w14:paraId="1AA0860E" w14:textId="77777777" w:rsidR="007C5D2A" w:rsidRPr="00C311A4" w:rsidRDefault="007C5D2A" w:rsidP="004A3BF4">
      <w:pPr>
        <w:tabs>
          <w:tab w:val="left" w:pos="851"/>
        </w:tabs>
        <w:ind w:left="851"/>
        <w:rPr>
          <w:sz w:val="24"/>
          <w:szCs w:val="24"/>
          <w:lang w:val="en-US"/>
        </w:rPr>
      </w:pPr>
    </w:p>
    <w:p w14:paraId="1B4392FE" w14:textId="77777777" w:rsidR="007C5D2A" w:rsidRPr="00C311A4" w:rsidRDefault="007C5D2A" w:rsidP="004A3BF4">
      <w:pPr>
        <w:tabs>
          <w:tab w:val="left" w:pos="851"/>
        </w:tabs>
        <w:ind w:left="851"/>
        <w:rPr>
          <w:sz w:val="24"/>
          <w:szCs w:val="24"/>
          <w:lang w:val="en-GB"/>
        </w:rPr>
      </w:pPr>
    </w:p>
    <w:p w14:paraId="0A6ACDD4" w14:textId="77777777" w:rsidR="007C5D2A" w:rsidRPr="00C311A4" w:rsidRDefault="007C5D2A" w:rsidP="007C5D2A">
      <w:pPr>
        <w:ind w:left="851" w:hanging="851"/>
        <w:rPr>
          <w:b/>
          <w:sz w:val="24"/>
          <w:szCs w:val="24"/>
          <w:lang w:val="en-GB"/>
        </w:rPr>
      </w:pPr>
      <w:r w:rsidRPr="00C311A4">
        <w:rPr>
          <w:b/>
          <w:sz w:val="24"/>
          <w:szCs w:val="24"/>
          <w:lang w:val="en-GB"/>
        </w:rPr>
        <w:t>4.</w:t>
      </w:r>
      <w:r w:rsidRPr="00C311A4">
        <w:rPr>
          <w:b/>
          <w:sz w:val="24"/>
          <w:szCs w:val="24"/>
          <w:lang w:val="en-GB"/>
        </w:rPr>
        <w:tab/>
        <w:t>CLINICAL PARTICULARS</w:t>
      </w:r>
    </w:p>
    <w:p w14:paraId="3E66F04B" w14:textId="77777777" w:rsidR="007C5D2A" w:rsidRPr="00C311A4" w:rsidRDefault="007C5D2A" w:rsidP="004A3BF4">
      <w:pPr>
        <w:tabs>
          <w:tab w:val="left" w:pos="851"/>
        </w:tabs>
        <w:ind w:left="851"/>
        <w:rPr>
          <w:sz w:val="24"/>
          <w:szCs w:val="24"/>
          <w:lang w:val="en-GB"/>
        </w:rPr>
      </w:pPr>
    </w:p>
    <w:p w14:paraId="0E1D4285" w14:textId="77777777" w:rsidR="007C5D2A" w:rsidRPr="00C311A4" w:rsidRDefault="007C5D2A" w:rsidP="007C5D2A">
      <w:pPr>
        <w:ind w:left="851" w:hanging="851"/>
        <w:rPr>
          <w:b/>
          <w:sz w:val="24"/>
          <w:szCs w:val="24"/>
          <w:u w:val="single"/>
          <w:lang w:val="en-GB"/>
        </w:rPr>
      </w:pPr>
      <w:r w:rsidRPr="00C311A4">
        <w:rPr>
          <w:b/>
          <w:sz w:val="24"/>
          <w:szCs w:val="24"/>
          <w:lang w:val="en-GB"/>
        </w:rPr>
        <w:t>4.1</w:t>
      </w:r>
      <w:r w:rsidRPr="00C311A4">
        <w:rPr>
          <w:b/>
          <w:sz w:val="24"/>
          <w:szCs w:val="24"/>
          <w:lang w:val="en-GB"/>
        </w:rPr>
        <w:tab/>
        <w:t>Therapeutic indications</w:t>
      </w:r>
    </w:p>
    <w:p w14:paraId="1E680C15" w14:textId="4A438561" w:rsidR="004A1F86" w:rsidRPr="00C311A4" w:rsidRDefault="00C311A4" w:rsidP="00624EBB">
      <w:pPr>
        <w:ind w:left="851"/>
        <w:rPr>
          <w:sz w:val="24"/>
          <w:szCs w:val="24"/>
          <w:lang w:val="en-US"/>
        </w:rPr>
      </w:pPr>
      <w:proofErr w:type="spellStart"/>
      <w:r w:rsidRPr="00C311A4">
        <w:rPr>
          <w:sz w:val="24"/>
          <w:szCs w:val="24"/>
          <w:lang w:val="en-US"/>
        </w:rPr>
        <w:t>Nagilma</w:t>
      </w:r>
      <w:proofErr w:type="spellEnd"/>
      <w:r w:rsidR="004A1F86" w:rsidRPr="00C311A4">
        <w:rPr>
          <w:sz w:val="24"/>
          <w:szCs w:val="24"/>
          <w:lang w:val="en-US"/>
        </w:rPr>
        <w:t xml:space="preserve"> is indicated in adults with type 2 diabetes mellitus as an adjunct to diet and exercise to improve </w:t>
      </w:r>
      <w:proofErr w:type="spellStart"/>
      <w:r w:rsidR="004A1F86" w:rsidRPr="00C311A4">
        <w:rPr>
          <w:sz w:val="24"/>
          <w:szCs w:val="24"/>
          <w:lang w:val="en-US"/>
        </w:rPr>
        <w:t>glycaemic</w:t>
      </w:r>
      <w:proofErr w:type="spellEnd"/>
      <w:r w:rsidR="004A1F86" w:rsidRPr="00C311A4">
        <w:rPr>
          <w:sz w:val="24"/>
          <w:szCs w:val="24"/>
          <w:lang w:val="en-US"/>
        </w:rPr>
        <w:t xml:space="preserve"> control:</w:t>
      </w:r>
    </w:p>
    <w:p w14:paraId="18A4545A" w14:textId="77777777" w:rsidR="004A1F86" w:rsidRPr="00C311A4" w:rsidRDefault="004A1F86" w:rsidP="00C311A4">
      <w:pPr>
        <w:pStyle w:val="Listeafsnit"/>
        <w:numPr>
          <w:ilvl w:val="0"/>
          <w:numId w:val="9"/>
        </w:numPr>
        <w:tabs>
          <w:tab w:val="clear" w:pos="567"/>
        </w:tabs>
        <w:ind w:left="1276" w:hanging="425"/>
        <w:rPr>
          <w:sz w:val="24"/>
          <w:szCs w:val="24"/>
          <w:lang w:val="en-US"/>
        </w:rPr>
      </w:pPr>
      <w:r w:rsidRPr="00C311A4">
        <w:rPr>
          <w:sz w:val="24"/>
          <w:szCs w:val="24"/>
          <w:lang w:val="en-US"/>
        </w:rPr>
        <w:t>in patients inadequately controlled on their maximally tolerated dose of metformin</w:t>
      </w:r>
      <w:r w:rsidRPr="00C311A4">
        <w:rPr>
          <w:spacing w:val="-24"/>
          <w:sz w:val="24"/>
          <w:szCs w:val="24"/>
          <w:lang w:val="en-US"/>
        </w:rPr>
        <w:t xml:space="preserve"> </w:t>
      </w:r>
      <w:r w:rsidRPr="00C311A4">
        <w:rPr>
          <w:sz w:val="24"/>
          <w:szCs w:val="24"/>
          <w:lang w:val="en-US"/>
        </w:rPr>
        <w:t>alone</w:t>
      </w:r>
    </w:p>
    <w:p w14:paraId="7344C88C" w14:textId="77777777" w:rsidR="004A1F86" w:rsidRPr="00C311A4" w:rsidRDefault="004A1F86" w:rsidP="00C311A4">
      <w:pPr>
        <w:pStyle w:val="Listeafsnit"/>
        <w:numPr>
          <w:ilvl w:val="0"/>
          <w:numId w:val="9"/>
        </w:numPr>
        <w:tabs>
          <w:tab w:val="clear" w:pos="567"/>
        </w:tabs>
        <w:ind w:left="1276" w:hanging="425"/>
        <w:rPr>
          <w:sz w:val="24"/>
          <w:szCs w:val="24"/>
          <w:lang w:val="en-US"/>
        </w:rPr>
      </w:pPr>
      <w:r w:rsidRPr="00C311A4">
        <w:rPr>
          <w:sz w:val="24"/>
          <w:szCs w:val="24"/>
          <w:lang w:val="en-US"/>
        </w:rPr>
        <w:lastRenderedPageBreak/>
        <w:t>in combination with other medicinal products for the treatment of diabetes, including insulin, in patients inadequately controlled with metformin and these medicinal</w:t>
      </w:r>
      <w:r w:rsidRPr="00C311A4">
        <w:rPr>
          <w:spacing w:val="-16"/>
          <w:sz w:val="24"/>
          <w:szCs w:val="24"/>
          <w:lang w:val="en-US"/>
        </w:rPr>
        <w:t xml:space="preserve"> </w:t>
      </w:r>
      <w:r w:rsidRPr="00C311A4">
        <w:rPr>
          <w:sz w:val="24"/>
          <w:szCs w:val="24"/>
          <w:lang w:val="en-US"/>
        </w:rPr>
        <w:t>products</w:t>
      </w:r>
    </w:p>
    <w:p w14:paraId="30CEAA7B" w14:textId="77777777" w:rsidR="004A1F86" w:rsidRPr="00C311A4" w:rsidRDefault="004A1F86" w:rsidP="00C311A4">
      <w:pPr>
        <w:pStyle w:val="Listeafsnit"/>
        <w:numPr>
          <w:ilvl w:val="0"/>
          <w:numId w:val="9"/>
        </w:numPr>
        <w:tabs>
          <w:tab w:val="clear" w:pos="567"/>
        </w:tabs>
        <w:ind w:left="1276" w:hanging="425"/>
        <w:rPr>
          <w:sz w:val="24"/>
          <w:szCs w:val="24"/>
          <w:lang w:val="en-US"/>
        </w:rPr>
      </w:pPr>
      <w:r w:rsidRPr="00C311A4">
        <w:rPr>
          <w:sz w:val="24"/>
          <w:szCs w:val="24"/>
          <w:lang w:val="en-US"/>
        </w:rPr>
        <w:t>in patients already being treated with the combination of linagliptin and metformin as separate tablets.</w:t>
      </w:r>
    </w:p>
    <w:p w14:paraId="5FF7CDF3" w14:textId="77777777" w:rsidR="00C311A4" w:rsidRDefault="00C311A4" w:rsidP="00624EBB">
      <w:pPr>
        <w:ind w:left="851"/>
        <w:rPr>
          <w:sz w:val="24"/>
          <w:szCs w:val="24"/>
          <w:lang w:val="en-US"/>
        </w:rPr>
      </w:pPr>
    </w:p>
    <w:p w14:paraId="036F01D6" w14:textId="42555DAF" w:rsidR="004A1F86" w:rsidRPr="00C311A4" w:rsidRDefault="004A1F86" w:rsidP="00624EBB">
      <w:pPr>
        <w:ind w:left="851"/>
        <w:rPr>
          <w:sz w:val="24"/>
          <w:szCs w:val="24"/>
          <w:lang w:val="en-US"/>
        </w:rPr>
      </w:pPr>
      <w:r w:rsidRPr="00C311A4">
        <w:rPr>
          <w:sz w:val="24"/>
          <w:szCs w:val="24"/>
          <w:lang w:val="en-US"/>
        </w:rPr>
        <w:t>(see sections 4.4, 4.5 and 5.1 for available data on different combinations).</w:t>
      </w:r>
    </w:p>
    <w:p w14:paraId="38EF5FD1" w14:textId="77777777" w:rsidR="007C5D2A" w:rsidRPr="00C311A4" w:rsidRDefault="007C5D2A" w:rsidP="00A85D26">
      <w:pPr>
        <w:tabs>
          <w:tab w:val="left" w:pos="851"/>
        </w:tabs>
        <w:ind w:left="851"/>
        <w:rPr>
          <w:sz w:val="24"/>
          <w:szCs w:val="24"/>
          <w:lang w:val="en-GB"/>
        </w:rPr>
      </w:pPr>
    </w:p>
    <w:p w14:paraId="523BB2A9" w14:textId="77777777" w:rsidR="007C5D2A" w:rsidRPr="00C311A4" w:rsidRDefault="009925C9" w:rsidP="007C5D2A">
      <w:pPr>
        <w:tabs>
          <w:tab w:val="left" w:pos="851"/>
        </w:tabs>
        <w:ind w:left="851" w:hanging="851"/>
        <w:rPr>
          <w:sz w:val="24"/>
          <w:szCs w:val="24"/>
          <w:lang w:val="en-GB"/>
        </w:rPr>
      </w:pPr>
      <w:r w:rsidRPr="00C311A4">
        <w:rPr>
          <w:b/>
          <w:sz w:val="24"/>
          <w:szCs w:val="24"/>
          <w:lang w:val="en-GB"/>
        </w:rPr>
        <w:t>4.2</w:t>
      </w:r>
      <w:r w:rsidR="007C5D2A" w:rsidRPr="00C311A4">
        <w:rPr>
          <w:b/>
          <w:sz w:val="24"/>
          <w:szCs w:val="24"/>
          <w:lang w:val="en-GB"/>
        </w:rPr>
        <w:tab/>
        <w:t>Posology and method of administration</w:t>
      </w:r>
    </w:p>
    <w:p w14:paraId="0F2B0935" w14:textId="77777777" w:rsidR="00C311A4" w:rsidRDefault="00C311A4" w:rsidP="00624EBB">
      <w:pPr>
        <w:ind w:left="851"/>
        <w:rPr>
          <w:sz w:val="24"/>
          <w:szCs w:val="24"/>
          <w:lang w:val="en-US"/>
        </w:rPr>
      </w:pPr>
    </w:p>
    <w:p w14:paraId="7D8753EA" w14:textId="40A4D924" w:rsidR="004A1F86" w:rsidRPr="00C311A4" w:rsidRDefault="004A1F86" w:rsidP="00624EBB">
      <w:pPr>
        <w:ind w:left="851"/>
        <w:rPr>
          <w:sz w:val="24"/>
          <w:szCs w:val="24"/>
          <w:u w:val="single"/>
          <w:lang w:val="en-US"/>
        </w:rPr>
      </w:pPr>
      <w:r w:rsidRPr="00C311A4">
        <w:rPr>
          <w:sz w:val="24"/>
          <w:szCs w:val="24"/>
          <w:u w:val="single"/>
          <w:lang w:val="en-US"/>
        </w:rPr>
        <w:t>Posology</w:t>
      </w:r>
    </w:p>
    <w:p w14:paraId="4BAB398F" w14:textId="77777777" w:rsidR="004A1F86" w:rsidRPr="00C311A4" w:rsidRDefault="004A1F86" w:rsidP="00624EBB">
      <w:pPr>
        <w:ind w:left="851"/>
        <w:rPr>
          <w:i/>
          <w:sz w:val="24"/>
          <w:szCs w:val="24"/>
          <w:lang w:val="en-US"/>
        </w:rPr>
      </w:pPr>
      <w:r w:rsidRPr="00C311A4">
        <w:rPr>
          <w:i/>
          <w:sz w:val="24"/>
          <w:szCs w:val="24"/>
          <w:lang w:val="en-US"/>
        </w:rPr>
        <w:t>Adults with normal renal function (GFR ≥ 90 mL/min)</w:t>
      </w:r>
    </w:p>
    <w:p w14:paraId="02CBFF0A" w14:textId="65AA4ECD" w:rsidR="004A1F86" w:rsidRPr="00C311A4" w:rsidRDefault="004A1F86" w:rsidP="00624EBB">
      <w:pPr>
        <w:ind w:left="851"/>
        <w:rPr>
          <w:sz w:val="24"/>
          <w:szCs w:val="24"/>
          <w:lang w:val="en-US"/>
        </w:rPr>
      </w:pPr>
      <w:r w:rsidRPr="00C311A4">
        <w:rPr>
          <w:sz w:val="24"/>
          <w:szCs w:val="24"/>
          <w:lang w:val="en-US"/>
        </w:rPr>
        <w:t xml:space="preserve">The dose of </w:t>
      </w:r>
      <w:proofErr w:type="spellStart"/>
      <w:r w:rsidRPr="00C311A4">
        <w:rPr>
          <w:sz w:val="24"/>
          <w:szCs w:val="24"/>
          <w:lang w:val="en-US"/>
        </w:rPr>
        <w:t>antihyperglycaemic</w:t>
      </w:r>
      <w:proofErr w:type="spellEnd"/>
      <w:r w:rsidRPr="00C311A4">
        <w:rPr>
          <w:sz w:val="24"/>
          <w:szCs w:val="24"/>
          <w:lang w:val="en-US"/>
        </w:rPr>
        <w:t xml:space="preserve"> therapy with </w:t>
      </w:r>
      <w:proofErr w:type="spellStart"/>
      <w:r w:rsidR="00C311A4" w:rsidRPr="00C311A4">
        <w:rPr>
          <w:sz w:val="24"/>
          <w:szCs w:val="24"/>
          <w:lang w:val="en-US"/>
        </w:rPr>
        <w:t>Nagilma</w:t>
      </w:r>
      <w:proofErr w:type="spellEnd"/>
      <w:r w:rsidRPr="00C311A4">
        <w:rPr>
          <w:sz w:val="24"/>
          <w:szCs w:val="24"/>
          <w:lang w:val="en-US"/>
        </w:rPr>
        <w:t xml:space="preserve"> should be </w:t>
      </w:r>
      <w:proofErr w:type="spellStart"/>
      <w:r w:rsidRPr="00C311A4">
        <w:rPr>
          <w:sz w:val="24"/>
          <w:szCs w:val="24"/>
          <w:lang w:val="en-US"/>
        </w:rPr>
        <w:t>individualised</w:t>
      </w:r>
      <w:proofErr w:type="spellEnd"/>
      <w:r w:rsidRPr="00C311A4">
        <w:rPr>
          <w:sz w:val="24"/>
          <w:szCs w:val="24"/>
          <w:lang w:val="en-US"/>
        </w:rPr>
        <w:t xml:space="preserve"> on the basis of the patient’s current regimen, effectiveness, and tolerability, while not exceeding the maximum recommended daily dose of 5 mg linagliptin plus 2,000 mg of metformin hydrochloride.</w:t>
      </w:r>
    </w:p>
    <w:p w14:paraId="6703DF2C" w14:textId="77777777" w:rsidR="004A1F86" w:rsidRPr="00C311A4" w:rsidRDefault="004A1F86" w:rsidP="00624EBB">
      <w:pPr>
        <w:ind w:left="851"/>
        <w:rPr>
          <w:sz w:val="24"/>
          <w:szCs w:val="24"/>
          <w:lang w:val="en-US"/>
        </w:rPr>
      </w:pPr>
    </w:p>
    <w:p w14:paraId="1A959233" w14:textId="77777777" w:rsidR="004A1F86" w:rsidRPr="00C311A4" w:rsidRDefault="004A1F86" w:rsidP="00624EBB">
      <w:pPr>
        <w:ind w:left="851"/>
        <w:rPr>
          <w:i/>
          <w:sz w:val="24"/>
          <w:szCs w:val="24"/>
          <w:lang w:val="en-US"/>
        </w:rPr>
      </w:pPr>
      <w:r w:rsidRPr="00C311A4">
        <w:rPr>
          <w:i/>
          <w:sz w:val="24"/>
          <w:szCs w:val="24"/>
          <w:lang w:val="en-US"/>
        </w:rPr>
        <w:t>Patients inadequately controlled on maximal tolerated dose of metformin monotherapy</w:t>
      </w:r>
    </w:p>
    <w:p w14:paraId="771678A1" w14:textId="349DB770" w:rsidR="004A1F86" w:rsidRPr="00C311A4" w:rsidRDefault="004A1F86" w:rsidP="00624EBB">
      <w:pPr>
        <w:ind w:left="851"/>
        <w:rPr>
          <w:sz w:val="24"/>
          <w:szCs w:val="24"/>
          <w:lang w:val="en-US"/>
        </w:rPr>
      </w:pPr>
      <w:r w:rsidRPr="00C311A4">
        <w:rPr>
          <w:sz w:val="24"/>
          <w:szCs w:val="24"/>
          <w:lang w:val="en-US"/>
        </w:rPr>
        <w:t xml:space="preserve">For patients not adequately controlled on metformin alone, the usual starting dose of </w:t>
      </w:r>
      <w:proofErr w:type="spellStart"/>
      <w:r w:rsidR="00C311A4" w:rsidRPr="00C311A4">
        <w:rPr>
          <w:sz w:val="24"/>
          <w:szCs w:val="24"/>
          <w:lang w:val="en-US"/>
        </w:rPr>
        <w:t>Nagilma</w:t>
      </w:r>
      <w:proofErr w:type="spellEnd"/>
      <w:r w:rsidRPr="00C311A4">
        <w:rPr>
          <w:sz w:val="24"/>
          <w:szCs w:val="24"/>
          <w:lang w:val="en-US"/>
        </w:rPr>
        <w:t xml:space="preserve"> should provide linagliptin dosed as 2.5 mg twice daily (5 mg total daily dose) plus the dose of metformin already being taken.</w:t>
      </w:r>
    </w:p>
    <w:p w14:paraId="341EAAFB" w14:textId="77777777" w:rsidR="004A1F86" w:rsidRPr="00C311A4" w:rsidRDefault="004A1F86" w:rsidP="00624EBB">
      <w:pPr>
        <w:ind w:left="851"/>
        <w:rPr>
          <w:i/>
          <w:sz w:val="24"/>
          <w:szCs w:val="24"/>
          <w:lang w:val="en-US"/>
        </w:rPr>
      </w:pPr>
    </w:p>
    <w:p w14:paraId="179227A4" w14:textId="77777777" w:rsidR="004A1F86" w:rsidRPr="00C311A4" w:rsidRDefault="004A1F86" w:rsidP="00624EBB">
      <w:pPr>
        <w:ind w:left="851"/>
        <w:rPr>
          <w:i/>
          <w:sz w:val="24"/>
          <w:szCs w:val="24"/>
          <w:lang w:val="en-US"/>
        </w:rPr>
      </w:pPr>
      <w:r w:rsidRPr="00C311A4">
        <w:rPr>
          <w:i/>
          <w:sz w:val="24"/>
          <w:szCs w:val="24"/>
          <w:lang w:val="en-US"/>
        </w:rPr>
        <w:t>Patients switching from co-administration of linagliptin and metformin</w:t>
      </w:r>
    </w:p>
    <w:p w14:paraId="5D078ADB" w14:textId="23D5163C" w:rsidR="004A1F86" w:rsidRPr="00C311A4" w:rsidRDefault="004A1F86" w:rsidP="00624EBB">
      <w:pPr>
        <w:ind w:left="851"/>
        <w:rPr>
          <w:sz w:val="24"/>
          <w:szCs w:val="24"/>
          <w:lang w:val="en-US"/>
        </w:rPr>
      </w:pPr>
      <w:r w:rsidRPr="00C311A4">
        <w:rPr>
          <w:sz w:val="24"/>
          <w:szCs w:val="24"/>
          <w:lang w:val="en-US"/>
        </w:rPr>
        <w:t xml:space="preserve">For patients switching from co-administration of linagliptin and metformin, </w:t>
      </w:r>
      <w:proofErr w:type="spellStart"/>
      <w:r w:rsidR="00C311A4" w:rsidRPr="00C311A4">
        <w:rPr>
          <w:sz w:val="24"/>
          <w:szCs w:val="24"/>
          <w:lang w:val="en-US"/>
        </w:rPr>
        <w:t>Nagilma</w:t>
      </w:r>
      <w:proofErr w:type="spellEnd"/>
      <w:r w:rsidRPr="00C311A4">
        <w:rPr>
          <w:sz w:val="24"/>
          <w:szCs w:val="24"/>
          <w:lang w:val="en-US"/>
        </w:rPr>
        <w:t xml:space="preserve"> should be initiated at the dose of linagliptin and metformin already being taken.</w:t>
      </w:r>
    </w:p>
    <w:p w14:paraId="0566C9F4" w14:textId="77777777" w:rsidR="004A1F86" w:rsidRPr="00C311A4" w:rsidRDefault="004A1F86" w:rsidP="00624EBB">
      <w:pPr>
        <w:ind w:left="851"/>
        <w:rPr>
          <w:sz w:val="24"/>
          <w:szCs w:val="24"/>
          <w:lang w:val="en-US"/>
        </w:rPr>
      </w:pPr>
    </w:p>
    <w:p w14:paraId="535E59AD" w14:textId="77777777" w:rsidR="004A1F86" w:rsidRPr="00C311A4" w:rsidRDefault="004A1F86" w:rsidP="00624EBB">
      <w:pPr>
        <w:ind w:left="851"/>
        <w:rPr>
          <w:i/>
          <w:sz w:val="24"/>
          <w:szCs w:val="24"/>
          <w:lang w:val="en-US"/>
        </w:rPr>
      </w:pPr>
      <w:r w:rsidRPr="00C311A4">
        <w:rPr>
          <w:i/>
          <w:sz w:val="24"/>
          <w:szCs w:val="24"/>
          <w:lang w:val="en-US"/>
        </w:rPr>
        <w:t xml:space="preserve">Patients inadequately controlled on dual combination therapy with the maximal tolerated dose of metformin and a </w:t>
      </w:r>
      <w:proofErr w:type="spellStart"/>
      <w:r w:rsidRPr="00C311A4">
        <w:rPr>
          <w:i/>
          <w:sz w:val="24"/>
          <w:szCs w:val="24"/>
          <w:lang w:val="en-US"/>
        </w:rPr>
        <w:t>sulphonylurea</w:t>
      </w:r>
      <w:proofErr w:type="spellEnd"/>
    </w:p>
    <w:p w14:paraId="65A318FD" w14:textId="0A32066E" w:rsidR="004A1F86" w:rsidRPr="00C311A4" w:rsidRDefault="004A1F86" w:rsidP="00624EBB">
      <w:pPr>
        <w:ind w:left="851"/>
        <w:rPr>
          <w:sz w:val="24"/>
          <w:szCs w:val="24"/>
          <w:lang w:val="en-US"/>
        </w:rPr>
      </w:pPr>
      <w:r w:rsidRPr="00C311A4">
        <w:rPr>
          <w:sz w:val="24"/>
          <w:szCs w:val="24"/>
          <w:lang w:val="en-US"/>
        </w:rPr>
        <w:t xml:space="preserve">The dose of </w:t>
      </w:r>
      <w:proofErr w:type="spellStart"/>
      <w:r w:rsidR="00C311A4" w:rsidRPr="00C311A4">
        <w:rPr>
          <w:sz w:val="24"/>
          <w:szCs w:val="24"/>
          <w:lang w:val="en-US"/>
        </w:rPr>
        <w:t>Nagilma</w:t>
      </w:r>
      <w:proofErr w:type="spellEnd"/>
      <w:r w:rsidRPr="00C311A4">
        <w:rPr>
          <w:sz w:val="24"/>
          <w:szCs w:val="24"/>
          <w:lang w:val="en-US"/>
        </w:rPr>
        <w:t xml:space="preserve"> should provide linagliptin dosed as 2.5 mg twice daily (5 mg total daily dose) and a dose of metformin similar to the dose already being taken. When linagliptin plus metformin hydrochloride is used in combination with a </w:t>
      </w:r>
      <w:proofErr w:type="spellStart"/>
      <w:r w:rsidRPr="00C311A4">
        <w:rPr>
          <w:sz w:val="24"/>
          <w:szCs w:val="24"/>
          <w:lang w:val="en-US"/>
        </w:rPr>
        <w:t>sulphonylurea</w:t>
      </w:r>
      <w:proofErr w:type="spellEnd"/>
      <w:r w:rsidRPr="00C311A4">
        <w:rPr>
          <w:sz w:val="24"/>
          <w:szCs w:val="24"/>
          <w:lang w:val="en-US"/>
        </w:rPr>
        <w:t xml:space="preserve">, a lower dose of the </w:t>
      </w:r>
      <w:proofErr w:type="spellStart"/>
      <w:r w:rsidRPr="00C311A4">
        <w:rPr>
          <w:sz w:val="24"/>
          <w:szCs w:val="24"/>
          <w:lang w:val="en-US"/>
        </w:rPr>
        <w:t>sulphonylurea</w:t>
      </w:r>
      <w:proofErr w:type="spellEnd"/>
      <w:r w:rsidRPr="00C311A4">
        <w:rPr>
          <w:sz w:val="24"/>
          <w:szCs w:val="24"/>
          <w:lang w:val="en-US"/>
        </w:rPr>
        <w:t xml:space="preserve"> may be required to reduce the risk of </w:t>
      </w:r>
      <w:proofErr w:type="spellStart"/>
      <w:r w:rsidRPr="00C311A4">
        <w:rPr>
          <w:sz w:val="24"/>
          <w:szCs w:val="24"/>
          <w:lang w:val="en-US"/>
        </w:rPr>
        <w:t>hypoglycaemia</w:t>
      </w:r>
      <w:proofErr w:type="spellEnd"/>
      <w:r w:rsidRPr="00C311A4">
        <w:rPr>
          <w:sz w:val="24"/>
          <w:szCs w:val="24"/>
          <w:lang w:val="en-US"/>
        </w:rPr>
        <w:t xml:space="preserve"> (see section 4.4).</w:t>
      </w:r>
    </w:p>
    <w:p w14:paraId="3D028544" w14:textId="77777777" w:rsidR="004A1F86" w:rsidRPr="00C311A4" w:rsidRDefault="004A1F86" w:rsidP="00624EBB">
      <w:pPr>
        <w:ind w:left="851"/>
        <w:rPr>
          <w:sz w:val="24"/>
          <w:szCs w:val="24"/>
          <w:lang w:val="en-US"/>
        </w:rPr>
      </w:pPr>
    </w:p>
    <w:p w14:paraId="24BF5600" w14:textId="77777777" w:rsidR="004A1F86" w:rsidRPr="00C311A4" w:rsidRDefault="004A1F86" w:rsidP="00624EBB">
      <w:pPr>
        <w:ind w:left="851"/>
        <w:rPr>
          <w:i/>
          <w:sz w:val="24"/>
          <w:szCs w:val="24"/>
          <w:lang w:val="en-US"/>
        </w:rPr>
      </w:pPr>
      <w:r w:rsidRPr="00C311A4">
        <w:rPr>
          <w:i/>
          <w:sz w:val="24"/>
          <w:szCs w:val="24"/>
          <w:lang w:val="en-US"/>
        </w:rPr>
        <w:t>Patients inadequately controlled on dual combination therapy with insulin and the maximal tolerated dose of metformin</w:t>
      </w:r>
    </w:p>
    <w:p w14:paraId="5B52FEBD" w14:textId="3366635C" w:rsidR="004A1F86" w:rsidRPr="00C311A4" w:rsidRDefault="004A1F86" w:rsidP="00624EBB">
      <w:pPr>
        <w:ind w:left="851"/>
        <w:rPr>
          <w:sz w:val="24"/>
          <w:szCs w:val="24"/>
          <w:lang w:val="en-US"/>
        </w:rPr>
      </w:pPr>
      <w:r w:rsidRPr="00C311A4">
        <w:rPr>
          <w:sz w:val="24"/>
          <w:szCs w:val="24"/>
          <w:lang w:val="en-US"/>
        </w:rPr>
        <w:t xml:space="preserve">The dose of </w:t>
      </w:r>
      <w:proofErr w:type="spellStart"/>
      <w:r w:rsidR="00C311A4" w:rsidRPr="00C311A4">
        <w:rPr>
          <w:sz w:val="24"/>
          <w:szCs w:val="24"/>
          <w:lang w:val="en-US"/>
        </w:rPr>
        <w:t>Nagilma</w:t>
      </w:r>
      <w:proofErr w:type="spellEnd"/>
      <w:r w:rsidRPr="00C311A4">
        <w:rPr>
          <w:sz w:val="24"/>
          <w:szCs w:val="24"/>
          <w:lang w:val="en-US"/>
        </w:rPr>
        <w:t xml:space="preserve"> should provide linagliptin dosed as 2.5 mg twice daily (5 mg total daily dose) and a dose of metformin similar to the dose already being taken. When linagliptin plus metformin hydrochloride is used in combination with insulin, a lower dose of insulin may be required to reduce the risk of </w:t>
      </w:r>
      <w:proofErr w:type="spellStart"/>
      <w:r w:rsidRPr="00C311A4">
        <w:rPr>
          <w:sz w:val="24"/>
          <w:szCs w:val="24"/>
          <w:lang w:val="en-US"/>
        </w:rPr>
        <w:t>hypoglycaemia</w:t>
      </w:r>
      <w:proofErr w:type="spellEnd"/>
      <w:r w:rsidRPr="00C311A4">
        <w:rPr>
          <w:sz w:val="24"/>
          <w:szCs w:val="24"/>
          <w:lang w:val="en-US"/>
        </w:rPr>
        <w:t xml:space="preserve"> (see section 4.4).</w:t>
      </w:r>
    </w:p>
    <w:p w14:paraId="1A03701B" w14:textId="77777777" w:rsidR="004A1F86" w:rsidRPr="00C311A4" w:rsidRDefault="004A1F86" w:rsidP="00624EBB">
      <w:pPr>
        <w:ind w:left="851"/>
        <w:rPr>
          <w:sz w:val="24"/>
          <w:szCs w:val="24"/>
          <w:lang w:val="en-US"/>
        </w:rPr>
      </w:pPr>
    </w:p>
    <w:p w14:paraId="10F06E50" w14:textId="375F8ECA" w:rsidR="004A1F86" w:rsidRPr="00C311A4" w:rsidRDefault="004A1F86" w:rsidP="00624EBB">
      <w:pPr>
        <w:ind w:left="851"/>
        <w:rPr>
          <w:sz w:val="24"/>
          <w:szCs w:val="24"/>
          <w:lang w:val="en-US"/>
        </w:rPr>
      </w:pPr>
      <w:r w:rsidRPr="00C311A4">
        <w:rPr>
          <w:sz w:val="24"/>
          <w:szCs w:val="24"/>
          <w:lang w:val="en-US"/>
        </w:rPr>
        <w:t xml:space="preserve">For the different doses of metformin, </w:t>
      </w:r>
      <w:proofErr w:type="spellStart"/>
      <w:r w:rsidR="00C311A4" w:rsidRPr="00C311A4">
        <w:rPr>
          <w:sz w:val="24"/>
          <w:szCs w:val="24"/>
          <w:lang w:val="en-US"/>
        </w:rPr>
        <w:t>Nagilma</w:t>
      </w:r>
      <w:proofErr w:type="spellEnd"/>
      <w:r w:rsidRPr="00C311A4">
        <w:rPr>
          <w:sz w:val="24"/>
          <w:szCs w:val="24"/>
          <w:lang w:val="en-US"/>
        </w:rPr>
        <w:t xml:space="preserve"> is available in strengths of 2.5 mg linagliptin plus 850 mg metformin hydrochloride and 2.5 mg linagliptin plus 1,000 mg metformin hydrochloride.</w:t>
      </w:r>
    </w:p>
    <w:p w14:paraId="72C4B6DF" w14:textId="77777777" w:rsidR="004A1F86" w:rsidRPr="00C311A4" w:rsidRDefault="004A1F86" w:rsidP="00624EBB">
      <w:pPr>
        <w:ind w:left="851"/>
        <w:rPr>
          <w:sz w:val="24"/>
          <w:szCs w:val="24"/>
          <w:lang w:val="en-US"/>
        </w:rPr>
      </w:pPr>
    </w:p>
    <w:p w14:paraId="7FA8719C" w14:textId="77777777" w:rsidR="004A1F86" w:rsidRPr="004A7CE1" w:rsidRDefault="004A1F86" w:rsidP="00624EBB">
      <w:pPr>
        <w:ind w:left="851"/>
        <w:rPr>
          <w:sz w:val="24"/>
          <w:szCs w:val="24"/>
          <w:u w:val="single"/>
          <w:lang w:val="en-US"/>
        </w:rPr>
      </w:pPr>
      <w:r w:rsidRPr="004A7CE1">
        <w:rPr>
          <w:sz w:val="24"/>
          <w:szCs w:val="24"/>
          <w:u w:val="single"/>
          <w:lang w:val="en-US"/>
        </w:rPr>
        <w:t>Special populations</w:t>
      </w:r>
    </w:p>
    <w:p w14:paraId="7C1B5D63" w14:textId="77777777" w:rsidR="004A1F86" w:rsidRPr="00C311A4" w:rsidRDefault="004A1F86" w:rsidP="00624EBB">
      <w:pPr>
        <w:ind w:left="851"/>
        <w:rPr>
          <w:i/>
          <w:sz w:val="24"/>
          <w:szCs w:val="24"/>
          <w:lang w:val="en-US"/>
        </w:rPr>
      </w:pPr>
      <w:r w:rsidRPr="00C311A4">
        <w:rPr>
          <w:i/>
          <w:sz w:val="24"/>
          <w:szCs w:val="24"/>
          <w:lang w:val="en-US"/>
        </w:rPr>
        <w:t>Elderly</w:t>
      </w:r>
    </w:p>
    <w:p w14:paraId="40DA9893" w14:textId="5619B5B1" w:rsidR="004A1F86" w:rsidRPr="00C311A4" w:rsidRDefault="004A1F86" w:rsidP="00624EBB">
      <w:pPr>
        <w:ind w:left="851"/>
        <w:rPr>
          <w:sz w:val="24"/>
          <w:szCs w:val="24"/>
          <w:lang w:val="en-US"/>
        </w:rPr>
      </w:pPr>
      <w:r w:rsidRPr="00C311A4">
        <w:rPr>
          <w:sz w:val="24"/>
          <w:szCs w:val="24"/>
          <w:lang w:val="en-US"/>
        </w:rPr>
        <w:t xml:space="preserve">As metformin is excreted by the kidney, </w:t>
      </w:r>
      <w:proofErr w:type="spellStart"/>
      <w:r w:rsidR="00C311A4" w:rsidRPr="00C311A4">
        <w:rPr>
          <w:sz w:val="24"/>
          <w:szCs w:val="24"/>
          <w:lang w:val="en-US"/>
        </w:rPr>
        <w:t>Nagilma</w:t>
      </w:r>
      <w:proofErr w:type="spellEnd"/>
      <w:r w:rsidRPr="00C311A4">
        <w:rPr>
          <w:sz w:val="24"/>
          <w:szCs w:val="24"/>
          <w:lang w:val="en-US"/>
        </w:rPr>
        <w:t xml:space="preserve"> should be used with caution as age increases. Monitoring of renal function is necessary to aid in prevention of metformin-associated lactic acidosis, particularly in the elderly (see sections 4.3 and 4.4).</w:t>
      </w:r>
    </w:p>
    <w:p w14:paraId="1D1C11C0" w14:textId="77777777" w:rsidR="004A1F86" w:rsidRPr="00C311A4" w:rsidRDefault="004A1F86" w:rsidP="00624EBB">
      <w:pPr>
        <w:ind w:left="851"/>
        <w:rPr>
          <w:sz w:val="24"/>
          <w:szCs w:val="24"/>
          <w:lang w:val="en-US"/>
        </w:rPr>
      </w:pPr>
    </w:p>
    <w:p w14:paraId="58E1BE20" w14:textId="77777777" w:rsidR="004A1F86" w:rsidRPr="00C311A4" w:rsidRDefault="004A1F86" w:rsidP="00624EBB">
      <w:pPr>
        <w:ind w:left="851"/>
        <w:rPr>
          <w:i/>
          <w:sz w:val="24"/>
          <w:szCs w:val="24"/>
          <w:lang w:val="en-US"/>
        </w:rPr>
      </w:pPr>
      <w:r w:rsidRPr="00C311A4">
        <w:rPr>
          <w:i/>
          <w:sz w:val="24"/>
          <w:szCs w:val="24"/>
          <w:lang w:val="en-US"/>
        </w:rPr>
        <w:lastRenderedPageBreak/>
        <w:t>Renal impairment</w:t>
      </w:r>
    </w:p>
    <w:p w14:paraId="6747C77C" w14:textId="77777777" w:rsidR="004A1F86" w:rsidRPr="00C311A4" w:rsidRDefault="004A1F86" w:rsidP="00624EBB">
      <w:pPr>
        <w:ind w:left="851"/>
        <w:rPr>
          <w:sz w:val="24"/>
          <w:szCs w:val="24"/>
          <w:lang w:val="en-US"/>
        </w:rPr>
      </w:pPr>
      <w:r w:rsidRPr="00C311A4">
        <w:rPr>
          <w:sz w:val="24"/>
          <w:szCs w:val="24"/>
          <w:lang w:val="en-US"/>
        </w:rPr>
        <w:t>A GFR should be assessed before initiation of treatment with metformin containing products and at least annually thereafter. In patients at an increased risk of further progression of renal impairment and in the elderly, renal function should be assessed more frequently, e.g. every 3-6 months.</w:t>
      </w:r>
    </w:p>
    <w:p w14:paraId="47BCD589" w14:textId="77777777" w:rsidR="004A1F86" w:rsidRPr="00C311A4" w:rsidRDefault="004A1F86" w:rsidP="00624EBB">
      <w:pPr>
        <w:ind w:left="851"/>
        <w:rPr>
          <w:sz w:val="24"/>
          <w:szCs w:val="24"/>
          <w:lang w:val="en-US"/>
        </w:rPr>
      </w:pPr>
      <w:r w:rsidRPr="00C311A4">
        <w:rPr>
          <w:sz w:val="24"/>
          <w:szCs w:val="24"/>
          <w:lang w:val="en-US"/>
        </w:rPr>
        <w:t>Factors that may increase the risk of lactic acidosis (see 4.4) should be reviewed before considering initiation of metformin in patients with GFR&lt; 60 mL/min.</w:t>
      </w:r>
    </w:p>
    <w:p w14:paraId="3258BB6B" w14:textId="717E6797" w:rsidR="004A1F86" w:rsidRPr="00C311A4" w:rsidRDefault="004A1F86" w:rsidP="00624EBB">
      <w:pPr>
        <w:ind w:left="851"/>
        <w:rPr>
          <w:sz w:val="24"/>
          <w:szCs w:val="24"/>
          <w:lang w:val="en-US"/>
        </w:rPr>
      </w:pPr>
      <w:r w:rsidRPr="00C311A4">
        <w:rPr>
          <w:sz w:val="24"/>
          <w:szCs w:val="24"/>
          <w:lang w:val="en-US"/>
        </w:rPr>
        <w:t xml:space="preserve">If no adequate strength of </w:t>
      </w:r>
      <w:proofErr w:type="spellStart"/>
      <w:r w:rsidR="00C311A4" w:rsidRPr="00C311A4">
        <w:rPr>
          <w:sz w:val="24"/>
          <w:szCs w:val="24"/>
          <w:lang w:val="en-US"/>
        </w:rPr>
        <w:t>Nagilma</w:t>
      </w:r>
      <w:proofErr w:type="spellEnd"/>
      <w:r w:rsidRPr="00C311A4">
        <w:rPr>
          <w:sz w:val="24"/>
          <w:szCs w:val="24"/>
          <w:lang w:val="en-US"/>
        </w:rPr>
        <w:t xml:space="preserve"> is available, individual </w:t>
      </w:r>
      <w:proofErr w:type="spellStart"/>
      <w:r w:rsidRPr="00C311A4">
        <w:rPr>
          <w:sz w:val="24"/>
          <w:szCs w:val="24"/>
          <w:lang w:val="en-US"/>
        </w:rPr>
        <w:t>monocomponents</w:t>
      </w:r>
      <w:proofErr w:type="spellEnd"/>
      <w:r w:rsidRPr="00C311A4">
        <w:rPr>
          <w:sz w:val="24"/>
          <w:szCs w:val="24"/>
          <w:lang w:val="en-US"/>
        </w:rPr>
        <w:t xml:space="preserve"> should be used instead of the fixed dose combination.</w:t>
      </w:r>
    </w:p>
    <w:p w14:paraId="111AB8C3" w14:textId="77777777" w:rsidR="004A1F86" w:rsidRPr="00C311A4" w:rsidRDefault="004A1F86" w:rsidP="00624EBB">
      <w:pPr>
        <w:ind w:left="851"/>
        <w:rPr>
          <w:sz w:val="24"/>
          <w:szCs w:val="24"/>
          <w:lang w:val="en-GB"/>
        </w:rPr>
      </w:pPr>
    </w:p>
    <w:p w14:paraId="492ECFDB" w14:textId="3F8FB709" w:rsidR="004A1F86" w:rsidRPr="004A7CE1" w:rsidRDefault="004A1F86" w:rsidP="00624EBB">
      <w:pPr>
        <w:rPr>
          <w:b/>
          <w:sz w:val="24"/>
          <w:szCs w:val="24"/>
          <w:lang w:val="en-US"/>
        </w:rPr>
      </w:pPr>
      <w:r w:rsidRPr="004A7CE1">
        <w:rPr>
          <w:b/>
          <w:sz w:val="24"/>
          <w:szCs w:val="24"/>
          <w:lang w:val="en-US"/>
        </w:rPr>
        <w:t>Table</w:t>
      </w:r>
      <w:r w:rsidRPr="004A7CE1">
        <w:rPr>
          <w:b/>
          <w:spacing w:val="-1"/>
          <w:sz w:val="24"/>
          <w:szCs w:val="24"/>
          <w:lang w:val="en-US"/>
        </w:rPr>
        <w:t xml:space="preserve"> </w:t>
      </w:r>
      <w:r w:rsidRPr="004A7CE1">
        <w:rPr>
          <w:b/>
          <w:sz w:val="24"/>
          <w:szCs w:val="24"/>
          <w:lang w:val="en-US"/>
        </w:rPr>
        <w:t>1:</w:t>
      </w:r>
      <w:r w:rsidR="004A7CE1" w:rsidRPr="004A7CE1">
        <w:rPr>
          <w:b/>
          <w:sz w:val="24"/>
          <w:szCs w:val="24"/>
          <w:lang w:val="en-US"/>
        </w:rPr>
        <w:t xml:space="preserve"> </w:t>
      </w:r>
      <w:r w:rsidRPr="004A7CE1">
        <w:rPr>
          <w:b/>
          <w:sz w:val="24"/>
          <w:szCs w:val="24"/>
          <w:lang w:val="en-US"/>
        </w:rPr>
        <w:t>Posology for renally impaired</w:t>
      </w:r>
      <w:r w:rsidRPr="004A7CE1">
        <w:rPr>
          <w:b/>
          <w:spacing w:val="-5"/>
          <w:sz w:val="24"/>
          <w:szCs w:val="24"/>
          <w:lang w:val="en-US"/>
        </w:rPr>
        <w:t xml:space="preserve"> </w:t>
      </w:r>
      <w:r w:rsidRPr="004A7CE1">
        <w:rPr>
          <w:b/>
          <w:sz w:val="24"/>
          <w:szCs w:val="24"/>
          <w:lang w:val="en-US"/>
        </w:rPr>
        <w:t>patients</w:t>
      </w:r>
    </w:p>
    <w:p w14:paraId="23E8D52F" w14:textId="77777777" w:rsidR="004A1F86" w:rsidRPr="00C311A4" w:rsidRDefault="004A1F86" w:rsidP="004A1F86">
      <w:pPr>
        <w:widowControl w:val="0"/>
        <w:tabs>
          <w:tab w:val="left" w:pos="1304"/>
        </w:tabs>
        <w:autoSpaceDE w:val="0"/>
        <w:autoSpaceDN w:val="0"/>
        <w:spacing w:before="7"/>
        <w:rPr>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35"/>
        <w:gridCol w:w="3947"/>
        <w:gridCol w:w="3946"/>
      </w:tblGrid>
      <w:tr w:rsidR="004A1F86" w:rsidRPr="00C311A4" w14:paraId="03656F97" w14:textId="77777777" w:rsidTr="00624EBB">
        <w:trPr>
          <w:trHeight w:val="556"/>
        </w:trPr>
        <w:tc>
          <w:tcPr>
            <w:tcW w:w="901" w:type="pct"/>
            <w:tcBorders>
              <w:top w:val="single" w:sz="4" w:space="0" w:color="000000"/>
              <w:left w:val="single" w:sz="4" w:space="0" w:color="000000"/>
              <w:bottom w:val="single" w:sz="4" w:space="0" w:color="000000"/>
              <w:right w:val="single" w:sz="4" w:space="0" w:color="000000"/>
            </w:tcBorders>
            <w:hideMark/>
          </w:tcPr>
          <w:p w14:paraId="364730A2" w14:textId="77777777" w:rsidR="004A1F86" w:rsidRPr="00C311A4" w:rsidRDefault="004A1F86">
            <w:pPr>
              <w:widowControl w:val="0"/>
              <w:tabs>
                <w:tab w:val="left" w:pos="1304"/>
              </w:tabs>
              <w:autoSpaceDE w:val="0"/>
              <w:autoSpaceDN w:val="0"/>
              <w:spacing w:before="3"/>
              <w:ind w:left="107"/>
              <w:rPr>
                <w:sz w:val="24"/>
                <w:szCs w:val="24"/>
                <w:lang w:val="en-US"/>
              </w:rPr>
            </w:pPr>
            <w:r w:rsidRPr="00C311A4">
              <w:rPr>
                <w:sz w:val="24"/>
                <w:szCs w:val="24"/>
                <w:lang w:val="en-US"/>
              </w:rPr>
              <w:t>GFR mL/min</w:t>
            </w:r>
          </w:p>
        </w:tc>
        <w:tc>
          <w:tcPr>
            <w:tcW w:w="2050" w:type="pct"/>
            <w:tcBorders>
              <w:top w:val="single" w:sz="4" w:space="0" w:color="000000"/>
              <w:left w:val="single" w:sz="4" w:space="0" w:color="000000"/>
              <w:bottom w:val="single" w:sz="4" w:space="0" w:color="000000"/>
              <w:right w:val="single" w:sz="4" w:space="0" w:color="000000"/>
            </w:tcBorders>
            <w:hideMark/>
          </w:tcPr>
          <w:p w14:paraId="64219868" w14:textId="77777777" w:rsidR="004A1F86" w:rsidRPr="00C311A4" w:rsidRDefault="004A1F86">
            <w:pPr>
              <w:widowControl w:val="0"/>
              <w:tabs>
                <w:tab w:val="left" w:pos="1304"/>
              </w:tabs>
              <w:autoSpaceDE w:val="0"/>
              <w:autoSpaceDN w:val="0"/>
              <w:spacing w:before="3"/>
              <w:ind w:left="108"/>
              <w:rPr>
                <w:sz w:val="24"/>
                <w:szCs w:val="24"/>
                <w:lang w:val="en-US"/>
              </w:rPr>
            </w:pPr>
            <w:r w:rsidRPr="00C311A4">
              <w:rPr>
                <w:sz w:val="24"/>
                <w:szCs w:val="24"/>
                <w:lang w:val="en-US"/>
              </w:rPr>
              <w:t>Metformin</w:t>
            </w:r>
          </w:p>
        </w:tc>
        <w:tc>
          <w:tcPr>
            <w:tcW w:w="2050" w:type="pct"/>
            <w:tcBorders>
              <w:top w:val="single" w:sz="4" w:space="0" w:color="000000"/>
              <w:left w:val="single" w:sz="4" w:space="0" w:color="000000"/>
              <w:bottom w:val="single" w:sz="4" w:space="0" w:color="000000"/>
              <w:right w:val="single" w:sz="4" w:space="0" w:color="000000"/>
            </w:tcBorders>
            <w:hideMark/>
          </w:tcPr>
          <w:p w14:paraId="77E0BAA6" w14:textId="77777777" w:rsidR="004A1F86" w:rsidRPr="00C311A4" w:rsidRDefault="004A1F86">
            <w:pPr>
              <w:widowControl w:val="0"/>
              <w:tabs>
                <w:tab w:val="left" w:pos="1304"/>
              </w:tabs>
              <w:autoSpaceDE w:val="0"/>
              <w:autoSpaceDN w:val="0"/>
              <w:spacing w:before="3"/>
              <w:ind w:left="109"/>
              <w:rPr>
                <w:sz w:val="24"/>
                <w:szCs w:val="24"/>
                <w:lang w:val="en-US"/>
              </w:rPr>
            </w:pPr>
            <w:r w:rsidRPr="00C311A4">
              <w:rPr>
                <w:sz w:val="24"/>
                <w:szCs w:val="24"/>
                <w:lang w:val="en-US"/>
              </w:rPr>
              <w:t>Linagliptin</w:t>
            </w:r>
          </w:p>
        </w:tc>
      </w:tr>
      <w:tr w:rsidR="004A1F86" w:rsidRPr="00C311A4" w14:paraId="75F84970" w14:textId="77777777" w:rsidTr="00624EBB">
        <w:trPr>
          <w:trHeight w:val="1300"/>
        </w:trPr>
        <w:tc>
          <w:tcPr>
            <w:tcW w:w="901" w:type="pct"/>
            <w:tcBorders>
              <w:top w:val="single" w:sz="4" w:space="0" w:color="000000"/>
              <w:left w:val="single" w:sz="4" w:space="0" w:color="000000"/>
              <w:bottom w:val="single" w:sz="4" w:space="0" w:color="000000"/>
              <w:right w:val="single" w:sz="4" w:space="0" w:color="000000"/>
            </w:tcBorders>
            <w:hideMark/>
          </w:tcPr>
          <w:p w14:paraId="65769BF1" w14:textId="77777777" w:rsidR="004A1F86" w:rsidRPr="00C311A4" w:rsidRDefault="004A1F86">
            <w:pPr>
              <w:widowControl w:val="0"/>
              <w:tabs>
                <w:tab w:val="left" w:pos="1304"/>
              </w:tabs>
              <w:autoSpaceDE w:val="0"/>
              <w:autoSpaceDN w:val="0"/>
              <w:spacing w:before="3"/>
              <w:ind w:left="107"/>
              <w:rPr>
                <w:sz w:val="24"/>
                <w:szCs w:val="24"/>
                <w:lang w:val="en-US"/>
              </w:rPr>
            </w:pPr>
            <w:r w:rsidRPr="00C311A4">
              <w:rPr>
                <w:sz w:val="24"/>
                <w:szCs w:val="24"/>
                <w:lang w:val="en-US"/>
              </w:rPr>
              <w:t>60-89</w:t>
            </w:r>
          </w:p>
        </w:tc>
        <w:tc>
          <w:tcPr>
            <w:tcW w:w="2050" w:type="pct"/>
            <w:tcBorders>
              <w:top w:val="single" w:sz="4" w:space="0" w:color="000000"/>
              <w:left w:val="single" w:sz="4" w:space="0" w:color="000000"/>
              <w:bottom w:val="single" w:sz="4" w:space="0" w:color="000000"/>
              <w:right w:val="single" w:sz="4" w:space="0" w:color="000000"/>
            </w:tcBorders>
            <w:hideMark/>
          </w:tcPr>
          <w:p w14:paraId="12494D36" w14:textId="77777777" w:rsidR="004A1F86" w:rsidRPr="00C311A4" w:rsidRDefault="004A1F86">
            <w:pPr>
              <w:widowControl w:val="0"/>
              <w:tabs>
                <w:tab w:val="left" w:pos="1304"/>
              </w:tabs>
              <w:autoSpaceDE w:val="0"/>
              <w:autoSpaceDN w:val="0"/>
              <w:spacing w:before="3" w:line="244" w:lineRule="auto"/>
              <w:ind w:left="108" w:right="291"/>
              <w:rPr>
                <w:sz w:val="24"/>
                <w:szCs w:val="24"/>
                <w:lang w:val="en-US"/>
              </w:rPr>
            </w:pPr>
            <w:r w:rsidRPr="00C311A4">
              <w:rPr>
                <w:sz w:val="24"/>
                <w:szCs w:val="24"/>
                <w:lang w:val="en-US"/>
              </w:rPr>
              <w:t>Maximum daily dose is 3000 mg. Dose reduction may be considered in relation to declining renal function.</w:t>
            </w:r>
          </w:p>
        </w:tc>
        <w:tc>
          <w:tcPr>
            <w:tcW w:w="2050" w:type="pct"/>
            <w:tcBorders>
              <w:top w:val="single" w:sz="4" w:space="0" w:color="000000"/>
              <w:left w:val="single" w:sz="4" w:space="0" w:color="000000"/>
              <w:bottom w:val="single" w:sz="4" w:space="0" w:color="000000"/>
              <w:right w:val="single" w:sz="4" w:space="0" w:color="000000"/>
            </w:tcBorders>
            <w:hideMark/>
          </w:tcPr>
          <w:p w14:paraId="2123D03C" w14:textId="77777777" w:rsidR="004A1F86" w:rsidRPr="00C311A4" w:rsidRDefault="004A1F86">
            <w:pPr>
              <w:widowControl w:val="0"/>
              <w:tabs>
                <w:tab w:val="left" w:pos="1304"/>
              </w:tabs>
              <w:autoSpaceDE w:val="0"/>
              <w:autoSpaceDN w:val="0"/>
              <w:spacing w:before="3"/>
              <w:ind w:left="109"/>
              <w:rPr>
                <w:sz w:val="24"/>
                <w:szCs w:val="24"/>
                <w:lang w:val="en-US"/>
              </w:rPr>
            </w:pPr>
            <w:r w:rsidRPr="00C311A4">
              <w:rPr>
                <w:sz w:val="24"/>
                <w:szCs w:val="24"/>
                <w:lang w:val="en-US"/>
              </w:rPr>
              <w:t>No dose adjustment</w:t>
            </w:r>
          </w:p>
        </w:tc>
      </w:tr>
      <w:tr w:rsidR="004A1F86" w:rsidRPr="00C311A4" w14:paraId="6EC6DFF4" w14:textId="77777777" w:rsidTr="00624EBB">
        <w:trPr>
          <w:trHeight w:val="1038"/>
        </w:trPr>
        <w:tc>
          <w:tcPr>
            <w:tcW w:w="901" w:type="pct"/>
            <w:tcBorders>
              <w:top w:val="single" w:sz="4" w:space="0" w:color="000000"/>
              <w:left w:val="single" w:sz="4" w:space="0" w:color="000000"/>
              <w:bottom w:val="single" w:sz="4" w:space="0" w:color="000000"/>
              <w:right w:val="single" w:sz="4" w:space="0" w:color="000000"/>
            </w:tcBorders>
            <w:hideMark/>
          </w:tcPr>
          <w:p w14:paraId="51263E01" w14:textId="77777777" w:rsidR="004A1F86" w:rsidRPr="00C311A4" w:rsidRDefault="004A1F86">
            <w:pPr>
              <w:widowControl w:val="0"/>
              <w:tabs>
                <w:tab w:val="left" w:pos="1304"/>
              </w:tabs>
              <w:autoSpaceDE w:val="0"/>
              <w:autoSpaceDN w:val="0"/>
              <w:spacing w:before="3"/>
              <w:ind w:left="107"/>
              <w:rPr>
                <w:sz w:val="24"/>
                <w:szCs w:val="24"/>
                <w:lang w:val="en-US"/>
              </w:rPr>
            </w:pPr>
            <w:r w:rsidRPr="00C311A4">
              <w:rPr>
                <w:sz w:val="24"/>
                <w:szCs w:val="24"/>
                <w:lang w:val="en-US"/>
              </w:rPr>
              <w:t>45-59</w:t>
            </w:r>
          </w:p>
        </w:tc>
        <w:tc>
          <w:tcPr>
            <w:tcW w:w="2050" w:type="pct"/>
            <w:tcBorders>
              <w:top w:val="single" w:sz="4" w:space="0" w:color="000000"/>
              <w:left w:val="single" w:sz="4" w:space="0" w:color="000000"/>
              <w:bottom w:val="single" w:sz="4" w:space="0" w:color="000000"/>
              <w:right w:val="single" w:sz="4" w:space="0" w:color="000000"/>
            </w:tcBorders>
            <w:hideMark/>
          </w:tcPr>
          <w:p w14:paraId="432590FE" w14:textId="77777777" w:rsidR="004A1F86" w:rsidRPr="00C311A4" w:rsidRDefault="004A1F86">
            <w:pPr>
              <w:widowControl w:val="0"/>
              <w:tabs>
                <w:tab w:val="left" w:pos="1304"/>
              </w:tabs>
              <w:autoSpaceDE w:val="0"/>
              <w:autoSpaceDN w:val="0"/>
              <w:spacing w:before="3" w:line="242" w:lineRule="auto"/>
              <w:ind w:left="108" w:right="285"/>
              <w:rPr>
                <w:sz w:val="24"/>
                <w:szCs w:val="24"/>
                <w:lang w:val="en-US"/>
              </w:rPr>
            </w:pPr>
            <w:r w:rsidRPr="00C311A4">
              <w:rPr>
                <w:sz w:val="24"/>
                <w:szCs w:val="24"/>
                <w:lang w:val="en-US"/>
              </w:rPr>
              <w:t xml:space="preserve">Maximum daily dose is 2000 mg </w:t>
            </w:r>
            <w:proofErr w:type="gramStart"/>
            <w:r w:rsidRPr="00C311A4">
              <w:rPr>
                <w:sz w:val="24"/>
                <w:szCs w:val="24"/>
                <w:lang w:val="en-US"/>
              </w:rPr>
              <w:t>The</w:t>
            </w:r>
            <w:proofErr w:type="gramEnd"/>
            <w:r w:rsidRPr="00C311A4">
              <w:rPr>
                <w:sz w:val="24"/>
                <w:szCs w:val="24"/>
                <w:lang w:val="en-US"/>
              </w:rPr>
              <w:t xml:space="preserve"> starting dose is at most half of the maximum dose.</w:t>
            </w:r>
          </w:p>
        </w:tc>
        <w:tc>
          <w:tcPr>
            <w:tcW w:w="2050" w:type="pct"/>
            <w:tcBorders>
              <w:top w:val="single" w:sz="4" w:space="0" w:color="000000"/>
              <w:left w:val="single" w:sz="4" w:space="0" w:color="000000"/>
              <w:bottom w:val="single" w:sz="4" w:space="0" w:color="000000"/>
              <w:right w:val="single" w:sz="4" w:space="0" w:color="000000"/>
            </w:tcBorders>
            <w:hideMark/>
          </w:tcPr>
          <w:p w14:paraId="133837F1" w14:textId="77777777" w:rsidR="004A1F86" w:rsidRPr="00C311A4" w:rsidRDefault="004A1F86">
            <w:pPr>
              <w:widowControl w:val="0"/>
              <w:tabs>
                <w:tab w:val="left" w:pos="1304"/>
              </w:tabs>
              <w:autoSpaceDE w:val="0"/>
              <w:autoSpaceDN w:val="0"/>
              <w:spacing w:before="3"/>
              <w:ind w:left="109"/>
              <w:rPr>
                <w:sz w:val="24"/>
                <w:szCs w:val="24"/>
                <w:lang w:val="en-US"/>
              </w:rPr>
            </w:pPr>
            <w:r w:rsidRPr="00C311A4">
              <w:rPr>
                <w:sz w:val="24"/>
                <w:szCs w:val="24"/>
                <w:lang w:val="en-US"/>
              </w:rPr>
              <w:t>No dose adjustment</w:t>
            </w:r>
          </w:p>
        </w:tc>
      </w:tr>
      <w:tr w:rsidR="004A1F86" w:rsidRPr="00C311A4" w14:paraId="1C377991" w14:textId="77777777" w:rsidTr="00624EBB">
        <w:trPr>
          <w:trHeight w:val="1041"/>
        </w:trPr>
        <w:tc>
          <w:tcPr>
            <w:tcW w:w="901" w:type="pct"/>
            <w:tcBorders>
              <w:top w:val="single" w:sz="4" w:space="0" w:color="000000"/>
              <w:left w:val="single" w:sz="4" w:space="0" w:color="000000"/>
              <w:bottom w:val="single" w:sz="4" w:space="0" w:color="000000"/>
              <w:right w:val="single" w:sz="4" w:space="0" w:color="000000"/>
            </w:tcBorders>
            <w:hideMark/>
          </w:tcPr>
          <w:p w14:paraId="5E8A97D0" w14:textId="77777777" w:rsidR="004A1F86" w:rsidRPr="00C311A4" w:rsidRDefault="004A1F86">
            <w:pPr>
              <w:widowControl w:val="0"/>
              <w:tabs>
                <w:tab w:val="left" w:pos="1304"/>
              </w:tabs>
              <w:autoSpaceDE w:val="0"/>
              <w:autoSpaceDN w:val="0"/>
              <w:spacing w:before="3"/>
              <w:ind w:left="107"/>
              <w:rPr>
                <w:sz w:val="24"/>
                <w:szCs w:val="24"/>
                <w:lang w:val="en-US"/>
              </w:rPr>
            </w:pPr>
            <w:r w:rsidRPr="00C311A4">
              <w:rPr>
                <w:sz w:val="24"/>
                <w:szCs w:val="24"/>
                <w:lang w:val="en-US"/>
              </w:rPr>
              <w:t>30-44</w:t>
            </w:r>
          </w:p>
        </w:tc>
        <w:tc>
          <w:tcPr>
            <w:tcW w:w="2050" w:type="pct"/>
            <w:tcBorders>
              <w:top w:val="single" w:sz="4" w:space="0" w:color="000000"/>
              <w:left w:val="single" w:sz="4" w:space="0" w:color="000000"/>
              <w:bottom w:val="single" w:sz="4" w:space="0" w:color="000000"/>
              <w:right w:val="single" w:sz="4" w:space="0" w:color="000000"/>
            </w:tcBorders>
            <w:hideMark/>
          </w:tcPr>
          <w:p w14:paraId="05EEF04A" w14:textId="77777777" w:rsidR="004A1F86" w:rsidRPr="00C311A4" w:rsidRDefault="004A1F86">
            <w:pPr>
              <w:widowControl w:val="0"/>
              <w:tabs>
                <w:tab w:val="left" w:pos="1304"/>
              </w:tabs>
              <w:autoSpaceDE w:val="0"/>
              <w:autoSpaceDN w:val="0"/>
              <w:spacing w:before="3" w:line="244" w:lineRule="auto"/>
              <w:ind w:left="108" w:right="285"/>
              <w:rPr>
                <w:sz w:val="24"/>
                <w:szCs w:val="24"/>
                <w:lang w:val="en-US"/>
              </w:rPr>
            </w:pPr>
            <w:r w:rsidRPr="00C311A4">
              <w:rPr>
                <w:sz w:val="24"/>
                <w:szCs w:val="24"/>
                <w:lang w:val="en-US"/>
              </w:rPr>
              <w:t>Maximum daily dose is 1000 mg. The starting dose is at most half of the maximum dose.</w:t>
            </w:r>
          </w:p>
        </w:tc>
        <w:tc>
          <w:tcPr>
            <w:tcW w:w="2050" w:type="pct"/>
            <w:tcBorders>
              <w:top w:val="single" w:sz="4" w:space="0" w:color="000000"/>
              <w:left w:val="single" w:sz="4" w:space="0" w:color="000000"/>
              <w:bottom w:val="single" w:sz="4" w:space="0" w:color="000000"/>
              <w:right w:val="single" w:sz="4" w:space="0" w:color="000000"/>
            </w:tcBorders>
            <w:hideMark/>
          </w:tcPr>
          <w:p w14:paraId="3A8505AC" w14:textId="77777777" w:rsidR="004A1F86" w:rsidRPr="00C311A4" w:rsidRDefault="004A1F86">
            <w:pPr>
              <w:widowControl w:val="0"/>
              <w:tabs>
                <w:tab w:val="left" w:pos="1304"/>
              </w:tabs>
              <w:autoSpaceDE w:val="0"/>
              <w:autoSpaceDN w:val="0"/>
              <w:spacing w:before="3"/>
              <w:ind w:left="109"/>
              <w:rPr>
                <w:sz w:val="24"/>
                <w:szCs w:val="24"/>
                <w:lang w:val="en-US"/>
              </w:rPr>
            </w:pPr>
            <w:r w:rsidRPr="00C311A4">
              <w:rPr>
                <w:sz w:val="24"/>
                <w:szCs w:val="24"/>
                <w:lang w:val="en-US"/>
              </w:rPr>
              <w:t>No dose adjustment</w:t>
            </w:r>
          </w:p>
        </w:tc>
      </w:tr>
      <w:tr w:rsidR="004A1F86" w:rsidRPr="00C311A4" w14:paraId="6D2CC332" w14:textId="77777777" w:rsidTr="00624EBB">
        <w:trPr>
          <w:trHeight w:val="520"/>
        </w:trPr>
        <w:tc>
          <w:tcPr>
            <w:tcW w:w="901" w:type="pct"/>
            <w:tcBorders>
              <w:top w:val="single" w:sz="4" w:space="0" w:color="000000"/>
              <w:left w:val="single" w:sz="4" w:space="0" w:color="000000"/>
              <w:bottom w:val="single" w:sz="4" w:space="0" w:color="000000"/>
              <w:right w:val="single" w:sz="4" w:space="0" w:color="000000"/>
            </w:tcBorders>
            <w:hideMark/>
          </w:tcPr>
          <w:p w14:paraId="173F809A" w14:textId="77777777" w:rsidR="004A1F86" w:rsidRPr="00C311A4" w:rsidRDefault="004A1F86">
            <w:pPr>
              <w:widowControl w:val="0"/>
              <w:tabs>
                <w:tab w:val="left" w:pos="1304"/>
              </w:tabs>
              <w:autoSpaceDE w:val="0"/>
              <w:autoSpaceDN w:val="0"/>
              <w:spacing w:before="3"/>
              <w:ind w:left="107"/>
              <w:rPr>
                <w:sz w:val="24"/>
                <w:szCs w:val="24"/>
                <w:lang w:val="en-US"/>
              </w:rPr>
            </w:pPr>
            <w:r w:rsidRPr="00C311A4">
              <w:rPr>
                <w:sz w:val="24"/>
                <w:szCs w:val="24"/>
                <w:lang w:val="en-US"/>
              </w:rPr>
              <w:t>&lt; 30</w:t>
            </w:r>
          </w:p>
        </w:tc>
        <w:tc>
          <w:tcPr>
            <w:tcW w:w="2050" w:type="pct"/>
            <w:tcBorders>
              <w:top w:val="single" w:sz="4" w:space="0" w:color="000000"/>
              <w:left w:val="single" w:sz="4" w:space="0" w:color="000000"/>
              <w:bottom w:val="single" w:sz="4" w:space="0" w:color="000000"/>
              <w:right w:val="single" w:sz="4" w:space="0" w:color="000000"/>
            </w:tcBorders>
            <w:hideMark/>
          </w:tcPr>
          <w:p w14:paraId="7A354E03" w14:textId="77777777" w:rsidR="004A1F86" w:rsidRPr="00C311A4" w:rsidRDefault="004A1F86">
            <w:pPr>
              <w:widowControl w:val="0"/>
              <w:tabs>
                <w:tab w:val="left" w:pos="1304"/>
              </w:tabs>
              <w:autoSpaceDE w:val="0"/>
              <w:autoSpaceDN w:val="0"/>
              <w:spacing w:before="3"/>
              <w:ind w:left="108"/>
              <w:rPr>
                <w:sz w:val="24"/>
                <w:szCs w:val="24"/>
                <w:lang w:val="en-US"/>
              </w:rPr>
            </w:pPr>
            <w:r w:rsidRPr="00C311A4">
              <w:rPr>
                <w:sz w:val="24"/>
                <w:szCs w:val="24"/>
                <w:lang w:val="en-US"/>
              </w:rPr>
              <w:t>Metformin is contraindicated</w:t>
            </w:r>
          </w:p>
        </w:tc>
        <w:tc>
          <w:tcPr>
            <w:tcW w:w="2050" w:type="pct"/>
            <w:tcBorders>
              <w:top w:val="single" w:sz="4" w:space="0" w:color="000000"/>
              <w:left w:val="single" w:sz="4" w:space="0" w:color="000000"/>
              <w:bottom w:val="single" w:sz="4" w:space="0" w:color="000000"/>
              <w:right w:val="single" w:sz="4" w:space="0" w:color="000000"/>
            </w:tcBorders>
            <w:hideMark/>
          </w:tcPr>
          <w:p w14:paraId="69FEC086" w14:textId="77777777" w:rsidR="004A1F86" w:rsidRPr="00C311A4" w:rsidRDefault="004A1F86">
            <w:pPr>
              <w:widowControl w:val="0"/>
              <w:tabs>
                <w:tab w:val="left" w:pos="1304"/>
              </w:tabs>
              <w:autoSpaceDE w:val="0"/>
              <w:autoSpaceDN w:val="0"/>
              <w:spacing w:before="3"/>
              <w:ind w:left="109"/>
              <w:rPr>
                <w:sz w:val="24"/>
                <w:szCs w:val="24"/>
                <w:lang w:val="en-US"/>
              </w:rPr>
            </w:pPr>
            <w:r w:rsidRPr="00C311A4">
              <w:rPr>
                <w:sz w:val="24"/>
                <w:szCs w:val="24"/>
                <w:lang w:val="en-US"/>
              </w:rPr>
              <w:t>No dose adjustment</w:t>
            </w:r>
          </w:p>
        </w:tc>
      </w:tr>
    </w:tbl>
    <w:p w14:paraId="150DE1BC" w14:textId="77777777" w:rsidR="004A7CE1" w:rsidRDefault="004A7CE1" w:rsidP="00624EBB">
      <w:pPr>
        <w:ind w:left="851"/>
        <w:rPr>
          <w:sz w:val="24"/>
          <w:szCs w:val="24"/>
          <w:lang w:val="en-US"/>
        </w:rPr>
      </w:pPr>
    </w:p>
    <w:p w14:paraId="6949524B" w14:textId="076DA98B" w:rsidR="004A1F86" w:rsidRPr="004A7CE1" w:rsidRDefault="004A1F86" w:rsidP="00624EBB">
      <w:pPr>
        <w:ind w:left="851"/>
        <w:rPr>
          <w:i/>
          <w:sz w:val="24"/>
          <w:szCs w:val="24"/>
          <w:lang w:val="en-US" w:eastAsia="en-US"/>
        </w:rPr>
      </w:pPr>
      <w:r w:rsidRPr="004A7CE1">
        <w:rPr>
          <w:i/>
          <w:sz w:val="24"/>
          <w:szCs w:val="24"/>
          <w:lang w:val="en-US"/>
        </w:rPr>
        <w:t>Hepatic impairment</w:t>
      </w:r>
    </w:p>
    <w:p w14:paraId="3CE6EE46" w14:textId="078F7471" w:rsidR="004A1F86" w:rsidRPr="00C311A4" w:rsidRDefault="00C311A4" w:rsidP="00624EBB">
      <w:pPr>
        <w:ind w:left="851"/>
        <w:rPr>
          <w:sz w:val="24"/>
          <w:szCs w:val="24"/>
          <w:lang w:val="en-US"/>
        </w:rPr>
      </w:pPr>
      <w:proofErr w:type="spellStart"/>
      <w:r w:rsidRPr="00C311A4">
        <w:rPr>
          <w:sz w:val="24"/>
          <w:szCs w:val="24"/>
          <w:lang w:val="en-US"/>
        </w:rPr>
        <w:t>Nagilma</w:t>
      </w:r>
      <w:proofErr w:type="spellEnd"/>
      <w:r w:rsidR="004A1F86" w:rsidRPr="00C311A4">
        <w:rPr>
          <w:sz w:val="24"/>
          <w:szCs w:val="24"/>
          <w:lang w:val="en-US"/>
        </w:rPr>
        <w:t xml:space="preserve"> is not recommended in patients with hepatic impairment due to the active substance metformin (see sections 4.3 and 5.2). Clinical experience with linagliptin and metformin in patients with hepatic impairment is lacking.</w:t>
      </w:r>
    </w:p>
    <w:p w14:paraId="024FC3E8" w14:textId="77777777" w:rsidR="004A1F86" w:rsidRPr="00C311A4" w:rsidRDefault="004A1F86" w:rsidP="00624EBB">
      <w:pPr>
        <w:ind w:left="851"/>
        <w:rPr>
          <w:sz w:val="24"/>
          <w:szCs w:val="24"/>
          <w:lang w:val="en-US"/>
        </w:rPr>
      </w:pPr>
    </w:p>
    <w:p w14:paraId="491B51E7" w14:textId="77777777" w:rsidR="004A1F86" w:rsidRPr="00C311A4" w:rsidRDefault="004A1F86" w:rsidP="00624EBB">
      <w:pPr>
        <w:ind w:left="851"/>
        <w:rPr>
          <w:sz w:val="24"/>
          <w:szCs w:val="24"/>
          <w:lang w:val="en-US"/>
        </w:rPr>
      </w:pPr>
      <w:r w:rsidRPr="00C311A4">
        <w:rPr>
          <w:sz w:val="24"/>
          <w:szCs w:val="24"/>
          <w:u w:val="single"/>
          <w:lang w:val="en-US"/>
        </w:rPr>
        <w:t>Paediatric population</w:t>
      </w:r>
    </w:p>
    <w:p w14:paraId="3821F4B8" w14:textId="5099B187" w:rsidR="004A1F86" w:rsidRPr="00C311A4" w:rsidRDefault="004A1F86" w:rsidP="00624EBB">
      <w:pPr>
        <w:ind w:left="851"/>
        <w:rPr>
          <w:sz w:val="24"/>
          <w:szCs w:val="24"/>
          <w:lang w:val="en-US"/>
        </w:rPr>
      </w:pPr>
      <w:r w:rsidRPr="00C311A4">
        <w:rPr>
          <w:sz w:val="24"/>
          <w:szCs w:val="24"/>
          <w:lang w:val="en-US"/>
        </w:rPr>
        <w:t>A clinical trial did not establish efficacy in paediatric patients 10 to 17 years of age (see section 4.8, 5.1 and 5.2). Therefore, treatment of children and adolescents with linagliptin is not recommended. Linagliptin has not been studied in paediatric patients under 10 years of age.</w:t>
      </w:r>
    </w:p>
    <w:p w14:paraId="09B6139C" w14:textId="77777777" w:rsidR="004A1F86" w:rsidRPr="00C311A4" w:rsidRDefault="004A1F86" w:rsidP="00624EBB">
      <w:pPr>
        <w:ind w:left="851"/>
        <w:rPr>
          <w:sz w:val="24"/>
          <w:szCs w:val="24"/>
          <w:lang w:val="en-US"/>
        </w:rPr>
      </w:pPr>
    </w:p>
    <w:p w14:paraId="291AF634" w14:textId="77777777" w:rsidR="004A1F86" w:rsidRPr="00C311A4" w:rsidRDefault="004A1F86" w:rsidP="00624EBB">
      <w:pPr>
        <w:ind w:left="851"/>
        <w:rPr>
          <w:sz w:val="24"/>
          <w:szCs w:val="24"/>
          <w:lang w:val="en-US"/>
        </w:rPr>
      </w:pPr>
      <w:r w:rsidRPr="00C311A4">
        <w:rPr>
          <w:sz w:val="24"/>
          <w:szCs w:val="24"/>
          <w:u w:val="single"/>
          <w:lang w:val="en-US"/>
        </w:rPr>
        <w:t>Method of administration</w:t>
      </w:r>
    </w:p>
    <w:p w14:paraId="0A63FB04" w14:textId="40480E6E" w:rsidR="004A1F86" w:rsidRPr="00C311A4" w:rsidRDefault="00C311A4" w:rsidP="00624EBB">
      <w:pPr>
        <w:ind w:left="851"/>
        <w:rPr>
          <w:sz w:val="24"/>
          <w:szCs w:val="24"/>
          <w:lang w:val="en-US"/>
        </w:rPr>
      </w:pPr>
      <w:proofErr w:type="spellStart"/>
      <w:r w:rsidRPr="00C311A4">
        <w:rPr>
          <w:sz w:val="24"/>
          <w:szCs w:val="24"/>
          <w:lang w:val="en-US"/>
        </w:rPr>
        <w:t>Nagilma</w:t>
      </w:r>
      <w:proofErr w:type="spellEnd"/>
      <w:r w:rsidR="004A1F86" w:rsidRPr="00C311A4">
        <w:rPr>
          <w:sz w:val="24"/>
          <w:szCs w:val="24"/>
          <w:lang w:val="en-US"/>
        </w:rPr>
        <w:t xml:space="preserve"> should be taken twice daily with meals to reduce the gastrointestinal adverse reactions associated with metformin.</w:t>
      </w:r>
    </w:p>
    <w:p w14:paraId="38A17EED" w14:textId="77777777" w:rsidR="004A1F86" w:rsidRPr="00C311A4" w:rsidRDefault="004A1F86" w:rsidP="00624EBB">
      <w:pPr>
        <w:ind w:left="851"/>
        <w:rPr>
          <w:sz w:val="24"/>
          <w:szCs w:val="24"/>
          <w:lang w:val="en-US"/>
        </w:rPr>
      </w:pPr>
      <w:r w:rsidRPr="00C311A4">
        <w:rPr>
          <w:sz w:val="24"/>
          <w:szCs w:val="24"/>
          <w:lang w:val="en-US"/>
        </w:rPr>
        <w:t>All patients should continue their diet with an adequate distribution of carbohydrate intake during the day. Overweight patients should continue their energy-restricted diet.</w:t>
      </w:r>
    </w:p>
    <w:p w14:paraId="268F25F6" w14:textId="77777777" w:rsidR="004A1F86" w:rsidRPr="00C311A4" w:rsidRDefault="004A1F86" w:rsidP="00624EBB">
      <w:pPr>
        <w:ind w:left="851"/>
        <w:rPr>
          <w:sz w:val="24"/>
          <w:szCs w:val="24"/>
          <w:lang w:val="en-US"/>
        </w:rPr>
      </w:pPr>
    </w:p>
    <w:p w14:paraId="5CB01C5E" w14:textId="77777777" w:rsidR="004A1F86" w:rsidRPr="00C311A4" w:rsidRDefault="004A1F86" w:rsidP="00624EBB">
      <w:pPr>
        <w:ind w:left="851"/>
        <w:rPr>
          <w:sz w:val="24"/>
          <w:szCs w:val="24"/>
          <w:lang w:val="en-US"/>
        </w:rPr>
      </w:pPr>
      <w:r w:rsidRPr="00C311A4">
        <w:rPr>
          <w:sz w:val="24"/>
          <w:szCs w:val="24"/>
          <w:lang w:val="en-US"/>
        </w:rPr>
        <w:t>If a dose is missed, it should be taken as soon as the patient remembers. However, a double dose should not be taken at the same time. In that case, the missed dose should be skipped.</w:t>
      </w:r>
    </w:p>
    <w:p w14:paraId="1540FB15" w14:textId="45AD141D" w:rsidR="00A73714" w:rsidRDefault="00A73714">
      <w:pPr>
        <w:rPr>
          <w:sz w:val="24"/>
          <w:szCs w:val="24"/>
          <w:lang w:val="en-GB"/>
        </w:rPr>
      </w:pPr>
      <w:r>
        <w:rPr>
          <w:sz w:val="24"/>
          <w:szCs w:val="24"/>
          <w:lang w:val="en-GB"/>
        </w:rPr>
        <w:br w:type="page"/>
      </w:r>
    </w:p>
    <w:p w14:paraId="1BE967C4" w14:textId="77777777" w:rsidR="007C5D2A" w:rsidRPr="00C311A4" w:rsidRDefault="007C5D2A" w:rsidP="00A85D26">
      <w:pPr>
        <w:tabs>
          <w:tab w:val="left" w:pos="851"/>
        </w:tabs>
        <w:ind w:left="851"/>
        <w:rPr>
          <w:sz w:val="24"/>
          <w:szCs w:val="24"/>
          <w:lang w:val="en-GB"/>
        </w:rPr>
      </w:pPr>
    </w:p>
    <w:p w14:paraId="78ED0FF8" w14:textId="77777777" w:rsidR="007C5D2A" w:rsidRPr="00C311A4" w:rsidRDefault="007C5D2A" w:rsidP="007C5D2A">
      <w:pPr>
        <w:tabs>
          <w:tab w:val="left" w:pos="851"/>
        </w:tabs>
        <w:ind w:left="851" w:hanging="851"/>
        <w:rPr>
          <w:b/>
          <w:sz w:val="24"/>
          <w:szCs w:val="24"/>
          <w:lang w:val="en-GB"/>
        </w:rPr>
      </w:pPr>
      <w:r w:rsidRPr="00C311A4">
        <w:rPr>
          <w:b/>
          <w:sz w:val="24"/>
          <w:szCs w:val="24"/>
          <w:lang w:val="en-GB"/>
        </w:rPr>
        <w:t>4.3</w:t>
      </w:r>
      <w:r w:rsidRPr="00C311A4">
        <w:rPr>
          <w:b/>
          <w:sz w:val="24"/>
          <w:szCs w:val="24"/>
          <w:lang w:val="en-GB"/>
        </w:rPr>
        <w:tab/>
        <w:t>Contraindications</w:t>
      </w:r>
    </w:p>
    <w:p w14:paraId="7913E6F7" w14:textId="77777777" w:rsidR="004A1F86" w:rsidRPr="004A7CE1" w:rsidRDefault="004A1F86" w:rsidP="004A7CE1">
      <w:pPr>
        <w:pStyle w:val="Listeafsnit"/>
        <w:numPr>
          <w:ilvl w:val="0"/>
          <w:numId w:val="10"/>
        </w:numPr>
        <w:tabs>
          <w:tab w:val="clear" w:pos="567"/>
        </w:tabs>
        <w:ind w:left="1276" w:hanging="425"/>
        <w:rPr>
          <w:sz w:val="24"/>
          <w:szCs w:val="24"/>
          <w:lang w:val="en-US"/>
        </w:rPr>
      </w:pPr>
      <w:r w:rsidRPr="004A7CE1">
        <w:rPr>
          <w:sz w:val="24"/>
          <w:szCs w:val="24"/>
          <w:lang w:val="en-US"/>
        </w:rPr>
        <w:t>Hypersensitivity to the active substances or to any of the excipients listed in section</w:t>
      </w:r>
      <w:r w:rsidRPr="004A7CE1">
        <w:rPr>
          <w:spacing w:val="-32"/>
          <w:sz w:val="24"/>
          <w:szCs w:val="24"/>
          <w:lang w:val="en-US"/>
        </w:rPr>
        <w:t xml:space="preserve"> </w:t>
      </w:r>
      <w:r w:rsidRPr="004A7CE1">
        <w:rPr>
          <w:sz w:val="24"/>
          <w:szCs w:val="24"/>
          <w:lang w:val="en-US"/>
        </w:rPr>
        <w:t>6.1.</w:t>
      </w:r>
    </w:p>
    <w:p w14:paraId="0B90813A" w14:textId="77777777" w:rsidR="004A1F86" w:rsidRPr="004A7CE1" w:rsidRDefault="004A1F86" w:rsidP="004A7CE1">
      <w:pPr>
        <w:pStyle w:val="Listeafsnit"/>
        <w:numPr>
          <w:ilvl w:val="0"/>
          <w:numId w:val="10"/>
        </w:numPr>
        <w:tabs>
          <w:tab w:val="clear" w:pos="567"/>
        </w:tabs>
        <w:ind w:left="1276" w:hanging="425"/>
        <w:rPr>
          <w:sz w:val="24"/>
          <w:szCs w:val="24"/>
          <w:lang w:val="en-US"/>
        </w:rPr>
      </w:pPr>
      <w:r w:rsidRPr="004A7CE1">
        <w:rPr>
          <w:sz w:val="24"/>
          <w:szCs w:val="24"/>
          <w:lang w:val="en-US"/>
        </w:rPr>
        <w:t>Any type of acute metabolic acidosis (such as lactic acidosis, diabetic</w:t>
      </w:r>
      <w:r w:rsidRPr="004A7CE1">
        <w:rPr>
          <w:spacing w:val="-21"/>
          <w:sz w:val="24"/>
          <w:szCs w:val="24"/>
          <w:lang w:val="en-US"/>
        </w:rPr>
        <w:t xml:space="preserve"> </w:t>
      </w:r>
      <w:r w:rsidRPr="004A7CE1">
        <w:rPr>
          <w:sz w:val="24"/>
          <w:szCs w:val="24"/>
          <w:lang w:val="en-US"/>
        </w:rPr>
        <w:t>ketoacidosis).</w:t>
      </w:r>
    </w:p>
    <w:p w14:paraId="41BA4C56" w14:textId="77777777" w:rsidR="004A1F86" w:rsidRPr="004A7CE1" w:rsidRDefault="004A1F86" w:rsidP="004A7CE1">
      <w:pPr>
        <w:pStyle w:val="Listeafsnit"/>
        <w:numPr>
          <w:ilvl w:val="0"/>
          <w:numId w:val="10"/>
        </w:numPr>
        <w:tabs>
          <w:tab w:val="clear" w:pos="567"/>
        </w:tabs>
        <w:ind w:left="1276" w:hanging="425"/>
        <w:rPr>
          <w:sz w:val="24"/>
          <w:szCs w:val="24"/>
          <w:lang w:val="en-US"/>
        </w:rPr>
      </w:pPr>
      <w:r w:rsidRPr="004A7CE1">
        <w:rPr>
          <w:sz w:val="24"/>
          <w:szCs w:val="24"/>
          <w:lang w:val="en-US"/>
        </w:rPr>
        <w:t>Diabetic</w:t>
      </w:r>
      <w:r w:rsidRPr="004A7CE1">
        <w:rPr>
          <w:spacing w:val="-2"/>
          <w:sz w:val="24"/>
          <w:szCs w:val="24"/>
          <w:lang w:val="en-US"/>
        </w:rPr>
        <w:t xml:space="preserve"> </w:t>
      </w:r>
      <w:r w:rsidRPr="004A7CE1">
        <w:rPr>
          <w:sz w:val="24"/>
          <w:szCs w:val="24"/>
          <w:lang w:val="en-US"/>
        </w:rPr>
        <w:t>pre-coma.</w:t>
      </w:r>
    </w:p>
    <w:p w14:paraId="230F56E9" w14:textId="77777777" w:rsidR="004A1F86" w:rsidRPr="004A7CE1" w:rsidRDefault="004A1F86" w:rsidP="004A7CE1">
      <w:pPr>
        <w:pStyle w:val="Listeafsnit"/>
        <w:numPr>
          <w:ilvl w:val="0"/>
          <w:numId w:val="10"/>
        </w:numPr>
        <w:tabs>
          <w:tab w:val="clear" w:pos="567"/>
        </w:tabs>
        <w:ind w:left="1276" w:hanging="425"/>
        <w:rPr>
          <w:sz w:val="24"/>
          <w:szCs w:val="24"/>
          <w:lang w:val="en-US"/>
        </w:rPr>
      </w:pPr>
      <w:r w:rsidRPr="004A7CE1">
        <w:rPr>
          <w:sz w:val="24"/>
          <w:szCs w:val="24"/>
          <w:lang w:val="en-US"/>
        </w:rPr>
        <w:t>Severe renal failure (GFR &lt; 30</w:t>
      </w:r>
      <w:r w:rsidRPr="004A7CE1">
        <w:rPr>
          <w:spacing w:val="-7"/>
          <w:sz w:val="24"/>
          <w:szCs w:val="24"/>
          <w:lang w:val="en-US"/>
        </w:rPr>
        <w:t xml:space="preserve"> </w:t>
      </w:r>
      <w:r w:rsidRPr="004A7CE1">
        <w:rPr>
          <w:sz w:val="24"/>
          <w:szCs w:val="24"/>
          <w:lang w:val="en-US"/>
        </w:rPr>
        <w:t>mL/min).</w:t>
      </w:r>
    </w:p>
    <w:p w14:paraId="1E85F00E" w14:textId="77777777" w:rsidR="004A1F86" w:rsidRPr="004A7CE1" w:rsidRDefault="004A1F86" w:rsidP="004A7CE1">
      <w:pPr>
        <w:pStyle w:val="Listeafsnit"/>
        <w:numPr>
          <w:ilvl w:val="0"/>
          <w:numId w:val="10"/>
        </w:numPr>
        <w:tabs>
          <w:tab w:val="clear" w:pos="567"/>
        </w:tabs>
        <w:ind w:left="1276" w:hanging="425"/>
        <w:rPr>
          <w:sz w:val="24"/>
          <w:szCs w:val="24"/>
          <w:lang w:val="en-US"/>
        </w:rPr>
      </w:pPr>
      <w:r w:rsidRPr="004A7CE1">
        <w:rPr>
          <w:sz w:val="24"/>
          <w:szCs w:val="24"/>
          <w:lang w:val="en-US"/>
        </w:rPr>
        <w:t>Acute conditions with the potential to alter renal function such as: dehydration, severe infection, shock.</w:t>
      </w:r>
    </w:p>
    <w:p w14:paraId="13570089" w14:textId="77777777" w:rsidR="004A1F86" w:rsidRPr="004A7CE1" w:rsidRDefault="004A1F86" w:rsidP="004A7CE1">
      <w:pPr>
        <w:pStyle w:val="Listeafsnit"/>
        <w:numPr>
          <w:ilvl w:val="0"/>
          <w:numId w:val="10"/>
        </w:numPr>
        <w:tabs>
          <w:tab w:val="clear" w:pos="567"/>
        </w:tabs>
        <w:ind w:left="1276" w:hanging="425"/>
        <w:rPr>
          <w:sz w:val="24"/>
          <w:szCs w:val="24"/>
          <w:lang w:val="en-US"/>
        </w:rPr>
      </w:pPr>
      <w:r w:rsidRPr="004A7CE1">
        <w:rPr>
          <w:sz w:val="24"/>
          <w:szCs w:val="24"/>
          <w:lang w:val="en-US"/>
        </w:rPr>
        <w:t>Disease which may cause tissue hypoxia (especially acute disease, or worsening of chronic disease) such as: decompensated heart failure, respiratory failure, recent myocardial infarction, shock.</w:t>
      </w:r>
    </w:p>
    <w:p w14:paraId="0BBC4B22" w14:textId="77777777" w:rsidR="004A1F86" w:rsidRPr="004A7CE1" w:rsidRDefault="004A1F86" w:rsidP="004A7CE1">
      <w:pPr>
        <w:pStyle w:val="Listeafsnit"/>
        <w:numPr>
          <w:ilvl w:val="0"/>
          <w:numId w:val="10"/>
        </w:numPr>
        <w:tabs>
          <w:tab w:val="clear" w:pos="567"/>
        </w:tabs>
        <w:ind w:left="1276" w:hanging="425"/>
        <w:rPr>
          <w:sz w:val="24"/>
          <w:szCs w:val="24"/>
          <w:lang w:val="en-US"/>
        </w:rPr>
      </w:pPr>
      <w:r w:rsidRPr="004A7CE1">
        <w:rPr>
          <w:sz w:val="24"/>
          <w:szCs w:val="24"/>
          <w:lang w:val="en-US"/>
        </w:rPr>
        <w:t>Hepatic impairment, acute alcohol intoxication, alcoholism (see section</w:t>
      </w:r>
      <w:r w:rsidRPr="004A7CE1">
        <w:rPr>
          <w:spacing w:val="-17"/>
          <w:sz w:val="24"/>
          <w:szCs w:val="24"/>
          <w:lang w:val="en-US"/>
        </w:rPr>
        <w:t xml:space="preserve"> </w:t>
      </w:r>
      <w:r w:rsidRPr="004A7CE1">
        <w:rPr>
          <w:sz w:val="24"/>
          <w:szCs w:val="24"/>
          <w:lang w:val="en-US"/>
        </w:rPr>
        <w:t>4.5).</w:t>
      </w:r>
    </w:p>
    <w:p w14:paraId="14F247AC" w14:textId="77777777" w:rsidR="007C5D2A" w:rsidRPr="00C311A4" w:rsidRDefault="007C5D2A" w:rsidP="003E0341">
      <w:pPr>
        <w:tabs>
          <w:tab w:val="left" w:pos="851"/>
        </w:tabs>
        <w:ind w:left="851"/>
        <w:rPr>
          <w:sz w:val="24"/>
          <w:szCs w:val="24"/>
          <w:lang w:val="en-GB"/>
        </w:rPr>
      </w:pPr>
    </w:p>
    <w:p w14:paraId="2DB4414A" w14:textId="77777777" w:rsidR="007C5D2A" w:rsidRPr="00C311A4" w:rsidRDefault="007C5D2A" w:rsidP="007C5D2A">
      <w:pPr>
        <w:tabs>
          <w:tab w:val="left" w:pos="851"/>
        </w:tabs>
        <w:rPr>
          <w:b/>
          <w:sz w:val="24"/>
          <w:szCs w:val="24"/>
          <w:lang w:val="en-GB"/>
        </w:rPr>
      </w:pPr>
      <w:r w:rsidRPr="00C311A4">
        <w:rPr>
          <w:b/>
          <w:sz w:val="24"/>
          <w:szCs w:val="24"/>
          <w:lang w:val="en-GB"/>
        </w:rPr>
        <w:t>4.4</w:t>
      </w:r>
      <w:r w:rsidRPr="00C311A4">
        <w:rPr>
          <w:b/>
          <w:sz w:val="24"/>
          <w:szCs w:val="24"/>
          <w:lang w:val="en-GB"/>
        </w:rPr>
        <w:tab/>
        <w:t>Special warnings and precautions for use</w:t>
      </w:r>
    </w:p>
    <w:p w14:paraId="781AA950" w14:textId="77777777" w:rsidR="004A7CE1" w:rsidRDefault="004A7CE1" w:rsidP="00624EBB">
      <w:pPr>
        <w:ind w:left="851"/>
        <w:rPr>
          <w:sz w:val="24"/>
          <w:szCs w:val="24"/>
          <w:lang w:val="en-GB"/>
        </w:rPr>
      </w:pPr>
    </w:p>
    <w:p w14:paraId="314CF436" w14:textId="5FD7E28A" w:rsidR="004A1F86" w:rsidRPr="004A7CE1" w:rsidRDefault="004A1F86" w:rsidP="00624EBB">
      <w:pPr>
        <w:ind w:left="851"/>
        <w:rPr>
          <w:sz w:val="24"/>
          <w:szCs w:val="24"/>
          <w:u w:val="single"/>
          <w:lang w:val="en-US"/>
        </w:rPr>
      </w:pPr>
      <w:r w:rsidRPr="004A7CE1">
        <w:rPr>
          <w:sz w:val="24"/>
          <w:szCs w:val="24"/>
          <w:u w:val="single"/>
          <w:lang w:val="en-US"/>
        </w:rPr>
        <w:t>General</w:t>
      </w:r>
    </w:p>
    <w:p w14:paraId="70419B00" w14:textId="6B1B577F" w:rsidR="004A1F86" w:rsidRPr="00C311A4" w:rsidRDefault="00C311A4" w:rsidP="00624EBB">
      <w:pPr>
        <w:ind w:left="851"/>
        <w:rPr>
          <w:sz w:val="24"/>
          <w:szCs w:val="24"/>
          <w:lang w:val="en-GB"/>
        </w:rPr>
      </w:pPr>
      <w:proofErr w:type="spellStart"/>
      <w:r w:rsidRPr="00C311A4">
        <w:rPr>
          <w:sz w:val="24"/>
          <w:szCs w:val="24"/>
          <w:lang w:val="en-US"/>
        </w:rPr>
        <w:t>Nagilma</w:t>
      </w:r>
      <w:proofErr w:type="spellEnd"/>
      <w:r w:rsidR="004A1F86" w:rsidRPr="00C311A4">
        <w:rPr>
          <w:sz w:val="24"/>
          <w:szCs w:val="24"/>
          <w:lang w:val="en-US"/>
        </w:rPr>
        <w:t xml:space="preserve"> should not be used in patients with type 1 diabetes.</w:t>
      </w:r>
    </w:p>
    <w:p w14:paraId="1FE4319C" w14:textId="77777777" w:rsidR="004A1F86" w:rsidRPr="00C311A4" w:rsidRDefault="004A1F86" w:rsidP="00624EBB">
      <w:pPr>
        <w:ind w:left="851"/>
        <w:rPr>
          <w:sz w:val="24"/>
          <w:szCs w:val="24"/>
          <w:lang w:val="en-US"/>
        </w:rPr>
      </w:pPr>
    </w:p>
    <w:p w14:paraId="104FE2A6" w14:textId="77777777" w:rsidR="004A1F86" w:rsidRPr="004A7CE1" w:rsidRDefault="004A1F86" w:rsidP="00624EBB">
      <w:pPr>
        <w:ind w:left="851"/>
        <w:rPr>
          <w:sz w:val="24"/>
          <w:szCs w:val="24"/>
          <w:u w:val="single"/>
          <w:lang w:val="en-US"/>
        </w:rPr>
      </w:pPr>
      <w:proofErr w:type="spellStart"/>
      <w:r w:rsidRPr="004A7CE1">
        <w:rPr>
          <w:sz w:val="24"/>
          <w:szCs w:val="24"/>
          <w:u w:val="single"/>
          <w:lang w:val="en-US"/>
        </w:rPr>
        <w:t>Hypoglycaemia</w:t>
      </w:r>
      <w:proofErr w:type="spellEnd"/>
    </w:p>
    <w:p w14:paraId="63B6BDE3" w14:textId="77777777" w:rsidR="004A1F86" w:rsidRPr="00C311A4" w:rsidRDefault="004A1F86" w:rsidP="00624EBB">
      <w:pPr>
        <w:ind w:left="851"/>
        <w:rPr>
          <w:sz w:val="24"/>
          <w:szCs w:val="24"/>
          <w:lang w:val="en-US"/>
        </w:rPr>
      </w:pPr>
      <w:r w:rsidRPr="00C311A4">
        <w:rPr>
          <w:sz w:val="24"/>
          <w:szCs w:val="24"/>
          <w:lang w:val="en-US"/>
        </w:rPr>
        <w:t xml:space="preserve">When linagliptin was added to a </w:t>
      </w:r>
      <w:proofErr w:type="spellStart"/>
      <w:r w:rsidRPr="00C311A4">
        <w:rPr>
          <w:sz w:val="24"/>
          <w:szCs w:val="24"/>
          <w:lang w:val="en-US"/>
        </w:rPr>
        <w:t>sulphonylurea</w:t>
      </w:r>
      <w:proofErr w:type="spellEnd"/>
      <w:r w:rsidRPr="00C311A4">
        <w:rPr>
          <w:sz w:val="24"/>
          <w:szCs w:val="24"/>
          <w:lang w:val="en-US"/>
        </w:rPr>
        <w:t xml:space="preserve"> on a background of metformin, the incidence of </w:t>
      </w:r>
      <w:proofErr w:type="spellStart"/>
      <w:r w:rsidRPr="00C311A4">
        <w:rPr>
          <w:sz w:val="24"/>
          <w:szCs w:val="24"/>
          <w:lang w:val="en-US"/>
        </w:rPr>
        <w:t>hypoglycaemia</w:t>
      </w:r>
      <w:proofErr w:type="spellEnd"/>
      <w:r w:rsidRPr="00C311A4">
        <w:rPr>
          <w:sz w:val="24"/>
          <w:szCs w:val="24"/>
          <w:lang w:val="en-US"/>
        </w:rPr>
        <w:t xml:space="preserve"> was increased over that of placebo.</w:t>
      </w:r>
    </w:p>
    <w:p w14:paraId="749FA785" w14:textId="77777777" w:rsidR="004A1F86" w:rsidRPr="00C311A4" w:rsidRDefault="004A1F86" w:rsidP="00624EBB">
      <w:pPr>
        <w:ind w:left="851"/>
        <w:rPr>
          <w:sz w:val="24"/>
          <w:szCs w:val="24"/>
          <w:lang w:val="en-US"/>
        </w:rPr>
      </w:pPr>
    </w:p>
    <w:p w14:paraId="2BEA9566" w14:textId="671DB83F" w:rsidR="004A1F86" w:rsidRPr="00C311A4" w:rsidRDefault="004A1F86" w:rsidP="00624EBB">
      <w:pPr>
        <w:ind w:left="851"/>
        <w:rPr>
          <w:sz w:val="24"/>
          <w:szCs w:val="24"/>
          <w:lang w:val="en-US"/>
        </w:rPr>
      </w:pPr>
      <w:proofErr w:type="spellStart"/>
      <w:r w:rsidRPr="00C311A4">
        <w:rPr>
          <w:sz w:val="24"/>
          <w:szCs w:val="24"/>
          <w:lang w:val="en-US"/>
        </w:rPr>
        <w:t>Sulphonylureas</w:t>
      </w:r>
      <w:proofErr w:type="spellEnd"/>
      <w:r w:rsidRPr="00C311A4">
        <w:rPr>
          <w:sz w:val="24"/>
          <w:szCs w:val="24"/>
          <w:lang w:val="en-US"/>
        </w:rPr>
        <w:t xml:space="preserve"> and insulin are known to cause </w:t>
      </w:r>
      <w:proofErr w:type="spellStart"/>
      <w:r w:rsidRPr="00C311A4">
        <w:rPr>
          <w:sz w:val="24"/>
          <w:szCs w:val="24"/>
          <w:lang w:val="en-US"/>
        </w:rPr>
        <w:t>hypoglycaemia</w:t>
      </w:r>
      <w:proofErr w:type="spellEnd"/>
      <w:r w:rsidRPr="00C311A4">
        <w:rPr>
          <w:sz w:val="24"/>
          <w:szCs w:val="24"/>
          <w:lang w:val="en-US"/>
        </w:rPr>
        <w:t xml:space="preserve">. Therefore, caution is advised when </w:t>
      </w:r>
      <w:proofErr w:type="spellStart"/>
      <w:r w:rsidR="00C311A4" w:rsidRPr="00C311A4">
        <w:rPr>
          <w:sz w:val="24"/>
          <w:szCs w:val="24"/>
          <w:lang w:val="en-US"/>
        </w:rPr>
        <w:t>Nagilma</w:t>
      </w:r>
      <w:proofErr w:type="spellEnd"/>
      <w:r w:rsidRPr="00C311A4">
        <w:rPr>
          <w:sz w:val="24"/>
          <w:szCs w:val="24"/>
          <w:lang w:val="en-US"/>
        </w:rPr>
        <w:t xml:space="preserve"> is used in combination with a </w:t>
      </w:r>
      <w:proofErr w:type="spellStart"/>
      <w:r w:rsidRPr="00C311A4">
        <w:rPr>
          <w:sz w:val="24"/>
          <w:szCs w:val="24"/>
          <w:lang w:val="en-US"/>
        </w:rPr>
        <w:t>sulphonylurea</w:t>
      </w:r>
      <w:proofErr w:type="spellEnd"/>
      <w:r w:rsidRPr="00C311A4">
        <w:rPr>
          <w:sz w:val="24"/>
          <w:szCs w:val="24"/>
          <w:lang w:val="en-US"/>
        </w:rPr>
        <w:t xml:space="preserve"> and/or insulin. A dose reduction of the </w:t>
      </w:r>
      <w:proofErr w:type="spellStart"/>
      <w:r w:rsidRPr="00C311A4">
        <w:rPr>
          <w:sz w:val="24"/>
          <w:szCs w:val="24"/>
          <w:lang w:val="en-US"/>
        </w:rPr>
        <w:t>sulphonylurea</w:t>
      </w:r>
      <w:proofErr w:type="spellEnd"/>
      <w:r w:rsidRPr="00C311A4">
        <w:rPr>
          <w:sz w:val="24"/>
          <w:szCs w:val="24"/>
          <w:lang w:val="en-US"/>
        </w:rPr>
        <w:t xml:space="preserve"> or insulin may be considered (see section 4.2).</w:t>
      </w:r>
    </w:p>
    <w:p w14:paraId="61723C19" w14:textId="77777777" w:rsidR="004A1F86" w:rsidRPr="00C311A4" w:rsidRDefault="004A1F86" w:rsidP="00624EBB">
      <w:pPr>
        <w:ind w:left="851"/>
        <w:rPr>
          <w:sz w:val="24"/>
          <w:szCs w:val="24"/>
          <w:lang w:val="en-US"/>
        </w:rPr>
      </w:pPr>
    </w:p>
    <w:p w14:paraId="7678874F" w14:textId="77777777" w:rsidR="004A1F86" w:rsidRPr="00C311A4" w:rsidRDefault="004A1F86" w:rsidP="00624EBB">
      <w:pPr>
        <w:ind w:left="851"/>
        <w:rPr>
          <w:sz w:val="24"/>
          <w:szCs w:val="24"/>
          <w:lang w:val="en-US"/>
        </w:rPr>
      </w:pPr>
      <w:proofErr w:type="spellStart"/>
      <w:r w:rsidRPr="00C311A4">
        <w:rPr>
          <w:sz w:val="24"/>
          <w:szCs w:val="24"/>
          <w:lang w:val="en-US"/>
        </w:rPr>
        <w:t>Hypoglycaemia</w:t>
      </w:r>
      <w:proofErr w:type="spellEnd"/>
      <w:r w:rsidRPr="00C311A4">
        <w:rPr>
          <w:sz w:val="24"/>
          <w:szCs w:val="24"/>
          <w:lang w:val="en-US"/>
        </w:rPr>
        <w:t xml:space="preserve"> is not identified as adverse reaction for linagliptin, metformin, or linagliptin plus metformin. In clinical trials, the incidence rates of hypoglycemia were comparably low in patients taking linagliptin in combination with metformin or metformin alone.</w:t>
      </w:r>
    </w:p>
    <w:p w14:paraId="08EBE80D" w14:textId="77777777" w:rsidR="004A1F86" w:rsidRPr="00C311A4" w:rsidRDefault="004A1F86" w:rsidP="00624EBB">
      <w:pPr>
        <w:ind w:left="851"/>
        <w:rPr>
          <w:sz w:val="24"/>
          <w:szCs w:val="24"/>
          <w:lang w:val="en-US"/>
        </w:rPr>
      </w:pPr>
    </w:p>
    <w:p w14:paraId="5D31E20F" w14:textId="77777777" w:rsidR="004A1F86" w:rsidRPr="004A7CE1" w:rsidRDefault="004A1F86" w:rsidP="00624EBB">
      <w:pPr>
        <w:ind w:left="851"/>
        <w:rPr>
          <w:sz w:val="24"/>
          <w:szCs w:val="24"/>
          <w:u w:val="single"/>
          <w:lang w:val="en-US"/>
        </w:rPr>
      </w:pPr>
      <w:r w:rsidRPr="004A7CE1">
        <w:rPr>
          <w:sz w:val="24"/>
          <w:szCs w:val="24"/>
          <w:u w:val="single"/>
          <w:lang w:val="en-US"/>
        </w:rPr>
        <w:t>Lactic acidosis</w:t>
      </w:r>
    </w:p>
    <w:p w14:paraId="5DBA4126" w14:textId="77777777" w:rsidR="004A1F86" w:rsidRPr="00C311A4" w:rsidRDefault="004A1F86" w:rsidP="00624EBB">
      <w:pPr>
        <w:ind w:left="851"/>
        <w:rPr>
          <w:sz w:val="24"/>
          <w:szCs w:val="24"/>
          <w:lang w:val="en-US"/>
        </w:rPr>
      </w:pPr>
      <w:r w:rsidRPr="00C311A4">
        <w:rPr>
          <w:sz w:val="24"/>
          <w:szCs w:val="24"/>
          <w:lang w:val="en-US"/>
        </w:rPr>
        <w:t>Lactic acidosis, a very rare but serious metabolic complication, most often occurs at acute worsening of renal function or cardiorespiratory illness or sepsis. Metformin accumulation occurs at acute worsening of renal function and increases the risk of lactic acidosis.</w:t>
      </w:r>
    </w:p>
    <w:p w14:paraId="4D6237A1" w14:textId="77777777" w:rsidR="004A1F86" w:rsidRPr="00C311A4" w:rsidRDefault="004A1F86" w:rsidP="00624EBB">
      <w:pPr>
        <w:ind w:left="851"/>
        <w:rPr>
          <w:sz w:val="24"/>
          <w:szCs w:val="24"/>
          <w:lang w:val="en-US"/>
        </w:rPr>
      </w:pPr>
    </w:p>
    <w:p w14:paraId="4BFCF9BF" w14:textId="77777777" w:rsidR="004A1F86" w:rsidRPr="00C311A4" w:rsidRDefault="004A1F86" w:rsidP="00624EBB">
      <w:pPr>
        <w:ind w:left="851"/>
        <w:rPr>
          <w:sz w:val="24"/>
          <w:szCs w:val="24"/>
          <w:lang w:val="en-US"/>
        </w:rPr>
      </w:pPr>
      <w:r w:rsidRPr="00C311A4">
        <w:rPr>
          <w:sz w:val="24"/>
          <w:szCs w:val="24"/>
          <w:lang w:val="en-US"/>
        </w:rPr>
        <w:t xml:space="preserve">In case of dehydration (severe </w:t>
      </w:r>
      <w:proofErr w:type="spellStart"/>
      <w:r w:rsidRPr="00C311A4">
        <w:rPr>
          <w:sz w:val="24"/>
          <w:szCs w:val="24"/>
          <w:lang w:val="en-US"/>
        </w:rPr>
        <w:t>diarrhoea</w:t>
      </w:r>
      <w:proofErr w:type="spellEnd"/>
      <w:r w:rsidRPr="00C311A4">
        <w:rPr>
          <w:sz w:val="24"/>
          <w:szCs w:val="24"/>
          <w:lang w:val="en-US"/>
        </w:rPr>
        <w:t xml:space="preserve"> or vomiting, fever or reduced fluid intake), metformin should be temporarily discontinued and contact with a health care professional is recommended.</w:t>
      </w:r>
    </w:p>
    <w:p w14:paraId="4306018F" w14:textId="77777777" w:rsidR="004A1F86" w:rsidRPr="00C311A4" w:rsidRDefault="004A1F86" w:rsidP="00624EBB">
      <w:pPr>
        <w:ind w:left="851"/>
        <w:rPr>
          <w:sz w:val="24"/>
          <w:szCs w:val="24"/>
          <w:lang w:val="en-US"/>
        </w:rPr>
      </w:pPr>
    </w:p>
    <w:p w14:paraId="58769760" w14:textId="77777777" w:rsidR="004A1F86" w:rsidRPr="00C311A4" w:rsidRDefault="004A1F86" w:rsidP="00624EBB">
      <w:pPr>
        <w:ind w:left="851"/>
        <w:rPr>
          <w:sz w:val="24"/>
          <w:szCs w:val="24"/>
          <w:lang w:val="en-US"/>
        </w:rPr>
      </w:pPr>
      <w:r w:rsidRPr="00C311A4">
        <w:rPr>
          <w:sz w:val="24"/>
          <w:szCs w:val="24"/>
          <w:lang w:val="en-US"/>
        </w:rPr>
        <w:t>Medicinal products that can acutely impair renal function (such as antihypertensives, diuretics and NSAIDs) should be initiated with caution in metformin-treated patients. Other risk factors for lactic acidosis are excessive alcohol intake, hepatic impairment, inadequately controlled diabetes, ketosis, prolonged fasting and any conditions associated with hypoxia, as well as concomitant use of medicinal products that may cause lactic acidosis (see sections 4.3 and 4.5).</w:t>
      </w:r>
    </w:p>
    <w:p w14:paraId="589A2234" w14:textId="77777777" w:rsidR="004A1F86" w:rsidRPr="00C311A4" w:rsidRDefault="004A1F86" w:rsidP="00624EBB">
      <w:pPr>
        <w:ind w:left="851"/>
        <w:rPr>
          <w:sz w:val="24"/>
          <w:szCs w:val="24"/>
          <w:lang w:val="en-US"/>
        </w:rPr>
      </w:pPr>
    </w:p>
    <w:p w14:paraId="2C1F070C" w14:textId="77777777" w:rsidR="004A1F86" w:rsidRPr="00C311A4" w:rsidRDefault="004A1F86" w:rsidP="00624EBB">
      <w:pPr>
        <w:ind w:left="851"/>
        <w:rPr>
          <w:sz w:val="24"/>
          <w:szCs w:val="24"/>
          <w:lang w:val="en-US"/>
        </w:rPr>
      </w:pPr>
      <w:r w:rsidRPr="00C311A4">
        <w:rPr>
          <w:sz w:val="24"/>
          <w:szCs w:val="24"/>
          <w:lang w:val="en-US"/>
        </w:rPr>
        <w:t xml:space="preserve">Patients and/or care-givers should be informed of the risk of lactic acidosis. Lactic acidosis is </w:t>
      </w:r>
      <w:proofErr w:type="spellStart"/>
      <w:r w:rsidRPr="00C311A4">
        <w:rPr>
          <w:sz w:val="24"/>
          <w:szCs w:val="24"/>
          <w:lang w:val="en-US"/>
        </w:rPr>
        <w:t>characterised</w:t>
      </w:r>
      <w:proofErr w:type="spellEnd"/>
      <w:r w:rsidRPr="00C311A4">
        <w:rPr>
          <w:sz w:val="24"/>
          <w:szCs w:val="24"/>
          <w:lang w:val="en-US"/>
        </w:rPr>
        <w:t xml:space="preserve"> by acidotic dyspnea, abdominal pain, muscle cramps, asthenia and hypothermia followed by coma. In case of suspected symptoms, the patient should stop </w:t>
      </w:r>
      <w:r w:rsidRPr="00C311A4">
        <w:rPr>
          <w:sz w:val="24"/>
          <w:szCs w:val="24"/>
          <w:lang w:val="en-US"/>
        </w:rPr>
        <w:lastRenderedPageBreak/>
        <w:t>taking metformin and seek immediate medical attention. Diagnostic laboratory findings are decreased blood pH (&lt; 7.35), increased plasma lactate levels (&gt; 5 mmol/L) and an increased anion gap and lactate/pyruvate ratio.</w:t>
      </w:r>
    </w:p>
    <w:p w14:paraId="3D5E2F40" w14:textId="77777777" w:rsidR="004A1F86" w:rsidRPr="00C311A4" w:rsidRDefault="004A1F86" w:rsidP="00624EBB">
      <w:pPr>
        <w:ind w:left="851"/>
        <w:rPr>
          <w:sz w:val="24"/>
          <w:szCs w:val="24"/>
          <w:lang w:val="en-US"/>
        </w:rPr>
      </w:pPr>
    </w:p>
    <w:p w14:paraId="6147868F" w14:textId="77777777" w:rsidR="004A1F86" w:rsidRPr="004A7CE1" w:rsidRDefault="004A1F86" w:rsidP="00624EBB">
      <w:pPr>
        <w:ind w:left="851"/>
        <w:rPr>
          <w:sz w:val="24"/>
          <w:szCs w:val="24"/>
          <w:u w:val="single"/>
          <w:lang w:val="en-US"/>
        </w:rPr>
      </w:pPr>
      <w:r w:rsidRPr="004A7CE1">
        <w:rPr>
          <w:sz w:val="24"/>
          <w:szCs w:val="24"/>
          <w:u w:val="single"/>
          <w:lang w:val="en-US"/>
        </w:rPr>
        <w:t>Administration of iodinated contrast agent</w:t>
      </w:r>
    </w:p>
    <w:p w14:paraId="100213C3" w14:textId="77777777" w:rsidR="004A1F86" w:rsidRPr="00C311A4" w:rsidRDefault="004A1F86" w:rsidP="00624EBB">
      <w:pPr>
        <w:ind w:left="851"/>
        <w:rPr>
          <w:sz w:val="24"/>
          <w:szCs w:val="24"/>
          <w:lang w:val="en-US"/>
        </w:rPr>
      </w:pPr>
      <w:r w:rsidRPr="00C311A4">
        <w:rPr>
          <w:sz w:val="24"/>
          <w:szCs w:val="24"/>
          <w:lang w:val="en-US"/>
        </w:rPr>
        <w:t>Intravascular administration of iodinated contrast agents may lead to contrast induced nephropathy, resulting in metformin accumulation and an increased risk of lactic acidosis. Metformin should be discontinued prior to or at the time of the imaging procedure and not restarted until at least 48 hours after, provided that renal function has been re-evaluated and found to be stable, see sections 4.2 and 4.5.</w:t>
      </w:r>
    </w:p>
    <w:p w14:paraId="3ABCE453" w14:textId="77777777" w:rsidR="004A1F86" w:rsidRPr="00C311A4" w:rsidRDefault="004A1F86" w:rsidP="00624EBB">
      <w:pPr>
        <w:ind w:left="851"/>
        <w:rPr>
          <w:sz w:val="24"/>
          <w:szCs w:val="24"/>
          <w:lang w:val="en-US"/>
        </w:rPr>
      </w:pPr>
    </w:p>
    <w:p w14:paraId="7B901EBD" w14:textId="77777777" w:rsidR="004A1F86" w:rsidRPr="004A7CE1" w:rsidRDefault="004A1F86" w:rsidP="00624EBB">
      <w:pPr>
        <w:ind w:left="851"/>
        <w:rPr>
          <w:sz w:val="24"/>
          <w:szCs w:val="24"/>
          <w:u w:val="single"/>
          <w:lang w:val="en-US"/>
        </w:rPr>
      </w:pPr>
      <w:r w:rsidRPr="004A7CE1">
        <w:rPr>
          <w:sz w:val="24"/>
          <w:szCs w:val="24"/>
          <w:u w:val="single"/>
          <w:lang w:val="en-US"/>
        </w:rPr>
        <w:t>Renal function</w:t>
      </w:r>
    </w:p>
    <w:p w14:paraId="62F829A6" w14:textId="77777777" w:rsidR="004A1F86" w:rsidRPr="00C311A4" w:rsidRDefault="004A1F86" w:rsidP="00624EBB">
      <w:pPr>
        <w:ind w:left="851"/>
        <w:rPr>
          <w:sz w:val="24"/>
          <w:szCs w:val="24"/>
          <w:lang w:val="en-US"/>
        </w:rPr>
      </w:pPr>
      <w:r w:rsidRPr="00C311A4">
        <w:rPr>
          <w:sz w:val="24"/>
          <w:szCs w:val="24"/>
          <w:lang w:val="en-US"/>
        </w:rPr>
        <w:t>GFR should be assessed before treatment initiation and regularly thereafter, see section 4.2. Metformin is contraindicated in patients with GFR&lt; 30 mL/min and should be temporarily discontinued in the presence of conditions that alter renal function, see section 4.3).</w:t>
      </w:r>
    </w:p>
    <w:p w14:paraId="6562C235" w14:textId="77777777" w:rsidR="004A1F86" w:rsidRPr="00C311A4" w:rsidRDefault="004A1F86" w:rsidP="00624EBB">
      <w:pPr>
        <w:ind w:left="851"/>
        <w:rPr>
          <w:sz w:val="24"/>
          <w:szCs w:val="24"/>
          <w:lang w:val="en-US"/>
        </w:rPr>
      </w:pPr>
    </w:p>
    <w:p w14:paraId="18C16397" w14:textId="77777777" w:rsidR="004A1F86" w:rsidRPr="004A7CE1" w:rsidRDefault="004A1F86" w:rsidP="00624EBB">
      <w:pPr>
        <w:ind w:left="851"/>
        <w:rPr>
          <w:sz w:val="24"/>
          <w:szCs w:val="24"/>
          <w:u w:val="single"/>
          <w:lang w:val="en-US"/>
        </w:rPr>
      </w:pPr>
      <w:r w:rsidRPr="004A7CE1">
        <w:rPr>
          <w:sz w:val="24"/>
          <w:szCs w:val="24"/>
          <w:u w:val="single"/>
          <w:lang w:val="en-US"/>
        </w:rPr>
        <w:t>Cardiac function</w:t>
      </w:r>
    </w:p>
    <w:p w14:paraId="4E1666C1" w14:textId="74EBDC70" w:rsidR="004A1F86" w:rsidRPr="00C311A4" w:rsidRDefault="004A1F86" w:rsidP="00624EBB">
      <w:pPr>
        <w:ind w:left="851"/>
        <w:rPr>
          <w:sz w:val="24"/>
          <w:szCs w:val="24"/>
          <w:lang w:val="en-US"/>
        </w:rPr>
      </w:pPr>
      <w:r w:rsidRPr="00C311A4">
        <w:rPr>
          <w:sz w:val="24"/>
          <w:szCs w:val="24"/>
          <w:lang w:val="en-US"/>
        </w:rPr>
        <w:t xml:space="preserve">Patients with heart failure are more at risk of hypoxia and renal impairment. In patients with stable chronic heart failure, </w:t>
      </w:r>
      <w:proofErr w:type="spellStart"/>
      <w:r w:rsidR="00C311A4" w:rsidRPr="00C311A4">
        <w:rPr>
          <w:sz w:val="24"/>
          <w:szCs w:val="24"/>
          <w:lang w:val="en-US"/>
        </w:rPr>
        <w:t>Nagilma</w:t>
      </w:r>
      <w:proofErr w:type="spellEnd"/>
      <w:r w:rsidRPr="00C311A4">
        <w:rPr>
          <w:sz w:val="24"/>
          <w:szCs w:val="24"/>
          <w:lang w:val="en-US"/>
        </w:rPr>
        <w:t xml:space="preserve"> may be used with a regular monitoring of cardiac and renal function. For patients with acute and unstable heart failure, </w:t>
      </w:r>
      <w:proofErr w:type="spellStart"/>
      <w:r w:rsidR="00C311A4" w:rsidRPr="00C311A4">
        <w:rPr>
          <w:sz w:val="24"/>
          <w:szCs w:val="24"/>
          <w:lang w:val="en-US"/>
        </w:rPr>
        <w:t>Nagilma</w:t>
      </w:r>
      <w:proofErr w:type="spellEnd"/>
      <w:r w:rsidRPr="00C311A4">
        <w:rPr>
          <w:sz w:val="24"/>
          <w:szCs w:val="24"/>
          <w:lang w:val="en-US"/>
        </w:rPr>
        <w:t xml:space="preserve"> is contraindicated (see section 4.3).</w:t>
      </w:r>
    </w:p>
    <w:p w14:paraId="4C70DE38" w14:textId="77777777" w:rsidR="004A1F86" w:rsidRPr="00C311A4" w:rsidRDefault="004A1F86" w:rsidP="00624EBB">
      <w:pPr>
        <w:ind w:left="851"/>
        <w:rPr>
          <w:sz w:val="24"/>
          <w:szCs w:val="24"/>
          <w:lang w:val="en-US"/>
        </w:rPr>
      </w:pPr>
    </w:p>
    <w:p w14:paraId="2109D799" w14:textId="77777777" w:rsidR="004A1F86" w:rsidRPr="004A7CE1" w:rsidRDefault="004A1F86" w:rsidP="00624EBB">
      <w:pPr>
        <w:ind w:left="851"/>
        <w:rPr>
          <w:sz w:val="24"/>
          <w:szCs w:val="24"/>
          <w:u w:val="single"/>
          <w:lang w:val="en-US"/>
        </w:rPr>
      </w:pPr>
      <w:r w:rsidRPr="004A7CE1">
        <w:rPr>
          <w:sz w:val="24"/>
          <w:szCs w:val="24"/>
          <w:u w:val="single"/>
          <w:lang w:val="en-US"/>
        </w:rPr>
        <w:t>Surgery</w:t>
      </w:r>
    </w:p>
    <w:p w14:paraId="11A0C67A" w14:textId="77777777" w:rsidR="004A1F86" w:rsidRPr="00C311A4" w:rsidRDefault="004A1F86" w:rsidP="00624EBB">
      <w:pPr>
        <w:ind w:left="851"/>
        <w:rPr>
          <w:sz w:val="24"/>
          <w:szCs w:val="24"/>
          <w:lang w:val="en-US"/>
        </w:rPr>
      </w:pPr>
      <w:r w:rsidRPr="00C311A4">
        <w:rPr>
          <w:sz w:val="24"/>
          <w:szCs w:val="24"/>
          <w:lang w:val="en-US"/>
        </w:rPr>
        <w:t>Metformin must be discontinued at the time of surgery under general, spinal or epidural anesthesia. Therapy may be restarted no earlier than 48 hours following surgery or resumption of oral nutrition and provided that renal function has been re-evaluated and found to be stable.</w:t>
      </w:r>
    </w:p>
    <w:p w14:paraId="5FEAEB25" w14:textId="77777777" w:rsidR="004A1F86" w:rsidRPr="00C311A4" w:rsidRDefault="004A1F86" w:rsidP="00624EBB">
      <w:pPr>
        <w:ind w:left="851"/>
        <w:rPr>
          <w:sz w:val="24"/>
          <w:szCs w:val="24"/>
          <w:lang w:val="en-US"/>
        </w:rPr>
      </w:pPr>
    </w:p>
    <w:p w14:paraId="524BC674" w14:textId="77777777" w:rsidR="004A1F86" w:rsidRPr="004A7CE1" w:rsidRDefault="004A1F86" w:rsidP="00624EBB">
      <w:pPr>
        <w:ind w:left="851"/>
        <w:rPr>
          <w:sz w:val="24"/>
          <w:szCs w:val="24"/>
          <w:u w:val="single"/>
          <w:lang w:val="en-US"/>
        </w:rPr>
      </w:pPr>
      <w:r w:rsidRPr="004A7CE1">
        <w:rPr>
          <w:sz w:val="24"/>
          <w:szCs w:val="24"/>
          <w:u w:val="single"/>
          <w:lang w:val="en-US"/>
        </w:rPr>
        <w:t>Elderly</w:t>
      </w:r>
    </w:p>
    <w:p w14:paraId="40092C14" w14:textId="77777777" w:rsidR="004A1F86" w:rsidRPr="00C311A4" w:rsidRDefault="004A1F86" w:rsidP="00624EBB">
      <w:pPr>
        <w:ind w:left="851"/>
        <w:rPr>
          <w:sz w:val="24"/>
          <w:szCs w:val="24"/>
          <w:lang w:val="en-US"/>
        </w:rPr>
      </w:pPr>
      <w:r w:rsidRPr="00C311A4">
        <w:rPr>
          <w:sz w:val="24"/>
          <w:szCs w:val="24"/>
          <w:lang w:val="en-US"/>
        </w:rPr>
        <w:t>Caution should be exercised when treating patients 80 years and older (see section 4.2).</w:t>
      </w:r>
    </w:p>
    <w:p w14:paraId="3AECD03C" w14:textId="77777777" w:rsidR="004A1F86" w:rsidRPr="00C311A4" w:rsidRDefault="004A1F86" w:rsidP="00624EBB">
      <w:pPr>
        <w:ind w:left="851"/>
        <w:rPr>
          <w:sz w:val="24"/>
          <w:szCs w:val="24"/>
          <w:lang w:val="en-US"/>
        </w:rPr>
      </w:pPr>
    </w:p>
    <w:p w14:paraId="29FD66E3" w14:textId="77777777" w:rsidR="004A1F86" w:rsidRPr="004A7CE1" w:rsidRDefault="004A1F86" w:rsidP="00624EBB">
      <w:pPr>
        <w:ind w:left="851"/>
        <w:rPr>
          <w:sz w:val="24"/>
          <w:szCs w:val="24"/>
          <w:u w:val="single"/>
          <w:lang w:val="en-US"/>
        </w:rPr>
      </w:pPr>
      <w:r w:rsidRPr="004A7CE1">
        <w:rPr>
          <w:sz w:val="24"/>
          <w:szCs w:val="24"/>
          <w:u w:val="single"/>
          <w:lang w:val="en-US"/>
        </w:rPr>
        <w:t>Change in clinical status of patients with previously controlled type 2 diabetes</w:t>
      </w:r>
    </w:p>
    <w:p w14:paraId="7960EB2D" w14:textId="299CB2C9" w:rsidR="004A1F86" w:rsidRPr="00C311A4" w:rsidRDefault="004A1F86" w:rsidP="00624EBB">
      <w:pPr>
        <w:ind w:left="851"/>
        <w:rPr>
          <w:sz w:val="24"/>
          <w:szCs w:val="24"/>
          <w:lang w:val="en-US"/>
        </w:rPr>
      </w:pPr>
      <w:r w:rsidRPr="00C311A4">
        <w:rPr>
          <w:sz w:val="24"/>
          <w:szCs w:val="24"/>
          <w:lang w:val="en-US"/>
        </w:rPr>
        <w:t xml:space="preserve">As </w:t>
      </w:r>
      <w:proofErr w:type="spellStart"/>
      <w:r w:rsidR="00C311A4" w:rsidRPr="00C311A4">
        <w:rPr>
          <w:sz w:val="24"/>
          <w:szCs w:val="24"/>
          <w:lang w:val="en-US"/>
        </w:rPr>
        <w:t>Nagilma</w:t>
      </w:r>
      <w:proofErr w:type="spellEnd"/>
      <w:r w:rsidRPr="00C311A4">
        <w:rPr>
          <w:sz w:val="24"/>
          <w:szCs w:val="24"/>
          <w:lang w:val="en-US"/>
        </w:rPr>
        <w:t xml:space="preserve"> contains metformin, a patient with previously well controlled type 2 diabetes on </w:t>
      </w:r>
      <w:proofErr w:type="spellStart"/>
      <w:r w:rsidR="00C311A4" w:rsidRPr="00C311A4">
        <w:rPr>
          <w:sz w:val="24"/>
          <w:szCs w:val="24"/>
          <w:lang w:val="en-US"/>
        </w:rPr>
        <w:t>Nagilma</w:t>
      </w:r>
      <w:proofErr w:type="spellEnd"/>
      <w:r w:rsidRPr="00C311A4">
        <w:rPr>
          <w:sz w:val="24"/>
          <w:szCs w:val="24"/>
          <w:lang w:val="en-US"/>
        </w:rPr>
        <w:t xml:space="preserve"> who develops laboratory abnormalities or clinical illness (especially vague and poorly defined illness) should be evaluated promptly for evidence of ketoacidosis or lactic acidosis.</w:t>
      </w:r>
    </w:p>
    <w:p w14:paraId="162B1FF3" w14:textId="01F7DB86" w:rsidR="004A1F86" w:rsidRPr="00C311A4" w:rsidRDefault="004A1F86" w:rsidP="00624EBB">
      <w:pPr>
        <w:ind w:left="851"/>
        <w:rPr>
          <w:sz w:val="24"/>
          <w:szCs w:val="24"/>
          <w:lang w:val="en-US"/>
        </w:rPr>
      </w:pPr>
      <w:r w:rsidRPr="00C311A4">
        <w:rPr>
          <w:sz w:val="24"/>
          <w:szCs w:val="24"/>
          <w:lang w:val="en-US"/>
        </w:rPr>
        <w:t xml:space="preserve">Evaluation should include serum electrolytes and ketones, blood glucose and, if indicated, blood pH, lactate, pyruvate, and metformin levels. If acidosis of either form occurs, </w:t>
      </w:r>
      <w:proofErr w:type="spellStart"/>
      <w:r w:rsidR="00C311A4" w:rsidRPr="00C311A4">
        <w:rPr>
          <w:sz w:val="24"/>
          <w:szCs w:val="24"/>
          <w:lang w:val="en-US"/>
        </w:rPr>
        <w:t>Nagilma</w:t>
      </w:r>
      <w:proofErr w:type="spellEnd"/>
      <w:r w:rsidRPr="00C311A4">
        <w:rPr>
          <w:sz w:val="24"/>
          <w:szCs w:val="24"/>
          <w:lang w:val="en-US"/>
        </w:rPr>
        <w:t xml:space="preserve"> must be stopped immediately and other appropriate corrective measures initiated.</w:t>
      </w:r>
    </w:p>
    <w:p w14:paraId="0F7577D6" w14:textId="77777777" w:rsidR="004A1F86" w:rsidRPr="00C311A4" w:rsidRDefault="004A1F86" w:rsidP="00624EBB">
      <w:pPr>
        <w:ind w:left="851"/>
        <w:rPr>
          <w:sz w:val="24"/>
          <w:szCs w:val="24"/>
          <w:lang w:val="en-US"/>
        </w:rPr>
      </w:pPr>
    </w:p>
    <w:p w14:paraId="2882F5F4" w14:textId="77777777" w:rsidR="004A1F86" w:rsidRPr="004A7CE1" w:rsidRDefault="004A1F86" w:rsidP="00624EBB">
      <w:pPr>
        <w:ind w:left="851"/>
        <w:rPr>
          <w:sz w:val="24"/>
          <w:szCs w:val="24"/>
          <w:u w:val="single"/>
          <w:lang w:val="en-US"/>
        </w:rPr>
      </w:pPr>
      <w:r w:rsidRPr="004A7CE1">
        <w:rPr>
          <w:sz w:val="24"/>
          <w:szCs w:val="24"/>
          <w:u w:val="single"/>
          <w:lang w:val="en-US"/>
        </w:rPr>
        <w:t>Acute pancreatitis</w:t>
      </w:r>
    </w:p>
    <w:p w14:paraId="432267BC" w14:textId="77777777" w:rsidR="004A1F86" w:rsidRPr="00C311A4" w:rsidRDefault="004A1F86" w:rsidP="00624EBB">
      <w:pPr>
        <w:ind w:left="851"/>
        <w:rPr>
          <w:sz w:val="24"/>
          <w:szCs w:val="24"/>
          <w:lang w:val="en-US"/>
        </w:rPr>
      </w:pPr>
      <w:r w:rsidRPr="00C311A4">
        <w:rPr>
          <w:sz w:val="24"/>
          <w:szCs w:val="24"/>
          <w:lang w:val="en-US"/>
        </w:rPr>
        <w:t>Use of DPP-4 inhibitors has been associated with a risk of developing acute pancreatitis. Acute pancreatitis has been observed in patients taking linagliptin. In a cardiovascular and renal safety study (CARMELINA) with median observation period of 2.2 years, adjudicated acute pancreatitis was reported in 0.3% of patients treated with linagliptin and in 0.1% of patients treated with placebo.</w:t>
      </w:r>
    </w:p>
    <w:p w14:paraId="19F265D3" w14:textId="2433B97D" w:rsidR="004A1F86" w:rsidRPr="00C311A4" w:rsidRDefault="004A1F86" w:rsidP="00624EBB">
      <w:pPr>
        <w:ind w:left="851"/>
        <w:rPr>
          <w:sz w:val="24"/>
          <w:szCs w:val="24"/>
          <w:lang w:val="en-US"/>
        </w:rPr>
      </w:pPr>
      <w:r w:rsidRPr="00C311A4">
        <w:rPr>
          <w:sz w:val="24"/>
          <w:szCs w:val="24"/>
          <w:lang w:val="en-US"/>
        </w:rPr>
        <w:t xml:space="preserve">Patients should be informed of the characteristic symptoms of acute pancreatitis. If pancreatitis is suspected, </w:t>
      </w:r>
      <w:proofErr w:type="spellStart"/>
      <w:r w:rsidR="00C311A4" w:rsidRPr="00C311A4">
        <w:rPr>
          <w:sz w:val="24"/>
          <w:szCs w:val="24"/>
          <w:lang w:val="en-US"/>
        </w:rPr>
        <w:t>Nagilma</w:t>
      </w:r>
      <w:proofErr w:type="spellEnd"/>
      <w:r w:rsidRPr="00C311A4">
        <w:rPr>
          <w:sz w:val="24"/>
          <w:szCs w:val="24"/>
          <w:lang w:val="en-US"/>
        </w:rPr>
        <w:t xml:space="preserve"> should be discontinued; if acute pancreatitis is confirmed, </w:t>
      </w:r>
      <w:proofErr w:type="spellStart"/>
      <w:r w:rsidR="00C311A4" w:rsidRPr="00C311A4">
        <w:rPr>
          <w:sz w:val="24"/>
          <w:szCs w:val="24"/>
          <w:lang w:val="en-US"/>
        </w:rPr>
        <w:t>Nagilma</w:t>
      </w:r>
      <w:proofErr w:type="spellEnd"/>
      <w:r w:rsidRPr="00C311A4">
        <w:rPr>
          <w:sz w:val="24"/>
          <w:szCs w:val="24"/>
          <w:lang w:val="en-US"/>
        </w:rPr>
        <w:t xml:space="preserve"> should not be restarted. Caution should be exercised in patients with a history of pancreatitis.</w:t>
      </w:r>
    </w:p>
    <w:p w14:paraId="033910EB" w14:textId="77777777" w:rsidR="004A1F86" w:rsidRPr="00C311A4" w:rsidRDefault="004A1F86" w:rsidP="00624EBB">
      <w:pPr>
        <w:ind w:left="851"/>
        <w:rPr>
          <w:sz w:val="24"/>
          <w:szCs w:val="24"/>
          <w:lang w:val="en-US"/>
        </w:rPr>
      </w:pPr>
    </w:p>
    <w:p w14:paraId="3F4AC2DD" w14:textId="77777777" w:rsidR="004A1F86" w:rsidRPr="004A7CE1" w:rsidRDefault="004A1F86" w:rsidP="00624EBB">
      <w:pPr>
        <w:ind w:left="851"/>
        <w:rPr>
          <w:sz w:val="24"/>
          <w:szCs w:val="24"/>
          <w:u w:val="single"/>
          <w:lang w:val="en-US"/>
        </w:rPr>
      </w:pPr>
      <w:r w:rsidRPr="004A7CE1">
        <w:rPr>
          <w:sz w:val="24"/>
          <w:szCs w:val="24"/>
          <w:u w:val="single"/>
          <w:lang w:val="en-US"/>
        </w:rPr>
        <w:t>Bullous pemphigoid</w:t>
      </w:r>
    </w:p>
    <w:p w14:paraId="32227AAB" w14:textId="4397C7B5" w:rsidR="004A1F86" w:rsidRPr="00C311A4" w:rsidRDefault="004A1F86" w:rsidP="00624EBB">
      <w:pPr>
        <w:ind w:left="851"/>
        <w:rPr>
          <w:sz w:val="24"/>
          <w:szCs w:val="24"/>
          <w:lang w:val="en-US"/>
        </w:rPr>
      </w:pPr>
      <w:r w:rsidRPr="00C311A4">
        <w:rPr>
          <w:sz w:val="24"/>
          <w:szCs w:val="24"/>
          <w:lang w:val="en-US"/>
        </w:rPr>
        <w:t xml:space="preserve">Bullous pemphigoid has been observed in patients taking linagliptin. In the CARMELINA study, bullous pemphigoid was reported in 0.2% of patients on treatment with linagliptin and in no patient on placebo. If bullous pemphigoid is suspected, </w:t>
      </w:r>
      <w:proofErr w:type="spellStart"/>
      <w:r w:rsidR="00C311A4" w:rsidRPr="00C311A4">
        <w:rPr>
          <w:sz w:val="24"/>
          <w:szCs w:val="24"/>
          <w:lang w:val="en-US"/>
        </w:rPr>
        <w:t>Nagilma</w:t>
      </w:r>
      <w:proofErr w:type="spellEnd"/>
      <w:r w:rsidRPr="00C311A4">
        <w:rPr>
          <w:sz w:val="24"/>
          <w:szCs w:val="24"/>
          <w:lang w:val="en-US"/>
        </w:rPr>
        <w:t xml:space="preserve"> should be discontinued.</w:t>
      </w:r>
    </w:p>
    <w:p w14:paraId="6FC8CF8E" w14:textId="77777777" w:rsidR="004A1F86" w:rsidRPr="00C311A4" w:rsidRDefault="004A1F86" w:rsidP="00624EBB">
      <w:pPr>
        <w:ind w:left="851"/>
        <w:rPr>
          <w:sz w:val="24"/>
          <w:szCs w:val="24"/>
          <w:lang w:val="en-US"/>
        </w:rPr>
      </w:pPr>
    </w:p>
    <w:p w14:paraId="05CF67D6" w14:textId="77777777" w:rsidR="004A1F86" w:rsidRPr="004A7CE1" w:rsidRDefault="004A1F86" w:rsidP="00624EBB">
      <w:pPr>
        <w:ind w:left="851"/>
        <w:rPr>
          <w:sz w:val="24"/>
          <w:szCs w:val="24"/>
          <w:u w:val="single"/>
          <w:lang w:val="en-US"/>
        </w:rPr>
      </w:pPr>
      <w:r w:rsidRPr="004A7CE1">
        <w:rPr>
          <w:sz w:val="24"/>
          <w:szCs w:val="24"/>
          <w:u w:val="single"/>
          <w:lang w:val="en-US"/>
        </w:rPr>
        <w:t>Vitamin B12</w:t>
      </w:r>
    </w:p>
    <w:p w14:paraId="00CF29EE" w14:textId="77777777" w:rsidR="004A1F86" w:rsidRPr="00C311A4" w:rsidRDefault="004A1F86" w:rsidP="00624EBB">
      <w:pPr>
        <w:ind w:left="851"/>
        <w:rPr>
          <w:sz w:val="24"/>
          <w:szCs w:val="24"/>
          <w:lang w:val="en-GB"/>
        </w:rPr>
      </w:pPr>
      <w:r w:rsidRPr="00C311A4">
        <w:rPr>
          <w:sz w:val="24"/>
          <w:szCs w:val="24"/>
          <w:lang w:val="en-US"/>
        </w:rPr>
        <w:t xml:space="preserve">Metformin may reduce vitamin B12 levels. The risk of low vitamin B12 levels increases with increasing metformin dose, treatment duration, and/or in patients with risk factors known to cause vitamin B12 deficiency. In case of suspicion of vitamin B12 deficiency (such as </w:t>
      </w:r>
      <w:proofErr w:type="spellStart"/>
      <w:r w:rsidRPr="00C311A4">
        <w:rPr>
          <w:sz w:val="24"/>
          <w:szCs w:val="24"/>
          <w:lang w:val="en-US"/>
        </w:rPr>
        <w:t>anaemia</w:t>
      </w:r>
      <w:proofErr w:type="spellEnd"/>
      <w:r w:rsidRPr="00C311A4">
        <w:rPr>
          <w:sz w:val="24"/>
          <w:szCs w:val="24"/>
          <w:lang w:val="en-US"/>
        </w:rPr>
        <w:t xml:space="preserve"> or neuropathy), vitamin B12 serum levels should be monitored. Periodic vitamin B12 monitoring could be necessary in patients with risk factors for vitamin B12 deficiency. Metformin therapy should be continued for as long as it is tolerated and not contra-indicated and appropriate corrective treatment for vitamin B12 deficiency provided in line with current clinical guidelines.</w:t>
      </w:r>
    </w:p>
    <w:p w14:paraId="268830E1" w14:textId="77777777" w:rsidR="004A1F86" w:rsidRPr="00C311A4" w:rsidRDefault="004A1F86" w:rsidP="00624EBB">
      <w:pPr>
        <w:ind w:left="851"/>
        <w:rPr>
          <w:sz w:val="24"/>
          <w:szCs w:val="24"/>
          <w:lang w:val="en-US"/>
        </w:rPr>
      </w:pPr>
    </w:p>
    <w:p w14:paraId="51C80207" w14:textId="77777777" w:rsidR="004A1F86" w:rsidRPr="004A7CE1" w:rsidRDefault="004A1F86" w:rsidP="00624EBB">
      <w:pPr>
        <w:ind w:left="851"/>
        <w:rPr>
          <w:sz w:val="24"/>
          <w:szCs w:val="24"/>
          <w:u w:val="single"/>
          <w:lang w:val="en-US"/>
        </w:rPr>
      </w:pPr>
      <w:r w:rsidRPr="004A7CE1">
        <w:rPr>
          <w:sz w:val="24"/>
          <w:szCs w:val="24"/>
          <w:u w:val="single"/>
          <w:lang w:val="en-US"/>
        </w:rPr>
        <w:t>Information about excipients</w:t>
      </w:r>
    </w:p>
    <w:p w14:paraId="0102A72B" w14:textId="77777777" w:rsidR="004A1F86" w:rsidRPr="00C311A4" w:rsidRDefault="004A1F86" w:rsidP="00624EBB">
      <w:pPr>
        <w:ind w:left="851"/>
        <w:rPr>
          <w:noProof/>
          <w:sz w:val="24"/>
          <w:szCs w:val="24"/>
          <w:lang w:val="en-US"/>
        </w:rPr>
      </w:pPr>
      <w:r w:rsidRPr="00C311A4">
        <w:rPr>
          <w:sz w:val="24"/>
          <w:szCs w:val="24"/>
          <w:lang w:val="en-US"/>
        </w:rPr>
        <w:t>This medicinal product contains less than 1 mmol sodium (23 mg) per tablet, that is to say essentially ‘sodium-free’</w:t>
      </w:r>
      <w:r w:rsidRPr="00C311A4">
        <w:rPr>
          <w:rFonts w:eastAsia="CIDFont+F3"/>
          <w:sz w:val="24"/>
          <w:szCs w:val="24"/>
          <w:lang w:val="en-US" w:eastAsia="en-GB"/>
        </w:rPr>
        <w:t>.</w:t>
      </w:r>
    </w:p>
    <w:p w14:paraId="75580B60" w14:textId="77777777" w:rsidR="007C5D2A" w:rsidRPr="00C311A4" w:rsidRDefault="007C5D2A" w:rsidP="003E0341">
      <w:pPr>
        <w:tabs>
          <w:tab w:val="left" w:pos="851"/>
        </w:tabs>
        <w:ind w:left="851"/>
        <w:rPr>
          <w:sz w:val="24"/>
          <w:szCs w:val="24"/>
          <w:lang w:val="en-GB"/>
        </w:rPr>
      </w:pPr>
    </w:p>
    <w:p w14:paraId="4DB96A78" w14:textId="77777777" w:rsidR="007C5D2A" w:rsidRPr="00C311A4" w:rsidRDefault="007C5D2A" w:rsidP="007C5D2A">
      <w:pPr>
        <w:ind w:left="851" w:hanging="851"/>
        <w:rPr>
          <w:b/>
          <w:sz w:val="24"/>
          <w:szCs w:val="24"/>
          <w:lang w:val="en-GB"/>
        </w:rPr>
      </w:pPr>
      <w:r w:rsidRPr="00C311A4">
        <w:rPr>
          <w:b/>
          <w:sz w:val="24"/>
          <w:szCs w:val="24"/>
          <w:lang w:val="en-GB"/>
        </w:rPr>
        <w:t>4.5</w:t>
      </w:r>
      <w:r w:rsidRPr="00C311A4">
        <w:rPr>
          <w:b/>
          <w:sz w:val="24"/>
          <w:szCs w:val="24"/>
          <w:lang w:val="en-GB"/>
        </w:rPr>
        <w:tab/>
        <w:t>Interaction with other medicinal products and other forms of interaction</w:t>
      </w:r>
    </w:p>
    <w:p w14:paraId="4EE26AD2" w14:textId="77777777" w:rsidR="004A1F86" w:rsidRPr="00C311A4" w:rsidRDefault="004A1F86" w:rsidP="00624EBB">
      <w:pPr>
        <w:ind w:left="851"/>
        <w:rPr>
          <w:sz w:val="24"/>
          <w:szCs w:val="24"/>
          <w:lang w:val="en-US"/>
        </w:rPr>
      </w:pPr>
      <w:r w:rsidRPr="00C311A4">
        <w:rPr>
          <w:sz w:val="24"/>
          <w:szCs w:val="24"/>
          <w:lang w:val="en-US"/>
        </w:rPr>
        <w:t>No interaction studies have been performed. However, such studies have been conducted with the individual active substances, i.e. linagliptin and metformin. Co-administration of multiple doses of linagliptin and metformin did not meaningfully alter the pharmacokinetics of either linagliptin or metformin in healthy volunteers and patients.</w:t>
      </w:r>
    </w:p>
    <w:p w14:paraId="5F28CCA2" w14:textId="77777777" w:rsidR="004A1F86" w:rsidRPr="00C311A4" w:rsidRDefault="004A1F86" w:rsidP="00624EBB">
      <w:pPr>
        <w:ind w:left="851"/>
        <w:rPr>
          <w:sz w:val="24"/>
          <w:szCs w:val="24"/>
          <w:lang w:val="en-US"/>
        </w:rPr>
      </w:pPr>
    </w:p>
    <w:p w14:paraId="3B3F5498" w14:textId="77777777" w:rsidR="004A1F86" w:rsidRPr="00C311A4" w:rsidRDefault="004A1F86" w:rsidP="00624EBB">
      <w:pPr>
        <w:ind w:left="851"/>
        <w:rPr>
          <w:sz w:val="24"/>
          <w:szCs w:val="24"/>
          <w:lang w:val="en-US"/>
        </w:rPr>
      </w:pPr>
      <w:r w:rsidRPr="00C311A4">
        <w:rPr>
          <w:sz w:val="24"/>
          <w:szCs w:val="24"/>
          <w:u w:val="single"/>
          <w:lang w:val="en-US"/>
        </w:rPr>
        <w:t>Linagliptin</w:t>
      </w:r>
    </w:p>
    <w:p w14:paraId="079D1AB9" w14:textId="77777777" w:rsidR="004A1F86" w:rsidRPr="00C311A4" w:rsidRDefault="004A1F86" w:rsidP="00624EBB">
      <w:pPr>
        <w:ind w:left="851"/>
        <w:rPr>
          <w:i/>
          <w:sz w:val="24"/>
          <w:szCs w:val="24"/>
          <w:lang w:val="en-US"/>
        </w:rPr>
      </w:pPr>
      <w:r w:rsidRPr="00C311A4">
        <w:rPr>
          <w:i/>
          <w:sz w:val="24"/>
          <w:szCs w:val="24"/>
          <w:lang w:val="en-US"/>
        </w:rPr>
        <w:t>In vitro assessment of interactions</w:t>
      </w:r>
    </w:p>
    <w:p w14:paraId="3116D3F8" w14:textId="77777777" w:rsidR="004A1F86" w:rsidRPr="00C311A4" w:rsidRDefault="004A1F86" w:rsidP="00624EBB">
      <w:pPr>
        <w:ind w:left="851"/>
        <w:rPr>
          <w:sz w:val="24"/>
          <w:szCs w:val="24"/>
          <w:lang w:val="en-US"/>
        </w:rPr>
      </w:pPr>
      <w:r w:rsidRPr="00C311A4">
        <w:rPr>
          <w:sz w:val="24"/>
          <w:szCs w:val="24"/>
          <w:lang w:val="en-US"/>
        </w:rPr>
        <w:t>Linagliptin is a weak competitive and a weak to moderate mechanism-based inhibitor of CYP isozyme CYP3A4, but does not inhibit other CYP isozymes. It is not an inducer of CYP isozymes.</w:t>
      </w:r>
    </w:p>
    <w:p w14:paraId="53CEA3BD" w14:textId="77777777" w:rsidR="004A1F86" w:rsidRPr="00C311A4" w:rsidRDefault="004A1F86" w:rsidP="00624EBB">
      <w:pPr>
        <w:ind w:left="851"/>
        <w:rPr>
          <w:sz w:val="24"/>
          <w:szCs w:val="24"/>
          <w:lang w:val="en-US"/>
        </w:rPr>
      </w:pPr>
    </w:p>
    <w:p w14:paraId="396C70E9" w14:textId="77777777" w:rsidR="004A1F86" w:rsidRPr="00C311A4" w:rsidRDefault="004A1F86" w:rsidP="00624EBB">
      <w:pPr>
        <w:ind w:left="851"/>
        <w:rPr>
          <w:sz w:val="24"/>
          <w:szCs w:val="24"/>
          <w:lang w:val="en-US"/>
        </w:rPr>
      </w:pPr>
      <w:r w:rsidRPr="00C311A4">
        <w:rPr>
          <w:sz w:val="24"/>
          <w:szCs w:val="24"/>
          <w:lang w:val="en-US"/>
        </w:rPr>
        <w:t xml:space="preserve">Linagliptin is a P-glycoprotein substrate, and inhibits P-glycoprotein mediated transport of digoxin with low potency. Based on these results and </w:t>
      </w:r>
      <w:r w:rsidRPr="00C311A4">
        <w:rPr>
          <w:i/>
          <w:sz w:val="24"/>
          <w:szCs w:val="24"/>
          <w:lang w:val="en-US"/>
        </w:rPr>
        <w:t xml:space="preserve">in vivo </w:t>
      </w:r>
      <w:r w:rsidRPr="00C311A4">
        <w:rPr>
          <w:sz w:val="24"/>
          <w:szCs w:val="24"/>
          <w:lang w:val="en-US"/>
        </w:rPr>
        <w:t>drug interaction studies, linagliptin is considered unlikely to cause interactions with other P-</w:t>
      </w:r>
      <w:proofErr w:type="spellStart"/>
      <w:r w:rsidRPr="00C311A4">
        <w:rPr>
          <w:sz w:val="24"/>
          <w:szCs w:val="24"/>
          <w:lang w:val="en-US"/>
        </w:rPr>
        <w:t>gp</w:t>
      </w:r>
      <w:proofErr w:type="spellEnd"/>
      <w:r w:rsidRPr="00C311A4">
        <w:rPr>
          <w:sz w:val="24"/>
          <w:szCs w:val="24"/>
          <w:lang w:val="en-US"/>
        </w:rPr>
        <w:t xml:space="preserve"> substrates.</w:t>
      </w:r>
    </w:p>
    <w:p w14:paraId="10348007" w14:textId="77777777" w:rsidR="004A1F86" w:rsidRPr="00C311A4" w:rsidRDefault="004A1F86" w:rsidP="00624EBB">
      <w:pPr>
        <w:ind w:left="851"/>
        <w:rPr>
          <w:sz w:val="24"/>
          <w:szCs w:val="24"/>
          <w:lang w:val="en-US"/>
        </w:rPr>
      </w:pPr>
    </w:p>
    <w:p w14:paraId="492036CD" w14:textId="77777777" w:rsidR="004A1F86" w:rsidRPr="00C311A4" w:rsidRDefault="004A1F86" w:rsidP="00624EBB">
      <w:pPr>
        <w:ind w:left="851"/>
        <w:rPr>
          <w:i/>
          <w:sz w:val="24"/>
          <w:szCs w:val="24"/>
          <w:lang w:val="en-US"/>
        </w:rPr>
      </w:pPr>
      <w:r w:rsidRPr="00C311A4">
        <w:rPr>
          <w:i/>
          <w:sz w:val="24"/>
          <w:szCs w:val="24"/>
          <w:lang w:val="en-US"/>
        </w:rPr>
        <w:t>In vivo assessment of interactions</w:t>
      </w:r>
    </w:p>
    <w:p w14:paraId="73E34164" w14:textId="77777777" w:rsidR="004A1F86" w:rsidRPr="00C311A4" w:rsidRDefault="004A1F86" w:rsidP="00624EBB">
      <w:pPr>
        <w:ind w:left="851"/>
        <w:rPr>
          <w:i/>
          <w:sz w:val="24"/>
          <w:szCs w:val="24"/>
          <w:lang w:val="en-US"/>
        </w:rPr>
      </w:pPr>
      <w:r w:rsidRPr="00C311A4">
        <w:rPr>
          <w:i/>
          <w:sz w:val="24"/>
          <w:szCs w:val="24"/>
          <w:u w:val="single"/>
          <w:lang w:val="en-US"/>
        </w:rPr>
        <w:t>Effects of other medicinal products on linagliptin</w:t>
      </w:r>
    </w:p>
    <w:p w14:paraId="7050A13F" w14:textId="77777777" w:rsidR="004A1F86" w:rsidRPr="00C311A4" w:rsidRDefault="004A1F86" w:rsidP="00624EBB">
      <w:pPr>
        <w:ind w:left="851"/>
        <w:rPr>
          <w:sz w:val="24"/>
          <w:szCs w:val="24"/>
          <w:lang w:val="en-US"/>
        </w:rPr>
      </w:pPr>
      <w:r w:rsidRPr="00C311A4">
        <w:rPr>
          <w:sz w:val="24"/>
          <w:szCs w:val="24"/>
          <w:lang w:val="en-US"/>
        </w:rPr>
        <w:t xml:space="preserve">Clinical data described below suggest that the risk for clinically meaningful interactions by </w:t>
      </w:r>
      <w:proofErr w:type="spellStart"/>
      <w:r w:rsidRPr="00C311A4">
        <w:rPr>
          <w:sz w:val="24"/>
          <w:szCs w:val="24"/>
          <w:lang w:val="en-US"/>
        </w:rPr>
        <w:t>coadministered</w:t>
      </w:r>
      <w:proofErr w:type="spellEnd"/>
      <w:r w:rsidRPr="00C311A4">
        <w:rPr>
          <w:sz w:val="24"/>
          <w:szCs w:val="24"/>
          <w:lang w:val="en-US"/>
        </w:rPr>
        <w:t xml:space="preserve"> medicinal products is low.</w:t>
      </w:r>
    </w:p>
    <w:p w14:paraId="6046DAE8" w14:textId="77777777" w:rsidR="004A1F86" w:rsidRPr="00C311A4" w:rsidRDefault="004A1F86" w:rsidP="00624EBB">
      <w:pPr>
        <w:ind w:left="851"/>
        <w:rPr>
          <w:sz w:val="24"/>
          <w:szCs w:val="24"/>
          <w:lang w:val="en-US"/>
        </w:rPr>
      </w:pPr>
    </w:p>
    <w:p w14:paraId="1948DB36" w14:textId="77777777" w:rsidR="004A1F86" w:rsidRPr="00C311A4" w:rsidRDefault="004A1F86" w:rsidP="00624EBB">
      <w:pPr>
        <w:ind w:left="851"/>
        <w:rPr>
          <w:sz w:val="24"/>
          <w:szCs w:val="24"/>
          <w:lang w:val="en-US"/>
        </w:rPr>
      </w:pPr>
      <w:r w:rsidRPr="00C311A4">
        <w:rPr>
          <w:sz w:val="24"/>
          <w:szCs w:val="24"/>
          <w:lang w:val="en-US"/>
        </w:rPr>
        <w:t>Metformin:</w:t>
      </w:r>
    </w:p>
    <w:p w14:paraId="1B0E73CC" w14:textId="77777777" w:rsidR="004A1F86" w:rsidRPr="00C311A4" w:rsidRDefault="004A1F86" w:rsidP="00624EBB">
      <w:pPr>
        <w:ind w:left="851"/>
        <w:rPr>
          <w:sz w:val="24"/>
          <w:szCs w:val="24"/>
          <w:lang w:val="en-US"/>
        </w:rPr>
      </w:pPr>
      <w:r w:rsidRPr="00C311A4">
        <w:rPr>
          <w:sz w:val="24"/>
          <w:szCs w:val="24"/>
          <w:lang w:val="en-US"/>
        </w:rPr>
        <w:t>Co-administration of multiple three-times-daily doses of 850 mg metformin hydrochloride with 10 mg linagliptin once daily did not clinical meaningfully alter the pharmacokinetics of linagliptin in healthy subjects.</w:t>
      </w:r>
    </w:p>
    <w:p w14:paraId="147D1009" w14:textId="77777777" w:rsidR="004A1F86" w:rsidRPr="00C311A4" w:rsidRDefault="004A1F86" w:rsidP="00624EBB">
      <w:pPr>
        <w:ind w:left="851"/>
        <w:rPr>
          <w:sz w:val="24"/>
          <w:szCs w:val="24"/>
          <w:lang w:val="en-US"/>
        </w:rPr>
      </w:pPr>
    </w:p>
    <w:p w14:paraId="1CDCE238" w14:textId="77777777" w:rsidR="004A1F86" w:rsidRPr="00C311A4" w:rsidRDefault="004A1F86" w:rsidP="00624EBB">
      <w:pPr>
        <w:ind w:left="851"/>
        <w:rPr>
          <w:sz w:val="24"/>
          <w:szCs w:val="24"/>
          <w:lang w:val="en-US"/>
        </w:rPr>
      </w:pPr>
      <w:proofErr w:type="spellStart"/>
      <w:r w:rsidRPr="00C311A4">
        <w:rPr>
          <w:sz w:val="24"/>
          <w:szCs w:val="24"/>
          <w:lang w:val="en-US"/>
        </w:rPr>
        <w:t>Sulphonylureas</w:t>
      </w:r>
      <w:proofErr w:type="spellEnd"/>
      <w:r w:rsidRPr="00C311A4">
        <w:rPr>
          <w:sz w:val="24"/>
          <w:szCs w:val="24"/>
          <w:lang w:val="en-US"/>
        </w:rPr>
        <w:t>:</w:t>
      </w:r>
    </w:p>
    <w:p w14:paraId="60DF339E" w14:textId="77777777" w:rsidR="004A1F86" w:rsidRPr="00C311A4" w:rsidRDefault="004A1F86" w:rsidP="00624EBB">
      <w:pPr>
        <w:ind w:left="851"/>
        <w:rPr>
          <w:sz w:val="24"/>
          <w:szCs w:val="24"/>
          <w:lang w:val="en-US"/>
        </w:rPr>
      </w:pPr>
      <w:r w:rsidRPr="00C311A4">
        <w:rPr>
          <w:sz w:val="24"/>
          <w:szCs w:val="24"/>
          <w:lang w:val="en-US"/>
        </w:rPr>
        <w:t xml:space="preserve">The steady-state pharmacokinetics of 5 mg linagliptin were not changed by concomitant administration of a single 1.75 mg dose </w:t>
      </w:r>
      <w:proofErr w:type="spellStart"/>
      <w:r w:rsidRPr="00C311A4">
        <w:rPr>
          <w:sz w:val="24"/>
          <w:szCs w:val="24"/>
          <w:lang w:val="en-US"/>
        </w:rPr>
        <w:t>glibenclamide</w:t>
      </w:r>
      <w:proofErr w:type="spellEnd"/>
      <w:r w:rsidRPr="00C311A4">
        <w:rPr>
          <w:sz w:val="24"/>
          <w:szCs w:val="24"/>
          <w:lang w:val="en-US"/>
        </w:rPr>
        <w:t xml:space="preserve"> (glyburide).</w:t>
      </w:r>
    </w:p>
    <w:p w14:paraId="6DCC13DB" w14:textId="77777777" w:rsidR="004A1F86" w:rsidRPr="00C311A4" w:rsidRDefault="004A1F86" w:rsidP="00624EBB">
      <w:pPr>
        <w:ind w:left="851"/>
        <w:rPr>
          <w:sz w:val="24"/>
          <w:szCs w:val="24"/>
          <w:lang w:val="en-US"/>
        </w:rPr>
      </w:pPr>
    </w:p>
    <w:p w14:paraId="4922A222" w14:textId="77777777" w:rsidR="004A1F86" w:rsidRPr="00C311A4" w:rsidRDefault="004A1F86" w:rsidP="00624EBB">
      <w:pPr>
        <w:ind w:left="851"/>
        <w:rPr>
          <w:sz w:val="24"/>
          <w:szCs w:val="24"/>
          <w:lang w:val="en-US"/>
        </w:rPr>
      </w:pPr>
      <w:r w:rsidRPr="00C311A4">
        <w:rPr>
          <w:sz w:val="24"/>
          <w:szCs w:val="24"/>
          <w:lang w:val="en-US"/>
        </w:rPr>
        <w:lastRenderedPageBreak/>
        <w:t>Ritonavir:</w:t>
      </w:r>
    </w:p>
    <w:p w14:paraId="50B2C9A4" w14:textId="77777777" w:rsidR="004A1F86" w:rsidRPr="00C311A4" w:rsidRDefault="004A1F86" w:rsidP="00624EBB">
      <w:pPr>
        <w:ind w:left="851"/>
        <w:rPr>
          <w:sz w:val="24"/>
          <w:szCs w:val="24"/>
          <w:lang w:val="en-US"/>
        </w:rPr>
      </w:pPr>
      <w:r w:rsidRPr="00C311A4">
        <w:rPr>
          <w:sz w:val="24"/>
          <w:szCs w:val="24"/>
          <w:lang w:val="en-US"/>
        </w:rPr>
        <w:t xml:space="preserve">Co-administration of a single 5 mg oral dose of linagliptin and multiple 200 mg oral doses of ritonavir, a potent inhibitor of P-glycoprotein and CYP3A4, increased the AUC and </w:t>
      </w:r>
      <w:proofErr w:type="spellStart"/>
      <w:r w:rsidRPr="00C311A4">
        <w:rPr>
          <w:sz w:val="24"/>
          <w:szCs w:val="24"/>
          <w:lang w:val="en-US"/>
        </w:rPr>
        <w:t>C</w:t>
      </w:r>
      <w:r w:rsidRPr="00C311A4">
        <w:rPr>
          <w:sz w:val="24"/>
          <w:szCs w:val="24"/>
          <w:vertAlign w:val="subscript"/>
          <w:lang w:val="en-US"/>
        </w:rPr>
        <w:t>max</w:t>
      </w:r>
      <w:proofErr w:type="spellEnd"/>
      <w:r w:rsidRPr="00C311A4">
        <w:rPr>
          <w:sz w:val="24"/>
          <w:szCs w:val="24"/>
          <w:lang w:val="en-US"/>
        </w:rPr>
        <w:t xml:space="preserve"> of linagliptin approximately twofold and threefold, respectively. The unbound concentrations, which are usually less than 1% at the therapeutic dose of linagliptin, were increased 4-5-fold after co-administration with ritonavir. Simulations of steady-state plasma concentrations of linagliptin with and without ritonavir indicated that the increase in exposure will not be associated with an increased accumulation. These changes in linagliptin pharmacokinetics were not considered to be clinically relevant. Therefore, clinically relevant interactions would not be expected with other P-glycoprotein/CYP3A4 inhibitors.</w:t>
      </w:r>
    </w:p>
    <w:p w14:paraId="75EE89DE" w14:textId="77777777" w:rsidR="004A1F86" w:rsidRPr="00C311A4" w:rsidRDefault="004A1F86" w:rsidP="00624EBB">
      <w:pPr>
        <w:ind w:left="851"/>
        <w:rPr>
          <w:sz w:val="24"/>
          <w:szCs w:val="24"/>
          <w:lang w:val="en-US"/>
        </w:rPr>
      </w:pPr>
    </w:p>
    <w:p w14:paraId="5B2BFC10" w14:textId="77777777" w:rsidR="004A1F86" w:rsidRPr="00C311A4" w:rsidRDefault="004A1F86" w:rsidP="00624EBB">
      <w:pPr>
        <w:ind w:left="851"/>
        <w:rPr>
          <w:sz w:val="24"/>
          <w:szCs w:val="24"/>
          <w:lang w:val="en-US"/>
        </w:rPr>
      </w:pPr>
      <w:r w:rsidRPr="00C311A4">
        <w:rPr>
          <w:sz w:val="24"/>
          <w:szCs w:val="24"/>
          <w:lang w:val="en-US"/>
        </w:rPr>
        <w:t>Rifampicin:</w:t>
      </w:r>
    </w:p>
    <w:p w14:paraId="4171D9BD" w14:textId="77777777" w:rsidR="004A1F86" w:rsidRPr="00C311A4" w:rsidRDefault="004A1F86" w:rsidP="00624EBB">
      <w:pPr>
        <w:ind w:left="851"/>
        <w:rPr>
          <w:sz w:val="24"/>
          <w:szCs w:val="24"/>
          <w:lang w:val="en-US"/>
        </w:rPr>
      </w:pPr>
      <w:r w:rsidRPr="00C311A4">
        <w:rPr>
          <w:sz w:val="24"/>
          <w:szCs w:val="24"/>
          <w:lang w:val="en-US"/>
        </w:rPr>
        <w:t xml:space="preserve">Multiple co-administration of 5 mg linagliptin with rifampicin, a potent inductor of P-glycoprotein and CYP3A4, resulted in a 39.6% and 43.8% decreased linagliptin steady-state AUC and </w:t>
      </w:r>
      <w:proofErr w:type="spellStart"/>
      <w:r w:rsidRPr="00C311A4">
        <w:rPr>
          <w:sz w:val="24"/>
          <w:szCs w:val="24"/>
          <w:lang w:val="en-US"/>
        </w:rPr>
        <w:t>C</w:t>
      </w:r>
      <w:r w:rsidRPr="00C311A4">
        <w:rPr>
          <w:sz w:val="24"/>
          <w:szCs w:val="24"/>
          <w:vertAlign w:val="subscript"/>
          <w:lang w:val="en-US"/>
        </w:rPr>
        <w:t>max</w:t>
      </w:r>
      <w:proofErr w:type="spellEnd"/>
      <w:r w:rsidRPr="00C311A4">
        <w:rPr>
          <w:sz w:val="24"/>
          <w:szCs w:val="24"/>
          <w:lang w:val="en-US"/>
        </w:rPr>
        <w:t xml:space="preserve"> respectively, and about 30% decreased DPP-4 inhibition at trough. </w:t>
      </w:r>
      <w:proofErr w:type="gramStart"/>
      <w:r w:rsidRPr="00C311A4">
        <w:rPr>
          <w:sz w:val="24"/>
          <w:szCs w:val="24"/>
          <w:lang w:val="en-US"/>
        </w:rPr>
        <w:t>Thus</w:t>
      </w:r>
      <w:proofErr w:type="gramEnd"/>
      <w:r w:rsidRPr="00C311A4">
        <w:rPr>
          <w:sz w:val="24"/>
          <w:szCs w:val="24"/>
          <w:lang w:val="en-US"/>
        </w:rPr>
        <w:t xml:space="preserve"> full efficacy of linagliptin in combination with strong P-</w:t>
      </w:r>
      <w:proofErr w:type="spellStart"/>
      <w:r w:rsidRPr="00C311A4">
        <w:rPr>
          <w:sz w:val="24"/>
          <w:szCs w:val="24"/>
          <w:lang w:val="en-US"/>
        </w:rPr>
        <w:t>gp</w:t>
      </w:r>
      <w:proofErr w:type="spellEnd"/>
      <w:r w:rsidRPr="00C311A4">
        <w:rPr>
          <w:sz w:val="24"/>
          <w:szCs w:val="24"/>
          <w:lang w:val="en-US"/>
        </w:rPr>
        <w:t xml:space="preserve"> inducers might not be achieved, particularly if these are administered long-term. Co-administration with other potent inducers of P-glycoprotein and CYP3A4, such as carbamazepine, phenobarbital and phenytoin has not been studied.</w:t>
      </w:r>
    </w:p>
    <w:p w14:paraId="47BAFF07" w14:textId="77777777" w:rsidR="004A1F86" w:rsidRPr="00C311A4" w:rsidRDefault="004A1F86" w:rsidP="00624EBB">
      <w:pPr>
        <w:ind w:left="851"/>
        <w:rPr>
          <w:sz w:val="24"/>
          <w:szCs w:val="24"/>
          <w:lang w:val="en-US"/>
        </w:rPr>
      </w:pPr>
    </w:p>
    <w:p w14:paraId="6BD68170" w14:textId="77777777" w:rsidR="004A1F86" w:rsidRPr="00C311A4" w:rsidRDefault="004A1F86" w:rsidP="00624EBB">
      <w:pPr>
        <w:ind w:left="851"/>
        <w:rPr>
          <w:i/>
          <w:sz w:val="24"/>
          <w:szCs w:val="24"/>
          <w:lang w:val="en-US"/>
        </w:rPr>
      </w:pPr>
      <w:r w:rsidRPr="00C311A4">
        <w:rPr>
          <w:i/>
          <w:sz w:val="24"/>
          <w:szCs w:val="24"/>
          <w:u w:val="single"/>
          <w:lang w:val="en-US"/>
        </w:rPr>
        <w:t>Effects of linagliptin on other medicinal products</w:t>
      </w:r>
    </w:p>
    <w:p w14:paraId="1F3093FC" w14:textId="77777777" w:rsidR="004A1F86" w:rsidRPr="00C311A4" w:rsidRDefault="004A1F86" w:rsidP="00624EBB">
      <w:pPr>
        <w:ind w:left="851"/>
        <w:rPr>
          <w:sz w:val="24"/>
          <w:szCs w:val="24"/>
          <w:lang w:val="en-US"/>
        </w:rPr>
      </w:pPr>
      <w:r w:rsidRPr="00C311A4">
        <w:rPr>
          <w:sz w:val="24"/>
          <w:szCs w:val="24"/>
          <w:lang w:val="en-US"/>
        </w:rPr>
        <w:t xml:space="preserve">In clinical studies, as described below, linagliptin had no clinically relevant effect on the pharmacokinetics of metformin, glyburide, simvastatin, warfarin, digoxin or oral contraceptives providing </w:t>
      </w:r>
      <w:r w:rsidRPr="00C311A4">
        <w:rPr>
          <w:i/>
          <w:sz w:val="24"/>
          <w:szCs w:val="24"/>
          <w:lang w:val="en-US"/>
        </w:rPr>
        <w:t xml:space="preserve">in vivo </w:t>
      </w:r>
      <w:r w:rsidRPr="00C311A4">
        <w:rPr>
          <w:sz w:val="24"/>
          <w:szCs w:val="24"/>
          <w:lang w:val="en-US"/>
        </w:rPr>
        <w:t>evidence of a low propensity for causing interactions with substrates of CYP3A4, CYP2C9, CYP2C8, P-glycoprotein, and organic cationic transporter (OCT).</w:t>
      </w:r>
    </w:p>
    <w:p w14:paraId="25A9EC69" w14:textId="77777777" w:rsidR="004A1F86" w:rsidRPr="00C311A4" w:rsidRDefault="004A1F86" w:rsidP="00624EBB">
      <w:pPr>
        <w:ind w:left="851"/>
        <w:rPr>
          <w:sz w:val="24"/>
          <w:szCs w:val="24"/>
          <w:lang w:val="en-US"/>
        </w:rPr>
      </w:pPr>
    </w:p>
    <w:p w14:paraId="02DF4506" w14:textId="77777777" w:rsidR="004A1F86" w:rsidRPr="00C311A4" w:rsidRDefault="004A1F86" w:rsidP="00624EBB">
      <w:pPr>
        <w:ind w:left="851"/>
        <w:rPr>
          <w:sz w:val="24"/>
          <w:szCs w:val="24"/>
          <w:lang w:val="en-US"/>
        </w:rPr>
      </w:pPr>
      <w:r w:rsidRPr="00C311A4">
        <w:rPr>
          <w:sz w:val="24"/>
          <w:szCs w:val="24"/>
          <w:lang w:val="en-US"/>
        </w:rPr>
        <w:t>Metformin:</w:t>
      </w:r>
    </w:p>
    <w:p w14:paraId="4A67B897" w14:textId="77777777" w:rsidR="004A1F86" w:rsidRPr="00C311A4" w:rsidRDefault="004A1F86" w:rsidP="00624EBB">
      <w:pPr>
        <w:ind w:left="851"/>
        <w:rPr>
          <w:sz w:val="24"/>
          <w:szCs w:val="24"/>
          <w:lang w:val="en-US"/>
        </w:rPr>
      </w:pPr>
      <w:r w:rsidRPr="00C311A4">
        <w:rPr>
          <w:sz w:val="24"/>
          <w:szCs w:val="24"/>
          <w:lang w:val="en-US"/>
        </w:rPr>
        <w:t>Co-administration of multiple daily doses of 10 mg linagliptin with 850 mg metformin hydrochloride, an OCT substrate, had no relevant effect on the pharmacokinetics of metformin in healthy subjects.</w:t>
      </w:r>
    </w:p>
    <w:p w14:paraId="082168A8" w14:textId="77777777" w:rsidR="004A1F86" w:rsidRPr="00C311A4" w:rsidRDefault="004A1F86" w:rsidP="00624EBB">
      <w:pPr>
        <w:ind w:left="851"/>
        <w:rPr>
          <w:sz w:val="24"/>
          <w:szCs w:val="24"/>
          <w:lang w:val="en-US"/>
        </w:rPr>
      </w:pPr>
      <w:r w:rsidRPr="00C311A4">
        <w:rPr>
          <w:sz w:val="24"/>
          <w:szCs w:val="24"/>
          <w:lang w:val="en-US"/>
        </w:rPr>
        <w:t>Therefore, linagliptin is not an inhibitor of OCT-mediated transport.</w:t>
      </w:r>
    </w:p>
    <w:p w14:paraId="04B89973" w14:textId="77777777" w:rsidR="004A1F86" w:rsidRPr="00C311A4" w:rsidRDefault="004A1F86" w:rsidP="00624EBB">
      <w:pPr>
        <w:ind w:left="851"/>
        <w:rPr>
          <w:sz w:val="24"/>
          <w:szCs w:val="24"/>
          <w:lang w:val="en-US"/>
        </w:rPr>
      </w:pPr>
    </w:p>
    <w:p w14:paraId="38E38EE5" w14:textId="77777777" w:rsidR="004A1F86" w:rsidRPr="00C311A4" w:rsidRDefault="004A1F86" w:rsidP="00624EBB">
      <w:pPr>
        <w:ind w:left="851"/>
        <w:rPr>
          <w:sz w:val="24"/>
          <w:szCs w:val="24"/>
          <w:lang w:val="en-US"/>
        </w:rPr>
      </w:pPr>
      <w:proofErr w:type="spellStart"/>
      <w:r w:rsidRPr="00C311A4">
        <w:rPr>
          <w:sz w:val="24"/>
          <w:szCs w:val="24"/>
          <w:lang w:val="en-US"/>
        </w:rPr>
        <w:t>Sulphonylureas</w:t>
      </w:r>
      <w:proofErr w:type="spellEnd"/>
      <w:r w:rsidRPr="00C311A4">
        <w:rPr>
          <w:sz w:val="24"/>
          <w:szCs w:val="24"/>
          <w:lang w:val="en-US"/>
        </w:rPr>
        <w:t>:</w:t>
      </w:r>
    </w:p>
    <w:p w14:paraId="0CEDB0ED" w14:textId="77777777" w:rsidR="004A1F86" w:rsidRPr="00C311A4" w:rsidRDefault="004A1F86" w:rsidP="00624EBB">
      <w:pPr>
        <w:ind w:left="851"/>
        <w:rPr>
          <w:sz w:val="24"/>
          <w:szCs w:val="24"/>
          <w:lang w:val="en-US"/>
        </w:rPr>
      </w:pPr>
      <w:r w:rsidRPr="00C311A4">
        <w:rPr>
          <w:sz w:val="24"/>
          <w:szCs w:val="24"/>
          <w:lang w:val="en-US"/>
        </w:rPr>
        <w:t xml:space="preserve">Co-administration of multiple oral doses of 5 mg linagliptin and a single oral dose of 1.75 mg </w:t>
      </w:r>
      <w:proofErr w:type="spellStart"/>
      <w:r w:rsidRPr="00C311A4">
        <w:rPr>
          <w:sz w:val="24"/>
          <w:szCs w:val="24"/>
          <w:lang w:val="en-US"/>
        </w:rPr>
        <w:t>glibenclamide</w:t>
      </w:r>
      <w:proofErr w:type="spellEnd"/>
      <w:r w:rsidRPr="00C311A4">
        <w:rPr>
          <w:sz w:val="24"/>
          <w:szCs w:val="24"/>
          <w:lang w:val="en-US"/>
        </w:rPr>
        <w:t xml:space="preserve"> (glyburide) resulted in clinically not relevant reduction of 14% of both AUC and </w:t>
      </w:r>
      <w:proofErr w:type="spellStart"/>
      <w:r w:rsidRPr="00C311A4">
        <w:rPr>
          <w:sz w:val="24"/>
          <w:szCs w:val="24"/>
          <w:lang w:val="en-US"/>
        </w:rPr>
        <w:t>C</w:t>
      </w:r>
      <w:r w:rsidRPr="00C311A4">
        <w:rPr>
          <w:sz w:val="24"/>
          <w:szCs w:val="24"/>
          <w:vertAlign w:val="subscript"/>
          <w:lang w:val="en-US"/>
        </w:rPr>
        <w:t>max</w:t>
      </w:r>
      <w:proofErr w:type="spellEnd"/>
      <w:r w:rsidRPr="00C311A4">
        <w:rPr>
          <w:sz w:val="24"/>
          <w:szCs w:val="24"/>
          <w:lang w:val="en-US"/>
        </w:rPr>
        <w:t xml:space="preserve"> of </w:t>
      </w:r>
      <w:proofErr w:type="spellStart"/>
      <w:r w:rsidRPr="00C311A4">
        <w:rPr>
          <w:sz w:val="24"/>
          <w:szCs w:val="24"/>
          <w:lang w:val="en-US"/>
        </w:rPr>
        <w:t>glibenclamide</w:t>
      </w:r>
      <w:proofErr w:type="spellEnd"/>
      <w:r w:rsidRPr="00C311A4">
        <w:rPr>
          <w:sz w:val="24"/>
          <w:szCs w:val="24"/>
          <w:lang w:val="en-US"/>
        </w:rPr>
        <w:t xml:space="preserve">. Because </w:t>
      </w:r>
      <w:proofErr w:type="spellStart"/>
      <w:r w:rsidRPr="00C311A4">
        <w:rPr>
          <w:sz w:val="24"/>
          <w:szCs w:val="24"/>
          <w:lang w:val="en-US"/>
        </w:rPr>
        <w:t>glibenclamide</w:t>
      </w:r>
      <w:proofErr w:type="spellEnd"/>
      <w:r w:rsidRPr="00C311A4">
        <w:rPr>
          <w:sz w:val="24"/>
          <w:szCs w:val="24"/>
          <w:lang w:val="en-US"/>
        </w:rPr>
        <w:t xml:space="preserve"> is primarily </w:t>
      </w:r>
      <w:proofErr w:type="spellStart"/>
      <w:r w:rsidRPr="00C311A4">
        <w:rPr>
          <w:sz w:val="24"/>
          <w:szCs w:val="24"/>
          <w:lang w:val="en-US"/>
        </w:rPr>
        <w:t>metabolised</w:t>
      </w:r>
      <w:proofErr w:type="spellEnd"/>
      <w:r w:rsidRPr="00C311A4">
        <w:rPr>
          <w:sz w:val="24"/>
          <w:szCs w:val="24"/>
          <w:lang w:val="en-US"/>
        </w:rPr>
        <w:t xml:space="preserve"> by CYP2C9, these data also support the conclusion that linagliptin is not a CYP2C9 inhibitor. Clinically meaningful interactions would not be expected with other </w:t>
      </w:r>
      <w:proofErr w:type="spellStart"/>
      <w:r w:rsidRPr="00C311A4">
        <w:rPr>
          <w:sz w:val="24"/>
          <w:szCs w:val="24"/>
          <w:lang w:val="en-US"/>
        </w:rPr>
        <w:t>sulphonylureas</w:t>
      </w:r>
      <w:proofErr w:type="spellEnd"/>
      <w:r w:rsidRPr="00C311A4">
        <w:rPr>
          <w:sz w:val="24"/>
          <w:szCs w:val="24"/>
          <w:lang w:val="en-US"/>
        </w:rPr>
        <w:t xml:space="preserve"> (e.g., glipizide, tolbutamide, and glimepiride) which, like </w:t>
      </w:r>
      <w:proofErr w:type="spellStart"/>
      <w:r w:rsidRPr="00C311A4">
        <w:rPr>
          <w:sz w:val="24"/>
          <w:szCs w:val="24"/>
          <w:lang w:val="en-US"/>
        </w:rPr>
        <w:t>glibenclamide</w:t>
      </w:r>
      <w:proofErr w:type="spellEnd"/>
      <w:r w:rsidRPr="00C311A4">
        <w:rPr>
          <w:sz w:val="24"/>
          <w:szCs w:val="24"/>
          <w:lang w:val="en-US"/>
        </w:rPr>
        <w:t>, are primarily eliminated by CYP2C9.</w:t>
      </w:r>
    </w:p>
    <w:p w14:paraId="15A91D63" w14:textId="77777777" w:rsidR="004A1F86" w:rsidRPr="00C311A4" w:rsidRDefault="004A1F86" w:rsidP="00624EBB">
      <w:pPr>
        <w:ind w:left="851"/>
        <w:rPr>
          <w:sz w:val="24"/>
          <w:szCs w:val="24"/>
          <w:lang w:val="en-US"/>
        </w:rPr>
      </w:pPr>
    </w:p>
    <w:p w14:paraId="13D915AA" w14:textId="77777777" w:rsidR="004A1F86" w:rsidRPr="00C311A4" w:rsidRDefault="004A1F86" w:rsidP="00624EBB">
      <w:pPr>
        <w:ind w:left="851"/>
        <w:rPr>
          <w:sz w:val="24"/>
          <w:szCs w:val="24"/>
          <w:lang w:val="en-US"/>
        </w:rPr>
      </w:pPr>
      <w:r w:rsidRPr="00C311A4">
        <w:rPr>
          <w:sz w:val="24"/>
          <w:szCs w:val="24"/>
          <w:lang w:val="en-US"/>
        </w:rPr>
        <w:t>Digoxin:</w:t>
      </w:r>
    </w:p>
    <w:p w14:paraId="0A20E52A" w14:textId="77777777" w:rsidR="004A1F86" w:rsidRPr="00C311A4" w:rsidRDefault="004A1F86" w:rsidP="00624EBB">
      <w:pPr>
        <w:ind w:left="851"/>
        <w:rPr>
          <w:i/>
          <w:sz w:val="24"/>
          <w:szCs w:val="24"/>
          <w:lang w:val="en-US"/>
        </w:rPr>
      </w:pPr>
      <w:r w:rsidRPr="00C311A4">
        <w:rPr>
          <w:sz w:val="24"/>
          <w:szCs w:val="24"/>
          <w:lang w:val="en-US"/>
        </w:rPr>
        <w:t xml:space="preserve">Co-administration of multiple daily doses of 5 mg linagliptin with multiple doses of 0.25 mg digoxin had no effect on the pharmacokinetics of digoxin in healthy subjects. Therefore, linagliptin is not an inhibitor of P-glycoprotein-mediated transport </w:t>
      </w:r>
      <w:r w:rsidRPr="00C311A4">
        <w:rPr>
          <w:i/>
          <w:sz w:val="24"/>
          <w:szCs w:val="24"/>
          <w:lang w:val="en-US"/>
        </w:rPr>
        <w:t>in vivo.</w:t>
      </w:r>
    </w:p>
    <w:p w14:paraId="2B043DE6" w14:textId="77777777" w:rsidR="004A1F86" w:rsidRPr="00C311A4" w:rsidRDefault="004A1F86" w:rsidP="00624EBB">
      <w:pPr>
        <w:ind w:left="851"/>
        <w:rPr>
          <w:i/>
          <w:sz w:val="24"/>
          <w:szCs w:val="24"/>
          <w:lang w:val="en-US"/>
        </w:rPr>
      </w:pPr>
    </w:p>
    <w:p w14:paraId="5CC75886" w14:textId="77777777" w:rsidR="004A1F86" w:rsidRPr="00C311A4" w:rsidRDefault="004A1F86" w:rsidP="00624EBB">
      <w:pPr>
        <w:ind w:left="851"/>
        <w:rPr>
          <w:sz w:val="24"/>
          <w:szCs w:val="24"/>
          <w:lang w:val="en-US"/>
        </w:rPr>
      </w:pPr>
      <w:r w:rsidRPr="00C311A4">
        <w:rPr>
          <w:sz w:val="24"/>
          <w:szCs w:val="24"/>
          <w:lang w:val="en-US"/>
        </w:rPr>
        <w:t>Warfarin:</w:t>
      </w:r>
    </w:p>
    <w:p w14:paraId="669C00D1" w14:textId="77777777" w:rsidR="004A1F86" w:rsidRPr="00C311A4" w:rsidRDefault="004A1F86" w:rsidP="00624EBB">
      <w:pPr>
        <w:ind w:left="851"/>
        <w:rPr>
          <w:sz w:val="24"/>
          <w:szCs w:val="24"/>
          <w:lang w:val="en-US"/>
        </w:rPr>
      </w:pPr>
      <w:r w:rsidRPr="00C311A4">
        <w:rPr>
          <w:sz w:val="24"/>
          <w:szCs w:val="24"/>
          <w:lang w:val="en-US"/>
        </w:rPr>
        <w:t xml:space="preserve">Multiple daily doses of 5 mg linagliptin did not alter the pharmacokinetics of </w:t>
      </w:r>
      <w:proofErr w:type="gramStart"/>
      <w:r w:rsidRPr="00C311A4">
        <w:rPr>
          <w:sz w:val="24"/>
          <w:szCs w:val="24"/>
          <w:lang w:val="en-US"/>
        </w:rPr>
        <w:t>S(</w:t>
      </w:r>
      <w:proofErr w:type="gramEnd"/>
      <w:r w:rsidRPr="00C311A4">
        <w:rPr>
          <w:sz w:val="24"/>
          <w:szCs w:val="24"/>
          <w:lang w:val="en-US"/>
        </w:rPr>
        <w:t>-) or R(+) warfarin, a CYP2C9 substrate, administered in a single dose.</w:t>
      </w:r>
    </w:p>
    <w:p w14:paraId="09D84099" w14:textId="77777777" w:rsidR="004A1F86" w:rsidRPr="00C311A4" w:rsidRDefault="004A1F86" w:rsidP="00624EBB">
      <w:pPr>
        <w:ind w:left="851"/>
        <w:rPr>
          <w:sz w:val="24"/>
          <w:szCs w:val="24"/>
          <w:lang w:val="en-US"/>
        </w:rPr>
      </w:pPr>
    </w:p>
    <w:p w14:paraId="4832EBEC" w14:textId="77777777" w:rsidR="004A1F86" w:rsidRPr="00C311A4" w:rsidRDefault="004A1F86" w:rsidP="00624EBB">
      <w:pPr>
        <w:ind w:left="851"/>
        <w:rPr>
          <w:sz w:val="24"/>
          <w:szCs w:val="24"/>
          <w:lang w:val="en-US"/>
        </w:rPr>
      </w:pPr>
      <w:r w:rsidRPr="00C311A4">
        <w:rPr>
          <w:sz w:val="24"/>
          <w:szCs w:val="24"/>
          <w:lang w:val="en-US"/>
        </w:rPr>
        <w:t>Simvastatin:</w:t>
      </w:r>
    </w:p>
    <w:p w14:paraId="64919B5E" w14:textId="77777777" w:rsidR="004A1F86" w:rsidRPr="00C311A4" w:rsidRDefault="004A1F86" w:rsidP="00624EBB">
      <w:pPr>
        <w:ind w:left="851"/>
        <w:rPr>
          <w:sz w:val="24"/>
          <w:szCs w:val="24"/>
          <w:lang w:val="en-US"/>
        </w:rPr>
      </w:pPr>
      <w:r w:rsidRPr="00C311A4">
        <w:rPr>
          <w:sz w:val="24"/>
          <w:szCs w:val="24"/>
          <w:lang w:val="en-US"/>
        </w:rPr>
        <w:t xml:space="preserve">Multiple daily doses of linagliptin had a minimal effect on the steady-state pharmacokinetics of simvastatin, a sensitive CYP3A4 substrate, in healthy subjects. Following administration of a supratherapeutic dose of 10 mg linagliptin concomitantly with 40 mg of simvastatin daily for 6 days, the plasma AUC of simvastatin was increased by 34%, and the plasma </w:t>
      </w:r>
      <w:proofErr w:type="spellStart"/>
      <w:r w:rsidRPr="00C311A4">
        <w:rPr>
          <w:sz w:val="24"/>
          <w:szCs w:val="24"/>
          <w:lang w:val="en-US"/>
        </w:rPr>
        <w:t>C</w:t>
      </w:r>
      <w:r w:rsidRPr="00C311A4">
        <w:rPr>
          <w:sz w:val="24"/>
          <w:szCs w:val="24"/>
          <w:vertAlign w:val="subscript"/>
          <w:lang w:val="en-US"/>
        </w:rPr>
        <w:t>max</w:t>
      </w:r>
      <w:proofErr w:type="spellEnd"/>
      <w:r w:rsidRPr="00C311A4">
        <w:rPr>
          <w:sz w:val="24"/>
          <w:szCs w:val="24"/>
          <w:lang w:val="en-US"/>
        </w:rPr>
        <w:t xml:space="preserve"> by 10%.</w:t>
      </w:r>
    </w:p>
    <w:p w14:paraId="41024ECC" w14:textId="77777777" w:rsidR="004A1F86" w:rsidRPr="00C311A4" w:rsidRDefault="004A1F86" w:rsidP="00624EBB">
      <w:pPr>
        <w:ind w:left="851"/>
        <w:rPr>
          <w:sz w:val="24"/>
          <w:szCs w:val="24"/>
          <w:lang w:val="en-US"/>
        </w:rPr>
      </w:pPr>
    </w:p>
    <w:p w14:paraId="1095C64C" w14:textId="77777777" w:rsidR="004A1F86" w:rsidRPr="00C311A4" w:rsidRDefault="004A1F86" w:rsidP="00624EBB">
      <w:pPr>
        <w:ind w:left="851"/>
        <w:rPr>
          <w:sz w:val="24"/>
          <w:szCs w:val="24"/>
          <w:lang w:val="en-US"/>
        </w:rPr>
      </w:pPr>
      <w:r w:rsidRPr="00C311A4">
        <w:rPr>
          <w:sz w:val="24"/>
          <w:szCs w:val="24"/>
          <w:lang w:val="en-US"/>
        </w:rPr>
        <w:t>Oral contraceptives:</w:t>
      </w:r>
    </w:p>
    <w:p w14:paraId="5CE51172" w14:textId="77777777" w:rsidR="004A1F86" w:rsidRPr="00C311A4" w:rsidRDefault="004A1F86" w:rsidP="00624EBB">
      <w:pPr>
        <w:ind w:left="851"/>
        <w:rPr>
          <w:sz w:val="24"/>
          <w:szCs w:val="24"/>
          <w:lang w:val="en-US"/>
        </w:rPr>
      </w:pPr>
      <w:r w:rsidRPr="00C311A4">
        <w:rPr>
          <w:sz w:val="24"/>
          <w:szCs w:val="24"/>
          <w:lang w:val="en-US"/>
        </w:rPr>
        <w:t xml:space="preserve">Co-administration with 5 mg linagliptin did not alter the steady-state pharmacokinetics of levonorgestrel or </w:t>
      </w:r>
      <w:proofErr w:type="spellStart"/>
      <w:r w:rsidRPr="00C311A4">
        <w:rPr>
          <w:sz w:val="24"/>
          <w:szCs w:val="24"/>
          <w:lang w:val="en-US"/>
        </w:rPr>
        <w:t>ethinylestradiol</w:t>
      </w:r>
      <w:proofErr w:type="spellEnd"/>
      <w:r w:rsidRPr="00C311A4">
        <w:rPr>
          <w:sz w:val="24"/>
          <w:szCs w:val="24"/>
          <w:lang w:val="en-US"/>
        </w:rPr>
        <w:t>.</w:t>
      </w:r>
    </w:p>
    <w:p w14:paraId="5ADB3953" w14:textId="77777777" w:rsidR="004A1F86" w:rsidRPr="00C311A4" w:rsidRDefault="004A1F86" w:rsidP="00624EBB">
      <w:pPr>
        <w:ind w:left="851"/>
        <w:rPr>
          <w:sz w:val="24"/>
          <w:szCs w:val="24"/>
          <w:lang w:val="en-US"/>
        </w:rPr>
      </w:pPr>
    </w:p>
    <w:p w14:paraId="2733091C" w14:textId="77777777" w:rsidR="004A1F86" w:rsidRPr="00C311A4" w:rsidRDefault="004A1F86" w:rsidP="00624EBB">
      <w:pPr>
        <w:ind w:left="851"/>
        <w:rPr>
          <w:sz w:val="24"/>
          <w:szCs w:val="24"/>
          <w:lang w:val="en-US"/>
        </w:rPr>
      </w:pPr>
      <w:r w:rsidRPr="00C311A4">
        <w:rPr>
          <w:sz w:val="24"/>
          <w:szCs w:val="24"/>
          <w:u w:val="single"/>
          <w:lang w:val="en-US"/>
        </w:rPr>
        <w:t>Metformin</w:t>
      </w:r>
    </w:p>
    <w:p w14:paraId="6BF1367C" w14:textId="77777777" w:rsidR="004A1F86" w:rsidRPr="00C311A4" w:rsidRDefault="004A1F86" w:rsidP="00624EBB">
      <w:pPr>
        <w:ind w:left="851"/>
        <w:rPr>
          <w:i/>
          <w:sz w:val="24"/>
          <w:szCs w:val="24"/>
          <w:lang w:val="en-US"/>
        </w:rPr>
      </w:pPr>
      <w:r w:rsidRPr="00C311A4">
        <w:rPr>
          <w:i/>
          <w:sz w:val="24"/>
          <w:szCs w:val="24"/>
          <w:lang w:val="en-US"/>
        </w:rPr>
        <w:t>Combination requiring precautions for use</w:t>
      </w:r>
    </w:p>
    <w:p w14:paraId="1FC41F8C" w14:textId="77777777" w:rsidR="004A1F86" w:rsidRPr="00C311A4" w:rsidRDefault="004A1F86" w:rsidP="00624EBB">
      <w:pPr>
        <w:ind w:left="851"/>
        <w:rPr>
          <w:sz w:val="24"/>
          <w:szCs w:val="24"/>
          <w:lang w:val="en-US"/>
        </w:rPr>
      </w:pPr>
      <w:r w:rsidRPr="00C311A4">
        <w:rPr>
          <w:sz w:val="24"/>
          <w:szCs w:val="24"/>
          <w:lang w:val="en-US"/>
        </w:rPr>
        <w:t xml:space="preserve">Glucocorticoids (given by systemic and local routes), beta-2-agonists, and diuretics have intrinsic </w:t>
      </w:r>
      <w:proofErr w:type="spellStart"/>
      <w:r w:rsidRPr="00C311A4">
        <w:rPr>
          <w:sz w:val="24"/>
          <w:szCs w:val="24"/>
          <w:lang w:val="en-US"/>
        </w:rPr>
        <w:t>hyperglycaemic</w:t>
      </w:r>
      <w:proofErr w:type="spellEnd"/>
      <w:r w:rsidRPr="00C311A4">
        <w:rPr>
          <w:sz w:val="24"/>
          <w:szCs w:val="24"/>
          <w:lang w:val="en-US"/>
        </w:rPr>
        <w:t xml:space="preserve"> activity. The patient should be informed and more frequent blood glucose monitoring performed, especially at the beginning of treatment with such medicinal products. If necessary, the dose of the anti-</w:t>
      </w:r>
      <w:proofErr w:type="spellStart"/>
      <w:r w:rsidRPr="00C311A4">
        <w:rPr>
          <w:sz w:val="24"/>
          <w:szCs w:val="24"/>
          <w:lang w:val="en-US"/>
        </w:rPr>
        <w:t>hyperglycaemic</w:t>
      </w:r>
      <w:proofErr w:type="spellEnd"/>
      <w:r w:rsidRPr="00C311A4">
        <w:rPr>
          <w:sz w:val="24"/>
          <w:szCs w:val="24"/>
          <w:lang w:val="en-US"/>
        </w:rPr>
        <w:t xml:space="preserve"> medicinal product should be adjusted during therapy with the other medicinal product and on its discontinuation.</w:t>
      </w:r>
    </w:p>
    <w:p w14:paraId="41FAF1EF" w14:textId="77777777" w:rsidR="004A1F86" w:rsidRPr="00C311A4" w:rsidRDefault="004A1F86" w:rsidP="00624EBB">
      <w:pPr>
        <w:ind w:left="851"/>
        <w:rPr>
          <w:sz w:val="24"/>
          <w:szCs w:val="24"/>
          <w:lang w:val="en-US"/>
        </w:rPr>
      </w:pPr>
    </w:p>
    <w:p w14:paraId="532040E1" w14:textId="77777777" w:rsidR="004A1F86" w:rsidRPr="00C311A4" w:rsidRDefault="004A1F86" w:rsidP="00624EBB">
      <w:pPr>
        <w:ind w:left="851"/>
        <w:rPr>
          <w:sz w:val="24"/>
          <w:szCs w:val="24"/>
          <w:lang w:val="en-US"/>
        </w:rPr>
      </w:pPr>
      <w:r w:rsidRPr="00C311A4">
        <w:rPr>
          <w:sz w:val="24"/>
          <w:szCs w:val="24"/>
          <w:lang w:val="en-US"/>
        </w:rPr>
        <w:t>Some medicinal products can adversely affect renal function which may increase the risk of lactic acidosis, e.g. NSAIDs, including selective cyclo-oxygenase (COX) II inhibitors, ACE inhibitors, angiotensin II receptor antagonists and diuretics, especially loop diuretics. When starting or using such products in combination with metformin, close monitoring of renal function is necessary.</w:t>
      </w:r>
    </w:p>
    <w:p w14:paraId="1765D686" w14:textId="77777777" w:rsidR="004A1F86" w:rsidRPr="00C311A4" w:rsidRDefault="004A1F86" w:rsidP="00624EBB">
      <w:pPr>
        <w:ind w:left="851"/>
        <w:rPr>
          <w:sz w:val="24"/>
          <w:szCs w:val="24"/>
          <w:lang w:val="en-US"/>
        </w:rPr>
      </w:pPr>
    </w:p>
    <w:p w14:paraId="38E3A3E7" w14:textId="77777777" w:rsidR="004A1F86" w:rsidRPr="00C311A4" w:rsidRDefault="004A1F86" w:rsidP="00624EBB">
      <w:pPr>
        <w:ind w:left="851"/>
        <w:rPr>
          <w:sz w:val="24"/>
          <w:szCs w:val="24"/>
          <w:lang w:val="en-US"/>
        </w:rPr>
      </w:pPr>
      <w:r w:rsidRPr="00C311A4">
        <w:rPr>
          <w:sz w:val="24"/>
          <w:szCs w:val="24"/>
          <w:u w:val="single"/>
          <w:lang w:val="en-US"/>
        </w:rPr>
        <w:t>Organic cation transporters (OCT)</w:t>
      </w:r>
    </w:p>
    <w:p w14:paraId="1013AADD" w14:textId="77777777" w:rsidR="004A1F86" w:rsidRPr="00C311A4" w:rsidRDefault="004A1F86" w:rsidP="00624EBB">
      <w:pPr>
        <w:ind w:left="851"/>
        <w:rPr>
          <w:sz w:val="24"/>
          <w:szCs w:val="24"/>
          <w:lang w:val="en-US"/>
        </w:rPr>
      </w:pPr>
      <w:r w:rsidRPr="00C311A4">
        <w:rPr>
          <w:sz w:val="24"/>
          <w:szCs w:val="24"/>
          <w:lang w:val="en-US"/>
        </w:rPr>
        <w:t>Metformin is a substrate of both transporters OCT1 and OCT2. Co-administration of metformin with</w:t>
      </w:r>
    </w:p>
    <w:p w14:paraId="5D8EA0DF" w14:textId="77777777" w:rsidR="004A1F86" w:rsidRPr="00AD0270" w:rsidRDefault="004A1F86" w:rsidP="00AD0270">
      <w:pPr>
        <w:pStyle w:val="Listeafsnit"/>
        <w:numPr>
          <w:ilvl w:val="0"/>
          <w:numId w:val="11"/>
        </w:numPr>
        <w:tabs>
          <w:tab w:val="clear" w:pos="567"/>
        </w:tabs>
        <w:ind w:left="1276" w:hanging="425"/>
        <w:rPr>
          <w:sz w:val="24"/>
          <w:szCs w:val="24"/>
          <w:lang w:val="en-US"/>
        </w:rPr>
      </w:pPr>
      <w:r w:rsidRPr="00AD0270">
        <w:rPr>
          <w:sz w:val="24"/>
          <w:szCs w:val="24"/>
          <w:lang w:val="en-US"/>
        </w:rPr>
        <w:t>Inhibitors of OCT1 (such as verapamil) may reduce efficacy of metformin.</w:t>
      </w:r>
    </w:p>
    <w:p w14:paraId="43BE7AE1" w14:textId="77777777" w:rsidR="004A1F86" w:rsidRPr="00AD0270" w:rsidRDefault="004A1F86" w:rsidP="00AD0270">
      <w:pPr>
        <w:pStyle w:val="Listeafsnit"/>
        <w:numPr>
          <w:ilvl w:val="0"/>
          <w:numId w:val="11"/>
        </w:numPr>
        <w:tabs>
          <w:tab w:val="clear" w:pos="567"/>
        </w:tabs>
        <w:ind w:left="1276" w:hanging="425"/>
        <w:rPr>
          <w:sz w:val="24"/>
          <w:szCs w:val="24"/>
          <w:lang w:val="en-US"/>
        </w:rPr>
      </w:pPr>
      <w:r w:rsidRPr="00AD0270">
        <w:rPr>
          <w:sz w:val="24"/>
          <w:szCs w:val="24"/>
          <w:lang w:val="en-US"/>
        </w:rPr>
        <w:t>Inducers of OCT1 (such as rifampicin) may increase gastrointestinal absorption and efficacy of metformin.</w:t>
      </w:r>
    </w:p>
    <w:p w14:paraId="7D7CEAD8" w14:textId="77777777" w:rsidR="004A1F86" w:rsidRPr="00AD0270" w:rsidRDefault="004A1F86" w:rsidP="00AD0270">
      <w:pPr>
        <w:pStyle w:val="Listeafsnit"/>
        <w:numPr>
          <w:ilvl w:val="0"/>
          <w:numId w:val="11"/>
        </w:numPr>
        <w:tabs>
          <w:tab w:val="clear" w:pos="567"/>
        </w:tabs>
        <w:ind w:left="1276" w:hanging="425"/>
        <w:rPr>
          <w:sz w:val="24"/>
          <w:szCs w:val="24"/>
          <w:lang w:val="en-US"/>
        </w:rPr>
      </w:pPr>
      <w:r w:rsidRPr="00AD0270">
        <w:rPr>
          <w:sz w:val="24"/>
          <w:szCs w:val="24"/>
          <w:lang w:val="en-US"/>
        </w:rPr>
        <w:t xml:space="preserve">Inhibitors of OCT2 (such as cimetidine, dolutegravir, ranolazine, </w:t>
      </w:r>
      <w:proofErr w:type="spellStart"/>
      <w:r w:rsidRPr="00AD0270">
        <w:rPr>
          <w:sz w:val="24"/>
          <w:szCs w:val="24"/>
          <w:lang w:val="en-US"/>
        </w:rPr>
        <w:t>trimethoprime</w:t>
      </w:r>
      <w:proofErr w:type="spellEnd"/>
      <w:r w:rsidRPr="00AD0270">
        <w:rPr>
          <w:sz w:val="24"/>
          <w:szCs w:val="24"/>
          <w:lang w:val="en-US"/>
        </w:rPr>
        <w:t xml:space="preserve">, </w:t>
      </w:r>
      <w:proofErr w:type="spellStart"/>
      <w:r w:rsidRPr="00AD0270">
        <w:rPr>
          <w:sz w:val="24"/>
          <w:szCs w:val="24"/>
          <w:lang w:val="en-US"/>
        </w:rPr>
        <w:t>vandetanib</w:t>
      </w:r>
      <w:proofErr w:type="spellEnd"/>
      <w:r w:rsidRPr="00AD0270">
        <w:rPr>
          <w:sz w:val="24"/>
          <w:szCs w:val="24"/>
          <w:lang w:val="en-US"/>
        </w:rPr>
        <w:t xml:space="preserve">, </w:t>
      </w:r>
      <w:proofErr w:type="spellStart"/>
      <w:r w:rsidRPr="00AD0270">
        <w:rPr>
          <w:sz w:val="24"/>
          <w:szCs w:val="24"/>
          <w:lang w:val="en-US"/>
        </w:rPr>
        <w:t>isavuconazole</w:t>
      </w:r>
      <w:proofErr w:type="spellEnd"/>
      <w:r w:rsidRPr="00AD0270">
        <w:rPr>
          <w:sz w:val="24"/>
          <w:szCs w:val="24"/>
          <w:lang w:val="en-US"/>
        </w:rPr>
        <w:t>) may decrease the renal elimination of metformin and thus lead to an increase in metformin plasma concentration.</w:t>
      </w:r>
    </w:p>
    <w:p w14:paraId="3C4A49E5" w14:textId="77777777" w:rsidR="004A1F86" w:rsidRPr="00AD0270" w:rsidRDefault="004A1F86" w:rsidP="00AD0270">
      <w:pPr>
        <w:pStyle w:val="Listeafsnit"/>
        <w:numPr>
          <w:ilvl w:val="0"/>
          <w:numId w:val="11"/>
        </w:numPr>
        <w:tabs>
          <w:tab w:val="clear" w:pos="567"/>
        </w:tabs>
        <w:ind w:left="1276" w:hanging="425"/>
        <w:rPr>
          <w:sz w:val="24"/>
          <w:szCs w:val="24"/>
          <w:lang w:val="en-US"/>
        </w:rPr>
      </w:pPr>
      <w:r w:rsidRPr="00AD0270">
        <w:rPr>
          <w:sz w:val="24"/>
          <w:szCs w:val="24"/>
          <w:lang w:val="en-US"/>
        </w:rPr>
        <w:t xml:space="preserve">Inhibitors of both OCT1 and OCT2 (such as </w:t>
      </w:r>
      <w:proofErr w:type="spellStart"/>
      <w:r w:rsidRPr="00AD0270">
        <w:rPr>
          <w:sz w:val="24"/>
          <w:szCs w:val="24"/>
          <w:lang w:val="en-US"/>
        </w:rPr>
        <w:t>crizotinib</w:t>
      </w:r>
      <w:proofErr w:type="spellEnd"/>
      <w:r w:rsidRPr="00AD0270">
        <w:rPr>
          <w:sz w:val="24"/>
          <w:szCs w:val="24"/>
          <w:lang w:val="en-US"/>
        </w:rPr>
        <w:t xml:space="preserve">, </w:t>
      </w:r>
      <w:proofErr w:type="spellStart"/>
      <w:r w:rsidRPr="00AD0270">
        <w:rPr>
          <w:sz w:val="24"/>
          <w:szCs w:val="24"/>
          <w:lang w:val="en-US"/>
        </w:rPr>
        <w:t>olaparib</w:t>
      </w:r>
      <w:proofErr w:type="spellEnd"/>
      <w:r w:rsidRPr="00AD0270">
        <w:rPr>
          <w:sz w:val="24"/>
          <w:szCs w:val="24"/>
          <w:lang w:val="en-US"/>
        </w:rPr>
        <w:t>) may alter efficacy and renal elimination of metformin.</w:t>
      </w:r>
    </w:p>
    <w:p w14:paraId="09019F8D" w14:textId="77777777" w:rsidR="004A1F86" w:rsidRPr="00C311A4" w:rsidRDefault="004A1F86" w:rsidP="00624EBB">
      <w:pPr>
        <w:ind w:left="851"/>
        <w:rPr>
          <w:sz w:val="24"/>
          <w:szCs w:val="24"/>
          <w:lang w:val="en-US"/>
        </w:rPr>
      </w:pPr>
    </w:p>
    <w:p w14:paraId="1E529108" w14:textId="77777777" w:rsidR="004A1F86" w:rsidRPr="00C311A4" w:rsidRDefault="004A1F86" w:rsidP="00624EBB">
      <w:pPr>
        <w:ind w:left="851"/>
        <w:rPr>
          <w:sz w:val="24"/>
          <w:szCs w:val="24"/>
          <w:lang w:val="en-US"/>
        </w:rPr>
      </w:pPr>
      <w:r w:rsidRPr="00C311A4">
        <w:rPr>
          <w:sz w:val="24"/>
          <w:szCs w:val="24"/>
          <w:lang w:val="en-US"/>
        </w:rPr>
        <w:t xml:space="preserve">Caution is therefore advised, especially in patients with renal impairment, when these drugs are </w:t>
      </w:r>
      <w:proofErr w:type="spellStart"/>
      <w:r w:rsidRPr="00C311A4">
        <w:rPr>
          <w:sz w:val="24"/>
          <w:szCs w:val="24"/>
          <w:lang w:val="en-US"/>
        </w:rPr>
        <w:t>coadministered</w:t>
      </w:r>
      <w:proofErr w:type="spellEnd"/>
      <w:r w:rsidRPr="00C311A4">
        <w:rPr>
          <w:sz w:val="24"/>
          <w:szCs w:val="24"/>
          <w:lang w:val="en-US"/>
        </w:rPr>
        <w:t xml:space="preserve"> with metformin, as metformin plasma concentration may increase. If needed, dose adjustment of metformin may be considered as OCT inhibitors/inducers may alter the efficacy of metformin.</w:t>
      </w:r>
    </w:p>
    <w:p w14:paraId="6092AB35" w14:textId="77777777" w:rsidR="004A1F86" w:rsidRPr="00C311A4" w:rsidRDefault="004A1F86" w:rsidP="00624EBB">
      <w:pPr>
        <w:ind w:left="851"/>
        <w:rPr>
          <w:sz w:val="24"/>
          <w:szCs w:val="24"/>
          <w:lang w:val="en-US"/>
        </w:rPr>
      </w:pPr>
    </w:p>
    <w:p w14:paraId="75BEFF25" w14:textId="77777777" w:rsidR="004A1F86" w:rsidRPr="00C311A4" w:rsidRDefault="004A1F86" w:rsidP="00624EBB">
      <w:pPr>
        <w:ind w:left="851"/>
        <w:rPr>
          <w:i/>
          <w:sz w:val="24"/>
          <w:szCs w:val="24"/>
          <w:lang w:val="en-US"/>
        </w:rPr>
      </w:pPr>
      <w:r w:rsidRPr="00C311A4">
        <w:rPr>
          <w:i/>
          <w:sz w:val="24"/>
          <w:szCs w:val="24"/>
          <w:lang w:val="en-US"/>
        </w:rPr>
        <w:t xml:space="preserve">Concomitant use not recommended </w:t>
      </w:r>
    </w:p>
    <w:p w14:paraId="3B4F280D" w14:textId="77777777" w:rsidR="004A1F86" w:rsidRPr="00C311A4" w:rsidRDefault="004A1F86" w:rsidP="00624EBB">
      <w:pPr>
        <w:ind w:left="851"/>
        <w:rPr>
          <w:i/>
          <w:sz w:val="24"/>
          <w:szCs w:val="24"/>
          <w:lang w:val="en-US"/>
        </w:rPr>
      </w:pPr>
      <w:r w:rsidRPr="00C311A4">
        <w:rPr>
          <w:i/>
          <w:sz w:val="24"/>
          <w:szCs w:val="24"/>
          <w:u w:val="single"/>
          <w:lang w:val="en-US"/>
        </w:rPr>
        <w:t>Alcohol</w:t>
      </w:r>
    </w:p>
    <w:p w14:paraId="66C04D11" w14:textId="77777777" w:rsidR="004A1F86" w:rsidRPr="00C311A4" w:rsidRDefault="004A1F86" w:rsidP="00624EBB">
      <w:pPr>
        <w:ind w:left="851"/>
        <w:rPr>
          <w:sz w:val="24"/>
          <w:szCs w:val="24"/>
          <w:lang w:val="en-US"/>
        </w:rPr>
      </w:pPr>
      <w:r w:rsidRPr="00C311A4">
        <w:rPr>
          <w:sz w:val="24"/>
          <w:szCs w:val="24"/>
          <w:lang w:val="en-US"/>
        </w:rPr>
        <w:t>Alcohol intoxication is associated with an increased risk of lactic acidosis, particularly in cases of fasting, malnutrition or hepatic impairment.</w:t>
      </w:r>
    </w:p>
    <w:p w14:paraId="7A5976EA" w14:textId="643E8BC3" w:rsidR="00A73714" w:rsidRDefault="00A73714">
      <w:pPr>
        <w:rPr>
          <w:sz w:val="24"/>
          <w:szCs w:val="24"/>
          <w:lang w:val="en-US"/>
        </w:rPr>
      </w:pPr>
      <w:r>
        <w:rPr>
          <w:sz w:val="24"/>
          <w:szCs w:val="24"/>
          <w:lang w:val="en-US"/>
        </w:rPr>
        <w:br w:type="page"/>
      </w:r>
    </w:p>
    <w:p w14:paraId="4E84B592" w14:textId="77777777" w:rsidR="004A1F86" w:rsidRPr="00C311A4" w:rsidRDefault="004A1F86" w:rsidP="00624EBB">
      <w:pPr>
        <w:ind w:left="851"/>
        <w:rPr>
          <w:sz w:val="24"/>
          <w:szCs w:val="24"/>
          <w:lang w:val="en-US"/>
        </w:rPr>
      </w:pPr>
    </w:p>
    <w:p w14:paraId="5533E4DE" w14:textId="77777777" w:rsidR="004A1F86" w:rsidRPr="00C311A4" w:rsidRDefault="004A1F86" w:rsidP="00624EBB">
      <w:pPr>
        <w:ind w:left="851"/>
        <w:rPr>
          <w:i/>
          <w:sz w:val="24"/>
          <w:szCs w:val="24"/>
          <w:lang w:val="en-US"/>
        </w:rPr>
      </w:pPr>
      <w:r w:rsidRPr="00C311A4">
        <w:rPr>
          <w:i/>
          <w:sz w:val="24"/>
          <w:szCs w:val="24"/>
          <w:u w:val="single"/>
          <w:lang w:val="en-US"/>
        </w:rPr>
        <w:t>Iodinated contrast agents</w:t>
      </w:r>
    </w:p>
    <w:p w14:paraId="42E00E36" w14:textId="7DB2EF8C" w:rsidR="004A1F86" w:rsidRPr="00C311A4" w:rsidRDefault="00C311A4" w:rsidP="00624EBB">
      <w:pPr>
        <w:ind w:left="851"/>
        <w:rPr>
          <w:sz w:val="24"/>
          <w:szCs w:val="24"/>
          <w:lang w:val="en-GB"/>
        </w:rPr>
      </w:pPr>
      <w:proofErr w:type="spellStart"/>
      <w:r w:rsidRPr="00C311A4">
        <w:rPr>
          <w:sz w:val="24"/>
          <w:szCs w:val="24"/>
          <w:lang w:val="en-US"/>
        </w:rPr>
        <w:t>Nagilma</w:t>
      </w:r>
      <w:proofErr w:type="spellEnd"/>
      <w:r w:rsidR="004A1F86" w:rsidRPr="00C311A4">
        <w:rPr>
          <w:sz w:val="24"/>
          <w:szCs w:val="24"/>
          <w:lang w:val="en-US"/>
        </w:rPr>
        <w:t xml:space="preserve"> must be discontinued prior to or at the time of the imaging procedure and not restarted until at least 48 hours after, provided that renal function has been re-evaluated and found to be stable, see sections 4.2 and 4.4.</w:t>
      </w:r>
    </w:p>
    <w:p w14:paraId="09888635" w14:textId="77777777" w:rsidR="007C5D2A" w:rsidRPr="00C311A4" w:rsidRDefault="007C5D2A" w:rsidP="003E0341">
      <w:pPr>
        <w:tabs>
          <w:tab w:val="left" w:pos="851"/>
        </w:tabs>
        <w:ind w:left="851"/>
        <w:rPr>
          <w:sz w:val="24"/>
          <w:szCs w:val="24"/>
          <w:lang w:val="en-GB"/>
        </w:rPr>
      </w:pPr>
    </w:p>
    <w:p w14:paraId="55914697" w14:textId="77777777" w:rsidR="007C5D2A" w:rsidRPr="00C311A4" w:rsidRDefault="007C5D2A" w:rsidP="007C5D2A">
      <w:pPr>
        <w:tabs>
          <w:tab w:val="left" w:pos="851"/>
        </w:tabs>
        <w:ind w:left="851" w:hanging="851"/>
        <w:rPr>
          <w:b/>
          <w:sz w:val="24"/>
          <w:szCs w:val="24"/>
          <w:lang w:val="en-GB"/>
        </w:rPr>
      </w:pPr>
      <w:r w:rsidRPr="00C311A4">
        <w:rPr>
          <w:b/>
          <w:sz w:val="24"/>
          <w:szCs w:val="24"/>
          <w:lang w:val="en-GB"/>
        </w:rPr>
        <w:t>4.6</w:t>
      </w:r>
      <w:r w:rsidRPr="00C311A4">
        <w:rPr>
          <w:b/>
          <w:sz w:val="24"/>
          <w:szCs w:val="24"/>
          <w:lang w:val="en-GB"/>
        </w:rPr>
        <w:tab/>
      </w:r>
      <w:r w:rsidR="004860D3" w:rsidRPr="00C311A4">
        <w:rPr>
          <w:b/>
          <w:sz w:val="24"/>
          <w:szCs w:val="24"/>
          <w:lang w:val="en-GB"/>
        </w:rPr>
        <w:t>Fertility, p</w:t>
      </w:r>
      <w:r w:rsidRPr="00C311A4">
        <w:rPr>
          <w:b/>
          <w:sz w:val="24"/>
          <w:szCs w:val="24"/>
          <w:lang w:val="en-GB"/>
        </w:rPr>
        <w:t>regnancy and lactation</w:t>
      </w:r>
    </w:p>
    <w:p w14:paraId="4CCC1FFE" w14:textId="77777777" w:rsidR="00AD0270" w:rsidRDefault="00AD0270" w:rsidP="00624EBB">
      <w:pPr>
        <w:ind w:left="851"/>
        <w:rPr>
          <w:sz w:val="24"/>
          <w:szCs w:val="24"/>
          <w:lang w:val="en-US"/>
        </w:rPr>
      </w:pPr>
    </w:p>
    <w:p w14:paraId="4BCC04AE" w14:textId="23A6B074" w:rsidR="004A1F86" w:rsidRPr="00AD0270" w:rsidRDefault="004A1F86" w:rsidP="00624EBB">
      <w:pPr>
        <w:ind w:left="851"/>
        <w:rPr>
          <w:sz w:val="24"/>
          <w:szCs w:val="24"/>
          <w:u w:val="single"/>
          <w:lang w:val="en-US"/>
        </w:rPr>
      </w:pPr>
      <w:r w:rsidRPr="00AD0270">
        <w:rPr>
          <w:sz w:val="24"/>
          <w:szCs w:val="24"/>
          <w:u w:val="single"/>
          <w:lang w:val="en-US"/>
        </w:rPr>
        <w:t>Pregnancy</w:t>
      </w:r>
    </w:p>
    <w:p w14:paraId="6CDC6E9C" w14:textId="77777777" w:rsidR="004A1F86" w:rsidRPr="00C311A4" w:rsidRDefault="004A1F86" w:rsidP="00624EBB">
      <w:pPr>
        <w:ind w:left="851"/>
        <w:rPr>
          <w:sz w:val="24"/>
          <w:szCs w:val="24"/>
          <w:lang w:val="en-US"/>
        </w:rPr>
      </w:pPr>
      <w:r w:rsidRPr="00C311A4">
        <w:rPr>
          <w:sz w:val="24"/>
          <w:szCs w:val="24"/>
          <w:lang w:val="en-US"/>
        </w:rPr>
        <w:t>The use of linagliptin has not been studied in pregnant women. Animal studies do not indicate direct or indirect harmful effects with respect to reproductive toxicity (see section 5.3).</w:t>
      </w:r>
    </w:p>
    <w:p w14:paraId="5F8C49FC" w14:textId="77777777" w:rsidR="004A1F86" w:rsidRPr="00C311A4" w:rsidRDefault="004A1F86" w:rsidP="00624EBB">
      <w:pPr>
        <w:ind w:left="851"/>
        <w:rPr>
          <w:sz w:val="24"/>
          <w:szCs w:val="24"/>
          <w:lang w:val="en-US"/>
        </w:rPr>
      </w:pPr>
      <w:r w:rsidRPr="00C311A4">
        <w:rPr>
          <w:sz w:val="24"/>
          <w:szCs w:val="24"/>
          <w:lang w:val="en-US"/>
        </w:rPr>
        <w:t>A limited amount of data suggests that the use of metformin in pregnant women is not associated with an increased risk of congenital malformations. Animal studies with metformin do not indicate harmful effects with respect to reproductive toxicity (see section 5.3).</w:t>
      </w:r>
    </w:p>
    <w:p w14:paraId="23FF375E" w14:textId="77777777" w:rsidR="004A1F86" w:rsidRPr="00C311A4" w:rsidRDefault="004A1F86" w:rsidP="00624EBB">
      <w:pPr>
        <w:ind w:left="851"/>
        <w:rPr>
          <w:sz w:val="24"/>
          <w:szCs w:val="24"/>
          <w:lang w:val="en-US"/>
        </w:rPr>
      </w:pPr>
      <w:r w:rsidRPr="00C311A4">
        <w:rPr>
          <w:sz w:val="24"/>
          <w:szCs w:val="24"/>
          <w:lang w:val="en-US"/>
        </w:rPr>
        <w:t>Non-clinical reproduction studies did not indicate an additive teratogenic effect attributed to the co- administration of linagliptin and metformin.</w:t>
      </w:r>
    </w:p>
    <w:p w14:paraId="10FBDD6E" w14:textId="0BB474B1" w:rsidR="004A1F86" w:rsidRPr="00C311A4" w:rsidRDefault="00C311A4" w:rsidP="00624EBB">
      <w:pPr>
        <w:ind w:left="851"/>
        <w:rPr>
          <w:sz w:val="24"/>
          <w:szCs w:val="24"/>
          <w:lang w:val="en-US"/>
        </w:rPr>
      </w:pPr>
      <w:proofErr w:type="spellStart"/>
      <w:r w:rsidRPr="00C311A4">
        <w:rPr>
          <w:sz w:val="24"/>
          <w:szCs w:val="24"/>
          <w:lang w:val="en-US"/>
        </w:rPr>
        <w:t>Nagilma</w:t>
      </w:r>
      <w:proofErr w:type="spellEnd"/>
      <w:r w:rsidR="004A1F86" w:rsidRPr="00C311A4">
        <w:rPr>
          <w:sz w:val="24"/>
          <w:szCs w:val="24"/>
          <w:lang w:val="en-US"/>
        </w:rPr>
        <w:t xml:space="preserve"> should not be used during pregnancy. If the patient plans to become pregnant, or if pregnancy occurs, treatment with </w:t>
      </w:r>
      <w:proofErr w:type="spellStart"/>
      <w:r w:rsidRPr="00C311A4">
        <w:rPr>
          <w:sz w:val="24"/>
          <w:szCs w:val="24"/>
          <w:lang w:val="en-US"/>
        </w:rPr>
        <w:t>Nagilma</w:t>
      </w:r>
      <w:proofErr w:type="spellEnd"/>
      <w:r w:rsidR="004A1F86" w:rsidRPr="00C311A4">
        <w:rPr>
          <w:sz w:val="24"/>
          <w:szCs w:val="24"/>
          <w:lang w:val="en-US"/>
        </w:rPr>
        <w:t xml:space="preserve"> should be discontinued and switched to insulin treatment as soon as possible in order to lower the risk of </w:t>
      </w:r>
      <w:proofErr w:type="spellStart"/>
      <w:r w:rsidR="004A1F86" w:rsidRPr="00C311A4">
        <w:rPr>
          <w:sz w:val="24"/>
          <w:szCs w:val="24"/>
          <w:lang w:val="en-US"/>
        </w:rPr>
        <w:t>foetal</w:t>
      </w:r>
      <w:proofErr w:type="spellEnd"/>
      <w:r w:rsidR="004A1F86" w:rsidRPr="00C311A4">
        <w:rPr>
          <w:sz w:val="24"/>
          <w:szCs w:val="24"/>
          <w:lang w:val="en-US"/>
        </w:rPr>
        <w:t xml:space="preserve"> malformations associated with abnormal blood glucose levels.</w:t>
      </w:r>
    </w:p>
    <w:p w14:paraId="296A74FE" w14:textId="77777777" w:rsidR="004A1F86" w:rsidRPr="00C311A4" w:rsidRDefault="004A1F86" w:rsidP="00624EBB">
      <w:pPr>
        <w:ind w:left="851"/>
        <w:rPr>
          <w:sz w:val="24"/>
          <w:szCs w:val="24"/>
          <w:lang w:val="en-US"/>
        </w:rPr>
      </w:pPr>
    </w:p>
    <w:p w14:paraId="7416F84E" w14:textId="77777777" w:rsidR="004A1F86" w:rsidRPr="00AD0270" w:rsidRDefault="004A1F86" w:rsidP="00624EBB">
      <w:pPr>
        <w:ind w:left="851"/>
        <w:rPr>
          <w:sz w:val="24"/>
          <w:szCs w:val="24"/>
          <w:u w:val="single"/>
          <w:lang w:val="en-US"/>
        </w:rPr>
      </w:pPr>
      <w:r w:rsidRPr="00AD0270">
        <w:rPr>
          <w:sz w:val="24"/>
          <w:szCs w:val="24"/>
          <w:u w:val="single"/>
          <w:lang w:val="en-US"/>
        </w:rPr>
        <w:t>Breast-feeding</w:t>
      </w:r>
    </w:p>
    <w:p w14:paraId="3040C5D8" w14:textId="41D465B9" w:rsidR="004A1F86" w:rsidRPr="00C311A4" w:rsidRDefault="004A1F86" w:rsidP="00624EBB">
      <w:pPr>
        <w:ind w:left="851"/>
        <w:rPr>
          <w:sz w:val="24"/>
          <w:szCs w:val="24"/>
          <w:lang w:val="en-US"/>
        </w:rPr>
      </w:pPr>
      <w:r w:rsidRPr="00C311A4">
        <w:rPr>
          <w:sz w:val="24"/>
          <w:szCs w:val="24"/>
          <w:lang w:val="en-US"/>
        </w:rPr>
        <w:t xml:space="preserve">Studies in animals have shown excretion of both metformin and linagliptin into milk in lactating rats. Metformin is excreted in human milk in small amounts. It is not known whether linagliptin is excreted into human milk. A decision must be made whether to discontinue breast-feeding or to discontinue/abstain from </w:t>
      </w:r>
      <w:proofErr w:type="spellStart"/>
      <w:r w:rsidR="00C311A4" w:rsidRPr="00C311A4">
        <w:rPr>
          <w:sz w:val="24"/>
          <w:szCs w:val="24"/>
          <w:lang w:val="en-US"/>
        </w:rPr>
        <w:t>Nagilma</w:t>
      </w:r>
      <w:proofErr w:type="spellEnd"/>
      <w:r w:rsidRPr="00C311A4">
        <w:rPr>
          <w:sz w:val="24"/>
          <w:szCs w:val="24"/>
          <w:lang w:val="en-US"/>
        </w:rPr>
        <w:t xml:space="preserve"> therapy </w:t>
      </w:r>
      <w:proofErr w:type="gramStart"/>
      <w:r w:rsidRPr="00C311A4">
        <w:rPr>
          <w:sz w:val="24"/>
          <w:szCs w:val="24"/>
          <w:lang w:val="en-US"/>
        </w:rPr>
        <w:t>taking into account</w:t>
      </w:r>
      <w:proofErr w:type="gramEnd"/>
      <w:r w:rsidRPr="00C311A4">
        <w:rPr>
          <w:sz w:val="24"/>
          <w:szCs w:val="24"/>
          <w:lang w:val="en-US"/>
        </w:rPr>
        <w:t xml:space="preserve"> the benefit of breast-feeding for the child and the benefit of therapy for the woman.</w:t>
      </w:r>
    </w:p>
    <w:p w14:paraId="3FF2AC89" w14:textId="77777777" w:rsidR="004A1F86" w:rsidRPr="00C311A4" w:rsidRDefault="004A1F86" w:rsidP="00624EBB">
      <w:pPr>
        <w:ind w:left="851"/>
        <w:rPr>
          <w:sz w:val="24"/>
          <w:szCs w:val="24"/>
          <w:lang w:val="en-US"/>
        </w:rPr>
      </w:pPr>
    </w:p>
    <w:p w14:paraId="5BD1DF08" w14:textId="77777777" w:rsidR="004A1F86" w:rsidRPr="00AD0270" w:rsidRDefault="004A1F86" w:rsidP="00624EBB">
      <w:pPr>
        <w:ind w:left="851"/>
        <w:rPr>
          <w:sz w:val="24"/>
          <w:szCs w:val="24"/>
          <w:u w:val="single"/>
          <w:lang w:val="en-US"/>
        </w:rPr>
      </w:pPr>
      <w:r w:rsidRPr="00AD0270">
        <w:rPr>
          <w:sz w:val="24"/>
          <w:szCs w:val="24"/>
          <w:u w:val="single"/>
          <w:lang w:val="en-US"/>
        </w:rPr>
        <w:t>Fertility</w:t>
      </w:r>
    </w:p>
    <w:p w14:paraId="1D6618E4" w14:textId="77777777" w:rsidR="004A1F86" w:rsidRPr="00C311A4" w:rsidRDefault="004A1F86" w:rsidP="00624EBB">
      <w:pPr>
        <w:ind w:left="851"/>
        <w:rPr>
          <w:i/>
          <w:sz w:val="24"/>
          <w:szCs w:val="24"/>
          <w:lang w:val="en-GB"/>
        </w:rPr>
      </w:pPr>
      <w:r w:rsidRPr="00C311A4">
        <w:rPr>
          <w:sz w:val="24"/>
          <w:szCs w:val="24"/>
          <w:lang w:val="en-US"/>
        </w:rPr>
        <w:t>The effect of linagliptin and metformin on human fertility has not been studied. No adverse effects of linagliptin on fertility were observed in male or female rats (see section 5.3).</w:t>
      </w:r>
    </w:p>
    <w:p w14:paraId="66F88E69" w14:textId="77777777" w:rsidR="007C5D2A" w:rsidRPr="00C311A4" w:rsidRDefault="007C5D2A" w:rsidP="003E0341">
      <w:pPr>
        <w:tabs>
          <w:tab w:val="left" w:pos="851"/>
        </w:tabs>
        <w:ind w:left="851"/>
        <w:rPr>
          <w:sz w:val="24"/>
          <w:szCs w:val="24"/>
          <w:lang w:val="en-GB"/>
        </w:rPr>
      </w:pPr>
    </w:p>
    <w:p w14:paraId="687C3067" w14:textId="77777777" w:rsidR="007C5D2A" w:rsidRPr="00C311A4" w:rsidRDefault="007C5D2A" w:rsidP="007C5D2A">
      <w:pPr>
        <w:tabs>
          <w:tab w:val="left" w:pos="851"/>
        </w:tabs>
        <w:ind w:left="851" w:hanging="851"/>
        <w:rPr>
          <w:b/>
          <w:sz w:val="24"/>
          <w:szCs w:val="24"/>
          <w:lang w:val="en-GB"/>
        </w:rPr>
      </w:pPr>
      <w:r w:rsidRPr="00C311A4">
        <w:rPr>
          <w:b/>
          <w:sz w:val="24"/>
          <w:szCs w:val="24"/>
          <w:lang w:val="en-GB"/>
        </w:rPr>
        <w:t>4.7</w:t>
      </w:r>
      <w:r w:rsidRPr="00C311A4">
        <w:rPr>
          <w:b/>
          <w:sz w:val="24"/>
          <w:szCs w:val="24"/>
          <w:lang w:val="en-GB"/>
        </w:rPr>
        <w:tab/>
        <w:t>Effects on ability to drive and use machines</w:t>
      </w:r>
    </w:p>
    <w:p w14:paraId="7ADD7881" w14:textId="77777777" w:rsidR="00AD0270" w:rsidRDefault="00AD0270" w:rsidP="00624EBB">
      <w:pPr>
        <w:ind w:left="851"/>
        <w:rPr>
          <w:sz w:val="24"/>
          <w:szCs w:val="24"/>
          <w:lang w:val="en-GB"/>
        </w:rPr>
      </w:pPr>
      <w:r>
        <w:rPr>
          <w:sz w:val="24"/>
          <w:szCs w:val="24"/>
          <w:lang w:val="en-GB"/>
        </w:rPr>
        <w:t>No traffic warning.</w:t>
      </w:r>
    </w:p>
    <w:p w14:paraId="079699CA" w14:textId="71D45C15" w:rsidR="004A1F86" w:rsidRPr="00C311A4" w:rsidRDefault="00C311A4" w:rsidP="00624EBB">
      <w:pPr>
        <w:ind w:left="851"/>
        <w:rPr>
          <w:sz w:val="24"/>
          <w:szCs w:val="24"/>
          <w:lang w:val="en-US"/>
        </w:rPr>
      </w:pPr>
      <w:proofErr w:type="spellStart"/>
      <w:r w:rsidRPr="00C311A4">
        <w:rPr>
          <w:sz w:val="24"/>
          <w:szCs w:val="24"/>
          <w:lang w:val="en-US"/>
        </w:rPr>
        <w:t>Nagilma</w:t>
      </w:r>
      <w:proofErr w:type="spellEnd"/>
      <w:r w:rsidR="004A1F86" w:rsidRPr="00C311A4">
        <w:rPr>
          <w:sz w:val="24"/>
          <w:szCs w:val="24"/>
          <w:lang w:val="en-US"/>
        </w:rPr>
        <w:t xml:space="preserve"> has no or negligible influence on the ability to drive and use machines. However, patients should be alerted to the risk of </w:t>
      </w:r>
      <w:proofErr w:type="spellStart"/>
      <w:r w:rsidR="004A1F86" w:rsidRPr="00C311A4">
        <w:rPr>
          <w:sz w:val="24"/>
          <w:szCs w:val="24"/>
          <w:lang w:val="en-US"/>
        </w:rPr>
        <w:t>hypoglycaemia</w:t>
      </w:r>
      <w:proofErr w:type="spellEnd"/>
      <w:r w:rsidR="004A1F86" w:rsidRPr="00C311A4">
        <w:rPr>
          <w:sz w:val="24"/>
          <w:szCs w:val="24"/>
          <w:lang w:val="en-US"/>
        </w:rPr>
        <w:t xml:space="preserve"> when </w:t>
      </w:r>
      <w:proofErr w:type="spellStart"/>
      <w:r w:rsidRPr="00C311A4">
        <w:rPr>
          <w:sz w:val="24"/>
          <w:szCs w:val="24"/>
          <w:lang w:val="en-US"/>
        </w:rPr>
        <w:t>Nagilma</w:t>
      </w:r>
      <w:proofErr w:type="spellEnd"/>
      <w:r w:rsidR="004A1F86" w:rsidRPr="00C311A4">
        <w:rPr>
          <w:sz w:val="24"/>
          <w:szCs w:val="24"/>
          <w:lang w:val="en-US"/>
        </w:rPr>
        <w:t xml:space="preserve"> is used in combination with other antidiabetic medicinal products known to cause </w:t>
      </w:r>
      <w:proofErr w:type="spellStart"/>
      <w:r w:rsidR="004A1F86" w:rsidRPr="00C311A4">
        <w:rPr>
          <w:sz w:val="24"/>
          <w:szCs w:val="24"/>
          <w:lang w:val="en-US"/>
        </w:rPr>
        <w:t>hypoglycaemia</w:t>
      </w:r>
      <w:proofErr w:type="spellEnd"/>
      <w:r w:rsidR="004A1F86" w:rsidRPr="00C311A4">
        <w:rPr>
          <w:sz w:val="24"/>
          <w:szCs w:val="24"/>
          <w:lang w:val="en-US"/>
        </w:rPr>
        <w:t xml:space="preserve"> (e.g. </w:t>
      </w:r>
      <w:proofErr w:type="spellStart"/>
      <w:r w:rsidR="004A1F86" w:rsidRPr="00C311A4">
        <w:rPr>
          <w:sz w:val="24"/>
          <w:szCs w:val="24"/>
          <w:lang w:val="en-US"/>
        </w:rPr>
        <w:t>sulphonylureas</w:t>
      </w:r>
      <w:proofErr w:type="spellEnd"/>
      <w:r w:rsidR="004A1F86" w:rsidRPr="00C311A4">
        <w:rPr>
          <w:sz w:val="24"/>
          <w:szCs w:val="24"/>
          <w:lang w:val="en-US"/>
        </w:rPr>
        <w:t>).</w:t>
      </w:r>
    </w:p>
    <w:p w14:paraId="330A8949" w14:textId="77777777" w:rsidR="007C5D2A" w:rsidRPr="00C311A4" w:rsidRDefault="007C5D2A" w:rsidP="003E0341">
      <w:pPr>
        <w:tabs>
          <w:tab w:val="left" w:pos="851"/>
        </w:tabs>
        <w:ind w:left="851"/>
        <w:rPr>
          <w:sz w:val="24"/>
          <w:szCs w:val="24"/>
          <w:lang w:val="en-GB"/>
        </w:rPr>
      </w:pPr>
    </w:p>
    <w:p w14:paraId="3641737C" w14:textId="77777777" w:rsidR="007C5D2A" w:rsidRPr="00C311A4" w:rsidRDefault="007C5D2A" w:rsidP="007C5D2A">
      <w:pPr>
        <w:tabs>
          <w:tab w:val="left" w:pos="851"/>
        </w:tabs>
        <w:ind w:left="851" w:hanging="851"/>
        <w:rPr>
          <w:b/>
          <w:sz w:val="24"/>
          <w:szCs w:val="24"/>
          <w:lang w:val="en-GB"/>
        </w:rPr>
      </w:pPr>
      <w:r w:rsidRPr="00C311A4">
        <w:rPr>
          <w:b/>
          <w:sz w:val="24"/>
          <w:szCs w:val="24"/>
          <w:lang w:val="en-GB"/>
        </w:rPr>
        <w:t>4.8</w:t>
      </w:r>
      <w:r w:rsidRPr="00C311A4">
        <w:rPr>
          <w:b/>
          <w:sz w:val="24"/>
          <w:szCs w:val="24"/>
          <w:lang w:val="en-GB"/>
        </w:rPr>
        <w:tab/>
        <w:t>Undesirable effects</w:t>
      </w:r>
    </w:p>
    <w:p w14:paraId="406C5F04" w14:textId="77777777" w:rsidR="00AD0270" w:rsidRDefault="00AD0270" w:rsidP="00624EBB">
      <w:pPr>
        <w:ind w:left="851"/>
        <w:rPr>
          <w:sz w:val="24"/>
          <w:szCs w:val="24"/>
          <w:lang w:val="en-US"/>
        </w:rPr>
      </w:pPr>
    </w:p>
    <w:p w14:paraId="219AC2D9" w14:textId="1D64D5D7" w:rsidR="004A1F86" w:rsidRPr="00AD0270" w:rsidRDefault="004A1F86" w:rsidP="00624EBB">
      <w:pPr>
        <w:ind w:left="851"/>
        <w:rPr>
          <w:sz w:val="24"/>
          <w:szCs w:val="24"/>
          <w:u w:val="single"/>
          <w:lang w:val="en-US"/>
        </w:rPr>
      </w:pPr>
      <w:r w:rsidRPr="00AD0270">
        <w:rPr>
          <w:sz w:val="24"/>
          <w:szCs w:val="24"/>
          <w:u w:val="single"/>
          <w:lang w:val="en-US"/>
        </w:rPr>
        <w:t>Summary of the safety profile</w:t>
      </w:r>
    </w:p>
    <w:p w14:paraId="4931BD06" w14:textId="77777777" w:rsidR="004A1F86" w:rsidRPr="00C311A4" w:rsidRDefault="004A1F86" w:rsidP="00624EBB">
      <w:pPr>
        <w:ind w:left="851"/>
        <w:rPr>
          <w:sz w:val="24"/>
          <w:szCs w:val="24"/>
          <w:lang w:val="en-US"/>
        </w:rPr>
      </w:pPr>
      <w:r w:rsidRPr="00C311A4">
        <w:rPr>
          <w:sz w:val="24"/>
          <w:szCs w:val="24"/>
          <w:lang w:val="en-US"/>
        </w:rPr>
        <w:t>The safety of linagliptin 2.5 mg twice daily (or its bioequivalent of 5 mg once daily) in combination with metformin has been evaluated in over 6800 patients with type 2 diabetes mellitus. In placebo- controlled studies, more than 1800 patients were treated with the therapeutic dose of either 2.5 mg linagliptin twice daily (or its bioequivalent of 5 mg linagliptin once daily) in combination with metformin for ≥ 12/24 weeks.</w:t>
      </w:r>
    </w:p>
    <w:p w14:paraId="142D76E2" w14:textId="77777777" w:rsidR="004A1F86" w:rsidRPr="00C311A4" w:rsidRDefault="004A1F86" w:rsidP="00624EBB">
      <w:pPr>
        <w:ind w:left="851"/>
        <w:rPr>
          <w:sz w:val="24"/>
          <w:szCs w:val="24"/>
          <w:lang w:val="en-US"/>
        </w:rPr>
      </w:pPr>
    </w:p>
    <w:p w14:paraId="2F367E90" w14:textId="77777777" w:rsidR="004A1F86" w:rsidRPr="00C311A4" w:rsidRDefault="004A1F86" w:rsidP="00624EBB">
      <w:pPr>
        <w:ind w:left="851"/>
        <w:rPr>
          <w:sz w:val="24"/>
          <w:szCs w:val="24"/>
          <w:lang w:val="en-US"/>
        </w:rPr>
      </w:pPr>
      <w:r w:rsidRPr="00C311A4">
        <w:rPr>
          <w:sz w:val="24"/>
          <w:szCs w:val="24"/>
          <w:lang w:val="en-US"/>
        </w:rPr>
        <w:lastRenderedPageBreak/>
        <w:t>In the pooled analysis of the seven placebo-controlled trials, the overall incidence of adverse events in patients treated with placebo and metformin was comparable to that seen with linagliptin 2.5 mg and metformin (54.3 and 49.0%). Discontinuation of therapy due to adverse events was comparable in patients who received placebo and metformin to patients treated with linagliptin and metformin (3.8% and 2.9%).</w:t>
      </w:r>
    </w:p>
    <w:p w14:paraId="58A23892" w14:textId="77777777" w:rsidR="004A1F86" w:rsidRPr="00C311A4" w:rsidRDefault="004A1F86" w:rsidP="00624EBB">
      <w:pPr>
        <w:ind w:left="851"/>
        <w:rPr>
          <w:sz w:val="24"/>
          <w:szCs w:val="24"/>
          <w:lang w:val="en-US"/>
        </w:rPr>
      </w:pPr>
    </w:p>
    <w:p w14:paraId="62612635" w14:textId="77777777" w:rsidR="004A1F86" w:rsidRPr="00C311A4" w:rsidRDefault="004A1F86" w:rsidP="00624EBB">
      <w:pPr>
        <w:ind w:left="851"/>
        <w:rPr>
          <w:sz w:val="24"/>
          <w:szCs w:val="24"/>
          <w:lang w:val="en-US"/>
        </w:rPr>
      </w:pPr>
      <w:r w:rsidRPr="00C311A4">
        <w:rPr>
          <w:sz w:val="24"/>
          <w:szCs w:val="24"/>
          <w:lang w:val="en-US"/>
        </w:rPr>
        <w:t xml:space="preserve">The most frequently reported adverse reaction for linagliptin plus metformin was </w:t>
      </w:r>
      <w:proofErr w:type="spellStart"/>
      <w:r w:rsidRPr="00C311A4">
        <w:rPr>
          <w:sz w:val="24"/>
          <w:szCs w:val="24"/>
          <w:lang w:val="en-US"/>
        </w:rPr>
        <w:t>diarrhoea</w:t>
      </w:r>
      <w:proofErr w:type="spellEnd"/>
      <w:r w:rsidRPr="00C311A4">
        <w:rPr>
          <w:sz w:val="24"/>
          <w:szCs w:val="24"/>
          <w:lang w:val="en-US"/>
        </w:rPr>
        <w:t xml:space="preserve"> (1.6%) with a comparable rate on metformin plus placebo (2.4%).</w:t>
      </w:r>
    </w:p>
    <w:p w14:paraId="4403B20B" w14:textId="77777777" w:rsidR="004A1F86" w:rsidRPr="00C311A4" w:rsidRDefault="004A1F86" w:rsidP="00624EBB">
      <w:pPr>
        <w:ind w:left="851"/>
        <w:rPr>
          <w:sz w:val="24"/>
          <w:szCs w:val="24"/>
          <w:lang w:val="en-US"/>
        </w:rPr>
      </w:pPr>
    </w:p>
    <w:p w14:paraId="5CD23453" w14:textId="4F4CDB3D" w:rsidR="004A1F86" w:rsidRPr="00C311A4" w:rsidRDefault="004A1F86" w:rsidP="00624EBB">
      <w:pPr>
        <w:ind w:left="851"/>
        <w:rPr>
          <w:sz w:val="24"/>
          <w:szCs w:val="24"/>
          <w:lang w:val="en-US"/>
        </w:rPr>
      </w:pPr>
      <w:proofErr w:type="spellStart"/>
      <w:r w:rsidRPr="00C311A4">
        <w:rPr>
          <w:sz w:val="24"/>
          <w:szCs w:val="24"/>
          <w:lang w:val="en-US"/>
        </w:rPr>
        <w:t>Hypoglycaemia</w:t>
      </w:r>
      <w:proofErr w:type="spellEnd"/>
      <w:r w:rsidRPr="00C311A4">
        <w:rPr>
          <w:sz w:val="24"/>
          <w:szCs w:val="24"/>
          <w:lang w:val="en-US"/>
        </w:rPr>
        <w:t xml:space="preserve"> may occur when </w:t>
      </w:r>
      <w:proofErr w:type="spellStart"/>
      <w:r w:rsidR="00C311A4" w:rsidRPr="00C311A4">
        <w:rPr>
          <w:sz w:val="24"/>
          <w:szCs w:val="24"/>
          <w:lang w:val="en-US"/>
        </w:rPr>
        <w:t>Nagilma</w:t>
      </w:r>
      <w:proofErr w:type="spellEnd"/>
      <w:r w:rsidRPr="00C311A4">
        <w:rPr>
          <w:sz w:val="24"/>
          <w:szCs w:val="24"/>
          <w:lang w:val="en-US"/>
        </w:rPr>
        <w:t xml:space="preserve"> is administered together with </w:t>
      </w:r>
      <w:proofErr w:type="spellStart"/>
      <w:r w:rsidRPr="00C311A4">
        <w:rPr>
          <w:sz w:val="24"/>
          <w:szCs w:val="24"/>
          <w:lang w:val="en-US"/>
        </w:rPr>
        <w:t>sulphonylurea</w:t>
      </w:r>
      <w:proofErr w:type="spellEnd"/>
      <w:r w:rsidRPr="00C311A4">
        <w:rPr>
          <w:sz w:val="24"/>
          <w:szCs w:val="24"/>
          <w:lang w:val="en-US"/>
        </w:rPr>
        <w:t xml:space="preserve"> (≥ 1 case per 10 patients).</w:t>
      </w:r>
    </w:p>
    <w:p w14:paraId="072E3650" w14:textId="77777777" w:rsidR="004A1F86" w:rsidRPr="00C311A4" w:rsidRDefault="004A1F86" w:rsidP="00624EBB">
      <w:pPr>
        <w:ind w:left="851"/>
        <w:rPr>
          <w:sz w:val="24"/>
          <w:szCs w:val="24"/>
          <w:lang w:val="en-US"/>
        </w:rPr>
      </w:pPr>
    </w:p>
    <w:p w14:paraId="12E64C98" w14:textId="77777777" w:rsidR="004A1F86" w:rsidRPr="00AD0270" w:rsidRDefault="004A1F86" w:rsidP="00624EBB">
      <w:pPr>
        <w:ind w:left="851"/>
        <w:rPr>
          <w:sz w:val="24"/>
          <w:szCs w:val="24"/>
          <w:u w:val="single"/>
          <w:lang w:val="en-US"/>
        </w:rPr>
      </w:pPr>
      <w:r w:rsidRPr="00AD0270">
        <w:rPr>
          <w:sz w:val="24"/>
          <w:szCs w:val="24"/>
          <w:u w:val="single"/>
          <w:lang w:val="en-US"/>
        </w:rPr>
        <w:t>Tabulated list of adverse reactions</w:t>
      </w:r>
    </w:p>
    <w:p w14:paraId="2815192B" w14:textId="77777777" w:rsidR="004A1F86" w:rsidRPr="00C311A4" w:rsidRDefault="004A1F86" w:rsidP="00624EBB">
      <w:pPr>
        <w:ind w:left="851"/>
        <w:rPr>
          <w:sz w:val="24"/>
          <w:szCs w:val="24"/>
          <w:lang w:val="en-US"/>
        </w:rPr>
      </w:pPr>
      <w:r w:rsidRPr="00C311A4">
        <w:rPr>
          <w:sz w:val="24"/>
          <w:szCs w:val="24"/>
          <w:lang w:val="en-US"/>
        </w:rPr>
        <w:t xml:space="preserve">Adverse reactions reported in all clinical trials with the </w:t>
      </w:r>
      <w:proofErr w:type="spellStart"/>
      <w:r w:rsidRPr="00C311A4">
        <w:rPr>
          <w:sz w:val="24"/>
          <w:szCs w:val="24"/>
          <w:lang w:val="en-US"/>
        </w:rPr>
        <w:t>linagliptin+metformin</w:t>
      </w:r>
      <w:proofErr w:type="spellEnd"/>
      <w:r w:rsidRPr="00C311A4">
        <w:rPr>
          <w:sz w:val="24"/>
          <w:szCs w:val="24"/>
          <w:lang w:val="en-US"/>
        </w:rPr>
        <w:t xml:space="preserve"> combination or the use of the </w:t>
      </w:r>
      <w:proofErr w:type="spellStart"/>
      <w:r w:rsidRPr="00C311A4">
        <w:rPr>
          <w:sz w:val="24"/>
          <w:szCs w:val="24"/>
          <w:lang w:val="en-US"/>
        </w:rPr>
        <w:t>monocomponents</w:t>
      </w:r>
      <w:proofErr w:type="spellEnd"/>
      <w:r w:rsidRPr="00C311A4">
        <w:rPr>
          <w:sz w:val="24"/>
          <w:szCs w:val="24"/>
          <w:lang w:val="en-US"/>
        </w:rPr>
        <w:t xml:space="preserve"> (linagliptin or metformin) in clinical trials or from post-marketing experience are shown below according to system organ class. Adverse reactions previously reported with one of the individual active substances may be potential adverse reactions with linagliptin and metformin, even if not observed in clinical trials with this medicinal product.</w:t>
      </w:r>
    </w:p>
    <w:p w14:paraId="4C735811" w14:textId="77777777" w:rsidR="004A1F86" w:rsidRPr="00C311A4" w:rsidRDefault="004A1F86" w:rsidP="00624EBB">
      <w:pPr>
        <w:ind w:left="851"/>
        <w:rPr>
          <w:sz w:val="24"/>
          <w:szCs w:val="24"/>
          <w:lang w:val="en-US"/>
        </w:rPr>
      </w:pPr>
    </w:p>
    <w:p w14:paraId="11DE13C5" w14:textId="7A433463" w:rsidR="004A1F86" w:rsidRPr="00C311A4" w:rsidRDefault="004A1F86" w:rsidP="00624EBB">
      <w:pPr>
        <w:ind w:left="851"/>
        <w:rPr>
          <w:sz w:val="24"/>
          <w:szCs w:val="24"/>
          <w:lang w:val="en-US"/>
        </w:rPr>
      </w:pPr>
      <w:r w:rsidRPr="00C311A4">
        <w:rPr>
          <w:sz w:val="24"/>
          <w:szCs w:val="24"/>
          <w:lang w:val="en-US"/>
        </w:rPr>
        <w:t>The adverse reactions are listed by system organ class and absolute frequency. Frequencies are defined as very common (≥ 1/10), common (≥ 1/100 to &lt; 1/10), uncommon (≥ 1/1,000 to &lt; 1/100), rare (≥ 1/10,000 to &lt; 1/1,000), or very rare (&lt; 1/10,000) and not known (cannot be estimated from the available data).</w:t>
      </w:r>
    </w:p>
    <w:p w14:paraId="0FA93733" w14:textId="77777777" w:rsidR="004A1F86" w:rsidRPr="00C311A4" w:rsidRDefault="004A1F86" w:rsidP="00624EBB">
      <w:pPr>
        <w:ind w:left="851"/>
        <w:rPr>
          <w:sz w:val="24"/>
          <w:szCs w:val="24"/>
          <w:lang w:val="en-US"/>
        </w:rPr>
      </w:pPr>
    </w:p>
    <w:p w14:paraId="69B75D5C" w14:textId="633B6FF7" w:rsidR="004A1F86" w:rsidRPr="00AD0270" w:rsidRDefault="004A1F86" w:rsidP="00624EBB">
      <w:pPr>
        <w:rPr>
          <w:b/>
          <w:sz w:val="24"/>
          <w:szCs w:val="24"/>
          <w:lang w:val="en-US"/>
        </w:rPr>
      </w:pPr>
      <w:r w:rsidRPr="00AD0270">
        <w:rPr>
          <w:b/>
          <w:sz w:val="24"/>
          <w:szCs w:val="24"/>
          <w:lang w:val="en-US"/>
        </w:rPr>
        <w:t>Table 2:</w:t>
      </w:r>
      <w:r w:rsidR="00AD0270" w:rsidRPr="00AD0270">
        <w:rPr>
          <w:b/>
          <w:sz w:val="24"/>
          <w:szCs w:val="24"/>
          <w:lang w:val="en-US"/>
        </w:rPr>
        <w:t xml:space="preserve"> </w:t>
      </w:r>
      <w:r w:rsidRPr="00AD0270">
        <w:rPr>
          <w:b/>
          <w:sz w:val="24"/>
          <w:szCs w:val="24"/>
          <w:lang w:val="en-US"/>
        </w:rPr>
        <w:t xml:space="preserve">Adverse reactions reported in patients who received </w:t>
      </w:r>
      <w:proofErr w:type="spellStart"/>
      <w:r w:rsidRPr="00AD0270">
        <w:rPr>
          <w:b/>
          <w:sz w:val="24"/>
          <w:szCs w:val="24"/>
          <w:lang w:val="en-US"/>
        </w:rPr>
        <w:t>linagliptin+metformin</w:t>
      </w:r>
      <w:proofErr w:type="spellEnd"/>
      <w:r w:rsidRPr="00AD0270">
        <w:rPr>
          <w:b/>
          <w:sz w:val="24"/>
          <w:szCs w:val="24"/>
          <w:lang w:val="en-US"/>
        </w:rPr>
        <w:t xml:space="preserve"> alone (as mono-components or in combination) or as add-on to other anti-diabetic therapies in clinical trial and from post-marketing experience</w:t>
      </w:r>
    </w:p>
    <w:p w14:paraId="3A858528" w14:textId="77777777" w:rsidR="004A1F86" w:rsidRPr="00C311A4" w:rsidRDefault="004A1F86" w:rsidP="004A1F86">
      <w:pPr>
        <w:rPr>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14"/>
        <w:gridCol w:w="4514"/>
      </w:tblGrid>
      <w:tr w:rsidR="004A1F86" w:rsidRPr="00C311A4" w14:paraId="411D16C5" w14:textId="77777777" w:rsidTr="00624EBB">
        <w:trPr>
          <w:trHeight w:val="505"/>
        </w:trPr>
        <w:tc>
          <w:tcPr>
            <w:tcW w:w="2656" w:type="pct"/>
            <w:tcBorders>
              <w:top w:val="single" w:sz="4" w:space="0" w:color="000000"/>
              <w:left w:val="single" w:sz="4" w:space="0" w:color="000000"/>
              <w:bottom w:val="single" w:sz="4" w:space="0" w:color="000000"/>
              <w:right w:val="single" w:sz="4" w:space="0" w:color="000000"/>
            </w:tcBorders>
            <w:hideMark/>
          </w:tcPr>
          <w:p w14:paraId="2F522507" w14:textId="77777777" w:rsidR="004A1F86" w:rsidRPr="00C311A4" w:rsidRDefault="004A1F86">
            <w:pPr>
              <w:rPr>
                <w:b/>
                <w:sz w:val="24"/>
                <w:szCs w:val="24"/>
                <w:lang w:val="en-US"/>
              </w:rPr>
            </w:pPr>
            <w:r w:rsidRPr="00C311A4">
              <w:rPr>
                <w:b/>
                <w:sz w:val="24"/>
                <w:szCs w:val="24"/>
                <w:lang w:val="en-US"/>
              </w:rPr>
              <w:t>System organ class</w:t>
            </w:r>
          </w:p>
          <w:p w14:paraId="7D633AAE" w14:textId="77777777" w:rsidR="004A1F86" w:rsidRPr="00C311A4" w:rsidRDefault="004A1F86">
            <w:pPr>
              <w:rPr>
                <w:sz w:val="24"/>
                <w:szCs w:val="24"/>
                <w:lang w:val="en-US"/>
              </w:rPr>
            </w:pPr>
            <w:r w:rsidRPr="00C311A4">
              <w:rPr>
                <w:sz w:val="24"/>
                <w:szCs w:val="24"/>
                <w:lang w:val="en-US"/>
              </w:rPr>
              <w:t>Adverse reaction</w:t>
            </w:r>
          </w:p>
        </w:tc>
        <w:tc>
          <w:tcPr>
            <w:tcW w:w="2344" w:type="pct"/>
            <w:tcBorders>
              <w:top w:val="single" w:sz="4" w:space="0" w:color="000000"/>
              <w:left w:val="single" w:sz="4" w:space="0" w:color="000000"/>
              <w:bottom w:val="single" w:sz="4" w:space="0" w:color="000000"/>
              <w:right w:val="single" w:sz="4" w:space="0" w:color="000000"/>
            </w:tcBorders>
            <w:hideMark/>
          </w:tcPr>
          <w:p w14:paraId="62CF2DCE" w14:textId="77777777" w:rsidR="004A1F86" w:rsidRPr="00C311A4" w:rsidRDefault="004A1F86">
            <w:pPr>
              <w:jc w:val="center"/>
              <w:rPr>
                <w:b/>
                <w:sz w:val="24"/>
                <w:szCs w:val="24"/>
                <w:lang w:val="en-US"/>
              </w:rPr>
            </w:pPr>
            <w:r w:rsidRPr="00C311A4">
              <w:rPr>
                <w:b/>
                <w:sz w:val="24"/>
                <w:szCs w:val="24"/>
                <w:lang w:val="en-US"/>
              </w:rPr>
              <w:t>Frequency of adverse reaction</w:t>
            </w:r>
          </w:p>
        </w:tc>
      </w:tr>
      <w:tr w:rsidR="004A1F86" w:rsidRPr="00C311A4" w14:paraId="5F6A09C4"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13FF62BA" w14:textId="77777777" w:rsidR="004A1F86" w:rsidRPr="00C311A4" w:rsidRDefault="004A1F86">
            <w:pPr>
              <w:rPr>
                <w:b/>
                <w:sz w:val="24"/>
                <w:szCs w:val="24"/>
                <w:lang w:val="en-US"/>
              </w:rPr>
            </w:pPr>
            <w:r w:rsidRPr="00C311A4">
              <w:rPr>
                <w:b/>
                <w:sz w:val="24"/>
                <w:szCs w:val="24"/>
                <w:lang w:val="en-US"/>
              </w:rPr>
              <w:t>Infections and infestations</w:t>
            </w:r>
          </w:p>
        </w:tc>
        <w:tc>
          <w:tcPr>
            <w:tcW w:w="2344" w:type="pct"/>
            <w:tcBorders>
              <w:top w:val="single" w:sz="4" w:space="0" w:color="000000"/>
              <w:left w:val="single" w:sz="4" w:space="0" w:color="000000"/>
              <w:bottom w:val="single" w:sz="4" w:space="0" w:color="000000"/>
              <w:right w:val="single" w:sz="4" w:space="0" w:color="000000"/>
            </w:tcBorders>
          </w:tcPr>
          <w:p w14:paraId="477B4745" w14:textId="77777777" w:rsidR="004A1F86" w:rsidRPr="00C311A4" w:rsidRDefault="004A1F86">
            <w:pPr>
              <w:jc w:val="center"/>
              <w:rPr>
                <w:sz w:val="24"/>
                <w:szCs w:val="24"/>
                <w:lang w:val="en-US"/>
              </w:rPr>
            </w:pPr>
          </w:p>
        </w:tc>
      </w:tr>
      <w:tr w:rsidR="004A1F86" w:rsidRPr="00C311A4" w14:paraId="626A5CA5"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02058D08" w14:textId="77777777" w:rsidR="004A1F86" w:rsidRPr="00C311A4" w:rsidRDefault="004A1F86">
            <w:pPr>
              <w:rPr>
                <w:sz w:val="24"/>
                <w:szCs w:val="24"/>
                <w:lang w:val="en-US"/>
              </w:rPr>
            </w:pPr>
            <w:r w:rsidRPr="00C311A4">
              <w:rPr>
                <w:sz w:val="24"/>
                <w:szCs w:val="24"/>
                <w:lang w:val="en-US"/>
              </w:rPr>
              <w:t>Nasopharyngitis</w:t>
            </w:r>
          </w:p>
        </w:tc>
        <w:tc>
          <w:tcPr>
            <w:tcW w:w="2344" w:type="pct"/>
            <w:tcBorders>
              <w:top w:val="single" w:sz="4" w:space="0" w:color="000000"/>
              <w:left w:val="single" w:sz="4" w:space="0" w:color="000000"/>
              <w:bottom w:val="single" w:sz="4" w:space="0" w:color="000000"/>
              <w:right w:val="single" w:sz="4" w:space="0" w:color="000000"/>
            </w:tcBorders>
            <w:hideMark/>
          </w:tcPr>
          <w:p w14:paraId="2A0023CE" w14:textId="77777777" w:rsidR="004A1F86" w:rsidRPr="00C311A4" w:rsidRDefault="004A1F86">
            <w:pPr>
              <w:jc w:val="center"/>
              <w:rPr>
                <w:sz w:val="24"/>
                <w:szCs w:val="24"/>
                <w:lang w:val="en-US"/>
              </w:rPr>
            </w:pPr>
            <w:r w:rsidRPr="00C311A4">
              <w:rPr>
                <w:sz w:val="24"/>
                <w:szCs w:val="24"/>
                <w:lang w:val="en-US"/>
              </w:rPr>
              <w:t>uncommon</w:t>
            </w:r>
          </w:p>
        </w:tc>
      </w:tr>
      <w:tr w:rsidR="004A1F86" w:rsidRPr="00C311A4" w14:paraId="09D0FAEA" w14:textId="77777777" w:rsidTr="00624EBB">
        <w:trPr>
          <w:trHeight w:val="338"/>
        </w:trPr>
        <w:tc>
          <w:tcPr>
            <w:tcW w:w="2656" w:type="pct"/>
            <w:tcBorders>
              <w:top w:val="single" w:sz="4" w:space="0" w:color="000000"/>
              <w:left w:val="single" w:sz="4" w:space="0" w:color="000000"/>
              <w:bottom w:val="single" w:sz="4" w:space="0" w:color="000000"/>
              <w:right w:val="single" w:sz="4" w:space="0" w:color="000000"/>
            </w:tcBorders>
            <w:hideMark/>
          </w:tcPr>
          <w:p w14:paraId="25710960" w14:textId="77777777" w:rsidR="004A1F86" w:rsidRPr="00C311A4" w:rsidRDefault="004A1F86">
            <w:pPr>
              <w:rPr>
                <w:b/>
                <w:sz w:val="24"/>
                <w:szCs w:val="24"/>
                <w:lang w:val="en-US"/>
              </w:rPr>
            </w:pPr>
            <w:r w:rsidRPr="00C311A4">
              <w:rPr>
                <w:b/>
                <w:sz w:val="24"/>
                <w:szCs w:val="24"/>
                <w:lang w:val="en-US"/>
              </w:rPr>
              <w:t>Immune system disorders</w:t>
            </w:r>
          </w:p>
        </w:tc>
        <w:tc>
          <w:tcPr>
            <w:tcW w:w="2344" w:type="pct"/>
            <w:tcBorders>
              <w:top w:val="single" w:sz="4" w:space="0" w:color="000000"/>
              <w:left w:val="single" w:sz="4" w:space="0" w:color="000000"/>
              <w:bottom w:val="single" w:sz="4" w:space="0" w:color="000000"/>
              <w:right w:val="single" w:sz="4" w:space="0" w:color="000000"/>
            </w:tcBorders>
          </w:tcPr>
          <w:p w14:paraId="7C815CC5" w14:textId="77777777" w:rsidR="004A1F86" w:rsidRPr="00C311A4" w:rsidRDefault="004A1F86">
            <w:pPr>
              <w:jc w:val="center"/>
              <w:rPr>
                <w:sz w:val="24"/>
                <w:szCs w:val="24"/>
                <w:lang w:val="en-US"/>
              </w:rPr>
            </w:pPr>
          </w:p>
        </w:tc>
      </w:tr>
      <w:tr w:rsidR="004A1F86" w:rsidRPr="00C311A4" w14:paraId="7442E6BF" w14:textId="77777777" w:rsidTr="00624EBB">
        <w:trPr>
          <w:trHeight w:val="505"/>
        </w:trPr>
        <w:tc>
          <w:tcPr>
            <w:tcW w:w="2656" w:type="pct"/>
            <w:tcBorders>
              <w:top w:val="single" w:sz="4" w:space="0" w:color="000000"/>
              <w:left w:val="single" w:sz="4" w:space="0" w:color="000000"/>
              <w:bottom w:val="single" w:sz="4" w:space="0" w:color="000000"/>
              <w:right w:val="single" w:sz="4" w:space="0" w:color="000000"/>
            </w:tcBorders>
            <w:hideMark/>
          </w:tcPr>
          <w:p w14:paraId="31369489" w14:textId="77777777" w:rsidR="004A1F86" w:rsidRPr="00C311A4" w:rsidRDefault="004A1F86">
            <w:pPr>
              <w:rPr>
                <w:sz w:val="24"/>
                <w:szCs w:val="24"/>
                <w:lang w:val="en-US"/>
              </w:rPr>
            </w:pPr>
            <w:r w:rsidRPr="00C311A4">
              <w:rPr>
                <w:sz w:val="24"/>
                <w:szCs w:val="24"/>
                <w:lang w:val="en-US"/>
              </w:rPr>
              <w:t>Hypersensitivity</w:t>
            </w:r>
          </w:p>
          <w:p w14:paraId="15ED2816" w14:textId="77777777" w:rsidR="004A1F86" w:rsidRPr="00C311A4" w:rsidRDefault="004A1F86">
            <w:pPr>
              <w:rPr>
                <w:sz w:val="24"/>
                <w:szCs w:val="24"/>
                <w:lang w:val="en-US"/>
              </w:rPr>
            </w:pPr>
            <w:r w:rsidRPr="00C311A4">
              <w:rPr>
                <w:sz w:val="24"/>
                <w:szCs w:val="24"/>
                <w:lang w:val="en-US"/>
              </w:rPr>
              <w:t>(e.g. bronchial hyperreactivity)</w:t>
            </w:r>
          </w:p>
        </w:tc>
        <w:tc>
          <w:tcPr>
            <w:tcW w:w="2344" w:type="pct"/>
            <w:tcBorders>
              <w:top w:val="single" w:sz="4" w:space="0" w:color="000000"/>
              <w:left w:val="single" w:sz="4" w:space="0" w:color="000000"/>
              <w:bottom w:val="single" w:sz="4" w:space="0" w:color="000000"/>
              <w:right w:val="single" w:sz="4" w:space="0" w:color="000000"/>
            </w:tcBorders>
            <w:hideMark/>
          </w:tcPr>
          <w:p w14:paraId="46277F13" w14:textId="77777777" w:rsidR="004A1F86" w:rsidRPr="00C311A4" w:rsidRDefault="004A1F86">
            <w:pPr>
              <w:jc w:val="center"/>
              <w:rPr>
                <w:sz w:val="24"/>
                <w:szCs w:val="24"/>
                <w:lang w:val="en-US"/>
              </w:rPr>
            </w:pPr>
            <w:r w:rsidRPr="00C311A4">
              <w:rPr>
                <w:sz w:val="24"/>
                <w:szCs w:val="24"/>
                <w:lang w:val="en-US"/>
              </w:rPr>
              <w:t>uncommon</w:t>
            </w:r>
          </w:p>
        </w:tc>
      </w:tr>
      <w:tr w:rsidR="004A1F86" w:rsidRPr="00C311A4" w14:paraId="52BFD635"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459B2E57" w14:textId="77777777" w:rsidR="004A1F86" w:rsidRPr="00C311A4" w:rsidRDefault="004A1F86">
            <w:pPr>
              <w:rPr>
                <w:b/>
                <w:sz w:val="24"/>
                <w:szCs w:val="24"/>
                <w:lang w:val="en-US"/>
              </w:rPr>
            </w:pPr>
            <w:r w:rsidRPr="00C311A4">
              <w:rPr>
                <w:b/>
                <w:sz w:val="24"/>
                <w:szCs w:val="24"/>
                <w:lang w:val="en-US"/>
              </w:rPr>
              <w:t>Metabolism and nutrition disorders</w:t>
            </w:r>
          </w:p>
        </w:tc>
        <w:tc>
          <w:tcPr>
            <w:tcW w:w="2344" w:type="pct"/>
            <w:tcBorders>
              <w:top w:val="single" w:sz="4" w:space="0" w:color="000000"/>
              <w:left w:val="single" w:sz="4" w:space="0" w:color="000000"/>
              <w:bottom w:val="single" w:sz="4" w:space="0" w:color="000000"/>
              <w:right w:val="single" w:sz="4" w:space="0" w:color="000000"/>
            </w:tcBorders>
          </w:tcPr>
          <w:p w14:paraId="6D4D8A4E" w14:textId="77777777" w:rsidR="004A1F86" w:rsidRPr="00C311A4" w:rsidRDefault="004A1F86">
            <w:pPr>
              <w:jc w:val="center"/>
              <w:rPr>
                <w:sz w:val="24"/>
                <w:szCs w:val="24"/>
                <w:lang w:val="en-US"/>
              </w:rPr>
            </w:pPr>
          </w:p>
        </w:tc>
      </w:tr>
      <w:tr w:rsidR="004A1F86" w:rsidRPr="00C311A4" w14:paraId="71C1823A"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2489A378" w14:textId="77777777" w:rsidR="004A1F86" w:rsidRPr="00C311A4" w:rsidRDefault="004A1F86">
            <w:pPr>
              <w:rPr>
                <w:sz w:val="24"/>
                <w:szCs w:val="24"/>
                <w:lang w:val="en-US"/>
              </w:rPr>
            </w:pPr>
            <w:proofErr w:type="spellStart"/>
            <w:r w:rsidRPr="00C311A4">
              <w:rPr>
                <w:sz w:val="24"/>
                <w:szCs w:val="24"/>
                <w:lang w:val="en-US"/>
              </w:rPr>
              <w:t>Hypoglycaemia</w:t>
            </w:r>
            <w:proofErr w:type="spellEnd"/>
            <w:r w:rsidRPr="00C311A4">
              <w:rPr>
                <w:sz w:val="24"/>
                <w:szCs w:val="24"/>
                <w:lang w:val="en-US"/>
              </w:rPr>
              <w:t xml:space="preserve"> </w:t>
            </w:r>
            <w:r w:rsidRPr="00C311A4">
              <w:rPr>
                <w:sz w:val="24"/>
                <w:szCs w:val="24"/>
                <w:vertAlign w:val="superscript"/>
                <w:lang w:val="en-US"/>
              </w:rPr>
              <w:t>1</w:t>
            </w:r>
          </w:p>
        </w:tc>
        <w:tc>
          <w:tcPr>
            <w:tcW w:w="2344" w:type="pct"/>
            <w:tcBorders>
              <w:top w:val="single" w:sz="4" w:space="0" w:color="000000"/>
              <w:left w:val="single" w:sz="4" w:space="0" w:color="000000"/>
              <w:bottom w:val="single" w:sz="4" w:space="0" w:color="000000"/>
              <w:right w:val="single" w:sz="4" w:space="0" w:color="000000"/>
            </w:tcBorders>
            <w:hideMark/>
          </w:tcPr>
          <w:p w14:paraId="4F5101DE" w14:textId="77777777" w:rsidR="004A1F86" w:rsidRPr="00C311A4" w:rsidRDefault="004A1F86">
            <w:pPr>
              <w:jc w:val="center"/>
              <w:rPr>
                <w:sz w:val="24"/>
                <w:szCs w:val="24"/>
                <w:lang w:val="en-US"/>
              </w:rPr>
            </w:pPr>
            <w:r w:rsidRPr="00C311A4">
              <w:rPr>
                <w:sz w:val="24"/>
                <w:szCs w:val="24"/>
                <w:lang w:val="en-US"/>
              </w:rPr>
              <w:t>very common</w:t>
            </w:r>
          </w:p>
        </w:tc>
      </w:tr>
      <w:tr w:rsidR="004A1F86" w:rsidRPr="00C311A4" w14:paraId="04497F4B"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27ADF072" w14:textId="77777777" w:rsidR="004A1F86" w:rsidRPr="00C311A4" w:rsidRDefault="004A1F86">
            <w:pPr>
              <w:rPr>
                <w:sz w:val="24"/>
                <w:szCs w:val="24"/>
                <w:lang w:val="en-US"/>
              </w:rPr>
            </w:pPr>
            <w:r w:rsidRPr="00C311A4">
              <w:rPr>
                <w:sz w:val="24"/>
                <w:szCs w:val="24"/>
                <w:lang w:val="en-US"/>
              </w:rPr>
              <w:t xml:space="preserve">Lactic acidosis </w:t>
            </w:r>
            <w:r w:rsidRPr="00C311A4">
              <w:rPr>
                <w:sz w:val="24"/>
                <w:szCs w:val="24"/>
                <w:vertAlign w:val="superscript"/>
                <w:lang w:val="en-US"/>
              </w:rPr>
              <w:t>§</w:t>
            </w:r>
          </w:p>
        </w:tc>
        <w:tc>
          <w:tcPr>
            <w:tcW w:w="2344" w:type="pct"/>
            <w:tcBorders>
              <w:top w:val="single" w:sz="4" w:space="0" w:color="000000"/>
              <w:left w:val="single" w:sz="4" w:space="0" w:color="000000"/>
              <w:bottom w:val="single" w:sz="4" w:space="0" w:color="000000"/>
              <w:right w:val="single" w:sz="4" w:space="0" w:color="000000"/>
            </w:tcBorders>
            <w:hideMark/>
          </w:tcPr>
          <w:p w14:paraId="56EE052D" w14:textId="77777777" w:rsidR="004A1F86" w:rsidRPr="00C311A4" w:rsidRDefault="004A1F86">
            <w:pPr>
              <w:jc w:val="center"/>
              <w:rPr>
                <w:sz w:val="24"/>
                <w:szCs w:val="24"/>
                <w:lang w:val="en-US"/>
              </w:rPr>
            </w:pPr>
            <w:r w:rsidRPr="00C311A4">
              <w:rPr>
                <w:sz w:val="24"/>
                <w:szCs w:val="24"/>
                <w:lang w:val="en-US"/>
              </w:rPr>
              <w:t>very rare</w:t>
            </w:r>
          </w:p>
        </w:tc>
      </w:tr>
      <w:tr w:rsidR="004A1F86" w:rsidRPr="00C311A4" w14:paraId="054A355C"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12A521F6" w14:textId="77777777" w:rsidR="004A1F86" w:rsidRPr="00C311A4" w:rsidRDefault="004A1F86">
            <w:pPr>
              <w:rPr>
                <w:sz w:val="24"/>
                <w:szCs w:val="24"/>
                <w:lang w:val="en-US"/>
              </w:rPr>
            </w:pPr>
            <w:r w:rsidRPr="00C311A4">
              <w:rPr>
                <w:sz w:val="24"/>
                <w:szCs w:val="24"/>
                <w:lang w:val="en-US"/>
              </w:rPr>
              <w:t xml:space="preserve">Vitamin B12 decrease/deficiency </w:t>
            </w:r>
            <w:r w:rsidRPr="00C311A4">
              <w:rPr>
                <w:sz w:val="24"/>
                <w:szCs w:val="24"/>
                <w:vertAlign w:val="superscript"/>
                <w:lang w:val="en-US"/>
              </w:rPr>
              <w:t>§, †</w:t>
            </w:r>
          </w:p>
        </w:tc>
        <w:tc>
          <w:tcPr>
            <w:tcW w:w="2344" w:type="pct"/>
            <w:tcBorders>
              <w:top w:val="single" w:sz="4" w:space="0" w:color="000000"/>
              <w:left w:val="single" w:sz="4" w:space="0" w:color="000000"/>
              <w:bottom w:val="single" w:sz="4" w:space="0" w:color="000000"/>
              <w:right w:val="single" w:sz="4" w:space="0" w:color="000000"/>
            </w:tcBorders>
            <w:hideMark/>
          </w:tcPr>
          <w:p w14:paraId="6414994E" w14:textId="77777777" w:rsidR="004A1F86" w:rsidRPr="00C311A4" w:rsidRDefault="004A1F86">
            <w:pPr>
              <w:jc w:val="center"/>
              <w:rPr>
                <w:sz w:val="24"/>
                <w:szCs w:val="24"/>
                <w:lang w:val="en-US"/>
              </w:rPr>
            </w:pPr>
            <w:r w:rsidRPr="00C311A4">
              <w:rPr>
                <w:sz w:val="24"/>
                <w:szCs w:val="24"/>
                <w:lang w:val="en-US"/>
              </w:rPr>
              <w:t>common</w:t>
            </w:r>
          </w:p>
        </w:tc>
      </w:tr>
      <w:tr w:rsidR="004A1F86" w:rsidRPr="00C311A4" w14:paraId="774EBB7F"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0AEDACBE" w14:textId="77777777" w:rsidR="004A1F86" w:rsidRPr="00C311A4" w:rsidRDefault="004A1F86">
            <w:pPr>
              <w:rPr>
                <w:b/>
                <w:sz w:val="24"/>
                <w:szCs w:val="24"/>
                <w:lang w:val="en-US"/>
              </w:rPr>
            </w:pPr>
            <w:r w:rsidRPr="00C311A4">
              <w:rPr>
                <w:b/>
                <w:sz w:val="24"/>
                <w:szCs w:val="24"/>
                <w:lang w:val="en-US"/>
              </w:rPr>
              <w:t>Nervous system disorders</w:t>
            </w:r>
          </w:p>
        </w:tc>
        <w:tc>
          <w:tcPr>
            <w:tcW w:w="2344" w:type="pct"/>
            <w:tcBorders>
              <w:top w:val="single" w:sz="4" w:space="0" w:color="000000"/>
              <w:left w:val="single" w:sz="4" w:space="0" w:color="000000"/>
              <w:bottom w:val="single" w:sz="4" w:space="0" w:color="000000"/>
              <w:right w:val="single" w:sz="4" w:space="0" w:color="000000"/>
            </w:tcBorders>
          </w:tcPr>
          <w:p w14:paraId="5B08AFD7" w14:textId="77777777" w:rsidR="004A1F86" w:rsidRPr="00C311A4" w:rsidRDefault="004A1F86">
            <w:pPr>
              <w:jc w:val="center"/>
              <w:rPr>
                <w:sz w:val="24"/>
                <w:szCs w:val="24"/>
                <w:lang w:val="en-US"/>
              </w:rPr>
            </w:pPr>
          </w:p>
        </w:tc>
      </w:tr>
      <w:tr w:rsidR="004A1F86" w:rsidRPr="00C311A4" w14:paraId="47C6B13B" w14:textId="77777777" w:rsidTr="00624EBB">
        <w:trPr>
          <w:trHeight w:val="337"/>
        </w:trPr>
        <w:tc>
          <w:tcPr>
            <w:tcW w:w="2656" w:type="pct"/>
            <w:tcBorders>
              <w:top w:val="single" w:sz="4" w:space="0" w:color="000000"/>
              <w:left w:val="single" w:sz="4" w:space="0" w:color="000000"/>
              <w:bottom w:val="single" w:sz="4" w:space="0" w:color="000000"/>
              <w:right w:val="single" w:sz="4" w:space="0" w:color="000000"/>
            </w:tcBorders>
            <w:hideMark/>
          </w:tcPr>
          <w:p w14:paraId="227BE2A9" w14:textId="77777777" w:rsidR="004A1F86" w:rsidRPr="00C311A4" w:rsidRDefault="004A1F86">
            <w:pPr>
              <w:rPr>
                <w:sz w:val="24"/>
                <w:szCs w:val="24"/>
                <w:lang w:val="en-US"/>
              </w:rPr>
            </w:pPr>
            <w:r w:rsidRPr="00C311A4">
              <w:rPr>
                <w:sz w:val="24"/>
                <w:szCs w:val="24"/>
                <w:lang w:val="en-US"/>
              </w:rPr>
              <w:t xml:space="preserve">Taste disturbance </w:t>
            </w:r>
            <w:r w:rsidRPr="00C311A4">
              <w:rPr>
                <w:sz w:val="24"/>
                <w:szCs w:val="24"/>
                <w:vertAlign w:val="superscript"/>
                <w:lang w:val="en-US"/>
              </w:rPr>
              <w:t>§</w:t>
            </w:r>
          </w:p>
        </w:tc>
        <w:tc>
          <w:tcPr>
            <w:tcW w:w="2344" w:type="pct"/>
            <w:tcBorders>
              <w:top w:val="single" w:sz="4" w:space="0" w:color="000000"/>
              <w:left w:val="single" w:sz="4" w:space="0" w:color="000000"/>
              <w:bottom w:val="single" w:sz="4" w:space="0" w:color="000000"/>
              <w:right w:val="single" w:sz="4" w:space="0" w:color="000000"/>
            </w:tcBorders>
            <w:hideMark/>
          </w:tcPr>
          <w:p w14:paraId="05B33A0D" w14:textId="77777777" w:rsidR="004A1F86" w:rsidRPr="00C311A4" w:rsidRDefault="004A1F86">
            <w:pPr>
              <w:jc w:val="center"/>
              <w:rPr>
                <w:sz w:val="24"/>
                <w:szCs w:val="24"/>
                <w:lang w:val="en-US"/>
              </w:rPr>
            </w:pPr>
            <w:r w:rsidRPr="00C311A4">
              <w:rPr>
                <w:sz w:val="24"/>
                <w:szCs w:val="24"/>
                <w:lang w:val="en-US"/>
              </w:rPr>
              <w:t>common</w:t>
            </w:r>
          </w:p>
        </w:tc>
      </w:tr>
      <w:tr w:rsidR="004A1F86" w:rsidRPr="00656FCF" w14:paraId="004689BE"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2C89FA3A" w14:textId="77777777" w:rsidR="004A1F86" w:rsidRPr="00C311A4" w:rsidRDefault="004A1F86">
            <w:pPr>
              <w:rPr>
                <w:b/>
                <w:sz w:val="24"/>
                <w:szCs w:val="24"/>
                <w:lang w:val="en-US"/>
              </w:rPr>
            </w:pPr>
            <w:r w:rsidRPr="00C311A4">
              <w:rPr>
                <w:b/>
                <w:sz w:val="24"/>
                <w:szCs w:val="24"/>
                <w:lang w:val="en-US"/>
              </w:rPr>
              <w:t>Respiratory, thoracic and mediastinal disorders</w:t>
            </w:r>
          </w:p>
        </w:tc>
        <w:tc>
          <w:tcPr>
            <w:tcW w:w="2344" w:type="pct"/>
            <w:tcBorders>
              <w:top w:val="single" w:sz="4" w:space="0" w:color="000000"/>
              <w:left w:val="single" w:sz="4" w:space="0" w:color="000000"/>
              <w:bottom w:val="single" w:sz="4" w:space="0" w:color="000000"/>
              <w:right w:val="single" w:sz="4" w:space="0" w:color="000000"/>
            </w:tcBorders>
          </w:tcPr>
          <w:p w14:paraId="44515C16" w14:textId="77777777" w:rsidR="004A1F86" w:rsidRPr="00C311A4" w:rsidRDefault="004A1F86">
            <w:pPr>
              <w:jc w:val="center"/>
              <w:rPr>
                <w:sz w:val="24"/>
                <w:szCs w:val="24"/>
                <w:lang w:val="en-US"/>
              </w:rPr>
            </w:pPr>
          </w:p>
        </w:tc>
      </w:tr>
      <w:tr w:rsidR="004A1F86" w:rsidRPr="00C311A4" w14:paraId="43D9B53F"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2D1EF805" w14:textId="77777777" w:rsidR="004A1F86" w:rsidRPr="00C311A4" w:rsidRDefault="004A1F86">
            <w:pPr>
              <w:rPr>
                <w:sz w:val="24"/>
                <w:szCs w:val="24"/>
                <w:lang w:val="en-US"/>
              </w:rPr>
            </w:pPr>
            <w:r w:rsidRPr="00C311A4">
              <w:rPr>
                <w:sz w:val="24"/>
                <w:szCs w:val="24"/>
                <w:lang w:val="en-US"/>
              </w:rPr>
              <w:t>Cough</w:t>
            </w:r>
          </w:p>
        </w:tc>
        <w:tc>
          <w:tcPr>
            <w:tcW w:w="2344" w:type="pct"/>
            <w:tcBorders>
              <w:top w:val="single" w:sz="4" w:space="0" w:color="000000"/>
              <w:left w:val="single" w:sz="4" w:space="0" w:color="000000"/>
              <w:bottom w:val="single" w:sz="4" w:space="0" w:color="000000"/>
              <w:right w:val="single" w:sz="4" w:space="0" w:color="000000"/>
            </w:tcBorders>
            <w:hideMark/>
          </w:tcPr>
          <w:p w14:paraId="181DA1ED" w14:textId="77777777" w:rsidR="004A1F86" w:rsidRPr="00C311A4" w:rsidRDefault="004A1F86">
            <w:pPr>
              <w:jc w:val="center"/>
              <w:rPr>
                <w:sz w:val="24"/>
                <w:szCs w:val="24"/>
                <w:lang w:val="en-US"/>
              </w:rPr>
            </w:pPr>
            <w:r w:rsidRPr="00C311A4">
              <w:rPr>
                <w:sz w:val="24"/>
                <w:szCs w:val="24"/>
                <w:lang w:val="en-US"/>
              </w:rPr>
              <w:t>uncommon</w:t>
            </w:r>
          </w:p>
        </w:tc>
      </w:tr>
      <w:tr w:rsidR="004A1F86" w:rsidRPr="00C311A4" w14:paraId="15586C4D"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120B1BEA" w14:textId="77777777" w:rsidR="004A1F86" w:rsidRPr="00C311A4" w:rsidRDefault="004A1F86">
            <w:pPr>
              <w:rPr>
                <w:b/>
                <w:sz w:val="24"/>
                <w:szCs w:val="24"/>
                <w:lang w:val="en-US"/>
              </w:rPr>
            </w:pPr>
            <w:r w:rsidRPr="00C311A4">
              <w:rPr>
                <w:b/>
                <w:sz w:val="24"/>
                <w:szCs w:val="24"/>
                <w:lang w:val="en-US"/>
              </w:rPr>
              <w:t>Gastrointestinal disorders</w:t>
            </w:r>
          </w:p>
        </w:tc>
        <w:tc>
          <w:tcPr>
            <w:tcW w:w="2344" w:type="pct"/>
            <w:tcBorders>
              <w:top w:val="single" w:sz="4" w:space="0" w:color="000000"/>
              <w:left w:val="single" w:sz="4" w:space="0" w:color="000000"/>
              <w:bottom w:val="single" w:sz="4" w:space="0" w:color="000000"/>
              <w:right w:val="single" w:sz="4" w:space="0" w:color="000000"/>
            </w:tcBorders>
          </w:tcPr>
          <w:p w14:paraId="4F3A944F" w14:textId="77777777" w:rsidR="004A1F86" w:rsidRPr="00C311A4" w:rsidRDefault="004A1F86">
            <w:pPr>
              <w:jc w:val="center"/>
              <w:rPr>
                <w:sz w:val="24"/>
                <w:szCs w:val="24"/>
                <w:lang w:val="en-US"/>
              </w:rPr>
            </w:pPr>
          </w:p>
        </w:tc>
      </w:tr>
      <w:tr w:rsidR="004A1F86" w:rsidRPr="00C311A4" w14:paraId="76E6DC10"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7C3F7207" w14:textId="77777777" w:rsidR="004A1F86" w:rsidRPr="00C311A4" w:rsidRDefault="004A1F86">
            <w:pPr>
              <w:rPr>
                <w:sz w:val="24"/>
                <w:szCs w:val="24"/>
                <w:lang w:val="en-US"/>
              </w:rPr>
            </w:pPr>
            <w:r w:rsidRPr="00C311A4">
              <w:rPr>
                <w:sz w:val="24"/>
                <w:szCs w:val="24"/>
                <w:lang w:val="en-US"/>
              </w:rPr>
              <w:t>Decreased appetite</w:t>
            </w:r>
          </w:p>
        </w:tc>
        <w:tc>
          <w:tcPr>
            <w:tcW w:w="2344" w:type="pct"/>
            <w:tcBorders>
              <w:top w:val="single" w:sz="4" w:space="0" w:color="000000"/>
              <w:left w:val="single" w:sz="4" w:space="0" w:color="000000"/>
              <w:bottom w:val="single" w:sz="4" w:space="0" w:color="000000"/>
              <w:right w:val="single" w:sz="4" w:space="0" w:color="000000"/>
            </w:tcBorders>
            <w:hideMark/>
          </w:tcPr>
          <w:p w14:paraId="29066F41" w14:textId="77777777" w:rsidR="004A1F86" w:rsidRPr="00C311A4" w:rsidRDefault="004A1F86">
            <w:pPr>
              <w:jc w:val="center"/>
              <w:rPr>
                <w:sz w:val="24"/>
                <w:szCs w:val="24"/>
                <w:lang w:val="en-US"/>
              </w:rPr>
            </w:pPr>
            <w:r w:rsidRPr="00C311A4">
              <w:rPr>
                <w:sz w:val="24"/>
                <w:szCs w:val="24"/>
                <w:lang w:val="en-US"/>
              </w:rPr>
              <w:t>uncommon</w:t>
            </w:r>
          </w:p>
        </w:tc>
      </w:tr>
      <w:tr w:rsidR="004A1F86" w:rsidRPr="00C311A4" w14:paraId="444008AD"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11954EA5" w14:textId="77777777" w:rsidR="004A1F86" w:rsidRPr="00C311A4" w:rsidRDefault="004A1F86">
            <w:pPr>
              <w:rPr>
                <w:sz w:val="24"/>
                <w:szCs w:val="24"/>
                <w:lang w:val="en-US"/>
              </w:rPr>
            </w:pPr>
            <w:proofErr w:type="spellStart"/>
            <w:r w:rsidRPr="00C311A4">
              <w:rPr>
                <w:sz w:val="24"/>
                <w:szCs w:val="24"/>
                <w:lang w:val="en-US"/>
              </w:rPr>
              <w:t>Diarrhoea</w:t>
            </w:r>
            <w:proofErr w:type="spellEnd"/>
          </w:p>
        </w:tc>
        <w:tc>
          <w:tcPr>
            <w:tcW w:w="2344" w:type="pct"/>
            <w:tcBorders>
              <w:top w:val="single" w:sz="4" w:space="0" w:color="000000"/>
              <w:left w:val="single" w:sz="4" w:space="0" w:color="000000"/>
              <w:bottom w:val="single" w:sz="4" w:space="0" w:color="000000"/>
              <w:right w:val="single" w:sz="4" w:space="0" w:color="000000"/>
            </w:tcBorders>
            <w:hideMark/>
          </w:tcPr>
          <w:p w14:paraId="27F6DB19" w14:textId="77777777" w:rsidR="004A1F86" w:rsidRPr="00C311A4" w:rsidRDefault="004A1F86">
            <w:pPr>
              <w:jc w:val="center"/>
              <w:rPr>
                <w:sz w:val="24"/>
                <w:szCs w:val="24"/>
                <w:lang w:val="en-US"/>
              </w:rPr>
            </w:pPr>
            <w:r w:rsidRPr="00C311A4">
              <w:rPr>
                <w:sz w:val="24"/>
                <w:szCs w:val="24"/>
                <w:lang w:val="en-US"/>
              </w:rPr>
              <w:t>common</w:t>
            </w:r>
          </w:p>
        </w:tc>
      </w:tr>
      <w:tr w:rsidR="004A1F86" w:rsidRPr="00C311A4" w14:paraId="62D3BEA7" w14:textId="77777777" w:rsidTr="00624EBB">
        <w:trPr>
          <w:trHeight w:val="338"/>
        </w:trPr>
        <w:tc>
          <w:tcPr>
            <w:tcW w:w="2656" w:type="pct"/>
            <w:tcBorders>
              <w:top w:val="single" w:sz="4" w:space="0" w:color="000000"/>
              <w:left w:val="single" w:sz="4" w:space="0" w:color="000000"/>
              <w:bottom w:val="single" w:sz="4" w:space="0" w:color="000000"/>
              <w:right w:val="single" w:sz="4" w:space="0" w:color="000000"/>
            </w:tcBorders>
            <w:hideMark/>
          </w:tcPr>
          <w:p w14:paraId="6799B055" w14:textId="77777777" w:rsidR="004A1F86" w:rsidRPr="00C311A4" w:rsidRDefault="004A1F86">
            <w:pPr>
              <w:rPr>
                <w:sz w:val="24"/>
                <w:szCs w:val="24"/>
                <w:lang w:val="en-US"/>
              </w:rPr>
            </w:pPr>
            <w:r w:rsidRPr="00C311A4">
              <w:rPr>
                <w:sz w:val="24"/>
                <w:szCs w:val="24"/>
                <w:lang w:val="en-US"/>
              </w:rPr>
              <w:lastRenderedPageBreak/>
              <w:t>Nausea</w:t>
            </w:r>
          </w:p>
        </w:tc>
        <w:tc>
          <w:tcPr>
            <w:tcW w:w="2344" w:type="pct"/>
            <w:tcBorders>
              <w:top w:val="single" w:sz="4" w:space="0" w:color="000000"/>
              <w:left w:val="single" w:sz="4" w:space="0" w:color="000000"/>
              <w:bottom w:val="single" w:sz="4" w:space="0" w:color="000000"/>
              <w:right w:val="single" w:sz="4" w:space="0" w:color="000000"/>
            </w:tcBorders>
            <w:hideMark/>
          </w:tcPr>
          <w:p w14:paraId="0E0EA4C4" w14:textId="77777777" w:rsidR="004A1F86" w:rsidRPr="00C311A4" w:rsidRDefault="004A1F86">
            <w:pPr>
              <w:jc w:val="center"/>
              <w:rPr>
                <w:sz w:val="24"/>
                <w:szCs w:val="24"/>
                <w:lang w:val="en-US"/>
              </w:rPr>
            </w:pPr>
            <w:r w:rsidRPr="00C311A4">
              <w:rPr>
                <w:sz w:val="24"/>
                <w:szCs w:val="24"/>
                <w:lang w:val="en-US"/>
              </w:rPr>
              <w:t>common</w:t>
            </w:r>
          </w:p>
        </w:tc>
      </w:tr>
      <w:tr w:rsidR="004A1F86" w:rsidRPr="00C311A4" w14:paraId="4755ADF5"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7046097F" w14:textId="77777777" w:rsidR="004A1F86" w:rsidRPr="00C311A4" w:rsidRDefault="004A1F86">
            <w:pPr>
              <w:rPr>
                <w:sz w:val="24"/>
                <w:szCs w:val="24"/>
                <w:lang w:val="en-US"/>
              </w:rPr>
            </w:pPr>
            <w:r w:rsidRPr="00C311A4">
              <w:rPr>
                <w:sz w:val="24"/>
                <w:szCs w:val="24"/>
                <w:lang w:val="en-US"/>
              </w:rPr>
              <w:t>Pancreatitis</w:t>
            </w:r>
          </w:p>
        </w:tc>
        <w:tc>
          <w:tcPr>
            <w:tcW w:w="2344" w:type="pct"/>
            <w:tcBorders>
              <w:top w:val="single" w:sz="4" w:space="0" w:color="000000"/>
              <w:left w:val="single" w:sz="4" w:space="0" w:color="000000"/>
              <w:bottom w:val="single" w:sz="4" w:space="0" w:color="000000"/>
              <w:right w:val="single" w:sz="4" w:space="0" w:color="000000"/>
            </w:tcBorders>
            <w:hideMark/>
          </w:tcPr>
          <w:p w14:paraId="49E73E81" w14:textId="77777777" w:rsidR="004A1F86" w:rsidRPr="00C311A4" w:rsidRDefault="004A1F86">
            <w:pPr>
              <w:jc w:val="center"/>
              <w:rPr>
                <w:sz w:val="24"/>
                <w:szCs w:val="24"/>
                <w:lang w:val="en-US"/>
              </w:rPr>
            </w:pPr>
            <w:r w:rsidRPr="00C311A4">
              <w:rPr>
                <w:sz w:val="24"/>
                <w:szCs w:val="24"/>
                <w:lang w:val="en-US"/>
              </w:rPr>
              <w:t>rare #</w:t>
            </w:r>
          </w:p>
        </w:tc>
      </w:tr>
      <w:tr w:rsidR="004A1F86" w:rsidRPr="00C311A4" w14:paraId="678E30DD"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3CFF7AB4" w14:textId="77777777" w:rsidR="004A1F86" w:rsidRPr="00C311A4" w:rsidRDefault="004A1F86">
            <w:pPr>
              <w:rPr>
                <w:sz w:val="24"/>
                <w:szCs w:val="24"/>
                <w:lang w:val="en-US"/>
              </w:rPr>
            </w:pPr>
            <w:r w:rsidRPr="00C311A4">
              <w:rPr>
                <w:sz w:val="24"/>
                <w:szCs w:val="24"/>
                <w:lang w:val="en-US"/>
              </w:rPr>
              <w:t>Vomiting</w:t>
            </w:r>
          </w:p>
        </w:tc>
        <w:tc>
          <w:tcPr>
            <w:tcW w:w="2344" w:type="pct"/>
            <w:tcBorders>
              <w:top w:val="single" w:sz="4" w:space="0" w:color="000000"/>
              <w:left w:val="single" w:sz="4" w:space="0" w:color="000000"/>
              <w:bottom w:val="single" w:sz="4" w:space="0" w:color="000000"/>
              <w:right w:val="single" w:sz="4" w:space="0" w:color="000000"/>
            </w:tcBorders>
            <w:hideMark/>
          </w:tcPr>
          <w:p w14:paraId="3013180B" w14:textId="77777777" w:rsidR="004A1F86" w:rsidRPr="00C311A4" w:rsidRDefault="004A1F86">
            <w:pPr>
              <w:jc w:val="center"/>
              <w:rPr>
                <w:sz w:val="24"/>
                <w:szCs w:val="24"/>
                <w:lang w:val="en-US"/>
              </w:rPr>
            </w:pPr>
            <w:r w:rsidRPr="00C311A4">
              <w:rPr>
                <w:sz w:val="24"/>
                <w:szCs w:val="24"/>
                <w:lang w:val="en-US"/>
              </w:rPr>
              <w:t>uncommon</w:t>
            </w:r>
          </w:p>
        </w:tc>
      </w:tr>
      <w:tr w:rsidR="004A1F86" w:rsidRPr="00C311A4" w14:paraId="523C5FEC"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54F58A71" w14:textId="77777777" w:rsidR="004A1F86" w:rsidRPr="00C311A4" w:rsidRDefault="004A1F86">
            <w:pPr>
              <w:rPr>
                <w:sz w:val="24"/>
                <w:szCs w:val="24"/>
                <w:lang w:val="en-US"/>
              </w:rPr>
            </w:pPr>
            <w:r w:rsidRPr="00C311A4">
              <w:rPr>
                <w:sz w:val="24"/>
                <w:szCs w:val="24"/>
                <w:lang w:val="en-US"/>
              </w:rPr>
              <w:t xml:space="preserve">Constipation </w:t>
            </w:r>
            <w:r w:rsidRPr="00C311A4">
              <w:rPr>
                <w:sz w:val="24"/>
                <w:szCs w:val="24"/>
                <w:vertAlign w:val="superscript"/>
                <w:lang w:val="en-US"/>
              </w:rPr>
              <w:t>2</w:t>
            </w:r>
          </w:p>
        </w:tc>
        <w:tc>
          <w:tcPr>
            <w:tcW w:w="2344" w:type="pct"/>
            <w:tcBorders>
              <w:top w:val="single" w:sz="4" w:space="0" w:color="000000"/>
              <w:left w:val="single" w:sz="4" w:space="0" w:color="000000"/>
              <w:bottom w:val="single" w:sz="4" w:space="0" w:color="000000"/>
              <w:right w:val="single" w:sz="4" w:space="0" w:color="000000"/>
            </w:tcBorders>
            <w:hideMark/>
          </w:tcPr>
          <w:p w14:paraId="6ACCEA10" w14:textId="77777777" w:rsidR="004A1F86" w:rsidRPr="00C311A4" w:rsidRDefault="004A1F86">
            <w:pPr>
              <w:jc w:val="center"/>
              <w:rPr>
                <w:sz w:val="24"/>
                <w:szCs w:val="24"/>
                <w:lang w:val="en-US"/>
              </w:rPr>
            </w:pPr>
            <w:r w:rsidRPr="00C311A4">
              <w:rPr>
                <w:sz w:val="24"/>
                <w:szCs w:val="24"/>
                <w:lang w:val="en-US"/>
              </w:rPr>
              <w:t>uncommon</w:t>
            </w:r>
          </w:p>
        </w:tc>
      </w:tr>
      <w:tr w:rsidR="004A1F86" w:rsidRPr="00C311A4" w14:paraId="17FEF7D3"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7138C12A" w14:textId="77777777" w:rsidR="004A1F86" w:rsidRPr="00C311A4" w:rsidRDefault="004A1F86">
            <w:pPr>
              <w:rPr>
                <w:sz w:val="24"/>
                <w:szCs w:val="24"/>
                <w:lang w:val="en-US"/>
              </w:rPr>
            </w:pPr>
            <w:r w:rsidRPr="00C311A4">
              <w:rPr>
                <w:sz w:val="24"/>
                <w:szCs w:val="24"/>
                <w:lang w:val="en-US"/>
              </w:rPr>
              <w:t xml:space="preserve">Abdominal pain </w:t>
            </w:r>
            <w:r w:rsidRPr="00C311A4">
              <w:rPr>
                <w:sz w:val="24"/>
                <w:szCs w:val="24"/>
                <w:vertAlign w:val="superscript"/>
                <w:lang w:val="en-US"/>
              </w:rPr>
              <w:t>§</w:t>
            </w:r>
          </w:p>
        </w:tc>
        <w:tc>
          <w:tcPr>
            <w:tcW w:w="2344" w:type="pct"/>
            <w:tcBorders>
              <w:top w:val="single" w:sz="4" w:space="0" w:color="000000"/>
              <w:left w:val="single" w:sz="4" w:space="0" w:color="000000"/>
              <w:bottom w:val="single" w:sz="4" w:space="0" w:color="000000"/>
              <w:right w:val="single" w:sz="4" w:space="0" w:color="000000"/>
            </w:tcBorders>
            <w:hideMark/>
          </w:tcPr>
          <w:p w14:paraId="29575FB2" w14:textId="77777777" w:rsidR="004A1F86" w:rsidRPr="00C311A4" w:rsidRDefault="004A1F86">
            <w:pPr>
              <w:jc w:val="center"/>
              <w:rPr>
                <w:sz w:val="24"/>
                <w:szCs w:val="24"/>
                <w:lang w:val="en-US"/>
              </w:rPr>
            </w:pPr>
            <w:r w:rsidRPr="00C311A4">
              <w:rPr>
                <w:sz w:val="24"/>
                <w:szCs w:val="24"/>
                <w:lang w:val="en-US"/>
              </w:rPr>
              <w:t>very common</w:t>
            </w:r>
          </w:p>
        </w:tc>
      </w:tr>
      <w:tr w:rsidR="004A1F86" w:rsidRPr="00C311A4" w14:paraId="648E4344"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2B760A0F" w14:textId="77777777" w:rsidR="004A1F86" w:rsidRPr="00C311A4" w:rsidRDefault="004A1F86">
            <w:pPr>
              <w:rPr>
                <w:b/>
                <w:sz w:val="24"/>
                <w:szCs w:val="24"/>
                <w:lang w:val="en-US"/>
              </w:rPr>
            </w:pPr>
            <w:r w:rsidRPr="00C311A4">
              <w:rPr>
                <w:b/>
                <w:sz w:val="24"/>
                <w:szCs w:val="24"/>
                <w:lang w:val="en-US"/>
              </w:rPr>
              <w:t>Hepatobiliary disorders</w:t>
            </w:r>
          </w:p>
        </w:tc>
        <w:tc>
          <w:tcPr>
            <w:tcW w:w="2344" w:type="pct"/>
            <w:tcBorders>
              <w:top w:val="single" w:sz="4" w:space="0" w:color="000000"/>
              <w:left w:val="single" w:sz="4" w:space="0" w:color="000000"/>
              <w:bottom w:val="single" w:sz="4" w:space="0" w:color="000000"/>
              <w:right w:val="single" w:sz="4" w:space="0" w:color="000000"/>
            </w:tcBorders>
          </w:tcPr>
          <w:p w14:paraId="6A6CA1F6" w14:textId="77777777" w:rsidR="004A1F86" w:rsidRPr="00C311A4" w:rsidRDefault="004A1F86">
            <w:pPr>
              <w:jc w:val="center"/>
              <w:rPr>
                <w:sz w:val="24"/>
                <w:szCs w:val="24"/>
                <w:lang w:val="en-US"/>
              </w:rPr>
            </w:pPr>
          </w:p>
        </w:tc>
      </w:tr>
      <w:tr w:rsidR="004A1F86" w:rsidRPr="00C311A4" w14:paraId="0057A165" w14:textId="77777777" w:rsidTr="00624EBB">
        <w:trPr>
          <w:trHeight w:val="338"/>
        </w:trPr>
        <w:tc>
          <w:tcPr>
            <w:tcW w:w="2656" w:type="pct"/>
            <w:tcBorders>
              <w:top w:val="single" w:sz="4" w:space="0" w:color="000000"/>
              <w:left w:val="single" w:sz="4" w:space="0" w:color="000000"/>
              <w:bottom w:val="single" w:sz="4" w:space="0" w:color="000000"/>
              <w:right w:val="single" w:sz="4" w:space="0" w:color="000000"/>
            </w:tcBorders>
            <w:hideMark/>
          </w:tcPr>
          <w:p w14:paraId="40B76CEE" w14:textId="77777777" w:rsidR="004A1F86" w:rsidRPr="00C311A4" w:rsidRDefault="004A1F86">
            <w:pPr>
              <w:rPr>
                <w:sz w:val="24"/>
                <w:szCs w:val="24"/>
                <w:lang w:val="en-US"/>
              </w:rPr>
            </w:pPr>
            <w:r w:rsidRPr="00C311A4">
              <w:rPr>
                <w:sz w:val="24"/>
                <w:szCs w:val="24"/>
                <w:lang w:val="en-US"/>
              </w:rPr>
              <w:t xml:space="preserve">Liver function disorders </w:t>
            </w:r>
            <w:r w:rsidRPr="00C311A4">
              <w:rPr>
                <w:sz w:val="24"/>
                <w:szCs w:val="24"/>
                <w:vertAlign w:val="superscript"/>
                <w:lang w:val="en-US"/>
              </w:rPr>
              <w:t>2</w:t>
            </w:r>
          </w:p>
        </w:tc>
        <w:tc>
          <w:tcPr>
            <w:tcW w:w="2344" w:type="pct"/>
            <w:tcBorders>
              <w:top w:val="single" w:sz="4" w:space="0" w:color="000000"/>
              <w:left w:val="single" w:sz="4" w:space="0" w:color="000000"/>
              <w:bottom w:val="single" w:sz="4" w:space="0" w:color="000000"/>
              <w:right w:val="single" w:sz="4" w:space="0" w:color="000000"/>
            </w:tcBorders>
            <w:hideMark/>
          </w:tcPr>
          <w:p w14:paraId="57DACF82" w14:textId="77777777" w:rsidR="004A1F86" w:rsidRPr="00C311A4" w:rsidRDefault="004A1F86">
            <w:pPr>
              <w:jc w:val="center"/>
              <w:rPr>
                <w:sz w:val="24"/>
                <w:szCs w:val="24"/>
                <w:lang w:val="en-US"/>
              </w:rPr>
            </w:pPr>
            <w:r w:rsidRPr="00C311A4">
              <w:rPr>
                <w:sz w:val="24"/>
                <w:szCs w:val="24"/>
                <w:lang w:val="en-US"/>
              </w:rPr>
              <w:t>uncommon</w:t>
            </w:r>
          </w:p>
        </w:tc>
      </w:tr>
      <w:tr w:rsidR="004A1F86" w:rsidRPr="00C311A4" w14:paraId="06F51EDB"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3CD75A23" w14:textId="77777777" w:rsidR="004A1F86" w:rsidRPr="00C311A4" w:rsidRDefault="004A1F86">
            <w:pPr>
              <w:rPr>
                <w:sz w:val="24"/>
                <w:szCs w:val="24"/>
                <w:lang w:val="en-US"/>
              </w:rPr>
            </w:pPr>
            <w:r w:rsidRPr="00C311A4">
              <w:rPr>
                <w:sz w:val="24"/>
                <w:szCs w:val="24"/>
                <w:lang w:val="en-US"/>
              </w:rPr>
              <w:t xml:space="preserve">Hepatitis </w:t>
            </w:r>
            <w:r w:rsidRPr="00C311A4">
              <w:rPr>
                <w:sz w:val="24"/>
                <w:szCs w:val="24"/>
                <w:vertAlign w:val="superscript"/>
                <w:lang w:val="en-US"/>
              </w:rPr>
              <w:t>§</w:t>
            </w:r>
          </w:p>
        </w:tc>
        <w:tc>
          <w:tcPr>
            <w:tcW w:w="2344" w:type="pct"/>
            <w:tcBorders>
              <w:top w:val="single" w:sz="4" w:space="0" w:color="000000"/>
              <w:left w:val="single" w:sz="4" w:space="0" w:color="000000"/>
              <w:bottom w:val="single" w:sz="4" w:space="0" w:color="000000"/>
              <w:right w:val="single" w:sz="4" w:space="0" w:color="000000"/>
            </w:tcBorders>
            <w:hideMark/>
          </w:tcPr>
          <w:p w14:paraId="2CA9BE45" w14:textId="77777777" w:rsidR="004A1F86" w:rsidRPr="00C311A4" w:rsidRDefault="004A1F86">
            <w:pPr>
              <w:jc w:val="center"/>
              <w:rPr>
                <w:sz w:val="24"/>
                <w:szCs w:val="24"/>
                <w:lang w:val="en-US"/>
              </w:rPr>
            </w:pPr>
            <w:r w:rsidRPr="00C311A4">
              <w:rPr>
                <w:sz w:val="24"/>
                <w:szCs w:val="24"/>
                <w:lang w:val="en-US"/>
              </w:rPr>
              <w:t>very rare</w:t>
            </w:r>
          </w:p>
        </w:tc>
      </w:tr>
      <w:tr w:rsidR="004A1F86" w:rsidRPr="00656FCF" w14:paraId="0A63FD0C"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04AD7D78" w14:textId="77777777" w:rsidR="004A1F86" w:rsidRPr="00C311A4" w:rsidRDefault="004A1F86">
            <w:pPr>
              <w:rPr>
                <w:b/>
                <w:sz w:val="24"/>
                <w:szCs w:val="24"/>
                <w:lang w:val="en-US"/>
              </w:rPr>
            </w:pPr>
            <w:r w:rsidRPr="00C311A4">
              <w:rPr>
                <w:b/>
                <w:sz w:val="24"/>
                <w:szCs w:val="24"/>
                <w:lang w:val="en-US"/>
              </w:rPr>
              <w:t>Skin and subcutaneous tissue disorders</w:t>
            </w:r>
          </w:p>
        </w:tc>
        <w:tc>
          <w:tcPr>
            <w:tcW w:w="2344" w:type="pct"/>
            <w:tcBorders>
              <w:top w:val="single" w:sz="4" w:space="0" w:color="000000"/>
              <w:left w:val="single" w:sz="4" w:space="0" w:color="000000"/>
              <w:bottom w:val="single" w:sz="4" w:space="0" w:color="000000"/>
              <w:right w:val="single" w:sz="4" w:space="0" w:color="000000"/>
            </w:tcBorders>
          </w:tcPr>
          <w:p w14:paraId="0EB32A21" w14:textId="77777777" w:rsidR="004A1F86" w:rsidRPr="00C311A4" w:rsidRDefault="004A1F86">
            <w:pPr>
              <w:jc w:val="center"/>
              <w:rPr>
                <w:sz w:val="24"/>
                <w:szCs w:val="24"/>
                <w:lang w:val="en-US"/>
              </w:rPr>
            </w:pPr>
          </w:p>
        </w:tc>
      </w:tr>
      <w:tr w:rsidR="004A1F86" w:rsidRPr="00C311A4" w14:paraId="27E4F353"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38EF6CA8" w14:textId="77777777" w:rsidR="004A1F86" w:rsidRPr="00C311A4" w:rsidRDefault="004A1F86">
            <w:pPr>
              <w:rPr>
                <w:sz w:val="24"/>
                <w:szCs w:val="24"/>
                <w:lang w:val="en-US"/>
              </w:rPr>
            </w:pPr>
            <w:r w:rsidRPr="00C311A4">
              <w:rPr>
                <w:sz w:val="24"/>
                <w:szCs w:val="24"/>
                <w:lang w:val="en-US"/>
              </w:rPr>
              <w:t>Angioedema</w:t>
            </w:r>
          </w:p>
        </w:tc>
        <w:tc>
          <w:tcPr>
            <w:tcW w:w="2344" w:type="pct"/>
            <w:tcBorders>
              <w:top w:val="single" w:sz="4" w:space="0" w:color="000000"/>
              <w:left w:val="single" w:sz="4" w:space="0" w:color="000000"/>
              <w:bottom w:val="single" w:sz="4" w:space="0" w:color="000000"/>
              <w:right w:val="single" w:sz="4" w:space="0" w:color="000000"/>
            </w:tcBorders>
            <w:hideMark/>
          </w:tcPr>
          <w:p w14:paraId="542844D1" w14:textId="77777777" w:rsidR="004A1F86" w:rsidRPr="00C311A4" w:rsidRDefault="004A1F86">
            <w:pPr>
              <w:jc w:val="center"/>
              <w:rPr>
                <w:sz w:val="24"/>
                <w:szCs w:val="24"/>
                <w:lang w:val="en-US"/>
              </w:rPr>
            </w:pPr>
            <w:r w:rsidRPr="00C311A4">
              <w:rPr>
                <w:sz w:val="24"/>
                <w:szCs w:val="24"/>
                <w:lang w:val="en-US"/>
              </w:rPr>
              <w:t>rare</w:t>
            </w:r>
          </w:p>
        </w:tc>
      </w:tr>
      <w:tr w:rsidR="004A1F86" w:rsidRPr="00C311A4" w14:paraId="67D07F59"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15577220" w14:textId="77777777" w:rsidR="004A1F86" w:rsidRPr="00C311A4" w:rsidRDefault="004A1F86">
            <w:pPr>
              <w:rPr>
                <w:sz w:val="24"/>
                <w:szCs w:val="24"/>
                <w:lang w:val="en-US"/>
              </w:rPr>
            </w:pPr>
            <w:r w:rsidRPr="00C311A4">
              <w:rPr>
                <w:sz w:val="24"/>
                <w:szCs w:val="24"/>
                <w:lang w:val="en-US"/>
              </w:rPr>
              <w:t>Urticaria</w:t>
            </w:r>
          </w:p>
        </w:tc>
        <w:tc>
          <w:tcPr>
            <w:tcW w:w="2344" w:type="pct"/>
            <w:tcBorders>
              <w:top w:val="single" w:sz="4" w:space="0" w:color="000000"/>
              <w:left w:val="single" w:sz="4" w:space="0" w:color="000000"/>
              <w:bottom w:val="single" w:sz="4" w:space="0" w:color="000000"/>
              <w:right w:val="single" w:sz="4" w:space="0" w:color="000000"/>
            </w:tcBorders>
            <w:hideMark/>
          </w:tcPr>
          <w:p w14:paraId="56C1E73A" w14:textId="77777777" w:rsidR="004A1F86" w:rsidRPr="00C311A4" w:rsidRDefault="004A1F86">
            <w:pPr>
              <w:jc w:val="center"/>
              <w:rPr>
                <w:sz w:val="24"/>
                <w:szCs w:val="24"/>
                <w:lang w:val="en-US"/>
              </w:rPr>
            </w:pPr>
            <w:r w:rsidRPr="00C311A4">
              <w:rPr>
                <w:sz w:val="24"/>
                <w:szCs w:val="24"/>
                <w:lang w:val="en-US"/>
              </w:rPr>
              <w:t>rare</w:t>
            </w:r>
          </w:p>
        </w:tc>
      </w:tr>
      <w:tr w:rsidR="004A1F86" w:rsidRPr="00C311A4" w14:paraId="73F80AB2"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44B26D05" w14:textId="77777777" w:rsidR="004A1F86" w:rsidRPr="00C311A4" w:rsidRDefault="004A1F86">
            <w:pPr>
              <w:rPr>
                <w:sz w:val="24"/>
                <w:szCs w:val="24"/>
                <w:lang w:val="en-US"/>
              </w:rPr>
            </w:pPr>
            <w:r w:rsidRPr="00C311A4">
              <w:rPr>
                <w:sz w:val="24"/>
                <w:szCs w:val="24"/>
                <w:lang w:val="en-US"/>
              </w:rPr>
              <w:t>Erythema</w:t>
            </w:r>
            <w:r w:rsidRPr="00C311A4">
              <w:rPr>
                <w:sz w:val="24"/>
                <w:szCs w:val="24"/>
                <w:vertAlign w:val="superscript"/>
                <w:lang w:val="en-US"/>
              </w:rPr>
              <w:t>§</w:t>
            </w:r>
          </w:p>
        </w:tc>
        <w:tc>
          <w:tcPr>
            <w:tcW w:w="2344" w:type="pct"/>
            <w:tcBorders>
              <w:top w:val="single" w:sz="4" w:space="0" w:color="000000"/>
              <w:left w:val="single" w:sz="4" w:space="0" w:color="000000"/>
              <w:bottom w:val="single" w:sz="4" w:space="0" w:color="000000"/>
              <w:right w:val="single" w:sz="4" w:space="0" w:color="000000"/>
            </w:tcBorders>
            <w:hideMark/>
          </w:tcPr>
          <w:p w14:paraId="0C0D440B" w14:textId="77777777" w:rsidR="004A1F86" w:rsidRPr="00C311A4" w:rsidRDefault="004A1F86">
            <w:pPr>
              <w:jc w:val="center"/>
              <w:rPr>
                <w:sz w:val="24"/>
                <w:szCs w:val="24"/>
                <w:lang w:val="en-US"/>
              </w:rPr>
            </w:pPr>
            <w:r w:rsidRPr="00C311A4">
              <w:rPr>
                <w:sz w:val="24"/>
                <w:szCs w:val="24"/>
                <w:lang w:val="en-US"/>
              </w:rPr>
              <w:t>very rare</w:t>
            </w:r>
          </w:p>
        </w:tc>
      </w:tr>
      <w:tr w:rsidR="004A1F86" w:rsidRPr="00C311A4" w14:paraId="31424F55" w14:textId="77777777" w:rsidTr="00624EBB">
        <w:trPr>
          <w:trHeight w:val="338"/>
        </w:trPr>
        <w:tc>
          <w:tcPr>
            <w:tcW w:w="2656" w:type="pct"/>
            <w:tcBorders>
              <w:top w:val="single" w:sz="4" w:space="0" w:color="000000"/>
              <w:left w:val="single" w:sz="4" w:space="0" w:color="000000"/>
              <w:bottom w:val="single" w:sz="4" w:space="0" w:color="000000"/>
              <w:right w:val="single" w:sz="4" w:space="0" w:color="000000"/>
            </w:tcBorders>
            <w:hideMark/>
          </w:tcPr>
          <w:p w14:paraId="0DBF516B" w14:textId="77777777" w:rsidR="004A1F86" w:rsidRPr="00C311A4" w:rsidRDefault="004A1F86">
            <w:pPr>
              <w:rPr>
                <w:sz w:val="24"/>
                <w:szCs w:val="24"/>
                <w:lang w:val="en-US"/>
              </w:rPr>
            </w:pPr>
            <w:r w:rsidRPr="00C311A4">
              <w:rPr>
                <w:sz w:val="24"/>
                <w:szCs w:val="24"/>
                <w:lang w:val="en-US"/>
              </w:rPr>
              <w:t>Rash</w:t>
            </w:r>
          </w:p>
        </w:tc>
        <w:tc>
          <w:tcPr>
            <w:tcW w:w="2344" w:type="pct"/>
            <w:tcBorders>
              <w:top w:val="single" w:sz="4" w:space="0" w:color="000000"/>
              <w:left w:val="single" w:sz="4" w:space="0" w:color="000000"/>
              <w:bottom w:val="single" w:sz="4" w:space="0" w:color="000000"/>
              <w:right w:val="single" w:sz="4" w:space="0" w:color="000000"/>
            </w:tcBorders>
            <w:hideMark/>
          </w:tcPr>
          <w:p w14:paraId="7FA327FF" w14:textId="77777777" w:rsidR="004A1F86" w:rsidRPr="00C311A4" w:rsidRDefault="004A1F86">
            <w:pPr>
              <w:jc w:val="center"/>
              <w:rPr>
                <w:sz w:val="24"/>
                <w:szCs w:val="24"/>
                <w:lang w:val="en-US"/>
              </w:rPr>
            </w:pPr>
            <w:r w:rsidRPr="00C311A4">
              <w:rPr>
                <w:sz w:val="24"/>
                <w:szCs w:val="24"/>
                <w:lang w:val="en-US"/>
              </w:rPr>
              <w:t>uncommon</w:t>
            </w:r>
          </w:p>
        </w:tc>
      </w:tr>
      <w:tr w:rsidR="004A1F86" w:rsidRPr="00C311A4" w14:paraId="327CBAB8"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57EA46B8" w14:textId="77777777" w:rsidR="004A1F86" w:rsidRPr="00C311A4" w:rsidRDefault="004A1F86">
            <w:pPr>
              <w:rPr>
                <w:sz w:val="24"/>
                <w:szCs w:val="24"/>
                <w:lang w:val="en-US"/>
              </w:rPr>
            </w:pPr>
            <w:r w:rsidRPr="00C311A4">
              <w:rPr>
                <w:sz w:val="24"/>
                <w:szCs w:val="24"/>
                <w:lang w:val="en-US"/>
              </w:rPr>
              <w:t>Pruritus</w:t>
            </w:r>
          </w:p>
        </w:tc>
        <w:tc>
          <w:tcPr>
            <w:tcW w:w="2344" w:type="pct"/>
            <w:tcBorders>
              <w:top w:val="single" w:sz="4" w:space="0" w:color="000000"/>
              <w:left w:val="single" w:sz="4" w:space="0" w:color="000000"/>
              <w:bottom w:val="single" w:sz="4" w:space="0" w:color="000000"/>
              <w:right w:val="single" w:sz="4" w:space="0" w:color="000000"/>
            </w:tcBorders>
            <w:hideMark/>
          </w:tcPr>
          <w:p w14:paraId="51A7EEB0" w14:textId="77777777" w:rsidR="004A1F86" w:rsidRPr="00C311A4" w:rsidRDefault="004A1F86">
            <w:pPr>
              <w:jc w:val="center"/>
              <w:rPr>
                <w:sz w:val="24"/>
                <w:szCs w:val="24"/>
                <w:lang w:val="en-US"/>
              </w:rPr>
            </w:pPr>
            <w:r w:rsidRPr="00C311A4">
              <w:rPr>
                <w:sz w:val="24"/>
                <w:szCs w:val="24"/>
                <w:lang w:val="en-US"/>
              </w:rPr>
              <w:t>uncommon</w:t>
            </w:r>
          </w:p>
        </w:tc>
      </w:tr>
      <w:tr w:rsidR="004A1F86" w:rsidRPr="00C311A4" w14:paraId="527AE02A"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7613E415" w14:textId="77777777" w:rsidR="004A1F86" w:rsidRPr="00C311A4" w:rsidRDefault="004A1F86">
            <w:pPr>
              <w:rPr>
                <w:sz w:val="24"/>
                <w:szCs w:val="24"/>
                <w:lang w:val="en-US"/>
              </w:rPr>
            </w:pPr>
            <w:r w:rsidRPr="00C311A4">
              <w:rPr>
                <w:sz w:val="24"/>
                <w:szCs w:val="24"/>
                <w:lang w:val="en-US"/>
              </w:rPr>
              <w:t>Bullous pemphigoid</w:t>
            </w:r>
          </w:p>
        </w:tc>
        <w:tc>
          <w:tcPr>
            <w:tcW w:w="2344" w:type="pct"/>
            <w:tcBorders>
              <w:top w:val="single" w:sz="4" w:space="0" w:color="000000"/>
              <w:left w:val="single" w:sz="4" w:space="0" w:color="000000"/>
              <w:bottom w:val="single" w:sz="4" w:space="0" w:color="000000"/>
              <w:right w:val="single" w:sz="4" w:space="0" w:color="000000"/>
            </w:tcBorders>
            <w:hideMark/>
          </w:tcPr>
          <w:p w14:paraId="7421DF27" w14:textId="77777777" w:rsidR="004A1F86" w:rsidRPr="00C311A4" w:rsidRDefault="004A1F86">
            <w:pPr>
              <w:jc w:val="center"/>
              <w:rPr>
                <w:sz w:val="24"/>
                <w:szCs w:val="24"/>
                <w:lang w:val="en-US"/>
              </w:rPr>
            </w:pPr>
            <w:r w:rsidRPr="00C311A4">
              <w:rPr>
                <w:sz w:val="24"/>
                <w:szCs w:val="24"/>
                <w:lang w:val="en-US"/>
              </w:rPr>
              <w:t xml:space="preserve">rare </w:t>
            </w:r>
            <w:r w:rsidRPr="00C311A4">
              <w:rPr>
                <w:sz w:val="24"/>
                <w:szCs w:val="24"/>
                <w:vertAlign w:val="superscript"/>
                <w:lang w:val="en-US"/>
              </w:rPr>
              <w:t>#</w:t>
            </w:r>
          </w:p>
        </w:tc>
      </w:tr>
      <w:tr w:rsidR="004A1F86" w:rsidRPr="00C311A4" w14:paraId="729D3352"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4EF694FB" w14:textId="77777777" w:rsidR="004A1F86" w:rsidRPr="00C311A4" w:rsidRDefault="004A1F86">
            <w:pPr>
              <w:rPr>
                <w:b/>
                <w:sz w:val="24"/>
                <w:szCs w:val="24"/>
                <w:lang w:val="en-US"/>
              </w:rPr>
            </w:pPr>
            <w:r w:rsidRPr="00C311A4">
              <w:rPr>
                <w:b/>
                <w:sz w:val="24"/>
                <w:szCs w:val="24"/>
                <w:lang w:val="en-US"/>
              </w:rPr>
              <w:t>Investigations</w:t>
            </w:r>
          </w:p>
        </w:tc>
        <w:tc>
          <w:tcPr>
            <w:tcW w:w="2344" w:type="pct"/>
            <w:tcBorders>
              <w:top w:val="single" w:sz="4" w:space="0" w:color="000000"/>
              <w:left w:val="single" w:sz="4" w:space="0" w:color="000000"/>
              <w:bottom w:val="single" w:sz="4" w:space="0" w:color="000000"/>
              <w:right w:val="single" w:sz="4" w:space="0" w:color="000000"/>
            </w:tcBorders>
          </w:tcPr>
          <w:p w14:paraId="64BE4656" w14:textId="77777777" w:rsidR="004A1F86" w:rsidRPr="00C311A4" w:rsidRDefault="004A1F86">
            <w:pPr>
              <w:jc w:val="center"/>
              <w:rPr>
                <w:sz w:val="24"/>
                <w:szCs w:val="24"/>
                <w:lang w:val="en-US"/>
              </w:rPr>
            </w:pPr>
          </w:p>
        </w:tc>
      </w:tr>
      <w:tr w:rsidR="004A1F86" w:rsidRPr="00C311A4" w14:paraId="4600F151"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13C6C814" w14:textId="77777777" w:rsidR="004A1F86" w:rsidRPr="00C311A4" w:rsidRDefault="004A1F86">
            <w:pPr>
              <w:rPr>
                <w:sz w:val="24"/>
                <w:szCs w:val="24"/>
                <w:lang w:val="en-US"/>
              </w:rPr>
            </w:pPr>
            <w:r w:rsidRPr="00C311A4">
              <w:rPr>
                <w:sz w:val="24"/>
                <w:szCs w:val="24"/>
                <w:lang w:val="en-US"/>
              </w:rPr>
              <w:t>Amylase increased</w:t>
            </w:r>
          </w:p>
        </w:tc>
        <w:tc>
          <w:tcPr>
            <w:tcW w:w="2344" w:type="pct"/>
            <w:tcBorders>
              <w:top w:val="single" w:sz="4" w:space="0" w:color="000000"/>
              <w:left w:val="single" w:sz="4" w:space="0" w:color="000000"/>
              <w:bottom w:val="single" w:sz="4" w:space="0" w:color="000000"/>
              <w:right w:val="single" w:sz="4" w:space="0" w:color="000000"/>
            </w:tcBorders>
            <w:hideMark/>
          </w:tcPr>
          <w:p w14:paraId="4BF66156" w14:textId="77777777" w:rsidR="004A1F86" w:rsidRPr="00C311A4" w:rsidRDefault="004A1F86">
            <w:pPr>
              <w:jc w:val="center"/>
              <w:rPr>
                <w:sz w:val="24"/>
                <w:szCs w:val="24"/>
                <w:lang w:val="en-US"/>
              </w:rPr>
            </w:pPr>
            <w:r w:rsidRPr="00C311A4">
              <w:rPr>
                <w:sz w:val="24"/>
                <w:szCs w:val="24"/>
                <w:lang w:val="en-US"/>
              </w:rPr>
              <w:t>uncommon</w:t>
            </w:r>
          </w:p>
        </w:tc>
      </w:tr>
      <w:tr w:rsidR="004A1F86" w:rsidRPr="00C311A4" w14:paraId="1100DE4A" w14:textId="77777777" w:rsidTr="00624EBB">
        <w:trPr>
          <w:trHeight w:val="340"/>
        </w:trPr>
        <w:tc>
          <w:tcPr>
            <w:tcW w:w="2656" w:type="pct"/>
            <w:tcBorders>
              <w:top w:val="single" w:sz="4" w:space="0" w:color="000000"/>
              <w:left w:val="single" w:sz="4" w:space="0" w:color="000000"/>
              <w:bottom w:val="single" w:sz="4" w:space="0" w:color="000000"/>
              <w:right w:val="single" w:sz="4" w:space="0" w:color="000000"/>
            </w:tcBorders>
            <w:hideMark/>
          </w:tcPr>
          <w:p w14:paraId="2D36786F" w14:textId="77777777" w:rsidR="004A1F86" w:rsidRPr="00C311A4" w:rsidRDefault="004A1F86">
            <w:pPr>
              <w:rPr>
                <w:sz w:val="24"/>
                <w:szCs w:val="24"/>
                <w:lang w:val="en-US"/>
              </w:rPr>
            </w:pPr>
            <w:r w:rsidRPr="00C311A4">
              <w:rPr>
                <w:sz w:val="24"/>
                <w:szCs w:val="24"/>
                <w:lang w:val="en-US"/>
              </w:rPr>
              <w:t>Lipase increased*</w:t>
            </w:r>
          </w:p>
        </w:tc>
        <w:tc>
          <w:tcPr>
            <w:tcW w:w="2344" w:type="pct"/>
            <w:tcBorders>
              <w:top w:val="single" w:sz="4" w:space="0" w:color="000000"/>
              <w:left w:val="single" w:sz="4" w:space="0" w:color="000000"/>
              <w:bottom w:val="single" w:sz="4" w:space="0" w:color="000000"/>
              <w:right w:val="single" w:sz="4" w:space="0" w:color="000000"/>
            </w:tcBorders>
            <w:hideMark/>
          </w:tcPr>
          <w:p w14:paraId="1DB70328" w14:textId="77777777" w:rsidR="004A1F86" w:rsidRPr="00C311A4" w:rsidRDefault="004A1F86">
            <w:pPr>
              <w:jc w:val="center"/>
              <w:rPr>
                <w:sz w:val="24"/>
                <w:szCs w:val="24"/>
                <w:lang w:val="en-US"/>
              </w:rPr>
            </w:pPr>
            <w:r w:rsidRPr="00C311A4">
              <w:rPr>
                <w:sz w:val="24"/>
                <w:szCs w:val="24"/>
                <w:lang w:val="en-US"/>
              </w:rPr>
              <w:t>common</w:t>
            </w:r>
          </w:p>
        </w:tc>
      </w:tr>
    </w:tbl>
    <w:p w14:paraId="695C7EAB" w14:textId="5A9E7FDF" w:rsidR="004A1F86" w:rsidRPr="00AD0270" w:rsidRDefault="004A1F86" w:rsidP="00AD0270">
      <w:pPr>
        <w:ind w:left="284" w:hanging="284"/>
        <w:rPr>
          <w:sz w:val="20"/>
          <w:lang w:val="en-US" w:eastAsia="en-US"/>
        </w:rPr>
      </w:pPr>
      <w:r w:rsidRPr="00AD0270">
        <w:rPr>
          <w:sz w:val="20"/>
          <w:lang w:val="en-US"/>
        </w:rPr>
        <w:t xml:space="preserve">* </w:t>
      </w:r>
      <w:r w:rsidR="00AD0270" w:rsidRPr="00AD0270">
        <w:rPr>
          <w:sz w:val="20"/>
          <w:lang w:val="en-US"/>
        </w:rPr>
        <w:tab/>
      </w:r>
      <w:r w:rsidRPr="00AD0270">
        <w:rPr>
          <w:sz w:val="20"/>
          <w:lang w:val="en-US"/>
        </w:rPr>
        <w:t>Based on lipase elevations &gt; 3 x ULN observed in clinical trials</w:t>
      </w:r>
    </w:p>
    <w:p w14:paraId="1C745265" w14:textId="0D9C715F" w:rsidR="004A1F86" w:rsidRPr="00AD0270" w:rsidRDefault="004A1F86" w:rsidP="00AD0270">
      <w:pPr>
        <w:ind w:left="284" w:hanging="284"/>
        <w:rPr>
          <w:sz w:val="20"/>
          <w:lang w:val="en-US"/>
        </w:rPr>
      </w:pPr>
      <w:r w:rsidRPr="00AD0270">
        <w:rPr>
          <w:sz w:val="20"/>
          <w:vertAlign w:val="superscript"/>
          <w:lang w:val="en-US"/>
        </w:rPr>
        <w:t>#</w:t>
      </w:r>
      <w:r w:rsidRPr="00AD0270">
        <w:rPr>
          <w:sz w:val="20"/>
          <w:lang w:val="en-US"/>
        </w:rPr>
        <w:t xml:space="preserve"> </w:t>
      </w:r>
      <w:r w:rsidR="00AD0270" w:rsidRPr="00AD0270">
        <w:rPr>
          <w:sz w:val="20"/>
          <w:lang w:val="en-US"/>
        </w:rPr>
        <w:tab/>
      </w:r>
      <w:r w:rsidRPr="00AD0270">
        <w:rPr>
          <w:sz w:val="20"/>
          <w:lang w:val="en-US"/>
        </w:rPr>
        <w:t xml:space="preserve">Based on </w:t>
      </w:r>
      <w:r w:rsidRPr="00AD0270">
        <w:rPr>
          <w:i/>
          <w:sz w:val="20"/>
          <w:lang w:val="en-US"/>
        </w:rPr>
        <w:t>Linagliptin cardiovascular and renal safety study (CARMELINA)</w:t>
      </w:r>
      <w:r w:rsidRPr="00AD0270">
        <w:rPr>
          <w:sz w:val="20"/>
          <w:lang w:val="en-US"/>
        </w:rPr>
        <w:t>, see also below</w:t>
      </w:r>
    </w:p>
    <w:p w14:paraId="3589B23A" w14:textId="45B60E72" w:rsidR="004A1F86" w:rsidRPr="00AD0270" w:rsidRDefault="004A1F86" w:rsidP="00AD0270">
      <w:pPr>
        <w:ind w:left="284" w:hanging="284"/>
        <w:rPr>
          <w:sz w:val="20"/>
          <w:lang w:val="en-US"/>
        </w:rPr>
      </w:pPr>
      <w:r w:rsidRPr="00AD0270">
        <w:rPr>
          <w:sz w:val="20"/>
          <w:vertAlign w:val="superscript"/>
          <w:lang w:val="en-US"/>
        </w:rPr>
        <w:t>§</w:t>
      </w:r>
      <w:r w:rsidRPr="00AD0270">
        <w:rPr>
          <w:sz w:val="20"/>
          <w:lang w:val="en-US"/>
        </w:rPr>
        <w:t xml:space="preserve"> </w:t>
      </w:r>
      <w:r w:rsidR="00AD0270" w:rsidRPr="00AD0270">
        <w:rPr>
          <w:sz w:val="20"/>
          <w:lang w:val="en-US"/>
        </w:rPr>
        <w:tab/>
      </w:r>
      <w:r w:rsidRPr="00AD0270">
        <w:rPr>
          <w:sz w:val="20"/>
          <w:lang w:val="en-US"/>
        </w:rPr>
        <w:t>Identified adverse reactions of metformin monotherapy. Refer to Summary of Product Characteristics for metformin for additional information</w:t>
      </w:r>
    </w:p>
    <w:p w14:paraId="7E87241F" w14:textId="74550972" w:rsidR="004A1F86" w:rsidRPr="00AD0270" w:rsidRDefault="004A1F86" w:rsidP="00AD0270">
      <w:pPr>
        <w:ind w:left="284" w:hanging="284"/>
        <w:rPr>
          <w:sz w:val="20"/>
          <w:lang w:val="en-US"/>
        </w:rPr>
      </w:pPr>
      <w:r w:rsidRPr="00AD0270">
        <w:rPr>
          <w:sz w:val="20"/>
          <w:vertAlign w:val="superscript"/>
          <w:lang w:val="en-US"/>
        </w:rPr>
        <w:t>†</w:t>
      </w:r>
      <w:r w:rsidRPr="00AD0270">
        <w:rPr>
          <w:sz w:val="20"/>
          <w:lang w:val="en-US"/>
        </w:rPr>
        <w:t xml:space="preserve"> </w:t>
      </w:r>
      <w:r w:rsidR="00AD0270" w:rsidRPr="00AD0270">
        <w:rPr>
          <w:sz w:val="20"/>
          <w:lang w:val="en-US"/>
        </w:rPr>
        <w:tab/>
      </w:r>
      <w:r w:rsidRPr="00AD0270">
        <w:rPr>
          <w:sz w:val="20"/>
          <w:lang w:val="en-US"/>
        </w:rPr>
        <w:t>See section 4.4</w:t>
      </w:r>
    </w:p>
    <w:p w14:paraId="2181BD4A" w14:textId="7D58590A" w:rsidR="004A1F86" w:rsidRPr="00AD0270" w:rsidRDefault="004A1F86" w:rsidP="00AD0270">
      <w:pPr>
        <w:ind w:left="284" w:hanging="284"/>
        <w:rPr>
          <w:sz w:val="20"/>
          <w:lang w:val="en-US"/>
        </w:rPr>
      </w:pPr>
      <w:r w:rsidRPr="00AD0270">
        <w:rPr>
          <w:sz w:val="20"/>
          <w:vertAlign w:val="superscript"/>
          <w:lang w:val="en-US"/>
        </w:rPr>
        <w:t>1</w:t>
      </w:r>
      <w:r w:rsidRPr="00AD0270">
        <w:rPr>
          <w:sz w:val="20"/>
          <w:lang w:val="en-US"/>
        </w:rPr>
        <w:t xml:space="preserve"> </w:t>
      </w:r>
      <w:r w:rsidR="00AD0270" w:rsidRPr="00AD0270">
        <w:rPr>
          <w:sz w:val="20"/>
          <w:lang w:val="en-US"/>
        </w:rPr>
        <w:tab/>
      </w:r>
      <w:r w:rsidRPr="00AD0270">
        <w:rPr>
          <w:sz w:val="20"/>
          <w:lang w:val="en-US"/>
        </w:rPr>
        <w:t xml:space="preserve">Adverse reaction observed in combination of linagliptin and metformin with </w:t>
      </w:r>
      <w:proofErr w:type="spellStart"/>
      <w:r w:rsidRPr="00AD0270">
        <w:rPr>
          <w:sz w:val="20"/>
          <w:lang w:val="en-US"/>
        </w:rPr>
        <w:t>sulphonylurea</w:t>
      </w:r>
      <w:proofErr w:type="spellEnd"/>
    </w:p>
    <w:p w14:paraId="09477576" w14:textId="415CD3F0" w:rsidR="004A1F86" w:rsidRPr="00AD0270" w:rsidRDefault="004A1F86" w:rsidP="00AD0270">
      <w:pPr>
        <w:ind w:left="284" w:hanging="284"/>
        <w:rPr>
          <w:sz w:val="20"/>
          <w:lang w:val="en-US"/>
        </w:rPr>
      </w:pPr>
      <w:r w:rsidRPr="00AD0270">
        <w:rPr>
          <w:sz w:val="20"/>
          <w:vertAlign w:val="superscript"/>
          <w:lang w:val="en-US"/>
        </w:rPr>
        <w:t>2</w:t>
      </w:r>
      <w:r w:rsidRPr="00AD0270">
        <w:rPr>
          <w:sz w:val="20"/>
          <w:lang w:val="en-US"/>
        </w:rPr>
        <w:t xml:space="preserve"> </w:t>
      </w:r>
      <w:r w:rsidR="00AD0270" w:rsidRPr="00AD0270">
        <w:rPr>
          <w:sz w:val="20"/>
          <w:lang w:val="en-US"/>
        </w:rPr>
        <w:tab/>
      </w:r>
      <w:r w:rsidRPr="00AD0270">
        <w:rPr>
          <w:sz w:val="20"/>
          <w:lang w:val="en-US"/>
        </w:rPr>
        <w:t>Adverse reaction observed in combination of linagliptin and metformin with insulin</w:t>
      </w:r>
    </w:p>
    <w:p w14:paraId="1571DE7A" w14:textId="77777777" w:rsidR="004A1F86" w:rsidRPr="00C311A4" w:rsidRDefault="004A1F86" w:rsidP="00624EBB">
      <w:pPr>
        <w:ind w:left="851"/>
        <w:rPr>
          <w:sz w:val="24"/>
          <w:szCs w:val="24"/>
          <w:lang w:val="en-US"/>
        </w:rPr>
      </w:pPr>
    </w:p>
    <w:p w14:paraId="4C70A10C" w14:textId="77777777" w:rsidR="004A1F86" w:rsidRPr="00C311A4" w:rsidRDefault="004A1F86" w:rsidP="00624EBB">
      <w:pPr>
        <w:ind w:left="851"/>
        <w:rPr>
          <w:sz w:val="24"/>
          <w:szCs w:val="24"/>
          <w:lang w:val="en-US"/>
        </w:rPr>
      </w:pPr>
      <w:r w:rsidRPr="00C311A4">
        <w:rPr>
          <w:sz w:val="24"/>
          <w:szCs w:val="24"/>
          <w:u w:val="single"/>
          <w:lang w:val="en-US"/>
        </w:rPr>
        <w:t>Description of selected adverse reactions</w:t>
      </w:r>
    </w:p>
    <w:p w14:paraId="17DF2214" w14:textId="77777777" w:rsidR="004A1F86" w:rsidRPr="00C311A4" w:rsidRDefault="004A1F86" w:rsidP="00624EBB">
      <w:pPr>
        <w:ind w:left="851"/>
        <w:rPr>
          <w:i/>
          <w:sz w:val="24"/>
          <w:szCs w:val="24"/>
          <w:lang w:val="en-US"/>
        </w:rPr>
      </w:pPr>
      <w:proofErr w:type="spellStart"/>
      <w:r w:rsidRPr="00C311A4">
        <w:rPr>
          <w:i/>
          <w:sz w:val="24"/>
          <w:szCs w:val="24"/>
          <w:lang w:val="en-US"/>
        </w:rPr>
        <w:t>Hypoglycaemia</w:t>
      </w:r>
      <w:proofErr w:type="spellEnd"/>
    </w:p>
    <w:p w14:paraId="662B0F23" w14:textId="77777777" w:rsidR="004A1F86" w:rsidRPr="00C311A4" w:rsidRDefault="004A1F86" w:rsidP="00624EBB">
      <w:pPr>
        <w:ind w:left="851"/>
        <w:rPr>
          <w:sz w:val="24"/>
          <w:szCs w:val="24"/>
          <w:lang w:val="en-US"/>
        </w:rPr>
      </w:pPr>
      <w:r w:rsidRPr="00C311A4">
        <w:rPr>
          <w:sz w:val="24"/>
          <w:szCs w:val="24"/>
          <w:lang w:val="en-US"/>
        </w:rPr>
        <w:t xml:space="preserve">In one study linagliptin was given as add-on to metformin plus </w:t>
      </w:r>
      <w:proofErr w:type="spellStart"/>
      <w:r w:rsidRPr="00C311A4">
        <w:rPr>
          <w:sz w:val="24"/>
          <w:szCs w:val="24"/>
          <w:lang w:val="en-US"/>
        </w:rPr>
        <w:t>sulphonylurea</w:t>
      </w:r>
      <w:proofErr w:type="spellEnd"/>
      <w:r w:rsidRPr="00C311A4">
        <w:rPr>
          <w:sz w:val="24"/>
          <w:szCs w:val="24"/>
          <w:lang w:val="en-US"/>
        </w:rPr>
        <w:t xml:space="preserve">. When linagliptin and metformin were administered in combination with a </w:t>
      </w:r>
      <w:proofErr w:type="spellStart"/>
      <w:r w:rsidRPr="00C311A4">
        <w:rPr>
          <w:sz w:val="24"/>
          <w:szCs w:val="24"/>
          <w:lang w:val="en-US"/>
        </w:rPr>
        <w:t>sulphonylurea</w:t>
      </w:r>
      <w:proofErr w:type="spellEnd"/>
      <w:r w:rsidRPr="00C311A4">
        <w:rPr>
          <w:sz w:val="24"/>
          <w:szCs w:val="24"/>
          <w:lang w:val="en-US"/>
        </w:rPr>
        <w:t xml:space="preserve">, </w:t>
      </w:r>
      <w:proofErr w:type="spellStart"/>
      <w:r w:rsidRPr="00C311A4">
        <w:rPr>
          <w:sz w:val="24"/>
          <w:szCs w:val="24"/>
          <w:lang w:val="en-US"/>
        </w:rPr>
        <w:t>hypoglycaemia</w:t>
      </w:r>
      <w:proofErr w:type="spellEnd"/>
      <w:r w:rsidRPr="00C311A4">
        <w:rPr>
          <w:sz w:val="24"/>
          <w:szCs w:val="24"/>
          <w:lang w:val="en-US"/>
        </w:rPr>
        <w:t xml:space="preserve"> was the most frequently reported adverse event (linagliptin plus metformin plus </w:t>
      </w:r>
      <w:proofErr w:type="spellStart"/>
      <w:r w:rsidRPr="00C311A4">
        <w:rPr>
          <w:sz w:val="24"/>
          <w:szCs w:val="24"/>
          <w:lang w:val="en-US"/>
        </w:rPr>
        <w:t>sulphonylurea</w:t>
      </w:r>
      <w:proofErr w:type="spellEnd"/>
      <w:r w:rsidRPr="00C311A4">
        <w:rPr>
          <w:sz w:val="24"/>
          <w:szCs w:val="24"/>
          <w:lang w:val="en-US"/>
        </w:rPr>
        <w:t xml:space="preserve"> 23.9% and 16.0% in placebo plus metformin plus </w:t>
      </w:r>
      <w:proofErr w:type="spellStart"/>
      <w:r w:rsidRPr="00C311A4">
        <w:rPr>
          <w:sz w:val="24"/>
          <w:szCs w:val="24"/>
          <w:lang w:val="en-US"/>
        </w:rPr>
        <w:t>sulphonylurea</w:t>
      </w:r>
      <w:proofErr w:type="spellEnd"/>
      <w:r w:rsidRPr="00C311A4">
        <w:rPr>
          <w:sz w:val="24"/>
          <w:szCs w:val="24"/>
          <w:lang w:val="en-US"/>
        </w:rPr>
        <w:t>).</w:t>
      </w:r>
    </w:p>
    <w:p w14:paraId="1CF0A28F" w14:textId="77777777" w:rsidR="004A1F86" w:rsidRPr="00C311A4" w:rsidRDefault="004A1F86" w:rsidP="00624EBB">
      <w:pPr>
        <w:ind w:left="851"/>
        <w:rPr>
          <w:sz w:val="24"/>
          <w:szCs w:val="24"/>
          <w:lang w:val="en-US"/>
        </w:rPr>
      </w:pPr>
    </w:p>
    <w:p w14:paraId="5699108E" w14:textId="77777777" w:rsidR="004A1F86" w:rsidRPr="00C311A4" w:rsidRDefault="004A1F86" w:rsidP="00624EBB">
      <w:pPr>
        <w:ind w:left="851"/>
        <w:rPr>
          <w:sz w:val="24"/>
          <w:szCs w:val="24"/>
          <w:lang w:val="en-US"/>
        </w:rPr>
      </w:pPr>
      <w:r w:rsidRPr="00C311A4">
        <w:rPr>
          <w:sz w:val="24"/>
          <w:szCs w:val="24"/>
          <w:lang w:val="en-US"/>
        </w:rPr>
        <w:t xml:space="preserve">When linagliptin and metformin were administered in combination with insulin, </w:t>
      </w:r>
      <w:proofErr w:type="spellStart"/>
      <w:r w:rsidRPr="00C311A4">
        <w:rPr>
          <w:sz w:val="24"/>
          <w:szCs w:val="24"/>
          <w:lang w:val="en-US"/>
        </w:rPr>
        <w:t>hypoglycaemia</w:t>
      </w:r>
      <w:proofErr w:type="spellEnd"/>
      <w:r w:rsidRPr="00C311A4">
        <w:rPr>
          <w:sz w:val="24"/>
          <w:szCs w:val="24"/>
          <w:lang w:val="en-US"/>
        </w:rPr>
        <w:t xml:space="preserve"> was the most frequently reported adverse event, but occurred at comparable rate when placebo and metformin were combined with insulin (linagliptin plus metformin plus insulin 29.5% and 30.9% in the placebo plus metformin plus insulin group) with a low rate of severe (requiring assistance) episodes (1.5% and 0.9%).</w:t>
      </w:r>
    </w:p>
    <w:p w14:paraId="491CF1CD" w14:textId="77777777" w:rsidR="004A1F86" w:rsidRPr="00C311A4" w:rsidRDefault="004A1F86" w:rsidP="00624EBB">
      <w:pPr>
        <w:ind w:left="851"/>
        <w:rPr>
          <w:sz w:val="24"/>
          <w:szCs w:val="24"/>
          <w:lang w:val="en-US"/>
        </w:rPr>
      </w:pPr>
    </w:p>
    <w:p w14:paraId="7675139F" w14:textId="77777777" w:rsidR="004A1F86" w:rsidRPr="00C311A4" w:rsidRDefault="004A1F86" w:rsidP="00624EBB">
      <w:pPr>
        <w:ind w:left="851"/>
        <w:rPr>
          <w:i/>
          <w:sz w:val="24"/>
          <w:szCs w:val="24"/>
          <w:lang w:val="en-US"/>
        </w:rPr>
      </w:pPr>
      <w:r w:rsidRPr="00C311A4">
        <w:rPr>
          <w:i/>
          <w:sz w:val="24"/>
          <w:szCs w:val="24"/>
          <w:lang w:val="en-US"/>
        </w:rPr>
        <w:t>Other adverse reactions</w:t>
      </w:r>
    </w:p>
    <w:p w14:paraId="047EA5EA" w14:textId="0425DD11" w:rsidR="004A1F86" w:rsidRPr="00C311A4" w:rsidRDefault="004A1F86" w:rsidP="00624EBB">
      <w:pPr>
        <w:ind w:left="851"/>
        <w:rPr>
          <w:sz w:val="24"/>
          <w:szCs w:val="24"/>
          <w:lang w:val="en-US"/>
        </w:rPr>
      </w:pPr>
      <w:r w:rsidRPr="00C311A4">
        <w:rPr>
          <w:sz w:val="24"/>
          <w:szCs w:val="24"/>
          <w:lang w:val="en-US"/>
        </w:rPr>
        <w:t xml:space="preserve">Gastrointestinal disorders such as, nausea, vomiting, </w:t>
      </w:r>
      <w:proofErr w:type="spellStart"/>
      <w:r w:rsidRPr="00C311A4">
        <w:rPr>
          <w:sz w:val="24"/>
          <w:szCs w:val="24"/>
          <w:lang w:val="en-US"/>
        </w:rPr>
        <w:t>diarrhoea</w:t>
      </w:r>
      <w:proofErr w:type="spellEnd"/>
      <w:r w:rsidRPr="00C311A4">
        <w:rPr>
          <w:sz w:val="24"/>
          <w:szCs w:val="24"/>
          <w:lang w:val="en-US"/>
        </w:rPr>
        <w:t xml:space="preserve"> and decreased appetite and abdominal pain occur most frequently during initiation of therapy with </w:t>
      </w:r>
      <w:proofErr w:type="spellStart"/>
      <w:r w:rsidR="00C311A4" w:rsidRPr="00C311A4">
        <w:rPr>
          <w:sz w:val="24"/>
          <w:szCs w:val="24"/>
          <w:lang w:val="en-US"/>
        </w:rPr>
        <w:t>Nagilma</w:t>
      </w:r>
      <w:proofErr w:type="spellEnd"/>
      <w:r w:rsidRPr="00C311A4">
        <w:rPr>
          <w:sz w:val="24"/>
          <w:szCs w:val="24"/>
          <w:lang w:val="en-US"/>
        </w:rPr>
        <w:t xml:space="preserve"> or metformin hydrochloride and resolve spontaneously in most cases. For prevention, it is recommended that </w:t>
      </w:r>
      <w:proofErr w:type="spellStart"/>
      <w:r w:rsidR="00C311A4" w:rsidRPr="00C311A4">
        <w:rPr>
          <w:sz w:val="24"/>
          <w:szCs w:val="24"/>
          <w:lang w:val="en-US"/>
        </w:rPr>
        <w:t>Nagilma</w:t>
      </w:r>
      <w:proofErr w:type="spellEnd"/>
      <w:r w:rsidRPr="00C311A4">
        <w:rPr>
          <w:sz w:val="24"/>
          <w:szCs w:val="24"/>
          <w:lang w:val="en-US"/>
        </w:rPr>
        <w:t xml:space="preserve"> be taken during or after meals. A slow increase in dose of metformin hydrochloride may also improve gastrointestinal tolerability.</w:t>
      </w:r>
    </w:p>
    <w:p w14:paraId="09AFABE5" w14:textId="543673EF" w:rsidR="00A73714" w:rsidRDefault="00A73714">
      <w:pPr>
        <w:rPr>
          <w:sz w:val="24"/>
          <w:szCs w:val="24"/>
          <w:lang w:val="en-US"/>
        </w:rPr>
      </w:pPr>
      <w:r>
        <w:rPr>
          <w:sz w:val="24"/>
          <w:szCs w:val="24"/>
          <w:lang w:val="en-US"/>
        </w:rPr>
        <w:br w:type="page"/>
      </w:r>
    </w:p>
    <w:p w14:paraId="480A861E" w14:textId="77777777" w:rsidR="004A1F86" w:rsidRPr="00C311A4" w:rsidRDefault="004A1F86" w:rsidP="00624EBB">
      <w:pPr>
        <w:ind w:left="851"/>
        <w:rPr>
          <w:sz w:val="24"/>
          <w:szCs w:val="24"/>
          <w:lang w:val="en-US"/>
        </w:rPr>
      </w:pPr>
    </w:p>
    <w:p w14:paraId="33623846" w14:textId="77777777" w:rsidR="004A1F86" w:rsidRPr="00C311A4" w:rsidRDefault="004A1F86" w:rsidP="00624EBB">
      <w:pPr>
        <w:ind w:left="851"/>
        <w:rPr>
          <w:sz w:val="24"/>
          <w:szCs w:val="24"/>
          <w:lang w:val="en-US"/>
        </w:rPr>
      </w:pPr>
      <w:r w:rsidRPr="00C311A4">
        <w:rPr>
          <w:sz w:val="24"/>
          <w:szCs w:val="24"/>
          <w:u w:val="single"/>
          <w:lang w:val="en-US"/>
        </w:rPr>
        <w:t>Linagliptin cardiovascular and renal safety study (CARMELINA)</w:t>
      </w:r>
    </w:p>
    <w:p w14:paraId="5A15A53A" w14:textId="77777777" w:rsidR="004A1F86" w:rsidRPr="00C311A4" w:rsidRDefault="004A1F86" w:rsidP="00624EBB">
      <w:pPr>
        <w:ind w:left="851"/>
        <w:rPr>
          <w:sz w:val="24"/>
          <w:szCs w:val="24"/>
          <w:lang w:val="en-US"/>
        </w:rPr>
      </w:pPr>
      <w:r w:rsidRPr="00C311A4">
        <w:rPr>
          <w:sz w:val="24"/>
          <w:szCs w:val="24"/>
          <w:lang w:val="en-US"/>
        </w:rPr>
        <w:t>The CARMELINA study evaluated the cardiovascular and renal safety of linagliptin versus placebo in patients with type 2 diabetes and with increased CV risk evidenced by a history of established macrovascular or renal disease (see section 5.1). The study included 3494 patients treated with linagliptin (5 mg) and 3485 patients treated with placebo. Both treatments were added to standard of care targeting regional standards for HbA</w:t>
      </w:r>
      <w:r w:rsidRPr="00C311A4">
        <w:rPr>
          <w:sz w:val="24"/>
          <w:szCs w:val="24"/>
          <w:vertAlign w:val="subscript"/>
          <w:lang w:val="en-US"/>
        </w:rPr>
        <w:t>1c</w:t>
      </w:r>
      <w:r w:rsidRPr="00C311A4">
        <w:rPr>
          <w:sz w:val="24"/>
          <w:szCs w:val="24"/>
          <w:lang w:val="en-US"/>
        </w:rPr>
        <w:t xml:space="preserve"> and CV risk factors. The overall incidence of adverse events and serious adverse events in patients receiving linagliptin was similar to that in patients receiving placebo. Safety data from this study was in line with previous known safety profile of linagliptin.</w:t>
      </w:r>
    </w:p>
    <w:p w14:paraId="0B708D12" w14:textId="77777777" w:rsidR="004A1F86" w:rsidRPr="00C311A4" w:rsidRDefault="004A1F86" w:rsidP="00624EBB">
      <w:pPr>
        <w:ind w:left="851"/>
        <w:rPr>
          <w:sz w:val="24"/>
          <w:szCs w:val="24"/>
          <w:lang w:val="en-US"/>
        </w:rPr>
      </w:pPr>
    </w:p>
    <w:p w14:paraId="77E0ADB3" w14:textId="77777777" w:rsidR="004A1F86" w:rsidRPr="00C311A4" w:rsidRDefault="004A1F86" w:rsidP="00624EBB">
      <w:pPr>
        <w:ind w:left="851"/>
        <w:rPr>
          <w:sz w:val="24"/>
          <w:szCs w:val="24"/>
          <w:lang w:val="en-US"/>
        </w:rPr>
      </w:pPr>
      <w:r w:rsidRPr="00C311A4">
        <w:rPr>
          <w:sz w:val="24"/>
          <w:szCs w:val="24"/>
          <w:lang w:val="en-US"/>
        </w:rPr>
        <w:t xml:space="preserve">In the treated population, severe </w:t>
      </w:r>
      <w:proofErr w:type="spellStart"/>
      <w:r w:rsidRPr="00C311A4">
        <w:rPr>
          <w:sz w:val="24"/>
          <w:szCs w:val="24"/>
          <w:lang w:val="en-US"/>
        </w:rPr>
        <w:t>hypoglycaemic</w:t>
      </w:r>
      <w:proofErr w:type="spellEnd"/>
      <w:r w:rsidRPr="00C311A4">
        <w:rPr>
          <w:sz w:val="24"/>
          <w:szCs w:val="24"/>
          <w:lang w:val="en-US"/>
        </w:rPr>
        <w:t xml:space="preserve"> events (requiring assistance) were reported in 3.0% of patients on linagliptin and in 3.1% on placebo. Among patients who were using sulfonylurea at baseline, the incidence of severe </w:t>
      </w:r>
      <w:proofErr w:type="spellStart"/>
      <w:r w:rsidRPr="00C311A4">
        <w:rPr>
          <w:sz w:val="24"/>
          <w:szCs w:val="24"/>
          <w:lang w:val="en-US"/>
        </w:rPr>
        <w:t>hypoglycaemia</w:t>
      </w:r>
      <w:proofErr w:type="spellEnd"/>
      <w:r w:rsidRPr="00C311A4">
        <w:rPr>
          <w:sz w:val="24"/>
          <w:szCs w:val="24"/>
          <w:lang w:val="en-US"/>
        </w:rPr>
        <w:t xml:space="preserve"> was 2.0% in linagliptin-treated patients and 1.7% in placebo treated patients. Among patients who were using insulin at baseline, the incidence of severe </w:t>
      </w:r>
      <w:proofErr w:type="spellStart"/>
      <w:r w:rsidRPr="00C311A4">
        <w:rPr>
          <w:sz w:val="24"/>
          <w:szCs w:val="24"/>
          <w:lang w:val="en-US"/>
        </w:rPr>
        <w:t>hypoglycaemia</w:t>
      </w:r>
      <w:proofErr w:type="spellEnd"/>
      <w:r w:rsidRPr="00C311A4">
        <w:rPr>
          <w:sz w:val="24"/>
          <w:szCs w:val="24"/>
          <w:lang w:val="en-US"/>
        </w:rPr>
        <w:t xml:space="preserve"> was 4.4% in linagliptin-treated patients and 4.9% in placebo treated patients.</w:t>
      </w:r>
    </w:p>
    <w:p w14:paraId="017494C8" w14:textId="77777777" w:rsidR="004A1F86" w:rsidRPr="00C311A4" w:rsidRDefault="004A1F86" w:rsidP="00624EBB">
      <w:pPr>
        <w:ind w:left="851"/>
        <w:rPr>
          <w:sz w:val="24"/>
          <w:szCs w:val="24"/>
          <w:lang w:val="en-US"/>
        </w:rPr>
      </w:pPr>
    </w:p>
    <w:p w14:paraId="707C6DBB" w14:textId="77777777" w:rsidR="004A1F86" w:rsidRPr="00C311A4" w:rsidRDefault="004A1F86" w:rsidP="00624EBB">
      <w:pPr>
        <w:ind w:left="851"/>
        <w:rPr>
          <w:sz w:val="24"/>
          <w:szCs w:val="24"/>
          <w:lang w:val="en-US"/>
        </w:rPr>
      </w:pPr>
      <w:r w:rsidRPr="00C311A4">
        <w:rPr>
          <w:sz w:val="24"/>
          <w:szCs w:val="24"/>
          <w:lang w:val="en-US"/>
        </w:rPr>
        <w:t>In the overall study observation period adjudicated acute pancreatitis was reported in 0.3% of patients treated with linagliptin and in 0.1% of patients treated with placebo.</w:t>
      </w:r>
    </w:p>
    <w:p w14:paraId="708A9E29" w14:textId="77777777" w:rsidR="004A1F86" w:rsidRPr="00C311A4" w:rsidRDefault="004A1F86" w:rsidP="00624EBB">
      <w:pPr>
        <w:ind w:left="851"/>
        <w:rPr>
          <w:sz w:val="24"/>
          <w:szCs w:val="24"/>
          <w:lang w:val="en-US"/>
        </w:rPr>
      </w:pPr>
    </w:p>
    <w:p w14:paraId="10E2809C" w14:textId="77777777" w:rsidR="004A1F86" w:rsidRPr="00C311A4" w:rsidRDefault="004A1F86" w:rsidP="00624EBB">
      <w:pPr>
        <w:ind w:left="851"/>
        <w:rPr>
          <w:sz w:val="24"/>
          <w:szCs w:val="24"/>
          <w:lang w:val="en-GB"/>
        </w:rPr>
      </w:pPr>
      <w:r w:rsidRPr="00C311A4">
        <w:rPr>
          <w:sz w:val="24"/>
          <w:szCs w:val="24"/>
          <w:lang w:val="en-US"/>
        </w:rPr>
        <w:t>In the CARMELINA study, bullous pemphigoid was reported in 0.2% of patients treated with linagliptin and in no patient treated with placebo.</w:t>
      </w:r>
    </w:p>
    <w:p w14:paraId="5C6CA1EF" w14:textId="77777777" w:rsidR="004A1F86" w:rsidRPr="00C311A4" w:rsidRDefault="004A1F86" w:rsidP="00624EBB">
      <w:pPr>
        <w:ind w:left="851"/>
        <w:rPr>
          <w:sz w:val="24"/>
          <w:szCs w:val="24"/>
          <w:u w:val="single"/>
          <w:lang w:val="en-US"/>
        </w:rPr>
      </w:pPr>
    </w:p>
    <w:p w14:paraId="4E8D2FAE" w14:textId="77777777" w:rsidR="004A1F86" w:rsidRPr="00656FCF" w:rsidRDefault="004A1F86" w:rsidP="00624EBB">
      <w:pPr>
        <w:ind w:left="851"/>
        <w:rPr>
          <w:iCs/>
          <w:color w:val="000000" w:themeColor="text1"/>
          <w:sz w:val="24"/>
          <w:szCs w:val="24"/>
          <w:lang w:val="en-US"/>
        </w:rPr>
      </w:pPr>
      <w:r w:rsidRPr="00656FCF">
        <w:rPr>
          <w:iCs/>
          <w:color w:val="000000" w:themeColor="text1"/>
          <w:sz w:val="24"/>
          <w:szCs w:val="24"/>
          <w:u w:val="single"/>
          <w:lang w:val="en-US"/>
        </w:rPr>
        <w:t>Paediatric population</w:t>
      </w:r>
    </w:p>
    <w:p w14:paraId="196B0898" w14:textId="77777777" w:rsidR="004A1F86" w:rsidRPr="00C311A4" w:rsidRDefault="004A1F86" w:rsidP="00624EBB">
      <w:pPr>
        <w:ind w:left="851"/>
        <w:rPr>
          <w:sz w:val="24"/>
          <w:szCs w:val="24"/>
          <w:lang w:val="en-US"/>
        </w:rPr>
      </w:pPr>
      <w:r w:rsidRPr="00C311A4">
        <w:rPr>
          <w:sz w:val="24"/>
          <w:szCs w:val="24"/>
          <w:lang w:val="en-US"/>
        </w:rPr>
        <w:t>Overall, in clinical trials in paediatric patients with type 2 diabetes mellitus aged 10 to 17 years, the safety profile of linagliptin was similar to that observed in the adult population.</w:t>
      </w:r>
    </w:p>
    <w:p w14:paraId="3A3575A7" w14:textId="77777777" w:rsidR="004A1F86" w:rsidRPr="00C311A4" w:rsidRDefault="004A1F86" w:rsidP="00624EBB">
      <w:pPr>
        <w:ind w:left="851"/>
        <w:rPr>
          <w:sz w:val="24"/>
          <w:szCs w:val="24"/>
          <w:u w:val="single"/>
          <w:lang w:val="en-US"/>
        </w:rPr>
      </w:pPr>
    </w:p>
    <w:p w14:paraId="1C29E58D" w14:textId="77777777" w:rsidR="00624EBB" w:rsidRPr="00C311A4" w:rsidRDefault="00624EBB" w:rsidP="00624EBB">
      <w:pPr>
        <w:ind w:left="851"/>
        <w:rPr>
          <w:sz w:val="24"/>
          <w:szCs w:val="24"/>
          <w:u w:val="single"/>
          <w:lang w:val="en-GB"/>
        </w:rPr>
      </w:pPr>
      <w:r w:rsidRPr="00C311A4">
        <w:rPr>
          <w:sz w:val="24"/>
          <w:szCs w:val="24"/>
          <w:u w:val="single"/>
          <w:lang w:val="en-GB"/>
        </w:rPr>
        <w:t>Reporting of suspected adverse reactions</w:t>
      </w:r>
    </w:p>
    <w:p w14:paraId="0E581895" w14:textId="77777777" w:rsidR="00624EBB" w:rsidRPr="00C311A4" w:rsidRDefault="00624EBB" w:rsidP="00624EBB">
      <w:pPr>
        <w:ind w:left="851"/>
        <w:rPr>
          <w:sz w:val="24"/>
          <w:szCs w:val="24"/>
          <w:lang w:val="en-GB"/>
        </w:rPr>
      </w:pPr>
      <w:r w:rsidRPr="00C311A4">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64B3D51B" w14:textId="77777777" w:rsidR="00624EBB" w:rsidRPr="00C311A4" w:rsidRDefault="00624EBB" w:rsidP="00624EBB">
      <w:pPr>
        <w:ind w:left="851"/>
        <w:rPr>
          <w:sz w:val="24"/>
          <w:szCs w:val="24"/>
          <w:lang w:val="en-GB"/>
        </w:rPr>
      </w:pPr>
    </w:p>
    <w:p w14:paraId="620369DD" w14:textId="77777777" w:rsidR="00624EBB" w:rsidRPr="00C311A4" w:rsidRDefault="00624EBB" w:rsidP="00624EBB">
      <w:pPr>
        <w:ind w:left="851"/>
        <w:rPr>
          <w:sz w:val="24"/>
          <w:szCs w:val="24"/>
        </w:rPr>
      </w:pPr>
      <w:r w:rsidRPr="00C311A4">
        <w:rPr>
          <w:sz w:val="24"/>
          <w:szCs w:val="24"/>
        </w:rPr>
        <w:t>Lægemiddelstyrelsen</w:t>
      </w:r>
    </w:p>
    <w:p w14:paraId="38012332" w14:textId="77777777" w:rsidR="00624EBB" w:rsidRPr="00C311A4" w:rsidRDefault="00624EBB" w:rsidP="00624EBB">
      <w:pPr>
        <w:ind w:left="851"/>
        <w:rPr>
          <w:sz w:val="24"/>
          <w:szCs w:val="24"/>
        </w:rPr>
      </w:pPr>
      <w:r w:rsidRPr="00C311A4">
        <w:rPr>
          <w:sz w:val="24"/>
          <w:szCs w:val="24"/>
        </w:rPr>
        <w:t>Axel Heides Gade 1</w:t>
      </w:r>
    </w:p>
    <w:p w14:paraId="1EAFFBD3" w14:textId="77777777" w:rsidR="00624EBB" w:rsidRPr="00C311A4" w:rsidRDefault="00624EBB" w:rsidP="00624EBB">
      <w:pPr>
        <w:ind w:left="851"/>
        <w:rPr>
          <w:sz w:val="24"/>
          <w:szCs w:val="24"/>
        </w:rPr>
      </w:pPr>
      <w:r w:rsidRPr="00C311A4">
        <w:rPr>
          <w:sz w:val="24"/>
          <w:szCs w:val="24"/>
        </w:rPr>
        <w:t>DK-2300 København S</w:t>
      </w:r>
    </w:p>
    <w:p w14:paraId="605C8C24" w14:textId="77777777" w:rsidR="00624EBB" w:rsidRPr="00656FCF" w:rsidRDefault="00624EBB" w:rsidP="00624EBB">
      <w:pPr>
        <w:ind w:left="851"/>
        <w:rPr>
          <w:sz w:val="24"/>
          <w:szCs w:val="24"/>
          <w:lang w:val="en-US"/>
        </w:rPr>
      </w:pPr>
      <w:r w:rsidRPr="00656FCF">
        <w:rPr>
          <w:sz w:val="24"/>
          <w:szCs w:val="24"/>
          <w:lang w:val="en-US"/>
        </w:rPr>
        <w:t>Website: www.meldenbivirkning.dk</w:t>
      </w:r>
    </w:p>
    <w:p w14:paraId="597728C8" w14:textId="77777777" w:rsidR="007C5D2A" w:rsidRPr="00C311A4" w:rsidRDefault="007C5D2A" w:rsidP="007A4CC6">
      <w:pPr>
        <w:tabs>
          <w:tab w:val="left" w:pos="851"/>
        </w:tabs>
        <w:ind w:left="851"/>
        <w:rPr>
          <w:sz w:val="24"/>
          <w:szCs w:val="24"/>
          <w:lang w:val="en-GB"/>
        </w:rPr>
      </w:pPr>
    </w:p>
    <w:p w14:paraId="4B645CF8" w14:textId="77777777" w:rsidR="007C5D2A" w:rsidRPr="00C311A4" w:rsidRDefault="007C5D2A" w:rsidP="007C5D2A">
      <w:pPr>
        <w:tabs>
          <w:tab w:val="left" w:pos="851"/>
        </w:tabs>
        <w:ind w:left="851" w:hanging="851"/>
        <w:rPr>
          <w:b/>
          <w:sz w:val="24"/>
          <w:szCs w:val="24"/>
          <w:lang w:val="en-GB"/>
        </w:rPr>
      </w:pPr>
      <w:r w:rsidRPr="00C311A4">
        <w:rPr>
          <w:b/>
          <w:sz w:val="24"/>
          <w:szCs w:val="24"/>
          <w:lang w:val="en-GB"/>
        </w:rPr>
        <w:t>4.9</w:t>
      </w:r>
      <w:r w:rsidRPr="00C311A4">
        <w:rPr>
          <w:b/>
          <w:sz w:val="24"/>
          <w:szCs w:val="24"/>
          <w:lang w:val="en-GB"/>
        </w:rPr>
        <w:tab/>
        <w:t>Overdose</w:t>
      </w:r>
    </w:p>
    <w:p w14:paraId="34A8D1D3" w14:textId="77777777" w:rsidR="004A1F86" w:rsidRPr="00656FCF" w:rsidRDefault="004A1F86" w:rsidP="004A1F86">
      <w:pPr>
        <w:rPr>
          <w:sz w:val="24"/>
          <w:szCs w:val="24"/>
          <w:lang w:val="en-US"/>
        </w:rPr>
      </w:pPr>
    </w:p>
    <w:p w14:paraId="4B8655E8" w14:textId="77777777" w:rsidR="004A1F86" w:rsidRPr="00AD0270" w:rsidRDefault="004A1F86" w:rsidP="00624EBB">
      <w:pPr>
        <w:ind w:left="851"/>
        <w:rPr>
          <w:sz w:val="24"/>
          <w:szCs w:val="24"/>
          <w:u w:val="single"/>
          <w:lang w:val="en-US"/>
        </w:rPr>
      </w:pPr>
      <w:r w:rsidRPr="00AD0270">
        <w:rPr>
          <w:sz w:val="24"/>
          <w:szCs w:val="24"/>
          <w:u w:val="single"/>
          <w:lang w:val="en-US"/>
        </w:rPr>
        <w:t>Linagliptin</w:t>
      </w:r>
    </w:p>
    <w:p w14:paraId="7B9A7F57" w14:textId="77777777" w:rsidR="004A1F86" w:rsidRPr="00C311A4" w:rsidRDefault="004A1F86" w:rsidP="00624EBB">
      <w:pPr>
        <w:ind w:left="851"/>
        <w:rPr>
          <w:sz w:val="24"/>
          <w:szCs w:val="24"/>
          <w:lang w:val="en-US"/>
        </w:rPr>
      </w:pPr>
      <w:r w:rsidRPr="00C311A4">
        <w:rPr>
          <w:sz w:val="24"/>
          <w:szCs w:val="24"/>
          <w:lang w:val="en-US"/>
        </w:rPr>
        <w:t>During controlled clinical trials in healthy subjects, single doses of up to 600 mg linagliptin (equivalent to 120 times the recommended dose) were not associated with a dose dependent increase in adverse events. There is no experience with doses above 600 mg in humans.</w:t>
      </w:r>
    </w:p>
    <w:p w14:paraId="7114398B" w14:textId="77777777" w:rsidR="004A1F86" w:rsidRPr="00C311A4" w:rsidRDefault="004A1F86" w:rsidP="00624EBB">
      <w:pPr>
        <w:ind w:left="851"/>
        <w:rPr>
          <w:sz w:val="24"/>
          <w:szCs w:val="24"/>
          <w:lang w:val="en-US"/>
        </w:rPr>
      </w:pPr>
    </w:p>
    <w:p w14:paraId="2FF07CF6" w14:textId="77777777" w:rsidR="004A1F86" w:rsidRPr="00AD0270" w:rsidRDefault="004A1F86" w:rsidP="00624EBB">
      <w:pPr>
        <w:ind w:left="851"/>
        <w:rPr>
          <w:sz w:val="24"/>
          <w:szCs w:val="24"/>
          <w:u w:val="single"/>
          <w:lang w:val="en-US"/>
        </w:rPr>
      </w:pPr>
      <w:r w:rsidRPr="00AD0270">
        <w:rPr>
          <w:sz w:val="24"/>
          <w:szCs w:val="24"/>
          <w:u w:val="single"/>
          <w:lang w:val="en-US"/>
        </w:rPr>
        <w:t>Metformin</w:t>
      </w:r>
    </w:p>
    <w:p w14:paraId="37F6BFC3" w14:textId="77777777" w:rsidR="004A1F86" w:rsidRPr="00C311A4" w:rsidRDefault="004A1F86" w:rsidP="00624EBB">
      <w:pPr>
        <w:ind w:left="851"/>
        <w:rPr>
          <w:sz w:val="24"/>
          <w:szCs w:val="24"/>
          <w:lang w:val="en-US"/>
        </w:rPr>
      </w:pPr>
      <w:proofErr w:type="spellStart"/>
      <w:r w:rsidRPr="00C311A4">
        <w:rPr>
          <w:sz w:val="24"/>
          <w:szCs w:val="24"/>
          <w:lang w:val="en-US"/>
        </w:rPr>
        <w:t>Hypoglycaemia</w:t>
      </w:r>
      <w:proofErr w:type="spellEnd"/>
      <w:r w:rsidRPr="00C311A4">
        <w:rPr>
          <w:sz w:val="24"/>
          <w:szCs w:val="24"/>
          <w:lang w:val="en-US"/>
        </w:rPr>
        <w:t xml:space="preserve"> has not been seen with metformin hydrochloride doses of up to 85 g, although lactic acidosis has occurred in such circumstances. High overdose of metformin hydrochloride or concomitant risks may lead to lactic acidosis. Lactic acidosis is a medical </w:t>
      </w:r>
      <w:r w:rsidRPr="00C311A4">
        <w:rPr>
          <w:sz w:val="24"/>
          <w:szCs w:val="24"/>
          <w:lang w:val="en-US"/>
        </w:rPr>
        <w:lastRenderedPageBreak/>
        <w:t xml:space="preserve">emergency and must be treated in hospital. The most effective method to remove lactate and metformin hydrochloride is </w:t>
      </w:r>
      <w:proofErr w:type="spellStart"/>
      <w:r w:rsidRPr="00C311A4">
        <w:rPr>
          <w:sz w:val="24"/>
          <w:szCs w:val="24"/>
          <w:lang w:val="en-US"/>
        </w:rPr>
        <w:t>haemodialysis</w:t>
      </w:r>
      <w:proofErr w:type="spellEnd"/>
      <w:r w:rsidRPr="00C311A4">
        <w:rPr>
          <w:sz w:val="24"/>
          <w:szCs w:val="24"/>
          <w:lang w:val="en-US"/>
        </w:rPr>
        <w:t>.</w:t>
      </w:r>
    </w:p>
    <w:p w14:paraId="10275FE1" w14:textId="77777777" w:rsidR="004A1F86" w:rsidRPr="00C311A4" w:rsidRDefault="004A1F86" w:rsidP="00624EBB">
      <w:pPr>
        <w:ind w:left="851"/>
        <w:rPr>
          <w:sz w:val="24"/>
          <w:szCs w:val="24"/>
          <w:lang w:val="en-US"/>
        </w:rPr>
      </w:pPr>
    </w:p>
    <w:p w14:paraId="5195EB84" w14:textId="77777777" w:rsidR="004A1F86" w:rsidRPr="00AD0270" w:rsidRDefault="004A1F86" w:rsidP="00624EBB">
      <w:pPr>
        <w:ind w:left="851"/>
        <w:rPr>
          <w:sz w:val="24"/>
          <w:szCs w:val="24"/>
          <w:u w:val="single"/>
          <w:lang w:val="en-US"/>
        </w:rPr>
      </w:pPr>
      <w:r w:rsidRPr="00AD0270">
        <w:rPr>
          <w:sz w:val="24"/>
          <w:szCs w:val="24"/>
          <w:u w:val="single"/>
          <w:lang w:val="en-US"/>
        </w:rPr>
        <w:t>Management</w:t>
      </w:r>
    </w:p>
    <w:p w14:paraId="7F790A4E" w14:textId="77777777" w:rsidR="004A1F86" w:rsidRPr="00C311A4" w:rsidRDefault="004A1F86" w:rsidP="00624EBB">
      <w:pPr>
        <w:ind w:left="851"/>
        <w:rPr>
          <w:sz w:val="24"/>
          <w:szCs w:val="24"/>
          <w:lang w:val="en-GB"/>
        </w:rPr>
      </w:pPr>
      <w:r w:rsidRPr="00C311A4">
        <w:rPr>
          <w:sz w:val="24"/>
          <w:szCs w:val="24"/>
          <w:lang w:val="en-US"/>
        </w:rPr>
        <w:t>In the event of an overdose, it is reasonable to employ the usual supportive measures, e.g. remove unabsorbed material from the gastrointestinal tract, employ clinical monitoring, and institute clinical measures if required.</w:t>
      </w:r>
    </w:p>
    <w:p w14:paraId="554403FB" w14:textId="77777777" w:rsidR="007C5D2A" w:rsidRPr="00C311A4" w:rsidRDefault="007C5D2A" w:rsidP="003E0341">
      <w:pPr>
        <w:tabs>
          <w:tab w:val="left" w:pos="851"/>
        </w:tabs>
        <w:ind w:left="851"/>
        <w:rPr>
          <w:sz w:val="24"/>
          <w:szCs w:val="24"/>
          <w:lang w:val="en-GB"/>
        </w:rPr>
      </w:pPr>
    </w:p>
    <w:p w14:paraId="2D598EC6" w14:textId="77777777" w:rsidR="008F2F8C" w:rsidRPr="00C311A4" w:rsidRDefault="0042292D" w:rsidP="0042292D">
      <w:pPr>
        <w:tabs>
          <w:tab w:val="left" w:pos="851"/>
        </w:tabs>
        <w:rPr>
          <w:b/>
          <w:sz w:val="24"/>
          <w:szCs w:val="24"/>
          <w:lang w:val="en-GB"/>
        </w:rPr>
      </w:pPr>
      <w:r w:rsidRPr="00C311A4">
        <w:rPr>
          <w:b/>
          <w:sz w:val="24"/>
          <w:szCs w:val="24"/>
          <w:lang w:val="en-GB"/>
        </w:rPr>
        <w:t>4.10</w:t>
      </w:r>
      <w:r w:rsidRPr="00C311A4">
        <w:rPr>
          <w:b/>
          <w:sz w:val="24"/>
          <w:szCs w:val="24"/>
          <w:lang w:val="en-GB"/>
        </w:rPr>
        <w:tab/>
        <w:t>Legal status</w:t>
      </w:r>
    </w:p>
    <w:p w14:paraId="5FC70C8F" w14:textId="6FA055FA" w:rsidR="00AD2E36" w:rsidRPr="00C311A4" w:rsidRDefault="00624EBB" w:rsidP="00AD2E36">
      <w:pPr>
        <w:tabs>
          <w:tab w:val="left" w:pos="851"/>
        </w:tabs>
        <w:ind w:left="851"/>
        <w:rPr>
          <w:sz w:val="24"/>
          <w:szCs w:val="24"/>
          <w:lang w:val="en-GB"/>
        </w:rPr>
      </w:pPr>
      <w:r w:rsidRPr="00C311A4">
        <w:rPr>
          <w:sz w:val="24"/>
          <w:szCs w:val="24"/>
          <w:lang w:val="en-GB"/>
        </w:rPr>
        <w:t>B</w:t>
      </w:r>
    </w:p>
    <w:p w14:paraId="7239A07D" w14:textId="77777777" w:rsidR="007C5D2A" w:rsidRPr="00C311A4" w:rsidRDefault="007C5D2A" w:rsidP="003E0341">
      <w:pPr>
        <w:tabs>
          <w:tab w:val="left" w:pos="851"/>
        </w:tabs>
        <w:ind w:left="851"/>
        <w:rPr>
          <w:sz w:val="24"/>
          <w:szCs w:val="24"/>
          <w:lang w:val="en-GB"/>
        </w:rPr>
      </w:pPr>
    </w:p>
    <w:p w14:paraId="27CED3BF" w14:textId="77777777" w:rsidR="00AD2E36" w:rsidRPr="00C311A4" w:rsidRDefault="00AD2E36" w:rsidP="003E0341">
      <w:pPr>
        <w:tabs>
          <w:tab w:val="left" w:pos="851"/>
        </w:tabs>
        <w:ind w:left="851"/>
        <w:rPr>
          <w:sz w:val="24"/>
          <w:szCs w:val="24"/>
          <w:lang w:val="en-GB"/>
        </w:rPr>
      </w:pPr>
    </w:p>
    <w:p w14:paraId="449E1570" w14:textId="77777777" w:rsidR="007C5D2A" w:rsidRPr="00C311A4" w:rsidRDefault="007C5D2A" w:rsidP="007C5D2A">
      <w:pPr>
        <w:tabs>
          <w:tab w:val="left" w:pos="851"/>
        </w:tabs>
        <w:rPr>
          <w:b/>
          <w:sz w:val="24"/>
          <w:szCs w:val="24"/>
          <w:lang w:val="en-GB"/>
        </w:rPr>
      </w:pPr>
      <w:r w:rsidRPr="00C311A4">
        <w:rPr>
          <w:b/>
          <w:sz w:val="24"/>
          <w:szCs w:val="24"/>
          <w:lang w:val="en-GB"/>
        </w:rPr>
        <w:t>5.</w:t>
      </w:r>
      <w:r w:rsidRPr="00C311A4">
        <w:rPr>
          <w:b/>
          <w:sz w:val="24"/>
          <w:szCs w:val="24"/>
          <w:lang w:val="en-GB"/>
        </w:rPr>
        <w:tab/>
        <w:t>PHARMACOLOGICAL PROPERTIES</w:t>
      </w:r>
    </w:p>
    <w:p w14:paraId="7FA9355D" w14:textId="77777777" w:rsidR="007C5D2A" w:rsidRPr="00C311A4" w:rsidRDefault="007C5D2A" w:rsidP="003E0341">
      <w:pPr>
        <w:tabs>
          <w:tab w:val="left" w:pos="851"/>
        </w:tabs>
        <w:ind w:left="851"/>
        <w:rPr>
          <w:sz w:val="24"/>
          <w:szCs w:val="24"/>
          <w:lang w:val="en-GB"/>
        </w:rPr>
      </w:pPr>
    </w:p>
    <w:p w14:paraId="19711C29" w14:textId="77777777" w:rsidR="007C5D2A" w:rsidRPr="00C311A4" w:rsidRDefault="007C5D2A" w:rsidP="007C5D2A">
      <w:pPr>
        <w:tabs>
          <w:tab w:val="left" w:pos="851"/>
        </w:tabs>
        <w:ind w:left="851" w:hanging="851"/>
        <w:rPr>
          <w:b/>
          <w:sz w:val="24"/>
          <w:szCs w:val="24"/>
          <w:lang w:val="en-GB"/>
        </w:rPr>
      </w:pPr>
      <w:r w:rsidRPr="00C311A4">
        <w:rPr>
          <w:b/>
          <w:sz w:val="24"/>
          <w:szCs w:val="24"/>
          <w:lang w:val="en-GB"/>
        </w:rPr>
        <w:t>5.1</w:t>
      </w:r>
      <w:r w:rsidRPr="00C311A4">
        <w:rPr>
          <w:b/>
          <w:sz w:val="24"/>
          <w:szCs w:val="24"/>
          <w:lang w:val="en-GB"/>
        </w:rPr>
        <w:tab/>
        <w:t>Pharmacodynamic properties</w:t>
      </w:r>
      <w:r w:rsidRPr="00C311A4">
        <w:rPr>
          <w:b/>
          <w:sz w:val="24"/>
          <w:szCs w:val="24"/>
          <w:lang w:val="en-GB"/>
        </w:rPr>
        <w:tab/>
      </w:r>
    </w:p>
    <w:p w14:paraId="29327968" w14:textId="77777777" w:rsidR="004A1F86" w:rsidRPr="00C311A4" w:rsidRDefault="004A1F86" w:rsidP="00624EBB">
      <w:pPr>
        <w:ind w:left="851"/>
        <w:rPr>
          <w:sz w:val="24"/>
          <w:szCs w:val="24"/>
          <w:lang w:val="en-US"/>
        </w:rPr>
      </w:pPr>
      <w:r w:rsidRPr="00C311A4">
        <w:rPr>
          <w:sz w:val="24"/>
          <w:szCs w:val="24"/>
          <w:lang w:val="en-US"/>
        </w:rPr>
        <w:t>Pharmacotherapeutic group: Drugs used in diabetes, combinations of oral blood glucose lowering drugs, ATC code: A10BD11</w:t>
      </w:r>
    </w:p>
    <w:p w14:paraId="106847DA" w14:textId="77777777" w:rsidR="004A1F86" w:rsidRPr="00C311A4" w:rsidRDefault="004A1F86" w:rsidP="00624EBB">
      <w:pPr>
        <w:ind w:left="851"/>
        <w:rPr>
          <w:sz w:val="24"/>
          <w:szCs w:val="24"/>
          <w:lang w:val="en-US"/>
        </w:rPr>
      </w:pPr>
    </w:p>
    <w:p w14:paraId="0B99397C" w14:textId="4A29F4A5" w:rsidR="004A1F86" w:rsidRPr="00C311A4" w:rsidRDefault="00C311A4" w:rsidP="00624EBB">
      <w:pPr>
        <w:ind w:left="851"/>
        <w:rPr>
          <w:sz w:val="24"/>
          <w:szCs w:val="24"/>
          <w:lang w:val="en-US"/>
        </w:rPr>
      </w:pPr>
      <w:proofErr w:type="spellStart"/>
      <w:r w:rsidRPr="00C311A4">
        <w:rPr>
          <w:sz w:val="24"/>
          <w:szCs w:val="24"/>
          <w:lang w:val="en-US"/>
        </w:rPr>
        <w:t>Nagilma</w:t>
      </w:r>
      <w:proofErr w:type="spellEnd"/>
      <w:r w:rsidR="004A1F86" w:rsidRPr="00C311A4">
        <w:rPr>
          <w:sz w:val="24"/>
          <w:szCs w:val="24"/>
          <w:lang w:val="en-US"/>
        </w:rPr>
        <w:t xml:space="preserve"> combines two </w:t>
      </w:r>
      <w:proofErr w:type="spellStart"/>
      <w:r w:rsidR="004A1F86" w:rsidRPr="00C311A4">
        <w:rPr>
          <w:sz w:val="24"/>
          <w:szCs w:val="24"/>
          <w:lang w:val="en-US"/>
        </w:rPr>
        <w:t>antihyperglycaemic</w:t>
      </w:r>
      <w:proofErr w:type="spellEnd"/>
      <w:r w:rsidR="004A1F86" w:rsidRPr="00C311A4">
        <w:rPr>
          <w:sz w:val="24"/>
          <w:szCs w:val="24"/>
          <w:lang w:val="en-US"/>
        </w:rPr>
        <w:t xml:space="preserve"> medicinal products with complementary mechanisms of action to improve </w:t>
      </w:r>
      <w:proofErr w:type="spellStart"/>
      <w:r w:rsidR="004A1F86" w:rsidRPr="00C311A4">
        <w:rPr>
          <w:sz w:val="24"/>
          <w:szCs w:val="24"/>
          <w:lang w:val="en-US"/>
        </w:rPr>
        <w:t>glycaemic</w:t>
      </w:r>
      <w:proofErr w:type="spellEnd"/>
      <w:r w:rsidR="004A1F86" w:rsidRPr="00C311A4">
        <w:rPr>
          <w:sz w:val="24"/>
          <w:szCs w:val="24"/>
          <w:lang w:val="en-US"/>
        </w:rPr>
        <w:t xml:space="preserve"> control in patients with type 2 diabetes: linagliptin, a dipeptidyl peptidase 4 (DPP-4) inhibitor, and metformin hydrochloride, a member of the biguanide class.</w:t>
      </w:r>
    </w:p>
    <w:p w14:paraId="103F01DF" w14:textId="77777777" w:rsidR="004A1F86" w:rsidRPr="00C311A4" w:rsidRDefault="004A1F86" w:rsidP="00624EBB">
      <w:pPr>
        <w:ind w:left="851"/>
        <w:rPr>
          <w:sz w:val="24"/>
          <w:szCs w:val="24"/>
          <w:lang w:val="en-US"/>
        </w:rPr>
      </w:pPr>
    </w:p>
    <w:p w14:paraId="5C3787D9" w14:textId="77777777" w:rsidR="004A1F86" w:rsidRPr="00C311A4" w:rsidRDefault="004A1F86" w:rsidP="00624EBB">
      <w:pPr>
        <w:ind w:left="851"/>
        <w:rPr>
          <w:sz w:val="24"/>
          <w:szCs w:val="24"/>
          <w:lang w:val="en-US"/>
        </w:rPr>
      </w:pPr>
      <w:r w:rsidRPr="00C311A4">
        <w:rPr>
          <w:sz w:val="24"/>
          <w:szCs w:val="24"/>
          <w:u w:val="single"/>
          <w:lang w:val="en-US"/>
        </w:rPr>
        <w:t>Linagliptin</w:t>
      </w:r>
    </w:p>
    <w:p w14:paraId="596386BE" w14:textId="77777777" w:rsidR="004A1F86" w:rsidRPr="00C311A4" w:rsidRDefault="004A1F86" w:rsidP="00624EBB">
      <w:pPr>
        <w:ind w:left="851"/>
        <w:rPr>
          <w:i/>
          <w:sz w:val="24"/>
          <w:szCs w:val="24"/>
          <w:lang w:val="en-US"/>
        </w:rPr>
      </w:pPr>
      <w:r w:rsidRPr="00C311A4">
        <w:rPr>
          <w:i/>
          <w:sz w:val="24"/>
          <w:szCs w:val="24"/>
          <w:lang w:val="en-US"/>
        </w:rPr>
        <w:t>Mechanism of action</w:t>
      </w:r>
    </w:p>
    <w:p w14:paraId="5A350AFA" w14:textId="56C8151F" w:rsidR="004A1F86" w:rsidRPr="00C311A4" w:rsidRDefault="004A1F86" w:rsidP="00624EBB">
      <w:pPr>
        <w:ind w:left="851"/>
        <w:rPr>
          <w:sz w:val="24"/>
          <w:szCs w:val="24"/>
          <w:lang w:val="en-US"/>
        </w:rPr>
      </w:pPr>
      <w:r w:rsidRPr="00C311A4">
        <w:rPr>
          <w:sz w:val="24"/>
          <w:szCs w:val="24"/>
          <w:lang w:val="en-US"/>
        </w:rPr>
        <w:t>Linagliptin is an inhibitor of the enzyme DPP-4 (Dipeptidyl peptidase 4) an enzyme which is involved in the inactivation of the incretin hormones GLP-1 and GIP (glucagon-like peptide-1, glucose-dependent insulinotropic polypeptide). These hormones are rapidly degraded by the enzyme DPP-4.</w:t>
      </w:r>
    </w:p>
    <w:p w14:paraId="3FF2FE80" w14:textId="77777777" w:rsidR="004A1F86" w:rsidRPr="00C311A4" w:rsidRDefault="004A1F86" w:rsidP="00624EBB">
      <w:pPr>
        <w:ind w:left="851"/>
        <w:rPr>
          <w:sz w:val="24"/>
          <w:szCs w:val="24"/>
          <w:lang w:val="en-US"/>
        </w:rPr>
      </w:pPr>
      <w:r w:rsidRPr="00C311A4">
        <w:rPr>
          <w:sz w:val="24"/>
          <w:szCs w:val="24"/>
          <w:lang w:val="en-US"/>
        </w:rPr>
        <w:t>Both incretin hormones are involved in the physiological regulation of glucose homeostasis. Incretins are secreted at a low basal level throughout the day and levels rise immediately after meal intake.</w:t>
      </w:r>
    </w:p>
    <w:p w14:paraId="681A3AA1" w14:textId="77777777" w:rsidR="004A1F86" w:rsidRPr="00C311A4" w:rsidRDefault="004A1F86" w:rsidP="00624EBB">
      <w:pPr>
        <w:ind w:left="851"/>
        <w:rPr>
          <w:sz w:val="24"/>
          <w:szCs w:val="24"/>
          <w:lang w:val="en-US"/>
        </w:rPr>
      </w:pPr>
      <w:r w:rsidRPr="00C311A4">
        <w:rPr>
          <w:sz w:val="24"/>
          <w:szCs w:val="24"/>
          <w:lang w:val="en-US"/>
        </w:rPr>
        <w:t xml:space="preserve">GLP-1 and GIP increase insulin biosynthesis and secretion from pancreatic beta cells in the presence of normal and elevated blood glucose levels. Furthermore GLP-1 also reduces glucagon secretion from pancreatic alpha cells, resulting in a reduction in hepatic glucose output. Linagliptin binds very effectively to DPP-4 in a reversible manner and thus leads to a sustained increase and a prolongation of active incretin levels. Linagliptin glucose-dependently increases insulin secretion and lowers glucagon secretion thus resulting in an overall improvement in the glucose homeostasis. Linagliptin binds selectively to DPP-4 and exhibits a &gt; </w:t>
      </w:r>
      <w:proofErr w:type="gramStart"/>
      <w:r w:rsidRPr="00C311A4">
        <w:rPr>
          <w:sz w:val="24"/>
          <w:szCs w:val="24"/>
          <w:lang w:val="en-US"/>
        </w:rPr>
        <w:t>10,000 fold</w:t>
      </w:r>
      <w:proofErr w:type="gramEnd"/>
      <w:r w:rsidRPr="00C311A4">
        <w:rPr>
          <w:sz w:val="24"/>
          <w:szCs w:val="24"/>
          <w:lang w:val="en-US"/>
        </w:rPr>
        <w:t xml:space="preserve"> selectivity </w:t>
      </w:r>
      <w:r w:rsidRPr="00C311A4">
        <w:rPr>
          <w:i/>
          <w:sz w:val="24"/>
          <w:szCs w:val="24"/>
          <w:lang w:val="en-US"/>
        </w:rPr>
        <w:t xml:space="preserve">versus </w:t>
      </w:r>
      <w:r w:rsidRPr="00C311A4">
        <w:rPr>
          <w:sz w:val="24"/>
          <w:szCs w:val="24"/>
          <w:lang w:val="en-US"/>
        </w:rPr>
        <w:t xml:space="preserve">DPP-8 or DPP-9 activity </w:t>
      </w:r>
      <w:r w:rsidRPr="00C311A4">
        <w:rPr>
          <w:i/>
          <w:sz w:val="24"/>
          <w:szCs w:val="24"/>
          <w:lang w:val="en-US"/>
        </w:rPr>
        <w:t>in vitro</w:t>
      </w:r>
      <w:r w:rsidRPr="00C311A4">
        <w:rPr>
          <w:sz w:val="24"/>
          <w:szCs w:val="24"/>
          <w:lang w:val="en-US"/>
        </w:rPr>
        <w:t>.</w:t>
      </w:r>
    </w:p>
    <w:p w14:paraId="5148334A" w14:textId="77777777" w:rsidR="004A1F86" w:rsidRPr="00C311A4" w:rsidRDefault="004A1F86" w:rsidP="00624EBB">
      <w:pPr>
        <w:ind w:left="851"/>
        <w:rPr>
          <w:sz w:val="24"/>
          <w:szCs w:val="24"/>
          <w:lang w:val="en-US"/>
        </w:rPr>
      </w:pPr>
    </w:p>
    <w:p w14:paraId="59E480F0" w14:textId="77777777" w:rsidR="004A1F86" w:rsidRPr="00C311A4" w:rsidRDefault="004A1F86" w:rsidP="00624EBB">
      <w:pPr>
        <w:ind w:left="851"/>
        <w:rPr>
          <w:sz w:val="24"/>
          <w:szCs w:val="24"/>
          <w:lang w:val="en-US"/>
        </w:rPr>
      </w:pPr>
      <w:r w:rsidRPr="00C311A4">
        <w:rPr>
          <w:sz w:val="24"/>
          <w:szCs w:val="24"/>
          <w:u w:val="single"/>
          <w:lang w:val="en-US"/>
        </w:rPr>
        <w:t>Metformin</w:t>
      </w:r>
    </w:p>
    <w:p w14:paraId="2E3355F9" w14:textId="77777777" w:rsidR="004A1F86" w:rsidRPr="00C311A4" w:rsidRDefault="004A1F86" w:rsidP="00624EBB">
      <w:pPr>
        <w:ind w:left="851"/>
        <w:rPr>
          <w:i/>
          <w:sz w:val="24"/>
          <w:szCs w:val="24"/>
          <w:lang w:val="en-US"/>
        </w:rPr>
      </w:pPr>
      <w:r w:rsidRPr="00C311A4">
        <w:rPr>
          <w:i/>
          <w:sz w:val="24"/>
          <w:szCs w:val="24"/>
          <w:lang w:val="en-US"/>
        </w:rPr>
        <w:t>Mechanism of action</w:t>
      </w:r>
    </w:p>
    <w:p w14:paraId="027602AF" w14:textId="77777777" w:rsidR="004A1F86" w:rsidRPr="00C311A4" w:rsidRDefault="004A1F86" w:rsidP="00624EBB">
      <w:pPr>
        <w:ind w:left="851"/>
        <w:rPr>
          <w:sz w:val="24"/>
          <w:szCs w:val="24"/>
          <w:lang w:val="en-US"/>
        </w:rPr>
      </w:pPr>
      <w:r w:rsidRPr="00C311A4">
        <w:rPr>
          <w:sz w:val="24"/>
          <w:szCs w:val="24"/>
          <w:lang w:val="en-US"/>
        </w:rPr>
        <w:t xml:space="preserve">Metformin hydrochloride is a biguanide with </w:t>
      </w:r>
      <w:proofErr w:type="spellStart"/>
      <w:r w:rsidRPr="00C311A4">
        <w:rPr>
          <w:sz w:val="24"/>
          <w:szCs w:val="24"/>
          <w:lang w:val="en-US"/>
        </w:rPr>
        <w:t>antihyperglycaemic</w:t>
      </w:r>
      <w:proofErr w:type="spellEnd"/>
      <w:r w:rsidRPr="00C311A4">
        <w:rPr>
          <w:sz w:val="24"/>
          <w:szCs w:val="24"/>
          <w:lang w:val="en-US"/>
        </w:rPr>
        <w:t xml:space="preserve"> effects, lowering both basal and postprandial plasma glucose. It does not stimulate insulin secretion and therefore does not produce </w:t>
      </w:r>
      <w:proofErr w:type="spellStart"/>
      <w:r w:rsidRPr="00C311A4">
        <w:rPr>
          <w:sz w:val="24"/>
          <w:szCs w:val="24"/>
          <w:lang w:val="en-US"/>
        </w:rPr>
        <w:t>hypoglycaemia</w:t>
      </w:r>
      <w:proofErr w:type="spellEnd"/>
      <w:r w:rsidRPr="00C311A4">
        <w:rPr>
          <w:sz w:val="24"/>
          <w:szCs w:val="24"/>
          <w:lang w:val="en-US"/>
        </w:rPr>
        <w:t>.</w:t>
      </w:r>
    </w:p>
    <w:p w14:paraId="0451A328" w14:textId="77777777" w:rsidR="004A1F86" w:rsidRPr="00C311A4" w:rsidRDefault="004A1F86" w:rsidP="00624EBB">
      <w:pPr>
        <w:ind w:left="851"/>
        <w:rPr>
          <w:sz w:val="24"/>
          <w:szCs w:val="24"/>
          <w:lang w:val="en-US"/>
        </w:rPr>
      </w:pPr>
    </w:p>
    <w:p w14:paraId="4AECF61F" w14:textId="77777777" w:rsidR="004A1F86" w:rsidRPr="00C311A4" w:rsidRDefault="004A1F86" w:rsidP="00624EBB">
      <w:pPr>
        <w:ind w:left="851"/>
        <w:rPr>
          <w:sz w:val="24"/>
          <w:szCs w:val="24"/>
          <w:lang w:val="en-US"/>
        </w:rPr>
      </w:pPr>
      <w:r w:rsidRPr="00C311A4">
        <w:rPr>
          <w:sz w:val="24"/>
          <w:szCs w:val="24"/>
          <w:lang w:val="en-US"/>
        </w:rPr>
        <w:t>Metformin hydrochloride may act via 3 mechanisms:</w:t>
      </w:r>
    </w:p>
    <w:p w14:paraId="7FAAE3C2" w14:textId="77777777" w:rsidR="004A1F86" w:rsidRPr="00C311A4" w:rsidRDefault="004A1F86" w:rsidP="00624EBB">
      <w:pPr>
        <w:ind w:left="851"/>
        <w:rPr>
          <w:sz w:val="24"/>
          <w:szCs w:val="24"/>
          <w:lang w:val="en-US"/>
        </w:rPr>
      </w:pPr>
    </w:p>
    <w:p w14:paraId="59F07898" w14:textId="77777777" w:rsidR="004A1F86" w:rsidRPr="00AD0270" w:rsidRDefault="004A1F86" w:rsidP="00AD0270">
      <w:pPr>
        <w:pStyle w:val="Listeafsnit"/>
        <w:numPr>
          <w:ilvl w:val="0"/>
          <w:numId w:val="12"/>
        </w:numPr>
        <w:tabs>
          <w:tab w:val="clear" w:pos="567"/>
        </w:tabs>
        <w:ind w:left="1276" w:hanging="425"/>
        <w:rPr>
          <w:sz w:val="24"/>
          <w:szCs w:val="24"/>
          <w:lang w:val="en-US"/>
        </w:rPr>
      </w:pPr>
      <w:r w:rsidRPr="00AD0270">
        <w:rPr>
          <w:sz w:val="24"/>
          <w:szCs w:val="24"/>
          <w:lang w:val="en-US"/>
        </w:rPr>
        <w:t>reduction of hepatic glucose production by inhibiting gluconeogenesis and glycogenolysis,</w:t>
      </w:r>
    </w:p>
    <w:p w14:paraId="794F4771" w14:textId="77777777" w:rsidR="004A1F86" w:rsidRPr="00AD0270" w:rsidRDefault="004A1F86" w:rsidP="00AD0270">
      <w:pPr>
        <w:pStyle w:val="Listeafsnit"/>
        <w:numPr>
          <w:ilvl w:val="0"/>
          <w:numId w:val="12"/>
        </w:numPr>
        <w:tabs>
          <w:tab w:val="clear" w:pos="567"/>
        </w:tabs>
        <w:ind w:left="1276" w:hanging="425"/>
        <w:rPr>
          <w:sz w:val="24"/>
          <w:szCs w:val="24"/>
          <w:lang w:val="en-US"/>
        </w:rPr>
      </w:pPr>
      <w:r w:rsidRPr="00AD0270">
        <w:rPr>
          <w:sz w:val="24"/>
          <w:szCs w:val="24"/>
          <w:lang w:val="en-US"/>
        </w:rPr>
        <w:lastRenderedPageBreak/>
        <w:t xml:space="preserve">in muscle, by increasing insulin sensitivity, improving peripheral glucose uptake and </w:t>
      </w:r>
      <w:proofErr w:type="spellStart"/>
      <w:r w:rsidRPr="00AD0270">
        <w:rPr>
          <w:sz w:val="24"/>
          <w:szCs w:val="24"/>
          <w:lang w:val="en-US"/>
        </w:rPr>
        <w:t>utilisation</w:t>
      </w:r>
      <w:proofErr w:type="spellEnd"/>
      <w:r w:rsidRPr="00AD0270">
        <w:rPr>
          <w:sz w:val="24"/>
          <w:szCs w:val="24"/>
          <w:lang w:val="en-US"/>
        </w:rPr>
        <w:t>,</w:t>
      </w:r>
    </w:p>
    <w:p w14:paraId="7174AD4A" w14:textId="77777777" w:rsidR="004A1F86" w:rsidRPr="00AD0270" w:rsidRDefault="004A1F86" w:rsidP="00AD0270">
      <w:pPr>
        <w:pStyle w:val="Listeafsnit"/>
        <w:numPr>
          <w:ilvl w:val="0"/>
          <w:numId w:val="12"/>
        </w:numPr>
        <w:tabs>
          <w:tab w:val="clear" w:pos="567"/>
        </w:tabs>
        <w:ind w:left="1276" w:hanging="425"/>
        <w:rPr>
          <w:sz w:val="24"/>
          <w:szCs w:val="24"/>
          <w:lang w:val="en-US"/>
        </w:rPr>
      </w:pPr>
      <w:r w:rsidRPr="00AD0270">
        <w:rPr>
          <w:sz w:val="24"/>
          <w:szCs w:val="24"/>
          <w:lang w:val="en-US"/>
        </w:rPr>
        <w:t>and delay of intestinal glucose absorption.</w:t>
      </w:r>
    </w:p>
    <w:p w14:paraId="2428D7CF" w14:textId="77777777" w:rsidR="004A1F86" w:rsidRPr="00C311A4" w:rsidRDefault="004A1F86" w:rsidP="00624EBB">
      <w:pPr>
        <w:ind w:left="851"/>
        <w:rPr>
          <w:sz w:val="24"/>
          <w:szCs w:val="24"/>
          <w:lang w:val="en-US"/>
        </w:rPr>
      </w:pPr>
    </w:p>
    <w:p w14:paraId="4DEBF7A4" w14:textId="77777777" w:rsidR="004A1F86" w:rsidRPr="00C311A4" w:rsidRDefault="004A1F86" w:rsidP="00624EBB">
      <w:pPr>
        <w:ind w:left="851"/>
        <w:rPr>
          <w:sz w:val="24"/>
          <w:szCs w:val="24"/>
          <w:lang w:val="en-US"/>
        </w:rPr>
      </w:pPr>
      <w:r w:rsidRPr="00C311A4">
        <w:rPr>
          <w:sz w:val="24"/>
          <w:szCs w:val="24"/>
          <w:lang w:val="en-US"/>
        </w:rPr>
        <w:t>Metformin hydrochloride stimulates intracellular glycogen synthesis by acting on glycogen synthase. Metformin hydrochloride increases the transport capacity of all types of membrane glucose transporters (GLUTs) known to date.</w:t>
      </w:r>
    </w:p>
    <w:p w14:paraId="70882771" w14:textId="77777777" w:rsidR="004A1F86" w:rsidRPr="00C311A4" w:rsidRDefault="004A1F86" w:rsidP="00624EBB">
      <w:pPr>
        <w:ind w:left="851"/>
        <w:rPr>
          <w:sz w:val="24"/>
          <w:szCs w:val="24"/>
          <w:lang w:val="en-US"/>
        </w:rPr>
      </w:pPr>
    </w:p>
    <w:p w14:paraId="325E043A" w14:textId="77777777" w:rsidR="004A1F86" w:rsidRPr="00C311A4" w:rsidRDefault="004A1F86" w:rsidP="00624EBB">
      <w:pPr>
        <w:ind w:left="851"/>
        <w:rPr>
          <w:sz w:val="24"/>
          <w:szCs w:val="24"/>
          <w:lang w:val="en-US"/>
        </w:rPr>
      </w:pPr>
      <w:r w:rsidRPr="00C311A4">
        <w:rPr>
          <w:sz w:val="24"/>
          <w:szCs w:val="24"/>
          <w:lang w:val="en-US"/>
        </w:rPr>
        <w:t xml:space="preserve">In humans, independently of its action on glycaemia, metformin hydrochloride has </w:t>
      </w:r>
      <w:proofErr w:type="spellStart"/>
      <w:r w:rsidRPr="00C311A4">
        <w:rPr>
          <w:sz w:val="24"/>
          <w:szCs w:val="24"/>
          <w:lang w:val="en-US"/>
        </w:rPr>
        <w:t>favourable</w:t>
      </w:r>
      <w:proofErr w:type="spellEnd"/>
      <w:r w:rsidRPr="00C311A4">
        <w:rPr>
          <w:sz w:val="24"/>
          <w:szCs w:val="24"/>
          <w:lang w:val="en-US"/>
        </w:rPr>
        <w:t xml:space="preserve"> effects on lipid metabolism. This has been shown at therapeutic doses in controlled, medium-term or long- term clinical studies: metformin hydrochloride reduces total cholesterol, LDL cholesterol and triglyceride levels.</w:t>
      </w:r>
    </w:p>
    <w:p w14:paraId="5BD4E761" w14:textId="77777777" w:rsidR="004A1F86" w:rsidRPr="00C311A4" w:rsidRDefault="004A1F86" w:rsidP="00624EBB">
      <w:pPr>
        <w:ind w:left="851"/>
        <w:rPr>
          <w:sz w:val="24"/>
          <w:szCs w:val="24"/>
          <w:lang w:val="en-US"/>
        </w:rPr>
      </w:pPr>
    </w:p>
    <w:p w14:paraId="11BD6AEE" w14:textId="77777777" w:rsidR="004A1F86" w:rsidRPr="00C311A4" w:rsidRDefault="004A1F86" w:rsidP="00624EBB">
      <w:pPr>
        <w:ind w:left="851"/>
        <w:rPr>
          <w:i/>
          <w:sz w:val="24"/>
          <w:szCs w:val="24"/>
          <w:lang w:val="en-US"/>
        </w:rPr>
      </w:pPr>
      <w:r w:rsidRPr="00C311A4">
        <w:rPr>
          <w:i/>
          <w:sz w:val="24"/>
          <w:szCs w:val="24"/>
          <w:lang w:val="en-US"/>
        </w:rPr>
        <w:t>Clinical efficacy and safety</w:t>
      </w:r>
    </w:p>
    <w:p w14:paraId="2ABBD526" w14:textId="77777777" w:rsidR="004A1F86" w:rsidRPr="00C311A4" w:rsidRDefault="004A1F86" w:rsidP="00624EBB">
      <w:pPr>
        <w:ind w:left="851"/>
        <w:rPr>
          <w:i/>
          <w:sz w:val="24"/>
          <w:szCs w:val="24"/>
          <w:lang w:val="en-US"/>
        </w:rPr>
      </w:pPr>
    </w:p>
    <w:p w14:paraId="02ECDE7C" w14:textId="77777777" w:rsidR="004A1F86" w:rsidRPr="00C311A4" w:rsidRDefault="004A1F86" w:rsidP="00624EBB">
      <w:pPr>
        <w:ind w:left="851"/>
        <w:rPr>
          <w:i/>
          <w:sz w:val="24"/>
          <w:szCs w:val="24"/>
          <w:lang w:val="en-US"/>
        </w:rPr>
      </w:pPr>
      <w:r w:rsidRPr="00C311A4">
        <w:rPr>
          <w:i/>
          <w:sz w:val="24"/>
          <w:szCs w:val="24"/>
          <w:u w:val="single"/>
          <w:lang w:val="en-US"/>
        </w:rPr>
        <w:t>Linagliptin as add-on to metformin therapy</w:t>
      </w:r>
    </w:p>
    <w:p w14:paraId="5420000E" w14:textId="305C2C39" w:rsidR="004A1F86" w:rsidRPr="00C311A4" w:rsidRDefault="004A1F86" w:rsidP="00624EBB">
      <w:pPr>
        <w:ind w:left="851"/>
        <w:rPr>
          <w:sz w:val="24"/>
          <w:szCs w:val="24"/>
          <w:lang w:val="en-US"/>
        </w:rPr>
      </w:pPr>
      <w:r w:rsidRPr="00C311A4">
        <w:rPr>
          <w:sz w:val="24"/>
          <w:szCs w:val="24"/>
          <w:lang w:val="en-US"/>
        </w:rPr>
        <w:t xml:space="preserve">The efficacy and safety of linagliptin in combination with metformin in patients with insufficient </w:t>
      </w:r>
      <w:proofErr w:type="spellStart"/>
      <w:r w:rsidRPr="00C311A4">
        <w:rPr>
          <w:sz w:val="24"/>
          <w:szCs w:val="24"/>
          <w:lang w:val="en-US"/>
        </w:rPr>
        <w:t>glycaemic</w:t>
      </w:r>
      <w:proofErr w:type="spellEnd"/>
      <w:r w:rsidRPr="00C311A4">
        <w:rPr>
          <w:sz w:val="24"/>
          <w:szCs w:val="24"/>
          <w:lang w:val="en-US"/>
        </w:rPr>
        <w:t xml:space="preserve"> control on metformin monotherapy was evaluated in a double-blind placebo-controlled study of 24 weeks duration. Linagliptin added to metformin provided significant improvements in HbA</w:t>
      </w:r>
      <w:r w:rsidRPr="00C311A4">
        <w:rPr>
          <w:sz w:val="24"/>
          <w:szCs w:val="24"/>
          <w:vertAlign w:val="subscript"/>
          <w:lang w:val="en-US"/>
        </w:rPr>
        <w:t>1c</w:t>
      </w:r>
      <w:r w:rsidRPr="00C311A4">
        <w:rPr>
          <w:sz w:val="24"/>
          <w:szCs w:val="24"/>
          <w:lang w:val="en-US"/>
        </w:rPr>
        <w:t>, (-0.64% change compared to placebo), from a mean baseline HbA</w:t>
      </w:r>
      <w:r w:rsidRPr="00C311A4">
        <w:rPr>
          <w:sz w:val="24"/>
          <w:szCs w:val="24"/>
          <w:vertAlign w:val="subscript"/>
          <w:lang w:val="en-US"/>
        </w:rPr>
        <w:t>1c</w:t>
      </w:r>
      <w:r w:rsidRPr="00C311A4">
        <w:rPr>
          <w:sz w:val="24"/>
          <w:szCs w:val="24"/>
          <w:lang w:val="en-US"/>
        </w:rPr>
        <w:t xml:space="preserve"> of 8%. Linagliptin also showed significant improvements in fasting plasma glucose (FPG) by -21.1 mg/dl and 2-hour post-prandial glucose (PPG) by -67.1 mg/dl compared to placebo, as well as a greater portion of patients achieving a target HbA</w:t>
      </w:r>
      <w:r w:rsidRPr="00C311A4">
        <w:rPr>
          <w:sz w:val="24"/>
          <w:szCs w:val="24"/>
          <w:vertAlign w:val="subscript"/>
          <w:lang w:val="en-US"/>
        </w:rPr>
        <w:t>1c</w:t>
      </w:r>
      <w:r w:rsidRPr="00C311A4">
        <w:rPr>
          <w:sz w:val="24"/>
          <w:szCs w:val="24"/>
          <w:lang w:val="en-US"/>
        </w:rPr>
        <w:t xml:space="preserve"> of &lt;</w:t>
      </w:r>
      <w:r w:rsidR="00A73714">
        <w:rPr>
          <w:sz w:val="24"/>
          <w:szCs w:val="24"/>
          <w:lang w:val="en-US"/>
        </w:rPr>
        <w:t> </w:t>
      </w:r>
      <w:r w:rsidRPr="00C311A4">
        <w:rPr>
          <w:sz w:val="24"/>
          <w:szCs w:val="24"/>
          <w:lang w:val="en-US"/>
        </w:rPr>
        <w:t xml:space="preserve">7.0% (28.3% on linagliptin </w:t>
      </w:r>
      <w:r w:rsidRPr="00C311A4">
        <w:rPr>
          <w:i/>
          <w:sz w:val="24"/>
          <w:szCs w:val="24"/>
          <w:lang w:val="en-US"/>
        </w:rPr>
        <w:t xml:space="preserve">versus </w:t>
      </w:r>
      <w:r w:rsidRPr="00C311A4">
        <w:rPr>
          <w:sz w:val="24"/>
          <w:szCs w:val="24"/>
          <w:lang w:val="en-US"/>
        </w:rPr>
        <w:t xml:space="preserve">11.4% on placebo). The observed incidence of </w:t>
      </w:r>
      <w:proofErr w:type="spellStart"/>
      <w:r w:rsidRPr="00C311A4">
        <w:rPr>
          <w:sz w:val="24"/>
          <w:szCs w:val="24"/>
          <w:lang w:val="en-US"/>
        </w:rPr>
        <w:t>hypoglycaemia</w:t>
      </w:r>
      <w:proofErr w:type="spellEnd"/>
      <w:r w:rsidRPr="00C311A4">
        <w:rPr>
          <w:sz w:val="24"/>
          <w:szCs w:val="24"/>
          <w:lang w:val="en-US"/>
        </w:rPr>
        <w:t xml:space="preserve"> in patients treated with linagliptin was similar to placebo. Body weight did not differ significantly between the groups.</w:t>
      </w:r>
    </w:p>
    <w:p w14:paraId="6AAEFE17" w14:textId="77777777" w:rsidR="004A1F86" w:rsidRPr="00C311A4" w:rsidRDefault="004A1F86" w:rsidP="00624EBB">
      <w:pPr>
        <w:ind w:left="851"/>
        <w:rPr>
          <w:sz w:val="24"/>
          <w:szCs w:val="24"/>
          <w:lang w:val="en-US"/>
        </w:rPr>
      </w:pPr>
    </w:p>
    <w:p w14:paraId="5656A380" w14:textId="77777777" w:rsidR="004A1F86" w:rsidRPr="00C311A4" w:rsidRDefault="004A1F86" w:rsidP="00624EBB">
      <w:pPr>
        <w:ind w:left="851"/>
        <w:rPr>
          <w:sz w:val="24"/>
          <w:szCs w:val="24"/>
          <w:lang w:val="en-US"/>
        </w:rPr>
      </w:pPr>
      <w:r w:rsidRPr="00C311A4">
        <w:rPr>
          <w:sz w:val="24"/>
          <w:szCs w:val="24"/>
          <w:lang w:val="en-US"/>
        </w:rPr>
        <w:t xml:space="preserve">In a 24-week placebo-controlled factorial study of initial therapy, linagliptin 2.5 mg twice daily in combination with metformin (500 mg or 1,000 mg twice daily) provided significant improvements in </w:t>
      </w:r>
      <w:proofErr w:type="spellStart"/>
      <w:r w:rsidRPr="00C311A4">
        <w:rPr>
          <w:sz w:val="24"/>
          <w:szCs w:val="24"/>
          <w:lang w:val="en-US"/>
        </w:rPr>
        <w:t>glycaemic</w:t>
      </w:r>
      <w:proofErr w:type="spellEnd"/>
      <w:r w:rsidRPr="00C311A4">
        <w:rPr>
          <w:sz w:val="24"/>
          <w:szCs w:val="24"/>
          <w:lang w:val="en-US"/>
        </w:rPr>
        <w:t xml:space="preserve"> parameters compared with either monotherapy as </w:t>
      </w:r>
      <w:proofErr w:type="spellStart"/>
      <w:r w:rsidRPr="00C311A4">
        <w:rPr>
          <w:sz w:val="24"/>
          <w:szCs w:val="24"/>
          <w:lang w:val="en-US"/>
        </w:rPr>
        <w:t>summarised</w:t>
      </w:r>
      <w:proofErr w:type="spellEnd"/>
      <w:r w:rsidRPr="00C311A4">
        <w:rPr>
          <w:sz w:val="24"/>
          <w:szCs w:val="24"/>
          <w:lang w:val="en-US"/>
        </w:rPr>
        <w:t xml:space="preserve"> in Table 3 (mean baseline HbA</w:t>
      </w:r>
      <w:r w:rsidRPr="00C311A4">
        <w:rPr>
          <w:sz w:val="24"/>
          <w:szCs w:val="24"/>
          <w:vertAlign w:val="subscript"/>
          <w:lang w:val="en-US"/>
        </w:rPr>
        <w:t>1c</w:t>
      </w:r>
      <w:r w:rsidRPr="00C311A4">
        <w:rPr>
          <w:sz w:val="24"/>
          <w:szCs w:val="24"/>
          <w:lang w:val="en-US"/>
        </w:rPr>
        <w:t xml:space="preserve"> 8.65%).</w:t>
      </w:r>
    </w:p>
    <w:p w14:paraId="54CB5BF6" w14:textId="77777777" w:rsidR="004A1F86" w:rsidRPr="00C311A4" w:rsidRDefault="004A1F86" w:rsidP="00624EBB">
      <w:pPr>
        <w:ind w:left="851"/>
        <w:rPr>
          <w:sz w:val="24"/>
          <w:szCs w:val="24"/>
          <w:lang w:val="en-US"/>
        </w:rPr>
      </w:pPr>
    </w:p>
    <w:p w14:paraId="1893CCE1" w14:textId="76BB1428" w:rsidR="004A1F86" w:rsidRPr="00AD0270" w:rsidRDefault="004A1F86" w:rsidP="00AD0270">
      <w:pPr>
        <w:rPr>
          <w:b/>
          <w:sz w:val="24"/>
          <w:szCs w:val="24"/>
          <w:lang w:val="en-US"/>
        </w:rPr>
      </w:pPr>
      <w:r w:rsidRPr="00AD0270">
        <w:rPr>
          <w:b/>
          <w:sz w:val="24"/>
          <w:szCs w:val="24"/>
          <w:lang w:val="en-US"/>
        </w:rPr>
        <w:t>Table 3:</w:t>
      </w:r>
      <w:r w:rsidR="00AD0270" w:rsidRPr="00AD0270">
        <w:rPr>
          <w:b/>
          <w:sz w:val="24"/>
          <w:szCs w:val="24"/>
          <w:lang w:val="en-US"/>
        </w:rPr>
        <w:t xml:space="preserve"> </w:t>
      </w:r>
      <w:proofErr w:type="spellStart"/>
      <w:r w:rsidRPr="00AD0270">
        <w:rPr>
          <w:b/>
          <w:sz w:val="24"/>
          <w:szCs w:val="24"/>
          <w:lang w:val="en-US"/>
        </w:rPr>
        <w:t>Glycaemic</w:t>
      </w:r>
      <w:proofErr w:type="spellEnd"/>
      <w:r w:rsidRPr="00AD0270">
        <w:rPr>
          <w:b/>
          <w:sz w:val="24"/>
          <w:szCs w:val="24"/>
          <w:lang w:val="en-US"/>
        </w:rPr>
        <w:t xml:space="preserve"> parameters at final visit (24-week study) for linagliptin and metformin, alone and in combination in patients with type 2 diabetes mellitus inadequately controlled on diet and exercise</w:t>
      </w:r>
    </w:p>
    <w:p w14:paraId="7927856A" w14:textId="77777777" w:rsidR="004A1F86" w:rsidRPr="00AD0270" w:rsidRDefault="004A1F86" w:rsidP="00624EBB">
      <w:pPr>
        <w:ind w:left="851"/>
        <w:rPr>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79"/>
        <w:gridCol w:w="888"/>
        <w:gridCol w:w="1011"/>
        <w:gridCol w:w="1021"/>
        <w:gridCol w:w="1460"/>
        <w:gridCol w:w="1022"/>
        <w:gridCol w:w="1747"/>
      </w:tblGrid>
      <w:tr w:rsidR="004A1F86" w:rsidRPr="00AD0270" w14:paraId="7DBFE125" w14:textId="77777777" w:rsidTr="00624EBB">
        <w:trPr>
          <w:trHeight w:val="1173"/>
        </w:trPr>
        <w:tc>
          <w:tcPr>
            <w:tcW w:w="1288" w:type="pct"/>
            <w:tcBorders>
              <w:top w:val="single" w:sz="4" w:space="0" w:color="000000"/>
              <w:left w:val="single" w:sz="4" w:space="0" w:color="000000"/>
              <w:bottom w:val="single" w:sz="4" w:space="0" w:color="000000"/>
              <w:right w:val="single" w:sz="4" w:space="0" w:color="000000"/>
            </w:tcBorders>
          </w:tcPr>
          <w:p w14:paraId="7C361DC1" w14:textId="77777777" w:rsidR="004A1F86" w:rsidRPr="00AD0270" w:rsidRDefault="004A1F86">
            <w:pPr>
              <w:pStyle w:val="TableParagraph"/>
              <w:ind w:left="0"/>
              <w:rPr>
                <w:sz w:val="16"/>
                <w:szCs w:val="16"/>
              </w:rPr>
            </w:pPr>
          </w:p>
        </w:tc>
        <w:tc>
          <w:tcPr>
            <w:tcW w:w="461" w:type="pct"/>
            <w:tcBorders>
              <w:top w:val="single" w:sz="4" w:space="0" w:color="000000"/>
              <w:left w:val="single" w:sz="4" w:space="0" w:color="000000"/>
              <w:bottom w:val="single" w:sz="4" w:space="0" w:color="000000"/>
              <w:right w:val="single" w:sz="4" w:space="0" w:color="000000"/>
            </w:tcBorders>
            <w:hideMark/>
          </w:tcPr>
          <w:p w14:paraId="432064D5" w14:textId="77777777" w:rsidR="004A1F86" w:rsidRPr="00AD0270" w:rsidRDefault="004A1F86">
            <w:pPr>
              <w:pStyle w:val="TableParagraph"/>
              <w:spacing w:line="183" w:lineRule="exact"/>
              <w:rPr>
                <w:b/>
                <w:sz w:val="16"/>
                <w:szCs w:val="16"/>
              </w:rPr>
            </w:pPr>
            <w:r w:rsidRPr="00AD0270">
              <w:rPr>
                <w:b/>
                <w:sz w:val="16"/>
                <w:szCs w:val="16"/>
              </w:rPr>
              <w:t>Placebo</w:t>
            </w:r>
          </w:p>
        </w:tc>
        <w:tc>
          <w:tcPr>
            <w:tcW w:w="525" w:type="pct"/>
            <w:tcBorders>
              <w:top w:val="single" w:sz="4" w:space="0" w:color="000000"/>
              <w:left w:val="single" w:sz="4" w:space="0" w:color="000000"/>
              <w:bottom w:val="single" w:sz="4" w:space="0" w:color="000000"/>
              <w:right w:val="single" w:sz="4" w:space="0" w:color="000000"/>
            </w:tcBorders>
            <w:hideMark/>
          </w:tcPr>
          <w:p w14:paraId="4CC912A0" w14:textId="77777777" w:rsidR="004A1F86" w:rsidRPr="00AD0270" w:rsidRDefault="004A1F86">
            <w:pPr>
              <w:pStyle w:val="TableParagraph"/>
              <w:spacing w:line="230" w:lineRule="auto"/>
              <w:ind w:left="104" w:right="99"/>
              <w:jc w:val="both"/>
              <w:rPr>
                <w:sz w:val="16"/>
                <w:szCs w:val="16"/>
              </w:rPr>
            </w:pPr>
            <w:r w:rsidRPr="00AD0270">
              <w:rPr>
                <w:b/>
                <w:sz w:val="16"/>
                <w:szCs w:val="16"/>
              </w:rPr>
              <w:t>Linagliptin 5 mg Once Daily</w:t>
            </w:r>
            <w:r w:rsidRPr="00AD0270">
              <w:rPr>
                <w:b/>
                <w:sz w:val="16"/>
                <w:szCs w:val="16"/>
                <w:vertAlign w:val="superscript"/>
              </w:rPr>
              <w:t>1</w:t>
            </w:r>
          </w:p>
        </w:tc>
        <w:tc>
          <w:tcPr>
            <w:tcW w:w="530" w:type="pct"/>
            <w:tcBorders>
              <w:top w:val="single" w:sz="4" w:space="0" w:color="000000"/>
              <w:left w:val="single" w:sz="4" w:space="0" w:color="000000"/>
              <w:bottom w:val="single" w:sz="4" w:space="0" w:color="000000"/>
              <w:right w:val="single" w:sz="4" w:space="0" w:color="000000"/>
            </w:tcBorders>
            <w:hideMark/>
          </w:tcPr>
          <w:p w14:paraId="58DC5665" w14:textId="77777777" w:rsidR="004A1F86" w:rsidRPr="00AD0270" w:rsidRDefault="004A1F86">
            <w:pPr>
              <w:pStyle w:val="TableParagraph"/>
              <w:ind w:left="106" w:right="118"/>
              <w:rPr>
                <w:b/>
                <w:sz w:val="16"/>
                <w:szCs w:val="16"/>
              </w:rPr>
            </w:pPr>
            <w:r w:rsidRPr="00AD0270">
              <w:rPr>
                <w:b/>
                <w:spacing w:val="-1"/>
                <w:sz w:val="16"/>
                <w:szCs w:val="16"/>
              </w:rPr>
              <w:t xml:space="preserve">Metformin </w:t>
            </w:r>
            <w:r w:rsidRPr="00AD0270">
              <w:rPr>
                <w:b/>
                <w:sz w:val="16"/>
                <w:szCs w:val="16"/>
              </w:rPr>
              <w:t>HCl</w:t>
            </w:r>
          </w:p>
          <w:p w14:paraId="17EB4B78" w14:textId="77777777" w:rsidR="004A1F86" w:rsidRPr="00AD0270" w:rsidRDefault="004A1F86">
            <w:pPr>
              <w:pStyle w:val="TableParagraph"/>
              <w:ind w:left="106" w:right="122"/>
              <w:rPr>
                <w:b/>
                <w:sz w:val="16"/>
                <w:szCs w:val="16"/>
              </w:rPr>
            </w:pPr>
            <w:r w:rsidRPr="00AD0270">
              <w:rPr>
                <w:b/>
                <w:sz w:val="16"/>
                <w:szCs w:val="16"/>
              </w:rPr>
              <w:t xml:space="preserve">500 </w:t>
            </w:r>
            <w:r w:rsidRPr="00AD0270">
              <w:rPr>
                <w:b/>
                <w:spacing w:val="-13"/>
                <w:sz w:val="16"/>
                <w:szCs w:val="16"/>
              </w:rPr>
              <w:t xml:space="preserve">mg </w:t>
            </w:r>
            <w:r w:rsidRPr="00AD0270">
              <w:rPr>
                <w:b/>
                <w:sz w:val="16"/>
                <w:szCs w:val="16"/>
              </w:rPr>
              <w:t>Twice Daily</w:t>
            </w:r>
          </w:p>
        </w:tc>
        <w:tc>
          <w:tcPr>
            <w:tcW w:w="758" w:type="pct"/>
            <w:tcBorders>
              <w:top w:val="single" w:sz="4" w:space="0" w:color="000000"/>
              <w:left w:val="single" w:sz="4" w:space="0" w:color="000000"/>
              <w:bottom w:val="single" w:sz="4" w:space="0" w:color="000000"/>
              <w:right w:val="single" w:sz="4" w:space="0" w:color="000000"/>
            </w:tcBorders>
            <w:hideMark/>
          </w:tcPr>
          <w:p w14:paraId="38BAE7DA" w14:textId="77777777" w:rsidR="004A1F86" w:rsidRPr="00AD0270" w:rsidRDefault="004A1F86">
            <w:pPr>
              <w:pStyle w:val="TableParagraph"/>
              <w:spacing w:line="182" w:lineRule="exact"/>
              <w:ind w:left="105"/>
              <w:rPr>
                <w:b/>
                <w:sz w:val="16"/>
                <w:szCs w:val="16"/>
              </w:rPr>
            </w:pPr>
            <w:r w:rsidRPr="00AD0270">
              <w:rPr>
                <w:b/>
                <w:sz w:val="16"/>
                <w:szCs w:val="16"/>
              </w:rPr>
              <w:t>Linagliptin</w:t>
            </w:r>
          </w:p>
          <w:p w14:paraId="755D64F1" w14:textId="77777777" w:rsidR="004A1F86" w:rsidRPr="00AD0270" w:rsidRDefault="004A1F86">
            <w:pPr>
              <w:pStyle w:val="TableParagraph"/>
              <w:spacing w:line="178" w:lineRule="exact"/>
              <w:ind w:left="105"/>
              <w:rPr>
                <w:b/>
                <w:sz w:val="16"/>
                <w:szCs w:val="16"/>
              </w:rPr>
            </w:pPr>
            <w:r w:rsidRPr="00AD0270">
              <w:rPr>
                <w:b/>
                <w:sz w:val="16"/>
                <w:szCs w:val="16"/>
              </w:rPr>
              <w:t>2.5 mg</w:t>
            </w:r>
          </w:p>
          <w:p w14:paraId="1AF66E16" w14:textId="77777777" w:rsidR="004A1F86" w:rsidRPr="00AD0270" w:rsidRDefault="004A1F86">
            <w:pPr>
              <w:pStyle w:val="TableParagraph"/>
              <w:spacing w:line="252" w:lineRule="auto"/>
              <w:ind w:left="105" w:right="213"/>
              <w:rPr>
                <w:b/>
                <w:sz w:val="16"/>
                <w:szCs w:val="16"/>
              </w:rPr>
            </w:pPr>
            <w:r w:rsidRPr="00AD0270">
              <w:rPr>
                <w:b/>
                <w:sz w:val="16"/>
                <w:szCs w:val="16"/>
              </w:rPr>
              <w:t>Twice Daily</w:t>
            </w:r>
            <w:r w:rsidRPr="00AD0270">
              <w:rPr>
                <w:b/>
                <w:sz w:val="16"/>
                <w:szCs w:val="16"/>
                <w:vertAlign w:val="superscript"/>
              </w:rPr>
              <w:t>1</w:t>
            </w:r>
            <w:r w:rsidRPr="00AD0270">
              <w:rPr>
                <w:position w:val="8"/>
                <w:sz w:val="16"/>
                <w:szCs w:val="16"/>
              </w:rPr>
              <w:t xml:space="preserve"> </w:t>
            </w:r>
            <w:r w:rsidRPr="00AD0270">
              <w:rPr>
                <w:b/>
                <w:sz w:val="16"/>
                <w:szCs w:val="16"/>
              </w:rPr>
              <w:t>+ Metformin HCl 500 mg</w:t>
            </w:r>
          </w:p>
          <w:p w14:paraId="7AE9F145" w14:textId="77777777" w:rsidR="004A1F86" w:rsidRPr="00AD0270" w:rsidRDefault="004A1F86">
            <w:pPr>
              <w:pStyle w:val="TableParagraph"/>
              <w:spacing w:line="157" w:lineRule="exact"/>
              <w:ind w:left="105"/>
              <w:rPr>
                <w:b/>
                <w:sz w:val="16"/>
                <w:szCs w:val="16"/>
              </w:rPr>
            </w:pPr>
            <w:r w:rsidRPr="00AD0270">
              <w:rPr>
                <w:b/>
                <w:sz w:val="16"/>
                <w:szCs w:val="16"/>
              </w:rPr>
              <w:t>Twice Daily</w:t>
            </w:r>
          </w:p>
        </w:tc>
        <w:tc>
          <w:tcPr>
            <w:tcW w:w="531" w:type="pct"/>
            <w:tcBorders>
              <w:top w:val="single" w:sz="4" w:space="0" w:color="000000"/>
              <w:left w:val="single" w:sz="4" w:space="0" w:color="000000"/>
              <w:bottom w:val="single" w:sz="4" w:space="0" w:color="000000"/>
              <w:right w:val="single" w:sz="4" w:space="0" w:color="000000"/>
            </w:tcBorders>
            <w:hideMark/>
          </w:tcPr>
          <w:p w14:paraId="7BD9D581" w14:textId="77777777" w:rsidR="004A1F86" w:rsidRPr="00AD0270" w:rsidRDefault="004A1F86">
            <w:pPr>
              <w:pStyle w:val="TableParagraph"/>
              <w:ind w:left="105" w:right="112"/>
              <w:rPr>
                <w:b/>
                <w:sz w:val="16"/>
                <w:szCs w:val="16"/>
              </w:rPr>
            </w:pPr>
            <w:r w:rsidRPr="00AD0270">
              <w:rPr>
                <w:b/>
                <w:sz w:val="16"/>
                <w:szCs w:val="16"/>
              </w:rPr>
              <w:t>Metformin HCl</w:t>
            </w:r>
          </w:p>
          <w:p w14:paraId="6EE0B65D" w14:textId="77777777" w:rsidR="004A1F86" w:rsidRPr="00AD0270" w:rsidRDefault="004A1F86">
            <w:pPr>
              <w:pStyle w:val="TableParagraph"/>
              <w:spacing w:line="183" w:lineRule="exact"/>
              <w:ind w:left="105"/>
              <w:rPr>
                <w:b/>
                <w:sz w:val="16"/>
                <w:szCs w:val="16"/>
              </w:rPr>
            </w:pPr>
            <w:r w:rsidRPr="00AD0270">
              <w:rPr>
                <w:b/>
                <w:sz w:val="16"/>
                <w:szCs w:val="16"/>
              </w:rPr>
              <w:t>1,000 mg</w:t>
            </w:r>
          </w:p>
          <w:p w14:paraId="3DC0FB68" w14:textId="77777777" w:rsidR="004A1F86" w:rsidRPr="00AD0270" w:rsidRDefault="004A1F86">
            <w:pPr>
              <w:pStyle w:val="TableParagraph"/>
              <w:ind w:left="105" w:right="450"/>
              <w:rPr>
                <w:b/>
                <w:sz w:val="16"/>
                <w:szCs w:val="16"/>
              </w:rPr>
            </w:pPr>
            <w:r w:rsidRPr="00AD0270">
              <w:rPr>
                <w:b/>
                <w:sz w:val="16"/>
                <w:szCs w:val="16"/>
              </w:rPr>
              <w:t>Twice Daily</w:t>
            </w:r>
          </w:p>
        </w:tc>
        <w:tc>
          <w:tcPr>
            <w:tcW w:w="908" w:type="pct"/>
            <w:tcBorders>
              <w:top w:val="single" w:sz="4" w:space="0" w:color="000000"/>
              <w:left w:val="single" w:sz="4" w:space="0" w:color="000000"/>
              <w:bottom w:val="single" w:sz="4" w:space="0" w:color="000000"/>
              <w:right w:val="single" w:sz="4" w:space="0" w:color="000000"/>
            </w:tcBorders>
            <w:hideMark/>
          </w:tcPr>
          <w:p w14:paraId="2F7994BB" w14:textId="77777777" w:rsidR="004A1F86" w:rsidRPr="00AD0270" w:rsidRDefault="004A1F86">
            <w:pPr>
              <w:pStyle w:val="TableParagraph"/>
              <w:spacing w:line="242" w:lineRule="auto"/>
              <w:ind w:left="102" w:right="177"/>
              <w:rPr>
                <w:b/>
                <w:sz w:val="16"/>
                <w:szCs w:val="16"/>
              </w:rPr>
            </w:pPr>
            <w:r w:rsidRPr="00AD0270">
              <w:rPr>
                <w:b/>
                <w:sz w:val="16"/>
                <w:szCs w:val="16"/>
              </w:rPr>
              <w:t>Linagliptin 2.5 mg Twice Daily</w:t>
            </w:r>
            <w:r w:rsidRPr="00AD0270">
              <w:rPr>
                <w:b/>
                <w:sz w:val="16"/>
                <w:szCs w:val="16"/>
                <w:vertAlign w:val="superscript"/>
              </w:rPr>
              <w:t>1</w:t>
            </w:r>
            <w:r w:rsidRPr="00AD0270">
              <w:rPr>
                <w:position w:val="8"/>
                <w:sz w:val="16"/>
                <w:szCs w:val="16"/>
              </w:rPr>
              <w:t xml:space="preserve"> </w:t>
            </w:r>
            <w:r w:rsidRPr="00AD0270">
              <w:rPr>
                <w:b/>
                <w:sz w:val="16"/>
                <w:szCs w:val="16"/>
              </w:rPr>
              <w:t>+ Metformin HCl 1,000 mg</w:t>
            </w:r>
          </w:p>
          <w:p w14:paraId="664B9C81" w14:textId="77777777" w:rsidR="004A1F86" w:rsidRPr="00AD0270" w:rsidRDefault="004A1F86">
            <w:pPr>
              <w:pStyle w:val="TableParagraph"/>
              <w:spacing w:line="176" w:lineRule="exact"/>
              <w:ind w:left="102"/>
              <w:rPr>
                <w:b/>
                <w:sz w:val="16"/>
                <w:szCs w:val="16"/>
              </w:rPr>
            </w:pPr>
            <w:r w:rsidRPr="00AD0270">
              <w:rPr>
                <w:b/>
                <w:sz w:val="16"/>
                <w:szCs w:val="16"/>
              </w:rPr>
              <w:t>Twice Daily</w:t>
            </w:r>
          </w:p>
        </w:tc>
      </w:tr>
      <w:tr w:rsidR="004A1F86" w:rsidRPr="00AD0270" w14:paraId="7892612E" w14:textId="77777777" w:rsidTr="00624EBB">
        <w:trPr>
          <w:trHeight w:val="184"/>
        </w:trPr>
        <w:tc>
          <w:tcPr>
            <w:tcW w:w="1288" w:type="pct"/>
            <w:tcBorders>
              <w:top w:val="single" w:sz="4" w:space="0" w:color="000000"/>
              <w:left w:val="single" w:sz="4" w:space="0" w:color="000000"/>
              <w:bottom w:val="single" w:sz="4" w:space="0" w:color="000000"/>
              <w:right w:val="single" w:sz="4" w:space="0" w:color="000000"/>
            </w:tcBorders>
            <w:hideMark/>
          </w:tcPr>
          <w:p w14:paraId="452D31F1" w14:textId="77777777" w:rsidR="004A1F86" w:rsidRPr="00AD0270" w:rsidRDefault="004A1F86">
            <w:pPr>
              <w:pStyle w:val="TableParagraph"/>
              <w:spacing w:line="164" w:lineRule="exact"/>
              <w:rPr>
                <w:b/>
                <w:sz w:val="16"/>
                <w:szCs w:val="16"/>
              </w:rPr>
            </w:pPr>
            <w:proofErr w:type="spellStart"/>
            <w:r w:rsidRPr="00AD0270">
              <w:rPr>
                <w:b/>
                <w:position w:val="2"/>
                <w:sz w:val="16"/>
                <w:szCs w:val="16"/>
              </w:rPr>
              <w:t>HbA</w:t>
            </w:r>
            <w:proofErr w:type="spellEnd"/>
            <w:r w:rsidRPr="00AD0270">
              <w:rPr>
                <w:b/>
                <w:sz w:val="16"/>
                <w:szCs w:val="16"/>
              </w:rPr>
              <w:t xml:space="preserve">1c </w:t>
            </w:r>
            <w:r w:rsidRPr="00AD0270">
              <w:rPr>
                <w:b/>
                <w:position w:val="2"/>
                <w:sz w:val="16"/>
                <w:szCs w:val="16"/>
              </w:rPr>
              <w:t>(%)</w:t>
            </w:r>
          </w:p>
        </w:tc>
        <w:tc>
          <w:tcPr>
            <w:tcW w:w="461" w:type="pct"/>
            <w:tcBorders>
              <w:top w:val="single" w:sz="4" w:space="0" w:color="000000"/>
              <w:left w:val="single" w:sz="4" w:space="0" w:color="000000"/>
              <w:bottom w:val="single" w:sz="4" w:space="0" w:color="000000"/>
              <w:right w:val="single" w:sz="4" w:space="0" w:color="000000"/>
            </w:tcBorders>
          </w:tcPr>
          <w:p w14:paraId="71E1BACC" w14:textId="77777777" w:rsidR="004A1F86" w:rsidRPr="00AD0270" w:rsidRDefault="004A1F86">
            <w:pPr>
              <w:pStyle w:val="TableParagraph"/>
              <w:ind w:left="0"/>
              <w:rPr>
                <w:sz w:val="16"/>
                <w:szCs w:val="16"/>
              </w:rPr>
            </w:pPr>
          </w:p>
        </w:tc>
        <w:tc>
          <w:tcPr>
            <w:tcW w:w="525" w:type="pct"/>
            <w:tcBorders>
              <w:top w:val="single" w:sz="4" w:space="0" w:color="000000"/>
              <w:left w:val="single" w:sz="4" w:space="0" w:color="000000"/>
              <w:bottom w:val="single" w:sz="4" w:space="0" w:color="000000"/>
              <w:right w:val="single" w:sz="4" w:space="0" w:color="000000"/>
            </w:tcBorders>
          </w:tcPr>
          <w:p w14:paraId="7BC8128D" w14:textId="77777777" w:rsidR="004A1F86" w:rsidRPr="00AD0270" w:rsidRDefault="004A1F86">
            <w:pPr>
              <w:pStyle w:val="TableParagraph"/>
              <w:ind w:left="0"/>
              <w:rPr>
                <w:sz w:val="16"/>
                <w:szCs w:val="16"/>
              </w:rPr>
            </w:pPr>
          </w:p>
        </w:tc>
        <w:tc>
          <w:tcPr>
            <w:tcW w:w="530" w:type="pct"/>
            <w:tcBorders>
              <w:top w:val="single" w:sz="4" w:space="0" w:color="000000"/>
              <w:left w:val="single" w:sz="4" w:space="0" w:color="000000"/>
              <w:bottom w:val="single" w:sz="4" w:space="0" w:color="000000"/>
              <w:right w:val="single" w:sz="4" w:space="0" w:color="000000"/>
            </w:tcBorders>
          </w:tcPr>
          <w:p w14:paraId="457CA189" w14:textId="77777777" w:rsidR="004A1F86" w:rsidRPr="00AD0270" w:rsidRDefault="004A1F86">
            <w:pPr>
              <w:pStyle w:val="TableParagraph"/>
              <w:ind w:left="0"/>
              <w:rPr>
                <w:sz w:val="16"/>
                <w:szCs w:val="16"/>
              </w:rPr>
            </w:pPr>
          </w:p>
        </w:tc>
        <w:tc>
          <w:tcPr>
            <w:tcW w:w="758" w:type="pct"/>
            <w:tcBorders>
              <w:top w:val="single" w:sz="4" w:space="0" w:color="000000"/>
              <w:left w:val="single" w:sz="4" w:space="0" w:color="000000"/>
              <w:bottom w:val="single" w:sz="4" w:space="0" w:color="000000"/>
              <w:right w:val="single" w:sz="4" w:space="0" w:color="000000"/>
            </w:tcBorders>
          </w:tcPr>
          <w:p w14:paraId="594DD76A" w14:textId="77777777" w:rsidR="004A1F86" w:rsidRPr="00AD0270" w:rsidRDefault="004A1F86">
            <w:pPr>
              <w:pStyle w:val="TableParagraph"/>
              <w:ind w:left="0"/>
              <w:rPr>
                <w:sz w:val="16"/>
                <w:szCs w:val="16"/>
              </w:rPr>
            </w:pPr>
          </w:p>
        </w:tc>
        <w:tc>
          <w:tcPr>
            <w:tcW w:w="531" w:type="pct"/>
            <w:tcBorders>
              <w:top w:val="single" w:sz="4" w:space="0" w:color="000000"/>
              <w:left w:val="single" w:sz="4" w:space="0" w:color="000000"/>
              <w:bottom w:val="single" w:sz="4" w:space="0" w:color="000000"/>
              <w:right w:val="single" w:sz="4" w:space="0" w:color="000000"/>
            </w:tcBorders>
          </w:tcPr>
          <w:p w14:paraId="1A4DE4C3" w14:textId="77777777" w:rsidR="004A1F86" w:rsidRPr="00AD0270" w:rsidRDefault="004A1F86">
            <w:pPr>
              <w:pStyle w:val="TableParagraph"/>
              <w:ind w:left="0"/>
              <w:rPr>
                <w:sz w:val="16"/>
                <w:szCs w:val="16"/>
              </w:rPr>
            </w:pPr>
          </w:p>
        </w:tc>
        <w:tc>
          <w:tcPr>
            <w:tcW w:w="908" w:type="pct"/>
            <w:tcBorders>
              <w:top w:val="single" w:sz="4" w:space="0" w:color="000000"/>
              <w:left w:val="single" w:sz="4" w:space="0" w:color="000000"/>
              <w:bottom w:val="single" w:sz="4" w:space="0" w:color="000000"/>
              <w:right w:val="single" w:sz="4" w:space="0" w:color="000000"/>
            </w:tcBorders>
          </w:tcPr>
          <w:p w14:paraId="394DCBDB" w14:textId="77777777" w:rsidR="004A1F86" w:rsidRPr="00AD0270" w:rsidRDefault="004A1F86">
            <w:pPr>
              <w:pStyle w:val="TableParagraph"/>
              <w:ind w:left="0"/>
              <w:rPr>
                <w:sz w:val="16"/>
                <w:szCs w:val="16"/>
              </w:rPr>
            </w:pPr>
          </w:p>
        </w:tc>
      </w:tr>
      <w:tr w:rsidR="004A1F86" w:rsidRPr="00AD0270" w14:paraId="7A61D446" w14:textId="77777777" w:rsidTr="00624EBB">
        <w:trPr>
          <w:trHeight w:val="182"/>
        </w:trPr>
        <w:tc>
          <w:tcPr>
            <w:tcW w:w="1288" w:type="pct"/>
            <w:tcBorders>
              <w:top w:val="single" w:sz="4" w:space="0" w:color="000000"/>
              <w:left w:val="single" w:sz="4" w:space="0" w:color="000000"/>
              <w:bottom w:val="single" w:sz="4" w:space="0" w:color="000000"/>
              <w:right w:val="single" w:sz="4" w:space="0" w:color="000000"/>
            </w:tcBorders>
            <w:hideMark/>
          </w:tcPr>
          <w:p w14:paraId="22A70CA3" w14:textId="77777777" w:rsidR="004A1F86" w:rsidRPr="00AD0270" w:rsidRDefault="004A1F86">
            <w:pPr>
              <w:pStyle w:val="TableParagraph"/>
              <w:spacing w:line="162" w:lineRule="exact"/>
              <w:rPr>
                <w:sz w:val="16"/>
                <w:szCs w:val="16"/>
              </w:rPr>
            </w:pPr>
            <w:r w:rsidRPr="00AD0270">
              <w:rPr>
                <w:sz w:val="16"/>
                <w:szCs w:val="16"/>
              </w:rPr>
              <w:t>Number of patients</w:t>
            </w:r>
          </w:p>
        </w:tc>
        <w:tc>
          <w:tcPr>
            <w:tcW w:w="461" w:type="pct"/>
            <w:tcBorders>
              <w:top w:val="single" w:sz="4" w:space="0" w:color="000000"/>
              <w:left w:val="single" w:sz="4" w:space="0" w:color="000000"/>
              <w:bottom w:val="single" w:sz="4" w:space="0" w:color="000000"/>
              <w:right w:val="single" w:sz="4" w:space="0" w:color="000000"/>
            </w:tcBorders>
            <w:hideMark/>
          </w:tcPr>
          <w:p w14:paraId="7D9C847B" w14:textId="77777777" w:rsidR="004A1F86" w:rsidRPr="00AD0270" w:rsidRDefault="004A1F86">
            <w:pPr>
              <w:pStyle w:val="TableParagraph"/>
              <w:spacing w:line="162" w:lineRule="exact"/>
              <w:rPr>
                <w:sz w:val="16"/>
                <w:szCs w:val="16"/>
              </w:rPr>
            </w:pPr>
            <w:r w:rsidRPr="00AD0270">
              <w:rPr>
                <w:sz w:val="16"/>
                <w:szCs w:val="16"/>
              </w:rPr>
              <w:t>n = 65</w:t>
            </w:r>
          </w:p>
        </w:tc>
        <w:tc>
          <w:tcPr>
            <w:tcW w:w="525" w:type="pct"/>
            <w:tcBorders>
              <w:top w:val="single" w:sz="4" w:space="0" w:color="000000"/>
              <w:left w:val="single" w:sz="4" w:space="0" w:color="000000"/>
              <w:bottom w:val="single" w:sz="4" w:space="0" w:color="000000"/>
              <w:right w:val="single" w:sz="4" w:space="0" w:color="000000"/>
            </w:tcBorders>
            <w:hideMark/>
          </w:tcPr>
          <w:p w14:paraId="78935685" w14:textId="77777777" w:rsidR="004A1F86" w:rsidRPr="00AD0270" w:rsidRDefault="004A1F86">
            <w:pPr>
              <w:pStyle w:val="TableParagraph"/>
              <w:spacing w:line="162" w:lineRule="exact"/>
              <w:ind w:left="104"/>
              <w:rPr>
                <w:sz w:val="16"/>
                <w:szCs w:val="16"/>
              </w:rPr>
            </w:pPr>
            <w:r w:rsidRPr="00AD0270">
              <w:rPr>
                <w:sz w:val="16"/>
                <w:szCs w:val="16"/>
              </w:rPr>
              <w:t>n = 135</w:t>
            </w:r>
          </w:p>
        </w:tc>
        <w:tc>
          <w:tcPr>
            <w:tcW w:w="530" w:type="pct"/>
            <w:tcBorders>
              <w:top w:val="single" w:sz="4" w:space="0" w:color="000000"/>
              <w:left w:val="single" w:sz="4" w:space="0" w:color="000000"/>
              <w:bottom w:val="single" w:sz="4" w:space="0" w:color="000000"/>
              <w:right w:val="single" w:sz="4" w:space="0" w:color="000000"/>
            </w:tcBorders>
            <w:hideMark/>
          </w:tcPr>
          <w:p w14:paraId="476B25A0" w14:textId="77777777" w:rsidR="004A1F86" w:rsidRPr="00AD0270" w:rsidRDefault="004A1F86">
            <w:pPr>
              <w:pStyle w:val="TableParagraph"/>
              <w:spacing w:line="162" w:lineRule="exact"/>
              <w:ind w:left="106"/>
              <w:rPr>
                <w:sz w:val="16"/>
                <w:szCs w:val="16"/>
              </w:rPr>
            </w:pPr>
            <w:r w:rsidRPr="00AD0270">
              <w:rPr>
                <w:sz w:val="16"/>
                <w:szCs w:val="16"/>
              </w:rPr>
              <w:t>n = 141</w:t>
            </w:r>
          </w:p>
        </w:tc>
        <w:tc>
          <w:tcPr>
            <w:tcW w:w="758" w:type="pct"/>
            <w:tcBorders>
              <w:top w:val="single" w:sz="4" w:space="0" w:color="000000"/>
              <w:left w:val="single" w:sz="4" w:space="0" w:color="000000"/>
              <w:bottom w:val="single" w:sz="4" w:space="0" w:color="000000"/>
              <w:right w:val="single" w:sz="4" w:space="0" w:color="000000"/>
            </w:tcBorders>
            <w:hideMark/>
          </w:tcPr>
          <w:p w14:paraId="748F47F5" w14:textId="77777777" w:rsidR="004A1F86" w:rsidRPr="00AD0270" w:rsidRDefault="004A1F86">
            <w:pPr>
              <w:pStyle w:val="TableParagraph"/>
              <w:spacing w:line="162" w:lineRule="exact"/>
              <w:ind w:left="105"/>
              <w:rPr>
                <w:sz w:val="16"/>
                <w:szCs w:val="16"/>
              </w:rPr>
            </w:pPr>
            <w:r w:rsidRPr="00AD0270">
              <w:rPr>
                <w:sz w:val="16"/>
                <w:szCs w:val="16"/>
              </w:rPr>
              <w:t>n = 137</w:t>
            </w:r>
          </w:p>
        </w:tc>
        <w:tc>
          <w:tcPr>
            <w:tcW w:w="531" w:type="pct"/>
            <w:tcBorders>
              <w:top w:val="single" w:sz="4" w:space="0" w:color="000000"/>
              <w:left w:val="single" w:sz="4" w:space="0" w:color="000000"/>
              <w:bottom w:val="single" w:sz="4" w:space="0" w:color="000000"/>
              <w:right w:val="single" w:sz="4" w:space="0" w:color="000000"/>
            </w:tcBorders>
            <w:hideMark/>
          </w:tcPr>
          <w:p w14:paraId="37C8843B" w14:textId="77777777" w:rsidR="004A1F86" w:rsidRPr="00AD0270" w:rsidRDefault="004A1F86">
            <w:pPr>
              <w:pStyle w:val="TableParagraph"/>
              <w:spacing w:line="162" w:lineRule="exact"/>
              <w:ind w:left="105"/>
              <w:rPr>
                <w:sz w:val="16"/>
                <w:szCs w:val="16"/>
              </w:rPr>
            </w:pPr>
            <w:r w:rsidRPr="00AD0270">
              <w:rPr>
                <w:sz w:val="16"/>
                <w:szCs w:val="16"/>
              </w:rPr>
              <w:t>n = 138</w:t>
            </w:r>
          </w:p>
        </w:tc>
        <w:tc>
          <w:tcPr>
            <w:tcW w:w="908" w:type="pct"/>
            <w:tcBorders>
              <w:top w:val="single" w:sz="4" w:space="0" w:color="000000"/>
              <w:left w:val="single" w:sz="4" w:space="0" w:color="000000"/>
              <w:bottom w:val="single" w:sz="4" w:space="0" w:color="000000"/>
              <w:right w:val="single" w:sz="4" w:space="0" w:color="000000"/>
            </w:tcBorders>
            <w:hideMark/>
          </w:tcPr>
          <w:p w14:paraId="22859996" w14:textId="77777777" w:rsidR="004A1F86" w:rsidRPr="00AD0270" w:rsidRDefault="004A1F86">
            <w:pPr>
              <w:pStyle w:val="TableParagraph"/>
              <w:spacing w:line="162" w:lineRule="exact"/>
              <w:ind w:left="102"/>
              <w:rPr>
                <w:sz w:val="16"/>
                <w:szCs w:val="16"/>
              </w:rPr>
            </w:pPr>
            <w:r w:rsidRPr="00AD0270">
              <w:rPr>
                <w:sz w:val="16"/>
                <w:szCs w:val="16"/>
              </w:rPr>
              <w:t>n = 140</w:t>
            </w:r>
          </w:p>
        </w:tc>
      </w:tr>
      <w:tr w:rsidR="004A1F86" w:rsidRPr="00AD0270" w14:paraId="2927BDD9" w14:textId="77777777" w:rsidTr="00624EBB">
        <w:trPr>
          <w:trHeight w:val="184"/>
        </w:trPr>
        <w:tc>
          <w:tcPr>
            <w:tcW w:w="1288" w:type="pct"/>
            <w:tcBorders>
              <w:top w:val="single" w:sz="4" w:space="0" w:color="000000"/>
              <w:left w:val="single" w:sz="4" w:space="0" w:color="000000"/>
              <w:bottom w:val="single" w:sz="4" w:space="0" w:color="000000"/>
              <w:right w:val="single" w:sz="4" w:space="0" w:color="000000"/>
            </w:tcBorders>
            <w:hideMark/>
          </w:tcPr>
          <w:p w14:paraId="161977E5" w14:textId="77777777" w:rsidR="004A1F86" w:rsidRPr="00AD0270" w:rsidRDefault="004A1F86">
            <w:pPr>
              <w:pStyle w:val="TableParagraph"/>
              <w:spacing w:line="164" w:lineRule="exact"/>
              <w:rPr>
                <w:sz w:val="16"/>
                <w:szCs w:val="16"/>
              </w:rPr>
            </w:pPr>
            <w:r w:rsidRPr="00AD0270">
              <w:rPr>
                <w:sz w:val="16"/>
                <w:szCs w:val="16"/>
              </w:rPr>
              <w:t>Baseline (mean)</w:t>
            </w:r>
          </w:p>
        </w:tc>
        <w:tc>
          <w:tcPr>
            <w:tcW w:w="461" w:type="pct"/>
            <w:tcBorders>
              <w:top w:val="single" w:sz="4" w:space="0" w:color="000000"/>
              <w:left w:val="single" w:sz="4" w:space="0" w:color="000000"/>
              <w:bottom w:val="single" w:sz="4" w:space="0" w:color="000000"/>
              <w:right w:val="single" w:sz="4" w:space="0" w:color="000000"/>
            </w:tcBorders>
            <w:hideMark/>
          </w:tcPr>
          <w:p w14:paraId="6A194669" w14:textId="77777777" w:rsidR="004A1F86" w:rsidRPr="00AD0270" w:rsidRDefault="004A1F86">
            <w:pPr>
              <w:pStyle w:val="TableParagraph"/>
              <w:spacing w:line="164" w:lineRule="exact"/>
              <w:rPr>
                <w:sz w:val="16"/>
                <w:szCs w:val="16"/>
              </w:rPr>
            </w:pPr>
            <w:r w:rsidRPr="00AD0270">
              <w:rPr>
                <w:sz w:val="16"/>
                <w:szCs w:val="16"/>
              </w:rPr>
              <w:t>8.7</w:t>
            </w:r>
          </w:p>
        </w:tc>
        <w:tc>
          <w:tcPr>
            <w:tcW w:w="525" w:type="pct"/>
            <w:tcBorders>
              <w:top w:val="single" w:sz="4" w:space="0" w:color="000000"/>
              <w:left w:val="single" w:sz="4" w:space="0" w:color="000000"/>
              <w:bottom w:val="single" w:sz="4" w:space="0" w:color="000000"/>
              <w:right w:val="single" w:sz="4" w:space="0" w:color="000000"/>
            </w:tcBorders>
            <w:hideMark/>
          </w:tcPr>
          <w:p w14:paraId="66AF0927" w14:textId="77777777" w:rsidR="004A1F86" w:rsidRPr="00AD0270" w:rsidRDefault="004A1F86">
            <w:pPr>
              <w:pStyle w:val="TableParagraph"/>
              <w:spacing w:line="164" w:lineRule="exact"/>
              <w:ind w:left="104"/>
              <w:rPr>
                <w:sz w:val="16"/>
                <w:szCs w:val="16"/>
              </w:rPr>
            </w:pPr>
            <w:r w:rsidRPr="00AD0270">
              <w:rPr>
                <w:sz w:val="16"/>
                <w:szCs w:val="16"/>
              </w:rPr>
              <w:t>8.7</w:t>
            </w:r>
          </w:p>
        </w:tc>
        <w:tc>
          <w:tcPr>
            <w:tcW w:w="530" w:type="pct"/>
            <w:tcBorders>
              <w:top w:val="single" w:sz="4" w:space="0" w:color="000000"/>
              <w:left w:val="single" w:sz="4" w:space="0" w:color="000000"/>
              <w:bottom w:val="single" w:sz="4" w:space="0" w:color="000000"/>
              <w:right w:val="single" w:sz="4" w:space="0" w:color="000000"/>
            </w:tcBorders>
            <w:hideMark/>
          </w:tcPr>
          <w:p w14:paraId="63FF034B" w14:textId="77777777" w:rsidR="004A1F86" w:rsidRPr="00AD0270" w:rsidRDefault="004A1F86">
            <w:pPr>
              <w:pStyle w:val="TableParagraph"/>
              <w:spacing w:line="164" w:lineRule="exact"/>
              <w:ind w:left="106"/>
              <w:rPr>
                <w:sz w:val="16"/>
                <w:szCs w:val="16"/>
              </w:rPr>
            </w:pPr>
            <w:r w:rsidRPr="00AD0270">
              <w:rPr>
                <w:sz w:val="16"/>
                <w:szCs w:val="16"/>
              </w:rPr>
              <w:t>8.7</w:t>
            </w:r>
          </w:p>
        </w:tc>
        <w:tc>
          <w:tcPr>
            <w:tcW w:w="758" w:type="pct"/>
            <w:tcBorders>
              <w:top w:val="single" w:sz="4" w:space="0" w:color="000000"/>
              <w:left w:val="single" w:sz="4" w:space="0" w:color="000000"/>
              <w:bottom w:val="single" w:sz="4" w:space="0" w:color="000000"/>
              <w:right w:val="single" w:sz="4" w:space="0" w:color="000000"/>
            </w:tcBorders>
            <w:hideMark/>
          </w:tcPr>
          <w:p w14:paraId="492E4430" w14:textId="77777777" w:rsidR="004A1F86" w:rsidRPr="00AD0270" w:rsidRDefault="004A1F86">
            <w:pPr>
              <w:pStyle w:val="TableParagraph"/>
              <w:spacing w:line="164" w:lineRule="exact"/>
              <w:ind w:left="105"/>
              <w:rPr>
                <w:sz w:val="16"/>
                <w:szCs w:val="16"/>
              </w:rPr>
            </w:pPr>
            <w:r w:rsidRPr="00AD0270">
              <w:rPr>
                <w:sz w:val="16"/>
                <w:szCs w:val="16"/>
              </w:rPr>
              <w:t>8.7</w:t>
            </w:r>
          </w:p>
        </w:tc>
        <w:tc>
          <w:tcPr>
            <w:tcW w:w="531" w:type="pct"/>
            <w:tcBorders>
              <w:top w:val="single" w:sz="4" w:space="0" w:color="000000"/>
              <w:left w:val="single" w:sz="4" w:space="0" w:color="000000"/>
              <w:bottom w:val="single" w:sz="4" w:space="0" w:color="000000"/>
              <w:right w:val="single" w:sz="4" w:space="0" w:color="000000"/>
            </w:tcBorders>
            <w:hideMark/>
          </w:tcPr>
          <w:p w14:paraId="0EFACD84" w14:textId="77777777" w:rsidR="004A1F86" w:rsidRPr="00AD0270" w:rsidRDefault="004A1F86">
            <w:pPr>
              <w:pStyle w:val="TableParagraph"/>
              <w:spacing w:line="164" w:lineRule="exact"/>
              <w:ind w:left="105"/>
              <w:rPr>
                <w:sz w:val="16"/>
                <w:szCs w:val="16"/>
              </w:rPr>
            </w:pPr>
            <w:r w:rsidRPr="00AD0270">
              <w:rPr>
                <w:sz w:val="16"/>
                <w:szCs w:val="16"/>
              </w:rPr>
              <w:t>8.5</w:t>
            </w:r>
          </w:p>
        </w:tc>
        <w:tc>
          <w:tcPr>
            <w:tcW w:w="908" w:type="pct"/>
            <w:tcBorders>
              <w:top w:val="single" w:sz="4" w:space="0" w:color="000000"/>
              <w:left w:val="single" w:sz="4" w:space="0" w:color="000000"/>
              <w:bottom w:val="single" w:sz="4" w:space="0" w:color="000000"/>
              <w:right w:val="single" w:sz="4" w:space="0" w:color="000000"/>
            </w:tcBorders>
            <w:hideMark/>
          </w:tcPr>
          <w:p w14:paraId="46AAFFE5" w14:textId="77777777" w:rsidR="004A1F86" w:rsidRPr="00AD0270" w:rsidRDefault="004A1F86">
            <w:pPr>
              <w:pStyle w:val="TableParagraph"/>
              <w:spacing w:line="164" w:lineRule="exact"/>
              <w:ind w:left="102"/>
              <w:rPr>
                <w:sz w:val="16"/>
                <w:szCs w:val="16"/>
              </w:rPr>
            </w:pPr>
            <w:r w:rsidRPr="00AD0270">
              <w:rPr>
                <w:sz w:val="16"/>
                <w:szCs w:val="16"/>
              </w:rPr>
              <w:t>8.7</w:t>
            </w:r>
          </w:p>
        </w:tc>
      </w:tr>
      <w:tr w:rsidR="004A1F86" w:rsidRPr="00AD0270" w14:paraId="4ADAE80D" w14:textId="77777777" w:rsidTr="00624EBB">
        <w:trPr>
          <w:trHeight w:val="369"/>
        </w:trPr>
        <w:tc>
          <w:tcPr>
            <w:tcW w:w="1288" w:type="pct"/>
            <w:tcBorders>
              <w:top w:val="single" w:sz="4" w:space="0" w:color="000000"/>
              <w:left w:val="single" w:sz="4" w:space="0" w:color="000000"/>
              <w:bottom w:val="single" w:sz="4" w:space="0" w:color="000000"/>
              <w:right w:val="single" w:sz="4" w:space="0" w:color="000000"/>
            </w:tcBorders>
            <w:hideMark/>
          </w:tcPr>
          <w:p w14:paraId="74AAF682" w14:textId="77777777" w:rsidR="004A1F86" w:rsidRPr="00AD0270" w:rsidRDefault="004A1F86">
            <w:pPr>
              <w:pStyle w:val="TableParagraph"/>
              <w:spacing w:line="181" w:lineRule="exact"/>
              <w:rPr>
                <w:sz w:val="16"/>
                <w:szCs w:val="16"/>
              </w:rPr>
            </w:pPr>
            <w:r w:rsidRPr="00AD0270">
              <w:rPr>
                <w:sz w:val="16"/>
                <w:szCs w:val="16"/>
              </w:rPr>
              <w:t>Change from baseline (adjusted</w:t>
            </w:r>
          </w:p>
          <w:p w14:paraId="5DBFE0C5" w14:textId="77777777" w:rsidR="004A1F86" w:rsidRPr="00AD0270" w:rsidRDefault="004A1F86">
            <w:pPr>
              <w:pStyle w:val="TableParagraph"/>
              <w:spacing w:before="1" w:line="168" w:lineRule="exact"/>
              <w:rPr>
                <w:sz w:val="16"/>
                <w:szCs w:val="16"/>
              </w:rPr>
            </w:pPr>
            <w:r w:rsidRPr="00AD0270">
              <w:rPr>
                <w:sz w:val="16"/>
                <w:szCs w:val="16"/>
              </w:rPr>
              <w:t>mean)</w:t>
            </w:r>
          </w:p>
        </w:tc>
        <w:tc>
          <w:tcPr>
            <w:tcW w:w="461" w:type="pct"/>
            <w:tcBorders>
              <w:top w:val="single" w:sz="4" w:space="0" w:color="000000"/>
              <w:left w:val="single" w:sz="4" w:space="0" w:color="000000"/>
              <w:bottom w:val="single" w:sz="4" w:space="0" w:color="000000"/>
              <w:right w:val="single" w:sz="4" w:space="0" w:color="000000"/>
            </w:tcBorders>
            <w:hideMark/>
          </w:tcPr>
          <w:p w14:paraId="251ED609" w14:textId="77777777" w:rsidR="004A1F86" w:rsidRPr="00AD0270" w:rsidRDefault="004A1F86">
            <w:pPr>
              <w:pStyle w:val="TableParagraph"/>
              <w:spacing w:before="88"/>
              <w:rPr>
                <w:sz w:val="16"/>
                <w:szCs w:val="16"/>
              </w:rPr>
            </w:pPr>
            <w:r w:rsidRPr="00AD0270">
              <w:rPr>
                <w:sz w:val="16"/>
                <w:szCs w:val="16"/>
              </w:rPr>
              <w:t>0.1</w:t>
            </w:r>
          </w:p>
        </w:tc>
        <w:tc>
          <w:tcPr>
            <w:tcW w:w="525" w:type="pct"/>
            <w:tcBorders>
              <w:top w:val="single" w:sz="4" w:space="0" w:color="000000"/>
              <w:left w:val="single" w:sz="4" w:space="0" w:color="000000"/>
              <w:bottom w:val="single" w:sz="4" w:space="0" w:color="000000"/>
              <w:right w:val="single" w:sz="4" w:space="0" w:color="000000"/>
            </w:tcBorders>
            <w:hideMark/>
          </w:tcPr>
          <w:p w14:paraId="2B05E366" w14:textId="77777777" w:rsidR="004A1F86" w:rsidRPr="00AD0270" w:rsidRDefault="004A1F86">
            <w:pPr>
              <w:pStyle w:val="TableParagraph"/>
              <w:spacing w:before="88"/>
              <w:ind w:left="104"/>
              <w:rPr>
                <w:sz w:val="16"/>
                <w:szCs w:val="16"/>
              </w:rPr>
            </w:pPr>
            <w:r w:rsidRPr="00AD0270">
              <w:rPr>
                <w:sz w:val="16"/>
                <w:szCs w:val="16"/>
              </w:rPr>
              <w:t>-0.5</w:t>
            </w:r>
          </w:p>
        </w:tc>
        <w:tc>
          <w:tcPr>
            <w:tcW w:w="530" w:type="pct"/>
            <w:tcBorders>
              <w:top w:val="single" w:sz="4" w:space="0" w:color="000000"/>
              <w:left w:val="single" w:sz="4" w:space="0" w:color="000000"/>
              <w:bottom w:val="single" w:sz="4" w:space="0" w:color="000000"/>
              <w:right w:val="single" w:sz="4" w:space="0" w:color="000000"/>
            </w:tcBorders>
            <w:hideMark/>
          </w:tcPr>
          <w:p w14:paraId="1BF18883" w14:textId="77777777" w:rsidR="004A1F86" w:rsidRPr="00AD0270" w:rsidRDefault="004A1F86">
            <w:pPr>
              <w:pStyle w:val="TableParagraph"/>
              <w:spacing w:before="88"/>
              <w:ind w:left="106"/>
              <w:rPr>
                <w:sz w:val="16"/>
                <w:szCs w:val="16"/>
              </w:rPr>
            </w:pPr>
            <w:r w:rsidRPr="00AD0270">
              <w:rPr>
                <w:sz w:val="16"/>
                <w:szCs w:val="16"/>
              </w:rPr>
              <w:t>-0.6</w:t>
            </w:r>
          </w:p>
        </w:tc>
        <w:tc>
          <w:tcPr>
            <w:tcW w:w="758" w:type="pct"/>
            <w:tcBorders>
              <w:top w:val="single" w:sz="4" w:space="0" w:color="000000"/>
              <w:left w:val="single" w:sz="4" w:space="0" w:color="000000"/>
              <w:bottom w:val="single" w:sz="4" w:space="0" w:color="000000"/>
              <w:right w:val="single" w:sz="4" w:space="0" w:color="000000"/>
            </w:tcBorders>
            <w:hideMark/>
          </w:tcPr>
          <w:p w14:paraId="1C0ED5DF" w14:textId="77777777" w:rsidR="004A1F86" w:rsidRPr="00AD0270" w:rsidRDefault="004A1F86">
            <w:pPr>
              <w:pStyle w:val="TableParagraph"/>
              <w:spacing w:before="88"/>
              <w:ind w:left="105"/>
              <w:rPr>
                <w:sz w:val="16"/>
                <w:szCs w:val="16"/>
              </w:rPr>
            </w:pPr>
            <w:r w:rsidRPr="00AD0270">
              <w:rPr>
                <w:sz w:val="16"/>
                <w:szCs w:val="16"/>
              </w:rPr>
              <w:t>-1.2</w:t>
            </w:r>
          </w:p>
        </w:tc>
        <w:tc>
          <w:tcPr>
            <w:tcW w:w="531" w:type="pct"/>
            <w:tcBorders>
              <w:top w:val="single" w:sz="4" w:space="0" w:color="000000"/>
              <w:left w:val="single" w:sz="4" w:space="0" w:color="000000"/>
              <w:bottom w:val="single" w:sz="4" w:space="0" w:color="000000"/>
              <w:right w:val="single" w:sz="4" w:space="0" w:color="000000"/>
            </w:tcBorders>
            <w:hideMark/>
          </w:tcPr>
          <w:p w14:paraId="002F7C0C" w14:textId="77777777" w:rsidR="004A1F86" w:rsidRPr="00AD0270" w:rsidRDefault="004A1F86">
            <w:pPr>
              <w:pStyle w:val="TableParagraph"/>
              <w:spacing w:before="88"/>
              <w:ind w:left="105"/>
              <w:rPr>
                <w:sz w:val="16"/>
                <w:szCs w:val="16"/>
              </w:rPr>
            </w:pPr>
            <w:r w:rsidRPr="00AD0270">
              <w:rPr>
                <w:sz w:val="16"/>
                <w:szCs w:val="16"/>
              </w:rPr>
              <w:t>-1.1</w:t>
            </w:r>
          </w:p>
        </w:tc>
        <w:tc>
          <w:tcPr>
            <w:tcW w:w="908" w:type="pct"/>
            <w:tcBorders>
              <w:top w:val="single" w:sz="4" w:space="0" w:color="000000"/>
              <w:left w:val="single" w:sz="4" w:space="0" w:color="000000"/>
              <w:bottom w:val="single" w:sz="4" w:space="0" w:color="000000"/>
              <w:right w:val="single" w:sz="4" w:space="0" w:color="000000"/>
            </w:tcBorders>
            <w:hideMark/>
          </w:tcPr>
          <w:p w14:paraId="38B67608" w14:textId="77777777" w:rsidR="004A1F86" w:rsidRPr="00AD0270" w:rsidRDefault="004A1F86">
            <w:pPr>
              <w:pStyle w:val="TableParagraph"/>
              <w:spacing w:before="88"/>
              <w:ind w:left="102"/>
              <w:rPr>
                <w:sz w:val="16"/>
                <w:szCs w:val="16"/>
              </w:rPr>
            </w:pPr>
            <w:r w:rsidRPr="00AD0270">
              <w:rPr>
                <w:sz w:val="16"/>
                <w:szCs w:val="16"/>
              </w:rPr>
              <w:t>-1.6</w:t>
            </w:r>
          </w:p>
        </w:tc>
      </w:tr>
      <w:tr w:rsidR="004A1F86" w:rsidRPr="00AD0270" w14:paraId="570861BC" w14:textId="77777777" w:rsidTr="00624EBB">
        <w:trPr>
          <w:trHeight w:val="366"/>
        </w:trPr>
        <w:tc>
          <w:tcPr>
            <w:tcW w:w="1288" w:type="pct"/>
            <w:tcBorders>
              <w:top w:val="single" w:sz="4" w:space="0" w:color="000000"/>
              <w:left w:val="single" w:sz="4" w:space="0" w:color="000000"/>
              <w:bottom w:val="single" w:sz="4" w:space="0" w:color="000000"/>
              <w:right w:val="single" w:sz="4" w:space="0" w:color="000000"/>
            </w:tcBorders>
            <w:hideMark/>
          </w:tcPr>
          <w:p w14:paraId="4B05061A" w14:textId="77777777" w:rsidR="004A1F86" w:rsidRPr="00AD0270" w:rsidRDefault="004A1F86">
            <w:pPr>
              <w:pStyle w:val="TableParagraph"/>
              <w:spacing w:line="182" w:lineRule="exact"/>
              <w:ind w:right="606"/>
              <w:rPr>
                <w:sz w:val="16"/>
                <w:szCs w:val="16"/>
              </w:rPr>
            </w:pPr>
            <w:r w:rsidRPr="00AD0270">
              <w:rPr>
                <w:sz w:val="16"/>
                <w:szCs w:val="16"/>
              </w:rPr>
              <w:t>Difference from placebo (adjusted mean) (95% CI)</w:t>
            </w:r>
          </w:p>
        </w:tc>
        <w:tc>
          <w:tcPr>
            <w:tcW w:w="461" w:type="pct"/>
            <w:tcBorders>
              <w:top w:val="single" w:sz="4" w:space="0" w:color="000000"/>
              <w:left w:val="single" w:sz="4" w:space="0" w:color="000000"/>
              <w:bottom w:val="single" w:sz="4" w:space="0" w:color="000000"/>
              <w:right w:val="single" w:sz="4" w:space="0" w:color="000000"/>
            </w:tcBorders>
            <w:hideMark/>
          </w:tcPr>
          <w:p w14:paraId="1AC7E2F2" w14:textId="77777777" w:rsidR="004A1F86" w:rsidRPr="00AD0270" w:rsidRDefault="004A1F86">
            <w:pPr>
              <w:pStyle w:val="TableParagraph"/>
              <w:spacing w:line="181" w:lineRule="exact"/>
              <w:rPr>
                <w:sz w:val="16"/>
                <w:szCs w:val="16"/>
              </w:rPr>
            </w:pPr>
            <w:r w:rsidRPr="00AD0270">
              <w:rPr>
                <w:sz w:val="16"/>
                <w:szCs w:val="16"/>
              </w:rPr>
              <w:t>--</w:t>
            </w:r>
          </w:p>
        </w:tc>
        <w:tc>
          <w:tcPr>
            <w:tcW w:w="525" w:type="pct"/>
            <w:tcBorders>
              <w:top w:val="single" w:sz="4" w:space="0" w:color="000000"/>
              <w:left w:val="single" w:sz="4" w:space="0" w:color="000000"/>
              <w:bottom w:val="single" w:sz="4" w:space="0" w:color="000000"/>
              <w:right w:val="single" w:sz="4" w:space="0" w:color="000000"/>
            </w:tcBorders>
            <w:hideMark/>
          </w:tcPr>
          <w:p w14:paraId="015A2D0B" w14:textId="77777777" w:rsidR="004A1F86" w:rsidRPr="00AD0270" w:rsidRDefault="004A1F86">
            <w:pPr>
              <w:pStyle w:val="TableParagraph"/>
              <w:spacing w:line="180" w:lineRule="exact"/>
              <w:ind w:left="104"/>
              <w:rPr>
                <w:sz w:val="16"/>
                <w:szCs w:val="16"/>
              </w:rPr>
            </w:pPr>
            <w:r w:rsidRPr="00AD0270">
              <w:rPr>
                <w:sz w:val="16"/>
                <w:szCs w:val="16"/>
              </w:rPr>
              <w:t>-0.6</w:t>
            </w:r>
          </w:p>
          <w:p w14:paraId="7B7EAB47" w14:textId="77777777" w:rsidR="004A1F86" w:rsidRPr="00AD0270" w:rsidRDefault="004A1F86">
            <w:pPr>
              <w:pStyle w:val="TableParagraph"/>
              <w:spacing w:line="167" w:lineRule="exact"/>
              <w:ind w:left="104"/>
              <w:rPr>
                <w:sz w:val="16"/>
                <w:szCs w:val="16"/>
              </w:rPr>
            </w:pPr>
            <w:r w:rsidRPr="00AD0270">
              <w:rPr>
                <w:sz w:val="16"/>
                <w:szCs w:val="16"/>
              </w:rPr>
              <w:t>(-0.9, -0.3)</w:t>
            </w:r>
          </w:p>
        </w:tc>
        <w:tc>
          <w:tcPr>
            <w:tcW w:w="530" w:type="pct"/>
            <w:tcBorders>
              <w:top w:val="single" w:sz="4" w:space="0" w:color="000000"/>
              <w:left w:val="single" w:sz="4" w:space="0" w:color="000000"/>
              <w:bottom w:val="single" w:sz="4" w:space="0" w:color="000000"/>
              <w:right w:val="single" w:sz="4" w:space="0" w:color="000000"/>
            </w:tcBorders>
            <w:hideMark/>
          </w:tcPr>
          <w:p w14:paraId="457DAA0C" w14:textId="77777777" w:rsidR="004A1F86" w:rsidRPr="00AD0270" w:rsidRDefault="004A1F86">
            <w:pPr>
              <w:pStyle w:val="TableParagraph"/>
              <w:spacing w:line="180" w:lineRule="exact"/>
              <w:ind w:left="106"/>
              <w:rPr>
                <w:sz w:val="16"/>
                <w:szCs w:val="16"/>
              </w:rPr>
            </w:pPr>
            <w:r w:rsidRPr="00AD0270">
              <w:rPr>
                <w:sz w:val="16"/>
                <w:szCs w:val="16"/>
              </w:rPr>
              <w:t>-0.8</w:t>
            </w:r>
          </w:p>
          <w:p w14:paraId="00F158EB" w14:textId="77777777" w:rsidR="004A1F86" w:rsidRPr="00AD0270" w:rsidRDefault="004A1F86">
            <w:pPr>
              <w:pStyle w:val="TableParagraph"/>
              <w:spacing w:line="167" w:lineRule="exact"/>
              <w:ind w:left="106"/>
              <w:rPr>
                <w:sz w:val="16"/>
                <w:szCs w:val="16"/>
              </w:rPr>
            </w:pPr>
            <w:r w:rsidRPr="00AD0270">
              <w:rPr>
                <w:sz w:val="16"/>
                <w:szCs w:val="16"/>
              </w:rPr>
              <w:t>(-1.0, -0.5)</w:t>
            </w:r>
          </w:p>
        </w:tc>
        <w:tc>
          <w:tcPr>
            <w:tcW w:w="758" w:type="pct"/>
            <w:tcBorders>
              <w:top w:val="single" w:sz="4" w:space="0" w:color="000000"/>
              <w:left w:val="single" w:sz="4" w:space="0" w:color="000000"/>
              <w:bottom w:val="single" w:sz="4" w:space="0" w:color="000000"/>
              <w:right w:val="single" w:sz="4" w:space="0" w:color="000000"/>
            </w:tcBorders>
            <w:hideMark/>
          </w:tcPr>
          <w:p w14:paraId="45ECD895" w14:textId="77777777" w:rsidR="004A1F86" w:rsidRPr="00AD0270" w:rsidRDefault="004A1F86">
            <w:pPr>
              <w:pStyle w:val="TableParagraph"/>
              <w:spacing w:line="180" w:lineRule="exact"/>
              <w:ind w:left="105"/>
              <w:rPr>
                <w:sz w:val="16"/>
                <w:szCs w:val="16"/>
              </w:rPr>
            </w:pPr>
            <w:r w:rsidRPr="00AD0270">
              <w:rPr>
                <w:sz w:val="16"/>
                <w:szCs w:val="16"/>
              </w:rPr>
              <w:t>-1.3</w:t>
            </w:r>
          </w:p>
          <w:p w14:paraId="2A3DA239" w14:textId="77777777" w:rsidR="004A1F86" w:rsidRPr="00AD0270" w:rsidRDefault="004A1F86">
            <w:pPr>
              <w:pStyle w:val="TableParagraph"/>
              <w:spacing w:line="167" w:lineRule="exact"/>
              <w:ind w:left="105"/>
              <w:rPr>
                <w:sz w:val="16"/>
                <w:szCs w:val="16"/>
              </w:rPr>
            </w:pPr>
            <w:r w:rsidRPr="00AD0270">
              <w:rPr>
                <w:sz w:val="16"/>
                <w:szCs w:val="16"/>
              </w:rPr>
              <w:t>(-1.6, -1.1)</w:t>
            </w:r>
          </w:p>
        </w:tc>
        <w:tc>
          <w:tcPr>
            <w:tcW w:w="531" w:type="pct"/>
            <w:tcBorders>
              <w:top w:val="single" w:sz="4" w:space="0" w:color="000000"/>
              <w:left w:val="single" w:sz="4" w:space="0" w:color="000000"/>
              <w:bottom w:val="single" w:sz="4" w:space="0" w:color="000000"/>
              <w:right w:val="single" w:sz="4" w:space="0" w:color="000000"/>
            </w:tcBorders>
            <w:hideMark/>
          </w:tcPr>
          <w:p w14:paraId="19853EB3" w14:textId="77777777" w:rsidR="004A1F86" w:rsidRPr="00AD0270" w:rsidRDefault="004A1F86">
            <w:pPr>
              <w:pStyle w:val="TableParagraph"/>
              <w:spacing w:line="180" w:lineRule="exact"/>
              <w:ind w:left="105"/>
              <w:rPr>
                <w:sz w:val="16"/>
                <w:szCs w:val="16"/>
              </w:rPr>
            </w:pPr>
            <w:r w:rsidRPr="00AD0270">
              <w:rPr>
                <w:sz w:val="16"/>
                <w:szCs w:val="16"/>
              </w:rPr>
              <w:t>-1.2</w:t>
            </w:r>
          </w:p>
          <w:p w14:paraId="27C31246" w14:textId="77777777" w:rsidR="004A1F86" w:rsidRPr="00AD0270" w:rsidRDefault="004A1F86">
            <w:pPr>
              <w:pStyle w:val="TableParagraph"/>
              <w:spacing w:line="167" w:lineRule="exact"/>
              <w:ind w:left="105"/>
              <w:rPr>
                <w:sz w:val="16"/>
                <w:szCs w:val="16"/>
              </w:rPr>
            </w:pPr>
            <w:r w:rsidRPr="00AD0270">
              <w:rPr>
                <w:sz w:val="16"/>
                <w:szCs w:val="16"/>
              </w:rPr>
              <w:t>(-1.5, -0.9)</w:t>
            </w:r>
          </w:p>
        </w:tc>
        <w:tc>
          <w:tcPr>
            <w:tcW w:w="908" w:type="pct"/>
            <w:tcBorders>
              <w:top w:val="single" w:sz="4" w:space="0" w:color="000000"/>
              <w:left w:val="single" w:sz="4" w:space="0" w:color="000000"/>
              <w:bottom w:val="single" w:sz="4" w:space="0" w:color="000000"/>
              <w:right w:val="single" w:sz="4" w:space="0" w:color="000000"/>
            </w:tcBorders>
            <w:hideMark/>
          </w:tcPr>
          <w:p w14:paraId="01A0D895" w14:textId="77777777" w:rsidR="004A1F86" w:rsidRPr="00AD0270" w:rsidRDefault="004A1F86">
            <w:pPr>
              <w:pStyle w:val="TableParagraph"/>
              <w:spacing w:line="180" w:lineRule="exact"/>
              <w:ind w:left="102"/>
              <w:rPr>
                <w:sz w:val="16"/>
                <w:szCs w:val="16"/>
              </w:rPr>
            </w:pPr>
            <w:r w:rsidRPr="00AD0270">
              <w:rPr>
                <w:sz w:val="16"/>
                <w:szCs w:val="16"/>
              </w:rPr>
              <w:t>-1.7</w:t>
            </w:r>
          </w:p>
          <w:p w14:paraId="12A174BE" w14:textId="77777777" w:rsidR="004A1F86" w:rsidRPr="00AD0270" w:rsidRDefault="004A1F86">
            <w:pPr>
              <w:pStyle w:val="TableParagraph"/>
              <w:spacing w:line="167" w:lineRule="exact"/>
              <w:ind w:left="102"/>
              <w:rPr>
                <w:sz w:val="16"/>
                <w:szCs w:val="16"/>
              </w:rPr>
            </w:pPr>
            <w:r w:rsidRPr="00AD0270">
              <w:rPr>
                <w:sz w:val="16"/>
                <w:szCs w:val="16"/>
              </w:rPr>
              <w:t>(-2.0, -1.4)</w:t>
            </w:r>
          </w:p>
        </w:tc>
      </w:tr>
      <w:tr w:rsidR="004A1F86" w:rsidRPr="00AD0270" w14:paraId="254FE69D" w14:textId="77777777" w:rsidTr="00624EBB">
        <w:trPr>
          <w:trHeight w:val="369"/>
        </w:trPr>
        <w:tc>
          <w:tcPr>
            <w:tcW w:w="1288" w:type="pct"/>
            <w:tcBorders>
              <w:top w:val="single" w:sz="4" w:space="0" w:color="000000"/>
              <w:left w:val="single" w:sz="4" w:space="0" w:color="000000"/>
              <w:bottom w:val="single" w:sz="4" w:space="0" w:color="000000"/>
              <w:right w:val="single" w:sz="4" w:space="0" w:color="000000"/>
            </w:tcBorders>
            <w:hideMark/>
          </w:tcPr>
          <w:p w14:paraId="779A3DED" w14:textId="77777777" w:rsidR="004A1F86" w:rsidRPr="00AD0270" w:rsidRDefault="004A1F86">
            <w:pPr>
              <w:pStyle w:val="TableParagraph"/>
              <w:spacing w:line="184" w:lineRule="exact"/>
              <w:rPr>
                <w:sz w:val="16"/>
                <w:szCs w:val="16"/>
              </w:rPr>
            </w:pPr>
            <w:r w:rsidRPr="00AD0270">
              <w:rPr>
                <w:position w:val="2"/>
                <w:sz w:val="16"/>
                <w:szCs w:val="16"/>
              </w:rPr>
              <w:t xml:space="preserve">Patients (n, %) achieving </w:t>
            </w:r>
            <w:proofErr w:type="spellStart"/>
            <w:r w:rsidRPr="00AD0270">
              <w:rPr>
                <w:position w:val="2"/>
                <w:sz w:val="16"/>
                <w:szCs w:val="16"/>
              </w:rPr>
              <w:t>HbA</w:t>
            </w:r>
            <w:proofErr w:type="spellEnd"/>
            <w:r w:rsidRPr="00AD0270">
              <w:rPr>
                <w:sz w:val="16"/>
                <w:szCs w:val="16"/>
              </w:rPr>
              <w:t>1c</w:t>
            </w:r>
          </w:p>
          <w:p w14:paraId="7346A056" w14:textId="77777777" w:rsidR="004A1F86" w:rsidRPr="00AD0270" w:rsidRDefault="004A1F86">
            <w:pPr>
              <w:pStyle w:val="TableParagraph"/>
              <w:spacing w:line="165" w:lineRule="exact"/>
              <w:rPr>
                <w:sz w:val="16"/>
                <w:szCs w:val="16"/>
              </w:rPr>
            </w:pPr>
            <w:r w:rsidRPr="00AD0270">
              <w:rPr>
                <w:sz w:val="16"/>
                <w:szCs w:val="16"/>
              </w:rPr>
              <w:t>&lt; 7%</w:t>
            </w:r>
          </w:p>
        </w:tc>
        <w:tc>
          <w:tcPr>
            <w:tcW w:w="461" w:type="pct"/>
            <w:tcBorders>
              <w:top w:val="single" w:sz="4" w:space="0" w:color="000000"/>
              <w:left w:val="single" w:sz="4" w:space="0" w:color="000000"/>
              <w:bottom w:val="single" w:sz="4" w:space="0" w:color="000000"/>
              <w:right w:val="single" w:sz="4" w:space="0" w:color="000000"/>
            </w:tcBorders>
            <w:hideMark/>
          </w:tcPr>
          <w:p w14:paraId="7781EB2A" w14:textId="77777777" w:rsidR="004A1F86" w:rsidRPr="00AD0270" w:rsidRDefault="004A1F86">
            <w:pPr>
              <w:pStyle w:val="TableParagraph"/>
              <w:spacing w:before="88"/>
              <w:rPr>
                <w:sz w:val="16"/>
                <w:szCs w:val="16"/>
              </w:rPr>
            </w:pPr>
            <w:r w:rsidRPr="00AD0270">
              <w:rPr>
                <w:sz w:val="16"/>
                <w:szCs w:val="16"/>
              </w:rPr>
              <w:t>7 (10.8)</w:t>
            </w:r>
          </w:p>
        </w:tc>
        <w:tc>
          <w:tcPr>
            <w:tcW w:w="525" w:type="pct"/>
            <w:tcBorders>
              <w:top w:val="single" w:sz="4" w:space="0" w:color="000000"/>
              <w:left w:val="single" w:sz="4" w:space="0" w:color="000000"/>
              <w:bottom w:val="single" w:sz="4" w:space="0" w:color="000000"/>
              <w:right w:val="single" w:sz="4" w:space="0" w:color="000000"/>
            </w:tcBorders>
            <w:hideMark/>
          </w:tcPr>
          <w:p w14:paraId="4E27A810" w14:textId="77777777" w:rsidR="004A1F86" w:rsidRPr="00AD0270" w:rsidRDefault="004A1F86">
            <w:pPr>
              <w:pStyle w:val="TableParagraph"/>
              <w:spacing w:before="88"/>
              <w:ind w:left="104"/>
              <w:rPr>
                <w:sz w:val="16"/>
                <w:szCs w:val="16"/>
              </w:rPr>
            </w:pPr>
            <w:r w:rsidRPr="00AD0270">
              <w:rPr>
                <w:sz w:val="16"/>
                <w:szCs w:val="16"/>
              </w:rPr>
              <w:t>14 (10.4)</w:t>
            </w:r>
          </w:p>
        </w:tc>
        <w:tc>
          <w:tcPr>
            <w:tcW w:w="530" w:type="pct"/>
            <w:tcBorders>
              <w:top w:val="single" w:sz="4" w:space="0" w:color="000000"/>
              <w:left w:val="single" w:sz="4" w:space="0" w:color="000000"/>
              <w:bottom w:val="single" w:sz="4" w:space="0" w:color="000000"/>
              <w:right w:val="single" w:sz="4" w:space="0" w:color="000000"/>
            </w:tcBorders>
            <w:hideMark/>
          </w:tcPr>
          <w:p w14:paraId="626746C0" w14:textId="77777777" w:rsidR="004A1F86" w:rsidRPr="00AD0270" w:rsidRDefault="004A1F86">
            <w:pPr>
              <w:pStyle w:val="TableParagraph"/>
              <w:spacing w:before="88"/>
              <w:ind w:left="106"/>
              <w:rPr>
                <w:sz w:val="16"/>
                <w:szCs w:val="16"/>
              </w:rPr>
            </w:pPr>
            <w:r w:rsidRPr="00AD0270">
              <w:rPr>
                <w:sz w:val="16"/>
                <w:szCs w:val="16"/>
              </w:rPr>
              <w:t xml:space="preserve">27 </w:t>
            </w:r>
            <w:proofErr w:type="gramStart"/>
            <w:r w:rsidRPr="00AD0270">
              <w:rPr>
                <w:sz w:val="16"/>
                <w:szCs w:val="16"/>
              </w:rPr>
              <w:t>( 19.1</w:t>
            </w:r>
            <w:proofErr w:type="gramEnd"/>
            <w:r w:rsidRPr="00AD0270">
              <w:rPr>
                <w:sz w:val="16"/>
                <w:szCs w:val="16"/>
              </w:rPr>
              <w:t>)</w:t>
            </w:r>
          </w:p>
        </w:tc>
        <w:tc>
          <w:tcPr>
            <w:tcW w:w="758" w:type="pct"/>
            <w:tcBorders>
              <w:top w:val="single" w:sz="4" w:space="0" w:color="000000"/>
              <w:left w:val="single" w:sz="4" w:space="0" w:color="000000"/>
              <w:bottom w:val="single" w:sz="4" w:space="0" w:color="000000"/>
              <w:right w:val="single" w:sz="4" w:space="0" w:color="000000"/>
            </w:tcBorders>
            <w:hideMark/>
          </w:tcPr>
          <w:p w14:paraId="2F1224E5" w14:textId="77777777" w:rsidR="004A1F86" w:rsidRPr="00AD0270" w:rsidRDefault="004A1F86">
            <w:pPr>
              <w:pStyle w:val="TableParagraph"/>
              <w:spacing w:before="88"/>
              <w:ind w:left="105"/>
              <w:rPr>
                <w:sz w:val="16"/>
                <w:szCs w:val="16"/>
              </w:rPr>
            </w:pPr>
            <w:r w:rsidRPr="00AD0270">
              <w:rPr>
                <w:sz w:val="16"/>
                <w:szCs w:val="16"/>
              </w:rPr>
              <w:t>42 (30.7)</w:t>
            </w:r>
          </w:p>
        </w:tc>
        <w:tc>
          <w:tcPr>
            <w:tcW w:w="531" w:type="pct"/>
            <w:tcBorders>
              <w:top w:val="single" w:sz="4" w:space="0" w:color="000000"/>
              <w:left w:val="single" w:sz="4" w:space="0" w:color="000000"/>
              <w:bottom w:val="single" w:sz="4" w:space="0" w:color="000000"/>
              <w:right w:val="single" w:sz="4" w:space="0" w:color="000000"/>
            </w:tcBorders>
            <w:hideMark/>
          </w:tcPr>
          <w:p w14:paraId="661E234E" w14:textId="77777777" w:rsidR="004A1F86" w:rsidRPr="00AD0270" w:rsidRDefault="004A1F86">
            <w:pPr>
              <w:pStyle w:val="TableParagraph"/>
              <w:spacing w:before="88"/>
              <w:ind w:left="105"/>
              <w:rPr>
                <w:sz w:val="16"/>
                <w:szCs w:val="16"/>
              </w:rPr>
            </w:pPr>
            <w:r w:rsidRPr="00AD0270">
              <w:rPr>
                <w:sz w:val="16"/>
                <w:szCs w:val="16"/>
              </w:rPr>
              <w:t>43 (31.2)</w:t>
            </w:r>
          </w:p>
        </w:tc>
        <w:tc>
          <w:tcPr>
            <w:tcW w:w="908" w:type="pct"/>
            <w:tcBorders>
              <w:top w:val="single" w:sz="4" w:space="0" w:color="000000"/>
              <w:left w:val="single" w:sz="4" w:space="0" w:color="000000"/>
              <w:bottom w:val="single" w:sz="4" w:space="0" w:color="000000"/>
              <w:right w:val="single" w:sz="4" w:space="0" w:color="000000"/>
            </w:tcBorders>
            <w:hideMark/>
          </w:tcPr>
          <w:p w14:paraId="2D3D576E" w14:textId="77777777" w:rsidR="004A1F86" w:rsidRPr="00AD0270" w:rsidRDefault="004A1F86">
            <w:pPr>
              <w:pStyle w:val="TableParagraph"/>
              <w:spacing w:before="88"/>
              <w:ind w:left="102"/>
              <w:rPr>
                <w:sz w:val="16"/>
                <w:szCs w:val="16"/>
              </w:rPr>
            </w:pPr>
            <w:r w:rsidRPr="00AD0270">
              <w:rPr>
                <w:sz w:val="16"/>
                <w:szCs w:val="16"/>
              </w:rPr>
              <w:t>76 (54.3)</w:t>
            </w:r>
          </w:p>
        </w:tc>
      </w:tr>
      <w:tr w:rsidR="004A1F86" w:rsidRPr="00AD0270" w14:paraId="4DF5ECA0" w14:textId="77777777" w:rsidTr="00624EBB">
        <w:trPr>
          <w:trHeight w:val="366"/>
        </w:trPr>
        <w:tc>
          <w:tcPr>
            <w:tcW w:w="1288" w:type="pct"/>
            <w:tcBorders>
              <w:top w:val="single" w:sz="4" w:space="0" w:color="000000"/>
              <w:left w:val="single" w:sz="4" w:space="0" w:color="000000"/>
              <w:bottom w:val="single" w:sz="4" w:space="0" w:color="000000"/>
              <w:right w:val="single" w:sz="4" w:space="0" w:color="000000"/>
            </w:tcBorders>
            <w:hideMark/>
          </w:tcPr>
          <w:p w14:paraId="054ECBBD" w14:textId="77777777" w:rsidR="004A1F86" w:rsidRPr="00AD0270" w:rsidRDefault="004A1F86">
            <w:pPr>
              <w:pStyle w:val="TableParagraph"/>
              <w:spacing w:line="182" w:lineRule="exact"/>
              <w:ind w:right="402"/>
              <w:rPr>
                <w:sz w:val="16"/>
                <w:szCs w:val="16"/>
              </w:rPr>
            </w:pPr>
            <w:r w:rsidRPr="00AD0270">
              <w:rPr>
                <w:sz w:val="16"/>
                <w:szCs w:val="16"/>
              </w:rPr>
              <w:t>Patients (%) receiving rescue treatment</w:t>
            </w:r>
          </w:p>
        </w:tc>
        <w:tc>
          <w:tcPr>
            <w:tcW w:w="461" w:type="pct"/>
            <w:tcBorders>
              <w:top w:val="single" w:sz="4" w:space="0" w:color="000000"/>
              <w:left w:val="single" w:sz="4" w:space="0" w:color="000000"/>
              <w:bottom w:val="single" w:sz="4" w:space="0" w:color="000000"/>
              <w:right w:val="single" w:sz="4" w:space="0" w:color="000000"/>
            </w:tcBorders>
            <w:hideMark/>
          </w:tcPr>
          <w:p w14:paraId="3AEAB5B4" w14:textId="77777777" w:rsidR="004A1F86" w:rsidRPr="00AD0270" w:rsidRDefault="004A1F86">
            <w:pPr>
              <w:pStyle w:val="TableParagraph"/>
              <w:spacing w:before="88"/>
              <w:rPr>
                <w:sz w:val="16"/>
                <w:szCs w:val="16"/>
              </w:rPr>
            </w:pPr>
            <w:r w:rsidRPr="00AD0270">
              <w:rPr>
                <w:sz w:val="16"/>
                <w:szCs w:val="16"/>
              </w:rPr>
              <w:t>29.2</w:t>
            </w:r>
          </w:p>
        </w:tc>
        <w:tc>
          <w:tcPr>
            <w:tcW w:w="525" w:type="pct"/>
            <w:tcBorders>
              <w:top w:val="single" w:sz="4" w:space="0" w:color="000000"/>
              <w:left w:val="single" w:sz="4" w:space="0" w:color="000000"/>
              <w:bottom w:val="single" w:sz="4" w:space="0" w:color="000000"/>
              <w:right w:val="single" w:sz="4" w:space="0" w:color="000000"/>
            </w:tcBorders>
            <w:hideMark/>
          </w:tcPr>
          <w:p w14:paraId="59497C07" w14:textId="77777777" w:rsidR="004A1F86" w:rsidRPr="00AD0270" w:rsidRDefault="004A1F86">
            <w:pPr>
              <w:pStyle w:val="TableParagraph"/>
              <w:spacing w:before="88"/>
              <w:ind w:left="104"/>
              <w:rPr>
                <w:sz w:val="16"/>
                <w:szCs w:val="16"/>
              </w:rPr>
            </w:pPr>
            <w:r w:rsidRPr="00AD0270">
              <w:rPr>
                <w:sz w:val="16"/>
                <w:szCs w:val="16"/>
              </w:rPr>
              <w:t>11.1</w:t>
            </w:r>
          </w:p>
        </w:tc>
        <w:tc>
          <w:tcPr>
            <w:tcW w:w="530" w:type="pct"/>
            <w:tcBorders>
              <w:top w:val="single" w:sz="4" w:space="0" w:color="000000"/>
              <w:left w:val="single" w:sz="4" w:space="0" w:color="000000"/>
              <w:bottom w:val="single" w:sz="4" w:space="0" w:color="000000"/>
              <w:right w:val="single" w:sz="4" w:space="0" w:color="000000"/>
            </w:tcBorders>
            <w:hideMark/>
          </w:tcPr>
          <w:p w14:paraId="7327F6E0" w14:textId="77777777" w:rsidR="004A1F86" w:rsidRPr="00AD0270" w:rsidRDefault="004A1F86">
            <w:pPr>
              <w:pStyle w:val="TableParagraph"/>
              <w:spacing w:before="88"/>
              <w:ind w:left="106"/>
              <w:rPr>
                <w:sz w:val="16"/>
                <w:szCs w:val="16"/>
              </w:rPr>
            </w:pPr>
            <w:r w:rsidRPr="00AD0270">
              <w:rPr>
                <w:sz w:val="16"/>
                <w:szCs w:val="16"/>
              </w:rPr>
              <w:t>13.5</w:t>
            </w:r>
          </w:p>
        </w:tc>
        <w:tc>
          <w:tcPr>
            <w:tcW w:w="758" w:type="pct"/>
            <w:tcBorders>
              <w:top w:val="single" w:sz="4" w:space="0" w:color="000000"/>
              <w:left w:val="single" w:sz="4" w:space="0" w:color="000000"/>
              <w:bottom w:val="single" w:sz="4" w:space="0" w:color="000000"/>
              <w:right w:val="single" w:sz="4" w:space="0" w:color="000000"/>
            </w:tcBorders>
            <w:hideMark/>
          </w:tcPr>
          <w:p w14:paraId="5F36E383" w14:textId="77777777" w:rsidR="004A1F86" w:rsidRPr="00AD0270" w:rsidRDefault="004A1F86">
            <w:pPr>
              <w:pStyle w:val="TableParagraph"/>
              <w:spacing w:before="88"/>
              <w:ind w:left="105"/>
              <w:rPr>
                <w:sz w:val="16"/>
                <w:szCs w:val="16"/>
              </w:rPr>
            </w:pPr>
            <w:r w:rsidRPr="00AD0270">
              <w:rPr>
                <w:sz w:val="16"/>
                <w:szCs w:val="16"/>
              </w:rPr>
              <w:t>7.3</w:t>
            </w:r>
          </w:p>
        </w:tc>
        <w:tc>
          <w:tcPr>
            <w:tcW w:w="531" w:type="pct"/>
            <w:tcBorders>
              <w:top w:val="single" w:sz="4" w:space="0" w:color="000000"/>
              <w:left w:val="single" w:sz="4" w:space="0" w:color="000000"/>
              <w:bottom w:val="single" w:sz="4" w:space="0" w:color="000000"/>
              <w:right w:val="single" w:sz="4" w:space="0" w:color="000000"/>
            </w:tcBorders>
            <w:hideMark/>
          </w:tcPr>
          <w:p w14:paraId="57C30768" w14:textId="77777777" w:rsidR="004A1F86" w:rsidRPr="00AD0270" w:rsidRDefault="004A1F86">
            <w:pPr>
              <w:pStyle w:val="TableParagraph"/>
              <w:spacing w:before="88"/>
              <w:ind w:left="105"/>
              <w:rPr>
                <w:sz w:val="16"/>
                <w:szCs w:val="16"/>
              </w:rPr>
            </w:pPr>
            <w:r w:rsidRPr="00AD0270">
              <w:rPr>
                <w:sz w:val="16"/>
                <w:szCs w:val="16"/>
              </w:rPr>
              <w:t>8.0</w:t>
            </w:r>
          </w:p>
        </w:tc>
        <w:tc>
          <w:tcPr>
            <w:tcW w:w="908" w:type="pct"/>
            <w:tcBorders>
              <w:top w:val="single" w:sz="4" w:space="0" w:color="000000"/>
              <w:left w:val="single" w:sz="4" w:space="0" w:color="000000"/>
              <w:bottom w:val="single" w:sz="4" w:space="0" w:color="000000"/>
              <w:right w:val="single" w:sz="4" w:space="0" w:color="000000"/>
            </w:tcBorders>
            <w:hideMark/>
          </w:tcPr>
          <w:p w14:paraId="7000136B" w14:textId="77777777" w:rsidR="004A1F86" w:rsidRPr="00AD0270" w:rsidRDefault="004A1F86">
            <w:pPr>
              <w:pStyle w:val="TableParagraph"/>
              <w:spacing w:before="88"/>
              <w:ind w:left="102"/>
              <w:rPr>
                <w:sz w:val="16"/>
                <w:szCs w:val="16"/>
              </w:rPr>
            </w:pPr>
            <w:r w:rsidRPr="00AD0270">
              <w:rPr>
                <w:sz w:val="16"/>
                <w:szCs w:val="16"/>
              </w:rPr>
              <w:t>4.3</w:t>
            </w:r>
          </w:p>
        </w:tc>
      </w:tr>
      <w:tr w:rsidR="004A1F86" w:rsidRPr="00AD0270" w14:paraId="26402A99" w14:textId="77777777" w:rsidTr="00624EBB">
        <w:trPr>
          <w:trHeight w:val="184"/>
        </w:trPr>
        <w:tc>
          <w:tcPr>
            <w:tcW w:w="1288" w:type="pct"/>
            <w:tcBorders>
              <w:top w:val="single" w:sz="4" w:space="0" w:color="000000"/>
              <w:left w:val="single" w:sz="4" w:space="0" w:color="000000"/>
              <w:bottom w:val="single" w:sz="4" w:space="0" w:color="000000"/>
              <w:right w:val="single" w:sz="4" w:space="0" w:color="000000"/>
            </w:tcBorders>
            <w:hideMark/>
          </w:tcPr>
          <w:p w14:paraId="6E83A098" w14:textId="77777777" w:rsidR="004A1F86" w:rsidRPr="00AD0270" w:rsidRDefault="004A1F86">
            <w:pPr>
              <w:pStyle w:val="TableParagraph"/>
              <w:spacing w:line="164" w:lineRule="exact"/>
              <w:rPr>
                <w:b/>
                <w:sz w:val="16"/>
                <w:szCs w:val="16"/>
              </w:rPr>
            </w:pPr>
            <w:r w:rsidRPr="00AD0270">
              <w:rPr>
                <w:b/>
                <w:sz w:val="16"/>
                <w:szCs w:val="16"/>
              </w:rPr>
              <w:t>FPG (mg/dL)</w:t>
            </w:r>
          </w:p>
        </w:tc>
        <w:tc>
          <w:tcPr>
            <w:tcW w:w="461" w:type="pct"/>
            <w:tcBorders>
              <w:top w:val="single" w:sz="4" w:space="0" w:color="000000"/>
              <w:left w:val="single" w:sz="4" w:space="0" w:color="000000"/>
              <w:bottom w:val="single" w:sz="4" w:space="0" w:color="000000"/>
              <w:right w:val="single" w:sz="4" w:space="0" w:color="000000"/>
            </w:tcBorders>
          </w:tcPr>
          <w:p w14:paraId="4AB4EBB1" w14:textId="77777777" w:rsidR="004A1F86" w:rsidRPr="00AD0270" w:rsidRDefault="004A1F86">
            <w:pPr>
              <w:pStyle w:val="TableParagraph"/>
              <w:ind w:left="0"/>
              <w:rPr>
                <w:sz w:val="16"/>
                <w:szCs w:val="16"/>
              </w:rPr>
            </w:pPr>
          </w:p>
        </w:tc>
        <w:tc>
          <w:tcPr>
            <w:tcW w:w="525" w:type="pct"/>
            <w:tcBorders>
              <w:top w:val="single" w:sz="4" w:space="0" w:color="000000"/>
              <w:left w:val="single" w:sz="4" w:space="0" w:color="000000"/>
              <w:bottom w:val="single" w:sz="4" w:space="0" w:color="000000"/>
              <w:right w:val="single" w:sz="4" w:space="0" w:color="000000"/>
            </w:tcBorders>
          </w:tcPr>
          <w:p w14:paraId="19C2C48A" w14:textId="77777777" w:rsidR="004A1F86" w:rsidRPr="00AD0270" w:rsidRDefault="004A1F86">
            <w:pPr>
              <w:pStyle w:val="TableParagraph"/>
              <w:ind w:left="0"/>
              <w:rPr>
                <w:sz w:val="16"/>
                <w:szCs w:val="16"/>
              </w:rPr>
            </w:pPr>
          </w:p>
        </w:tc>
        <w:tc>
          <w:tcPr>
            <w:tcW w:w="530" w:type="pct"/>
            <w:tcBorders>
              <w:top w:val="single" w:sz="4" w:space="0" w:color="000000"/>
              <w:left w:val="single" w:sz="4" w:space="0" w:color="000000"/>
              <w:bottom w:val="single" w:sz="4" w:space="0" w:color="000000"/>
              <w:right w:val="single" w:sz="4" w:space="0" w:color="000000"/>
            </w:tcBorders>
          </w:tcPr>
          <w:p w14:paraId="5FFA9070" w14:textId="77777777" w:rsidR="004A1F86" w:rsidRPr="00AD0270" w:rsidRDefault="004A1F86">
            <w:pPr>
              <w:pStyle w:val="TableParagraph"/>
              <w:ind w:left="0"/>
              <w:rPr>
                <w:sz w:val="16"/>
                <w:szCs w:val="16"/>
              </w:rPr>
            </w:pPr>
          </w:p>
        </w:tc>
        <w:tc>
          <w:tcPr>
            <w:tcW w:w="758" w:type="pct"/>
            <w:tcBorders>
              <w:top w:val="single" w:sz="4" w:space="0" w:color="000000"/>
              <w:left w:val="single" w:sz="4" w:space="0" w:color="000000"/>
              <w:bottom w:val="single" w:sz="4" w:space="0" w:color="000000"/>
              <w:right w:val="single" w:sz="4" w:space="0" w:color="000000"/>
            </w:tcBorders>
          </w:tcPr>
          <w:p w14:paraId="2A83FC45" w14:textId="77777777" w:rsidR="004A1F86" w:rsidRPr="00AD0270" w:rsidRDefault="004A1F86">
            <w:pPr>
              <w:pStyle w:val="TableParagraph"/>
              <w:ind w:left="0"/>
              <w:rPr>
                <w:sz w:val="16"/>
                <w:szCs w:val="16"/>
              </w:rPr>
            </w:pPr>
          </w:p>
        </w:tc>
        <w:tc>
          <w:tcPr>
            <w:tcW w:w="531" w:type="pct"/>
            <w:tcBorders>
              <w:top w:val="single" w:sz="4" w:space="0" w:color="000000"/>
              <w:left w:val="single" w:sz="4" w:space="0" w:color="000000"/>
              <w:bottom w:val="single" w:sz="4" w:space="0" w:color="000000"/>
              <w:right w:val="single" w:sz="4" w:space="0" w:color="000000"/>
            </w:tcBorders>
          </w:tcPr>
          <w:p w14:paraId="2471A5E8" w14:textId="77777777" w:rsidR="004A1F86" w:rsidRPr="00AD0270" w:rsidRDefault="004A1F86">
            <w:pPr>
              <w:pStyle w:val="TableParagraph"/>
              <w:ind w:left="0"/>
              <w:rPr>
                <w:sz w:val="16"/>
                <w:szCs w:val="16"/>
              </w:rPr>
            </w:pPr>
          </w:p>
        </w:tc>
        <w:tc>
          <w:tcPr>
            <w:tcW w:w="908" w:type="pct"/>
            <w:tcBorders>
              <w:top w:val="single" w:sz="4" w:space="0" w:color="000000"/>
              <w:left w:val="single" w:sz="4" w:space="0" w:color="000000"/>
              <w:bottom w:val="single" w:sz="4" w:space="0" w:color="000000"/>
              <w:right w:val="single" w:sz="4" w:space="0" w:color="000000"/>
            </w:tcBorders>
          </w:tcPr>
          <w:p w14:paraId="36F669A8" w14:textId="77777777" w:rsidR="004A1F86" w:rsidRPr="00AD0270" w:rsidRDefault="004A1F86">
            <w:pPr>
              <w:pStyle w:val="TableParagraph"/>
              <w:ind w:left="0"/>
              <w:rPr>
                <w:sz w:val="16"/>
                <w:szCs w:val="16"/>
              </w:rPr>
            </w:pPr>
          </w:p>
        </w:tc>
      </w:tr>
      <w:tr w:rsidR="004A1F86" w:rsidRPr="00AD0270" w14:paraId="394A6F5B" w14:textId="77777777" w:rsidTr="00624EBB">
        <w:trPr>
          <w:trHeight w:val="184"/>
        </w:trPr>
        <w:tc>
          <w:tcPr>
            <w:tcW w:w="1288" w:type="pct"/>
            <w:tcBorders>
              <w:top w:val="single" w:sz="4" w:space="0" w:color="000000"/>
              <w:left w:val="single" w:sz="4" w:space="0" w:color="000000"/>
              <w:bottom w:val="single" w:sz="4" w:space="0" w:color="000000"/>
              <w:right w:val="single" w:sz="4" w:space="0" w:color="000000"/>
            </w:tcBorders>
            <w:hideMark/>
          </w:tcPr>
          <w:p w14:paraId="06AEFDE3" w14:textId="77777777" w:rsidR="004A1F86" w:rsidRPr="00AD0270" w:rsidRDefault="004A1F86">
            <w:pPr>
              <w:pStyle w:val="TableParagraph"/>
              <w:spacing w:line="164" w:lineRule="exact"/>
              <w:rPr>
                <w:sz w:val="16"/>
                <w:szCs w:val="16"/>
              </w:rPr>
            </w:pPr>
            <w:r w:rsidRPr="00AD0270">
              <w:rPr>
                <w:sz w:val="16"/>
                <w:szCs w:val="16"/>
              </w:rPr>
              <w:t>Number of patients</w:t>
            </w:r>
          </w:p>
        </w:tc>
        <w:tc>
          <w:tcPr>
            <w:tcW w:w="461" w:type="pct"/>
            <w:tcBorders>
              <w:top w:val="single" w:sz="4" w:space="0" w:color="000000"/>
              <w:left w:val="single" w:sz="4" w:space="0" w:color="000000"/>
              <w:bottom w:val="single" w:sz="4" w:space="0" w:color="000000"/>
              <w:right w:val="single" w:sz="4" w:space="0" w:color="000000"/>
            </w:tcBorders>
            <w:hideMark/>
          </w:tcPr>
          <w:p w14:paraId="024E99D4" w14:textId="77777777" w:rsidR="004A1F86" w:rsidRPr="00AD0270" w:rsidRDefault="004A1F86">
            <w:pPr>
              <w:pStyle w:val="TableParagraph"/>
              <w:spacing w:line="164" w:lineRule="exact"/>
              <w:rPr>
                <w:sz w:val="16"/>
                <w:szCs w:val="16"/>
              </w:rPr>
            </w:pPr>
            <w:r w:rsidRPr="00AD0270">
              <w:rPr>
                <w:sz w:val="16"/>
                <w:szCs w:val="16"/>
              </w:rPr>
              <w:t>n = 61</w:t>
            </w:r>
          </w:p>
        </w:tc>
        <w:tc>
          <w:tcPr>
            <w:tcW w:w="525" w:type="pct"/>
            <w:tcBorders>
              <w:top w:val="single" w:sz="4" w:space="0" w:color="000000"/>
              <w:left w:val="single" w:sz="4" w:space="0" w:color="000000"/>
              <w:bottom w:val="single" w:sz="4" w:space="0" w:color="000000"/>
              <w:right w:val="single" w:sz="4" w:space="0" w:color="000000"/>
            </w:tcBorders>
            <w:hideMark/>
          </w:tcPr>
          <w:p w14:paraId="1C6FFB83" w14:textId="77777777" w:rsidR="004A1F86" w:rsidRPr="00AD0270" w:rsidRDefault="004A1F86">
            <w:pPr>
              <w:pStyle w:val="TableParagraph"/>
              <w:spacing w:line="164" w:lineRule="exact"/>
              <w:ind w:left="104"/>
              <w:rPr>
                <w:sz w:val="16"/>
                <w:szCs w:val="16"/>
              </w:rPr>
            </w:pPr>
            <w:r w:rsidRPr="00AD0270">
              <w:rPr>
                <w:sz w:val="16"/>
                <w:szCs w:val="16"/>
              </w:rPr>
              <w:t>n = 134</w:t>
            </w:r>
          </w:p>
        </w:tc>
        <w:tc>
          <w:tcPr>
            <w:tcW w:w="530" w:type="pct"/>
            <w:tcBorders>
              <w:top w:val="single" w:sz="4" w:space="0" w:color="000000"/>
              <w:left w:val="single" w:sz="4" w:space="0" w:color="000000"/>
              <w:bottom w:val="single" w:sz="4" w:space="0" w:color="000000"/>
              <w:right w:val="single" w:sz="4" w:space="0" w:color="000000"/>
            </w:tcBorders>
            <w:hideMark/>
          </w:tcPr>
          <w:p w14:paraId="0F108B7D" w14:textId="77777777" w:rsidR="004A1F86" w:rsidRPr="00AD0270" w:rsidRDefault="004A1F86">
            <w:pPr>
              <w:pStyle w:val="TableParagraph"/>
              <w:spacing w:line="164" w:lineRule="exact"/>
              <w:ind w:left="106"/>
              <w:rPr>
                <w:sz w:val="16"/>
                <w:szCs w:val="16"/>
              </w:rPr>
            </w:pPr>
            <w:r w:rsidRPr="00AD0270">
              <w:rPr>
                <w:sz w:val="16"/>
                <w:szCs w:val="16"/>
              </w:rPr>
              <w:t>n = 136</w:t>
            </w:r>
          </w:p>
        </w:tc>
        <w:tc>
          <w:tcPr>
            <w:tcW w:w="758" w:type="pct"/>
            <w:tcBorders>
              <w:top w:val="single" w:sz="4" w:space="0" w:color="000000"/>
              <w:left w:val="single" w:sz="4" w:space="0" w:color="000000"/>
              <w:bottom w:val="single" w:sz="4" w:space="0" w:color="000000"/>
              <w:right w:val="single" w:sz="4" w:space="0" w:color="000000"/>
            </w:tcBorders>
            <w:hideMark/>
          </w:tcPr>
          <w:p w14:paraId="08C3FC0D" w14:textId="77777777" w:rsidR="004A1F86" w:rsidRPr="00AD0270" w:rsidRDefault="004A1F86">
            <w:pPr>
              <w:pStyle w:val="TableParagraph"/>
              <w:spacing w:line="164" w:lineRule="exact"/>
              <w:ind w:left="105"/>
              <w:rPr>
                <w:sz w:val="16"/>
                <w:szCs w:val="16"/>
              </w:rPr>
            </w:pPr>
            <w:r w:rsidRPr="00AD0270">
              <w:rPr>
                <w:sz w:val="16"/>
                <w:szCs w:val="16"/>
              </w:rPr>
              <w:t>n = 135</w:t>
            </w:r>
          </w:p>
        </w:tc>
        <w:tc>
          <w:tcPr>
            <w:tcW w:w="531" w:type="pct"/>
            <w:tcBorders>
              <w:top w:val="single" w:sz="4" w:space="0" w:color="000000"/>
              <w:left w:val="single" w:sz="4" w:space="0" w:color="000000"/>
              <w:bottom w:val="single" w:sz="4" w:space="0" w:color="000000"/>
              <w:right w:val="single" w:sz="4" w:space="0" w:color="000000"/>
            </w:tcBorders>
            <w:hideMark/>
          </w:tcPr>
          <w:p w14:paraId="61A936B1" w14:textId="77777777" w:rsidR="004A1F86" w:rsidRPr="00AD0270" w:rsidRDefault="004A1F86">
            <w:pPr>
              <w:pStyle w:val="TableParagraph"/>
              <w:spacing w:line="164" w:lineRule="exact"/>
              <w:ind w:left="105"/>
              <w:rPr>
                <w:sz w:val="16"/>
                <w:szCs w:val="16"/>
              </w:rPr>
            </w:pPr>
            <w:r w:rsidRPr="00AD0270">
              <w:rPr>
                <w:sz w:val="16"/>
                <w:szCs w:val="16"/>
              </w:rPr>
              <w:t>n = 132</w:t>
            </w:r>
          </w:p>
        </w:tc>
        <w:tc>
          <w:tcPr>
            <w:tcW w:w="908" w:type="pct"/>
            <w:tcBorders>
              <w:top w:val="single" w:sz="4" w:space="0" w:color="000000"/>
              <w:left w:val="single" w:sz="4" w:space="0" w:color="000000"/>
              <w:bottom w:val="single" w:sz="4" w:space="0" w:color="000000"/>
              <w:right w:val="single" w:sz="4" w:space="0" w:color="000000"/>
            </w:tcBorders>
            <w:hideMark/>
          </w:tcPr>
          <w:p w14:paraId="33A41871" w14:textId="77777777" w:rsidR="004A1F86" w:rsidRPr="00AD0270" w:rsidRDefault="004A1F86">
            <w:pPr>
              <w:pStyle w:val="TableParagraph"/>
              <w:spacing w:line="164" w:lineRule="exact"/>
              <w:ind w:left="102"/>
              <w:rPr>
                <w:sz w:val="16"/>
                <w:szCs w:val="16"/>
              </w:rPr>
            </w:pPr>
            <w:r w:rsidRPr="00AD0270">
              <w:rPr>
                <w:sz w:val="16"/>
                <w:szCs w:val="16"/>
              </w:rPr>
              <w:t>n = 136</w:t>
            </w:r>
          </w:p>
        </w:tc>
      </w:tr>
      <w:tr w:rsidR="004A1F86" w:rsidRPr="00AD0270" w14:paraId="41666A1B" w14:textId="77777777" w:rsidTr="00624EBB">
        <w:trPr>
          <w:trHeight w:val="184"/>
        </w:trPr>
        <w:tc>
          <w:tcPr>
            <w:tcW w:w="1288" w:type="pct"/>
            <w:tcBorders>
              <w:top w:val="single" w:sz="4" w:space="0" w:color="000000"/>
              <w:left w:val="single" w:sz="4" w:space="0" w:color="000000"/>
              <w:bottom w:val="single" w:sz="4" w:space="0" w:color="000000"/>
              <w:right w:val="single" w:sz="4" w:space="0" w:color="000000"/>
            </w:tcBorders>
            <w:hideMark/>
          </w:tcPr>
          <w:p w14:paraId="779EDAC2" w14:textId="77777777" w:rsidR="004A1F86" w:rsidRPr="00AD0270" w:rsidRDefault="004A1F86">
            <w:pPr>
              <w:pStyle w:val="TableParagraph"/>
              <w:spacing w:line="164" w:lineRule="exact"/>
              <w:rPr>
                <w:sz w:val="16"/>
                <w:szCs w:val="16"/>
              </w:rPr>
            </w:pPr>
            <w:r w:rsidRPr="00AD0270">
              <w:rPr>
                <w:sz w:val="16"/>
                <w:szCs w:val="16"/>
              </w:rPr>
              <w:t>Baseline (mean)</w:t>
            </w:r>
          </w:p>
        </w:tc>
        <w:tc>
          <w:tcPr>
            <w:tcW w:w="461" w:type="pct"/>
            <w:tcBorders>
              <w:top w:val="single" w:sz="4" w:space="0" w:color="000000"/>
              <w:left w:val="single" w:sz="4" w:space="0" w:color="000000"/>
              <w:bottom w:val="single" w:sz="4" w:space="0" w:color="000000"/>
              <w:right w:val="single" w:sz="4" w:space="0" w:color="000000"/>
            </w:tcBorders>
            <w:hideMark/>
          </w:tcPr>
          <w:p w14:paraId="243B497A" w14:textId="77777777" w:rsidR="004A1F86" w:rsidRPr="00AD0270" w:rsidRDefault="004A1F86">
            <w:pPr>
              <w:pStyle w:val="TableParagraph"/>
              <w:spacing w:line="164" w:lineRule="exact"/>
              <w:rPr>
                <w:sz w:val="16"/>
                <w:szCs w:val="16"/>
              </w:rPr>
            </w:pPr>
            <w:r w:rsidRPr="00AD0270">
              <w:rPr>
                <w:sz w:val="16"/>
                <w:szCs w:val="16"/>
              </w:rPr>
              <w:t>203</w:t>
            </w:r>
          </w:p>
        </w:tc>
        <w:tc>
          <w:tcPr>
            <w:tcW w:w="525" w:type="pct"/>
            <w:tcBorders>
              <w:top w:val="single" w:sz="4" w:space="0" w:color="000000"/>
              <w:left w:val="single" w:sz="4" w:space="0" w:color="000000"/>
              <w:bottom w:val="single" w:sz="4" w:space="0" w:color="000000"/>
              <w:right w:val="single" w:sz="4" w:space="0" w:color="000000"/>
            </w:tcBorders>
            <w:hideMark/>
          </w:tcPr>
          <w:p w14:paraId="117E90AF" w14:textId="77777777" w:rsidR="004A1F86" w:rsidRPr="00AD0270" w:rsidRDefault="004A1F86">
            <w:pPr>
              <w:pStyle w:val="TableParagraph"/>
              <w:spacing w:line="164" w:lineRule="exact"/>
              <w:ind w:left="104"/>
              <w:rPr>
                <w:sz w:val="16"/>
                <w:szCs w:val="16"/>
              </w:rPr>
            </w:pPr>
            <w:r w:rsidRPr="00AD0270">
              <w:rPr>
                <w:sz w:val="16"/>
                <w:szCs w:val="16"/>
              </w:rPr>
              <w:t>195</w:t>
            </w:r>
          </w:p>
        </w:tc>
        <w:tc>
          <w:tcPr>
            <w:tcW w:w="530" w:type="pct"/>
            <w:tcBorders>
              <w:top w:val="single" w:sz="4" w:space="0" w:color="000000"/>
              <w:left w:val="single" w:sz="4" w:space="0" w:color="000000"/>
              <w:bottom w:val="single" w:sz="4" w:space="0" w:color="000000"/>
              <w:right w:val="single" w:sz="4" w:space="0" w:color="000000"/>
            </w:tcBorders>
            <w:hideMark/>
          </w:tcPr>
          <w:p w14:paraId="3F81485D" w14:textId="77777777" w:rsidR="004A1F86" w:rsidRPr="00AD0270" w:rsidRDefault="004A1F86">
            <w:pPr>
              <w:pStyle w:val="TableParagraph"/>
              <w:spacing w:line="164" w:lineRule="exact"/>
              <w:ind w:left="106"/>
              <w:rPr>
                <w:sz w:val="16"/>
                <w:szCs w:val="16"/>
              </w:rPr>
            </w:pPr>
            <w:r w:rsidRPr="00AD0270">
              <w:rPr>
                <w:sz w:val="16"/>
                <w:szCs w:val="16"/>
              </w:rPr>
              <w:t>191</w:t>
            </w:r>
          </w:p>
        </w:tc>
        <w:tc>
          <w:tcPr>
            <w:tcW w:w="758" w:type="pct"/>
            <w:tcBorders>
              <w:top w:val="single" w:sz="4" w:space="0" w:color="000000"/>
              <w:left w:val="single" w:sz="4" w:space="0" w:color="000000"/>
              <w:bottom w:val="single" w:sz="4" w:space="0" w:color="000000"/>
              <w:right w:val="single" w:sz="4" w:space="0" w:color="000000"/>
            </w:tcBorders>
            <w:hideMark/>
          </w:tcPr>
          <w:p w14:paraId="5DC1F9DD" w14:textId="77777777" w:rsidR="004A1F86" w:rsidRPr="00AD0270" w:rsidRDefault="004A1F86">
            <w:pPr>
              <w:pStyle w:val="TableParagraph"/>
              <w:spacing w:line="164" w:lineRule="exact"/>
              <w:ind w:left="105"/>
              <w:rPr>
                <w:sz w:val="16"/>
                <w:szCs w:val="16"/>
              </w:rPr>
            </w:pPr>
            <w:r w:rsidRPr="00AD0270">
              <w:rPr>
                <w:sz w:val="16"/>
                <w:szCs w:val="16"/>
              </w:rPr>
              <w:t>199</w:t>
            </w:r>
          </w:p>
        </w:tc>
        <w:tc>
          <w:tcPr>
            <w:tcW w:w="531" w:type="pct"/>
            <w:tcBorders>
              <w:top w:val="single" w:sz="4" w:space="0" w:color="000000"/>
              <w:left w:val="single" w:sz="4" w:space="0" w:color="000000"/>
              <w:bottom w:val="single" w:sz="4" w:space="0" w:color="000000"/>
              <w:right w:val="single" w:sz="4" w:space="0" w:color="000000"/>
            </w:tcBorders>
            <w:hideMark/>
          </w:tcPr>
          <w:p w14:paraId="759B8A91" w14:textId="77777777" w:rsidR="004A1F86" w:rsidRPr="00AD0270" w:rsidRDefault="004A1F86">
            <w:pPr>
              <w:pStyle w:val="TableParagraph"/>
              <w:spacing w:line="164" w:lineRule="exact"/>
              <w:ind w:left="105"/>
              <w:rPr>
                <w:sz w:val="16"/>
                <w:szCs w:val="16"/>
              </w:rPr>
            </w:pPr>
            <w:r w:rsidRPr="00AD0270">
              <w:rPr>
                <w:sz w:val="16"/>
                <w:szCs w:val="16"/>
              </w:rPr>
              <w:t>191</w:t>
            </w:r>
          </w:p>
        </w:tc>
        <w:tc>
          <w:tcPr>
            <w:tcW w:w="908" w:type="pct"/>
            <w:tcBorders>
              <w:top w:val="single" w:sz="4" w:space="0" w:color="000000"/>
              <w:left w:val="single" w:sz="4" w:space="0" w:color="000000"/>
              <w:bottom w:val="single" w:sz="4" w:space="0" w:color="000000"/>
              <w:right w:val="single" w:sz="4" w:space="0" w:color="000000"/>
            </w:tcBorders>
            <w:hideMark/>
          </w:tcPr>
          <w:p w14:paraId="6B1FE378" w14:textId="77777777" w:rsidR="004A1F86" w:rsidRPr="00AD0270" w:rsidRDefault="004A1F86">
            <w:pPr>
              <w:pStyle w:val="TableParagraph"/>
              <w:spacing w:line="164" w:lineRule="exact"/>
              <w:ind w:left="102"/>
              <w:rPr>
                <w:sz w:val="16"/>
                <w:szCs w:val="16"/>
              </w:rPr>
            </w:pPr>
            <w:r w:rsidRPr="00AD0270">
              <w:rPr>
                <w:sz w:val="16"/>
                <w:szCs w:val="16"/>
              </w:rPr>
              <w:t>196</w:t>
            </w:r>
          </w:p>
        </w:tc>
      </w:tr>
      <w:tr w:rsidR="004A1F86" w:rsidRPr="00AD0270" w14:paraId="64D97A9D" w14:textId="77777777" w:rsidTr="00624EBB">
        <w:trPr>
          <w:trHeight w:val="366"/>
        </w:trPr>
        <w:tc>
          <w:tcPr>
            <w:tcW w:w="1288" w:type="pct"/>
            <w:tcBorders>
              <w:top w:val="single" w:sz="4" w:space="0" w:color="000000"/>
              <w:left w:val="single" w:sz="4" w:space="0" w:color="000000"/>
              <w:bottom w:val="single" w:sz="4" w:space="0" w:color="000000"/>
              <w:right w:val="single" w:sz="4" w:space="0" w:color="000000"/>
            </w:tcBorders>
            <w:hideMark/>
          </w:tcPr>
          <w:p w14:paraId="11015CDC" w14:textId="77777777" w:rsidR="004A1F86" w:rsidRPr="00AD0270" w:rsidRDefault="004A1F86">
            <w:pPr>
              <w:pStyle w:val="TableParagraph"/>
              <w:spacing w:line="182" w:lineRule="exact"/>
              <w:ind w:right="242"/>
              <w:rPr>
                <w:sz w:val="16"/>
                <w:szCs w:val="16"/>
              </w:rPr>
            </w:pPr>
            <w:r w:rsidRPr="00AD0270">
              <w:rPr>
                <w:sz w:val="16"/>
                <w:szCs w:val="16"/>
              </w:rPr>
              <w:t>Change from baseline (adjusted mean)</w:t>
            </w:r>
          </w:p>
        </w:tc>
        <w:tc>
          <w:tcPr>
            <w:tcW w:w="461" w:type="pct"/>
            <w:tcBorders>
              <w:top w:val="single" w:sz="4" w:space="0" w:color="000000"/>
              <w:left w:val="single" w:sz="4" w:space="0" w:color="000000"/>
              <w:bottom w:val="single" w:sz="4" w:space="0" w:color="000000"/>
              <w:right w:val="single" w:sz="4" w:space="0" w:color="000000"/>
            </w:tcBorders>
            <w:hideMark/>
          </w:tcPr>
          <w:p w14:paraId="7C542F99" w14:textId="77777777" w:rsidR="004A1F86" w:rsidRPr="00AD0270" w:rsidRDefault="004A1F86">
            <w:pPr>
              <w:pStyle w:val="TableParagraph"/>
              <w:spacing w:before="88"/>
              <w:rPr>
                <w:sz w:val="16"/>
                <w:szCs w:val="16"/>
              </w:rPr>
            </w:pPr>
            <w:r w:rsidRPr="00AD0270">
              <w:rPr>
                <w:sz w:val="16"/>
                <w:szCs w:val="16"/>
              </w:rPr>
              <w:t>10</w:t>
            </w:r>
          </w:p>
        </w:tc>
        <w:tc>
          <w:tcPr>
            <w:tcW w:w="525" w:type="pct"/>
            <w:tcBorders>
              <w:top w:val="single" w:sz="4" w:space="0" w:color="000000"/>
              <w:left w:val="single" w:sz="4" w:space="0" w:color="000000"/>
              <w:bottom w:val="single" w:sz="4" w:space="0" w:color="000000"/>
              <w:right w:val="single" w:sz="4" w:space="0" w:color="000000"/>
            </w:tcBorders>
            <w:hideMark/>
          </w:tcPr>
          <w:p w14:paraId="44B2EBF4" w14:textId="77777777" w:rsidR="004A1F86" w:rsidRPr="00AD0270" w:rsidRDefault="004A1F86">
            <w:pPr>
              <w:pStyle w:val="TableParagraph"/>
              <w:spacing w:before="88"/>
              <w:ind w:left="104"/>
              <w:rPr>
                <w:sz w:val="16"/>
                <w:szCs w:val="16"/>
              </w:rPr>
            </w:pPr>
            <w:r w:rsidRPr="00AD0270">
              <w:rPr>
                <w:sz w:val="16"/>
                <w:szCs w:val="16"/>
              </w:rPr>
              <w:t>-9</w:t>
            </w:r>
          </w:p>
        </w:tc>
        <w:tc>
          <w:tcPr>
            <w:tcW w:w="530" w:type="pct"/>
            <w:tcBorders>
              <w:top w:val="single" w:sz="4" w:space="0" w:color="000000"/>
              <w:left w:val="single" w:sz="4" w:space="0" w:color="000000"/>
              <w:bottom w:val="single" w:sz="4" w:space="0" w:color="000000"/>
              <w:right w:val="single" w:sz="4" w:space="0" w:color="000000"/>
            </w:tcBorders>
            <w:hideMark/>
          </w:tcPr>
          <w:p w14:paraId="1F12D4B9" w14:textId="77777777" w:rsidR="004A1F86" w:rsidRPr="00AD0270" w:rsidRDefault="004A1F86">
            <w:pPr>
              <w:pStyle w:val="TableParagraph"/>
              <w:spacing w:before="88"/>
              <w:ind w:left="106"/>
              <w:rPr>
                <w:sz w:val="16"/>
                <w:szCs w:val="16"/>
              </w:rPr>
            </w:pPr>
            <w:r w:rsidRPr="00AD0270">
              <w:rPr>
                <w:sz w:val="16"/>
                <w:szCs w:val="16"/>
              </w:rPr>
              <w:t>-16</w:t>
            </w:r>
          </w:p>
        </w:tc>
        <w:tc>
          <w:tcPr>
            <w:tcW w:w="758" w:type="pct"/>
            <w:tcBorders>
              <w:top w:val="single" w:sz="4" w:space="0" w:color="000000"/>
              <w:left w:val="single" w:sz="4" w:space="0" w:color="000000"/>
              <w:bottom w:val="single" w:sz="4" w:space="0" w:color="000000"/>
              <w:right w:val="single" w:sz="4" w:space="0" w:color="000000"/>
            </w:tcBorders>
            <w:hideMark/>
          </w:tcPr>
          <w:p w14:paraId="307771F5" w14:textId="77777777" w:rsidR="004A1F86" w:rsidRPr="00AD0270" w:rsidRDefault="004A1F86">
            <w:pPr>
              <w:pStyle w:val="TableParagraph"/>
              <w:spacing w:before="88"/>
              <w:ind w:left="105"/>
              <w:rPr>
                <w:sz w:val="16"/>
                <w:szCs w:val="16"/>
              </w:rPr>
            </w:pPr>
            <w:r w:rsidRPr="00AD0270">
              <w:rPr>
                <w:sz w:val="16"/>
                <w:szCs w:val="16"/>
              </w:rPr>
              <w:t>-33</w:t>
            </w:r>
          </w:p>
        </w:tc>
        <w:tc>
          <w:tcPr>
            <w:tcW w:w="531" w:type="pct"/>
            <w:tcBorders>
              <w:top w:val="single" w:sz="4" w:space="0" w:color="000000"/>
              <w:left w:val="single" w:sz="4" w:space="0" w:color="000000"/>
              <w:bottom w:val="single" w:sz="4" w:space="0" w:color="000000"/>
              <w:right w:val="single" w:sz="4" w:space="0" w:color="000000"/>
            </w:tcBorders>
            <w:hideMark/>
          </w:tcPr>
          <w:p w14:paraId="715B990B" w14:textId="77777777" w:rsidR="004A1F86" w:rsidRPr="00AD0270" w:rsidRDefault="004A1F86">
            <w:pPr>
              <w:pStyle w:val="TableParagraph"/>
              <w:spacing w:before="88"/>
              <w:ind w:left="105"/>
              <w:rPr>
                <w:sz w:val="16"/>
                <w:szCs w:val="16"/>
              </w:rPr>
            </w:pPr>
            <w:r w:rsidRPr="00AD0270">
              <w:rPr>
                <w:sz w:val="16"/>
                <w:szCs w:val="16"/>
              </w:rPr>
              <w:t>-32</w:t>
            </w:r>
          </w:p>
        </w:tc>
        <w:tc>
          <w:tcPr>
            <w:tcW w:w="908" w:type="pct"/>
            <w:tcBorders>
              <w:top w:val="single" w:sz="4" w:space="0" w:color="000000"/>
              <w:left w:val="single" w:sz="4" w:space="0" w:color="000000"/>
              <w:bottom w:val="single" w:sz="4" w:space="0" w:color="000000"/>
              <w:right w:val="single" w:sz="4" w:space="0" w:color="000000"/>
            </w:tcBorders>
            <w:hideMark/>
          </w:tcPr>
          <w:p w14:paraId="620B416A" w14:textId="77777777" w:rsidR="004A1F86" w:rsidRPr="00AD0270" w:rsidRDefault="004A1F86">
            <w:pPr>
              <w:pStyle w:val="TableParagraph"/>
              <w:spacing w:before="88"/>
              <w:ind w:left="102"/>
              <w:rPr>
                <w:sz w:val="16"/>
                <w:szCs w:val="16"/>
              </w:rPr>
            </w:pPr>
            <w:r w:rsidRPr="00AD0270">
              <w:rPr>
                <w:sz w:val="16"/>
                <w:szCs w:val="16"/>
              </w:rPr>
              <w:t>-49</w:t>
            </w:r>
          </w:p>
        </w:tc>
      </w:tr>
      <w:tr w:rsidR="004A1F86" w:rsidRPr="00AD0270" w14:paraId="36542C37" w14:textId="77777777" w:rsidTr="00624EBB">
        <w:trPr>
          <w:trHeight w:val="369"/>
        </w:trPr>
        <w:tc>
          <w:tcPr>
            <w:tcW w:w="1288" w:type="pct"/>
            <w:tcBorders>
              <w:top w:val="single" w:sz="4" w:space="0" w:color="000000"/>
              <w:left w:val="single" w:sz="4" w:space="0" w:color="000000"/>
              <w:bottom w:val="single" w:sz="4" w:space="0" w:color="000000"/>
              <w:right w:val="single" w:sz="4" w:space="0" w:color="000000"/>
            </w:tcBorders>
            <w:hideMark/>
          </w:tcPr>
          <w:p w14:paraId="0641C396" w14:textId="77777777" w:rsidR="004A1F86" w:rsidRPr="00AD0270" w:rsidRDefault="004A1F86">
            <w:pPr>
              <w:pStyle w:val="TableParagraph"/>
              <w:spacing w:line="181" w:lineRule="exact"/>
              <w:rPr>
                <w:sz w:val="16"/>
                <w:szCs w:val="16"/>
              </w:rPr>
            </w:pPr>
            <w:r w:rsidRPr="00AD0270">
              <w:rPr>
                <w:sz w:val="16"/>
                <w:szCs w:val="16"/>
              </w:rPr>
              <w:lastRenderedPageBreak/>
              <w:t>Difference from placebo</w:t>
            </w:r>
          </w:p>
          <w:p w14:paraId="23F91036" w14:textId="77777777" w:rsidR="004A1F86" w:rsidRPr="00AD0270" w:rsidRDefault="004A1F86">
            <w:pPr>
              <w:pStyle w:val="TableParagraph"/>
              <w:spacing w:before="1" w:line="168" w:lineRule="exact"/>
              <w:rPr>
                <w:sz w:val="16"/>
                <w:szCs w:val="16"/>
              </w:rPr>
            </w:pPr>
            <w:r w:rsidRPr="00AD0270">
              <w:rPr>
                <w:sz w:val="16"/>
                <w:szCs w:val="16"/>
              </w:rPr>
              <w:t>(adjusted mean) (95% CI)</w:t>
            </w:r>
          </w:p>
        </w:tc>
        <w:tc>
          <w:tcPr>
            <w:tcW w:w="461" w:type="pct"/>
            <w:tcBorders>
              <w:top w:val="single" w:sz="4" w:space="0" w:color="000000"/>
              <w:left w:val="single" w:sz="4" w:space="0" w:color="000000"/>
              <w:bottom w:val="single" w:sz="4" w:space="0" w:color="000000"/>
              <w:right w:val="single" w:sz="4" w:space="0" w:color="000000"/>
            </w:tcBorders>
            <w:hideMark/>
          </w:tcPr>
          <w:p w14:paraId="24EF9C5E" w14:textId="77777777" w:rsidR="004A1F86" w:rsidRPr="00AD0270" w:rsidRDefault="004A1F86">
            <w:pPr>
              <w:pStyle w:val="TableParagraph"/>
              <w:spacing w:line="181" w:lineRule="exact"/>
              <w:rPr>
                <w:sz w:val="16"/>
                <w:szCs w:val="16"/>
              </w:rPr>
            </w:pPr>
            <w:r w:rsidRPr="00AD0270">
              <w:rPr>
                <w:sz w:val="16"/>
                <w:szCs w:val="16"/>
              </w:rPr>
              <w:t>--</w:t>
            </w:r>
          </w:p>
        </w:tc>
        <w:tc>
          <w:tcPr>
            <w:tcW w:w="525" w:type="pct"/>
            <w:tcBorders>
              <w:top w:val="single" w:sz="4" w:space="0" w:color="000000"/>
              <w:left w:val="single" w:sz="4" w:space="0" w:color="000000"/>
              <w:bottom w:val="single" w:sz="4" w:space="0" w:color="000000"/>
              <w:right w:val="single" w:sz="4" w:space="0" w:color="000000"/>
            </w:tcBorders>
            <w:hideMark/>
          </w:tcPr>
          <w:p w14:paraId="174E9732" w14:textId="77777777" w:rsidR="004A1F86" w:rsidRPr="00AD0270" w:rsidRDefault="004A1F86">
            <w:pPr>
              <w:pStyle w:val="TableParagraph"/>
              <w:spacing w:line="181" w:lineRule="exact"/>
              <w:ind w:left="104"/>
              <w:rPr>
                <w:sz w:val="16"/>
                <w:szCs w:val="16"/>
              </w:rPr>
            </w:pPr>
            <w:r w:rsidRPr="00AD0270">
              <w:rPr>
                <w:sz w:val="16"/>
                <w:szCs w:val="16"/>
              </w:rPr>
              <w:t>-19</w:t>
            </w:r>
          </w:p>
          <w:p w14:paraId="3D0B12DC" w14:textId="77777777" w:rsidR="004A1F86" w:rsidRPr="00AD0270" w:rsidRDefault="004A1F86">
            <w:pPr>
              <w:pStyle w:val="TableParagraph"/>
              <w:spacing w:before="1" w:line="168" w:lineRule="exact"/>
              <w:ind w:left="104"/>
              <w:rPr>
                <w:sz w:val="16"/>
                <w:szCs w:val="16"/>
              </w:rPr>
            </w:pPr>
            <w:r w:rsidRPr="00AD0270">
              <w:rPr>
                <w:sz w:val="16"/>
                <w:szCs w:val="16"/>
              </w:rPr>
              <w:t>(-31, -6)</w:t>
            </w:r>
          </w:p>
        </w:tc>
        <w:tc>
          <w:tcPr>
            <w:tcW w:w="530" w:type="pct"/>
            <w:tcBorders>
              <w:top w:val="single" w:sz="4" w:space="0" w:color="000000"/>
              <w:left w:val="single" w:sz="4" w:space="0" w:color="000000"/>
              <w:bottom w:val="single" w:sz="4" w:space="0" w:color="000000"/>
              <w:right w:val="single" w:sz="4" w:space="0" w:color="000000"/>
            </w:tcBorders>
            <w:hideMark/>
          </w:tcPr>
          <w:p w14:paraId="6CDF5683" w14:textId="77777777" w:rsidR="004A1F86" w:rsidRPr="00AD0270" w:rsidRDefault="004A1F86">
            <w:pPr>
              <w:pStyle w:val="TableParagraph"/>
              <w:spacing w:line="181" w:lineRule="exact"/>
              <w:ind w:left="106"/>
              <w:rPr>
                <w:sz w:val="16"/>
                <w:szCs w:val="16"/>
              </w:rPr>
            </w:pPr>
            <w:r w:rsidRPr="00AD0270">
              <w:rPr>
                <w:sz w:val="16"/>
                <w:szCs w:val="16"/>
              </w:rPr>
              <w:t>-26</w:t>
            </w:r>
          </w:p>
          <w:p w14:paraId="4F06E290" w14:textId="77777777" w:rsidR="004A1F86" w:rsidRPr="00AD0270" w:rsidRDefault="004A1F86">
            <w:pPr>
              <w:pStyle w:val="TableParagraph"/>
              <w:spacing w:before="1" w:line="168" w:lineRule="exact"/>
              <w:ind w:left="106"/>
              <w:rPr>
                <w:sz w:val="16"/>
                <w:szCs w:val="16"/>
              </w:rPr>
            </w:pPr>
            <w:r w:rsidRPr="00AD0270">
              <w:rPr>
                <w:sz w:val="16"/>
                <w:szCs w:val="16"/>
              </w:rPr>
              <w:t>(-38, -14)</w:t>
            </w:r>
          </w:p>
        </w:tc>
        <w:tc>
          <w:tcPr>
            <w:tcW w:w="758" w:type="pct"/>
            <w:tcBorders>
              <w:top w:val="single" w:sz="4" w:space="0" w:color="000000"/>
              <w:left w:val="single" w:sz="4" w:space="0" w:color="000000"/>
              <w:bottom w:val="single" w:sz="4" w:space="0" w:color="000000"/>
              <w:right w:val="single" w:sz="4" w:space="0" w:color="000000"/>
            </w:tcBorders>
            <w:hideMark/>
          </w:tcPr>
          <w:p w14:paraId="562E9BA2" w14:textId="77777777" w:rsidR="004A1F86" w:rsidRPr="00AD0270" w:rsidRDefault="004A1F86">
            <w:pPr>
              <w:pStyle w:val="TableParagraph"/>
              <w:spacing w:line="181" w:lineRule="exact"/>
              <w:ind w:left="105"/>
              <w:rPr>
                <w:sz w:val="16"/>
                <w:szCs w:val="16"/>
              </w:rPr>
            </w:pPr>
            <w:r w:rsidRPr="00AD0270">
              <w:rPr>
                <w:sz w:val="16"/>
                <w:szCs w:val="16"/>
              </w:rPr>
              <w:t>-43</w:t>
            </w:r>
          </w:p>
          <w:p w14:paraId="55157037" w14:textId="77777777" w:rsidR="004A1F86" w:rsidRPr="00AD0270" w:rsidRDefault="004A1F86">
            <w:pPr>
              <w:pStyle w:val="TableParagraph"/>
              <w:spacing w:before="1" w:line="168" w:lineRule="exact"/>
              <w:ind w:left="105"/>
              <w:rPr>
                <w:sz w:val="16"/>
                <w:szCs w:val="16"/>
              </w:rPr>
            </w:pPr>
            <w:r w:rsidRPr="00AD0270">
              <w:rPr>
                <w:sz w:val="16"/>
                <w:szCs w:val="16"/>
              </w:rPr>
              <w:t>(-56, -31)</w:t>
            </w:r>
          </w:p>
        </w:tc>
        <w:tc>
          <w:tcPr>
            <w:tcW w:w="531" w:type="pct"/>
            <w:tcBorders>
              <w:top w:val="single" w:sz="4" w:space="0" w:color="000000"/>
              <w:left w:val="single" w:sz="4" w:space="0" w:color="000000"/>
              <w:bottom w:val="single" w:sz="4" w:space="0" w:color="000000"/>
              <w:right w:val="single" w:sz="4" w:space="0" w:color="000000"/>
            </w:tcBorders>
            <w:hideMark/>
          </w:tcPr>
          <w:p w14:paraId="327ECA12" w14:textId="77777777" w:rsidR="004A1F86" w:rsidRPr="00AD0270" w:rsidRDefault="004A1F86">
            <w:pPr>
              <w:pStyle w:val="TableParagraph"/>
              <w:spacing w:line="181" w:lineRule="exact"/>
              <w:ind w:left="105"/>
              <w:rPr>
                <w:sz w:val="16"/>
                <w:szCs w:val="16"/>
              </w:rPr>
            </w:pPr>
            <w:r w:rsidRPr="00AD0270">
              <w:rPr>
                <w:sz w:val="16"/>
                <w:szCs w:val="16"/>
              </w:rPr>
              <w:t>-42</w:t>
            </w:r>
          </w:p>
          <w:p w14:paraId="451AD115" w14:textId="77777777" w:rsidR="004A1F86" w:rsidRPr="00AD0270" w:rsidRDefault="004A1F86">
            <w:pPr>
              <w:pStyle w:val="TableParagraph"/>
              <w:spacing w:before="1" w:line="168" w:lineRule="exact"/>
              <w:ind w:left="105"/>
              <w:rPr>
                <w:sz w:val="16"/>
                <w:szCs w:val="16"/>
              </w:rPr>
            </w:pPr>
            <w:r w:rsidRPr="00AD0270">
              <w:rPr>
                <w:sz w:val="16"/>
                <w:szCs w:val="16"/>
              </w:rPr>
              <w:t>(-55, -30)</w:t>
            </w:r>
          </w:p>
        </w:tc>
        <w:tc>
          <w:tcPr>
            <w:tcW w:w="908" w:type="pct"/>
            <w:tcBorders>
              <w:top w:val="single" w:sz="4" w:space="0" w:color="000000"/>
              <w:left w:val="single" w:sz="4" w:space="0" w:color="000000"/>
              <w:bottom w:val="single" w:sz="4" w:space="0" w:color="000000"/>
              <w:right w:val="single" w:sz="4" w:space="0" w:color="000000"/>
            </w:tcBorders>
            <w:hideMark/>
          </w:tcPr>
          <w:p w14:paraId="30D3E37A" w14:textId="77777777" w:rsidR="004A1F86" w:rsidRPr="00AD0270" w:rsidRDefault="004A1F86">
            <w:pPr>
              <w:pStyle w:val="TableParagraph"/>
              <w:spacing w:line="181" w:lineRule="exact"/>
              <w:ind w:left="102"/>
              <w:rPr>
                <w:sz w:val="16"/>
                <w:szCs w:val="16"/>
              </w:rPr>
            </w:pPr>
            <w:r w:rsidRPr="00AD0270">
              <w:rPr>
                <w:sz w:val="16"/>
                <w:szCs w:val="16"/>
              </w:rPr>
              <w:t>-60</w:t>
            </w:r>
          </w:p>
          <w:p w14:paraId="4BCA98C9" w14:textId="77777777" w:rsidR="004A1F86" w:rsidRPr="00AD0270" w:rsidRDefault="004A1F86">
            <w:pPr>
              <w:pStyle w:val="TableParagraph"/>
              <w:spacing w:before="1" w:line="168" w:lineRule="exact"/>
              <w:ind w:left="102"/>
              <w:rPr>
                <w:sz w:val="16"/>
                <w:szCs w:val="16"/>
              </w:rPr>
            </w:pPr>
            <w:r w:rsidRPr="00AD0270">
              <w:rPr>
                <w:sz w:val="16"/>
                <w:szCs w:val="16"/>
              </w:rPr>
              <w:t>(-72, -47)</w:t>
            </w:r>
          </w:p>
        </w:tc>
      </w:tr>
    </w:tbl>
    <w:p w14:paraId="5631019C" w14:textId="77777777" w:rsidR="004A1F86" w:rsidRPr="00AD0270" w:rsidRDefault="004A1F86" w:rsidP="004A1F86">
      <w:pPr>
        <w:rPr>
          <w:sz w:val="20"/>
          <w:lang w:val="en-GB" w:eastAsia="en-US"/>
        </w:rPr>
      </w:pPr>
      <w:r w:rsidRPr="00AD0270">
        <w:rPr>
          <w:sz w:val="20"/>
          <w:vertAlign w:val="superscript"/>
          <w:lang w:val="en-US"/>
        </w:rPr>
        <w:t>1</w:t>
      </w:r>
      <w:r w:rsidRPr="00AD0270">
        <w:rPr>
          <w:sz w:val="20"/>
          <w:lang w:val="en-US"/>
        </w:rPr>
        <w:t>Total daily dose of linagliptin is equal to 5 mg</w:t>
      </w:r>
    </w:p>
    <w:p w14:paraId="3117B063" w14:textId="77777777" w:rsidR="004A1F86" w:rsidRPr="00C311A4" w:rsidRDefault="004A1F86" w:rsidP="004A1F86">
      <w:pPr>
        <w:rPr>
          <w:sz w:val="24"/>
          <w:szCs w:val="24"/>
          <w:lang w:val="en-US"/>
        </w:rPr>
      </w:pPr>
    </w:p>
    <w:p w14:paraId="74D6A353" w14:textId="77777777" w:rsidR="004A1F86" w:rsidRPr="00C311A4" w:rsidRDefault="004A1F86" w:rsidP="00624EBB">
      <w:pPr>
        <w:ind w:left="851"/>
        <w:rPr>
          <w:sz w:val="24"/>
          <w:szCs w:val="24"/>
          <w:lang w:val="en-US"/>
        </w:rPr>
      </w:pPr>
      <w:r w:rsidRPr="00C311A4">
        <w:rPr>
          <w:sz w:val="24"/>
          <w:szCs w:val="24"/>
          <w:lang w:val="en-US"/>
        </w:rPr>
        <w:t>Mean reductions from baseline in HbA</w:t>
      </w:r>
      <w:r w:rsidRPr="00C311A4">
        <w:rPr>
          <w:sz w:val="24"/>
          <w:szCs w:val="24"/>
          <w:vertAlign w:val="subscript"/>
          <w:lang w:val="en-US"/>
        </w:rPr>
        <w:t>1c</w:t>
      </w:r>
      <w:r w:rsidRPr="00C311A4">
        <w:rPr>
          <w:sz w:val="24"/>
          <w:szCs w:val="24"/>
          <w:lang w:val="en-US"/>
        </w:rPr>
        <w:t xml:space="preserve"> were generally greater for patients with higher baseline HbA</w:t>
      </w:r>
      <w:r w:rsidRPr="00C311A4">
        <w:rPr>
          <w:sz w:val="24"/>
          <w:szCs w:val="24"/>
          <w:vertAlign w:val="subscript"/>
          <w:lang w:val="en-US"/>
        </w:rPr>
        <w:t>1c</w:t>
      </w:r>
      <w:r w:rsidRPr="00C311A4">
        <w:rPr>
          <w:sz w:val="24"/>
          <w:szCs w:val="24"/>
          <w:lang w:val="en-US"/>
        </w:rPr>
        <w:t xml:space="preserve"> values. Effects on plasma lipids were generally neutral. The decrease in body weight with the combination of linagliptin and metformin was similar to that observed for metformin alone or placebo; there was no change in weight from baseline for patients on linagliptin alone. The incidence of </w:t>
      </w:r>
      <w:proofErr w:type="spellStart"/>
      <w:r w:rsidRPr="00C311A4">
        <w:rPr>
          <w:sz w:val="24"/>
          <w:szCs w:val="24"/>
          <w:lang w:val="en-US"/>
        </w:rPr>
        <w:t>hypoglycaemia</w:t>
      </w:r>
      <w:proofErr w:type="spellEnd"/>
      <w:r w:rsidRPr="00C311A4">
        <w:rPr>
          <w:sz w:val="24"/>
          <w:szCs w:val="24"/>
          <w:lang w:val="en-US"/>
        </w:rPr>
        <w:t xml:space="preserve"> was similar across treatment groups (placebo 1.4%, linagliptin 5 mg 0%, metformin 2.1%, and linagliptin 2.5 mg plus metformin twice daily 1.4%).</w:t>
      </w:r>
    </w:p>
    <w:p w14:paraId="69448D6D" w14:textId="77777777" w:rsidR="004A1F86" w:rsidRPr="00C311A4" w:rsidRDefault="004A1F86" w:rsidP="00624EBB">
      <w:pPr>
        <w:ind w:left="851"/>
        <w:rPr>
          <w:sz w:val="24"/>
          <w:szCs w:val="24"/>
          <w:lang w:val="en-GB"/>
        </w:rPr>
      </w:pPr>
    </w:p>
    <w:p w14:paraId="05F28C8E" w14:textId="77777777" w:rsidR="004A1F86" w:rsidRPr="00C311A4" w:rsidRDefault="004A1F86" w:rsidP="00624EBB">
      <w:pPr>
        <w:ind w:left="851"/>
        <w:rPr>
          <w:sz w:val="24"/>
          <w:szCs w:val="24"/>
          <w:lang w:val="en-US"/>
        </w:rPr>
      </w:pPr>
      <w:r w:rsidRPr="00C311A4">
        <w:rPr>
          <w:sz w:val="24"/>
          <w:szCs w:val="24"/>
          <w:lang w:val="en-US"/>
        </w:rPr>
        <w:t xml:space="preserve">The efficacy and safety of linagliptin 2.5 mg twice daily </w:t>
      </w:r>
      <w:r w:rsidRPr="00C311A4">
        <w:rPr>
          <w:i/>
          <w:sz w:val="24"/>
          <w:szCs w:val="24"/>
          <w:lang w:val="en-US"/>
        </w:rPr>
        <w:t xml:space="preserve">versus </w:t>
      </w:r>
      <w:r w:rsidRPr="00C311A4">
        <w:rPr>
          <w:sz w:val="24"/>
          <w:szCs w:val="24"/>
          <w:lang w:val="en-US"/>
        </w:rPr>
        <w:t xml:space="preserve">5 mg once daily in combination with metformin in patients with insufficient </w:t>
      </w:r>
      <w:proofErr w:type="spellStart"/>
      <w:r w:rsidRPr="00C311A4">
        <w:rPr>
          <w:sz w:val="24"/>
          <w:szCs w:val="24"/>
          <w:lang w:val="en-US"/>
        </w:rPr>
        <w:t>glycaemic</w:t>
      </w:r>
      <w:proofErr w:type="spellEnd"/>
      <w:r w:rsidRPr="00C311A4">
        <w:rPr>
          <w:sz w:val="24"/>
          <w:szCs w:val="24"/>
          <w:lang w:val="en-US"/>
        </w:rPr>
        <w:t xml:space="preserve"> control on metformin monotherapy was evaluated in a double-blind placebo-controlled study of 12 weeks duration. Linagliptin 5 mg once daily and 2.5 mg twice daily provided comparable (CI: -0.07; 0.19) significant HbA</w:t>
      </w:r>
      <w:r w:rsidRPr="00C311A4">
        <w:rPr>
          <w:sz w:val="24"/>
          <w:szCs w:val="24"/>
          <w:vertAlign w:val="subscript"/>
          <w:lang w:val="en-US"/>
        </w:rPr>
        <w:t>1c</w:t>
      </w:r>
      <w:r w:rsidRPr="00C311A4">
        <w:rPr>
          <w:sz w:val="24"/>
          <w:szCs w:val="24"/>
          <w:lang w:val="en-US"/>
        </w:rPr>
        <w:t xml:space="preserve"> reductions of -0.80% (from baseline 7.98%), and -0.74% (from baseline 7.96%) compared to placebo. The observed incidence of </w:t>
      </w:r>
      <w:proofErr w:type="spellStart"/>
      <w:r w:rsidRPr="00C311A4">
        <w:rPr>
          <w:sz w:val="24"/>
          <w:szCs w:val="24"/>
          <w:lang w:val="en-US"/>
        </w:rPr>
        <w:t>hypoglycaemia</w:t>
      </w:r>
      <w:proofErr w:type="spellEnd"/>
      <w:r w:rsidRPr="00C311A4">
        <w:rPr>
          <w:sz w:val="24"/>
          <w:szCs w:val="24"/>
          <w:lang w:val="en-US"/>
        </w:rPr>
        <w:t xml:space="preserve"> in patients treated with linagliptin was similar to placebo. Body weight did not differ significantly between the groups.</w:t>
      </w:r>
    </w:p>
    <w:p w14:paraId="4506E406" w14:textId="77777777" w:rsidR="004A1F86" w:rsidRPr="00C311A4" w:rsidRDefault="004A1F86" w:rsidP="00624EBB">
      <w:pPr>
        <w:ind w:left="851"/>
        <w:rPr>
          <w:sz w:val="24"/>
          <w:szCs w:val="24"/>
          <w:lang w:val="en-US"/>
        </w:rPr>
      </w:pPr>
    </w:p>
    <w:p w14:paraId="34669C1D" w14:textId="77777777" w:rsidR="004A1F86" w:rsidRPr="00C311A4" w:rsidRDefault="004A1F86" w:rsidP="00624EBB">
      <w:pPr>
        <w:ind w:left="851"/>
        <w:rPr>
          <w:i/>
          <w:sz w:val="24"/>
          <w:szCs w:val="24"/>
          <w:lang w:val="en-US"/>
        </w:rPr>
      </w:pPr>
      <w:r w:rsidRPr="00C311A4">
        <w:rPr>
          <w:i/>
          <w:sz w:val="24"/>
          <w:szCs w:val="24"/>
          <w:u w:val="single"/>
          <w:lang w:val="en-US"/>
        </w:rPr>
        <w:t xml:space="preserve">Linagliptin as add-on to a combination of metformin and </w:t>
      </w:r>
      <w:proofErr w:type="spellStart"/>
      <w:r w:rsidRPr="00C311A4">
        <w:rPr>
          <w:i/>
          <w:sz w:val="24"/>
          <w:szCs w:val="24"/>
          <w:u w:val="single"/>
          <w:lang w:val="en-US"/>
        </w:rPr>
        <w:t>sulphonylurea</w:t>
      </w:r>
      <w:proofErr w:type="spellEnd"/>
      <w:r w:rsidRPr="00C311A4">
        <w:rPr>
          <w:i/>
          <w:sz w:val="24"/>
          <w:szCs w:val="24"/>
          <w:u w:val="single"/>
          <w:lang w:val="en-US"/>
        </w:rPr>
        <w:t xml:space="preserve"> therapy</w:t>
      </w:r>
    </w:p>
    <w:p w14:paraId="5F7FC785" w14:textId="77777777" w:rsidR="004A1F86" w:rsidRPr="00C311A4" w:rsidRDefault="004A1F86" w:rsidP="00624EBB">
      <w:pPr>
        <w:ind w:left="851"/>
        <w:rPr>
          <w:sz w:val="24"/>
          <w:szCs w:val="24"/>
          <w:lang w:val="en-US"/>
        </w:rPr>
      </w:pPr>
      <w:r w:rsidRPr="00C311A4">
        <w:rPr>
          <w:sz w:val="24"/>
          <w:szCs w:val="24"/>
          <w:lang w:val="en-US"/>
        </w:rPr>
        <w:t xml:space="preserve">A placebo-controlled study of 24 weeks in duration was conducted to evaluate the efficacy and safety of linagliptin 5 mg to placebo, in patients not sufficiently treated with a combination with metformin and a </w:t>
      </w:r>
      <w:proofErr w:type="spellStart"/>
      <w:r w:rsidRPr="00C311A4">
        <w:rPr>
          <w:sz w:val="24"/>
          <w:szCs w:val="24"/>
          <w:lang w:val="en-US"/>
        </w:rPr>
        <w:t>sulphonylurea</w:t>
      </w:r>
      <w:proofErr w:type="spellEnd"/>
      <w:r w:rsidRPr="00C311A4">
        <w:rPr>
          <w:sz w:val="24"/>
          <w:szCs w:val="24"/>
          <w:lang w:val="en-US"/>
        </w:rPr>
        <w:t>. Linagliptin provided significant improvements in HbA</w:t>
      </w:r>
      <w:r w:rsidRPr="00C311A4">
        <w:rPr>
          <w:sz w:val="24"/>
          <w:szCs w:val="24"/>
          <w:vertAlign w:val="subscript"/>
          <w:lang w:val="en-US"/>
        </w:rPr>
        <w:t>1c</w:t>
      </w:r>
      <w:r w:rsidRPr="00C311A4">
        <w:rPr>
          <w:sz w:val="24"/>
          <w:szCs w:val="24"/>
          <w:lang w:val="en-US"/>
        </w:rPr>
        <w:t xml:space="preserve"> (-0.62% change compared to placebo), from a mean baseline HbA</w:t>
      </w:r>
      <w:r w:rsidRPr="00C311A4">
        <w:rPr>
          <w:sz w:val="24"/>
          <w:szCs w:val="24"/>
          <w:vertAlign w:val="subscript"/>
          <w:lang w:val="en-US"/>
        </w:rPr>
        <w:t>1c</w:t>
      </w:r>
      <w:r w:rsidRPr="00C311A4">
        <w:rPr>
          <w:sz w:val="24"/>
          <w:szCs w:val="24"/>
          <w:lang w:val="en-US"/>
        </w:rPr>
        <w:t xml:space="preserve"> of 8.14%. Linagliptin also showed significant improvements in patients achieving a target HbA</w:t>
      </w:r>
      <w:r w:rsidRPr="00C311A4">
        <w:rPr>
          <w:sz w:val="24"/>
          <w:szCs w:val="24"/>
          <w:vertAlign w:val="subscript"/>
          <w:lang w:val="en-US"/>
        </w:rPr>
        <w:t>1c</w:t>
      </w:r>
      <w:r w:rsidRPr="00C311A4">
        <w:rPr>
          <w:sz w:val="24"/>
          <w:szCs w:val="24"/>
          <w:lang w:val="en-US"/>
        </w:rPr>
        <w:t xml:space="preserve"> of &lt; 7.0% (31.2% on linagliptin </w:t>
      </w:r>
      <w:r w:rsidRPr="00C311A4">
        <w:rPr>
          <w:i/>
          <w:sz w:val="24"/>
          <w:szCs w:val="24"/>
          <w:lang w:val="en-US"/>
        </w:rPr>
        <w:t xml:space="preserve">versus </w:t>
      </w:r>
      <w:r w:rsidRPr="00C311A4">
        <w:rPr>
          <w:sz w:val="24"/>
          <w:szCs w:val="24"/>
          <w:lang w:val="en-US"/>
        </w:rPr>
        <w:t>9.2% on placebo), and also for fasting plasma glucose (FPG) with -12.7 mg/dl reduction compared to placebo. Body weight did not differ significantly between the groups.</w:t>
      </w:r>
    </w:p>
    <w:p w14:paraId="441621FE" w14:textId="77777777" w:rsidR="004A1F86" w:rsidRPr="00C311A4" w:rsidRDefault="004A1F86" w:rsidP="00624EBB">
      <w:pPr>
        <w:ind w:left="851"/>
        <w:rPr>
          <w:sz w:val="24"/>
          <w:szCs w:val="24"/>
          <w:lang w:val="en-US"/>
        </w:rPr>
      </w:pPr>
    </w:p>
    <w:p w14:paraId="2022DD99" w14:textId="77777777" w:rsidR="004A1F86" w:rsidRPr="00C311A4" w:rsidRDefault="004A1F86" w:rsidP="00624EBB">
      <w:pPr>
        <w:ind w:left="851"/>
        <w:rPr>
          <w:i/>
          <w:sz w:val="24"/>
          <w:szCs w:val="24"/>
          <w:lang w:val="en-US"/>
        </w:rPr>
      </w:pPr>
      <w:r w:rsidRPr="00C311A4">
        <w:rPr>
          <w:i/>
          <w:sz w:val="24"/>
          <w:szCs w:val="24"/>
          <w:u w:val="single"/>
          <w:lang w:val="en-US"/>
        </w:rPr>
        <w:t>Linagliptin as add on to a combination of metformin and empagliflozin therapy</w:t>
      </w:r>
    </w:p>
    <w:p w14:paraId="71759D90" w14:textId="49A5D2C2" w:rsidR="004A1F86" w:rsidRPr="00C311A4" w:rsidRDefault="004A1F86" w:rsidP="00624EBB">
      <w:pPr>
        <w:ind w:left="851"/>
        <w:rPr>
          <w:sz w:val="24"/>
          <w:szCs w:val="24"/>
          <w:lang w:val="en-US"/>
        </w:rPr>
      </w:pPr>
      <w:r w:rsidRPr="00C311A4">
        <w:rPr>
          <w:sz w:val="24"/>
          <w:szCs w:val="24"/>
          <w:lang w:val="en-US"/>
        </w:rPr>
        <w:t>In patients inadequately controlled with metformin and empagliflozin (10 mg (n=247) or 25 mg (n = 217)), 24-weeks treatment with add-on therapy of linagliptin 5 mg provided adjusted mean HbA</w:t>
      </w:r>
      <w:r w:rsidRPr="00C311A4">
        <w:rPr>
          <w:sz w:val="24"/>
          <w:szCs w:val="24"/>
          <w:vertAlign w:val="subscript"/>
          <w:lang w:val="en-US"/>
        </w:rPr>
        <w:t>1c</w:t>
      </w:r>
      <w:r w:rsidRPr="00C311A4">
        <w:rPr>
          <w:sz w:val="24"/>
          <w:szCs w:val="24"/>
          <w:lang w:val="en-US"/>
        </w:rPr>
        <w:t xml:space="preserve"> reductions from baseline by -0.53% (significant difference to add-on placebo -0.32% (95% CI -0.52, -0.13) and -0.58% (significant difference to add-on placebo -0.47% (95% CI -0.66; -0.28), respectively. A statistically significant greater proportion of patients with a baseline HbA</w:t>
      </w:r>
      <w:r w:rsidRPr="00C311A4">
        <w:rPr>
          <w:sz w:val="24"/>
          <w:szCs w:val="24"/>
          <w:vertAlign w:val="subscript"/>
          <w:lang w:val="en-US"/>
        </w:rPr>
        <w:t>1c</w:t>
      </w:r>
      <w:r w:rsidRPr="00C311A4">
        <w:rPr>
          <w:sz w:val="24"/>
          <w:szCs w:val="24"/>
          <w:lang w:val="en-US"/>
        </w:rPr>
        <w:t xml:space="preserve"> ≥ 7.0% and treated with linagliptin 5 mg achieved a target HbA</w:t>
      </w:r>
      <w:r w:rsidRPr="00C311A4">
        <w:rPr>
          <w:sz w:val="24"/>
          <w:szCs w:val="24"/>
          <w:vertAlign w:val="subscript"/>
          <w:lang w:val="en-US"/>
        </w:rPr>
        <w:t>1c</w:t>
      </w:r>
      <w:r w:rsidRPr="00C311A4">
        <w:rPr>
          <w:sz w:val="24"/>
          <w:szCs w:val="24"/>
          <w:lang w:val="en-US"/>
        </w:rPr>
        <w:t xml:space="preserve"> of &lt; 7% compared to placebo.</w:t>
      </w:r>
    </w:p>
    <w:p w14:paraId="482A9041" w14:textId="77777777" w:rsidR="004A1F86" w:rsidRPr="00C311A4" w:rsidRDefault="004A1F86" w:rsidP="00624EBB">
      <w:pPr>
        <w:ind w:left="851"/>
        <w:rPr>
          <w:sz w:val="24"/>
          <w:szCs w:val="24"/>
          <w:lang w:val="en-US"/>
        </w:rPr>
      </w:pPr>
    </w:p>
    <w:p w14:paraId="23ECD9AB" w14:textId="77777777" w:rsidR="004A1F86" w:rsidRPr="00C311A4" w:rsidRDefault="004A1F86" w:rsidP="00624EBB">
      <w:pPr>
        <w:ind w:left="851"/>
        <w:rPr>
          <w:i/>
          <w:sz w:val="24"/>
          <w:szCs w:val="24"/>
          <w:lang w:val="en-US"/>
        </w:rPr>
      </w:pPr>
      <w:r w:rsidRPr="00C311A4">
        <w:rPr>
          <w:i/>
          <w:sz w:val="24"/>
          <w:szCs w:val="24"/>
          <w:u w:val="single"/>
          <w:lang w:val="en-US"/>
        </w:rPr>
        <w:t>Linagliptin in combination with metformin and insulin</w:t>
      </w:r>
    </w:p>
    <w:p w14:paraId="22A6CF12" w14:textId="799331F7" w:rsidR="004A1F86" w:rsidRPr="00C311A4" w:rsidRDefault="004A1F86" w:rsidP="00624EBB">
      <w:pPr>
        <w:ind w:left="851"/>
        <w:rPr>
          <w:sz w:val="24"/>
          <w:szCs w:val="24"/>
          <w:lang w:val="en-US"/>
        </w:rPr>
      </w:pPr>
      <w:r w:rsidRPr="00C311A4">
        <w:rPr>
          <w:sz w:val="24"/>
          <w:szCs w:val="24"/>
          <w:lang w:val="en-US"/>
        </w:rPr>
        <w:t>A 24-week placebo-controlled study was conducted to evaluate the efficacy and safety of linagliptin (5 mg once daily) added to insulin with or without metformin. 83% of patients were taking metformin in combination with insulin in this trial. Linagliptin in combination with metformin plus insulin provided significant improvements in HbA</w:t>
      </w:r>
      <w:r w:rsidRPr="00C311A4">
        <w:rPr>
          <w:sz w:val="24"/>
          <w:szCs w:val="24"/>
          <w:vertAlign w:val="subscript"/>
          <w:lang w:val="en-US"/>
        </w:rPr>
        <w:t>1c</w:t>
      </w:r>
      <w:r w:rsidRPr="00C311A4">
        <w:rPr>
          <w:sz w:val="24"/>
          <w:szCs w:val="24"/>
          <w:lang w:val="en-US"/>
        </w:rPr>
        <w:t xml:space="preserve"> in this subgroup with -0.68% (CI: -0.78; -0,57) adjusted mean change from baseline (mean baseline HbA</w:t>
      </w:r>
      <w:r w:rsidRPr="00C311A4">
        <w:rPr>
          <w:sz w:val="24"/>
          <w:szCs w:val="24"/>
          <w:vertAlign w:val="subscript"/>
          <w:lang w:val="en-US"/>
        </w:rPr>
        <w:t>1c</w:t>
      </w:r>
      <w:r w:rsidRPr="00C311A4">
        <w:rPr>
          <w:sz w:val="24"/>
          <w:szCs w:val="24"/>
          <w:lang w:val="en-US"/>
        </w:rPr>
        <w:t xml:space="preserve"> 8.28%) compared to placebo in combination with metformin plus insulin. There was no meaningful change from baseline in body weight in either group.</w:t>
      </w:r>
    </w:p>
    <w:p w14:paraId="7462BB8E" w14:textId="77777777" w:rsidR="004A1F86" w:rsidRPr="00C311A4" w:rsidRDefault="004A1F86" w:rsidP="00624EBB">
      <w:pPr>
        <w:ind w:left="851"/>
        <w:rPr>
          <w:sz w:val="24"/>
          <w:szCs w:val="24"/>
          <w:lang w:val="en-US"/>
        </w:rPr>
      </w:pPr>
    </w:p>
    <w:p w14:paraId="0AC22482" w14:textId="77777777" w:rsidR="004A1F86" w:rsidRPr="00C311A4" w:rsidRDefault="004A1F86" w:rsidP="00624EBB">
      <w:pPr>
        <w:ind w:left="851"/>
        <w:rPr>
          <w:i/>
          <w:sz w:val="24"/>
          <w:szCs w:val="24"/>
          <w:lang w:val="en-US"/>
        </w:rPr>
      </w:pPr>
      <w:r w:rsidRPr="00C311A4">
        <w:rPr>
          <w:i/>
          <w:sz w:val="24"/>
          <w:szCs w:val="24"/>
          <w:u w:val="single"/>
          <w:lang w:val="en-US"/>
        </w:rPr>
        <w:t xml:space="preserve">Linagliptin </w:t>
      </w:r>
      <w:proofErr w:type="gramStart"/>
      <w:r w:rsidRPr="00C311A4">
        <w:rPr>
          <w:i/>
          <w:sz w:val="24"/>
          <w:szCs w:val="24"/>
          <w:u w:val="single"/>
          <w:lang w:val="en-US"/>
        </w:rPr>
        <w:t>24 month</w:t>
      </w:r>
      <w:proofErr w:type="gramEnd"/>
      <w:r w:rsidRPr="00C311A4">
        <w:rPr>
          <w:i/>
          <w:sz w:val="24"/>
          <w:szCs w:val="24"/>
          <w:u w:val="single"/>
          <w:lang w:val="en-US"/>
        </w:rPr>
        <w:t xml:space="preserve"> data, as add-on to metformin in comparison with glimepiride</w:t>
      </w:r>
    </w:p>
    <w:p w14:paraId="54FF54AF" w14:textId="77777777" w:rsidR="004A1F86" w:rsidRPr="00C311A4" w:rsidRDefault="004A1F86" w:rsidP="00624EBB">
      <w:pPr>
        <w:ind w:left="851"/>
        <w:rPr>
          <w:sz w:val="24"/>
          <w:szCs w:val="24"/>
          <w:lang w:val="en-US"/>
        </w:rPr>
      </w:pPr>
      <w:r w:rsidRPr="00C311A4">
        <w:rPr>
          <w:sz w:val="24"/>
          <w:szCs w:val="24"/>
          <w:lang w:val="en-US"/>
        </w:rPr>
        <w:t xml:space="preserve">In a study comparing the efficacy and safety of the addition of linagliptin 5 mg or glimepiride (mean dose 3 mg) in patients with inadequate </w:t>
      </w:r>
      <w:proofErr w:type="spellStart"/>
      <w:r w:rsidRPr="00C311A4">
        <w:rPr>
          <w:sz w:val="24"/>
          <w:szCs w:val="24"/>
          <w:lang w:val="en-US"/>
        </w:rPr>
        <w:t>glycaemic</w:t>
      </w:r>
      <w:proofErr w:type="spellEnd"/>
      <w:r w:rsidRPr="00C311A4">
        <w:rPr>
          <w:sz w:val="24"/>
          <w:szCs w:val="24"/>
          <w:lang w:val="en-US"/>
        </w:rPr>
        <w:t xml:space="preserve"> control on metformin </w:t>
      </w:r>
      <w:r w:rsidRPr="00C311A4">
        <w:rPr>
          <w:sz w:val="24"/>
          <w:szCs w:val="24"/>
          <w:lang w:val="en-US"/>
        </w:rPr>
        <w:lastRenderedPageBreak/>
        <w:t>monotherapy, mean reductions in HbA</w:t>
      </w:r>
      <w:r w:rsidRPr="00C311A4">
        <w:rPr>
          <w:sz w:val="24"/>
          <w:szCs w:val="24"/>
          <w:vertAlign w:val="subscript"/>
          <w:lang w:val="en-US"/>
        </w:rPr>
        <w:t>1c</w:t>
      </w:r>
      <w:r w:rsidRPr="00C311A4">
        <w:rPr>
          <w:sz w:val="24"/>
          <w:szCs w:val="24"/>
          <w:lang w:val="en-US"/>
        </w:rPr>
        <w:t xml:space="preserve"> were -0.16% with linagliptin (mean baseline HbA</w:t>
      </w:r>
      <w:r w:rsidRPr="00C311A4">
        <w:rPr>
          <w:sz w:val="24"/>
          <w:szCs w:val="24"/>
          <w:vertAlign w:val="subscript"/>
          <w:lang w:val="en-US"/>
        </w:rPr>
        <w:t>1c</w:t>
      </w:r>
      <w:r w:rsidRPr="00C311A4">
        <w:rPr>
          <w:sz w:val="24"/>
          <w:szCs w:val="24"/>
          <w:lang w:val="en-US"/>
        </w:rPr>
        <w:t xml:space="preserve"> 7.69%) and -0.36% with glimepiride (mean baseline HbA</w:t>
      </w:r>
      <w:r w:rsidRPr="00C311A4">
        <w:rPr>
          <w:sz w:val="24"/>
          <w:szCs w:val="24"/>
          <w:vertAlign w:val="subscript"/>
          <w:lang w:val="en-US"/>
        </w:rPr>
        <w:t>1c</w:t>
      </w:r>
      <w:r w:rsidRPr="00C311A4">
        <w:rPr>
          <w:sz w:val="24"/>
          <w:szCs w:val="24"/>
          <w:lang w:val="en-US"/>
        </w:rPr>
        <w:t xml:space="preserve"> 7.69%.) with a mean treatment difference of 0.20% (97.5% CI: 0.09, 0.299).</w:t>
      </w:r>
    </w:p>
    <w:p w14:paraId="6260A606" w14:textId="77777777" w:rsidR="004A1F86" w:rsidRPr="00C311A4" w:rsidRDefault="004A1F86" w:rsidP="00624EBB">
      <w:pPr>
        <w:ind w:left="851"/>
        <w:rPr>
          <w:sz w:val="24"/>
          <w:szCs w:val="24"/>
          <w:lang w:val="en-US"/>
        </w:rPr>
      </w:pPr>
      <w:r w:rsidRPr="00C311A4">
        <w:rPr>
          <w:sz w:val="24"/>
          <w:szCs w:val="24"/>
          <w:lang w:val="en-US"/>
        </w:rPr>
        <w:t xml:space="preserve">The incidence of </w:t>
      </w:r>
      <w:proofErr w:type="spellStart"/>
      <w:r w:rsidRPr="00C311A4">
        <w:rPr>
          <w:sz w:val="24"/>
          <w:szCs w:val="24"/>
          <w:lang w:val="en-US"/>
        </w:rPr>
        <w:t>hypoglycaemia</w:t>
      </w:r>
      <w:proofErr w:type="spellEnd"/>
      <w:r w:rsidRPr="00C311A4">
        <w:rPr>
          <w:sz w:val="24"/>
          <w:szCs w:val="24"/>
          <w:lang w:val="en-US"/>
        </w:rPr>
        <w:t xml:space="preserve"> in the linagliptin group (7.5%) was significantly lower than that in the glimepiride group (36.1%). Patients treated with linagliptin exhibited a significant mean decrease from baseline in body weight compared to a significant weight gain in patients administered glimepiride (-1.39 </w:t>
      </w:r>
      <w:r w:rsidRPr="00C311A4">
        <w:rPr>
          <w:i/>
          <w:sz w:val="24"/>
          <w:szCs w:val="24"/>
          <w:lang w:val="en-US"/>
        </w:rPr>
        <w:t xml:space="preserve">versus </w:t>
      </w:r>
      <w:r w:rsidRPr="00C311A4">
        <w:rPr>
          <w:sz w:val="24"/>
          <w:szCs w:val="24"/>
          <w:lang w:val="en-US"/>
        </w:rPr>
        <w:t>+1.29 kg).</w:t>
      </w:r>
    </w:p>
    <w:p w14:paraId="30CE15F6" w14:textId="77777777" w:rsidR="004A1F86" w:rsidRPr="00C311A4" w:rsidRDefault="004A1F86" w:rsidP="00624EBB">
      <w:pPr>
        <w:ind w:left="851"/>
        <w:rPr>
          <w:sz w:val="24"/>
          <w:szCs w:val="24"/>
          <w:lang w:val="en-US"/>
        </w:rPr>
      </w:pPr>
    </w:p>
    <w:p w14:paraId="6D2D59C7" w14:textId="77777777" w:rsidR="004A1F86" w:rsidRPr="00C311A4" w:rsidRDefault="004A1F86" w:rsidP="00624EBB">
      <w:pPr>
        <w:ind w:left="851"/>
        <w:rPr>
          <w:i/>
          <w:sz w:val="24"/>
          <w:szCs w:val="24"/>
          <w:lang w:val="en-US"/>
        </w:rPr>
      </w:pPr>
      <w:r w:rsidRPr="00C311A4">
        <w:rPr>
          <w:i/>
          <w:sz w:val="24"/>
          <w:szCs w:val="24"/>
          <w:u w:val="single"/>
          <w:lang w:val="en-US"/>
        </w:rPr>
        <w:t>Linagliptin as add-on therapy in elderly (age ≥ 70 years) with type 2 diabetes</w:t>
      </w:r>
    </w:p>
    <w:p w14:paraId="7FDA1835" w14:textId="77777777" w:rsidR="004A1F86" w:rsidRPr="00C311A4" w:rsidRDefault="004A1F86" w:rsidP="00624EBB">
      <w:pPr>
        <w:ind w:left="851"/>
        <w:rPr>
          <w:sz w:val="24"/>
          <w:szCs w:val="24"/>
          <w:lang w:val="en-US"/>
        </w:rPr>
      </w:pPr>
      <w:r w:rsidRPr="00C311A4">
        <w:rPr>
          <w:sz w:val="24"/>
          <w:szCs w:val="24"/>
          <w:lang w:val="en-US"/>
        </w:rPr>
        <w:t xml:space="preserve">The efficacy and safety of linagliptin in elderly (age ≥ 70 years) with type 2 diabetes was evaluated in a double-blind study of 24 weeks duration. Patients received metformin and/or </w:t>
      </w:r>
      <w:proofErr w:type="spellStart"/>
      <w:r w:rsidRPr="00C311A4">
        <w:rPr>
          <w:sz w:val="24"/>
          <w:szCs w:val="24"/>
          <w:lang w:val="en-US"/>
        </w:rPr>
        <w:t>sulphonylurea</w:t>
      </w:r>
      <w:proofErr w:type="spellEnd"/>
      <w:r w:rsidRPr="00C311A4">
        <w:rPr>
          <w:sz w:val="24"/>
          <w:szCs w:val="24"/>
          <w:lang w:val="en-US"/>
        </w:rPr>
        <w:t xml:space="preserve"> and/or insulin as background therapy. Doses of background anti-diabetic therapy were kept stable during the first 12 weeks, after which adjustments were permitted. Linagliptin provided significant improvements in HbA</w:t>
      </w:r>
      <w:r w:rsidRPr="00C311A4">
        <w:rPr>
          <w:sz w:val="24"/>
          <w:szCs w:val="24"/>
          <w:vertAlign w:val="subscript"/>
          <w:lang w:val="en-US"/>
        </w:rPr>
        <w:t>1c</w:t>
      </w:r>
      <w:r w:rsidRPr="00C311A4">
        <w:rPr>
          <w:sz w:val="24"/>
          <w:szCs w:val="24"/>
          <w:lang w:val="en-US"/>
        </w:rPr>
        <w:t xml:space="preserve"> (-0.64% change compared to placebo after 24 weeks), from a mean baseline HbA</w:t>
      </w:r>
      <w:r w:rsidRPr="00C311A4">
        <w:rPr>
          <w:sz w:val="24"/>
          <w:szCs w:val="24"/>
          <w:vertAlign w:val="subscript"/>
          <w:lang w:val="en-US"/>
        </w:rPr>
        <w:t>1c</w:t>
      </w:r>
      <w:r w:rsidRPr="00C311A4">
        <w:rPr>
          <w:sz w:val="24"/>
          <w:szCs w:val="24"/>
          <w:lang w:val="en-US"/>
        </w:rPr>
        <w:t xml:space="preserve"> of 7.8%. Linagliptin also showed significant improvements in fasting plasma glucose (FPG) compared to placebo. Body weight did not differ significantly between the groups.</w:t>
      </w:r>
    </w:p>
    <w:p w14:paraId="6CDF9F43" w14:textId="77777777" w:rsidR="004A1F86" w:rsidRPr="00C311A4" w:rsidRDefault="004A1F86" w:rsidP="00624EBB">
      <w:pPr>
        <w:ind w:left="851"/>
        <w:rPr>
          <w:sz w:val="24"/>
          <w:szCs w:val="24"/>
          <w:lang w:val="en-US"/>
        </w:rPr>
      </w:pPr>
    </w:p>
    <w:p w14:paraId="1371998E" w14:textId="1EF0DA9A" w:rsidR="004A1F86" w:rsidRPr="00C311A4" w:rsidRDefault="004A1F86" w:rsidP="00624EBB">
      <w:pPr>
        <w:ind w:left="851"/>
        <w:rPr>
          <w:sz w:val="24"/>
          <w:szCs w:val="24"/>
          <w:lang w:val="en-US"/>
        </w:rPr>
      </w:pPr>
      <w:r w:rsidRPr="00C311A4">
        <w:rPr>
          <w:sz w:val="24"/>
          <w:szCs w:val="24"/>
          <w:lang w:val="en-US"/>
        </w:rPr>
        <w:t>In a pooled analysis of elderly (age ≥ 70 years) patients with type 2 diabetes (n = 183) who were taking both metformin and basal insulin as background therapy, linagliptin in combination with metformin plus insulin provided significant improvements in HbA</w:t>
      </w:r>
      <w:r w:rsidRPr="00C311A4">
        <w:rPr>
          <w:sz w:val="24"/>
          <w:szCs w:val="24"/>
          <w:vertAlign w:val="subscript"/>
          <w:lang w:val="en-US"/>
        </w:rPr>
        <w:t>1c</w:t>
      </w:r>
      <w:r w:rsidRPr="00C311A4">
        <w:rPr>
          <w:sz w:val="24"/>
          <w:szCs w:val="24"/>
          <w:lang w:val="en-US"/>
        </w:rPr>
        <w:t xml:space="preserve"> parameters with -0.81% (CI: -1.01; -0.61) adjusted mean change from baseline (mean baseline HbA</w:t>
      </w:r>
      <w:r w:rsidRPr="00C311A4">
        <w:rPr>
          <w:sz w:val="24"/>
          <w:szCs w:val="24"/>
          <w:vertAlign w:val="subscript"/>
          <w:lang w:val="en-US"/>
        </w:rPr>
        <w:t>1c</w:t>
      </w:r>
      <w:r w:rsidRPr="00C311A4">
        <w:rPr>
          <w:sz w:val="24"/>
          <w:szCs w:val="24"/>
          <w:lang w:val="en-US"/>
        </w:rPr>
        <w:t xml:space="preserve"> 8.13%) compared to placebo in combination with metformin plus insulin.</w:t>
      </w:r>
    </w:p>
    <w:p w14:paraId="081CA113" w14:textId="77777777" w:rsidR="004A1F86" w:rsidRPr="00C311A4" w:rsidRDefault="004A1F86" w:rsidP="00624EBB">
      <w:pPr>
        <w:ind w:left="851"/>
        <w:rPr>
          <w:sz w:val="24"/>
          <w:szCs w:val="24"/>
          <w:lang w:val="en-US"/>
        </w:rPr>
      </w:pPr>
    </w:p>
    <w:p w14:paraId="4D5C0A20" w14:textId="77777777" w:rsidR="004A1F86" w:rsidRPr="00C311A4" w:rsidRDefault="004A1F86" w:rsidP="00624EBB">
      <w:pPr>
        <w:ind w:left="851"/>
        <w:rPr>
          <w:i/>
          <w:sz w:val="24"/>
          <w:szCs w:val="24"/>
          <w:lang w:val="en-US"/>
        </w:rPr>
      </w:pPr>
      <w:r w:rsidRPr="00C311A4">
        <w:rPr>
          <w:i/>
          <w:sz w:val="24"/>
          <w:szCs w:val="24"/>
          <w:u w:val="single"/>
          <w:lang w:val="en-US"/>
        </w:rPr>
        <w:t>Linagliptin cardiovascular and renal safety study (CARMELINA)</w:t>
      </w:r>
    </w:p>
    <w:p w14:paraId="3923A9F1" w14:textId="21AEBF39" w:rsidR="004A1F86" w:rsidRPr="00C311A4" w:rsidRDefault="004A1F86" w:rsidP="00624EBB">
      <w:pPr>
        <w:ind w:left="851"/>
        <w:rPr>
          <w:sz w:val="24"/>
          <w:szCs w:val="24"/>
          <w:lang w:val="en-US"/>
        </w:rPr>
      </w:pPr>
      <w:r w:rsidRPr="00C311A4">
        <w:rPr>
          <w:sz w:val="24"/>
          <w:szCs w:val="24"/>
          <w:lang w:val="en-US"/>
        </w:rPr>
        <w:t>CARMELINA was a randomized study in 6979 patients with type 2 diabetes with increased CV risk evidenced by a history of established macrovascular or renal disease who were treated with linagliptin 5 mg (3494) or placebo (3485) added to standard of care targeting regional standards for HbA</w:t>
      </w:r>
      <w:r w:rsidRPr="00C311A4">
        <w:rPr>
          <w:sz w:val="24"/>
          <w:szCs w:val="24"/>
          <w:vertAlign w:val="subscript"/>
          <w:lang w:val="en-US"/>
        </w:rPr>
        <w:t>1c</w:t>
      </w:r>
      <w:r w:rsidRPr="00C311A4">
        <w:rPr>
          <w:sz w:val="24"/>
          <w:szCs w:val="24"/>
          <w:lang w:val="en-US"/>
        </w:rPr>
        <w:t>, CV risk factors and renal disease. The study population included 1211 (17.4%) patients ≥ 75 years of age and 4348 (62.3%) patients with renal impairment. Approximately 19% of the population had eGFR</w:t>
      </w:r>
      <w:r w:rsidR="00AD0270">
        <w:rPr>
          <w:sz w:val="24"/>
          <w:szCs w:val="24"/>
          <w:lang w:val="en-US"/>
        </w:rPr>
        <w:t xml:space="preserve"> </w:t>
      </w:r>
      <w:r w:rsidRPr="00C311A4">
        <w:rPr>
          <w:sz w:val="24"/>
          <w:szCs w:val="24"/>
          <w:lang w:val="en-US"/>
        </w:rPr>
        <w:t>≥ 45 to &lt;</w:t>
      </w:r>
      <w:r w:rsidR="00A73714">
        <w:rPr>
          <w:sz w:val="24"/>
          <w:szCs w:val="24"/>
          <w:lang w:val="en-US"/>
        </w:rPr>
        <w:t> </w:t>
      </w:r>
      <w:r w:rsidRPr="00C311A4">
        <w:rPr>
          <w:sz w:val="24"/>
          <w:szCs w:val="24"/>
          <w:lang w:val="en-US"/>
        </w:rPr>
        <w:t>60</w:t>
      </w:r>
      <w:r w:rsidR="00A73714">
        <w:rPr>
          <w:sz w:val="24"/>
          <w:szCs w:val="24"/>
          <w:lang w:val="en-US"/>
        </w:rPr>
        <w:t> </w:t>
      </w:r>
      <w:r w:rsidRPr="00C311A4">
        <w:rPr>
          <w:sz w:val="24"/>
          <w:szCs w:val="24"/>
          <w:lang w:val="en-US"/>
        </w:rPr>
        <w:t>mL/min/1.73 m</w:t>
      </w:r>
      <w:r w:rsidRPr="00C311A4">
        <w:rPr>
          <w:sz w:val="24"/>
          <w:szCs w:val="24"/>
          <w:vertAlign w:val="superscript"/>
          <w:lang w:val="en-US"/>
        </w:rPr>
        <w:t>2</w:t>
      </w:r>
      <w:r w:rsidRPr="00C311A4">
        <w:rPr>
          <w:sz w:val="24"/>
          <w:szCs w:val="24"/>
          <w:lang w:val="en-US"/>
        </w:rPr>
        <w:t>, 28% of the population had eGFR ≥ 30 to &lt; 45 mL/min/1.73 m</w:t>
      </w:r>
      <w:r w:rsidRPr="00C311A4">
        <w:rPr>
          <w:sz w:val="24"/>
          <w:szCs w:val="24"/>
          <w:vertAlign w:val="superscript"/>
          <w:lang w:val="en-US"/>
        </w:rPr>
        <w:t>2</w:t>
      </w:r>
      <w:r w:rsidRPr="00C311A4">
        <w:rPr>
          <w:sz w:val="24"/>
          <w:szCs w:val="24"/>
          <w:lang w:val="en-US"/>
        </w:rPr>
        <w:t>) and 15% had eGFR &lt; 30 mL/min/1.73 m</w:t>
      </w:r>
      <w:r w:rsidRPr="00C311A4">
        <w:rPr>
          <w:sz w:val="24"/>
          <w:szCs w:val="24"/>
          <w:vertAlign w:val="superscript"/>
          <w:lang w:val="en-US"/>
        </w:rPr>
        <w:t>2</w:t>
      </w:r>
      <w:r w:rsidRPr="00C311A4">
        <w:rPr>
          <w:sz w:val="24"/>
          <w:szCs w:val="24"/>
          <w:lang w:val="en-US"/>
        </w:rPr>
        <w:t>. The mean HbA</w:t>
      </w:r>
      <w:r w:rsidRPr="00C311A4">
        <w:rPr>
          <w:sz w:val="24"/>
          <w:szCs w:val="24"/>
          <w:vertAlign w:val="subscript"/>
          <w:lang w:val="en-US"/>
        </w:rPr>
        <w:t>1c</w:t>
      </w:r>
      <w:r w:rsidRPr="00C311A4">
        <w:rPr>
          <w:sz w:val="24"/>
          <w:szCs w:val="24"/>
          <w:lang w:val="en-US"/>
        </w:rPr>
        <w:t xml:space="preserve"> at baseline was 8.0%.</w:t>
      </w:r>
    </w:p>
    <w:p w14:paraId="283B5486" w14:textId="77777777" w:rsidR="004A1F86" w:rsidRPr="00C311A4" w:rsidRDefault="004A1F86" w:rsidP="00624EBB">
      <w:pPr>
        <w:ind w:left="851"/>
        <w:rPr>
          <w:sz w:val="24"/>
          <w:szCs w:val="24"/>
          <w:lang w:val="en-US"/>
        </w:rPr>
      </w:pPr>
    </w:p>
    <w:p w14:paraId="07266795" w14:textId="77777777" w:rsidR="004A1F86" w:rsidRPr="00C311A4" w:rsidRDefault="004A1F86" w:rsidP="00624EBB">
      <w:pPr>
        <w:ind w:left="851"/>
        <w:rPr>
          <w:sz w:val="24"/>
          <w:szCs w:val="24"/>
          <w:lang w:val="en-US"/>
        </w:rPr>
      </w:pPr>
      <w:r w:rsidRPr="00C311A4">
        <w:rPr>
          <w:sz w:val="24"/>
          <w:szCs w:val="24"/>
          <w:lang w:val="en-US"/>
        </w:rPr>
        <w:t>The study was designed to demonstrate non-inferiority for the primary cardiovascular endpoint which was a composite of the first occurrence of cardiovascular death or a non-fatal myocardial infarction (MI) or a non-fatal stroke (3P-MACE). The renal composite endpoint was defined as renal death or sustained end stage renal disease or sustained decrease of 40% or more in eGFR.</w:t>
      </w:r>
    </w:p>
    <w:p w14:paraId="67607CDE" w14:textId="77777777" w:rsidR="004A1F86" w:rsidRPr="00C311A4" w:rsidRDefault="004A1F86" w:rsidP="00624EBB">
      <w:pPr>
        <w:ind w:left="851"/>
        <w:rPr>
          <w:sz w:val="24"/>
          <w:szCs w:val="24"/>
          <w:lang w:val="en-US"/>
        </w:rPr>
      </w:pPr>
    </w:p>
    <w:p w14:paraId="7BA34442" w14:textId="77777777" w:rsidR="004A1F86" w:rsidRPr="00C311A4" w:rsidRDefault="004A1F86" w:rsidP="00624EBB">
      <w:pPr>
        <w:ind w:left="851"/>
        <w:rPr>
          <w:sz w:val="24"/>
          <w:szCs w:val="24"/>
          <w:lang w:val="en-US"/>
        </w:rPr>
      </w:pPr>
      <w:r w:rsidRPr="00C311A4">
        <w:rPr>
          <w:sz w:val="24"/>
          <w:szCs w:val="24"/>
          <w:lang w:val="en-US"/>
        </w:rPr>
        <w:t>After a median follow up of 2.2 years, linagliptin, when added to standard of care, did not increase the risk of major adverse cardiovascular events or renal outcome events. There was no increased risk in hospitalization for heart failure which was an additional adjudicated endpoint observed compared to standard of care without linagliptin in patients with type 2 diabetes (table 4).</w:t>
      </w:r>
    </w:p>
    <w:p w14:paraId="417EA298" w14:textId="47EAB257" w:rsidR="00A73714" w:rsidRDefault="00A73714">
      <w:pPr>
        <w:rPr>
          <w:sz w:val="24"/>
          <w:szCs w:val="24"/>
          <w:lang w:val="en-US"/>
        </w:rPr>
      </w:pPr>
      <w:r>
        <w:rPr>
          <w:sz w:val="24"/>
          <w:szCs w:val="24"/>
          <w:lang w:val="en-US"/>
        </w:rPr>
        <w:br w:type="page"/>
      </w:r>
    </w:p>
    <w:p w14:paraId="11C89C22" w14:textId="77777777" w:rsidR="004A1F86" w:rsidRPr="00C311A4" w:rsidRDefault="004A1F86" w:rsidP="00624EBB">
      <w:pPr>
        <w:ind w:left="851"/>
        <w:rPr>
          <w:sz w:val="24"/>
          <w:szCs w:val="24"/>
          <w:lang w:val="en-US"/>
        </w:rPr>
      </w:pPr>
    </w:p>
    <w:p w14:paraId="32307C8F" w14:textId="388DA346" w:rsidR="004A1F86" w:rsidRPr="00AD0270" w:rsidRDefault="004A1F86" w:rsidP="00AD0270">
      <w:pPr>
        <w:rPr>
          <w:b/>
          <w:sz w:val="24"/>
          <w:szCs w:val="24"/>
          <w:lang w:val="en-US"/>
        </w:rPr>
      </w:pPr>
      <w:r w:rsidRPr="00AD0270">
        <w:rPr>
          <w:b/>
          <w:sz w:val="24"/>
          <w:szCs w:val="24"/>
          <w:lang w:val="en-US"/>
        </w:rPr>
        <w:t>Table</w:t>
      </w:r>
      <w:r w:rsidRPr="00AD0270">
        <w:rPr>
          <w:b/>
          <w:spacing w:val="-3"/>
          <w:sz w:val="24"/>
          <w:szCs w:val="24"/>
          <w:lang w:val="en-US"/>
        </w:rPr>
        <w:t xml:space="preserve"> </w:t>
      </w:r>
      <w:r w:rsidRPr="00AD0270">
        <w:rPr>
          <w:b/>
          <w:sz w:val="24"/>
          <w:szCs w:val="24"/>
          <w:lang w:val="en-US"/>
        </w:rPr>
        <w:t>4:</w:t>
      </w:r>
      <w:r w:rsidR="00AD0270" w:rsidRPr="00AD0270">
        <w:rPr>
          <w:b/>
          <w:sz w:val="24"/>
          <w:szCs w:val="24"/>
          <w:lang w:val="en-US"/>
        </w:rPr>
        <w:t xml:space="preserve"> </w:t>
      </w:r>
      <w:r w:rsidRPr="00AD0270">
        <w:rPr>
          <w:b/>
          <w:sz w:val="24"/>
          <w:szCs w:val="24"/>
          <w:lang w:val="en-US"/>
        </w:rPr>
        <w:t>Cardiovascular and renal outcomes by treatment group in the CARMELINA</w:t>
      </w:r>
      <w:r w:rsidRPr="00AD0270">
        <w:rPr>
          <w:b/>
          <w:spacing w:val="-20"/>
          <w:sz w:val="24"/>
          <w:szCs w:val="24"/>
          <w:lang w:val="en-US"/>
        </w:rPr>
        <w:t xml:space="preserve"> </w:t>
      </w:r>
      <w:r w:rsidRPr="00AD0270">
        <w:rPr>
          <w:b/>
          <w:sz w:val="24"/>
          <w:szCs w:val="24"/>
          <w:lang w:val="en-US"/>
        </w:rPr>
        <w:t>study</w:t>
      </w:r>
    </w:p>
    <w:p w14:paraId="09273D8A" w14:textId="77777777" w:rsidR="004A1F86" w:rsidRPr="00C311A4" w:rsidRDefault="004A1F86" w:rsidP="00624EBB">
      <w:pPr>
        <w:ind w:left="851"/>
        <w:rPr>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90"/>
        <w:gridCol w:w="1506"/>
        <w:gridCol w:w="1510"/>
        <w:gridCol w:w="1506"/>
        <w:gridCol w:w="1510"/>
        <w:gridCol w:w="1506"/>
      </w:tblGrid>
      <w:tr w:rsidR="004A1F86" w:rsidRPr="00C311A4" w14:paraId="39A328D7" w14:textId="77777777" w:rsidTr="00624EBB">
        <w:trPr>
          <w:trHeight w:val="520"/>
        </w:trPr>
        <w:tc>
          <w:tcPr>
            <w:tcW w:w="1086" w:type="pct"/>
            <w:vMerge w:val="restart"/>
            <w:tcBorders>
              <w:top w:val="single" w:sz="4" w:space="0" w:color="000000"/>
              <w:left w:val="single" w:sz="4" w:space="0" w:color="000000"/>
              <w:bottom w:val="single" w:sz="4" w:space="0" w:color="000000"/>
              <w:right w:val="single" w:sz="4" w:space="0" w:color="000000"/>
            </w:tcBorders>
          </w:tcPr>
          <w:p w14:paraId="41708477" w14:textId="77777777" w:rsidR="004A1F86" w:rsidRPr="00C311A4" w:rsidRDefault="004A1F86">
            <w:pPr>
              <w:widowControl w:val="0"/>
              <w:tabs>
                <w:tab w:val="left" w:pos="1304"/>
              </w:tabs>
              <w:autoSpaceDE w:val="0"/>
              <w:autoSpaceDN w:val="0"/>
              <w:rPr>
                <w:sz w:val="24"/>
                <w:szCs w:val="24"/>
                <w:lang w:val="en-US"/>
              </w:rPr>
            </w:pPr>
          </w:p>
        </w:tc>
        <w:tc>
          <w:tcPr>
            <w:tcW w:w="1566" w:type="pct"/>
            <w:gridSpan w:val="2"/>
            <w:tcBorders>
              <w:top w:val="single" w:sz="4" w:space="0" w:color="000000"/>
              <w:left w:val="single" w:sz="4" w:space="0" w:color="000000"/>
              <w:bottom w:val="single" w:sz="4" w:space="0" w:color="000000"/>
              <w:right w:val="single" w:sz="4" w:space="0" w:color="000000"/>
            </w:tcBorders>
            <w:hideMark/>
          </w:tcPr>
          <w:p w14:paraId="14969EF4" w14:textId="77777777" w:rsidR="004A1F86" w:rsidRPr="00C311A4" w:rsidRDefault="004A1F86">
            <w:pPr>
              <w:widowControl w:val="0"/>
              <w:tabs>
                <w:tab w:val="left" w:pos="1304"/>
              </w:tabs>
              <w:autoSpaceDE w:val="0"/>
              <w:autoSpaceDN w:val="0"/>
              <w:spacing w:before="3"/>
              <w:ind w:left="727"/>
              <w:rPr>
                <w:b/>
                <w:sz w:val="24"/>
                <w:szCs w:val="24"/>
                <w:lang w:val="en-US"/>
              </w:rPr>
            </w:pPr>
            <w:r w:rsidRPr="00C311A4">
              <w:rPr>
                <w:b/>
                <w:sz w:val="24"/>
                <w:szCs w:val="24"/>
                <w:lang w:val="en-US"/>
              </w:rPr>
              <w:t>Linagliptin 5 mg</w:t>
            </w:r>
          </w:p>
        </w:tc>
        <w:tc>
          <w:tcPr>
            <w:tcW w:w="1566" w:type="pct"/>
            <w:gridSpan w:val="2"/>
            <w:tcBorders>
              <w:top w:val="single" w:sz="4" w:space="0" w:color="000000"/>
              <w:left w:val="single" w:sz="4" w:space="0" w:color="000000"/>
              <w:bottom w:val="single" w:sz="4" w:space="0" w:color="000000"/>
              <w:right w:val="single" w:sz="4" w:space="0" w:color="000000"/>
            </w:tcBorders>
            <w:hideMark/>
          </w:tcPr>
          <w:p w14:paraId="715CA252" w14:textId="77777777" w:rsidR="004A1F86" w:rsidRPr="00C311A4" w:rsidRDefault="004A1F86">
            <w:pPr>
              <w:widowControl w:val="0"/>
              <w:tabs>
                <w:tab w:val="left" w:pos="1304"/>
              </w:tabs>
              <w:autoSpaceDE w:val="0"/>
              <w:autoSpaceDN w:val="0"/>
              <w:spacing w:before="3"/>
              <w:ind w:left="1097" w:right="1081"/>
              <w:jc w:val="center"/>
              <w:rPr>
                <w:b/>
                <w:sz w:val="24"/>
                <w:szCs w:val="24"/>
                <w:lang w:val="en-US"/>
              </w:rPr>
            </w:pPr>
            <w:r w:rsidRPr="00C311A4">
              <w:rPr>
                <w:b/>
                <w:sz w:val="24"/>
                <w:szCs w:val="24"/>
                <w:lang w:val="en-US"/>
              </w:rPr>
              <w:t>Placebo</w:t>
            </w:r>
          </w:p>
        </w:tc>
        <w:tc>
          <w:tcPr>
            <w:tcW w:w="782" w:type="pct"/>
            <w:tcBorders>
              <w:top w:val="single" w:sz="4" w:space="0" w:color="000000"/>
              <w:left w:val="single" w:sz="4" w:space="0" w:color="000000"/>
              <w:bottom w:val="single" w:sz="4" w:space="0" w:color="000000"/>
              <w:right w:val="single" w:sz="4" w:space="0" w:color="000000"/>
            </w:tcBorders>
            <w:hideMark/>
          </w:tcPr>
          <w:p w14:paraId="09CC2006" w14:textId="77777777" w:rsidR="004A1F86" w:rsidRPr="00C311A4" w:rsidRDefault="004A1F86">
            <w:pPr>
              <w:widowControl w:val="0"/>
              <w:tabs>
                <w:tab w:val="left" w:pos="1304"/>
              </w:tabs>
              <w:autoSpaceDE w:val="0"/>
              <w:autoSpaceDN w:val="0"/>
              <w:spacing w:before="3"/>
              <w:ind w:left="390"/>
              <w:rPr>
                <w:b/>
                <w:sz w:val="24"/>
                <w:szCs w:val="24"/>
                <w:lang w:val="en-US"/>
              </w:rPr>
            </w:pPr>
            <w:r w:rsidRPr="00C311A4">
              <w:rPr>
                <w:b/>
                <w:sz w:val="24"/>
                <w:szCs w:val="24"/>
                <w:lang w:val="en-US"/>
              </w:rPr>
              <w:t>Hazard</w:t>
            </w:r>
          </w:p>
          <w:p w14:paraId="76F53FF2" w14:textId="77777777" w:rsidR="004A1F86" w:rsidRPr="00C311A4" w:rsidRDefault="004A1F86">
            <w:pPr>
              <w:widowControl w:val="0"/>
              <w:tabs>
                <w:tab w:val="left" w:pos="1304"/>
              </w:tabs>
              <w:autoSpaceDE w:val="0"/>
              <w:autoSpaceDN w:val="0"/>
              <w:spacing w:before="9" w:line="236" w:lineRule="exact"/>
              <w:ind w:left="488"/>
              <w:rPr>
                <w:b/>
                <w:sz w:val="24"/>
                <w:szCs w:val="24"/>
                <w:lang w:val="en-US"/>
              </w:rPr>
            </w:pPr>
            <w:r w:rsidRPr="00C311A4">
              <w:rPr>
                <w:b/>
                <w:sz w:val="24"/>
                <w:szCs w:val="24"/>
                <w:lang w:val="en-US"/>
              </w:rPr>
              <w:t>Ratio</w:t>
            </w:r>
          </w:p>
        </w:tc>
      </w:tr>
      <w:tr w:rsidR="004A1F86" w:rsidRPr="00C311A4" w14:paraId="4E4568DB" w14:textId="77777777" w:rsidTr="00624EBB">
        <w:trPr>
          <w:trHeight w:val="779"/>
        </w:trPr>
        <w:tc>
          <w:tcPr>
            <w:tcW w:w="1086" w:type="pct"/>
            <w:vMerge/>
            <w:tcBorders>
              <w:top w:val="single" w:sz="4" w:space="0" w:color="000000"/>
              <w:left w:val="single" w:sz="4" w:space="0" w:color="000000"/>
              <w:bottom w:val="single" w:sz="4" w:space="0" w:color="000000"/>
              <w:right w:val="single" w:sz="4" w:space="0" w:color="000000"/>
            </w:tcBorders>
            <w:vAlign w:val="center"/>
            <w:hideMark/>
          </w:tcPr>
          <w:p w14:paraId="436298BF" w14:textId="77777777" w:rsidR="004A1F86" w:rsidRPr="00C311A4" w:rsidRDefault="004A1F86">
            <w:pPr>
              <w:rPr>
                <w:sz w:val="24"/>
                <w:szCs w:val="24"/>
                <w:lang w:val="en-US" w:eastAsia="en-US"/>
              </w:rPr>
            </w:pPr>
          </w:p>
        </w:tc>
        <w:tc>
          <w:tcPr>
            <w:tcW w:w="782" w:type="pct"/>
            <w:tcBorders>
              <w:top w:val="single" w:sz="4" w:space="0" w:color="000000"/>
              <w:left w:val="single" w:sz="4" w:space="0" w:color="000000"/>
              <w:bottom w:val="single" w:sz="4" w:space="0" w:color="000000"/>
              <w:right w:val="single" w:sz="4" w:space="0" w:color="000000"/>
            </w:tcBorders>
            <w:hideMark/>
          </w:tcPr>
          <w:p w14:paraId="388AACA8" w14:textId="77777777" w:rsidR="004A1F86" w:rsidRPr="00C311A4" w:rsidRDefault="004A1F86" w:rsidP="00AD0270">
            <w:pPr>
              <w:widowControl w:val="0"/>
              <w:tabs>
                <w:tab w:val="left" w:pos="1304"/>
              </w:tabs>
              <w:autoSpaceDE w:val="0"/>
              <w:autoSpaceDN w:val="0"/>
              <w:spacing w:before="3" w:line="242" w:lineRule="auto"/>
              <w:ind w:left="175" w:right="144" w:firstLine="84"/>
              <w:jc w:val="center"/>
              <w:rPr>
                <w:sz w:val="24"/>
                <w:szCs w:val="24"/>
                <w:lang w:val="en-US"/>
              </w:rPr>
            </w:pPr>
            <w:r w:rsidRPr="00C311A4">
              <w:rPr>
                <w:sz w:val="24"/>
                <w:szCs w:val="24"/>
                <w:lang w:val="en-US"/>
              </w:rPr>
              <w:t>Number of Subjects (%)</w:t>
            </w:r>
          </w:p>
        </w:tc>
        <w:tc>
          <w:tcPr>
            <w:tcW w:w="783" w:type="pct"/>
            <w:tcBorders>
              <w:top w:val="single" w:sz="4" w:space="0" w:color="000000"/>
              <w:left w:val="single" w:sz="4" w:space="0" w:color="000000"/>
              <w:bottom w:val="single" w:sz="4" w:space="0" w:color="000000"/>
              <w:right w:val="single" w:sz="4" w:space="0" w:color="000000"/>
            </w:tcBorders>
            <w:hideMark/>
          </w:tcPr>
          <w:p w14:paraId="3B0E77A2" w14:textId="77777777" w:rsidR="004A1F86" w:rsidRPr="00C311A4" w:rsidRDefault="004A1F86" w:rsidP="00AD0270">
            <w:pPr>
              <w:widowControl w:val="0"/>
              <w:tabs>
                <w:tab w:val="left" w:pos="1304"/>
              </w:tabs>
              <w:autoSpaceDE w:val="0"/>
              <w:autoSpaceDN w:val="0"/>
              <w:spacing w:before="3" w:line="242" w:lineRule="auto"/>
              <w:ind w:left="123" w:right="110" w:hanging="1"/>
              <w:jc w:val="center"/>
              <w:rPr>
                <w:sz w:val="24"/>
                <w:szCs w:val="24"/>
                <w:lang w:val="en-US"/>
              </w:rPr>
            </w:pPr>
            <w:r w:rsidRPr="00C311A4">
              <w:rPr>
                <w:sz w:val="24"/>
                <w:szCs w:val="24"/>
                <w:lang w:val="en-US"/>
              </w:rPr>
              <w:t>Incidence Rate per 1000</w:t>
            </w:r>
          </w:p>
          <w:p w14:paraId="35104A15" w14:textId="77777777" w:rsidR="004A1F86" w:rsidRPr="00C311A4" w:rsidRDefault="004A1F86" w:rsidP="00AD0270">
            <w:pPr>
              <w:widowControl w:val="0"/>
              <w:tabs>
                <w:tab w:val="left" w:pos="1304"/>
              </w:tabs>
              <w:autoSpaceDE w:val="0"/>
              <w:autoSpaceDN w:val="0"/>
              <w:spacing w:before="5" w:line="236" w:lineRule="exact"/>
              <w:ind w:left="522" w:right="513"/>
              <w:jc w:val="center"/>
              <w:rPr>
                <w:sz w:val="24"/>
                <w:szCs w:val="24"/>
                <w:lang w:val="en-US"/>
              </w:rPr>
            </w:pPr>
            <w:r w:rsidRPr="00C311A4">
              <w:rPr>
                <w:sz w:val="24"/>
                <w:szCs w:val="24"/>
                <w:lang w:val="en-US"/>
              </w:rPr>
              <w:t>PY*</w:t>
            </w:r>
          </w:p>
        </w:tc>
        <w:tc>
          <w:tcPr>
            <w:tcW w:w="782" w:type="pct"/>
            <w:tcBorders>
              <w:top w:val="single" w:sz="4" w:space="0" w:color="000000"/>
              <w:left w:val="single" w:sz="4" w:space="0" w:color="000000"/>
              <w:bottom w:val="single" w:sz="4" w:space="0" w:color="000000"/>
              <w:right w:val="single" w:sz="4" w:space="0" w:color="000000"/>
            </w:tcBorders>
            <w:hideMark/>
          </w:tcPr>
          <w:p w14:paraId="4CF6E55D" w14:textId="77777777" w:rsidR="004A1F86" w:rsidRPr="00C311A4" w:rsidRDefault="004A1F86" w:rsidP="00AD0270">
            <w:pPr>
              <w:widowControl w:val="0"/>
              <w:tabs>
                <w:tab w:val="left" w:pos="1304"/>
              </w:tabs>
              <w:autoSpaceDE w:val="0"/>
              <w:autoSpaceDN w:val="0"/>
              <w:spacing w:before="3" w:line="242" w:lineRule="auto"/>
              <w:ind w:left="177" w:right="142" w:firstLine="86"/>
              <w:jc w:val="center"/>
              <w:rPr>
                <w:sz w:val="24"/>
                <w:szCs w:val="24"/>
                <w:lang w:val="en-US"/>
              </w:rPr>
            </w:pPr>
            <w:r w:rsidRPr="00C311A4">
              <w:rPr>
                <w:sz w:val="24"/>
                <w:szCs w:val="24"/>
                <w:lang w:val="en-US"/>
              </w:rPr>
              <w:t>Number of Subjects (%)</w:t>
            </w:r>
          </w:p>
        </w:tc>
        <w:tc>
          <w:tcPr>
            <w:tcW w:w="783" w:type="pct"/>
            <w:tcBorders>
              <w:top w:val="single" w:sz="4" w:space="0" w:color="000000"/>
              <w:left w:val="single" w:sz="4" w:space="0" w:color="000000"/>
              <w:bottom w:val="single" w:sz="4" w:space="0" w:color="000000"/>
              <w:right w:val="single" w:sz="4" w:space="0" w:color="000000"/>
            </w:tcBorders>
            <w:hideMark/>
          </w:tcPr>
          <w:p w14:paraId="36CA038B" w14:textId="77777777" w:rsidR="004A1F86" w:rsidRPr="00C311A4" w:rsidRDefault="004A1F86" w:rsidP="00AD0270">
            <w:pPr>
              <w:widowControl w:val="0"/>
              <w:tabs>
                <w:tab w:val="left" w:pos="1304"/>
              </w:tabs>
              <w:autoSpaceDE w:val="0"/>
              <w:autoSpaceDN w:val="0"/>
              <w:spacing w:before="3" w:line="242" w:lineRule="auto"/>
              <w:ind w:left="125" w:right="108" w:hanging="1"/>
              <w:jc w:val="center"/>
              <w:rPr>
                <w:sz w:val="24"/>
                <w:szCs w:val="24"/>
                <w:lang w:val="en-US"/>
              </w:rPr>
            </w:pPr>
            <w:r w:rsidRPr="00C311A4">
              <w:rPr>
                <w:sz w:val="24"/>
                <w:szCs w:val="24"/>
                <w:lang w:val="en-US"/>
              </w:rPr>
              <w:t>Incidence Rate per 1000</w:t>
            </w:r>
          </w:p>
          <w:p w14:paraId="7EF6AE67" w14:textId="77777777" w:rsidR="004A1F86" w:rsidRPr="00C311A4" w:rsidRDefault="004A1F86" w:rsidP="00AD0270">
            <w:pPr>
              <w:widowControl w:val="0"/>
              <w:tabs>
                <w:tab w:val="left" w:pos="1304"/>
              </w:tabs>
              <w:autoSpaceDE w:val="0"/>
              <w:autoSpaceDN w:val="0"/>
              <w:spacing w:before="5" w:line="236" w:lineRule="exact"/>
              <w:ind w:left="524" w:right="511"/>
              <w:jc w:val="center"/>
              <w:rPr>
                <w:sz w:val="24"/>
                <w:szCs w:val="24"/>
                <w:lang w:val="en-US"/>
              </w:rPr>
            </w:pPr>
            <w:r w:rsidRPr="00C311A4">
              <w:rPr>
                <w:sz w:val="24"/>
                <w:szCs w:val="24"/>
                <w:lang w:val="en-US"/>
              </w:rPr>
              <w:t>PY*</w:t>
            </w:r>
          </w:p>
        </w:tc>
        <w:tc>
          <w:tcPr>
            <w:tcW w:w="782" w:type="pct"/>
            <w:tcBorders>
              <w:top w:val="single" w:sz="4" w:space="0" w:color="000000"/>
              <w:left w:val="single" w:sz="4" w:space="0" w:color="000000"/>
              <w:bottom w:val="single" w:sz="4" w:space="0" w:color="000000"/>
              <w:right w:val="single" w:sz="4" w:space="0" w:color="000000"/>
            </w:tcBorders>
            <w:hideMark/>
          </w:tcPr>
          <w:p w14:paraId="588DAD7D" w14:textId="77777777" w:rsidR="004A1F86" w:rsidRPr="00C311A4" w:rsidRDefault="004A1F86" w:rsidP="00AD0270">
            <w:pPr>
              <w:widowControl w:val="0"/>
              <w:tabs>
                <w:tab w:val="left" w:pos="1304"/>
              </w:tabs>
              <w:autoSpaceDE w:val="0"/>
              <w:autoSpaceDN w:val="0"/>
              <w:spacing w:before="3"/>
              <w:ind w:left="359"/>
              <w:jc w:val="center"/>
              <w:rPr>
                <w:sz w:val="24"/>
                <w:szCs w:val="24"/>
                <w:lang w:val="en-US"/>
              </w:rPr>
            </w:pPr>
            <w:r w:rsidRPr="00C311A4">
              <w:rPr>
                <w:sz w:val="24"/>
                <w:szCs w:val="24"/>
                <w:lang w:val="en-US"/>
              </w:rPr>
              <w:t>(95% CI)</w:t>
            </w:r>
          </w:p>
        </w:tc>
      </w:tr>
      <w:tr w:rsidR="004A1F86" w:rsidRPr="00C311A4" w14:paraId="763F61B1" w14:textId="77777777" w:rsidTr="00624EBB">
        <w:trPr>
          <w:trHeight w:val="261"/>
        </w:trPr>
        <w:tc>
          <w:tcPr>
            <w:tcW w:w="1086" w:type="pct"/>
            <w:tcBorders>
              <w:top w:val="single" w:sz="4" w:space="0" w:color="000000"/>
              <w:left w:val="single" w:sz="4" w:space="0" w:color="000000"/>
              <w:bottom w:val="single" w:sz="4" w:space="0" w:color="000000"/>
              <w:right w:val="single" w:sz="4" w:space="0" w:color="000000"/>
            </w:tcBorders>
            <w:hideMark/>
          </w:tcPr>
          <w:p w14:paraId="57D4683B" w14:textId="77777777" w:rsidR="004A1F86" w:rsidRPr="00C311A4" w:rsidRDefault="004A1F86">
            <w:pPr>
              <w:widowControl w:val="0"/>
              <w:tabs>
                <w:tab w:val="left" w:pos="1304"/>
              </w:tabs>
              <w:autoSpaceDE w:val="0"/>
              <w:autoSpaceDN w:val="0"/>
              <w:spacing w:before="3" w:line="238" w:lineRule="exact"/>
              <w:ind w:left="107"/>
              <w:rPr>
                <w:sz w:val="24"/>
                <w:szCs w:val="24"/>
                <w:lang w:val="en-US"/>
              </w:rPr>
            </w:pPr>
            <w:r w:rsidRPr="00C311A4">
              <w:rPr>
                <w:sz w:val="24"/>
                <w:szCs w:val="24"/>
                <w:lang w:val="en-US"/>
              </w:rPr>
              <w:t>Number of patients</w:t>
            </w:r>
          </w:p>
        </w:tc>
        <w:tc>
          <w:tcPr>
            <w:tcW w:w="782" w:type="pct"/>
            <w:tcBorders>
              <w:top w:val="single" w:sz="4" w:space="0" w:color="000000"/>
              <w:left w:val="single" w:sz="4" w:space="0" w:color="000000"/>
              <w:bottom w:val="single" w:sz="4" w:space="0" w:color="000000"/>
              <w:right w:val="single" w:sz="4" w:space="0" w:color="000000"/>
            </w:tcBorders>
            <w:hideMark/>
          </w:tcPr>
          <w:p w14:paraId="0AAF9500" w14:textId="77777777" w:rsidR="004A1F86" w:rsidRPr="00C311A4" w:rsidRDefault="004A1F86" w:rsidP="00AD0270">
            <w:pPr>
              <w:widowControl w:val="0"/>
              <w:tabs>
                <w:tab w:val="left" w:pos="1304"/>
              </w:tabs>
              <w:autoSpaceDE w:val="0"/>
              <w:autoSpaceDN w:val="0"/>
              <w:spacing w:before="3" w:line="238" w:lineRule="exact"/>
              <w:ind w:left="240" w:right="227"/>
              <w:jc w:val="center"/>
              <w:rPr>
                <w:sz w:val="24"/>
                <w:szCs w:val="24"/>
                <w:lang w:val="en-US"/>
              </w:rPr>
            </w:pPr>
            <w:r w:rsidRPr="00C311A4">
              <w:rPr>
                <w:sz w:val="24"/>
                <w:szCs w:val="24"/>
                <w:lang w:val="en-US"/>
              </w:rPr>
              <w:t>3494</w:t>
            </w:r>
          </w:p>
        </w:tc>
        <w:tc>
          <w:tcPr>
            <w:tcW w:w="783" w:type="pct"/>
            <w:tcBorders>
              <w:top w:val="single" w:sz="4" w:space="0" w:color="000000"/>
              <w:left w:val="single" w:sz="4" w:space="0" w:color="000000"/>
              <w:bottom w:val="single" w:sz="4" w:space="0" w:color="000000"/>
              <w:right w:val="single" w:sz="4" w:space="0" w:color="000000"/>
            </w:tcBorders>
          </w:tcPr>
          <w:p w14:paraId="0CF3D441" w14:textId="77777777" w:rsidR="004A1F86" w:rsidRPr="00C311A4" w:rsidRDefault="004A1F86" w:rsidP="00AD0270">
            <w:pPr>
              <w:widowControl w:val="0"/>
              <w:tabs>
                <w:tab w:val="left" w:pos="1304"/>
              </w:tabs>
              <w:autoSpaceDE w:val="0"/>
              <w:autoSpaceDN w:val="0"/>
              <w:jc w:val="center"/>
              <w:rPr>
                <w:sz w:val="24"/>
                <w:szCs w:val="24"/>
                <w:lang w:val="en-US"/>
              </w:rPr>
            </w:pPr>
          </w:p>
        </w:tc>
        <w:tc>
          <w:tcPr>
            <w:tcW w:w="782" w:type="pct"/>
            <w:tcBorders>
              <w:top w:val="single" w:sz="4" w:space="0" w:color="000000"/>
              <w:left w:val="single" w:sz="4" w:space="0" w:color="000000"/>
              <w:bottom w:val="single" w:sz="4" w:space="0" w:color="000000"/>
              <w:right w:val="single" w:sz="4" w:space="0" w:color="000000"/>
            </w:tcBorders>
            <w:hideMark/>
          </w:tcPr>
          <w:p w14:paraId="01227E62" w14:textId="77777777" w:rsidR="004A1F86" w:rsidRPr="00C311A4" w:rsidRDefault="004A1F86" w:rsidP="00AD0270">
            <w:pPr>
              <w:widowControl w:val="0"/>
              <w:tabs>
                <w:tab w:val="left" w:pos="1304"/>
              </w:tabs>
              <w:autoSpaceDE w:val="0"/>
              <w:autoSpaceDN w:val="0"/>
              <w:spacing w:before="3" w:line="238" w:lineRule="exact"/>
              <w:ind w:left="244" w:right="227"/>
              <w:jc w:val="center"/>
              <w:rPr>
                <w:sz w:val="24"/>
                <w:szCs w:val="24"/>
                <w:lang w:val="en-US"/>
              </w:rPr>
            </w:pPr>
            <w:r w:rsidRPr="00C311A4">
              <w:rPr>
                <w:sz w:val="24"/>
                <w:szCs w:val="24"/>
                <w:lang w:val="en-US"/>
              </w:rPr>
              <w:t>3485</w:t>
            </w:r>
          </w:p>
        </w:tc>
        <w:tc>
          <w:tcPr>
            <w:tcW w:w="783" w:type="pct"/>
            <w:tcBorders>
              <w:top w:val="single" w:sz="4" w:space="0" w:color="000000"/>
              <w:left w:val="single" w:sz="4" w:space="0" w:color="000000"/>
              <w:bottom w:val="single" w:sz="4" w:space="0" w:color="000000"/>
              <w:right w:val="single" w:sz="4" w:space="0" w:color="000000"/>
            </w:tcBorders>
          </w:tcPr>
          <w:p w14:paraId="235734FE" w14:textId="77777777" w:rsidR="004A1F86" w:rsidRPr="00C311A4" w:rsidRDefault="004A1F86" w:rsidP="00AD0270">
            <w:pPr>
              <w:widowControl w:val="0"/>
              <w:tabs>
                <w:tab w:val="left" w:pos="1304"/>
              </w:tabs>
              <w:autoSpaceDE w:val="0"/>
              <w:autoSpaceDN w:val="0"/>
              <w:jc w:val="center"/>
              <w:rPr>
                <w:sz w:val="24"/>
                <w:szCs w:val="24"/>
                <w:lang w:val="en-US"/>
              </w:rPr>
            </w:pPr>
          </w:p>
        </w:tc>
        <w:tc>
          <w:tcPr>
            <w:tcW w:w="782" w:type="pct"/>
            <w:tcBorders>
              <w:top w:val="single" w:sz="4" w:space="0" w:color="000000"/>
              <w:left w:val="single" w:sz="4" w:space="0" w:color="000000"/>
              <w:bottom w:val="single" w:sz="4" w:space="0" w:color="000000"/>
              <w:right w:val="single" w:sz="4" w:space="0" w:color="000000"/>
            </w:tcBorders>
          </w:tcPr>
          <w:p w14:paraId="6398C160" w14:textId="77777777" w:rsidR="004A1F86" w:rsidRPr="00C311A4" w:rsidRDefault="004A1F86" w:rsidP="00AD0270">
            <w:pPr>
              <w:widowControl w:val="0"/>
              <w:tabs>
                <w:tab w:val="left" w:pos="1304"/>
              </w:tabs>
              <w:autoSpaceDE w:val="0"/>
              <w:autoSpaceDN w:val="0"/>
              <w:jc w:val="center"/>
              <w:rPr>
                <w:sz w:val="24"/>
                <w:szCs w:val="24"/>
                <w:lang w:val="en-US"/>
              </w:rPr>
            </w:pPr>
          </w:p>
        </w:tc>
      </w:tr>
      <w:tr w:rsidR="004A1F86" w:rsidRPr="00C311A4" w14:paraId="1B6502C4" w14:textId="77777777" w:rsidTr="00624EBB">
        <w:trPr>
          <w:trHeight w:val="1298"/>
        </w:trPr>
        <w:tc>
          <w:tcPr>
            <w:tcW w:w="1086" w:type="pct"/>
            <w:tcBorders>
              <w:top w:val="single" w:sz="4" w:space="0" w:color="000000"/>
              <w:left w:val="single" w:sz="4" w:space="0" w:color="000000"/>
              <w:bottom w:val="single" w:sz="4" w:space="0" w:color="000000"/>
              <w:right w:val="single" w:sz="4" w:space="0" w:color="000000"/>
            </w:tcBorders>
            <w:hideMark/>
          </w:tcPr>
          <w:p w14:paraId="55A0B620" w14:textId="4606C3B0" w:rsidR="004A1F86" w:rsidRPr="00C311A4" w:rsidRDefault="004A1F86" w:rsidP="00AD0270">
            <w:pPr>
              <w:widowControl w:val="0"/>
              <w:tabs>
                <w:tab w:val="left" w:pos="1304"/>
              </w:tabs>
              <w:autoSpaceDE w:val="0"/>
              <w:autoSpaceDN w:val="0"/>
              <w:spacing w:before="3" w:line="244" w:lineRule="auto"/>
              <w:ind w:left="107" w:right="157"/>
              <w:rPr>
                <w:sz w:val="24"/>
                <w:szCs w:val="24"/>
                <w:lang w:val="en-US"/>
              </w:rPr>
            </w:pPr>
            <w:r w:rsidRPr="00C311A4">
              <w:rPr>
                <w:sz w:val="24"/>
                <w:szCs w:val="24"/>
                <w:lang w:val="en-US"/>
              </w:rPr>
              <w:t>Primary CV composite (Cardiovascular death, non-fatal MI,</w:t>
            </w:r>
            <w:r w:rsidR="00AD0270">
              <w:rPr>
                <w:sz w:val="24"/>
                <w:szCs w:val="24"/>
                <w:lang w:val="en-US"/>
              </w:rPr>
              <w:t xml:space="preserve"> </w:t>
            </w:r>
            <w:r w:rsidRPr="00C311A4">
              <w:rPr>
                <w:sz w:val="24"/>
                <w:szCs w:val="24"/>
                <w:lang w:val="en-US"/>
              </w:rPr>
              <w:t>non-fatal stroke)</w:t>
            </w:r>
          </w:p>
        </w:tc>
        <w:tc>
          <w:tcPr>
            <w:tcW w:w="782" w:type="pct"/>
            <w:tcBorders>
              <w:top w:val="single" w:sz="4" w:space="0" w:color="000000"/>
              <w:left w:val="single" w:sz="4" w:space="0" w:color="000000"/>
              <w:bottom w:val="single" w:sz="4" w:space="0" w:color="000000"/>
              <w:right w:val="single" w:sz="4" w:space="0" w:color="000000"/>
            </w:tcBorders>
            <w:hideMark/>
          </w:tcPr>
          <w:p w14:paraId="1177DCA5" w14:textId="77777777" w:rsidR="004A1F86" w:rsidRPr="00C311A4" w:rsidRDefault="004A1F86" w:rsidP="00AD0270">
            <w:pPr>
              <w:widowControl w:val="0"/>
              <w:tabs>
                <w:tab w:val="left" w:pos="1304"/>
              </w:tabs>
              <w:autoSpaceDE w:val="0"/>
              <w:autoSpaceDN w:val="0"/>
              <w:spacing w:before="3"/>
              <w:ind w:left="237" w:right="227"/>
              <w:jc w:val="center"/>
              <w:rPr>
                <w:sz w:val="24"/>
                <w:szCs w:val="24"/>
                <w:lang w:val="en-US"/>
              </w:rPr>
            </w:pPr>
            <w:r w:rsidRPr="00C311A4">
              <w:rPr>
                <w:sz w:val="24"/>
                <w:szCs w:val="24"/>
                <w:lang w:val="en-US"/>
              </w:rPr>
              <w:t>434 (12.4)</w:t>
            </w:r>
          </w:p>
        </w:tc>
        <w:tc>
          <w:tcPr>
            <w:tcW w:w="783" w:type="pct"/>
            <w:tcBorders>
              <w:top w:val="single" w:sz="4" w:space="0" w:color="000000"/>
              <w:left w:val="single" w:sz="4" w:space="0" w:color="000000"/>
              <w:bottom w:val="single" w:sz="4" w:space="0" w:color="000000"/>
              <w:right w:val="single" w:sz="4" w:space="0" w:color="000000"/>
            </w:tcBorders>
            <w:hideMark/>
          </w:tcPr>
          <w:p w14:paraId="3E585273" w14:textId="77777777" w:rsidR="004A1F86" w:rsidRPr="00C311A4" w:rsidRDefault="004A1F86" w:rsidP="00AD0270">
            <w:pPr>
              <w:widowControl w:val="0"/>
              <w:tabs>
                <w:tab w:val="left" w:pos="1304"/>
              </w:tabs>
              <w:autoSpaceDE w:val="0"/>
              <w:autoSpaceDN w:val="0"/>
              <w:spacing w:before="3"/>
              <w:ind w:left="550"/>
              <w:jc w:val="center"/>
              <w:rPr>
                <w:sz w:val="24"/>
                <w:szCs w:val="24"/>
                <w:lang w:val="en-US"/>
              </w:rPr>
            </w:pPr>
            <w:r w:rsidRPr="00C311A4">
              <w:rPr>
                <w:sz w:val="24"/>
                <w:szCs w:val="24"/>
                <w:lang w:val="en-US"/>
              </w:rPr>
              <w:t>57.7</w:t>
            </w:r>
          </w:p>
        </w:tc>
        <w:tc>
          <w:tcPr>
            <w:tcW w:w="782" w:type="pct"/>
            <w:tcBorders>
              <w:top w:val="single" w:sz="4" w:space="0" w:color="000000"/>
              <w:left w:val="single" w:sz="4" w:space="0" w:color="000000"/>
              <w:bottom w:val="single" w:sz="4" w:space="0" w:color="000000"/>
              <w:right w:val="single" w:sz="4" w:space="0" w:color="000000"/>
            </w:tcBorders>
            <w:hideMark/>
          </w:tcPr>
          <w:p w14:paraId="5D5FDB92" w14:textId="77777777" w:rsidR="004A1F86" w:rsidRPr="00C311A4" w:rsidRDefault="004A1F86" w:rsidP="00AD0270">
            <w:pPr>
              <w:widowControl w:val="0"/>
              <w:tabs>
                <w:tab w:val="left" w:pos="1304"/>
              </w:tabs>
              <w:autoSpaceDE w:val="0"/>
              <w:autoSpaceDN w:val="0"/>
              <w:spacing w:before="3"/>
              <w:ind w:left="246" w:right="227"/>
              <w:jc w:val="center"/>
              <w:rPr>
                <w:sz w:val="24"/>
                <w:szCs w:val="24"/>
                <w:lang w:val="en-US"/>
              </w:rPr>
            </w:pPr>
            <w:r w:rsidRPr="00C311A4">
              <w:rPr>
                <w:sz w:val="24"/>
                <w:szCs w:val="24"/>
                <w:lang w:val="en-US"/>
              </w:rPr>
              <w:t>420 (12.1)</w:t>
            </w:r>
          </w:p>
        </w:tc>
        <w:tc>
          <w:tcPr>
            <w:tcW w:w="783" w:type="pct"/>
            <w:tcBorders>
              <w:top w:val="single" w:sz="4" w:space="0" w:color="000000"/>
              <w:left w:val="single" w:sz="4" w:space="0" w:color="000000"/>
              <w:bottom w:val="single" w:sz="4" w:space="0" w:color="000000"/>
              <w:right w:val="single" w:sz="4" w:space="0" w:color="000000"/>
            </w:tcBorders>
            <w:hideMark/>
          </w:tcPr>
          <w:p w14:paraId="4177490E" w14:textId="77777777" w:rsidR="004A1F86" w:rsidRPr="00C311A4" w:rsidRDefault="004A1F86" w:rsidP="00AD0270">
            <w:pPr>
              <w:widowControl w:val="0"/>
              <w:tabs>
                <w:tab w:val="left" w:pos="1304"/>
              </w:tabs>
              <w:autoSpaceDE w:val="0"/>
              <w:autoSpaceDN w:val="0"/>
              <w:spacing w:before="3"/>
              <w:ind w:left="524" w:right="505"/>
              <w:jc w:val="center"/>
              <w:rPr>
                <w:sz w:val="24"/>
                <w:szCs w:val="24"/>
                <w:lang w:val="en-US"/>
              </w:rPr>
            </w:pPr>
            <w:r w:rsidRPr="00C311A4">
              <w:rPr>
                <w:sz w:val="24"/>
                <w:szCs w:val="24"/>
                <w:lang w:val="en-US"/>
              </w:rPr>
              <w:t>56.3</w:t>
            </w:r>
          </w:p>
        </w:tc>
        <w:tc>
          <w:tcPr>
            <w:tcW w:w="782" w:type="pct"/>
            <w:tcBorders>
              <w:top w:val="single" w:sz="4" w:space="0" w:color="000000"/>
              <w:left w:val="single" w:sz="4" w:space="0" w:color="000000"/>
              <w:bottom w:val="single" w:sz="4" w:space="0" w:color="000000"/>
              <w:right w:val="single" w:sz="4" w:space="0" w:color="000000"/>
            </w:tcBorders>
            <w:hideMark/>
          </w:tcPr>
          <w:p w14:paraId="183A6FD6" w14:textId="77777777" w:rsidR="004A1F86" w:rsidRPr="00C311A4" w:rsidRDefault="004A1F86" w:rsidP="00AD0270">
            <w:pPr>
              <w:widowControl w:val="0"/>
              <w:tabs>
                <w:tab w:val="left" w:pos="1304"/>
              </w:tabs>
              <w:autoSpaceDE w:val="0"/>
              <w:autoSpaceDN w:val="0"/>
              <w:spacing w:before="3"/>
              <w:ind w:left="248" w:right="227"/>
              <w:jc w:val="center"/>
              <w:rPr>
                <w:sz w:val="24"/>
                <w:szCs w:val="24"/>
                <w:lang w:val="en-US"/>
              </w:rPr>
            </w:pPr>
            <w:r w:rsidRPr="00C311A4">
              <w:rPr>
                <w:sz w:val="24"/>
                <w:szCs w:val="24"/>
                <w:lang w:val="en-US"/>
              </w:rPr>
              <w:t>1.02 (0.89,</w:t>
            </w:r>
          </w:p>
          <w:p w14:paraId="14E11EBD" w14:textId="77777777" w:rsidR="004A1F86" w:rsidRPr="00C311A4" w:rsidRDefault="004A1F86" w:rsidP="00AD0270">
            <w:pPr>
              <w:widowControl w:val="0"/>
              <w:tabs>
                <w:tab w:val="left" w:pos="1304"/>
              </w:tabs>
              <w:autoSpaceDE w:val="0"/>
              <w:autoSpaceDN w:val="0"/>
              <w:spacing w:before="6"/>
              <w:ind w:left="248" w:right="227"/>
              <w:jc w:val="center"/>
              <w:rPr>
                <w:sz w:val="24"/>
                <w:szCs w:val="24"/>
                <w:lang w:val="en-US"/>
              </w:rPr>
            </w:pPr>
            <w:proofErr w:type="gramStart"/>
            <w:r w:rsidRPr="00C311A4">
              <w:rPr>
                <w:sz w:val="24"/>
                <w:szCs w:val="24"/>
                <w:lang w:val="en-US"/>
              </w:rPr>
              <w:t>1.17)*</w:t>
            </w:r>
            <w:proofErr w:type="gramEnd"/>
            <w:r w:rsidRPr="00C311A4">
              <w:rPr>
                <w:sz w:val="24"/>
                <w:szCs w:val="24"/>
                <w:lang w:val="en-US"/>
              </w:rPr>
              <w:t>*</w:t>
            </w:r>
          </w:p>
        </w:tc>
      </w:tr>
      <w:tr w:rsidR="004A1F86" w:rsidRPr="00C311A4" w14:paraId="52A6A16A" w14:textId="77777777" w:rsidTr="00624EBB">
        <w:trPr>
          <w:trHeight w:val="1300"/>
        </w:trPr>
        <w:tc>
          <w:tcPr>
            <w:tcW w:w="1086" w:type="pct"/>
            <w:tcBorders>
              <w:top w:val="single" w:sz="4" w:space="0" w:color="000000"/>
              <w:left w:val="single" w:sz="4" w:space="0" w:color="000000"/>
              <w:bottom w:val="single" w:sz="4" w:space="0" w:color="000000"/>
              <w:right w:val="single" w:sz="4" w:space="0" w:color="000000"/>
            </w:tcBorders>
            <w:hideMark/>
          </w:tcPr>
          <w:p w14:paraId="4E95B656" w14:textId="5F8D3147" w:rsidR="004A1F86" w:rsidRPr="00C311A4" w:rsidRDefault="004A1F86" w:rsidP="00AD0270">
            <w:pPr>
              <w:widowControl w:val="0"/>
              <w:tabs>
                <w:tab w:val="left" w:pos="1304"/>
              </w:tabs>
              <w:autoSpaceDE w:val="0"/>
              <w:autoSpaceDN w:val="0"/>
              <w:spacing w:before="5" w:line="242" w:lineRule="auto"/>
              <w:ind w:left="107" w:right="254"/>
              <w:rPr>
                <w:sz w:val="24"/>
                <w:szCs w:val="24"/>
                <w:lang w:val="en-US"/>
              </w:rPr>
            </w:pPr>
            <w:r w:rsidRPr="00C311A4">
              <w:rPr>
                <w:sz w:val="24"/>
                <w:szCs w:val="24"/>
                <w:lang w:val="en-US"/>
              </w:rPr>
              <w:t>Secondary renal composite (renal death, ESRD, 40%</w:t>
            </w:r>
            <w:r w:rsidR="00AD0270">
              <w:rPr>
                <w:sz w:val="24"/>
                <w:szCs w:val="24"/>
                <w:lang w:val="en-US"/>
              </w:rPr>
              <w:t xml:space="preserve"> </w:t>
            </w:r>
            <w:r w:rsidRPr="00C311A4">
              <w:rPr>
                <w:sz w:val="24"/>
                <w:szCs w:val="24"/>
                <w:lang w:val="en-US"/>
              </w:rPr>
              <w:t>sustained decrease in eGFR)</w:t>
            </w:r>
          </w:p>
        </w:tc>
        <w:tc>
          <w:tcPr>
            <w:tcW w:w="782" w:type="pct"/>
            <w:tcBorders>
              <w:top w:val="single" w:sz="4" w:space="0" w:color="000000"/>
              <w:left w:val="single" w:sz="4" w:space="0" w:color="000000"/>
              <w:bottom w:val="single" w:sz="4" w:space="0" w:color="000000"/>
              <w:right w:val="single" w:sz="4" w:space="0" w:color="000000"/>
            </w:tcBorders>
            <w:hideMark/>
          </w:tcPr>
          <w:p w14:paraId="6080CD84" w14:textId="77777777" w:rsidR="004A1F86" w:rsidRPr="00C311A4" w:rsidRDefault="004A1F86" w:rsidP="00AD0270">
            <w:pPr>
              <w:widowControl w:val="0"/>
              <w:tabs>
                <w:tab w:val="left" w:pos="1304"/>
              </w:tabs>
              <w:autoSpaceDE w:val="0"/>
              <w:autoSpaceDN w:val="0"/>
              <w:spacing w:before="5"/>
              <w:ind w:left="237" w:right="227"/>
              <w:jc w:val="center"/>
              <w:rPr>
                <w:sz w:val="24"/>
                <w:szCs w:val="24"/>
                <w:lang w:val="en-US"/>
              </w:rPr>
            </w:pPr>
            <w:r w:rsidRPr="00C311A4">
              <w:rPr>
                <w:sz w:val="24"/>
                <w:szCs w:val="24"/>
                <w:lang w:val="en-US"/>
              </w:rPr>
              <w:t>327 (9.4)</w:t>
            </w:r>
          </w:p>
        </w:tc>
        <w:tc>
          <w:tcPr>
            <w:tcW w:w="783" w:type="pct"/>
            <w:tcBorders>
              <w:top w:val="single" w:sz="4" w:space="0" w:color="000000"/>
              <w:left w:val="single" w:sz="4" w:space="0" w:color="000000"/>
              <w:bottom w:val="single" w:sz="4" w:space="0" w:color="000000"/>
              <w:right w:val="single" w:sz="4" w:space="0" w:color="000000"/>
            </w:tcBorders>
            <w:hideMark/>
          </w:tcPr>
          <w:p w14:paraId="48593DB5" w14:textId="77777777" w:rsidR="004A1F86" w:rsidRPr="00C311A4" w:rsidRDefault="004A1F86" w:rsidP="00AD0270">
            <w:pPr>
              <w:widowControl w:val="0"/>
              <w:tabs>
                <w:tab w:val="left" w:pos="1304"/>
              </w:tabs>
              <w:autoSpaceDE w:val="0"/>
              <w:autoSpaceDN w:val="0"/>
              <w:spacing w:before="5"/>
              <w:ind w:left="550"/>
              <w:jc w:val="center"/>
              <w:rPr>
                <w:sz w:val="24"/>
                <w:szCs w:val="24"/>
                <w:lang w:val="en-US"/>
              </w:rPr>
            </w:pPr>
            <w:r w:rsidRPr="00C311A4">
              <w:rPr>
                <w:sz w:val="24"/>
                <w:szCs w:val="24"/>
                <w:lang w:val="en-US"/>
              </w:rPr>
              <w:t>48.9</w:t>
            </w:r>
          </w:p>
        </w:tc>
        <w:tc>
          <w:tcPr>
            <w:tcW w:w="782" w:type="pct"/>
            <w:tcBorders>
              <w:top w:val="single" w:sz="4" w:space="0" w:color="000000"/>
              <w:left w:val="single" w:sz="4" w:space="0" w:color="000000"/>
              <w:bottom w:val="single" w:sz="4" w:space="0" w:color="000000"/>
              <w:right w:val="single" w:sz="4" w:space="0" w:color="000000"/>
            </w:tcBorders>
            <w:hideMark/>
          </w:tcPr>
          <w:p w14:paraId="22A13327" w14:textId="77777777" w:rsidR="004A1F86" w:rsidRPr="00C311A4" w:rsidRDefault="004A1F86" w:rsidP="00AD0270">
            <w:pPr>
              <w:widowControl w:val="0"/>
              <w:tabs>
                <w:tab w:val="left" w:pos="1304"/>
              </w:tabs>
              <w:autoSpaceDE w:val="0"/>
              <w:autoSpaceDN w:val="0"/>
              <w:spacing w:before="5"/>
              <w:ind w:left="246" w:right="227"/>
              <w:jc w:val="center"/>
              <w:rPr>
                <w:sz w:val="24"/>
                <w:szCs w:val="24"/>
                <w:lang w:val="en-US"/>
              </w:rPr>
            </w:pPr>
            <w:r w:rsidRPr="00C311A4">
              <w:rPr>
                <w:sz w:val="24"/>
                <w:szCs w:val="24"/>
                <w:lang w:val="en-US"/>
              </w:rPr>
              <w:t>306 (8.8)</w:t>
            </w:r>
          </w:p>
        </w:tc>
        <w:tc>
          <w:tcPr>
            <w:tcW w:w="783" w:type="pct"/>
            <w:tcBorders>
              <w:top w:val="single" w:sz="4" w:space="0" w:color="000000"/>
              <w:left w:val="single" w:sz="4" w:space="0" w:color="000000"/>
              <w:bottom w:val="single" w:sz="4" w:space="0" w:color="000000"/>
              <w:right w:val="single" w:sz="4" w:space="0" w:color="000000"/>
            </w:tcBorders>
            <w:hideMark/>
          </w:tcPr>
          <w:p w14:paraId="1D343650" w14:textId="77777777" w:rsidR="004A1F86" w:rsidRPr="00C311A4" w:rsidRDefault="004A1F86" w:rsidP="00AD0270">
            <w:pPr>
              <w:widowControl w:val="0"/>
              <w:tabs>
                <w:tab w:val="left" w:pos="1304"/>
              </w:tabs>
              <w:autoSpaceDE w:val="0"/>
              <w:autoSpaceDN w:val="0"/>
              <w:spacing w:before="5"/>
              <w:ind w:left="524" w:right="505"/>
              <w:jc w:val="center"/>
              <w:rPr>
                <w:sz w:val="24"/>
                <w:szCs w:val="24"/>
                <w:lang w:val="en-US"/>
              </w:rPr>
            </w:pPr>
            <w:r w:rsidRPr="00C311A4">
              <w:rPr>
                <w:sz w:val="24"/>
                <w:szCs w:val="24"/>
                <w:lang w:val="en-US"/>
              </w:rPr>
              <w:t>46.6</w:t>
            </w:r>
          </w:p>
        </w:tc>
        <w:tc>
          <w:tcPr>
            <w:tcW w:w="782" w:type="pct"/>
            <w:tcBorders>
              <w:top w:val="single" w:sz="4" w:space="0" w:color="000000"/>
              <w:left w:val="single" w:sz="4" w:space="0" w:color="000000"/>
              <w:bottom w:val="single" w:sz="4" w:space="0" w:color="000000"/>
              <w:right w:val="single" w:sz="4" w:space="0" w:color="000000"/>
            </w:tcBorders>
            <w:hideMark/>
          </w:tcPr>
          <w:p w14:paraId="7714580D" w14:textId="77777777" w:rsidR="004A1F86" w:rsidRPr="00C311A4" w:rsidRDefault="004A1F86" w:rsidP="00AD0270">
            <w:pPr>
              <w:widowControl w:val="0"/>
              <w:tabs>
                <w:tab w:val="left" w:pos="1304"/>
              </w:tabs>
              <w:autoSpaceDE w:val="0"/>
              <w:autoSpaceDN w:val="0"/>
              <w:spacing w:before="5"/>
              <w:ind w:left="248" w:right="227"/>
              <w:jc w:val="center"/>
              <w:rPr>
                <w:sz w:val="24"/>
                <w:szCs w:val="24"/>
                <w:lang w:val="en-US"/>
              </w:rPr>
            </w:pPr>
            <w:r w:rsidRPr="00C311A4">
              <w:rPr>
                <w:sz w:val="24"/>
                <w:szCs w:val="24"/>
                <w:lang w:val="en-US"/>
              </w:rPr>
              <w:t>1.04 (0.89,</w:t>
            </w:r>
          </w:p>
          <w:p w14:paraId="6282E561" w14:textId="77777777" w:rsidR="004A1F86" w:rsidRPr="00C311A4" w:rsidRDefault="004A1F86" w:rsidP="00AD0270">
            <w:pPr>
              <w:widowControl w:val="0"/>
              <w:tabs>
                <w:tab w:val="left" w:pos="1304"/>
              </w:tabs>
              <w:autoSpaceDE w:val="0"/>
              <w:autoSpaceDN w:val="0"/>
              <w:spacing w:before="7"/>
              <w:ind w:left="247" w:right="227"/>
              <w:jc w:val="center"/>
              <w:rPr>
                <w:sz w:val="24"/>
                <w:szCs w:val="24"/>
                <w:lang w:val="en-US"/>
              </w:rPr>
            </w:pPr>
            <w:r w:rsidRPr="00C311A4">
              <w:rPr>
                <w:sz w:val="24"/>
                <w:szCs w:val="24"/>
                <w:lang w:val="en-US"/>
              </w:rPr>
              <w:t>1.22)</w:t>
            </w:r>
          </w:p>
        </w:tc>
      </w:tr>
      <w:tr w:rsidR="004A1F86" w:rsidRPr="00C311A4" w14:paraId="4D4A8D04" w14:textId="77777777" w:rsidTr="00624EBB">
        <w:trPr>
          <w:trHeight w:val="517"/>
        </w:trPr>
        <w:tc>
          <w:tcPr>
            <w:tcW w:w="1086" w:type="pct"/>
            <w:tcBorders>
              <w:top w:val="single" w:sz="4" w:space="0" w:color="000000"/>
              <w:left w:val="single" w:sz="4" w:space="0" w:color="000000"/>
              <w:bottom w:val="single" w:sz="4" w:space="0" w:color="000000"/>
              <w:right w:val="single" w:sz="4" w:space="0" w:color="000000"/>
            </w:tcBorders>
            <w:hideMark/>
          </w:tcPr>
          <w:p w14:paraId="5D8B3DEA" w14:textId="77777777" w:rsidR="004A1F86" w:rsidRPr="00C311A4" w:rsidRDefault="004A1F86">
            <w:pPr>
              <w:widowControl w:val="0"/>
              <w:tabs>
                <w:tab w:val="left" w:pos="1304"/>
              </w:tabs>
              <w:autoSpaceDE w:val="0"/>
              <w:autoSpaceDN w:val="0"/>
              <w:ind w:left="107"/>
              <w:rPr>
                <w:sz w:val="24"/>
                <w:szCs w:val="24"/>
                <w:lang w:val="en-US"/>
              </w:rPr>
            </w:pPr>
            <w:r w:rsidRPr="00C311A4">
              <w:rPr>
                <w:sz w:val="24"/>
                <w:szCs w:val="24"/>
                <w:lang w:val="en-US"/>
              </w:rPr>
              <w:t>All-cause mortality</w:t>
            </w:r>
          </w:p>
        </w:tc>
        <w:tc>
          <w:tcPr>
            <w:tcW w:w="782" w:type="pct"/>
            <w:tcBorders>
              <w:top w:val="single" w:sz="4" w:space="0" w:color="000000"/>
              <w:left w:val="single" w:sz="4" w:space="0" w:color="000000"/>
              <w:bottom w:val="single" w:sz="4" w:space="0" w:color="000000"/>
              <w:right w:val="single" w:sz="4" w:space="0" w:color="000000"/>
            </w:tcBorders>
            <w:hideMark/>
          </w:tcPr>
          <w:p w14:paraId="41D3351D" w14:textId="77777777" w:rsidR="004A1F86" w:rsidRPr="00C311A4" w:rsidRDefault="004A1F86" w:rsidP="00AD0270">
            <w:pPr>
              <w:widowControl w:val="0"/>
              <w:tabs>
                <w:tab w:val="left" w:pos="1304"/>
              </w:tabs>
              <w:autoSpaceDE w:val="0"/>
              <w:autoSpaceDN w:val="0"/>
              <w:ind w:left="237" w:right="227"/>
              <w:jc w:val="center"/>
              <w:rPr>
                <w:sz w:val="24"/>
                <w:szCs w:val="24"/>
                <w:lang w:val="en-US"/>
              </w:rPr>
            </w:pPr>
            <w:r w:rsidRPr="00C311A4">
              <w:rPr>
                <w:sz w:val="24"/>
                <w:szCs w:val="24"/>
                <w:lang w:val="en-US"/>
              </w:rPr>
              <w:t>367 (10.5)</w:t>
            </w:r>
          </w:p>
        </w:tc>
        <w:tc>
          <w:tcPr>
            <w:tcW w:w="783" w:type="pct"/>
            <w:tcBorders>
              <w:top w:val="single" w:sz="4" w:space="0" w:color="000000"/>
              <w:left w:val="single" w:sz="4" w:space="0" w:color="000000"/>
              <w:bottom w:val="single" w:sz="4" w:space="0" w:color="000000"/>
              <w:right w:val="single" w:sz="4" w:space="0" w:color="000000"/>
            </w:tcBorders>
            <w:hideMark/>
          </w:tcPr>
          <w:p w14:paraId="5EA98415" w14:textId="77777777" w:rsidR="004A1F86" w:rsidRPr="00C311A4" w:rsidRDefault="004A1F86" w:rsidP="00AD0270">
            <w:pPr>
              <w:widowControl w:val="0"/>
              <w:tabs>
                <w:tab w:val="left" w:pos="1304"/>
              </w:tabs>
              <w:autoSpaceDE w:val="0"/>
              <w:autoSpaceDN w:val="0"/>
              <w:ind w:left="550"/>
              <w:jc w:val="center"/>
              <w:rPr>
                <w:sz w:val="24"/>
                <w:szCs w:val="24"/>
                <w:lang w:val="en-US"/>
              </w:rPr>
            </w:pPr>
            <w:r w:rsidRPr="00C311A4">
              <w:rPr>
                <w:sz w:val="24"/>
                <w:szCs w:val="24"/>
                <w:lang w:val="en-US"/>
              </w:rPr>
              <w:t>46.9</w:t>
            </w:r>
          </w:p>
        </w:tc>
        <w:tc>
          <w:tcPr>
            <w:tcW w:w="782" w:type="pct"/>
            <w:tcBorders>
              <w:top w:val="single" w:sz="4" w:space="0" w:color="000000"/>
              <w:left w:val="single" w:sz="4" w:space="0" w:color="000000"/>
              <w:bottom w:val="single" w:sz="4" w:space="0" w:color="000000"/>
              <w:right w:val="single" w:sz="4" w:space="0" w:color="000000"/>
            </w:tcBorders>
            <w:hideMark/>
          </w:tcPr>
          <w:p w14:paraId="283CFEB5" w14:textId="77777777" w:rsidR="004A1F86" w:rsidRPr="00C311A4" w:rsidRDefault="004A1F86" w:rsidP="00AD0270">
            <w:pPr>
              <w:widowControl w:val="0"/>
              <w:tabs>
                <w:tab w:val="left" w:pos="1304"/>
              </w:tabs>
              <w:autoSpaceDE w:val="0"/>
              <w:autoSpaceDN w:val="0"/>
              <w:ind w:left="246" w:right="227"/>
              <w:jc w:val="center"/>
              <w:rPr>
                <w:sz w:val="24"/>
                <w:szCs w:val="24"/>
                <w:lang w:val="en-US"/>
              </w:rPr>
            </w:pPr>
            <w:r w:rsidRPr="00C311A4">
              <w:rPr>
                <w:sz w:val="24"/>
                <w:szCs w:val="24"/>
                <w:lang w:val="en-US"/>
              </w:rPr>
              <w:t>373 (10.7)</w:t>
            </w:r>
          </w:p>
        </w:tc>
        <w:tc>
          <w:tcPr>
            <w:tcW w:w="783" w:type="pct"/>
            <w:tcBorders>
              <w:top w:val="single" w:sz="4" w:space="0" w:color="000000"/>
              <w:left w:val="single" w:sz="4" w:space="0" w:color="000000"/>
              <w:bottom w:val="single" w:sz="4" w:space="0" w:color="000000"/>
              <w:right w:val="single" w:sz="4" w:space="0" w:color="000000"/>
            </w:tcBorders>
            <w:hideMark/>
          </w:tcPr>
          <w:p w14:paraId="470440DE" w14:textId="77777777" w:rsidR="004A1F86" w:rsidRPr="00C311A4" w:rsidRDefault="004A1F86" w:rsidP="00AD0270">
            <w:pPr>
              <w:widowControl w:val="0"/>
              <w:tabs>
                <w:tab w:val="left" w:pos="1304"/>
              </w:tabs>
              <w:autoSpaceDE w:val="0"/>
              <w:autoSpaceDN w:val="0"/>
              <w:ind w:left="524" w:right="505"/>
              <w:jc w:val="center"/>
              <w:rPr>
                <w:sz w:val="24"/>
                <w:szCs w:val="24"/>
                <w:lang w:val="en-US"/>
              </w:rPr>
            </w:pPr>
            <w:r w:rsidRPr="00C311A4">
              <w:rPr>
                <w:sz w:val="24"/>
                <w:szCs w:val="24"/>
                <w:lang w:val="en-US"/>
              </w:rPr>
              <w:t>48.0</w:t>
            </w:r>
          </w:p>
        </w:tc>
        <w:tc>
          <w:tcPr>
            <w:tcW w:w="782" w:type="pct"/>
            <w:tcBorders>
              <w:top w:val="single" w:sz="4" w:space="0" w:color="000000"/>
              <w:left w:val="single" w:sz="4" w:space="0" w:color="000000"/>
              <w:bottom w:val="single" w:sz="4" w:space="0" w:color="000000"/>
              <w:right w:val="single" w:sz="4" w:space="0" w:color="000000"/>
            </w:tcBorders>
            <w:hideMark/>
          </w:tcPr>
          <w:p w14:paraId="093959B2" w14:textId="77777777" w:rsidR="004A1F86" w:rsidRPr="00C311A4" w:rsidRDefault="004A1F86" w:rsidP="00AD0270">
            <w:pPr>
              <w:widowControl w:val="0"/>
              <w:tabs>
                <w:tab w:val="left" w:pos="1304"/>
              </w:tabs>
              <w:autoSpaceDE w:val="0"/>
              <w:autoSpaceDN w:val="0"/>
              <w:ind w:left="248" w:right="227"/>
              <w:jc w:val="center"/>
              <w:rPr>
                <w:sz w:val="24"/>
                <w:szCs w:val="24"/>
                <w:lang w:val="en-US"/>
              </w:rPr>
            </w:pPr>
            <w:r w:rsidRPr="00C311A4">
              <w:rPr>
                <w:sz w:val="24"/>
                <w:szCs w:val="24"/>
                <w:lang w:val="en-US"/>
              </w:rPr>
              <w:t>0.98 (0.84,</w:t>
            </w:r>
          </w:p>
          <w:p w14:paraId="7832BB5B" w14:textId="77777777" w:rsidR="004A1F86" w:rsidRPr="00C311A4" w:rsidRDefault="004A1F86" w:rsidP="00AD0270">
            <w:pPr>
              <w:widowControl w:val="0"/>
              <w:tabs>
                <w:tab w:val="left" w:pos="1304"/>
              </w:tabs>
              <w:autoSpaceDE w:val="0"/>
              <w:autoSpaceDN w:val="0"/>
              <w:spacing w:before="9" w:line="236" w:lineRule="exact"/>
              <w:ind w:left="247" w:right="227"/>
              <w:jc w:val="center"/>
              <w:rPr>
                <w:sz w:val="24"/>
                <w:szCs w:val="24"/>
                <w:lang w:val="en-US"/>
              </w:rPr>
            </w:pPr>
            <w:r w:rsidRPr="00C311A4">
              <w:rPr>
                <w:sz w:val="24"/>
                <w:szCs w:val="24"/>
                <w:lang w:val="en-US"/>
              </w:rPr>
              <w:t>1.13)</w:t>
            </w:r>
          </w:p>
        </w:tc>
      </w:tr>
      <w:tr w:rsidR="004A1F86" w:rsidRPr="00C311A4" w14:paraId="0D4D1FA4" w14:textId="77777777" w:rsidTr="00624EBB">
        <w:trPr>
          <w:trHeight w:val="520"/>
        </w:trPr>
        <w:tc>
          <w:tcPr>
            <w:tcW w:w="1086" w:type="pct"/>
            <w:tcBorders>
              <w:top w:val="single" w:sz="4" w:space="0" w:color="000000"/>
              <w:left w:val="single" w:sz="4" w:space="0" w:color="000000"/>
              <w:bottom w:val="single" w:sz="4" w:space="0" w:color="000000"/>
              <w:right w:val="single" w:sz="4" w:space="0" w:color="000000"/>
            </w:tcBorders>
            <w:hideMark/>
          </w:tcPr>
          <w:p w14:paraId="4010AF24" w14:textId="77777777" w:rsidR="004A1F86" w:rsidRPr="00C311A4" w:rsidRDefault="004A1F86">
            <w:pPr>
              <w:widowControl w:val="0"/>
              <w:tabs>
                <w:tab w:val="left" w:pos="1304"/>
              </w:tabs>
              <w:autoSpaceDE w:val="0"/>
              <w:autoSpaceDN w:val="0"/>
              <w:spacing w:before="3"/>
              <w:ind w:left="107"/>
              <w:rPr>
                <w:sz w:val="24"/>
                <w:szCs w:val="24"/>
                <w:lang w:val="en-US"/>
              </w:rPr>
            </w:pPr>
            <w:r w:rsidRPr="00C311A4">
              <w:rPr>
                <w:sz w:val="24"/>
                <w:szCs w:val="24"/>
                <w:lang w:val="en-US"/>
              </w:rPr>
              <w:t>CV death</w:t>
            </w:r>
          </w:p>
        </w:tc>
        <w:tc>
          <w:tcPr>
            <w:tcW w:w="782" w:type="pct"/>
            <w:tcBorders>
              <w:top w:val="single" w:sz="4" w:space="0" w:color="000000"/>
              <w:left w:val="single" w:sz="4" w:space="0" w:color="000000"/>
              <w:bottom w:val="single" w:sz="4" w:space="0" w:color="000000"/>
              <w:right w:val="single" w:sz="4" w:space="0" w:color="000000"/>
            </w:tcBorders>
            <w:hideMark/>
          </w:tcPr>
          <w:p w14:paraId="5B1BC601" w14:textId="77777777" w:rsidR="004A1F86" w:rsidRPr="00C311A4" w:rsidRDefault="004A1F86" w:rsidP="00AD0270">
            <w:pPr>
              <w:widowControl w:val="0"/>
              <w:tabs>
                <w:tab w:val="left" w:pos="1304"/>
              </w:tabs>
              <w:autoSpaceDE w:val="0"/>
              <w:autoSpaceDN w:val="0"/>
              <w:spacing w:before="3"/>
              <w:ind w:left="237" w:right="227"/>
              <w:jc w:val="center"/>
              <w:rPr>
                <w:sz w:val="24"/>
                <w:szCs w:val="24"/>
                <w:lang w:val="en-US"/>
              </w:rPr>
            </w:pPr>
            <w:r w:rsidRPr="00C311A4">
              <w:rPr>
                <w:sz w:val="24"/>
                <w:szCs w:val="24"/>
                <w:lang w:val="en-US"/>
              </w:rPr>
              <w:t>255 (7.3)</w:t>
            </w:r>
          </w:p>
        </w:tc>
        <w:tc>
          <w:tcPr>
            <w:tcW w:w="783" w:type="pct"/>
            <w:tcBorders>
              <w:top w:val="single" w:sz="4" w:space="0" w:color="000000"/>
              <w:left w:val="single" w:sz="4" w:space="0" w:color="000000"/>
              <w:bottom w:val="single" w:sz="4" w:space="0" w:color="000000"/>
              <w:right w:val="single" w:sz="4" w:space="0" w:color="000000"/>
            </w:tcBorders>
            <w:hideMark/>
          </w:tcPr>
          <w:p w14:paraId="5387EA9B" w14:textId="77777777" w:rsidR="004A1F86" w:rsidRPr="00C311A4" w:rsidRDefault="004A1F86" w:rsidP="00AD0270">
            <w:pPr>
              <w:widowControl w:val="0"/>
              <w:tabs>
                <w:tab w:val="left" w:pos="1304"/>
              </w:tabs>
              <w:autoSpaceDE w:val="0"/>
              <w:autoSpaceDN w:val="0"/>
              <w:spacing w:before="3"/>
              <w:ind w:left="550"/>
              <w:jc w:val="center"/>
              <w:rPr>
                <w:sz w:val="24"/>
                <w:szCs w:val="24"/>
                <w:lang w:val="en-US"/>
              </w:rPr>
            </w:pPr>
            <w:r w:rsidRPr="00C311A4">
              <w:rPr>
                <w:sz w:val="24"/>
                <w:szCs w:val="24"/>
                <w:lang w:val="en-US"/>
              </w:rPr>
              <w:t>32.6</w:t>
            </w:r>
          </w:p>
        </w:tc>
        <w:tc>
          <w:tcPr>
            <w:tcW w:w="782" w:type="pct"/>
            <w:tcBorders>
              <w:top w:val="single" w:sz="4" w:space="0" w:color="000000"/>
              <w:left w:val="single" w:sz="4" w:space="0" w:color="000000"/>
              <w:bottom w:val="single" w:sz="4" w:space="0" w:color="000000"/>
              <w:right w:val="single" w:sz="4" w:space="0" w:color="000000"/>
            </w:tcBorders>
            <w:hideMark/>
          </w:tcPr>
          <w:p w14:paraId="204018C6" w14:textId="77777777" w:rsidR="004A1F86" w:rsidRPr="00C311A4" w:rsidRDefault="004A1F86" w:rsidP="00AD0270">
            <w:pPr>
              <w:widowControl w:val="0"/>
              <w:tabs>
                <w:tab w:val="left" w:pos="1304"/>
              </w:tabs>
              <w:autoSpaceDE w:val="0"/>
              <w:autoSpaceDN w:val="0"/>
              <w:spacing w:before="3"/>
              <w:ind w:left="246" w:right="227"/>
              <w:jc w:val="center"/>
              <w:rPr>
                <w:sz w:val="24"/>
                <w:szCs w:val="24"/>
                <w:lang w:val="en-US"/>
              </w:rPr>
            </w:pPr>
            <w:r w:rsidRPr="00C311A4">
              <w:rPr>
                <w:sz w:val="24"/>
                <w:szCs w:val="24"/>
                <w:lang w:val="en-US"/>
              </w:rPr>
              <w:t>264 (7.6)</w:t>
            </w:r>
          </w:p>
        </w:tc>
        <w:tc>
          <w:tcPr>
            <w:tcW w:w="783" w:type="pct"/>
            <w:tcBorders>
              <w:top w:val="single" w:sz="4" w:space="0" w:color="000000"/>
              <w:left w:val="single" w:sz="4" w:space="0" w:color="000000"/>
              <w:bottom w:val="single" w:sz="4" w:space="0" w:color="000000"/>
              <w:right w:val="single" w:sz="4" w:space="0" w:color="000000"/>
            </w:tcBorders>
            <w:hideMark/>
          </w:tcPr>
          <w:p w14:paraId="56031CF3" w14:textId="77777777" w:rsidR="004A1F86" w:rsidRPr="00C311A4" w:rsidRDefault="004A1F86" w:rsidP="00AD0270">
            <w:pPr>
              <w:widowControl w:val="0"/>
              <w:tabs>
                <w:tab w:val="left" w:pos="1304"/>
              </w:tabs>
              <w:autoSpaceDE w:val="0"/>
              <w:autoSpaceDN w:val="0"/>
              <w:spacing w:before="3"/>
              <w:ind w:left="524" w:right="507"/>
              <w:jc w:val="center"/>
              <w:rPr>
                <w:sz w:val="24"/>
                <w:szCs w:val="24"/>
                <w:lang w:val="en-US"/>
              </w:rPr>
            </w:pPr>
            <w:r w:rsidRPr="00C311A4">
              <w:rPr>
                <w:sz w:val="24"/>
                <w:szCs w:val="24"/>
                <w:lang w:val="en-US"/>
              </w:rPr>
              <w:t>34</w:t>
            </w:r>
          </w:p>
        </w:tc>
        <w:tc>
          <w:tcPr>
            <w:tcW w:w="782" w:type="pct"/>
            <w:tcBorders>
              <w:top w:val="single" w:sz="4" w:space="0" w:color="000000"/>
              <w:left w:val="single" w:sz="4" w:space="0" w:color="000000"/>
              <w:bottom w:val="single" w:sz="4" w:space="0" w:color="000000"/>
              <w:right w:val="single" w:sz="4" w:space="0" w:color="000000"/>
            </w:tcBorders>
            <w:hideMark/>
          </w:tcPr>
          <w:p w14:paraId="507A78E2" w14:textId="77777777" w:rsidR="004A1F86" w:rsidRPr="00C311A4" w:rsidRDefault="004A1F86" w:rsidP="00AD0270">
            <w:pPr>
              <w:widowControl w:val="0"/>
              <w:tabs>
                <w:tab w:val="left" w:pos="1304"/>
              </w:tabs>
              <w:autoSpaceDE w:val="0"/>
              <w:autoSpaceDN w:val="0"/>
              <w:spacing w:before="3"/>
              <w:ind w:left="248" w:right="227"/>
              <w:jc w:val="center"/>
              <w:rPr>
                <w:sz w:val="24"/>
                <w:szCs w:val="24"/>
                <w:lang w:val="en-US"/>
              </w:rPr>
            </w:pPr>
            <w:r w:rsidRPr="00C311A4">
              <w:rPr>
                <w:sz w:val="24"/>
                <w:szCs w:val="24"/>
                <w:lang w:val="en-US"/>
              </w:rPr>
              <w:t>0.96 (0.81,</w:t>
            </w:r>
          </w:p>
          <w:p w14:paraId="057C5171" w14:textId="77777777" w:rsidR="004A1F86" w:rsidRPr="00C311A4" w:rsidRDefault="004A1F86" w:rsidP="00AD0270">
            <w:pPr>
              <w:widowControl w:val="0"/>
              <w:tabs>
                <w:tab w:val="left" w:pos="1304"/>
              </w:tabs>
              <w:autoSpaceDE w:val="0"/>
              <w:autoSpaceDN w:val="0"/>
              <w:spacing w:before="9" w:line="236" w:lineRule="exact"/>
              <w:ind w:left="247" w:right="227"/>
              <w:jc w:val="center"/>
              <w:rPr>
                <w:sz w:val="24"/>
                <w:szCs w:val="24"/>
                <w:lang w:val="en-US"/>
              </w:rPr>
            </w:pPr>
            <w:r w:rsidRPr="00C311A4">
              <w:rPr>
                <w:sz w:val="24"/>
                <w:szCs w:val="24"/>
                <w:lang w:val="en-US"/>
              </w:rPr>
              <w:t>1.14)</w:t>
            </w:r>
          </w:p>
        </w:tc>
      </w:tr>
      <w:tr w:rsidR="004A1F86" w:rsidRPr="00C311A4" w14:paraId="653B24D2" w14:textId="77777777" w:rsidTr="00624EBB">
        <w:trPr>
          <w:trHeight w:val="520"/>
        </w:trPr>
        <w:tc>
          <w:tcPr>
            <w:tcW w:w="1086" w:type="pct"/>
            <w:tcBorders>
              <w:top w:val="single" w:sz="4" w:space="0" w:color="000000"/>
              <w:left w:val="single" w:sz="4" w:space="0" w:color="000000"/>
              <w:bottom w:val="single" w:sz="4" w:space="0" w:color="000000"/>
              <w:right w:val="single" w:sz="4" w:space="0" w:color="000000"/>
            </w:tcBorders>
            <w:hideMark/>
          </w:tcPr>
          <w:p w14:paraId="62C383E8" w14:textId="77777777" w:rsidR="004A1F86" w:rsidRPr="00C311A4" w:rsidRDefault="004A1F86">
            <w:pPr>
              <w:widowControl w:val="0"/>
              <w:tabs>
                <w:tab w:val="left" w:pos="1304"/>
              </w:tabs>
              <w:autoSpaceDE w:val="0"/>
              <w:autoSpaceDN w:val="0"/>
              <w:ind w:left="107" w:right="261"/>
              <w:rPr>
                <w:sz w:val="24"/>
                <w:szCs w:val="24"/>
                <w:lang w:val="en-US"/>
              </w:rPr>
            </w:pPr>
            <w:r w:rsidRPr="00C311A4">
              <w:rPr>
                <w:sz w:val="24"/>
                <w:szCs w:val="24"/>
                <w:lang w:val="en-US"/>
              </w:rPr>
              <w:t>Hospitalization for heart failure</w:t>
            </w:r>
          </w:p>
        </w:tc>
        <w:tc>
          <w:tcPr>
            <w:tcW w:w="782" w:type="pct"/>
            <w:tcBorders>
              <w:top w:val="single" w:sz="4" w:space="0" w:color="000000"/>
              <w:left w:val="single" w:sz="4" w:space="0" w:color="000000"/>
              <w:bottom w:val="single" w:sz="4" w:space="0" w:color="000000"/>
              <w:right w:val="single" w:sz="4" w:space="0" w:color="000000"/>
            </w:tcBorders>
            <w:hideMark/>
          </w:tcPr>
          <w:p w14:paraId="01A8575E" w14:textId="77777777" w:rsidR="004A1F86" w:rsidRPr="00C311A4" w:rsidRDefault="004A1F86" w:rsidP="00AD0270">
            <w:pPr>
              <w:widowControl w:val="0"/>
              <w:tabs>
                <w:tab w:val="left" w:pos="1304"/>
              </w:tabs>
              <w:autoSpaceDE w:val="0"/>
              <w:autoSpaceDN w:val="0"/>
              <w:spacing w:before="3"/>
              <w:ind w:left="236" w:right="227"/>
              <w:jc w:val="center"/>
              <w:rPr>
                <w:sz w:val="24"/>
                <w:szCs w:val="24"/>
                <w:lang w:val="en-US"/>
              </w:rPr>
            </w:pPr>
            <w:r w:rsidRPr="00C311A4">
              <w:rPr>
                <w:sz w:val="24"/>
                <w:szCs w:val="24"/>
                <w:lang w:val="en-US"/>
              </w:rPr>
              <w:t>209 (6.0)</w:t>
            </w:r>
          </w:p>
        </w:tc>
        <w:tc>
          <w:tcPr>
            <w:tcW w:w="783" w:type="pct"/>
            <w:tcBorders>
              <w:top w:val="single" w:sz="4" w:space="0" w:color="000000"/>
              <w:left w:val="single" w:sz="4" w:space="0" w:color="000000"/>
              <w:bottom w:val="single" w:sz="4" w:space="0" w:color="000000"/>
              <w:right w:val="single" w:sz="4" w:space="0" w:color="000000"/>
            </w:tcBorders>
            <w:hideMark/>
          </w:tcPr>
          <w:p w14:paraId="322C5CD5" w14:textId="77777777" w:rsidR="004A1F86" w:rsidRPr="00C311A4" w:rsidRDefault="004A1F86" w:rsidP="00AD0270">
            <w:pPr>
              <w:widowControl w:val="0"/>
              <w:tabs>
                <w:tab w:val="left" w:pos="1304"/>
              </w:tabs>
              <w:autoSpaceDE w:val="0"/>
              <w:autoSpaceDN w:val="0"/>
              <w:spacing w:before="3"/>
              <w:ind w:left="550"/>
              <w:jc w:val="center"/>
              <w:rPr>
                <w:sz w:val="24"/>
                <w:szCs w:val="24"/>
                <w:lang w:val="en-US"/>
              </w:rPr>
            </w:pPr>
            <w:r w:rsidRPr="00C311A4">
              <w:rPr>
                <w:sz w:val="24"/>
                <w:szCs w:val="24"/>
                <w:lang w:val="en-US"/>
              </w:rPr>
              <w:t>27.7</w:t>
            </w:r>
          </w:p>
        </w:tc>
        <w:tc>
          <w:tcPr>
            <w:tcW w:w="782" w:type="pct"/>
            <w:tcBorders>
              <w:top w:val="single" w:sz="4" w:space="0" w:color="000000"/>
              <w:left w:val="single" w:sz="4" w:space="0" w:color="000000"/>
              <w:bottom w:val="single" w:sz="4" w:space="0" w:color="000000"/>
              <w:right w:val="single" w:sz="4" w:space="0" w:color="000000"/>
            </w:tcBorders>
            <w:hideMark/>
          </w:tcPr>
          <w:p w14:paraId="6AF22D3F" w14:textId="77777777" w:rsidR="004A1F86" w:rsidRPr="00C311A4" w:rsidRDefault="004A1F86" w:rsidP="00AD0270">
            <w:pPr>
              <w:widowControl w:val="0"/>
              <w:tabs>
                <w:tab w:val="left" w:pos="1304"/>
              </w:tabs>
              <w:autoSpaceDE w:val="0"/>
              <w:autoSpaceDN w:val="0"/>
              <w:spacing w:before="3"/>
              <w:ind w:left="246" w:right="227"/>
              <w:jc w:val="center"/>
              <w:rPr>
                <w:sz w:val="24"/>
                <w:szCs w:val="24"/>
                <w:lang w:val="en-US"/>
              </w:rPr>
            </w:pPr>
            <w:r w:rsidRPr="00C311A4">
              <w:rPr>
                <w:sz w:val="24"/>
                <w:szCs w:val="24"/>
                <w:lang w:val="en-US"/>
              </w:rPr>
              <w:t>226 (6.5)</w:t>
            </w:r>
          </w:p>
        </w:tc>
        <w:tc>
          <w:tcPr>
            <w:tcW w:w="783" w:type="pct"/>
            <w:tcBorders>
              <w:top w:val="single" w:sz="4" w:space="0" w:color="000000"/>
              <w:left w:val="single" w:sz="4" w:space="0" w:color="000000"/>
              <w:bottom w:val="single" w:sz="4" w:space="0" w:color="000000"/>
              <w:right w:val="single" w:sz="4" w:space="0" w:color="000000"/>
            </w:tcBorders>
            <w:hideMark/>
          </w:tcPr>
          <w:p w14:paraId="67BEB55F" w14:textId="77777777" w:rsidR="004A1F86" w:rsidRPr="00C311A4" w:rsidRDefault="004A1F86" w:rsidP="00AD0270">
            <w:pPr>
              <w:widowControl w:val="0"/>
              <w:tabs>
                <w:tab w:val="left" w:pos="1304"/>
              </w:tabs>
              <w:autoSpaceDE w:val="0"/>
              <w:autoSpaceDN w:val="0"/>
              <w:spacing w:before="3"/>
              <w:ind w:left="524" w:right="505"/>
              <w:jc w:val="center"/>
              <w:rPr>
                <w:sz w:val="24"/>
                <w:szCs w:val="24"/>
                <w:lang w:val="en-US"/>
              </w:rPr>
            </w:pPr>
            <w:r w:rsidRPr="00C311A4">
              <w:rPr>
                <w:sz w:val="24"/>
                <w:szCs w:val="24"/>
                <w:lang w:val="en-US"/>
              </w:rPr>
              <w:t>30.4</w:t>
            </w:r>
          </w:p>
        </w:tc>
        <w:tc>
          <w:tcPr>
            <w:tcW w:w="782" w:type="pct"/>
            <w:tcBorders>
              <w:top w:val="single" w:sz="4" w:space="0" w:color="000000"/>
              <w:left w:val="single" w:sz="4" w:space="0" w:color="000000"/>
              <w:bottom w:val="single" w:sz="4" w:space="0" w:color="000000"/>
              <w:right w:val="single" w:sz="4" w:space="0" w:color="000000"/>
            </w:tcBorders>
            <w:hideMark/>
          </w:tcPr>
          <w:p w14:paraId="1A40D9E7" w14:textId="77777777" w:rsidR="004A1F86" w:rsidRPr="00C311A4" w:rsidRDefault="004A1F86" w:rsidP="00AD0270">
            <w:pPr>
              <w:widowControl w:val="0"/>
              <w:tabs>
                <w:tab w:val="left" w:pos="1304"/>
              </w:tabs>
              <w:autoSpaceDE w:val="0"/>
              <w:autoSpaceDN w:val="0"/>
              <w:spacing w:before="3"/>
              <w:ind w:left="248" w:right="227"/>
              <w:jc w:val="center"/>
              <w:rPr>
                <w:sz w:val="24"/>
                <w:szCs w:val="24"/>
                <w:lang w:val="en-US"/>
              </w:rPr>
            </w:pPr>
            <w:r w:rsidRPr="00C311A4">
              <w:rPr>
                <w:sz w:val="24"/>
                <w:szCs w:val="24"/>
                <w:lang w:val="en-US"/>
              </w:rPr>
              <w:t>0.90 (0.74,</w:t>
            </w:r>
          </w:p>
          <w:p w14:paraId="44F424F8" w14:textId="77777777" w:rsidR="004A1F86" w:rsidRPr="00C311A4" w:rsidRDefault="004A1F86" w:rsidP="00AD0270">
            <w:pPr>
              <w:widowControl w:val="0"/>
              <w:tabs>
                <w:tab w:val="left" w:pos="1304"/>
              </w:tabs>
              <w:autoSpaceDE w:val="0"/>
              <w:autoSpaceDN w:val="0"/>
              <w:spacing w:before="6" w:line="238" w:lineRule="exact"/>
              <w:ind w:left="247" w:right="227"/>
              <w:jc w:val="center"/>
              <w:rPr>
                <w:sz w:val="24"/>
                <w:szCs w:val="24"/>
                <w:lang w:val="en-US"/>
              </w:rPr>
            </w:pPr>
            <w:r w:rsidRPr="00C311A4">
              <w:rPr>
                <w:sz w:val="24"/>
                <w:szCs w:val="24"/>
                <w:lang w:val="en-US"/>
              </w:rPr>
              <w:t>1.08)</w:t>
            </w:r>
          </w:p>
        </w:tc>
      </w:tr>
    </w:tbl>
    <w:p w14:paraId="29006741" w14:textId="77777777" w:rsidR="004A1F86" w:rsidRPr="00AD0270" w:rsidRDefault="004A1F86" w:rsidP="00624EBB">
      <w:pPr>
        <w:ind w:left="426" w:hanging="426"/>
        <w:rPr>
          <w:sz w:val="20"/>
          <w:lang w:val="en-US" w:eastAsia="en-US"/>
        </w:rPr>
      </w:pPr>
      <w:r w:rsidRPr="00AD0270">
        <w:rPr>
          <w:sz w:val="20"/>
          <w:lang w:val="en-US"/>
        </w:rPr>
        <w:t>*</w:t>
      </w:r>
      <w:r w:rsidRPr="00AD0270">
        <w:rPr>
          <w:sz w:val="20"/>
          <w:lang w:val="en-US"/>
        </w:rPr>
        <w:tab/>
        <w:t>PY=patient</w:t>
      </w:r>
      <w:r w:rsidRPr="00AD0270">
        <w:rPr>
          <w:spacing w:val="-2"/>
          <w:sz w:val="20"/>
          <w:lang w:val="en-US"/>
        </w:rPr>
        <w:t xml:space="preserve"> </w:t>
      </w:r>
      <w:r w:rsidRPr="00AD0270">
        <w:rPr>
          <w:sz w:val="20"/>
          <w:lang w:val="en-US"/>
        </w:rPr>
        <w:t>years</w:t>
      </w:r>
    </w:p>
    <w:p w14:paraId="0F85EFB9" w14:textId="4D7FEF53" w:rsidR="004A1F86" w:rsidRPr="00AD0270" w:rsidRDefault="004A1F86" w:rsidP="00624EBB">
      <w:pPr>
        <w:ind w:left="426" w:hanging="426"/>
        <w:rPr>
          <w:sz w:val="20"/>
          <w:lang w:val="en-US"/>
        </w:rPr>
      </w:pPr>
      <w:r w:rsidRPr="00AD0270">
        <w:rPr>
          <w:sz w:val="20"/>
          <w:lang w:val="en-US"/>
        </w:rPr>
        <w:t xml:space="preserve">** </w:t>
      </w:r>
      <w:r w:rsidR="00624EBB" w:rsidRPr="00AD0270">
        <w:rPr>
          <w:sz w:val="20"/>
          <w:lang w:val="en-US"/>
        </w:rPr>
        <w:tab/>
      </w:r>
      <w:r w:rsidRPr="00AD0270">
        <w:rPr>
          <w:sz w:val="20"/>
          <w:lang w:val="en-US"/>
        </w:rPr>
        <w:t>Test on non-inferiority to demonstrate that the upper bound of the 95% CI for the hazard ratio is less than 1.3</w:t>
      </w:r>
    </w:p>
    <w:p w14:paraId="204A4E25" w14:textId="77777777" w:rsidR="004A1F86" w:rsidRPr="00C311A4" w:rsidRDefault="004A1F86" w:rsidP="004A1F86">
      <w:pPr>
        <w:rPr>
          <w:sz w:val="24"/>
          <w:szCs w:val="24"/>
          <w:lang w:val="en-US"/>
        </w:rPr>
      </w:pPr>
    </w:p>
    <w:p w14:paraId="12CB952D" w14:textId="1BB840AC" w:rsidR="004A1F86" w:rsidRPr="00C311A4" w:rsidRDefault="004A1F86" w:rsidP="00624EBB">
      <w:pPr>
        <w:ind w:left="851"/>
        <w:rPr>
          <w:sz w:val="24"/>
          <w:szCs w:val="24"/>
          <w:lang w:val="en-US"/>
        </w:rPr>
      </w:pPr>
      <w:r w:rsidRPr="00C311A4">
        <w:rPr>
          <w:sz w:val="24"/>
          <w:szCs w:val="24"/>
          <w:lang w:val="en-US"/>
        </w:rPr>
        <w:t xml:space="preserve">In analyses for albuminuria progression (change from </w:t>
      </w:r>
      <w:proofErr w:type="spellStart"/>
      <w:r w:rsidRPr="00C311A4">
        <w:rPr>
          <w:sz w:val="24"/>
          <w:szCs w:val="24"/>
          <w:lang w:val="en-US"/>
        </w:rPr>
        <w:t>normoalbuminuria</w:t>
      </w:r>
      <w:proofErr w:type="spellEnd"/>
      <w:r w:rsidRPr="00C311A4">
        <w:rPr>
          <w:sz w:val="24"/>
          <w:szCs w:val="24"/>
          <w:lang w:val="en-US"/>
        </w:rPr>
        <w:t xml:space="preserve"> to micro- or macroalbuminuria, or from microalbuminuria to macroalbuminuria) the estimated hazard ratio was</w:t>
      </w:r>
      <w:r w:rsidR="00AD0270">
        <w:rPr>
          <w:sz w:val="24"/>
          <w:szCs w:val="24"/>
          <w:lang w:val="en-US"/>
        </w:rPr>
        <w:t xml:space="preserve"> </w:t>
      </w:r>
      <w:r w:rsidRPr="00C311A4">
        <w:rPr>
          <w:sz w:val="24"/>
          <w:szCs w:val="24"/>
          <w:lang w:val="en-US"/>
        </w:rPr>
        <w:t>0.86 (95% CI 0.78, 0.95) for linagliptin versus placebo.</w:t>
      </w:r>
    </w:p>
    <w:p w14:paraId="2726A927" w14:textId="77777777" w:rsidR="004A1F86" w:rsidRPr="00C311A4" w:rsidRDefault="004A1F86" w:rsidP="00624EBB">
      <w:pPr>
        <w:ind w:left="851"/>
        <w:rPr>
          <w:sz w:val="24"/>
          <w:szCs w:val="24"/>
          <w:lang w:val="en-US"/>
        </w:rPr>
      </w:pPr>
    </w:p>
    <w:p w14:paraId="113413CA" w14:textId="77777777" w:rsidR="004A1F86" w:rsidRPr="00C311A4" w:rsidRDefault="004A1F86" w:rsidP="00624EBB">
      <w:pPr>
        <w:ind w:left="851"/>
        <w:rPr>
          <w:i/>
          <w:sz w:val="24"/>
          <w:szCs w:val="24"/>
          <w:lang w:val="en-US"/>
        </w:rPr>
      </w:pPr>
      <w:r w:rsidRPr="00C311A4">
        <w:rPr>
          <w:i/>
          <w:sz w:val="24"/>
          <w:szCs w:val="24"/>
          <w:u w:val="single"/>
          <w:lang w:val="en-US"/>
        </w:rPr>
        <w:t>Linagliptin cardiovascular safety study (CAROLINA)</w:t>
      </w:r>
    </w:p>
    <w:p w14:paraId="5EFFC5EB" w14:textId="005D8B18" w:rsidR="004A1F86" w:rsidRPr="00C311A4" w:rsidRDefault="004A1F86" w:rsidP="00624EBB">
      <w:pPr>
        <w:ind w:left="851"/>
        <w:rPr>
          <w:sz w:val="24"/>
          <w:szCs w:val="24"/>
          <w:lang w:val="en-US"/>
        </w:rPr>
      </w:pPr>
      <w:r w:rsidRPr="00C311A4">
        <w:rPr>
          <w:sz w:val="24"/>
          <w:szCs w:val="24"/>
          <w:lang w:val="en-US"/>
        </w:rPr>
        <w:t>CAROLINA was a randomized study in 6033 patients with early type 2 diabetes and increased CV risk or established complications who were treated with linagliptin 5 mg (3023) or glimepiride 1-4mg (3010) added to standard of care (including background therapy with metformin in 83% of patients) targeting regional standards for HbA1c and CV risk factors. The mean age for study population was 64 years and included 2030 (34%) patients ≥ 70 years of age. The study population included 2089 (35%) patients with cardiovascular disease and 1130 (19%) patients with renal impairment with an eGFR &lt;</w:t>
      </w:r>
      <w:r w:rsidR="00A73714">
        <w:rPr>
          <w:sz w:val="24"/>
          <w:szCs w:val="24"/>
          <w:lang w:val="en-US"/>
        </w:rPr>
        <w:t> </w:t>
      </w:r>
      <w:r w:rsidRPr="00C311A4">
        <w:rPr>
          <w:sz w:val="24"/>
          <w:szCs w:val="24"/>
          <w:lang w:val="en-US"/>
        </w:rPr>
        <w:t>60</w:t>
      </w:r>
      <w:r w:rsidR="00A73714">
        <w:rPr>
          <w:sz w:val="24"/>
          <w:szCs w:val="24"/>
          <w:lang w:val="en-US"/>
        </w:rPr>
        <w:t> </w:t>
      </w:r>
      <w:r w:rsidRPr="00C311A4">
        <w:rPr>
          <w:sz w:val="24"/>
          <w:szCs w:val="24"/>
          <w:lang w:val="en-US"/>
        </w:rPr>
        <w:t>mL/min/1.73 m</w:t>
      </w:r>
      <w:r w:rsidRPr="00C311A4">
        <w:rPr>
          <w:sz w:val="24"/>
          <w:szCs w:val="24"/>
          <w:vertAlign w:val="superscript"/>
          <w:lang w:val="en-US"/>
        </w:rPr>
        <w:t>2</w:t>
      </w:r>
      <w:r w:rsidRPr="00C311A4">
        <w:rPr>
          <w:sz w:val="24"/>
          <w:szCs w:val="24"/>
          <w:lang w:val="en-US"/>
        </w:rPr>
        <w:t xml:space="preserve"> at baseline. The mean HbA1c at baseline was 7.15%.</w:t>
      </w:r>
    </w:p>
    <w:p w14:paraId="1558B88B" w14:textId="77777777" w:rsidR="004A1F86" w:rsidRPr="00C311A4" w:rsidRDefault="004A1F86" w:rsidP="00624EBB">
      <w:pPr>
        <w:ind w:left="851"/>
        <w:rPr>
          <w:sz w:val="24"/>
          <w:szCs w:val="24"/>
          <w:lang w:val="en-US"/>
        </w:rPr>
      </w:pPr>
    </w:p>
    <w:p w14:paraId="07AC5CC1" w14:textId="77777777" w:rsidR="004A1F86" w:rsidRPr="00C311A4" w:rsidRDefault="004A1F86" w:rsidP="00624EBB">
      <w:pPr>
        <w:ind w:left="851"/>
        <w:rPr>
          <w:sz w:val="24"/>
          <w:szCs w:val="24"/>
          <w:lang w:val="en-US"/>
        </w:rPr>
      </w:pPr>
      <w:r w:rsidRPr="00C311A4">
        <w:rPr>
          <w:sz w:val="24"/>
          <w:szCs w:val="24"/>
          <w:lang w:val="en-US"/>
        </w:rPr>
        <w:t>The study was designed to demonstrate non-inferiority for the primary cardiovascular endpoint which was a composite of the first occurrence of cardiovascular death or a non-fatal myocardial infarction (MI) or a non-fatal stroke (3P-MACE).</w:t>
      </w:r>
    </w:p>
    <w:p w14:paraId="7A6F0AB0" w14:textId="77777777" w:rsidR="004A1F86" w:rsidRPr="00C311A4" w:rsidRDefault="004A1F86" w:rsidP="00624EBB">
      <w:pPr>
        <w:ind w:left="851"/>
        <w:rPr>
          <w:sz w:val="24"/>
          <w:szCs w:val="24"/>
          <w:lang w:val="en-US"/>
        </w:rPr>
      </w:pPr>
    </w:p>
    <w:p w14:paraId="10F9F315" w14:textId="77777777" w:rsidR="004A1F86" w:rsidRPr="00C311A4" w:rsidRDefault="004A1F86" w:rsidP="00624EBB">
      <w:pPr>
        <w:ind w:left="851"/>
        <w:rPr>
          <w:sz w:val="24"/>
          <w:szCs w:val="24"/>
          <w:lang w:val="en-US"/>
        </w:rPr>
      </w:pPr>
      <w:r w:rsidRPr="00C311A4">
        <w:rPr>
          <w:sz w:val="24"/>
          <w:szCs w:val="24"/>
          <w:lang w:val="en-US"/>
        </w:rPr>
        <w:t>After a median follow up of 6.25 years, linagliptin, when added to standard of care, did not increase the risk of major adverse cardiovascular events (table 5) as compared to glimepiride. Results were consistent for patients treated with or without metformin.</w:t>
      </w:r>
    </w:p>
    <w:p w14:paraId="5FEF2AE5" w14:textId="77777777" w:rsidR="004A1F86" w:rsidRPr="00C311A4" w:rsidRDefault="004A1F86" w:rsidP="00624EBB">
      <w:pPr>
        <w:ind w:left="851"/>
        <w:rPr>
          <w:sz w:val="24"/>
          <w:szCs w:val="24"/>
          <w:lang w:val="en-US"/>
        </w:rPr>
      </w:pPr>
    </w:p>
    <w:p w14:paraId="754D6ADB" w14:textId="7EFD4EC1" w:rsidR="004A1F86" w:rsidRPr="00AD0270" w:rsidRDefault="004A1F86" w:rsidP="00AD0270">
      <w:pPr>
        <w:rPr>
          <w:b/>
          <w:sz w:val="24"/>
          <w:szCs w:val="24"/>
          <w:lang w:val="en-US"/>
        </w:rPr>
      </w:pPr>
      <w:r w:rsidRPr="00AD0270">
        <w:rPr>
          <w:b/>
          <w:sz w:val="24"/>
          <w:szCs w:val="24"/>
          <w:lang w:val="en-US"/>
        </w:rPr>
        <w:t>Table</w:t>
      </w:r>
      <w:r w:rsidRPr="00AD0270">
        <w:rPr>
          <w:b/>
          <w:spacing w:val="-1"/>
          <w:sz w:val="24"/>
          <w:szCs w:val="24"/>
          <w:lang w:val="en-US"/>
        </w:rPr>
        <w:t xml:space="preserve"> </w:t>
      </w:r>
      <w:r w:rsidRPr="00AD0270">
        <w:rPr>
          <w:b/>
          <w:sz w:val="24"/>
          <w:szCs w:val="24"/>
          <w:lang w:val="en-US"/>
        </w:rPr>
        <w:t>5:</w:t>
      </w:r>
      <w:r w:rsidR="00AD0270" w:rsidRPr="00AD0270">
        <w:rPr>
          <w:b/>
          <w:sz w:val="24"/>
          <w:szCs w:val="24"/>
          <w:lang w:val="en-US"/>
        </w:rPr>
        <w:t xml:space="preserve"> </w:t>
      </w:r>
      <w:r w:rsidRPr="00AD0270">
        <w:rPr>
          <w:b/>
          <w:sz w:val="24"/>
          <w:szCs w:val="24"/>
          <w:lang w:val="en-US"/>
        </w:rPr>
        <w:t>Major adverse cardiovascular events (MACE) and mortality by treatment group in the CAROLINA</w:t>
      </w:r>
      <w:r w:rsidRPr="00AD0270">
        <w:rPr>
          <w:b/>
          <w:spacing w:val="-2"/>
          <w:sz w:val="24"/>
          <w:szCs w:val="24"/>
          <w:lang w:val="en-US"/>
        </w:rPr>
        <w:t xml:space="preserve"> </w:t>
      </w:r>
      <w:r w:rsidRPr="00AD0270">
        <w:rPr>
          <w:b/>
          <w:sz w:val="24"/>
          <w:szCs w:val="24"/>
          <w:lang w:val="en-US"/>
        </w:rPr>
        <w:t>study</w:t>
      </w:r>
    </w:p>
    <w:p w14:paraId="36094154" w14:textId="77777777" w:rsidR="004A1F86" w:rsidRPr="00C311A4" w:rsidRDefault="004A1F86" w:rsidP="00624EBB">
      <w:pPr>
        <w:ind w:left="851"/>
        <w:rPr>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75"/>
        <w:gridCol w:w="1318"/>
        <w:gridCol w:w="1476"/>
        <w:gridCol w:w="1424"/>
        <w:gridCol w:w="1476"/>
        <w:gridCol w:w="1859"/>
      </w:tblGrid>
      <w:tr w:rsidR="004A1F86" w:rsidRPr="00C311A4" w14:paraId="236B20CA" w14:textId="77777777" w:rsidTr="00624EBB">
        <w:trPr>
          <w:trHeight w:val="258"/>
        </w:trPr>
        <w:tc>
          <w:tcPr>
            <w:tcW w:w="1086" w:type="pct"/>
            <w:vMerge w:val="restart"/>
            <w:tcBorders>
              <w:top w:val="single" w:sz="4" w:space="0" w:color="000000"/>
              <w:left w:val="single" w:sz="4" w:space="0" w:color="000000"/>
              <w:bottom w:val="single" w:sz="4" w:space="0" w:color="000000"/>
              <w:right w:val="single" w:sz="4" w:space="0" w:color="000000"/>
            </w:tcBorders>
          </w:tcPr>
          <w:p w14:paraId="1C1C1167" w14:textId="77777777" w:rsidR="004A1F86" w:rsidRPr="00C311A4" w:rsidRDefault="004A1F86">
            <w:pPr>
              <w:widowControl w:val="0"/>
              <w:tabs>
                <w:tab w:val="left" w:pos="1304"/>
              </w:tabs>
              <w:autoSpaceDE w:val="0"/>
              <w:autoSpaceDN w:val="0"/>
              <w:rPr>
                <w:sz w:val="24"/>
                <w:szCs w:val="24"/>
                <w:lang w:val="en-US"/>
              </w:rPr>
            </w:pPr>
          </w:p>
        </w:tc>
        <w:tc>
          <w:tcPr>
            <w:tcW w:w="1443" w:type="pct"/>
            <w:gridSpan w:val="2"/>
            <w:tcBorders>
              <w:top w:val="single" w:sz="4" w:space="0" w:color="000000"/>
              <w:left w:val="single" w:sz="4" w:space="0" w:color="000000"/>
              <w:bottom w:val="single" w:sz="4" w:space="0" w:color="000000"/>
              <w:right w:val="single" w:sz="4" w:space="0" w:color="000000"/>
            </w:tcBorders>
            <w:hideMark/>
          </w:tcPr>
          <w:p w14:paraId="7BD466BE" w14:textId="77777777" w:rsidR="004A1F86" w:rsidRPr="00C311A4" w:rsidRDefault="004A1F86" w:rsidP="00AD0270">
            <w:pPr>
              <w:widowControl w:val="0"/>
              <w:tabs>
                <w:tab w:val="left" w:pos="1304"/>
              </w:tabs>
              <w:autoSpaceDE w:val="0"/>
              <w:autoSpaceDN w:val="0"/>
              <w:spacing w:before="3" w:line="236" w:lineRule="exact"/>
              <w:ind w:left="606"/>
              <w:jc w:val="center"/>
              <w:rPr>
                <w:b/>
                <w:sz w:val="24"/>
                <w:szCs w:val="24"/>
                <w:lang w:val="en-US"/>
              </w:rPr>
            </w:pPr>
            <w:r w:rsidRPr="00C311A4">
              <w:rPr>
                <w:b/>
                <w:sz w:val="24"/>
                <w:szCs w:val="24"/>
                <w:lang w:val="en-US"/>
              </w:rPr>
              <w:t>Linagliptin 5 mg</w:t>
            </w:r>
          </w:p>
        </w:tc>
        <w:tc>
          <w:tcPr>
            <w:tcW w:w="1498" w:type="pct"/>
            <w:gridSpan w:val="2"/>
            <w:tcBorders>
              <w:top w:val="single" w:sz="4" w:space="0" w:color="000000"/>
              <w:left w:val="single" w:sz="4" w:space="0" w:color="000000"/>
              <w:bottom w:val="single" w:sz="4" w:space="0" w:color="000000"/>
              <w:right w:val="single" w:sz="4" w:space="0" w:color="000000"/>
            </w:tcBorders>
            <w:hideMark/>
          </w:tcPr>
          <w:p w14:paraId="1E768E6C" w14:textId="77777777" w:rsidR="004A1F86" w:rsidRPr="00C311A4" w:rsidRDefault="004A1F86" w:rsidP="00AD0270">
            <w:pPr>
              <w:widowControl w:val="0"/>
              <w:tabs>
                <w:tab w:val="left" w:pos="1304"/>
              </w:tabs>
              <w:autoSpaceDE w:val="0"/>
              <w:autoSpaceDN w:val="0"/>
              <w:spacing w:before="3" w:line="236" w:lineRule="exact"/>
              <w:ind w:left="450"/>
              <w:jc w:val="center"/>
              <w:rPr>
                <w:b/>
                <w:sz w:val="24"/>
                <w:szCs w:val="24"/>
                <w:lang w:val="en-US"/>
              </w:rPr>
            </w:pPr>
            <w:r w:rsidRPr="00C311A4">
              <w:rPr>
                <w:b/>
                <w:sz w:val="24"/>
                <w:szCs w:val="24"/>
                <w:lang w:val="en-US"/>
              </w:rPr>
              <w:t>Glimepiride (1-4 mg)</w:t>
            </w:r>
          </w:p>
        </w:tc>
        <w:tc>
          <w:tcPr>
            <w:tcW w:w="974" w:type="pct"/>
            <w:tcBorders>
              <w:top w:val="single" w:sz="4" w:space="0" w:color="000000"/>
              <w:left w:val="single" w:sz="4" w:space="0" w:color="000000"/>
              <w:bottom w:val="single" w:sz="4" w:space="0" w:color="000000"/>
              <w:right w:val="single" w:sz="4" w:space="0" w:color="000000"/>
            </w:tcBorders>
            <w:hideMark/>
          </w:tcPr>
          <w:p w14:paraId="45428167" w14:textId="77777777" w:rsidR="004A1F86" w:rsidRPr="00C311A4" w:rsidRDefault="004A1F86" w:rsidP="00AD0270">
            <w:pPr>
              <w:widowControl w:val="0"/>
              <w:tabs>
                <w:tab w:val="left" w:pos="1304"/>
              </w:tabs>
              <w:autoSpaceDE w:val="0"/>
              <w:autoSpaceDN w:val="0"/>
              <w:spacing w:before="3" w:line="236" w:lineRule="exact"/>
              <w:ind w:left="164" w:right="158"/>
              <w:jc w:val="center"/>
              <w:rPr>
                <w:b/>
                <w:sz w:val="24"/>
                <w:szCs w:val="24"/>
                <w:lang w:val="en-US"/>
              </w:rPr>
            </w:pPr>
            <w:r w:rsidRPr="00C311A4">
              <w:rPr>
                <w:b/>
                <w:sz w:val="24"/>
                <w:szCs w:val="24"/>
                <w:lang w:val="en-US"/>
              </w:rPr>
              <w:t>Hazard Ratio</w:t>
            </w:r>
          </w:p>
        </w:tc>
      </w:tr>
      <w:tr w:rsidR="004A1F86" w:rsidRPr="00C311A4" w14:paraId="7A9D335C" w14:textId="77777777" w:rsidTr="00624EBB">
        <w:trPr>
          <w:trHeight w:val="781"/>
        </w:trPr>
        <w:tc>
          <w:tcPr>
            <w:tcW w:w="1086" w:type="pct"/>
            <w:vMerge/>
            <w:tcBorders>
              <w:top w:val="single" w:sz="4" w:space="0" w:color="000000"/>
              <w:left w:val="single" w:sz="4" w:space="0" w:color="000000"/>
              <w:bottom w:val="single" w:sz="4" w:space="0" w:color="000000"/>
              <w:right w:val="single" w:sz="4" w:space="0" w:color="000000"/>
            </w:tcBorders>
            <w:vAlign w:val="center"/>
            <w:hideMark/>
          </w:tcPr>
          <w:p w14:paraId="5FD5AD16" w14:textId="77777777" w:rsidR="004A1F86" w:rsidRPr="00C311A4" w:rsidRDefault="004A1F86">
            <w:pPr>
              <w:rPr>
                <w:sz w:val="24"/>
                <w:szCs w:val="24"/>
                <w:lang w:val="en-US" w:eastAsia="en-US"/>
              </w:rPr>
            </w:pPr>
          </w:p>
        </w:tc>
        <w:tc>
          <w:tcPr>
            <w:tcW w:w="693" w:type="pct"/>
            <w:tcBorders>
              <w:top w:val="single" w:sz="4" w:space="0" w:color="000000"/>
              <w:left w:val="single" w:sz="4" w:space="0" w:color="000000"/>
              <w:bottom w:val="single" w:sz="4" w:space="0" w:color="000000"/>
              <w:right w:val="single" w:sz="4" w:space="0" w:color="000000"/>
            </w:tcBorders>
            <w:hideMark/>
          </w:tcPr>
          <w:p w14:paraId="235E1EAE" w14:textId="77777777" w:rsidR="004A1F86" w:rsidRPr="00C311A4" w:rsidRDefault="004A1F86" w:rsidP="00AD0270">
            <w:pPr>
              <w:widowControl w:val="0"/>
              <w:tabs>
                <w:tab w:val="left" w:pos="1304"/>
              </w:tabs>
              <w:autoSpaceDE w:val="0"/>
              <w:autoSpaceDN w:val="0"/>
              <w:spacing w:before="3"/>
              <w:ind w:left="172" w:right="168"/>
              <w:jc w:val="center"/>
              <w:rPr>
                <w:sz w:val="24"/>
                <w:szCs w:val="24"/>
                <w:lang w:val="en-US"/>
              </w:rPr>
            </w:pPr>
            <w:r w:rsidRPr="00C311A4">
              <w:rPr>
                <w:sz w:val="24"/>
                <w:szCs w:val="24"/>
                <w:lang w:val="en-US"/>
              </w:rPr>
              <w:t>Number of Subjects (%)</w:t>
            </w:r>
          </w:p>
        </w:tc>
        <w:tc>
          <w:tcPr>
            <w:tcW w:w="749" w:type="pct"/>
            <w:tcBorders>
              <w:top w:val="single" w:sz="4" w:space="0" w:color="000000"/>
              <w:left w:val="single" w:sz="4" w:space="0" w:color="000000"/>
              <w:bottom w:val="single" w:sz="4" w:space="0" w:color="000000"/>
              <w:right w:val="single" w:sz="4" w:space="0" w:color="000000"/>
            </w:tcBorders>
            <w:hideMark/>
          </w:tcPr>
          <w:p w14:paraId="6CCBAC16" w14:textId="77777777" w:rsidR="004A1F86" w:rsidRPr="00C311A4" w:rsidRDefault="004A1F86" w:rsidP="00AD0270">
            <w:pPr>
              <w:widowControl w:val="0"/>
              <w:tabs>
                <w:tab w:val="left" w:pos="1304"/>
              </w:tabs>
              <w:autoSpaceDE w:val="0"/>
              <w:autoSpaceDN w:val="0"/>
              <w:spacing w:before="3"/>
              <w:ind w:left="263" w:right="255" w:firstLine="14"/>
              <w:jc w:val="center"/>
              <w:rPr>
                <w:sz w:val="24"/>
                <w:szCs w:val="24"/>
                <w:lang w:val="en-US"/>
              </w:rPr>
            </w:pPr>
            <w:r w:rsidRPr="00C311A4">
              <w:rPr>
                <w:sz w:val="24"/>
                <w:szCs w:val="24"/>
                <w:lang w:val="en-US"/>
              </w:rPr>
              <w:t>Incidence Rate per 1000 PY*</w:t>
            </w:r>
          </w:p>
        </w:tc>
        <w:tc>
          <w:tcPr>
            <w:tcW w:w="748" w:type="pct"/>
            <w:tcBorders>
              <w:top w:val="single" w:sz="4" w:space="0" w:color="000000"/>
              <w:left w:val="single" w:sz="4" w:space="0" w:color="000000"/>
              <w:bottom w:val="single" w:sz="4" w:space="0" w:color="000000"/>
              <w:right w:val="single" w:sz="4" w:space="0" w:color="000000"/>
            </w:tcBorders>
            <w:hideMark/>
          </w:tcPr>
          <w:p w14:paraId="5C95AEA4" w14:textId="77777777" w:rsidR="004A1F86" w:rsidRPr="00C311A4" w:rsidRDefault="004A1F86" w:rsidP="00AD0270">
            <w:pPr>
              <w:widowControl w:val="0"/>
              <w:tabs>
                <w:tab w:val="left" w:pos="1304"/>
              </w:tabs>
              <w:autoSpaceDE w:val="0"/>
              <w:autoSpaceDN w:val="0"/>
              <w:spacing w:before="5" w:line="242" w:lineRule="auto"/>
              <w:ind w:left="140" w:right="116" w:firstLine="84"/>
              <w:jc w:val="center"/>
              <w:rPr>
                <w:sz w:val="24"/>
                <w:szCs w:val="24"/>
                <w:lang w:val="en-US"/>
              </w:rPr>
            </w:pPr>
            <w:r w:rsidRPr="00C311A4">
              <w:rPr>
                <w:sz w:val="24"/>
                <w:szCs w:val="24"/>
                <w:lang w:val="en-US"/>
              </w:rPr>
              <w:t>Number of Subjects (%)</w:t>
            </w:r>
          </w:p>
        </w:tc>
        <w:tc>
          <w:tcPr>
            <w:tcW w:w="749" w:type="pct"/>
            <w:tcBorders>
              <w:top w:val="single" w:sz="4" w:space="0" w:color="000000"/>
              <w:left w:val="single" w:sz="4" w:space="0" w:color="000000"/>
              <w:bottom w:val="single" w:sz="4" w:space="0" w:color="000000"/>
              <w:right w:val="single" w:sz="4" w:space="0" w:color="000000"/>
            </w:tcBorders>
            <w:hideMark/>
          </w:tcPr>
          <w:p w14:paraId="7559C415" w14:textId="77777777" w:rsidR="004A1F86" w:rsidRPr="00C311A4" w:rsidRDefault="004A1F86" w:rsidP="00AD0270">
            <w:pPr>
              <w:widowControl w:val="0"/>
              <w:tabs>
                <w:tab w:val="left" w:pos="1304"/>
              </w:tabs>
              <w:autoSpaceDE w:val="0"/>
              <w:autoSpaceDN w:val="0"/>
              <w:spacing w:before="3"/>
              <w:ind w:left="261" w:right="257" w:firstLine="14"/>
              <w:jc w:val="center"/>
              <w:rPr>
                <w:sz w:val="24"/>
                <w:szCs w:val="24"/>
                <w:lang w:val="en-US"/>
              </w:rPr>
            </w:pPr>
            <w:r w:rsidRPr="00C311A4">
              <w:rPr>
                <w:sz w:val="24"/>
                <w:szCs w:val="24"/>
                <w:lang w:val="en-US"/>
              </w:rPr>
              <w:t>Incidence Rate per 1000 PY*</w:t>
            </w:r>
          </w:p>
        </w:tc>
        <w:tc>
          <w:tcPr>
            <w:tcW w:w="974" w:type="pct"/>
            <w:tcBorders>
              <w:top w:val="single" w:sz="4" w:space="0" w:color="000000"/>
              <w:left w:val="single" w:sz="4" w:space="0" w:color="000000"/>
              <w:bottom w:val="single" w:sz="4" w:space="0" w:color="000000"/>
              <w:right w:val="single" w:sz="4" w:space="0" w:color="000000"/>
            </w:tcBorders>
            <w:hideMark/>
          </w:tcPr>
          <w:p w14:paraId="0FC45929" w14:textId="77777777" w:rsidR="004A1F86" w:rsidRPr="00C311A4" w:rsidRDefault="004A1F86" w:rsidP="00AD0270">
            <w:pPr>
              <w:widowControl w:val="0"/>
              <w:tabs>
                <w:tab w:val="left" w:pos="1304"/>
              </w:tabs>
              <w:autoSpaceDE w:val="0"/>
              <w:autoSpaceDN w:val="0"/>
              <w:spacing w:before="5"/>
              <w:ind w:left="164" w:right="112"/>
              <w:jc w:val="center"/>
              <w:rPr>
                <w:sz w:val="24"/>
                <w:szCs w:val="24"/>
                <w:lang w:val="en-US"/>
              </w:rPr>
            </w:pPr>
            <w:r w:rsidRPr="00C311A4">
              <w:rPr>
                <w:sz w:val="24"/>
                <w:szCs w:val="24"/>
                <w:lang w:val="en-US"/>
              </w:rPr>
              <w:t>(95% CI)</w:t>
            </w:r>
          </w:p>
        </w:tc>
      </w:tr>
      <w:tr w:rsidR="004A1F86" w:rsidRPr="00C311A4" w14:paraId="5896ACC4" w14:textId="77777777" w:rsidTr="00624EBB">
        <w:trPr>
          <w:trHeight w:val="257"/>
        </w:trPr>
        <w:tc>
          <w:tcPr>
            <w:tcW w:w="1086" w:type="pct"/>
            <w:tcBorders>
              <w:top w:val="single" w:sz="4" w:space="0" w:color="000000"/>
              <w:left w:val="single" w:sz="4" w:space="0" w:color="000000"/>
              <w:bottom w:val="single" w:sz="4" w:space="0" w:color="000000"/>
              <w:right w:val="single" w:sz="4" w:space="0" w:color="000000"/>
            </w:tcBorders>
            <w:hideMark/>
          </w:tcPr>
          <w:p w14:paraId="7BC85CD6" w14:textId="77777777" w:rsidR="004A1F86" w:rsidRPr="00C311A4" w:rsidRDefault="004A1F86">
            <w:pPr>
              <w:widowControl w:val="0"/>
              <w:tabs>
                <w:tab w:val="left" w:pos="1304"/>
              </w:tabs>
              <w:autoSpaceDE w:val="0"/>
              <w:autoSpaceDN w:val="0"/>
              <w:spacing w:before="2" w:line="236" w:lineRule="exact"/>
              <w:ind w:left="107"/>
              <w:rPr>
                <w:sz w:val="24"/>
                <w:szCs w:val="24"/>
                <w:lang w:val="en-US"/>
              </w:rPr>
            </w:pPr>
            <w:r w:rsidRPr="00C311A4">
              <w:rPr>
                <w:sz w:val="24"/>
                <w:szCs w:val="24"/>
                <w:lang w:val="en-US"/>
              </w:rPr>
              <w:t>Number of patients</w:t>
            </w:r>
          </w:p>
        </w:tc>
        <w:tc>
          <w:tcPr>
            <w:tcW w:w="1443" w:type="pct"/>
            <w:gridSpan w:val="2"/>
            <w:tcBorders>
              <w:top w:val="single" w:sz="4" w:space="0" w:color="000000"/>
              <w:left w:val="single" w:sz="4" w:space="0" w:color="000000"/>
              <w:bottom w:val="single" w:sz="4" w:space="0" w:color="000000"/>
              <w:right w:val="single" w:sz="4" w:space="0" w:color="000000"/>
            </w:tcBorders>
            <w:hideMark/>
          </w:tcPr>
          <w:p w14:paraId="509E66DE" w14:textId="77777777" w:rsidR="004A1F86" w:rsidRPr="00C311A4" w:rsidRDefault="004A1F86" w:rsidP="00AD0270">
            <w:pPr>
              <w:widowControl w:val="0"/>
              <w:tabs>
                <w:tab w:val="left" w:pos="1304"/>
              </w:tabs>
              <w:autoSpaceDE w:val="0"/>
              <w:autoSpaceDN w:val="0"/>
              <w:spacing w:before="2" w:line="236" w:lineRule="exact"/>
              <w:ind w:left="1122" w:right="1119"/>
              <w:jc w:val="center"/>
              <w:rPr>
                <w:sz w:val="24"/>
                <w:szCs w:val="24"/>
                <w:lang w:val="en-US"/>
              </w:rPr>
            </w:pPr>
            <w:r w:rsidRPr="00C311A4">
              <w:rPr>
                <w:sz w:val="24"/>
                <w:szCs w:val="24"/>
                <w:lang w:val="en-US"/>
              </w:rPr>
              <w:t>3023</w:t>
            </w:r>
          </w:p>
        </w:tc>
        <w:tc>
          <w:tcPr>
            <w:tcW w:w="1498" w:type="pct"/>
            <w:gridSpan w:val="2"/>
            <w:tcBorders>
              <w:top w:val="single" w:sz="4" w:space="0" w:color="000000"/>
              <w:left w:val="single" w:sz="4" w:space="0" w:color="000000"/>
              <w:bottom w:val="single" w:sz="4" w:space="0" w:color="000000"/>
              <w:right w:val="single" w:sz="4" w:space="0" w:color="000000"/>
            </w:tcBorders>
            <w:hideMark/>
          </w:tcPr>
          <w:p w14:paraId="67DD267E" w14:textId="77777777" w:rsidR="004A1F86" w:rsidRPr="00C311A4" w:rsidRDefault="004A1F86" w:rsidP="00AD0270">
            <w:pPr>
              <w:widowControl w:val="0"/>
              <w:tabs>
                <w:tab w:val="left" w:pos="1304"/>
              </w:tabs>
              <w:autoSpaceDE w:val="0"/>
              <w:autoSpaceDN w:val="0"/>
              <w:spacing w:before="2" w:line="236" w:lineRule="exact"/>
              <w:ind w:left="1174" w:right="1171"/>
              <w:jc w:val="center"/>
              <w:rPr>
                <w:sz w:val="24"/>
                <w:szCs w:val="24"/>
                <w:lang w:val="en-US"/>
              </w:rPr>
            </w:pPr>
            <w:r w:rsidRPr="00C311A4">
              <w:rPr>
                <w:sz w:val="24"/>
                <w:szCs w:val="24"/>
                <w:lang w:val="en-US"/>
              </w:rPr>
              <w:t>3010</w:t>
            </w:r>
          </w:p>
        </w:tc>
        <w:tc>
          <w:tcPr>
            <w:tcW w:w="974" w:type="pct"/>
            <w:tcBorders>
              <w:top w:val="single" w:sz="4" w:space="0" w:color="000000"/>
              <w:left w:val="single" w:sz="4" w:space="0" w:color="000000"/>
              <w:bottom w:val="single" w:sz="4" w:space="0" w:color="000000"/>
              <w:right w:val="single" w:sz="4" w:space="0" w:color="000000"/>
            </w:tcBorders>
          </w:tcPr>
          <w:p w14:paraId="2A1A936E" w14:textId="77777777" w:rsidR="004A1F86" w:rsidRPr="00C311A4" w:rsidRDefault="004A1F86" w:rsidP="00AD0270">
            <w:pPr>
              <w:widowControl w:val="0"/>
              <w:tabs>
                <w:tab w:val="left" w:pos="1304"/>
              </w:tabs>
              <w:autoSpaceDE w:val="0"/>
              <w:autoSpaceDN w:val="0"/>
              <w:jc w:val="center"/>
              <w:rPr>
                <w:sz w:val="24"/>
                <w:szCs w:val="24"/>
                <w:lang w:val="en-US"/>
              </w:rPr>
            </w:pPr>
          </w:p>
        </w:tc>
      </w:tr>
      <w:tr w:rsidR="004A1F86" w:rsidRPr="00C311A4" w14:paraId="3FEAB8ED" w14:textId="77777777" w:rsidTr="00624EBB">
        <w:trPr>
          <w:trHeight w:val="1300"/>
        </w:trPr>
        <w:tc>
          <w:tcPr>
            <w:tcW w:w="1086" w:type="pct"/>
            <w:tcBorders>
              <w:top w:val="single" w:sz="4" w:space="0" w:color="000000"/>
              <w:left w:val="single" w:sz="4" w:space="0" w:color="000000"/>
              <w:bottom w:val="single" w:sz="4" w:space="0" w:color="000000"/>
              <w:right w:val="single" w:sz="4" w:space="0" w:color="000000"/>
            </w:tcBorders>
            <w:hideMark/>
          </w:tcPr>
          <w:p w14:paraId="5CA89E3A" w14:textId="1A474106" w:rsidR="004A1F86" w:rsidRPr="00C311A4" w:rsidRDefault="004A1F86" w:rsidP="00AD0270">
            <w:pPr>
              <w:widowControl w:val="0"/>
              <w:tabs>
                <w:tab w:val="left" w:pos="1304"/>
              </w:tabs>
              <w:autoSpaceDE w:val="0"/>
              <w:autoSpaceDN w:val="0"/>
              <w:spacing w:before="3" w:line="244" w:lineRule="auto"/>
              <w:ind w:left="107" w:right="160"/>
              <w:rPr>
                <w:sz w:val="24"/>
                <w:szCs w:val="24"/>
                <w:lang w:val="en-US"/>
              </w:rPr>
            </w:pPr>
            <w:r w:rsidRPr="00C311A4">
              <w:rPr>
                <w:sz w:val="24"/>
                <w:szCs w:val="24"/>
                <w:lang w:val="en-US"/>
              </w:rPr>
              <w:t>Primary CV composite (Cardiovascular death, non-fatal MI,</w:t>
            </w:r>
            <w:r w:rsidR="00AD0270">
              <w:rPr>
                <w:sz w:val="24"/>
                <w:szCs w:val="24"/>
                <w:lang w:val="en-US"/>
              </w:rPr>
              <w:t xml:space="preserve"> </w:t>
            </w:r>
            <w:r w:rsidRPr="00C311A4">
              <w:rPr>
                <w:sz w:val="24"/>
                <w:szCs w:val="24"/>
                <w:lang w:val="en-US"/>
              </w:rPr>
              <w:t>non-fatal stroke)</w:t>
            </w:r>
          </w:p>
        </w:tc>
        <w:tc>
          <w:tcPr>
            <w:tcW w:w="693" w:type="pct"/>
            <w:tcBorders>
              <w:top w:val="single" w:sz="4" w:space="0" w:color="000000"/>
              <w:left w:val="single" w:sz="4" w:space="0" w:color="000000"/>
              <w:bottom w:val="single" w:sz="4" w:space="0" w:color="000000"/>
              <w:right w:val="single" w:sz="4" w:space="0" w:color="000000"/>
            </w:tcBorders>
            <w:hideMark/>
          </w:tcPr>
          <w:p w14:paraId="4BCB0836" w14:textId="77777777" w:rsidR="004A1F86" w:rsidRPr="00C311A4" w:rsidRDefault="004A1F86" w:rsidP="00AD0270">
            <w:pPr>
              <w:widowControl w:val="0"/>
              <w:tabs>
                <w:tab w:val="left" w:pos="1304"/>
              </w:tabs>
              <w:autoSpaceDE w:val="0"/>
              <w:autoSpaceDN w:val="0"/>
              <w:spacing w:before="3"/>
              <w:ind w:left="194"/>
              <w:jc w:val="center"/>
              <w:rPr>
                <w:sz w:val="24"/>
                <w:szCs w:val="24"/>
                <w:lang w:val="en-US"/>
              </w:rPr>
            </w:pPr>
            <w:r w:rsidRPr="00C311A4">
              <w:rPr>
                <w:sz w:val="24"/>
                <w:szCs w:val="24"/>
                <w:lang w:val="en-US"/>
              </w:rPr>
              <w:t>356 (11.8)</w:t>
            </w:r>
          </w:p>
        </w:tc>
        <w:tc>
          <w:tcPr>
            <w:tcW w:w="749" w:type="pct"/>
            <w:tcBorders>
              <w:top w:val="single" w:sz="4" w:space="0" w:color="000000"/>
              <w:left w:val="single" w:sz="4" w:space="0" w:color="000000"/>
              <w:bottom w:val="single" w:sz="4" w:space="0" w:color="000000"/>
              <w:right w:val="single" w:sz="4" w:space="0" w:color="000000"/>
            </w:tcBorders>
            <w:hideMark/>
          </w:tcPr>
          <w:p w14:paraId="4706E419" w14:textId="77777777" w:rsidR="004A1F86" w:rsidRPr="00C311A4" w:rsidRDefault="004A1F86" w:rsidP="00AD0270">
            <w:pPr>
              <w:widowControl w:val="0"/>
              <w:tabs>
                <w:tab w:val="left" w:pos="1304"/>
              </w:tabs>
              <w:autoSpaceDE w:val="0"/>
              <w:autoSpaceDN w:val="0"/>
              <w:spacing w:before="3"/>
              <w:ind w:right="505"/>
              <w:jc w:val="center"/>
              <w:rPr>
                <w:sz w:val="24"/>
                <w:szCs w:val="24"/>
                <w:lang w:val="en-US"/>
              </w:rPr>
            </w:pPr>
            <w:r w:rsidRPr="00C311A4">
              <w:rPr>
                <w:sz w:val="24"/>
                <w:szCs w:val="24"/>
                <w:lang w:val="en-US"/>
              </w:rPr>
              <w:t>20.7</w:t>
            </w:r>
          </w:p>
        </w:tc>
        <w:tc>
          <w:tcPr>
            <w:tcW w:w="748" w:type="pct"/>
            <w:tcBorders>
              <w:top w:val="single" w:sz="4" w:space="0" w:color="000000"/>
              <w:left w:val="single" w:sz="4" w:space="0" w:color="000000"/>
              <w:bottom w:val="single" w:sz="4" w:space="0" w:color="000000"/>
              <w:right w:val="single" w:sz="4" w:space="0" w:color="000000"/>
            </w:tcBorders>
            <w:hideMark/>
          </w:tcPr>
          <w:p w14:paraId="6E695CCF" w14:textId="77777777" w:rsidR="004A1F86" w:rsidRPr="00C311A4" w:rsidRDefault="004A1F86" w:rsidP="00AD0270">
            <w:pPr>
              <w:widowControl w:val="0"/>
              <w:tabs>
                <w:tab w:val="left" w:pos="1304"/>
              </w:tabs>
              <w:autoSpaceDE w:val="0"/>
              <w:autoSpaceDN w:val="0"/>
              <w:spacing w:before="3"/>
              <w:ind w:right="240"/>
              <w:jc w:val="center"/>
              <w:rPr>
                <w:sz w:val="24"/>
                <w:szCs w:val="24"/>
                <w:lang w:val="en-US"/>
              </w:rPr>
            </w:pPr>
            <w:r w:rsidRPr="00C311A4">
              <w:rPr>
                <w:sz w:val="24"/>
                <w:szCs w:val="24"/>
                <w:lang w:val="en-US"/>
              </w:rPr>
              <w:t>362 (12.0)</w:t>
            </w:r>
          </w:p>
        </w:tc>
        <w:tc>
          <w:tcPr>
            <w:tcW w:w="749" w:type="pct"/>
            <w:tcBorders>
              <w:top w:val="single" w:sz="4" w:space="0" w:color="000000"/>
              <w:left w:val="single" w:sz="4" w:space="0" w:color="000000"/>
              <w:bottom w:val="single" w:sz="4" w:space="0" w:color="000000"/>
              <w:right w:val="single" w:sz="4" w:space="0" w:color="000000"/>
            </w:tcBorders>
            <w:hideMark/>
          </w:tcPr>
          <w:p w14:paraId="5B1A6736" w14:textId="77777777" w:rsidR="004A1F86" w:rsidRPr="00C311A4" w:rsidRDefault="004A1F86" w:rsidP="00AD0270">
            <w:pPr>
              <w:widowControl w:val="0"/>
              <w:tabs>
                <w:tab w:val="left" w:pos="1304"/>
              </w:tabs>
              <w:autoSpaceDE w:val="0"/>
              <w:autoSpaceDN w:val="0"/>
              <w:spacing w:before="3"/>
              <w:ind w:left="494" w:right="489"/>
              <w:jc w:val="center"/>
              <w:rPr>
                <w:sz w:val="24"/>
                <w:szCs w:val="24"/>
                <w:lang w:val="en-US"/>
              </w:rPr>
            </w:pPr>
            <w:r w:rsidRPr="00C311A4">
              <w:rPr>
                <w:sz w:val="24"/>
                <w:szCs w:val="24"/>
                <w:lang w:val="en-US"/>
              </w:rPr>
              <w:t>21.2</w:t>
            </w:r>
          </w:p>
        </w:tc>
        <w:tc>
          <w:tcPr>
            <w:tcW w:w="974" w:type="pct"/>
            <w:tcBorders>
              <w:top w:val="single" w:sz="4" w:space="0" w:color="000000"/>
              <w:left w:val="single" w:sz="4" w:space="0" w:color="000000"/>
              <w:bottom w:val="single" w:sz="4" w:space="0" w:color="000000"/>
              <w:right w:val="single" w:sz="4" w:space="0" w:color="000000"/>
            </w:tcBorders>
            <w:hideMark/>
          </w:tcPr>
          <w:p w14:paraId="1EF65FC1" w14:textId="77777777" w:rsidR="004A1F86" w:rsidRPr="00C311A4" w:rsidRDefault="004A1F86" w:rsidP="00AD0270">
            <w:pPr>
              <w:widowControl w:val="0"/>
              <w:tabs>
                <w:tab w:val="left" w:pos="1304"/>
              </w:tabs>
              <w:autoSpaceDE w:val="0"/>
              <w:autoSpaceDN w:val="0"/>
              <w:spacing w:before="3"/>
              <w:ind w:left="164" w:right="161"/>
              <w:jc w:val="center"/>
              <w:rPr>
                <w:sz w:val="24"/>
                <w:szCs w:val="24"/>
                <w:lang w:val="en-US"/>
              </w:rPr>
            </w:pPr>
            <w:r w:rsidRPr="00C311A4">
              <w:rPr>
                <w:sz w:val="24"/>
                <w:szCs w:val="24"/>
                <w:lang w:val="en-US"/>
              </w:rPr>
              <w:t>0.98 (0.84,</w:t>
            </w:r>
          </w:p>
          <w:p w14:paraId="6CC4407C" w14:textId="77777777" w:rsidR="004A1F86" w:rsidRPr="00C311A4" w:rsidRDefault="004A1F86" w:rsidP="00AD0270">
            <w:pPr>
              <w:widowControl w:val="0"/>
              <w:tabs>
                <w:tab w:val="left" w:pos="1304"/>
              </w:tabs>
              <w:autoSpaceDE w:val="0"/>
              <w:autoSpaceDN w:val="0"/>
              <w:spacing w:before="9"/>
              <w:ind w:left="164" w:right="161"/>
              <w:jc w:val="center"/>
              <w:rPr>
                <w:sz w:val="24"/>
                <w:szCs w:val="24"/>
                <w:lang w:val="en-US"/>
              </w:rPr>
            </w:pPr>
            <w:proofErr w:type="gramStart"/>
            <w:r w:rsidRPr="00C311A4">
              <w:rPr>
                <w:sz w:val="24"/>
                <w:szCs w:val="24"/>
                <w:lang w:val="en-US"/>
              </w:rPr>
              <w:t>1.14)*</w:t>
            </w:r>
            <w:proofErr w:type="gramEnd"/>
            <w:r w:rsidRPr="00C311A4">
              <w:rPr>
                <w:sz w:val="24"/>
                <w:szCs w:val="24"/>
                <w:lang w:val="en-US"/>
              </w:rPr>
              <w:t>*</w:t>
            </w:r>
          </w:p>
        </w:tc>
      </w:tr>
      <w:tr w:rsidR="004A1F86" w:rsidRPr="00C311A4" w14:paraId="193E2715" w14:textId="77777777" w:rsidTr="00624EBB">
        <w:trPr>
          <w:trHeight w:val="258"/>
        </w:trPr>
        <w:tc>
          <w:tcPr>
            <w:tcW w:w="1086" w:type="pct"/>
            <w:tcBorders>
              <w:top w:val="single" w:sz="4" w:space="0" w:color="000000"/>
              <w:left w:val="single" w:sz="4" w:space="0" w:color="000000"/>
              <w:bottom w:val="single" w:sz="4" w:space="0" w:color="000000"/>
              <w:right w:val="single" w:sz="4" w:space="0" w:color="000000"/>
            </w:tcBorders>
            <w:hideMark/>
          </w:tcPr>
          <w:p w14:paraId="2AC53AE2" w14:textId="77777777" w:rsidR="004A1F86" w:rsidRPr="00C311A4" w:rsidRDefault="004A1F86">
            <w:pPr>
              <w:widowControl w:val="0"/>
              <w:tabs>
                <w:tab w:val="left" w:pos="1304"/>
              </w:tabs>
              <w:autoSpaceDE w:val="0"/>
              <w:autoSpaceDN w:val="0"/>
              <w:spacing w:before="3" w:line="236" w:lineRule="exact"/>
              <w:ind w:left="107"/>
              <w:rPr>
                <w:sz w:val="24"/>
                <w:szCs w:val="24"/>
                <w:lang w:val="en-US"/>
              </w:rPr>
            </w:pPr>
            <w:r w:rsidRPr="00C311A4">
              <w:rPr>
                <w:sz w:val="24"/>
                <w:szCs w:val="24"/>
                <w:lang w:val="en-US"/>
              </w:rPr>
              <w:t>All-cause mortality</w:t>
            </w:r>
          </w:p>
        </w:tc>
        <w:tc>
          <w:tcPr>
            <w:tcW w:w="693" w:type="pct"/>
            <w:tcBorders>
              <w:top w:val="single" w:sz="4" w:space="0" w:color="000000"/>
              <w:left w:val="single" w:sz="4" w:space="0" w:color="000000"/>
              <w:bottom w:val="single" w:sz="4" w:space="0" w:color="000000"/>
              <w:right w:val="single" w:sz="4" w:space="0" w:color="000000"/>
            </w:tcBorders>
            <w:hideMark/>
          </w:tcPr>
          <w:p w14:paraId="6B70C152" w14:textId="77777777" w:rsidR="004A1F86" w:rsidRPr="00C311A4" w:rsidRDefault="004A1F86" w:rsidP="00AD0270">
            <w:pPr>
              <w:widowControl w:val="0"/>
              <w:tabs>
                <w:tab w:val="left" w:pos="1304"/>
              </w:tabs>
              <w:autoSpaceDE w:val="0"/>
              <w:autoSpaceDN w:val="0"/>
              <w:spacing w:before="3" w:line="236" w:lineRule="exact"/>
              <w:ind w:left="194"/>
              <w:jc w:val="center"/>
              <w:rPr>
                <w:sz w:val="24"/>
                <w:szCs w:val="24"/>
                <w:lang w:val="en-US"/>
              </w:rPr>
            </w:pPr>
            <w:r w:rsidRPr="00C311A4">
              <w:rPr>
                <w:sz w:val="24"/>
                <w:szCs w:val="24"/>
                <w:lang w:val="en-US"/>
              </w:rPr>
              <w:t>308 (10.2)</w:t>
            </w:r>
          </w:p>
        </w:tc>
        <w:tc>
          <w:tcPr>
            <w:tcW w:w="749" w:type="pct"/>
            <w:tcBorders>
              <w:top w:val="single" w:sz="4" w:space="0" w:color="000000"/>
              <w:left w:val="single" w:sz="4" w:space="0" w:color="000000"/>
              <w:bottom w:val="single" w:sz="4" w:space="0" w:color="000000"/>
              <w:right w:val="single" w:sz="4" w:space="0" w:color="000000"/>
            </w:tcBorders>
            <w:hideMark/>
          </w:tcPr>
          <w:p w14:paraId="5FB56318" w14:textId="77777777" w:rsidR="004A1F86" w:rsidRPr="00C311A4" w:rsidRDefault="004A1F86" w:rsidP="00AD0270">
            <w:pPr>
              <w:widowControl w:val="0"/>
              <w:tabs>
                <w:tab w:val="left" w:pos="1304"/>
              </w:tabs>
              <w:autoSpaceDE w:val="0"/>
              <w:autoSpaceDN w:val="0"/>
              <w:spacing w:before="3" w:line="236" w:lineRule="exact"/>
              <w:ind w:right="505"/>
              <w:jc w:val="center"/>
              <w:rPr>
                <w:sz w:val="24"/>
                <w:szCs w:val="24"/>
                <w:lang w:val="en-US"/>
              </w:rPr>
            </w:pPr>
            <w:r w:rsidRPr="00C311A4">
              <w:rPr>
                <w:sz w:val="24"/>
                <w:szCs w:val="24"/>
                <w:lang w:val="en-US"/>
              </w:rPr>
              <w:t>16.8</w:t>
            </w:r>
          </w:p>
        </w:tc>
        <w:tc>
          <w:tcPr>
            <w:tcW w:w="748" w:type="pct"/>
            <w:tcBorders>
              <w:top w:val="single" w:sz="4" w:space="0" w:color="000000"/>
              <w:left w:val="single" w:sz="4" w:space="0" w:color="000000"/>
              <w:bottom w:val="single" w:sz="4" w:space="0" w:color="000000"/>
              <w:right w:val="single" w:sz="4" w:space="0" w:color="000000"/>
            </w:tcBorders>
            <w:hideMark/>
          </w:tcPr>
          <w:p w14:paraId="4CA776BF" w14:textId="77777777" w:rsidR="004A1F86" w:rsidRPr="00C311A4" w:rsidRDefault="004A1F86" w:rsidP="00AD0270">
            <w:pPr>
              <w:widowControl w:val="0"/>
              <w:tabs>
                <w:tab w:val="left" w:pos="1304"/>
              </w:tabs>
              <w:autoSpaceDE w:val="0"/>
              <w:autoSpaceDN w:val="0"/>
              <w:spacing w:before="3" w:line="236" w:lineRule="exact"/>
              <w:ind w:right="240"/>
              <w:jc w:val="center"/>
              <w:rPr>
                <w:sz w:val="24"/>
                <w:szCs w:val="24"/>
                <w:lang w:val="en-US"/>
              </w:rPr>
            </w:pPr>
            <w:r w:rsidRPr="00C311A4">
              <w:rPr>
                <w:sz w:val="24"/>
                <w:szCs w:val="24"/>
                <w:lang w:val="en-US"/>
              </w:rPr>
              <w:t>336 (11.2)</w:t>
            </w:r>
          </w:p>
        </w:tc>
        <w:tc>
          <w:tcPr>
            <w:tcW w:w="749" w:type="pct"/>
            <w:tcBorders>
              <w:top w:val="single" w:sz="4" w:space="0" w:color="000000"/>
              <w:left w:val="single" w:sz="4" w:space="0" w:color="000000"/>
              <w:bottom w:val="single" w:sz="4" w:space="0" w:color="000000"/>
              <w:right w:val="single" w:sz="4" w:space="0" w:color="000000"/>
            </w:tcBorders>
            <w:hideMark/>
          </w:tcPr>
          <w:p w14:paraId="4F834DDC" w14:textId="77777777" w:rsidR="004A1F86" w:rsidRPr="00C311A4" w:rsidRDefault="004A1F86" w:rsidP="00AD0270">
            <w:pPr>
              <w:widowControl w:val="0"/>
              <w:tabs>
                <w:tab w:val="left" w:pos="1304"/>
              </w:tabs>
              <w:autoSpaceDE w:val="0"/>
              <w:autoSpaceDN w:val="0"/>
              <w:spacing w:before="3" w:line="236" w:lineRule="exact"/>
              <w:ind w:left="494" w:right="489"/>
              <w:jc w:val="center"/>
              <w:rPr>
                <w:sz w:val="24"/>
                <w:szCs w:val="24"/>
                <w:lang w:val="en-US"/>
              </w:rPr>
            </w:pPr>
            <w:r w:rsidRPr="00C311A4">
              <w:rPr>
                <w:sz w:val="24"/>
                <w:szCs w:val="24"/>
                <w:lang w:val="en-US"/>
              </w:rPr>
              <w:t>18.4</w:t>
            </w:r>
          </w:p>
        </w:tc>
        <w:tc>
          <w:tcPr>
            <w:tcW w:w="974" w:type="pct"/>
            <w:tcBorders>
              <w:top w:val="single" w:sz="4" w:space="0" w:color="000000"/>
              <w:left w:val="single" w:sz="4" w:space="0" w:color="000000"/>
              <w:bottom w:val="single" w:sz="4" w:space="0" w:color="000000"/>
              <w:right w:val="single" w:sz="4" w:space="0" w:color="000000"/>
            </w:tcBorders>
            <w:hideMark/>
          </w:tcPr>
          <w:p w14:paraId="7B4ECDE8" w14:textId="77777777" w:rsidR="004A1F86" w:rsidRPr="00C311A4" w:rsidRDefault="004A1F86" w:rsidP="00AD0270">
            <w:pPr>
              <w:widowControl w:val="0"/>
              <w:tabs>
                <w:tab w:val="left" w:pos="1304"/>
              </w:tabs>
              <w:autoSpaceDE w:val="0"/>
              <w:autoSpaceDN w:val="0"/>
              <w:spacing w:before="3" w:line="236" w:lineRule="exact"/>
              <w:ind w:left="164" w:right="160"/>
              <w:jc w:val="center"/>
              <w:rPr>
                <w:sz w:val="24"/>
                <w:szCs w:val="24"/>
                <w:lang w:val="en-US"/>
              </w:rPr>
            </w:pPr>
            <w:r w:rsidRPr="00C311A4">
              <w:rPr>
                <w:sz w:val="24"/>
                <w:szCs w:val="24"/>
                <w:lang w:val="en-US"/>
              </w:rPr>
              <w:t>0.91 (0.78,1.06)</w:t>
            </w:r>
          </w:p>
        </w:tc>
      </w:tr>
      <w:tr w:rsidR="004A1F86" w:rsidRPr="00C311A4" w14:paraId="49F79BB2" w14:textId="77777777" w:rsidTr="00624EBB">
        <w:trPr>
          <w:trHeight w:val="261"/>
        </w:trPr>
        <w:tc>
          <w:tcPr>
            <w:tcW w:w="1086" w:type="pct"/>
            <w:tcBorders>
              <w:top w:val="single" w:sz="4" w:space="0" w:color="000000"/>
              <w:left w:val="single" w:sz="4" w:space="0" w:color="000000"/>
              <w:bottom w:val="single" w:sz="4" w:space="0" w:color="000000"/>
              <w:right w:val="single" w:sz="4" w:space="0" w:color="000000"/>
            </w:tcBorders>
            <w:hideMark/>
          </w:tcPr>
          <w:p w14:paraId="006E1664" w14:textId="77777777" w:rsidR="004A1F86" w:rsidRPr="00C311A4" w:rsidRDefault="004A1F86">
            <w:pPr>
              <w:widowControl w:val="0"/>
              <w:tabs>
                <w:tab w:val="left" w:pos="1304"/>
              </w:tabs>
              <w:autoSpaceDE w:val="0"/>
              <w:autoSpaceDN w:val="0"/>
              <w:spacing w:before="5" w:line="236" w:lineRule="exact"/>
              <w:ind w:left="107"/>
              <w:rPr>
                <w:sz w:val="24"/>
                <w:szCs w:val="24"/>
                <w:lang w:val="en-US"/>
              </w:rPr>
            </w:pPr>
            <w:r w:rsidRPr="00C311A4">
              <w:rPr>
                <w:sz w:val="24"/>
                <w:szCs w:val="24"/>
                <w:lang w:val="en-US"/>
              </w:rPr>
              <w:t>CV death</w:t>
            </w:r>
          </w:p>
        </w:tc>
        <w:tc>
          <w:tcPr>
            <w:tcW w:w="693" w:type="pct"/>
            <w:tcBorders>
              <w:top w:val="single" w:sz="4" w:space="0" w:color="000000"/>
              <w:left w:val="single" w:sz="4" w:space="0" w:color="000000"/>
              <w:bottom w:val="single" w:sz="4" w:space="0" w:color="000000"/>
              <w:right w:val="single" w:sz="4" w:space="0" w:color="000000"/>
            </w:tcBorders>
            <w:hideMark/>
          </w:tcPr>
          <w:p w14:paraId="1A5DB1ED" w14:textId="77777777" w:rsidR="004A1F86" w:rsidRPr="00C311A4" w:rsidRDefault="004A1F86" w:rsidP="00AD0270">
            <w:pPr>
              <w:widowControl w:val="0"/>
              <w:tabs>
                <w:tab w:val="left" w:pos="1304"/>
              </w:tabs>
              <w:autoSpaceDE w:val="0"/>
              <w:autoSpaceDN w:val="0"/>
              <w:spacing w:before="5" w:line="236" w:lineRule="exact"/>
              <w:ind w:left="249"/>
              <w:jc w:val="center"/>
              <w:rPr>
                <w:sz w:val="24"/>
                <w:szCs w:val="24"/>
                <w:lang w:val="en-US"/>
              </w:rPr>
            </w:pPr>
            <w:r w:rsidRPr="00C311A4">
              <w:rPr>
                <w:sz w:val="24"/>
                <w:szCs w:val="24"/>
                <w:lang w:val="en-US"/>
              </w:rPr>
              <w:t>169 (5.6)</w:t>
            </w:r>
          </w:p>
        </w:tc>
        <w:tc>
          <w:tcPr>
            <w:tcW w:w="749" w:type="pct"/>
            <w:tcBorders>
              <w:top w:val="single" w:sz="4" w:space="0" w:color="000000"/>
              <w:left w:val="single" w:sz="4" w:space="0" w:color="000000"/>
              <w:bottom w:val="single" w:sz="4" w:space="0" w:color="000000"/>
              <w:right w:val="single" w:sz="4" w:space="0" w:color="000000"/>
            </w:tcBorders>
            <w:hideMark/>
          </w:tcPr>
          <w:p w14:paraId="177FA266" w14:textId="77777777" w:rsidR="004A1F86" w:rsidRPr="00C311A4" w:rsidRDefault="004A1F86" w:rsidP="00AD0270">
            <w:pPr>
              <w:widowControl w:val="0"/>
              <w:tabs>
                <w:tab w:val="left" w:pos="1304"/>
              </w:tabs>
              <w:autoSpaceDE w:val="0"/>
              <w:autoSpaceDN w:val="0"/>
              <w:spacing w:before="5" w:line="236" w:lineRule="exact"/>
              <w:ind w:right="562"/>
              <w:jc w:val="center"/>
              <w:rPr>
                <w:sz w:val="24"/>
                <w:szCs w:val="24"/>
                <w:lang w:val="en-US"/>
              </w:rPr>
            </w:pPr>
            <w:r w:rsidRPr="00C311A4">
              <w:rPr>
                <w:sz w:val="24"/>
                <w:szCs w:val="24"/>
                <w:lang w:val="en-US"/>
              </w:rPr>
              <w:t>9.2</w:t>
            </w:r>
          </w:p>
        </w:tc>
        <w:tc>
          <w:tcPr>
            <w:tcW w:w="748" w:type="pct"/>
            <w:tcBorders>
              <w:top w:val="single" w:sz="4" w:space="0" w:color="000000"/>
              <w:left w:val="single" w:sz="4" w:space="0" w:color="000000"/>
              <w:bottom w:val="single" w:sz="4" w:space="0" w:color="000000"/>
              <w:right w:val="single" w:sz="4" w:space="0" w:color="000000"/>
            </w:tcBorders>
            <w:hideMark/>
          </w:tcPr>
          <w:p w14:paraId="1685E51B" w14:textId="77777777" w:rsidR="004A1F86" w:rsidRPr="00C311A4" w:rsidRDefault="004A1F86" w:rsidP="00AD0270">
            <w:pPr>
              <w:widowControl w:val="0"/>
              <w:tabs>
                <w:tab w:val="left" w:pos="1304"/>
              </w:tabs>
              <w:autoSpaceDE w:val="0"/>
              <w:autoSpaceDN w:val="0"/>
              <w:spacing w:before="5" w:line="236" w:lineRule="exact"/>
              <w:ind w:right="295"/>
              <w:jc w:val="center"/>
              <w:rPr>
                <w:sz w:val="24"/>
                <w:szCs w:val="24"/>
                <w:lang w:val="en-US"/>
              </w:rPr>
            </w:pPr>
            <w:r w:rsidRPr="00C311A4">
              <w:rPr>
                <w:sz w:val="24"/>
                <w:szCs w:val="24"/>
                <w:lang w:val="en-US"/>
              </w:rPr>
              <w:t>168 (5.6)</w:t>
            </w:r>
          </w:p>
        </w:tc>
        <w:tc>
          <w:tcPr>
            <w:tcW w:w="749" w:type="pct"/>
            <w:tcBorders>
              <w:top w:val="single" w:sz="4" w:space="0" w:color="000000"/>
              <w:left w:val="single" w:sz="4" w:space="0" w:color="000000"/>
              <w:bottom w:val="single" w:sz="4" w:space="0" w:color="000000"/>
              <w:right w:val="single" w:sz="4" w:space="0" w:color="000000"/>
            </w:tcBorders>
            <w:hideMark/>
          </w:tcPr>
          <w:p w14:paraId="29B307ED" w14:textId="77777777" w:rsidR="004A1F86" w:rsidRPr="00C311A4" w:rsidRDefault="004A1F86" w:rsidP="00AD0270">
            <w:pPr>
              <w:widowControl w:val="0"/>
              <w:tabs>
                <w:tab w:val="left" w:pos="1304"/>
              </w:tabs>
              <w:autoSpaceDE w:val="0"/>
              <w:autoSpaceDN w:val="0"/>
              <w:spacing w:before="5" w:line="236" w:lineRule="exact"/>
              <w:ind w:left="489" w:right="489"/>
              <w:jc w:val="center"/>
              <w:rPr>
                <w:sz w:val="24"/>
                <w:szCs w:val="24"/>
                <w:lang w:val="en-US"/>
              </w:rPr>
            </w:pPr>
            <w:r w:rsidRPr="00C311A4">
              <w:rPr>
                <w:sz w:val="24"/>
                <w:szCs w:val="24"/>
                <w:lang w:val="en-US"/>
              </w:rPr>
              <w:t>9.2</w:t>
            </w:r>
          </w:p>
        </w:tc>
        <w:tc>
          <w:tcPr>
            <w:tcW w:w="974" w:type="pct"/>
            <w:tcBorders>
              <w:top w:val="single" w:sz="4" w:space="0" w:color="000000"/>
              <w:left w:val="single" w:sz="4" w:space="0" w:color="000000"/>
              <w:bottom w:val="single" w:sz="4" w:space="0" w:color="000000"/>
              <w:right w:val="single" w:sz="4" w:space="0" w:color="000000"/>
            </w:tcBorders>
            <w:hideMark/>
          </w:tcPr>
          <w:p w14:paraId="5443D963" w14:textId="77777777" w:rsidR="004A1F86" w:rsidRPr="00C311A4" w:rsidRDefault="004A1F86" w:rsidP="00AD0270">
            <w:pPr>
              <w:widowControl w:val="0"/>
              <w:tabs>
                <w:tab w:val="left" w:pos="1304"/>
              </w:tabs>
              <w:autoSpaceDE w:val="0"/>
              <w:autoSpaceDN w:val="0"/>
              <w:spacing w:before="5" w:line="236" w:lineRule="exact"/>
              <w:ind w:left="164" w:right="162"/>
              <w:jc w:val="center"/>
              <w:rPr>
                <w:sz w:val="24"/>
                <w:szCs w:val="24"/>
                <w:lang w:val="en-US"/>
              </w:rPr>
            </w:pPr>
            <w:r w:rsidRPr="00C311A4">
              <w:rPr>
                <w:sz w:val="24"/>
                <w:szCs w:val="24"/>
                <w:lang w:val="en-US"/>
              </w:rPr>
              <w:t>1.00 (0.81, 1.24)</w:t>
            </w:r>
          </w:p>
        </w:tc>
      </w:tr>
      <w:tr w:rsidR="004A1F86" w:rsidRPr="00C311A4" w14:paraId="42F8E064" w14:textId="77777777" w:rsidTr="00624EBB">
        <w:trPr>
          <w:trHeight w:val="520"/>
        </w:trPr>
        <w:tc>
          <w:tcPr>
            <w:tcW w:w="1086" w:type="pct"/>
            <w:tcBorders>
              <w:top w:val="single" w:sz="4" w:space="0" w:color="000000"/>
              <w:left w:val="single" w:sz="4" w:space="0" w:color="000000"/>
              <w:bottom w:val="single" w:sz="4" w:space="0" w:color="000000"/>
              <w:right w:val="single" w:sz="4" w:space="0" w:color="000000"/>
            </w:tcBorders>
            <w:hideMark/>
          </w:tcPr>
          <w:p w14:paraId="3B1CCD09" w14:textId="77777777" w:rsidR="004A1F86" w:rsidRPr="00C311A4" w:rsidRDefault="004A1F86">
            <w:pPr>
              <w:widowControl w:val="0"/>
              <w:tabs>
                <w:tab w:val="left" w:pos="1304"/>
              </w:tabs>
              <w:autoSpaceDE w:val="0"/>
              <w:autoSpaceDN w:val="0"/>
              <w:ind w:left="107" w:right="209"/>
              <w:rPr>
                <w:sz w:val="24"/>
                <w:szCs w:val="24"/>
                <w:lang w:val="en-US"/>
              </w:rPr>
            </w:pPr>
            <w:r w:rsidRPr="00C311A4">
              <w:rPr>
                <w:sz w:val="24"/>
                <w:szCs w:val="24"/>
                <w:lang w:val="en-US"/>
              </w:rPr>
              <w:t>Hospitalization for heart failure (HHF)</w:t>
            </w:r>
          </w:p>
        </w:tc>
        <w:tc>
          <w:tcPr>
            <w:tcW w:w="693" w:type="pct"/>
            <w:tcBorders>
              <w:top w:val="single" w:sz="4" w:space="0" w:color="000000"/>
              <w:left w:val="single" w:sz="4" w:space="0" w:color="000000"/>
              <w:bottom w:val="single" w:sz="4" w:space="0" w:color="000000"/>
              <w:right w:val="single" w:sz="4" w:space="0" w:color="000000"/>
            </w:tcBorders>
            <w:hideMark/>
          </w:tcPr>
          <w:p w14:paraId="5AF2B626" w14:textId="77777777" w:rsidR="004A1F86" w:rsidRPr="00C311A4" w:rsidRDefault="004A1F86" w:rsidP="00AD0270">
            <w:pPr>
              <w:widowControl w:val="0"/>
              <w:tabs>
                <w:tab w:val="left" w:pos="1304"/>
              </w:tabs>
              <w:autoSpaceDE w:val="0"/>
              <w:autoSpaceDN w:val="0"/>
              <w:spacing w:before="3"/>
              <w:ind w:left="249"/>
              <w:jc w:val="center"/>
              <w:rPr>
                <w:sz w:val="24"/>
                <w:szCs w:val="24"/>
                <w:lang w:val="en-US"/>
              </w:rPr>
            </w:pPr>
            <w:r w:rsidRPr="00C311A4">
              <w:rPr>
                <w:sz w:val="24"/>
                <w:szCs w:val="24"/>
                <w:lang w:val="en-US"/>
              </w:rPr>
              <w:t>112 (3.7)</w:t>
            </w:r>
          </w:p>
        </w:tc>
        <w:tc>
          <w:tcPr>
            <w:tcW w:w="749" w:type="pct"/>
            <w:tcBorders>
              <w:top w:val="single" w:sz="4" w:space="0" w:color="000000"/>
              <w:left w:val="single" w:sz="4" w:space="0" w:color="000000"/>
              <w:bottom w:val="single" w:sz="4" w:space="0" w:color="000000"/>
              <w:right w:val="single" w:sz="4" w:space="0" w:color="000000"/>
            </w:tcBorders>
            <w:hideMark/>
          </w:tcPr>
          <w:p w14:paraId="2C42AE84" w14:textId="77777777" w:rsidR="004A1F86" w:rsidRPr="00C311A4" w:rsidRDefault="004A1F86" w:rsidP="00AD0270">
            <w:pPr>
              <w:widowControl w:val="0"/>
              <w:tabs>
                <w:tab w:val="left" w:pos="1304"/>
              </w:tabs>
              <w:autoSpaceDE w:val="0"/>
              <w:autoSpaceDN w:val="0"/>
              <w:spacing w:before="3"/>
              <w:ind w:right="562"/>
              <w:jc w:val="center"/>
              <w:rPr>
                <w:sz w:val="24"/>
                <w:szCs w:val="24"/>
                <w:lang w:val="en-US"/>
              </w:rPr>
            </w:pPr>
            <w:r w:rsidRPr="00C311A4">
              <w:rPr>
                <w:sz w:val="24"/>
                <w:szCs w:val="24"/>
                <w:lang w:val="en-US"/>
              </w:rPr>
              <w:t>6.4</w:t>
            </w:r>
          </w:p>
        </w:tc>
        <w:tc>
          <w:tcPr>
            <w:tcW w:w="748" w:type="pct"/>
            <w:tcBorders>
              <w:top w:val="single" w:sz="4" w:space="0" w:color="000000"/>
              <w:left w:val="single" w:sz="4" w:space="0" w:color="000000"/>
              <w:bottom w:val="single" w:sz="4" w:space="0" w:color="000000"/>
              <w:right w:val="single" w:sz="4" w:space="0" w:color="000000"/>
            </w:tcBorders>
            <w:hideMark/>
          </w:tcPr>
          <w:p w14:paraId="152DC836" w14:textId="77777777" w:rsidR="004A1F86" w:rsidRPr="00C311A4" w:rsidRDefault="004A1F86" w:rsidP="00AD0270">
            <w:pPr>
              <w:widowControl w:val="0"/>
              <w:tabs>
                <w:tab w:val="left" w:pos="1304"/>
              </w:tabs>
              <w:autoSpaceDE w:val="0"/>
              <w:autoSpaceDN w:val="0"/>
              <w:spacing w:before="3"/>
              <w:ind w:left="356"/>
              <w:jc w:val="center"/>
              <w:rPr>
                <w:sz w:val="24"/>
                <w:szCs w:val="24"/>
                <w:lang w:val="en-US"/>
              </w:rPr>
            </w:pPr>
            <w:r w:rsidRPr="00C311A4">
              <w:rPr>
                <w:sz w:val="24"/>
                <w:szCs w:val="24"/>
                <w:lang w:val="en-US"/>
              </w:rPr>
              <w:t>92 (3.1)</w:t>
            </w:r>
          </w:p>
        </w:tc>
        <w:tc>
          <w:tcPr>
            <w:tcW w:w="749" w:type="pct"/>
            <w:tcBorders>
              <w:top w:val="single" w:sz="4" w:space="0" w:color="000000"/>
              <w:left w:val="single" w:sz="4" w:space="0" w:color="000000"/>
              <w:bottom w:val="single" w:sz="4" w:space="0" w:color="000000"/>
              <w:right w:val="single" w:sz="4" w:space="0" w:color="000000"/>
            </w:tcBorders>
            <w:hideMark/>
          </w:tcPr>
          <w:p w14:paraId="18667352" w14:textId="77777777" w:rsidR="004A1F86" w:rsidRPr="00C311A4" w:rsidRDefault="004A1F86" w:rsidP="00AD0270">
            <w:pPr>
              <w:widowControl w:val="0"/>
              <w:tabs>
                <w:tab w:val="left" w:pos="1304"/>
              </w:tabs>
              <w:autoSpaceDE w:val="0"/>
              <w:autoSpaceDN w:val="0"/>
              <w:spacing w:before="3"/>
              <w:ind w:left="489" w:right="489"/>
              <w:jc w:val="center"/>
              <w:rPr>
                <w:sz w:val="24"/>
                <w:szCs w:val="24"/>
                <w:lang w:val="en-US"/>
              </w:rPr>
            </w:pPr>
            <w:r w:rsidRPr="00C311A4">
              <w:rPr>
                <w:sz w:val="24"/>
                <w:szCs w:val="24"/>
                <w:lang w:val="en-US"/>
              </w:rPr>
              <w:t>5.3</w:t>
            </w:r>
          </w:p>
        </w:tc>
        <w:tc>
          <w:tcPr>
            <w:tcW w:w="974" w:type="pct"/>
            <w:tcBorders>
              <w:top w:val="single" w:sz="4" w:space="0" w:color="000000"/>
              <w:left w:val="single" w:sz="4" w:space="0" w:color="000000"/>
              <w:bottom w:val="single" w:sz="4" w:space="0" w:color="000000"/>
              <w:right w:val="single" w:sz="4" w:space="0" w:color="000000"/>
            </w:tcBorders>
            <w:hideMark/>
          </w:tcPr>
          <w:p w14:paraId="2D62D101" w14:textId="77777777" w:rsidR="004A1F86" w:rsidRPr="00C311A4" w:rsidRDefault="004A1F86" w:rsidP="00AD0270">
            <w:pPr>
              <w:widowControl w:val="0"/>
              <w:tabs>
                <w:tab w:val="left" w:pos="1304"/>
              </w:tabs>
              <w:autoSpaceDE w:val="0"/>
              <w:autoSpaceDN w:val="0"/>
              <w:spacing w:before="3"/>
              <w:ind w:left="164" w:right="162"/>
              <w:jc w:val="center"/>
              <w:rPr>
                <w:sz w:val="24"/>
                <w:szCs w:val="24"/>
                <w:lang w:val="en-US"/>
              </w:rPr>
            </w:pPr>
            <w:r w:rsidRPr="00C311A4">
              <w:rPr>
                <w:sz w:val="24"/>
                <w:szCs w:val="24"/>
                <w:lang w:val="en-US"/>
              </w:rPr>
              <w:t>1.21 (0.92, 1.59)</w:t>
            </w:r>
          </w:p>
        </w:tc>
      </w:tr>
    </w:tbl>
    <w:p w14:paraId="60C52BAD" w14:textId="77777777" w:rsidR="004A1F86" w:rsidRPr="00AD0270" w:rsidRDefault="004A1F86" w:rsidP="00624EBB">
      <w:pPr>
        <w:ind w:left="426" w:hanging="426"/>
        <w:rPr>
          <w:sz w:val="20"/>
          <w:lang w:val="en-US" w:eastAsia="en-US"/>
        </w:rPr>
      </w:pPr>
      <w:r w:rsidRPr="00AD0270">
        <w:rPr>
          <w:sz w:val="20"/>
          <w:lang w:val="en-US"/>
        </w:rPr>
        <w:t>*</w:t>
      </w:r>
      <w:r w:rsidRPr="00AD0270">
        <w:rPr>
          <w:sz w:val="20"/>
          <w:lang w:val="en-US"/>
        </w:rPr>
        <w:tab/>
        <w:t>PY=patient</w:t>
      </w:r>
      <w:r w:rsidRPr="00AD0270">
        <w:rPr>
          <w:spacing w:val="-2"/>
          <w:sz w:val="20"/>
          <w:lang w:val="en-US"/>
        </w:rPr>
        <w:t xml:space="preserve"> </w:t>
      </w:r>
      <w:r w:rsidRPr="00AD0270">
        <w:rPr>
          <w:sz w:val="20"/>
          <w:lang w:val="en-US"/>
        </w:rPr>
        <w:t>years</w:t>
      </w:r>
    </w:p>
    <w:p w14:paraId="07297367" w14:textId="61D2D335" w:rsidR="004A1F86" w:rsidRPr="00AD0270" w:rsidRDefault="004A1F86" w:rsidP="00624EBB">
      <w:pPr>
        <w:ind w:left="426" w:hanging="426"/>
        <w:rPr>
          <w:sz w:val="20"/>
          <w:lang w:val="en-US"/>
        </w:rPr>
      </w:pPr>
      <w:r w:rsidRPr="00AD0270">
        <w:rPr>
          <w:sz w:val="20"/>
          <w:lang w:val="en-US"/>
        </w:rPr>
        <w:t xml:space="preserve">** </w:t>
      </w:r>
      <w:r w:rsidR="00624EBB" w:rsidRPr="00AD0270">
        <w:rPr>
          <w:sz w:val="20"/>
          <w:lang w:val="en-US"/>
        </w:rPr>
        <w:tab/>
      </w:r>
      <w:r w:rsidRPr="00AD0270">
        <w:rPr>
          <w:sz w:val="20"/>
          <w:lang w:val="en-US"/>
        </w:rPr>
        <w:t>Test on non-inferiority to demonstrate that the upper bound of the 95% CI for the hazard ratio is less than 1.3</w:t>
      </w:r>
    </w:p>
    <w:p w14:paraId="5C3CEAF1" w14:textId="77777777" w:rsidR="004A1F86" w:rsidRPr="00C311A4" w:rsidRDefault="004A1F86" w:rsidP="00624EBB">
      <w:pPr>
        <w:ind w:left="426" w:hanging="426"/>
        <w:rPr>
          <w:sz w:val="24"/>
          <w:szCs w:val="24"/>
          <w:lang w:val="en-US"/>
        </w:rPr>
      </w:pPr>
    </w:p>
    <w:p w14:paraId="280E060E" w14:textId="77777777" w:rsidR="004A1F86" w:rsidRPr="00C311A4" w:rsidRDefault="004A1F86" w:rsidP="00624EBB">
      <w:pPr>
        <w:ind w:left="851"/>
        <w:rPr>
          <w:sz w:val="24"/>
          <w:szCs w:val="24"/>
          <w:lang w:val="en-US"/>
        </w:rPr>
      </w:pPr>
      <w:r w:rsidRPr="00C311A4">
        <w:rPr>
          <w:sz w:val="24"/>
          <w:szCs w:val="24"/>
          <w:lang w:val="en-US"/>
        </w:rPr>
        <w:t xml:space="preserve">For the entire treatment period (median time on treatment 5.9 years) the rate of patients with moderate or severe </w:t>
      </w:r>
      <w:proofErr w:type="spellStart"/>
      <w:r w:rsidRPr="00C311A4">
        <w:rPr>
          <w:sz w:val="24"/>
          <w:szCs w:val="24"/>
          <w:lang w:val="en-US"/>
        </w:rPr>
        <w:t>hypoglycaemia</w:t>
      </w:r>
      <w:proofErr w:type="spellEnd"/>
      <w:r w:rsidRPr="00C311A4">
        <w:rPr>
          <w:sz w:val="24"/>
          <w:szCs w:val="24"/>
          <w:lang w:val="en-US"/>
        </w:rPr>
        <w:t xml:space="preserve"> was 6.5% on linagliptin versus 30.9% on glimepiride, severe </w:t>
      </w:r>
      <w:proofErr w:type="spellStart"/>
      <w:r w:rsidRPr="00C311A4">
        <w:rPr>
          <w:sz w:val="24"/>
          <w:szCs w:val="24"/>
          <w:lang w:val="en-US"/>
        </w:rPr>
        <w:t>hypoglycaemia</w:t>
      </w:r>
      <w:proofErr w:type="spellEnd"/>
      <w:r w:rsidRPr="00C311A4">
        <w:rPr>
          <w:sz w:val="24"/>
          <w:szCs w:val="24"/>
          <w:lang w:val="en-US"/>
        </w:rPr>
        <w:t xml:space="preserve"> occurred in 0.3% of patients on linagliptin versus 2.2% on glimepiride.</w:t>
      </w:r>
    </w:p>
    <w:p w14:paraId="3D0B0D25" w14:textId="77777777" w:rsidR="004A1F86" w:rsidRPr="00C311A4" w:rsidRDefault="004A1F86" w:rsidP="00624EBB">
      <w:pPr>
        <w:ind w:left="851"/>
        <w:rPr>
          <w:sz w:val="24"/>
          <w:szCs w:val="24"/>
          <w:lang w:val="en-US"/>
        </w:rPr>
      </w:pPr>
    </w:p>
    <w:p w14:paraId="6C0417E9" w14:textId="77777777" w:rsidR="004A1F86" w:rsidRPr="00C311A4" w:rsidRDefault="004A1F86" w:rsidP="00624EBB">
      <w:pPr>
        <w:ind w:left="851"/>
        <w:rPr>
          <w:i/>
          <w:sz w:val="24"/>
          <w:szCs w:val="24"/>
          <w:lang w:val="en-US"/>
        </w:rPr>
      </w:pPr>
      <w:r w:rsidRPr="00C311A4">
        <w:rPr>
          <w:i/>
          <w:sz w:val="24"/>
          <w:szCs w:val="24"/>
          <w:u w:val="single"/>
          <w:lang w:val="en-US"/>
        </w:rPr>
        <w:t>Metformin</w:t>
      </w:r>
    </w:p>
    <w:p w14:paraId="74162CD1" w14:textId="77777777" w:rsidR="004A1F86" w:rsidRPr="00C311A4" w:rsidRDefault="004A1F86" w:rsidP="00624EBB">
      <w:pPr>
        <w:ind w:left="851"/>
        <w:rPr>
          <w:sz w:val="24"/>
          <w:szCs w:val="24"/>
          <w:lang w:val="en-US"/>
        </w:rPr>
      </w:pPr>
      <w:r w:rsidRPr="00C311A4">
        <w:rPr>
          <w:sz w:val="24"/>
          <w:szCs w:val="24"/>
          <w:lang w:val="en-US"/>
        </w:rPr>
        <w:t xml:space="preserve">The prospective </w:t>
      </w:r>
      <w:proofErr w:type="spellStart"/>
      <w:r w:rsidRPr="00C311A4">
        <w:rPr>
          <w:sz w:val="24"/>
          <w:szCs w:val="24"/>
          <w:lang w:val="en-US"/>
        </w:rPr>
        <w:t>randomised</w:t>
      </w:r>
      <w:proofErr w:type="spellEnd"/>
      <w:r w:rsidRPr="00C311A4">
        <w:rPr>
          <w:sz w:val="24"/>
          <w:szCs w:val="24"/>
          <w:lang w:val="en-US"/>
        </w:rPr>
        <w:t xml:space="preserve"> (UKPDS) study has established the long-term benefit of intensive blood glucose control in type 2 diabetes. Analysis of the results for overweight patients treated with metformin after failure of diet alone showed:</w:t>
      </w:r>
    </w:p>
    <w:p w14:paraId="11C252C7" w14:textId="77777777" w:rsidR="004A1F86" w:rsidRPr="00C311A4" w:rsidRDefault="004A1F86" w:rsidP="00624EBB">
      <w:pPr>
        <w:ind w:left="851"/>
        <w:rPr>
          <w:sz w:val="24"/>
          <w:szCs w:val="24"/>
          <w:lang w:val="en-US"/>
        </w:rPr>
      </w:pPr>
    </w:p>
    <w:p w14:paraId="49D558D4" w14:textId="77777777" w:rsidR="00AD0270" w:rsidRPr="00AD0270" w:rsidRDefault="004A1F86" w:rsidP="00AD0270">
      <w:pPr>
        <w:pStyle w:val="Listeafsnit"/>
        <w:numPr>
          <w:ilvl w:val="0"/>
          <w:numId w:val="13"/>
        </w:numPr>
        <w:tabs>
          <w:tab w:val="clear" w:pos="567"/>
        </w:tabs>
        <w:ind w:left="1276" w:hanging="425"/>
        <w:rPr>
          <w:sz w:val="24"/>
          <w:szCs w:val="24"/>
          <w:lang w:val="en-US"/>
        </w:rPr>
      </w:pPr>
      <w:r w:rsidRPr="00AD0270">
        <w:rPr>
          <w:sz w:val="24"/>
          <w:szCs w:val="24"/>
          <w:lang w:val="en-US"/>
        </w:rPr>
        <w:t xml:space="preserve">a significant reduction of the absolute risk of any diabetes-related complication in the metformin group (29.8 events/1,000 patient-years) </w:t>
      </w:r>
      <w:r w:rsidRPr="00AD0270">
        <w:rPr>
          <w:i/>
          <w:sz w:val="24"/>
          <w:szCs w:val="24"/>
          <w:lang w:val="en-US"/>
        </w:rPr>
        <w:t xml:space="preserve">versus </w:t>
      </w:r>
      <w:r w:rsidRPr="00AD0270">
        <w:rPr>
          <w:sz w:val="24"/>
          <w:szCs w:val="24"/>
          <w:lang w:val="en-US"/>
        </w:rPr>
        <w:t xml:space="preserve">diet alone (43.3 events/1,000 patient-years), p = 0.0023, and </w:t>
      </w:r>
      <w:r w:rsidRPr="00AD0270">
        <w:rPr>
          <w:i/>
          <w:sz w:val="24"/>
          <w:szCs w:val="24"/>
          <w:lang w:val="en-US"/>
        </w:rPr>
        <w:t xml:space="preserve">versus </w:t>
      </w:r>
      <w:r w:rsidRPr="00AD0270">
        <w:rPr>
          <w:sz w:val="24"/>
          <w:szCs w:val="24"/>
          <w:lang w:val="en-US"/>
        </w:rPr>
        <w:t xml:space="preserve">the combined </w:t>
      </w:r>
      <w:proofErr w:type="spellStart"/>
      <w:r w:rsidRPr="00AD0270">
        <w:rPr>
          <w:sz w:val="24"/>
          <w:szCs w:val="24"/>
          <w:lang w:val="en-US"/>
        </w:rPr>
        <w:t>sulphonylurea</w:t>
      </w:r>
      <w:proofErr w:type="spellEnd"/>
      <w:r w:rsidRPr="00AD0270">
        <w:rPr>
          <w:sz w:val="24"/>
          <w:szCs w:val="24"/>
          <w:lang w:val="en-US"/>
        </w:rPr>
        <w:t xml:space="preserve"> and insulin monotherapy</w:t>
      </w:r>
      <w:r w:rsidRPr="00AD0270">
        <w:rPr>
          <w:spacing w:val="-22"/>
          <w:sz w:val="24"/>
          <w:szCs w:val="24"/>
          <w:lang w:val="en-US"/>
        </w:rPr>
        <w:t xml:space="preserve"> </w:t>
      </w:r>
      <w:r w:rsidRPr="00AD0270">
        <w:rPr>
          <w:sz w:val="24"/>
          <w:szCs w:val="24"/>
          <w:lang w:val="en-US"/>
        </w:rPr>
        <w:t>groups (40.1 events/1,000 patient-years), p = 0.0034,</w:t>
      </w:r>
      <w:r w:rsidR="00AD0270" w:rsidRPr="00AD0270">
        <w:rPr>
          <w:sz w:val="24"/>
          <w:szCs w:val="24"/>
          <w:lang w:val="en-US"/>
        </w:rPr>
        <w:t xml:space="preserve"> </w:t>
      </w:r>
    </w:p>
    <w:p w14:paraId="3E0EAD2F" w14:textId="77777777" w:rsidR="00AD0270" w:rsidRPr="00AD0270" w:rsidRDefault="004A1F86" w:rsidP="00AD0270">
      <w:pPr>
        <w:pStyle w:val="Listeafsnit"/>
        <w:numPr>
          <w:ilvl w:val="0"/>
          <w:numId w:val="13"/>
        </w:numPr>
        <w:tabs>
          <w:tab w:val="clear" w:pos="567"/>
        </w:tabs>
        <w:ind w:left="1276" w:hanging="425"/>
        <w:rPr>
          <w:sz w:val="24"/>
          <w:szCs w:val="24"/>
          <w:lang w:val="en-US"/>
        </w:rPr>
      </w:pPr>
      <w:r w:rsidRPr="00AD0270">
        <w:rPr>
          <w:sz w:val="24"/>
          <w:szCs w:val="24"/>
          <w:lang w:val="en-US"/>
        </w:rPr>
        <w:t>a significant reduction of the absolute risk of any diabetes-related mortality:</w:t>
      </w:r>
      <w:r w:rsidRPr="00AD0270">
        <w:rPr>
          <w:spacing w:val="-25"/>
          <w:sz w:val="24"/>
          <w:szCs w:val="24"/>
          <w:lang w:val="en-US"/>
        </w:rPr>
        <w:t xml:space="preserve"> </w:t>
      </w:r>
      <w:r w:rsidRPr="00AD0270">
        <w:rPr>
          <w:sz w:val="24"/>
          <w:szCs w:val="24"/>
          <w:lang w:val="en-US"/>
        </w:rPr>
        <w:t xml:space="preserve">metformin 7.5 events/1,000 patient-years, diet alone 12.7 events/1,000 patient-years, p = 0.017, </w:t>
      </w:r>
    </w:p>
    <w:p w14:paraId="0971D54F" w14:textId="77777777" w:rsidR="00AD0270" w:rsidRPr="00AD0270" w:rsidRDefault="004A1F86" w:rsidP="00AD0270">
      <w:pPr>
        <w:pStyle w:val="Listeafsnit"/>
        <w:numPr>
          <w:ilvl w:val="0"/>
          <w:numId w:val="13"/>
        </w:numPr>
        <w:tabs>
          <w:tab w:val="clear" w:pos="567"/>
        </w:tabs>
        <w:ind w:left="1276" w:hanging="425"/>
        <w:rPr>
          <w:sz w:val="24"/>
          <w:szCs w:val="24"/>
          <w:lang w:val="en-US"/>
        </w:rPr>
      </w:pPr>
      <w:r w:rsidRPr="00AD0270">
        <w:rPr>
          <w:sz w:val="24"/>
          <w:szCs w:val="24"/>
          <w:lang w:val="en-US"/>
        </w:rPr>
        <w:t>a significant reduction of the absolute risk of overall mortality:</w:t>
      </w:r>
      <w:r w:rsidRPr="00AD0270">
        <w:rPr>
          <w:spacing w:val="-17"/>
          <w:sz w:val="24"/>
          <w:szCs w:val="24"/>
          <w:lang w:val="en-US"/>
        </w:rPr>
        <w:t xml:space="preserve"> </w:t>
      </w:r>
      <w:r w:rsidRPr="00AD0270">
        <w:rPr>
          <w:sz w:val="24"/>
          <w:szCs w:val="24"/>
          <w:lang w:val="en-US"/>
        </w:rPr>
        <w:t xml:space="preserve">metformin 13.5 events/1,000 patient-years </w:t>
      </w:r>
      <w:r w:rsidRPr="00AD0270">
        <w:rPr>
          <w:i/>
          <w:sz w:val="24"/>
          <w:szCs w:val="24"/>
          <w:lang w:val="en-US"/>
        </w:rPr>
        <w:t xml:space="preserve">versus </w:t>
      </w:r>
      <w:r w:rsidRPr="00AD0270">
        <w:rPr>
          <w:sz w:val="24"/>
          <w:szCs w:val="24"/>
          <w:lang w:val="en-US"/>
        </w:rPr>
        <w:t xml:space="preserve">diet alone 20.6 events/1,000 patient-years, (p = 0.011), and </w:t>
      </w:r>
      <w:r w:rsidRPr="00AD0270">
        <w:rPr>
          <w:i/>
          <w:sz w:val="24"/>
          <w:szCs w:val="24"/>
          <w:lang w:val="en-US"/>
        </w:rPr>
        <w:t xml:space="preserve">versus </w:t>
      </w:r>
      <w:r w:rsidRPr="00AD0270">
        <w:rPr>
          <w:sz w:val="24"/>
          <w:szCs w:val="24"/>
          <w:lang w:val="en-US"/>
        </w:rPr>
        <w:t xml:space="preserve">the combined </w:t>
      </w:r>
      <w:proofErr w:type="spellStart"/>
      <w:r w:rsidRPr="00AD0270">
        <w:rPr>
          <w:sz w:val="24"/>
          <w:szCs w:val="24"/>
          <w:lang w:val="en-US"/>
        </w:rPr>
        <w:t>sulphonylurea</w:t>
      </w:r>
      <w:proofErr w:type="spellEnd"/>
      <w:r w:rsidRPr="00AD0270">
        <w:rPr>
          <w:sz w:val="24"/>
          <w:szCs w:val="24"/>
          <w:lang w:val="en-US"/>
        </w:rPr>
        <w:t xml:space="preserve"> and insulin monotherapy groups 18.9 events/1,000 patient-years (p = 0.021),</w:t>
      </w:r>
      <w:r w:rsidR="00AD0270" w:rsidRPr="00AD0270">
        <w:rPr>
          <w:sz w:val="24"/>
          <w:szCs w:val="24"/>
          <w:lang w:val="en-US"/>
        </w:rPr>
        <w:t xml:space="preserve"> </w:t>
      </w:r>
    </w:p>
    <w:p w14:paraId="3262043B" w14:textId="5416CAE0" w:rsidR="004A1F86" w:rsidRPr="00AD0270" w:rsidRDefault="004A1F86" w:rsidP="00AD0270">
      <w:pPr>
        <w:pStyle w:val="Listeafsnit"/>
        <w:numPr>
          <w:ilvl w:val="0"/>
          <w:numId w:val="13"/>
        </w:numPr>
        <w:tabs>
          <w:tab w:val="clear" w:pos="567"/>
        </w:tabs>
        <w:ind w:left="1276" w:hanging="425"/>
        <w:rPr>
          <w:sz w:val="24"/>
          <w:szCs w:val="24"/>
          <w:lang w:val="en-US"/>
        </w:rPr>
      </w:pPr>
      <w:r w:rsidRPr="00AD0270">
        <w:rPr>
          <w:sz w:val="24"/>
          <w:szCs w:val="24"/>
          <w:lang w:val="en-US"/>
        </w:rPr>
        <w:t>a significant reduction in the absolute risk of myocardial infarction: metformin 11</w:t>
      </w:r>
      <w:r w:rsidRPr="00AD0270">
        <w:rPr>
          <w:spacing w:val="-5"/>
          <w:sz w:val="24"/>
          <w:szCs w:val="24"/>
          <w:lang w:val="en-US"/>
        </w:rPr>
        <w:t xml:space="preserve"> </w:t>
      </w:r>
      <w:r w:rsidRPr="00AD0270">
        <w:rPr>
          <w:sz w:val="24"/>
          <w:szCs w:val="24"/>
          <w:lang w:val="en-US"/>
        </w:rPr>
        <w:t>events/1,000</w:t>
      </w:r>
      <w:r w:rsidRPr="00AD0270">
        <w:rPr>
          <w:spacing w:val="-7"/>
          <w:sz w:val="24"/>
          <w:szCs w:val="24"/>
          <w:lang w:val="en-US"/>
        </w:rPr>
        <w:t xml:space="preserve"> </w:t>
      </w:r>
      <w:r w:rsidRPr="00AD0270">
        <w:rPr>
          <w:sz w:val="24"/>
          <w:szCs w:val="24"/>
          <w:lang w:val="en-US"/>
        </w:rPr>
        <w:t>patient-years,</w:t>
      </w:r>
      <w:r w:rsidRPr="00AD0270">
        <w:rPr>
          <w:spacing w:val="-5"/>
          <w:sz w:val="24"/>
          <w:szCs w:val="24"/>
          <w:lang w:val="en-US"/>
        </w:rPr>
        <w:t xml:space="preserve"> </w:t>
      </w:r>
      <w:r w:rsidRPr="00AD0270">
        <w:rPr>
          <w:sz w:val="24"/>
          <w:szCs w:val="24"/>
          <w:lang w:val="en-US"/>
        </w:rPr>
        <w:t>diet</w:t>
      </w:r>
      <w:r w:rsidRPr="00AD0270">
        <w:rPr>
          <w:spacing w:val="-4"/>
          <w:sz w:val="24"/>
          <w:szCs w:val="24"/>
          <w:lang w:val="en-US"/>
        </w:rPr>
        <w:t xml:space="preserve"> </w:t>
      </w:r>
      <w:r w:rsidRPr="00AD0270">
        <w:rPr>
          <w:sz w:val="24"/>
          <w:szCs w:val="24"/>
          <w:lang w:val="en-US"/>
        </w:rPr>
        <w:t>alone</w:t>
      </w:r>
      <w:r w:rsidRPr="00AD0270">
        <w:rPr>
          <w:spacing w:val="-5"/>
          <w:sz w:val="24"/>
          <w:szCs w:val="24"/>
          <w:lang w:val="en-US"/>
        </w:rPr>
        <w:t xml:space="preserve"> </w:t>
      </w:r>
      <w:r w:rsidRPr="00AD0270">
        <w:rPr>
          <w:sz w:val="24"/>
          <w:szCs w:val="24"/>
          <w:lang w:val="en-US"/>
        </w:rPr>
        <w:t>18</w:t>
      </w:r>
      <w:r w:rsidRPr="00AD0270">
        <w:rPr>
          <w:spacing w:val="-7"/>
          <w:sz w:val="24"/>
          <w:szCs w:val="24"/>
          <w:lang w:val="en-US"/>
        </w:rPr>
        <w:t xml:space="preserve"> </w:t>
      </w:r>
      <w:r w:rsidRPr="00AD0270">
        <w:rPr>
          <w:sz w:val="24"/>
          <w:szCs w:val="24"/>
          <w:lang w:val="en-US"/>
        </w:rPr>
        <w:t>events/1,000</w:t>
      </w:r>
      <w:r w:rsidRPr="00AD0270">
        <w:rPr>
          <w:spacing w:val="-6"/>
          <w:sz w:val="24"/>
          <w:szCs w:val="24"/>
          <w:lang w:val="en-US"/>
        </w:rPr>
        <w:t xml:space="preserve"> </w:t>
      </w:r>
      <w:r w:rsidRPr="00AD0270">
        <w:rPr>
          <w:sz w:val="24"/>
          <w:szCs w:val="24"/>
          <w:lang w:val="en-US"/>
        </w:rPr>
        <w:t>patient-years,</w:t>
      </w:r>
      <w:r w:rsidRPr="00AD0270">
        <w:rPr>
          <w:spacing w:val="-4"/>
          <w:sz w:val="24"/>
          <w:szCs w:val="24"/>
          <w:lang w:val="en-US"/>
        </w:rPr>
        <w:t xml:space="preserve"> </w:t>
      </w:r>
      <w:r w:rsidRPr="00AD0270">
        <w:rPr>
          <w:sz w:val="24"/>
          <w:szCs w:val="24"/>
          <w:lang w:val="en-US"/>
        </w:rPr>
        <w:t>(p = 0.01).</w:t>
      </w:r>
    </w:p>
    <w:p w14:paraId="75490BCB" w14:textId="77777777" w:rsidR="004A1F86" w:rsidRPr="00C311A4" w:rsidRDefault="004A1F86" w:rsidP="00624EBB">
      <w:pPr>
        <w:ind w:left="851"/>
        <w:rPr>
          <w:sz w:val="24"/>
          <w:szCs w:val="24"/>
          <w:lang w:val="en-US"/>
        </w:rPr>
      </w:pPr>
    </w:p>
    <w:p w14:paraId="0E566C13" w14:textId="77777777" w:rsidR="004A1F86" w:rsidRPr="00C311A4" w:rsidRDefault="004A1F86" w:rsidP="00624EBB">
      <w:pPr>
        <w:ind w:left="851"/>
        <w:rPr>
          <w:sz w:val="24"/>
          <w:szCs w:val="24"/>
          <w:lang w:val="en-US"/>
        </w:rPr>
      </w:pPr>
      <w:r w:rsidRPr="00C311A4">
        <w:rPr>
          <w:sz w:val="24"/>
          <w:szCs w:val="24"/>
          <w:u w:val="single"/>
          <w:lang w:val="en-US"/>
        </w:rPr>
        <w:t>Paediatric population</w:t>
      </w:r>
    </w:p>
    <w:p w14:paraId="247CDC29" w14:textId="6B7296A7" w:rsidR="004A1F86" w:rsidRPr="00C311A4" w:rsidRDefault="004A1F86" w:rsidP="00624EBB">
      <w:pPr>
        <w:ind w:left="851"/>
        <w:rPr>
          <w:iCs/>
          <w:sz w:val="24"/>
          <w:szCs w:val="24"/>
          <w:lang w:val="en-US"/>
        </w:rPr>
      </w:pPr>
      <w:bookmarkStart w:id="1" w:name="_Hlk173179764"/>
      <w:r w:rsidRPr="00C311A4">
        <w:rPr>
          <w:iCs/>
          <w:sz w:val="24"/>
          <w:szCs w:val="24"/>
          <w:lang w:val="en-US"/>
        </w:rPr>
        <w:t>The clinical efficacy and safety of empagliflozin 10 mg with potential dose-increase to 25</w:t>
      </w:r>
      <w:r w:rsidR="00A73714">
        <w:rPr>
          <w:iCs/>
          <w:sz w:val="24"/>
          <w:szCs w:val="24"/>
          <w:lang w:val="en-US"/>
        </w:rPr>
        <w:t> </w:t>
      </w:r>
      <w:r w:rsidRPr="00C311A4">
        <w:rPr>
          <w:iCs/>
          <w:sz w:val="24"/>
          <w:szCs w:val="24"/>
          <w:lang w:val="en-US"/>
        </w:rPr>
        <w:t xml:space="preserve">mg or linagliptin 5 mg once daily has been studied in children and adolescents from 10 to 17 years of age with T2DM in a double-blind, </w:t>
      </w:r>
      <w:proofErr w:type="spellStart"/>
      <w:r w:rsidRPr="00C311A4">
        <w:rPr>
          <w:iCs/>
          <w:sz w:val="24"/>
          <w:szCs w:val="24"/>
          <w:lang w:val="en-US"/>
        </w:rPr>
        <w:t>randomised</w:t>
      </w:r>
      <w:proofErr w:type="spellEnd"/>
      <w:r w:rsidRPr="00C311A4">
        <w:rPr>
          <w:iCs/>
          <w:sz w:val="24"/>
          <w:szCs w:val="24"/>
          <w:lang w:val="en-US"/>
        </w:rPr>
        <w:t>, placebo-controlled, parallel group study (DINAMO) over 26 weeks, with a double-blind active treatment safety extension period up to 52 weeks. 91% of patients in the study were on background therapy with metformin as adjunct to diet and exercise.</w:t>
      </w:r>
    </w:p>
    <w:p w14:paraId="6516E0C4" w14:textId="77777777" w:rsidR="004A1F86" w:rsidRPr="00C311A4" w:rsidRDefault="004A1F86" w:rsidP="00624EBB">
      <w:pPr>
        <w:ind w:left="851"/>
        <w:rPr>
          <w:iCs/>
          <w:sz w:val="24"/>
          <w:szCs w:val="24"/>
          <w:lang w:val="en-US"/>
        </w:rPr>
      </w:pPr>
      <w:r w:rsidRPr="00C311A4">
        <w:rPr>
          <w:iCs/>
          <w:sz w:val="24"/>
          <w:szCs w:val="24"/>
          <w:lang w:val="en-US"/>
        </w:rPr>
        <w:t xml:space="preserve">At baseline, the mean HbA1c was 8.03%. Treatment with linagliptin 5 mg did not provide significant improvement in HbA1c. The treatment difference of adjusted mean </w:t>
      </w:r>
      <w:proofErr w:type="gramStart"/>
      <w:r w:rsidRPr="00C311A4">
        <w:rPr>
          <w:iCs/>
          <w:sz w:val="24"/>
          <w:szCs w:val="24"/>
          <w:lang w:val="en-US"/>
        </w:rPr>
        <w:t>change</w:t>
      </w:r>
      <w:proofErr w:type="gramEnd"/>
      <w:r w:rsidRPr="00C311A4">
        <w:rPr>
          <w:iCs/>
          <w:sz w:val="24"/>
          <w:szCs w:val="24"/>
          <w:lang w:val="en-US"/>
        </w:rPr>
        <w:t xml:space="preserve"> in HbA1c after 26 weeks between linagliptin and placebo was -0.34% (95% CI -0.99, 0.30; p = 0.2935). The adjusted mean change in HbA1c from baseline was 0.33% in patients treated with linagliptin and 0.68% in patients treated with placebo (see section 4.2).</w:t>
      </w:r>
      <w:bookmarkEnd w:id="1"/>
    </w:p>
    <w:p w14:paraId="1E2DAEC9" w14:textId="77777777" w:rsidR="007C5D2A" w:rsidRPr="00C311A4" w:rsidRDefault="007C5D2A" w:rsidP="00624EBB">
      <w:pPr>
        <w:ind w:left="851"/>
        <w:rPr>
          <w:sz w:val="24"/>
          <w:szCs w:val="24"/>
          <w:lang w:val="en-GB"/>
        </w:rPr>
      </w:pPr>
    </w:p>
    <w:p w14:paraId="59972A10" w14:textId="77777777" w:rsidR="007C5D2A" w:rsidRPr="00C311A4" w:rsidRDefault="007C5D2A" w:rsidP="007C5D2A">
      <w:pPr>
        <w:tabs>
          <w:tab w:val="left" w:pos="851"/>
        </w:tabs>
        <w:ind w:left="851" w:hanging="851"/>
        <w:rPr>
          <w:b/>
          <w:sz w:val="24"/>
          <w:szCs w:val="24"/>
          <w:lang w:val="en-GB"/>
        </w:rPr>
      </w:pPr>
      <w:r w:rsidRPr="00C311A4">
        <w:rPr>
          <w:b/>
          <w:sz w:val="24"/>
          <w:szCs w:val="24"/>
          <w:lang w:val="en-GB"/>
        </w:rPr>
        <w:t>5.2</w:t>
      </w:r>
      <w:r w:rsidRPr="00C311A4">
        <w:rPr>
          <w:b/>
          <w:sz w:val="24"/>
          <w:szCs w:val="24"/>
          <w:lang w:val="en-GB"/>
        </w:rPr>
        <w:tab/>
        <w:t>Pharmacokinetic properties</w:t>
      </w:r>
      <w:r w:rsidRPr="00C311A4">
        <w:rPr>
          <w:b/>
          <w:sz w:val="24"/>
          <w:szCs w:val="24"/>
          <w:lang w:val="en-GB"/>
        </w:rPr>
        <w:tab/>
      </w:r>
    </w:p>
    <w:p w14:paraId="0CDD17A9" w14:textId="77777777" w:rsidR="004A1F86" w:rsidRPr="00C311A4" w:rsidRDefault="004A1F86" w:rsidP="00624EBB">
      <w:pPr>
        <w:ind w:left="851"/>
        <w:rPr>
          <w:sz w:val="24"/>
          <w:szCs w:val="24"/>
          <w:lang w:val="en-US"/>
        </w:rPr>
      </w:pPr>
      <w:r w:rsidRPr="00C311A4">
        <w:rPr>
          <w:sz w:val="24"/>
          <w:szCs w:val="24"/>
          <w:lang w:val="en-US"/>
        </w:rPr>
        <w:t>Bioequivalence studies in healthy subjects demonstrated that the linagliptin/metformin hydrochloride combination tablets are bioequivalent to co-administration of linagliptin and metformin hydrochloride as individual tablets.</w:t>
      </w:r>
    </w:p>
    <w:p w14:paraId="18E15E93" w14:textId="77777777" w:rsidR="004A1F86" w:rsidRPr="00C311A4" w:rsidRDefault="004A1F86" w:rsidP="00624EBB">
      <w:pPr>
        <w:ind w:left="851"/>
        <w:rPr>
          <w:sz w:val="24"/>
          <w:szCs w:val="24"/>
          <w:lang w:val="en-US"/>
        </w:rPr>
      </w:pPr>
    </w:p>
    <w:p w14:paraId="18F5FF60" w14:textId="77777777" w:rsidR="004A1F86" w:rsidRPr="00C311A4" w:rsidRDefault="004A1F86" w:rsidP="00624EBB">
      <w:pPr>
        <w:ind w:left="851"/>
        <w:rPr>
          <w:sz w:val="24"/>
          <w:szCs w:val="24"/>
          <w:lang w:val="en-US"/>
        </w:rPr>
      </w:pPr>
      <w:r w:rsidRPr="00C311A4">
        <w:rPr>
          <w:sz w:val="24"/>
          <w:szCs w:val="24"/>
          <w:lang w:val="en-US"/>
        </w:rPr>
        <w:t>Administration of linagliptin and metformin 2.5/1,000 mg with food resulted in no change in overall exposure of linagliptin. With metformin there was no change in AUC, however mean peak serum concentration of metformin was decreased by 18% when administered with food. A delayed time to peak serum concentrations by 2 hours was observed for metformin under fed conditions. These changes are not likely to be clinically meaningful.</w:t>
      </w:r>
    </w:p>
    <w:p w14:paraId="3052D4C7" w14:textId="77777777" w:rsidR="004A1F86" w:rsidRPr="00C311A4" w:rsidRDefault="004A1F86" w:rsidP="00624EBB">
      <w:pPr>
        <w:ind w:left="851"/>
        <w:rPr>
          <w:sz w:val="24"/>
          <w:szCs w:val="24"/>
          <w:lang w:val="en-US"/>
        </w:rPr>
      </w:pPr>
    </w:p>
    <w:p w14:paraId="74B99408" w14:textId="4AE02F07" w:rsidR="004A1F86" w:rsidRPr="00C311A4" w:rsidRDefault="004A1F86" w:rsidP="00624EBB">
      <w:pPr>
        <w:ind w:left="851"/>
        <w:rPr>
          <w:sz w:val="24"/>
          <w:szCs w:val="24"/>
          <w:lang w:val="en-US"/>
        </w:rPr>
      </w:pPr>
      <w:r w:rsidRPr="00C311A4">
        <w:rPr>
          <w:sz w:val="24"/>
          <w:szCs w:val="24"/>
          <w:lang w:val="en-US"/>
        </w:rPr>
        <w:t xml:space="preserve">The following statements reflect the pharmacokinetic properties of the individual active substances of </w:t>
      </w:r>
      <w:proofErr w:type="spellStart"/>
      <w:r w:rsidR="00C311A4" w:rsidRPr="00C311A4">
        <w:rPr>
          <w:sz w:val="24"/>
          <w:szCs w:val="24"/>
          <w:lang w:val="en-US"/>
        </w:rPr>
        <w:t>Nagilma</w:t>
      </w:r>
      <w:proofErr w:type="spellEnd"/>
      <w:r w:rsidRPr="00C311A4">
        <w:rPr>
          <w:sz w:val="24"/>
          <w:szCs w:val="24"/>
          <w:lang w:val="en-US"/>
        </w:rPr>
        <w:t>.</w:t>
      </w:r>
    </w:p>
    <w:p w14:paraId="0E70EA86" w14:textId="77777777" w:rsidR="004A1F86" w:rsidRPr="00C311A4" w:rsidRDefault="004A1F86" w:rsidP="00624EBB">
      <w:pPr>
        <w:ind w:left="851"/>
        <w:rPr>
          <w:sz w:val="24"/>
          <w:szCs w:val="24"/>
          <w:lang w:val="en-US"/>
        </w:rPr>
      </w:pPr>
    </w:p>
    <w:p w14:paraId="1CE1D4A6" w14:textId="77777777" w:rsidR="004A1F86" w:rsidRPr="00C311A4" w:rsidRDefault="004A1F86" w:rsidP="00624EBB">
      <w:pPr>
        <w:ind w:left="851"/>
        <w:rPr>
          <w:sz w:val="24"/>
          <w:szCs w:val="24"/>
          <w:lang w:val="en-US"/>
        </w:rPr>
      </w:pPr>
      <w:r w:rsidRPr="00C311A4">
        <w:rPr>
          <w:sz w:val="24"/>
          <w:szCs w:val="24"/>
          <w:u w:val="single"/>
          <w:lang w:val="en-US"/>
        </w:rPr>
        <w:t>Linagliptin</w:t>
      </w:r>
    </w:p>
    <w:p w14:paraId="1EA7A01A" w14:textId="77777777" w:rsidR="004A1F86" w:rsidRPr="00C311A4" w:rsidRDefault="004A1F86" w:rsidP="00624EBB">
      <w:pPr>
        <w:ind w:left="851"/>
        <w:rPr>
          <w:sz w:val="24"/>
          <w:szCs w:val="24"/>
          <w:lang w:val="en-US"/>
        </w:rPr>
      </w:pPr>
      <w:r w:rsidRPr="00C311A4">
        <w:rPr>
          <w:sz w:val="24"/>
          <w:szCs w:val="24"/>
          <w:lang w:val="en-US"/>
        </w:rPr>
        <w:t xml:space="preserve">The pharmacokinetics of linagliptin has been extensively </w:t>
      </w:r>
      <w:proofErr w:type="spellStart"/>
      <w:r w:rsidRPr="00C311A4">
        <w:rPr>
          <w:sz w:val="24"/>
          <w:szCs w:val="24"/>
          <w:lang w:val="en-US"/>
        </w:rPr>
        <w:t>characterised</w:t>
      </w:r>
      <w:proofErr w:type="spellEnd"/>
      <w:r w:rsidRPr="00C311A4">
        <w:rPr>
          <w:sz w:val="24"/>
          <w:szCs w:val="24"/>
          <w:lang w:val="en-US"/>
        </w:rPr>
        <w:t xml:space="preserve"> in healthy subjects and patients with type 2 diabetes. After oral administration of a 5 mg dose to healthy volunteers or patients, linagliptin was rapidly absorbed, with peak plasma concentrations (median </w:t>
      </w:r>
      <w:proofErr w:type="spellStart"/>
      <w:r w:rsidRPr="00C311A4">
        <w:rPr>
          <w:sz w:val="24"/>
          <w:szCs w:val="24"/>
          <w:lang w:val="en-US"/>
        </w:rPr>
        <w:t>T</w:t>
      </w:r>
      <w:r w:rsidRPr="00C311A4">
        <w:rPr>
          <w:sz w:val="24"/>
          <w:szCs w:val="24"/>
          <w:vertAlign w:val="subscript"/>
          <w:lang w:val="en-US"/>
        </w:rPr>
        <w:t>max</w:t>
      </w:r>
      <w:proofErr w:type="spellEnd"/>
      <w:r w:rsidRPr="00C311A4">
        <w:rPr>
          <w:sz w:val="24"/>
          <w:szCs w:val="24"/>
          <w:lang w:val="en-US"/>
        </w:rPr>
        <w:t>) occurring 1.5 hours post-dose.</w:t>
      </w:r>
    </w:p>
    <w:p w14:paraId="1FB5B6FA" w14:textId="77777777" w:rsidR="004A1F86" w:rsidRPr="00C311A4" w:rsidRDefault="004A1F86" w:rsidP="00624EBB">
      <w:pPr>
        <w:ind w:left="851"/>
        <w:rPr>
          <w:sz w:val="24"/>
          <w:szCs w:val="24"/>
          <w:lang w:val="en-US"/>
        </w:rPr>
      </w:pPr>
    </w:p>
    <w:p w14:paraId="45F63903" w14:textId="1D994B2F" w:rsidR="004A1F86" w:rsidRPr="00C311A4" w:rsidRDefault="004A1F86" w:rsidP="00624EBB">
      <w:pPr>
        <w:ind w:left="851"/>
        <w:rPr>
          <w:sz w:val="24"/>
          <w:szCs w:val="24"/>
          <w:lang w:val="en-US"/>
        </w:rPr>
      </w:pPr>
      <w:r w:rsidRPr="00C311A4">
        <w:rPr>
          <w:sz w:val="24"/>
          <w:szCs w:val="24"/>
          <w:lang w:val="en-US"/>
        </w:rPr>
        <w:t xml:space="preserve">Plasma concentrations of linagliptin decline in a triphasic manner with a long terminal half-life (terminal half-life for linagliptin more than 100 hours), that is mostly related to the saturable, tight binding of linagliptin to DPP-4 and does not contribute to the accumulation of the active substance. The effective half-life for accumulation of linagliptin, as determined from oral administration of multiple doses of 5 mg linagliptin, is approximately 12 hours. After once daily dosing of 5 mg linagliptin, steady-state plasma concentrations are reached by the third dose. Plasma AUC of linagliptin increased approximately 33% following 5 mg doses at steady-state compared to the first dose. The intra-subject and inter-subject coefficients of variation for linagliptin AUC were small (12.6% and 28.5%, respectively). Due to the concentration dependent binding of linagliptin to DPP-IV, the pharmacokinetics of linagliptin based on total exposure is not linear; </w:t>
      </w:r>
      <w:proofErr w:type="gramStart"/>
      <w:r w:rsidRPr="00C311A4">
        <w:rPr>
          <w:sz w:val="24"/>
          <w:szCs w:val="24"/>
          <w:lang w:val="en-US"/>
        </w:rPr>
        <w:t>indeed</w:t>
      </w:r>
      <w:proofErr w:type="gramEnd"/>
      <w:r w:rsidRPr="00C311A4">
        <w:rPr>
          <w:sz w:val="24"/>
          <w:szCs w:val="24"/>
          <w:lang w:val="en-US"/>
        </w:rPr>
        <w:t xml:space="preserve"> total plasma AUC of linagliptin increased in a less than dose-proportional manner, while unbound AUC increases in a roughly dose-proportional manner. The pharmacokinetics of linagliptin was generally similar in healthy subjects and in patients with type 2 diabetes.</w:t>
      </w:r>
    </w:p>
    <w:p w14:paraId="11F612F1" w14:textId="260A6913" w:rsidR="00A73714" w:rsidRDefault="00A73714">
      <w:pPr>
        <w:rPr>
          <w:sz w:val="24"/>
          <w:szCs w:val="24"/>
          <w:lang w:val="en-US"/>
        </w:rPr>
      </w:pPr>
      <w:r>
        <w:rPr>
          <w:sz w:val="24"/>
          <w:szCs w:val="24"/>
          <w:lang w:val="en-US"/>
        </w:rPr>
        <w:br w:type="page"/>
      </w:r>
    </w:p>
    <w:p w14:paraId="786DC0A9" w14:textId="77777777" w:rsidR="004A1F86" w:rsidRPr="00C311A4" w:rsidRDefault="004A1F86" w:rsidP="00624EBB">
      <w:pPr>
        <w:ind w:left="851"/>
        <w:rPr>
          <w:sz w:val="24"/>
          <w:szCs w:val="24"/>
          <w:lang w:val="en-US"/>
        </w:rPr>
      </w:pPr>
    </w:p>
    <w:p w14:paraId="28415BC7" w14:textId="77777777" w:rsidR="004A1F86" w:rsidRPr="00C311A4" w:rsidRDefault="004A1F86" w:rsidP="00624EBB">
      <w:pPr>
        <w:ind w:left="851"/>
        <w:rPr>
          <w:i/>
          <w:sz w:val="24"/>
          <w:szCs w:val="24"/>
          <w:lang w:val="en-US"/>
        </w:rPr>
      </w:pPr>
      <w:r w:rsidRPr="00C311A4">
        <w:rPr>
          <w:i/>
          <w:sz w:val="24"/>
          <w:szCs w:val="24"/>
          <w:lang w:val="en-US"/>
        </w:rPr>
        <w:t>Absorption</w:t>
      </w:r>
    </w:p>
    <w:p w14:paraId="6E6AABEB" w14:textId="4F672BDD" w:rsidR="004A1F86" w:rsidRPr="00C311A4" w:rsidRDefault="004A1F86" w:rsidP="00624EBB">
      <w:pPr>
        <w:ind w:left="851"/>
        <w:rPr>
          <w:sz w:val="24"/>
          <w:szCs w:val="24"/>
          <w:lang w:val="en-US"/>
        </w:rPr>
      </w:pPr>
      <w:r w:rsidRPr="00C311A4">
        <w:rPr>
          <w:sz w:val="24"/>
          <w:szCs w:val="24"/>
          <w:lang w:val="en-US"/>
        </w:rPr>
        <w:t xml:space="preserve">The absolute bioavailability of linagliptin is approximately 30%. Co-administration of a high-fat meal with linagliptin prolonged the time to reach </w:t>
      </w:r>
      <w:proofErr w:type="spellStart"/>
      <w:r w:rsidRPr="00C311A4">
        <w:rPr>
          <w:sz w:val="24"/>
          <w:szCs w:val="24"/>
          <w:lang w:val="en-US"/>
        </w:rPr>
        <w:t>C</w:t>
      </w:r>
      <w:r w:rsidRPr="00C311A4">
        <w:rPr>
          <w:sz w:val="24"/>
          <w:szCs w:val="24"/>
          <w:vertAlign w:val="subscript"/>
          <w:lang w:val="en-US"/>
        </w:rPr>
        <w:t>max</w:t>
      </w:r>
      <w:proofErr w:type="spellEnd"/>
      <w:r w:rsidRPr="00C311A4">
        <w:rPr>
          <w:sz w:val="24"/>
          <w:szCs w:val="24"/>
          <w:lang w:val="en-US"/>
        </w:rPr>
        <w:t xml:space="preserve"> by 2 hours and lowered </w:t>
      </w:r>
      <w:proofErr w:type="spellStart"/>
      <w:r w:rsidRPr="00C311A4">
        <w:rPr>
          <w:sz w:val="24"/>
          <w:szCs w:val="24"/>
          <w:lang w:val="en-US"/>
        </w:rPr>
        <w:t>C</w:t>
      </w:r>
      <w:r w:rsidRPr="00C311A4">
        <w:rPr>
          <w:sz w:val="24"/>
          <w:szCs w:val="24"/>
          <w:vertAlign w:val="subscript"/>
          <w:lang w:val="en-US"/>
        </w:rPr>
        <w:t>max</w:t>
      </w:r>
      <w:proofErr w:type="spellEnd"/>
      <w:r w:rsidRPr="00C311A4">
        <w:rPr>
          <w:sz w:val="24"/>
          <w:szCs w:val="24"/>
          <w:lang w:val="en-US"/>
        </w:rPr>
        <w:t xml:space="preserve"> by 15%, but no influence on AUC</w:t>
      </w:r>
      <w:r w:rsidRPr="00C311A4">
        <w:rPr>
          <w:sz w:val="24"/>
          <w:szCs w:val="24"/>
          <w:vertAlign w:val="subscript"/>
          <w:lang w:val="en-US"/>
        </w:rPr>
        <w:t>0-72h</w:t>
      </w:r>
      <w:r w:rsidRPr="00C311A4">
        <w:rPr>
          <w:sz w:val="24"/>
          <w:szCs w:val="24"/>
          <w:lang w:val="en-US"/>
        </w:rPr>
        <w:t xml:space="preserve"> was observed. No clinically relevant effect of </w:t>
      </w:r>
      <w:proofErr w:type="spellStart"/>
      <w:r w:rsidRPr="00C311A4">
        <w:rPr>
          <w:sz w:val="24"/>
          <w:szCs w:val="24"/>
          <w:lang w:val="en-US"/>
        </w:rPr>
        <w:t>C</w:t>
      </w:r>
      <w:r w:rsidRPr="00C311A4">
        <w:rPr>
          <w:sz w:val="24"/>
          <w:szCs w:val="24"/>
          <w:vertAlign w:val="subscript"/>
          <w:lang w:val="en-US"/>
        </w:rPr>
        <w:t>max</w:t>
      </w:r>
      <w:proofErr w:type="spellEnd"/>
      <w:r w:rsidRPr="00C311A4">
        <w:rPr>
          <w:sz w:val="24"/>
          <w:szCs w:val="24"/>
          <w:lang w:val="en-US"/>
        </w:rPr>
        <w:t xml:space="preserve"> and </w:t>
      </w:r>
      <w:proofErr w:type="spellStart"/>
      <w:r w:rsidRPr="00C311A4">
        <w:rPr>
          <w:sz w:val="24"/>
          <w:szCs w:val="24"/>
          <w:lang w:val="en-US"/>
        </w:rPr>
        <w:t>T</w:t>
      </w:r>
      <w:r w:rsidRPr="00C311A4">
        <w:rPr>
          <w:sz w:val="24"/>
          <w:szCs w:val="24"/>
          <w:vertAlign w:val="subscript"/>
          <w:lang w:val="en-US"/>
        </w:rPr>
        <w:t>max</w:t>
      </w:r>
      <w:proofErr w:type="spellEnd"/>
      <w:r w:rsidRPr="00C311A4">
        <w:rPr>
          <w:sz w:val="24"/>
          <w:szCs w:val="24"/>
          <w:vertAlign w:val="subscript"/>
          <w:lang w:val="en-US"/>
        </w:rPr>
        <w:t xml:space="preserve"> </w:t>
      </w:r>
      <w:r w:rsidRPr="00C311A4">
        <w:rPr>
          <w:sz w:val="24"/>
          <w:szCs w:val="24"/>
          <w:lang w:val="en-US"/>
        </w:rPr>
        <w:t>changes is expected; therefore</w:t>
      </w:r>
      <w:r w:rsidR="00C877A2">
        <w:rPr>
          <w:sz w:val="24"/>
          <w:szCs w:val="24"/>
          <w:lang w:val="en-US"/>
        </w:rPr>
        <w:t>,</w:t>
      </w:r>
      <w:r w:rsidRPr="00C311A4">
        <w:rPr>
          <w:sz w:val="24"/>
          <w:szCs w:val="24"/>
          <w:lang w:val="en-US"/>
        </w:rPr>
        <w:t xml:space="preserve"> linagliptin may be administered with or without food.</w:t>
      </w:r>
    </w:p>
    <w:p w14:paraId="0D525348" w14:textId="77777777" w:rsidR="004A1F86" w:rsidRPr="00C311A4" w:rsidRDefault="004A1F86" w:rsidP="00624EBB">
      <w:pPr>
        <w:ind w:left="851"/>
        <w:rPr>
          <w:i/>
          <w:sz w:val="24"/>
          <w:szCs w:val="24"/>
          <w:lang w:val="en-US"/>
        </w:rPr>
      </w:pPr>
    </w:p>
    <w:p w14:paraId="2A519CD7" w14:textId="77777777" w:rsidR="004A1F86" w:rsidRPr="00C311A4" w:rsidRDefault="004A1F86" w:rsidP="00624EBB">
      <w:pPr>
        <w:ind w:left="851"/>
        <w:rPr>
          <w:i/>
          <w:sz w:val="24"/>
          <w:szCs w:val="24"/>
          <w:lang w:val="en-US"/>
        </w:rPr>
      </w:pPr>
      <w:r w:rsidRPr="00C311A4">
        <w:rPr>
          <w:i/>
          <w:sz w:val="24"/>
          <w:szCs w:val="24"/>
          <w:lang w:val="en-US"/>
        </w:rPr>
        <w:t>Distribution</w:t>
      </w:r>
    </w:p>
    <w:p w14:paraId="17FAB9FA" w14:textId="77777777" w:rsidR="004A1F86" w:rsidRPr="00C311A4" w:rsidRDefault="004A1F86" w:rsidP="00624EBB">
      <w:pPr>
        <w:ind w:left="851"/>
        <w:rPr>
          <w:sz w:val="24"/>
          <w:szCs w:val="24"/>
          <w:lang w:val="en-US"/>
        </w:rPr>
      </w:pPr>
      <w:r w:rsidRPr="00C311A4">
        <w:rPr>
          <w:sz w:val="24"/>
          <w:szCs w:val="24"/>
          <w:lang w:val="en-US"/>
        </w:rPr>
        <w:t xml:space="preserve">As a result of tissue binding, the mean apparent volume of distribution at steady-state following a single 5 mg intravenous dose of linagliptin to healthy subjects is approximately 1110 </w:t>
      </w:r>
      <w:proofErr w:type="spellStart"/>
      <w:r w:rsidRPr="00C311A4">
        <w:rPr>
          <w:sz w:val="24"/>
          <w:szCs w:val="24"/>
          <w:lang w:val="en-US"/>
        </w:rPr>
        <w:t>litres</w:t>
      </w:r>
      <w:proofErr w:type="spellEnd"/>
      <w:r w:rsidRPr="00C311A4">
        <w:rPr>
          <w:sz w:val="24"/>
          <w:szCs w:val="24"/>
          <w:lang w:val="en-US"/>
        </w:rPr>
        <w:t xml:space="preserve">, indicating that linagliptin extensively distributes to the tissues. Plasma protein binding of linagliptin is concentration-dependent, decreasing from about 99% at 1 nmol/L to 75-89% at ≥ 30 nmol/L, reflecting saturation of binding to DPP-4 with increasing concentration of linagliptin </w:t>
      </w:r>
      <w:proofErr w:type="gramStart"/>
      <w:r w:rsidRPr="00C311A4">
        <w:rPr>
          <w:sz w:val="24"/>
          <w:szCs w:val="24"/>
          <w:lang w:val="en-US"/>
        </w:rPr>
        <w:t>At</w:t>
      </w:r>
      <w:proofErr w:type="gramEnd"/>
      <w:r w:rsidRPr="00C311A4">
        <w:rPr>
          <w:sz w:val="24"/>
          <w:szCs w:val="24"/>
          <w:lang w:val="en-US"/>
        </w:rPr>
        <w:t xml:space="preserve"> high concentrations, where DPP-4 is fully saturated, 70-80% of linagliptin was bound to other plasma proteins than DPP-4, hence 20-30% were unbound in plasma.</w:t>
      </w:r>
    </w:p>
    <w:p w14:paraId="08BD6572" w14:textId="77777777" w:rsidR="004A1F86" w:rsidRPr="00C311A4" w:rsidRDefault="004A1F86" w:rsidP="00624EBB">
      <w:pPr>
        <w:ind w:left="851"/>
        <w:rPr>
          <w:i/>
          <w:sz w:val="24"/>
          <w:szCs w:val="24"/>
          <w:lang w:val="en-US"/>
        </w:rPr>
      </w:pPr>
    </w:p>
    <w:p w14:paraId="64E96DAD" w14:textId="77777777" w:rsidR="004A1F86" w:rsidRPr="00C311A4" w:rsidRDefault="004A1F86" w:rsidP="00624EBB">
      <w:pPr>
        <w:ind w:left="851"/>
        <w:rPr>
          <w:sz w:val="24"/>
          <w:szCs w:val="24"/>
          <w:lang w:val="en-US"/>
        </w:rPr>
      </w:pPr>
      <w:r w:rsidRPr="00C311A4">
        <w:rPr>
          <w:i/>
          <w:sz w:val="24"/>
          <w:szCs w:val="24"/>
          <w:lang w:val="en-US"/>
        </w:rPr>
        <w:t>Biotransformation</w:t>
      </w:r>
    </w:p>
    <w:p w14:paraId="6A216694" w14:textId="77777777" w:rsidR="004A1F86" w:rsidRPr="00C311A4" w:rsidRDefault="004A1F86" w:rsidP="00624EBB">
      <w:pPr>
        <w:ind w:left="851"/>
        <w:rPr>
          <w:sz w:val="24"/>
          <w:szCs w:val="24"/>
          <w:lang w:val="en-US"/>
        </w:rPr>
      </w:pPr>
      <w:r w:rsidRPr="00C311A4">
        <w:rPr>
          <w:sz w:val="24"/>
          <w:szCs w:val="24"/>
          <w:lang w:val="en-US"/>
        </w:rPr>
        <w:t>Following a [</w:t>
      </w:r>
      <w:r w:rsidRPr="00C311A4">
        <w:rPr>
          <w:sz w:val="24"/>
          <w:szCs w:val="24"/>
          <w:vertAlign w:val="superscript"/>
          <w:lang w:val="en-US"/>
        </w:rPr>
        <w:t>14</w:t>
      </w:r>
      <w:r w:rsidRPr="00C311A4">
        <w:rPr>
          <w:sz w:val="24"/>
          <w:szCs w:val="24"/>
          <w:lang w:val="en-US"/>
        </w:rPr>
        <w:t>C] linagliptin oral 10 mg dose, approximately 5% of the radioactivity was excreted in urine. Metabolism plays a subordinate role in the elimination of linagliptin. One main metabolite with a relative exposure of 13.3% of linagliptin at steady-state was detected which was found to be pharmacologically inactive, and thus does not contribute to the plasma DPP-4 inhibitory activity of linagliptin.</w:t>
      </w:r>
    </w:p>
    <w:p w14:paraId="1E6928B7" w14:textId="77777777" w:rsidR="004A1F86" w:rsidRPr="00C311A4" w:rsidRDefault="004A1F86" w:rsidP="00624EBB">
      <w:pPr>
        <w:ind w:left="851"/>
        <w:rPr>
          <w:i/>
          <w:sz w:val="24"/>
          <w:szCs w:val="24"/>
          <w:lang w:val="en-US"/>
        </w:rPr>
      </w:pPr>
    </w:p>
    <w:p w14:paraId="434BAC01" w14:textId="77777777" w:rsidR="004A1F86" w:rsidRPr="00C311A4" w:rsidRDefault="004A1F86" w:rsidP="00624EBB">
      <w:pPr>
        <w:ind w:left="851"/>
        <w:rPr>
          <w:sz w:val="24"/>
          <w:szCs w:val="24"/>
          <w:lang w:val="en-US"/>
        </w:rPr>
      </w:pPr>
      <w:r w:rsidRPr="00C311A4">
        <w:rPr>
          <w:i/>
          <w:sz w:val="24"/>
          <w:szCs w:val="24"/>
          <w:lang w:val="en-US"/>
        </w:rPr>
        <w:t>Elimination</w:t>
      </w:r>
    </w:p>
    <w:p w14:paraId="49126CB1" w14:textId="7C64D0E0" w:rsidR="004A1F86" w:rsidRPr="00C311A4" w:rsidRDefault="004A1F86" w:rsidP="00624EBB">
      <w:pPr>
        <w:ind w:left="851"/>
        <w:rPr>
          <w:sz w:val="24"/>
          <w:szCs w:val="24"/>
          <w:lang w:val="en-US"/>
        </w:rPr>
      </w:pPr>
      <w:r w:rsidRPr="00C311A4">
        <w:rPr>
          <w:sz w:val="24"/>
          <w:szCs w:val="24"/>
          <w:lang w:val="en-US"/>
        </w:rPr>
        <w:t>Following administration of an oral [</w:t>
      </w:r>
      <w:r w:rsidRPr="00C311A4">
        <w:rPr>
          <w:sz w:val="24"/>
          <w:szCs w:val="24"/>
          <w:vertAlign w:val="superscript"/>
          <w:lang w:val="en-US"/>
        </w:rPr>
        <w:t>14</w:t>
      </w:r>
      <w:r w:rsidRPr="00C311A4">
        <w:rPr>
          <w:sz w:val="24"/>
          <w:szCs w:val="24"/>
          <w:lang w:val="en-US"/>
        </w:rPr>
        <w:t xml:space="preserve">C] linagliptin dose to healthy subjects, approximately 85% of the administered radioactivity was eliminated in </w:t>
      </w:r>
      <w:proofErr w:type="spellStart"/>
      <w:r w:rsidRPr="00C311A4">
        <w:rPr>
          <w:sz w:val="24"/>
          <w:szCs w:val="24"/>
          <w:lang w:val="en-US"/>
        </w:rPr>
        <w:t>faeces</w:t>
      </w:r>
      <w:proofErr w:type="spellEnd"/>
      <w:r w:rsidRPr="00C311A4">
        <w:rPr>
          <w:sz w:val="24"/>
          <w:szCs w:val="24"/>
          <w:lang w:val="en-US"/>
        </w:rPr>
        <w:t xml:space="preserve"> (80%) or urine (5%) within 4 days of dosing. Renal clearance at steady-state was approximately 70</w:t>
      </w:r>
      <w:r w:rsidR="00A73714">
        <w:rPr>
          <w:sz w:val="24"/>
          <w:szCs w:val="24"/>
          <w:lang w:val="en-US"/>
        </w:rPr>
        <w:t> </w:t>
      </w:r>
      <w:r w:rsidRPr="00C311A4">
        <w:rPr>
          <w:sz w:val="24"/>
          <w:szCs w:val="24"/>
          <w:lang w:val="en-US"/>
        </w:rPr>
        <w:t>mL/min.</w:t>
      </w:r>
    </w:p>
    <w:p w14:paraId="62E0A355" w14:textId="77777777" w:rsidR="004A1F86" w:rsidRPr="00C311A4" w:rsidRDefault="004A1F86" w:rsidP="00624EBB">
      <w:pPr>
        <w:ind w:left="851"/>
        <w:rPr>
          <w:sz w:val="24"/>
          <w:szCs w:val="24"/>
          <w:lang w:val="en-US"/>
        </w:rPr>
      </w:pPr>
    </w:p>
    <w:p w14:paraId="5EE6D655" w14:textId="77777777" w:rsidR="004A1F86" w:rsidRPr="00C311A4" w:rsidRDefault="004A1F86" w:rsidP="00624EBB">
      <w:pPr>
        <w:ind w:left="851"/>
        <w:rPr>
          <w:i/>
          <w:sz w:val="24"/>
          <w:szCs w:val="24"/>
          <w:lang w:val="en-US"/>
        </w:rPr>
      </w:pPr>
      <w:r w:rsidRPr="00C311A4">
        <w:rPr>
          <w:i/>
          <w:sz w:val="24"/>
          <w:szCs w:val="24"/>
          <w:lang w:val="en-US"/>
        </w:rPr>
        <w:t>Renal impairment</w:t>
      </w:r>
    </w:p>
    <w:p w14:paraId="58B96EA4" w14:textId="5D46134C" w:rsidR="004A1F86" w:rsidRPr="00C311A4" w:rsidRDefault="004A1F86" w:rsidP="00624EBB">
      <w:pPr>
        <w:ind w:left="851"/>
        <w:rPr>
          <w:sz w:val="24"/>
          <w:szCs w:val="24"/>
          <w:lang w:val="en-US"/>
        </w:rPr>
      </w:pPr>
      <w:r w:rsidRPr="00C311A4">
        <w:rPr>
          <w:sz w:val="24"/>
          <w:szCs w:val="24"/>
          <w:lang w:val="en-US"/>
        </w:rPr>
        <w:t xml:space="preserve">Under steady-state conditions, linagliptin exposure in patients with mild renal impairment was comparable to healthy subjects. In moderate renal impairment, a moderate increase in exposure of about </w:t>
      </w:r>
      <w:proofErr w:type="gramStart"/>
      <w:r w:rsidRPr="00C311A4">
        <w:rPr>
          <w:sz w:val="24"/>
          <w:szCs w:val="24"/>
          <w:lang w:val="en-US"/>
        </w:rPr>
        <w:t>1.7 fold</w:t>
      </w:r>
      <w:proofErr w:type="gramEnd"/>
      <w:r w:rsidRPr="00C311A4">
        <w:rPr>
          <w:sz w:val="24"/>
          <w:szCs w:val="24"/>
          <w:lang w:val="en-US"/>
        </w:rPr>
        <w:t xml:space="preserve"> was observed compared with control. Exposure in T2DM patients with severe RI was increased by about </w:t>
      </w:r>
      <w:proofErr w:type="gramStart"/>
      <w:r w:rsidRPr="00C311A4">
        <w:rPr>
          <w:sz w:val="24"/>
          <w:szCs w:val="24"/>
          <w:lang w:val="en-US"/>
        </w:rPr>
        <w:t>1.4 fold</w:t>
      </w:r>
      <w:proofErr w:type="gramEnd"/>
      <w:r w:rsidRPr="00C311A4">
        <w:rPr>
          <w:sz w:val="24"/>
          <w:szCs w:val="24"/>
          <w:lang w:val="en-US"/>
        </w:rPr>
        <w:t xml:space="preserve"> compared to T2DM patients with normal renal function. Steady-state predictions for AUC of linagliptin in patients with ESRD indicated comparable exposure to that of patients with moderate or severe renal impairment. In addition, linagliptin is not expected to be eliminated to a therapeutically significant degree by hemodialysis or peritoneal dialysis. No dose adjustment of linagliptin is recommended in patients with renal impairment; therefore, linagliptin may be continued as a single entity tablet at the same total daily dose of 5 mg if </w:t>
      </w:r>
      <w:proofErr w:type="spellStart"/>
      <w:r w:rsidR="00C311A4" w:rsidRPr="00C311A4">
        <w:rPr>
          <w:sz w:val="24"/>
          <w:szCs w:val="24"/>
          <w:lang w:val="en-US"/>
        </w:rPr>
        <w:t>Nagilma</w:t>
      </w:r>
      <w:proofErr w:type="spellEnd"/>
      <w:r w:rsidRPr="00C311A4">
        <w:rPr>
          <w:sz w:val="24"/>
          <w:szCs w:val="24"/>
          <w:lang w:val="en-US"/>
        </w:rPr>
        <w:t xml:space="preserve"> is discontinued due to evidence of renal impairment.</w:t>
      </w:r>
    </w:p>
    <w:p w14:paraId="5CD67BC4" w14:textId="77777777" w:rsidR="004A1F86" w:rsidRPr="00C311A4" w:rsidRDefault="004A1F86" w:rsidP="00624EBB">
      <w:pPr>
        <w:ind w:left="851"/>
        <w:rPr>
          <w:sz w:val="24"/>
          <w:szCs w:val="24"/>
          <w:lang w:val="en-US"/>
        </w:rPr>
      </w:pPr>
    </w:p>
    <w:p w14:paraId="2B570783" w14:textId="77777777" w:rsidR="004A1F86" w:rsidRPr="00C311A4" w:rsidRDefault="004A1F86" w:rsidP="00624EBB">
      <w:pPr>
        <w:ind w:left="851"/>
        <w:rPr>
          <w:i/>
          <w:sz w:val="24"/>
          <w:szCs w:val="24"/>
          <w:lang w:val="en-US"/>
        </w:rPr>
      </w:pPr>
      <w:r w:rsidRPr="00C311A4">
        <w:rPr>
          <w:i/>
          <w:sz w:val="24"/>
          <w:szCs w:val="24"/>
          <w:lang w:val="en-US"/>
        </w:rPr>
        <w:t>Hepatic impairment</w:t>
      </w:r>
    </w:p>
    <w:p w14:paraId="44C8095A" w14:textId="77777777" w:rsidR="004A1F86" w:rsidRPr="00C311A4" w:rsidRDefault="004A1F86" w:rsidP="00624EBB">
      <w:pPr>
        <w:ind w:left="851"/>
        <w:rPr>
          <w:sz w:val="24"/>
          <w:szCs w:val="24"/>
          <w:lang w:val="en-US"/>
        </w:rPr>
      </w:pPr>
      <w:r w:rsidRPr="00C311A4">
        <w:rPr>
          <w:sz w:val="24"/>
          <w:szCs w:val="24"/>
          <w:lang w:val="en-US"/>
        </w:rPr>
        <w:t xml:space="preserve">In patients with mild moderate and severe hepatic impairment (according to the Child-Pugh classification), mean AUC and </w:t>
      </w:r>
      <w:proofErr w:type="spellStart"/>
      <w:r w:rsidRPr="00C311A4">
        <w:rPr>
          <w:sz w:val="24"/>
          <w:szCs w:val="24"/>
          <w:lang w:val="en-US"/>
        </w:rPr>
        <w:t>C</w:t>
      </w:r>
      <w:r w:rsidRPr="00C311A4">
        <w:rPr>
          <w:sz w:val="24"/>
          <w:szCs w:val="24"/>
          <w:vertAlign w:val="subscript"/>
          <w:lang w:val="en-US"/>
        </w:rPr>
        <w:t>max</w:t>
      </w:r>
      <w:proofErr w:type="spellEnd"/>
      <w:r w:rsidRPr="00C311A4">
        <w:rPr>
          <w:sz w:val="24"/>
          <w:szCs w:val="24"/>
          <w:lang w:val="en-US"/>
        </w:rPr>
        <w:t xml:space="preserve"> of linagliptin were similar to healthy matched controls following administration of multiple 5 mg doses of linagliptin.</w:t>
      </w:r>
    </w:p>
    <w:p w14:paraId="491B9697" w14:textId="42AE239A" w:rsidR="00A73714" w:rsidRDefault="00A73714">
      <w:pPr>
        <w:rPr>
          <w:sz w:val="24"/>
          <w:szCs w:val="24"/>
          <w:lang w:val="en-US"/>
        </w:rPr>
      </w:pPr>
      <w:r>
        <w:rPr>
          <w:sz w:val="24"/>
          <w:szCs w:val="24"/>
          <w:lang w:val="en-US"/>
        </w:rPr>
        <w:br w:type="page"/>
      </w:r>
    </w:p>
    <w:p w14:paraId="2D989919" w14:textId="77777777" w:rsidR="004A1F86" w:rsidRPr="00C311A4" w:rsidRDefault="004A1F86" w:rsidP="00624EBB">
      <w:pPr>
        <w:ind w:left="851"/>
        <w:rPr>
          <w:sz w:val="24"/>
          <w:szCs w:val="24"/>
          <w:lang w:val="en-US"/>
        </w:rPr>
      </w:pPr>
    </w:p>
    <w:p w14:paraId="426CF0FA" w14:textId="77777777" w:rsidR="004A1F86" w:rsidRPr="00C311A4" w:rsidRDefault="004A1F86" w:rsidP="00624EBB">
      <w:pPr>
        <w:ind w:left="851"/>
        <w:rPr>
          <w:i/>
          <w:sz w:val="24"/>
          <w:szCs w:val="24"/>
          <w:lang w:val="en-US"/>
        </w:rPr>
      </w:pPr>
      <w:r w:rsidRPr="00C311A4">
        <w:rPr>
          <w:i/>
          <w:sz w:val="24"/>
          <w:szCs w:val="24"/>
          <w:lang w:val="en-US"/>
        </w:rPr>
        <w:t>Body Mass Index (BMI)</w:t>
      </w:r>
    </w:p>
    <w:p w14:paraId="686583A8" w14:textId="77777777" w:rsidR="004A1F86" w:rsidRPr="00C311A4" w:rsidRDefault="004A1F86" w:rsidP="00624EBB">
      <w:pPr>
        <w:ind w:left="851"/>
        <w:rPr>
          <w:sz w:val="24"/>
          <w:szCs w:val="24"/>
          <w:lang w:val="en-US"/>
        </w:rPr>
      </w:pPr>
      <w:r w:rsidRPr="00C311A4">
        <w:rPr>
          <w:sz w:val="24"/>
          <w:szCs w:val="24"/>
          <w:lang w:val="en-US"/>
        </w:rPr>
        <w:t>Body mass index had no clinically relevant effect on the pharmacokinetics of linagliptin based on a population pharmacokinetic analysis of Phase I and Phase II data. The clinical trials before marketing authorization have been performed up to a BMI equal to 40 kg/m</w:t>
      </w:r>
      <w:r w:rsidRPr="00C311A4">
        <w:rPr>
          <w:sz w:val="24"/>
          <w:szCs w:val="24"/>
          <w:vertAlign w:val="superscript"/>
          <w:lang w:val="en-US"/>
        </w:rPr>
        <w:t>2</w:t>
      </w:r>
      <w:r w:rsidRPr="00C311A4">
        <w:rPr>
          <w:sz w:val="24"/>
          <w:szCs w:val="24"/>
          <w:lang w:val="en-US"/>
        </w:rPr>
        <w:t>.</w:t>
      </w:r>
    </w:p>
    <w:p w14:paraId="19789FE5" w14:textId="77777777" w:rsidR="004A1F86" w:rsidRPr="00C311A4" w:rsidRDefault="004A1F86" w:rsidP="00624EBB">
      <w:pPr>
        <w:ind w:left="851"/>
        <w:rPr>
          <w:sz w:val="24"/>
          <w:szCs w:val="24"/>
          <w:lang w:val="en-US"/>
        </w:rPr>
      </w:pPr>
    </w:p>
    <w:p w14:paraId="439AE231" w14:textId="77777777" w:rsidR="004A1F86" w:rsidRPr="00C311A4" w:rsidRDefault="004A1F86" w:rsidP="00624EBB">
      <w:pPr>
        <w:ind w:left="851"/>
        <w:rPr>
          <w:i/>
          <w:sz w:val="24"/>
          <w:szCs w:val="24"/>
          <w:lang w:val="en-US"/>
        </w:rPr>
      </w:pPr>
      <w:r w:rsidRPr="00C311A4">
        <w:rPr>
          <w:i/>
          <w:sz w:val="24"/>
          <w:szCs w:val="24"/>
          <w:lang w:val="en-US"/>
        </w:rPr>
        <w:t>Gender</w:t>
      </w:r>
    </w:p>
    <w:p w14:paraId="27E44F03" w14:textId="77777777" w:rsidR="004A1F86" w:rsidRPr="00C311A4" w:rsidRDefault="004A1F86" w:rsidP="00624EBB">
      <w:pPr>
        <w:ind w:left="851"/>
        <w:rPr>
          <w:i/>
          <w:sz w:val="24"/>
          <w:szCs w:val="24"/>
          <w:lang w:val="en-US"/>
        </w:rPr>
      </w:pPr>
      <w:r w:rsidRPr="00C311A4">
        <w:rPr>
          <w:sz w:val="24"/>
          <w:szCs w:val="24"/>
          <w:lang w:val="en-US"/>
        </w:rPr>
        <w:t>Gender had no clinically relevant effect on the pharmacokinetics of linagliptin based on a population pharmacokinetic analysis of Phase I and Phase II data</w:t>
      </w:r>
      <w:r w:rsidRPr="00C311A4">
        <w:rPr>
          <w:i/>
          <w:sz w:val="24"/>
          <w:szCs w:val="24"/>
          <w:lang w:val="en-US"/>
        </w:rPr>
        <w:t>.</w:t>
      </w:r>
    </w:p>
    <w:p w14:paraId="7CB7FE6D" w14:textId="77777777" w:rsidR="004A1F86" w:rsidRPr="00C311A4" w:rsidRDefault="004A1F86" w:rsidP="00624EBB">
      <w:pPr>
        <w:ind w:left="851"/>
        <w:rPr>
          <w:i/>
          <w:sz w:val="24"/>
          <w:szCs w:val="24"/>
          <w:lang w:val="en-US"/>
        </w:rPr>
      </w:pPr>
    </w:p>
    <w:p w14:paraId="39A8A1B8" w14:textId="77777777" w:rsidR="004A1F86" w:rsidRPr="00C311A4" w:rsidRDefault="004A1F86" w:rsidP="00624EBB">
      <w:pPr>
        <w:ind w:left="851"/>
        <w:rPr>
          <w:i/>
          <w:sz w:val="24"/>
          <w:szCs w:val="24"/>
          <w:lang w:val="en-US"/>
        </w:rPr>
      </w:pPr>
      <w:r w:rsidRPr="00C311A4">
        <w:rPr>
          <w:i/>
          <w:sz w:val="24"/>
          <w:szCs w:val="24"/>
          <w:lang w:val="en-US"/>
        </w:rPr>
        <w:t>Elderly</w:t>
      </w:r>
    </w:p>
    <w:p w14:paraId="1550EF15" w14:textId="77777777" w:rsidR="004A1F86" w:rsidRPr="00C311A4" w:rsidRDefault="004A1F86" w:rsidP="00624EBB">
      <w:pPr>
        <w:ind w:left="851"/>
        <w:rPr>
          <w:sz w:val="24"/>
          <w:szCs w:val="24"/>
          <w:lang w:val="en-US"/>
        </w:rPr>
      </w:pPr>
      <w:r w:rsidRPr="00C311A4">
        <w:rPr>
          <w:sz w:val="24"/>
          <w:szCs w:val="24"/>
          <w:lang w:val="en-US"/>
        </w:rPr>
        <w:t>Age did not have a clinically relevant impact on the pharmacokinetics of linagliptin based on a population pharmacokinetic analysis of Phase I and Phase II data. Older subjects (65 to 80 years, oldest patient was 78 years) had comparable plasma concentrations of linagliptin compared to younger subjects. Linagliptin trough concentrations were also measured in elderly (age ≥ 70 years) with type 2 diabetes in a phase III study of 24 weeks duration. Linagliptin concentrations in this study were within the range of values previously observed in younger type 2 diabetes patients.</w:t>
      </w:r>
    </w:p>
    <w:p w14:paraId="5CF0A6EF" w14:textId="77777777" w:rsidR="004A1F86" w:rsidRPr="00C311A4" w:rsidRDefault="004A1F86" w:rsidP="00624EBB">
      <w:pPr>
        <w:ind w:left="851"/>
        <w:rPr>
          <w:sz w:val="24"/>
          <w:szCs w:val="24"/>
          <w:lang w:val="en-US"/>
        </w:rPr>
      </w:pPr>
    </w:p>
    <w:p w14:paraId="17410268" w14:textId="77777777" w:rsidR="004A1F86" w:rsidRPr="00C311A4" w:rsidRDefault="004A1F86" w:rsidP="00624EBB">
      <w:pPr>
        <w:ind w:left="851"/>
        <w:rPr>
          <w:sz w:val="24"/>
          <w:szCs w:val="24"/>
          <w:lang w:val="en-US"/>
        </w:rPr>
      </w:pPr>
      <w:r w:rsidRPr="00C311A4">
        <w:rPr>
          <w:i/>
          <w:sz w:val="24"/>
          <w:szCs w:val="24"/>
          <w:lang w:val="en-US"/>
        </w:rPr>
        <w:t>Paediatric population</w:t>
      </w:r>
    </w:p>
    <w:p w14:paraId="3406129E" w14:textId="0064CCC0" w:rsidR="004A1F86" w:rsidRPr="00C311A4" w:rsidRDefault="004A1F86" w:rsidP="00624EBB">
      <w:pPr>
        <w:ind w:left="851"/>
        <w:rPr>
          <w:sz w:val="24"/>
          <w:szCs w:val="24"/>
          <w:lang w:val="en-US"/>
        </w:rPr>
      </w:pPr>
      <w:r w:rsidRPr="00C311A4">
        <w:rPr>
          <w:sz w:val="24"/>
          <w:szCs w:val="24"/>
          <w:lang w:val="en-US"/>
        </w:rPr>
        <w:t>A paediatric Phase 2 study examined the pharmacokinetics and pharmacodynamics of 1</w:t>
      </w:r>
      <w:r w:rsidR="00A73714">
        <w:rPr>
          <w:sz w:val="24"/>
          <w:szCs w:val="24"/>
          <w:lang w:val="en-US"/>
        </w:rPr>
        <w:t> </w:t>
      </w:r>
      <w:r w:rsidRPr="00C311A4">
        <w:rPr>
          <w:sz w:val="24"/>
          <w:szCs w:val="24"/>
          <w:lang w:val="en-US"/>
        </w:rPr>
        <w:t>mg and 5 mg linagliptin in children and adolescents ≥ 10 to &lt; 18 years of age with type 2 diabetes mellitus. The observed pharmacokinetic and pharmacodynamic responses were consistent with those found in adult subjects. Linagliptin 5 mg showed superiority over 1 mg with regard to trough DPP-4 inhibition (72% vs 32%, p = 0.0050) and a numerically larger reduction with regard to adjusted mean change from baseline in HbA</w:t>
      </w:r>
      <w:r w:rsidRPr="00C311A4">
        <w:rPr>
          <w:sz w:val="24"/>
          <w:szCs w:val="24"/>
          <w:vertAlign w:val="subscript"/>
          <w:lang w:val="en-US"/>
        </w:rPr>
        <w:t>1c</w:t>
      </w:r>
      <w:r w:rsidRPr="00C311A4">
        <w:rPr>
          <w:sz w:val="24"/>
          <w:szCs w:val="24"/>
          <w:lang w:val="en-US"/>
        </w:rPr>
        <w:t xml:space="preserve"> (-0.63% vs -0.48%, </w:t>
      </w:r>
      <w:proofErr w:type="spellStart"/>
      <w:r w:rsidRPr="00C311A4">
        <w:rPr>
          <w:sz w:val="24"/>
          <w:szCs w:val="24"/>
          <w:lang w:val="en-US"/>
        </w:rPr>
        <w:t>n.s</w:t>
      </w:r>
      <w:proofErr w:type="spellEnd"/>
      <w:r w:rsidRPr="00C311A4">
        <w:rPr>
          <w:sz w:val="24"/>
          <w:szCs w:val="24"/>
          <w:lang w:val="en-US"/>
        </w:rPr>
        <w:t>.). Due to the limited nature of the data set the results should be interpreted cautiously.</w:t>
      </w:r>
    </w:p>
    <w:p w14:paraId="68051222" w14:textId="77777777" w:rsidR="004A1F86" w:rsidRPr="00C311A4" w:rsidRDefault="004A1F86" w:rsidP="00624EBB">
      <w:pPr>
        <w:ind w:left="851"/>
        <w:rPr>
          <w:sz w:val="24"/>
          <w:szCs w:val="24"/>
          <w:lang w:val="en-US"/>
        </w:rPr>
      </w:pPr>
    </w:p>
    <w:p w14:paraId="0C98FC3A" w14:textId="679EDDEA" w:rsidR="004A1F86" w:rsidRPr="00656FCF" w:rsidRDefault="004A1F86" w:rsidP="00624EBB">
      <w:pPr>
        <w:ind w:left="851"/>
        <w:rPr>
          <w:iCs/>
          <w:sz w:val="24"/>
          <w:szCs w:val="24"/>
          <w:lang w:val="en-US"/>
        </w:rPr>
      </w:pPr>
      <w:r w:rsidRPr="00656FCF">
        <w:rPr>
          <w:iCs/>
          <w:sz w:val="24"/>
          <w:szCs w:val="24"/>
          <w:lang w:val="en-US"/>
        </w:rPr>
        <w:t xml:space="preserve">A paediatric Phase 3 study examined pharmacokinetics and pharmacodynamics (HbA1c change from baseline) of 5 mg linagliptin in children and adolescents 10 to 17 years of age with type 2 diabetes mellitus. The observed exposure-response relationship was generally comparable between paediatric and adult patients, however, with a smaller drug effect estimated in children. Oral administration of linagliptin resulted in exposure within the range observed in adult patients. </w:t>
      </w:r>
      <w:r w:rsidRPr="00C877A2">
        <w:rPr>
          <w:iCs/>
          <w:sz w:val="24"/>
          <w:szCs w:val="24"/>
          <w:lang w:val="en-US"/>
        </w:rPr>
        <w:t xml:space="preserve">The observed geometric mean trough concentrations and geometric mean concentrations at 1.5 hours post-administration (representing a concentration around </w:t>
      </w:r>
      <w:proofErr w:type="spellStart"/>
      <w:r w:rsidRPr="00C877A2">
        <w:rPr>
          <w:iCs/>
          <w:sz w:val="24"/>
          <w:szCs w:val="24"/>
          <w:lang w:val="en-US"/>
        </w:rPr>
        <w:t>tmax</w:t>
      </w:r>
      <w:proofErr w:type="spellEnd"/>
      <w:r w:rsidRPr="00C877A2">
        <w:rPr>
          <w:iCs/>
          <w:sz w:val="24"/>
          <w:szCs w:val="24"/>
          <w:lang w:val="en-US"/>
        </w:rPr>
        <w:t xml:space="preserve">) at steady state were 4.30 nmol/L and 12.6 nmol/L, respectively. </w:t>
      </w:r>
      <w:r w:rsidRPr="00656FCF">
        <w:rPr>
          <w:iCs/>
          <w:sz w:val="24"/>
          <w:szCs w:val="24"/>
          <w:lang w:val="en-US"/>
        </w:rPr>
        <w:t>Corresponding plasma concentrations in adult patients were 6.04 nmol/L and 15.1 nmol/L.</w:t>
      </w:r>
    </w:p>
    <w:p w14:paraId="641104ED" w14:textId="77777777" w:rsidR="004A1F86" w:rsidRPr="00C311A4" w:rsidRDefault="004A1F86" w:rsidP="00624EBB">
      <w:pPr>
        <w:ind w:left="851"/>
        <w:rPr>
          <w:sz w:val="24"/>
          <w:szCs w:val="24"/>
          <w:lang w:val="en-US"/>
        </w:rPr>
      </w:pPr>
    </w:p>
    <w:p w14:paraId="7BF6D95A" w14:textId="77777777" w:rsidR="004A1F86" w:rsidRPr="00C311A4" w:rsidRDefault="004A1F86" w:rsidP="00624EBB">
      <w:pPr>
        <w:ind w:left="851"/>
        <w:rPr>
          <w:i/>
          <w:sz w:val="24"/>
          <w:szCs w:val="24"/>
          <w:lang w:val="en-US"/>
        </w:rPr>
      </w:pPr>
      <w:r w:rsidRPr="00C311A4">
        <w:rPr>
          <w:i/>
          <w:sz w:val="24"/>
          <w:szCs w:val="24"/>
          <w:lang w:val="en-US"/>
        </w:rPr>
        <w:t>Race</w:t>
      </w:r>
    </w:p>
    <w:p w14:paraId="47FD490E" w14:textId="77777777" w:rsidR="004A1F86" w:rsidRPr="00C311A4" w:rsidRDefault="004A1F86" w:rsidP="00624EBB">
      <w:pPr>
        <w:ind w:left="851"/>
        <w:rPr>
          <w:sz w:val="24"/>
          <w:szCs w:val="24"/>
          <w:lang w:val="en-US"/>
        </w:rPr>
      </w:pPr>
      <w:r w:rsidRPr="00C311A4">
        <w:rPr>
          <w:sz w:val="24"/>
          <w:szCs w:val="24"/>
          <w:lang w:val="en-US"/>
        </w:rPr>
        <w:t>Race had no obvious effect on the plasma concentrations of linagliptin based on a composite analysis of available pharmacokinetic data, including patients of Caucasian, Hispanic, African, and Asian origin</w:t>
      </w:r>
      <w:r w:rsidRPr="00C311A4">
        <w:rPr>
          <w:i/>
          <w:sz w:val="24"/>
          <w:szCs w:val="24"/>
          <w:lang w:val="en-US"/>
        </w:rPr>
        <w:t xml:space="preserve">. </w:t>
      </w:r>
      <w:r w:rsidRPr="00C311A4">
        <w:rPr>
          <w:sz w:val="24"/>
          <w:szCs w:val="24"/>
          <w:lang w:val="en-US"/>
        </w:rPr>
        <w:t xml:space="preserve">In </w:t>
      </w:r>
      <w:proofErr w:type="gramStart"/>
      <w:r w:rsidRPr="00C311A4">
        <w:rPr>
          <w:sz w:val="24"/>
          <w:szCs w:val="24"/>
          <w:lang w:val="en-US"/>
        </w:rPr>
        <w:t>addition</w:t>
      </w:r>
      <w:proofErr w:type="gramEnd"/>
      <w:r w:rsidRPr="00C311A4">
        <w:rPr>
          <w:sz w:val="24"/>
          <w:szCs w:val="24"/>
          <w:lang w:val="en-US"/>
        </w:rPr>
        <w:t xml:space="preserve"> the pharmacokinetic characteristics of linagliptin were found to be similar in dedicated phase I studies in Japanese, Chinese and Caucasian healthy subjects and African American type 2 diabetes patients.</w:t>
      </w:r>
    </w:p>
    <w:p w14:paraId="5AE88590" w14:textId="360F9BE5" w:rsidR="00A73714" w:rsidRDefault="00A73714">
      <w:pPr>
        <w:rPr>
          <w:sz w:val="24"/>
          <w:szCs w:val="24"/>
          <w:lang w:val="en-US"/>
        </w:rPr>
      </w:pPr>
      <w:r>
        <w:rPr>
          <w:sz w:val="24"/>
          <w:szCs w:val="24"/>
          <w:lang w:val="en-US"/>
        </w:rPr>
        <w:br w:type="page"/>
      </w:r>
    </w:p>
    <w:p w14:paraId="0FDC783D" w14:textId="77777777" w:rsidR="004A1F86" w:rsidRPr="00C311A4" w:rsidRDefault="004A1F86" w:rsidP="00624EBB">
      <w:pPr>
        <w:ind w:left="851"/>
        <w:rPr>
          <w:sz w:val="24"/>
          <w:szCs w:val="24"/>
          <w:lang w:val="en-US"/>
        </w:rPr>
      </w:pPr>
    </w:p>
    <w:p w14:paraId="2558B93C" w14:textId="77777777" w:rsidR="004A1F86" w:rsidRPr="00C311A4" w:rsidRDefault="004A1F86" w:rsidP="00624EBB">
      <w:pPr>
        <w:ind w:left="851"/>
        <w:rPr>
          <w:sz w:val="24"/>
          <w:szCs w:val="24"/>
          <w:lang w:val="en-US"/>
        </w:rPr>
      </w:pPr>
      <w:r w:rsidRPr="00C311A4">
        <w:rPr>
          <w:sz w:val="24"/>
          <w:szCs w:val="24"/>
          <w:u w:val="single"/>
          <w:lang w:val="en-US"/>
        </w:rPr>
        <w:t>Metformin</w:t>
      </w:r>
    </w:p>
    <w:p w14:paraId="57C6F70E" w14:textId="77777777" w:rsidR="004A1F86" w:rsidRPr="00C311A4" w:rsidRDefault="004A1F86" w:rsidP="00624EBB">
      <w:pPr>
        <w:ind w:left="851"/>
        <w:rPr>
          <w:i/>
          <w:sz w:val="24"/>
          <w:szCs w:val="24"/>
          <w:lang w:val="en-US"/>
        </w:rPr>
      </w:pPr>
      <w:r w:rsidRPr="00C311A4">
        <w:rPr>
          <w:i/>
          <w:sz w:val="24"/>
          <w:szCs w:val="24"/>
          <w:lang w:val="en-US"/>
        </w:rPr>
        <w:t>Absorption</w:t>
      </w:r>
    </w:p>
    <w:p w14:paraId="0700C023" w14:textId="77777777" w:rsidR="004A1F86" w:rsidRPr="00C311A4" w:rsidRDefault="004A1F86" w:rsidP="00624EBB">
      <w:pPr>
        <w:ind w:left="851"/>
        <w:rPr>
          <w:sz w:val="24"/>
          <w:szCs w:val="24"/>
          <w:lang w:val="en-US"/>
        </w:rPr>
      </w:pPr>
      <w:r w:rsidRPr="00C311A4">
        <w:rPr>
          <w:sz w:val="24"/>
          <w:szCs w:val="24"/>
          <w:lang w:val="en-US"/>
        </w:rPr>
        <w:t xml:space="preserve">After an oral dose of metformin, </w:t>
      </w:r>
      <w:proofErr w:type="spellStart"/>
      <w:r w:rsidRPr="00C311A4">
        <w:rPr>
          <w:sz w:val="24"/>
          <w:szCs w:val="24"/>
          <w:lang w:val="en-US"/>
        </w:rPr>
        <w:t>T</w:t>
      </w:r>
      <w:r w:rsidRPr="00C311A4">
        <w:rPr>
          <w:sz w:val="24"/>
          <w:szCs w:val="24"/>
          <w:vertAlign w:val="subscript"/>
          <w:lang w:val="en-US"/>
        </w:rPr>
        <w:t>max</w:t>
      </w:r>
      <w:proofErr w:type="spellEnd"/>
      <w:r w:rsidRPr="00C311A4">
        <w:rPr>
          <w:sz w:val="24"/>
          <w:szCs w:val="24"/>
          <w:lang w:val="en-US"/>
        </w:rPr>
        <w:t xml:space="preserve"> is reached in 2.5 hours. Absolute bioavailability of a 500 mg or 850 mg metformin hydrochloride tablet is approximately 50-60% in healthy subjects. After an oral dose, the non-absorbed fraction recovered in </w:t>
      </w:r>
      <w:proofErr w:type="spellStart"/>
      <w:r w:rsidRPr="00C311A4">
        <w:rPr>
          <w:sz w:val="24"/>
          <w:szCs w:val="24"/>
          <w:lang w:val="en-US"/>
        </w:rPr>
        <w:t>faeces</w:t>
      </w:r>
      <w:proofErr w:type="spellEnd"/>
      <w:r w:rsidRPr="00C311A4">
        <w:rPr>
          <w:sz w:val="24"/>
          <w:szCs w:val="24"/>
          <w:lang w:val="en-US"/>
        </w:rPr>
        <w:t xml:space="preserve"> was 20-30%.</w:t>
      </w:r>
    </w:p>
    <w:p w14:paraId="42D7AF58" w14:textId="77777777" w:rsidR="004A1F86" w:rsidRPr="00C311A4" w:rsidRDefault="004A1F86" w:rsidP="00624EBB">
      <w:pPr>
        <w:ind w:left="851"/>
        <w:rPr>
          <w:sz w:val="24"/>
          <w:szCs w:val="24"/>
          <w:lang w:val="en-US"/>
        </w:rPr>
      </w:pPr>
    </w:p>
    <w:p w14:paraId="676E9863" w14:textId="77777777" w:rsidR="004A1F86" w:rsidRPr="00C311A4" w:rsidRDefault="004A1F86" w:rsidP="00624EBB">
      <w:pPr>
        <w:ind w:left="851"/>
        <w:rPr>
          <w:sz w:val="24"/>
          <w:szCs w:val="24"/>
          <w:lang w:val="en-US"/>
        </w:rPr>
      </w:pPr>
      <w:r w:rsidRPr="00C311A4">
        <w:rPr>
          <w:sz w:val="24"/>
          <w:szCs w:val="24"/>
          <w:lang w:val="en-US"/>
        </w:rPr>
        <w:t>After oral administration, metformin hydrochloride absorption is saturable and incomplete. It is assumed that the pharmacokinetics of metformin hydrochloride absorption are non-linear.</w:t>
      </w:r>
    </w:p>
    <w:p w14:paraId="18D8EA81" w14:textId="77777777" w:rsidR="004A1F86" w:rsidRPr="00C311A4" w:rsidRDefault="004A1F86" w:rsidP="00624EBB">
      <w:pPr>
        <w:ind w:left="851"/>
        <w:rPr>
          <w:sz w:val="24"/>
          <w:szCs w:val="24"/>
          <w:lang w:val="en-US"/>
        </w:rPr>
      </w:pPr>
    </w:p>
    <w:p w14:paraId="75DE87AD" w14:textId="54B436B1" w:rsidR="004A1F86" w:rsidRPr="00C311A4" w:rsidRDefault="004A1F86" w:rsidP="00624EBB">
      <w:pPr>
        <w:ind w:left="851"/>
        <w:rPr>
          <w:sz w:val="24"/>
          <w:szCs w:val="24"/>
          <w:lang w:val="en-US"/>
        </w:rPr>
      </w:pPr>
      <w:r w:rsidRPr="00C311A4">
        <w:rPr>
          <w:sz w:val="24"/>
          <w:szCs w:val="24"/>
          <w:lang w:val="en-US"/>
        </w:rPr>
        <w:t>At the recommended metformin hydrochloride doses and dosing schedules, steady-state plasma concentrations are reached within 24 to 48 hours and are generally less than 1 microgram/</w:t>
      </w:r>
      <w:proofErr w:type="spellStart"/>
      <w:r w:rsidRPr="00C311A4">
        <w:rPr>
          <w:sz w:val="24"/>
          <w:szCs w:val="24"/>
          <w:lang w:val="en-US"/>
        </w:rPr>
        <w:t>mL.</w:t>
      </w:r>
      <w:proofErr w:type="spellEnd"/>
      <w:r w:rsidRPr="00C311A4">
        <w:rPr>
          <w:sz w:val="24"/>
          <w:szCs w:val="24"/>
          <w:lang w:val="en-US"/>
        </w:rPr>
        <w:t xml:space="preserve"> In controlled clinical trials, maximum metformin hydrochloride plasma levels (</w:t>
      </w:r>
      <w:proofErr w:type="spellStart"/>
      <w:r w:rsidRPr="00C311A4">
        <w:rPr>
          <w:sz w:val="24"/>
          <w:szCs w:val="24"/>
          <w:lang w:val="en-US"/>
        </w:rPr>
        <w:t>C</w:t>
      </w:r>
      <w:r w:rsidRPr="00C311A4">
        <w:rPr>
          <w:sz w:val="24"/>
          <w:szCs w:val="24"/>
          <w:vertAlign w:val="subscript"/>
          <w:lang w:val="en-US"/>
        </w:rPr>
        <w:t>max</w:t>
      </w:r>
      <w:proofErr w:type="spellEnd"/>
      <w:r w:rsidRPr="00C311A4">
        <w:rPr>
          <w:sz w:val="24"/>
          <w:szCs w:val="24"/>
          <w:lang w:val="en-US"/>
        </w:rPr>
        <w:t>) did not exceed 5 microgram/mL, even at maximum doses.</w:t>
      </w:r>
    </w:p>
    <w:p w14:paraId="7507F9EC" w14:textId="77777777" w:rsidR="004A1F86" w:rsidRPr="00C311A4" w:rsidRDefault="004A1F86" w:rsidP="00624EBB">
      <w:pPr>
        <w:ind w:left="851"/>
        <w:rPr>
          <w:sz w:val="24"/>
          <w:szCs w:val="24"/>
          <w:lang w:val="en-US"/>
        </w:rPr>
      </w:pPr>
    </w:p>
    <w:p w14:paraId="4E0BB929" w14:textId="77777777" w:rsidR="004A1F86" w:rsidRPr="00C311A4" w:rsidRDefault="004A1F86" w:rsidP="00624EBB">
      <w:pPr>
        <w:ind w:left="851"/>
        <w:rPr>
          <w:sz w:val="24"/>
          <w:szCs w:val="24"/>
          <w:lang w:val="en-US"/>
        </w:rPr>
      </w:pPr>
      <w:r w:rsidRPr="00C311A4">
        <w:rPr>
          <w:sz w:val="24"/>
          <w:szCs w:val="24"/>
          <w:lang w:val="en-US"/>
        </w:rPr>
        <w:t xml:space="preserve">Food decreases the extent and slightly delays the absorption of metformin hydrochloride. Following administration of a dose of 850 mg, a 40% lower plasma peak concentration, a 25% decrease in AUC (area under the curve) and a </w:t>
      </w:r>
      <w:proofErr w:type="gramStart"/>
      <w:r w:rsidRPr="00C311A4">
        <w:rPr>
          <w:sz w:val="24"/>
          <w:szCs w:val="24"/>
          <w:lang w:val="en-US"/>
        </w:rPr>
        <w:t>35 minute</w:t>
      </w:r>
      <w:proofErr w:type="gramEnd"/>
      <w:r w:rsidRPr="00C311A4">
        <w:rPr>
          <w:sz w:val="24"/>
          <w:szCs w:val="24"/>
          <w:lang w:val="en-US"/>
        </w:rPr>
        <w:t xml:space="preserve"> prolongation of the time to peak plasma concentration were observed. The clinical relevance of these decreases is unknown.</w:t>
      </w:r>
    </w:p>
    <w:p w14:paraId="32CB3F6C" w14:textId="77777777" w:rsidR="004A1F86" w:rsidRPr="00C311A4" w:rsidRDefault="004A1F86" w:rsidP="00624EBB">
      <w:pPr>
        <w:ind w:left="851"/>
        <w:rPr>
          <w:sz w:val="24"/>
          <w:szCs w:val="24"/>
          <w:lang w:val="en-US"/>
        </w:rPr>
      </w:pPr>
    </w:p>
    <w:p w14:paraId="3A4CF0CB" w14:textId="77777777" w:rsidR="004A1F86" w:rsidRPr="00C311A4" w:rsidRDefault="004A1F86" w:rsidP="00624EBB">
      <w:pPr>
        <w:ind w:left="851"/>
        <w:rPr>
          <w:i/>
          <w:sz w:val="24"/>
          <w:szCs w:val="24"/>
          <w:lang w:val="en-US"/>
        </w:rPr>
      </w:pPr>
      <w:r w:rsidRPr="00C311A4">
        <w:rPr>
          <w:i/>
          <w:sz w:val="24"/>
          <w:szCs w:val="24"/>
          <w:lang w:val="en-US"/>
        </w:rPr>
        <w:t>Distribution</w:t>
      </w:r>
    </w:p>
    <w:p w14:paraId="34BE7E6D" w14:textId="77777777" w:rsidR="004A1F86" w:rsidRPr="00C311A4" w:rsidRDefault="004A1F86" w:rsidP="00624EBB">
      <w:pPr>
        <w:ind w:left="851"/>
        <w:rPr>
          <w:sz w:val="24"/>
          <w:szCs w:val="24"/>
          <w:lang w:val="en-US"/>
        </w:rPr>
      </w:pPr>
      <w:r w:rsidRPr="00C311A4">
        <w:rPr>
          <w:sz w:val="24"/>
          <w:szCs w:val="24"/>
          <w:lang w:val="en-US"/>
        </w:rPr>
        <w:t>Plasma protein binding is negligible. Metformin hydrochloride partitions into erythrocytes. The blood peak is lower than the plasma peak and appears at approximately the same time. The red blood cells most likely represent a secondary compartment of distribution. The mean volume of distribution (</w:t>
      </w:r>
      <w:proofErr w:type="spellStart"/>
      <w:r w:rsidRPr="00C311A4">
        <w:rPr>
          <w:sz w:val="24"/>
          <w:szCs w:val="24"/>
          <w:lang w:val="en-US"/>
        </w:rPr>
        <w:t>Vd</w:t>
      </w:r>
      <w:proofErr w:type="spellEnd"/>
      <w:r w:rsidRPr="00C311A4">
        <w:rPr>
          <w:sz w:val="24"/>
          <w:szCs w:val="24"/>
          <w:lang w:val="en-US"/>
        </w:rPr>
        <w:t>) ranged between 63-276 L.</w:t>
      </w:r>
    </w:p>
    <w:p w14:paraId="0B04FDE8" w14:textId="77777777" w:rsidR="004A1F86" w:rsidRPr="00C311A4" w:rsidRDefault="004A1F86" w:rsidP="00624EBB">
      <w:pPr>
        <w:ind w:left="851"/>
        <w:rPr>
          <w:sz w:val="24"/>
          <w:szCs w:val="24"/>
          <w:lang w:val="en-US"/>
        </w:rPr>
      </w:pPr>
    </w:p>
    <w:p w14:paraId="598D6CBF" w14:textId="77777777" w:rsidR="004A1F86" w:rsidRPr="00C311A4" w:rsidRDefault="004A1F86" w:rsidP="00624EBB">
      <w:pPr>
        <w:ind w:left="851"/>
        <w:rPr>
          <w:i/>
          <w:sz w:val="24"/>
          <w:szCs w:val="24"/>
          <w:lang w:val="en-US"/>
        </w:rPr>
      </w:pPr>
      <w:r w:rsidRPr="00C311A4">
        <w:rPr>
          <w:i/>
          <w:sz w:val="24"/>
          <w:szCs w:val="24"/>
          <w:lang w:val="en-US"/>
        </w:rPr>
        <w:t>Biotransformation</w:t>
      </w:r>
    </w:p>
    <w:p w14:paraId="2191AF75" w14:textId="77777777" w:rsidR="004A1F86" w:rsidRPr="00C311A4" w:rsidRDefault="004A1F86" w:rsidP="00624EBB">
      <w:pPr>
        <w:ind w:left="851"/>
        <w:rPr>
          <w:sz w:val="24"/>
          <w:szCs w:val="24"/>
          <w:lang w:val="en-US"/>
        </w:rPr>
      </w:pPr>
      <w:r w:rsidRPr="00C311A4">
        <w:rPr>
          <w:sz w:val="24"/>
          <w:szCs w:val="24"/>
          <w:lang w:val="en-US"/>
        </w:rPr>
        <w:t>Metformin hydrochloride is excreted unchanged in the urine. No metabolites have been identified in humans.</w:t>
      </w:r>
    </w:p>
    <w:p w14:paraId="6D04EDB3" w14:textId="77777777" w:rsidR="004A1F86" w:rsidRPr="00C311A4" w:rsidRDefault="004A1F86" w:rsidP="00624EBB">
      <w:pPr>
        <w:ind w:left="851"/>
        <w:rPr>
          <w:sz w:val="24"/>
          <w:szCs w:val="24"/>
          <w:lang w:val="en-US"/>
        </w:rPr>
      </w:pPr>
    </w:p>
    <w:p w14:paraId="711FCFD4" w14:textId="77777777" w:rsidR="004A1F86" w:rsidRPr="00C311A4" w:rsidRDefault="004A1F86" w:rsidP="00624EBB">
      <w:pPr>
        <w:ind w:left="851"/>
        <w:rPr>
          <w:i/>
          <w:sz w:val="24"/>
          <w:szCs w:val="24"/>
          <w:lang w:val="en-US"/>
        </w:rPr>
      </w:pPr>
      <w:r w:rsidRPr="00C311A4">
        <w:rPr>
          <w:i/>
          <w:sz w:val="24"/>
          <w:szCs w:val="24"/>
          <w:lang w:val="en-US"/>
        </w:rPr>
        <w:t>Elimination</w:t>
      </w:r>
    </w:p>
    <w:p w14:paraId="6C74F61E" w14:textId="77777777" w:rsidR="004A1F86" w:rsidRPr="00C311A4" w:rsidRDefault="004A1F86" w:rsidP="00624EBB">
      <w:pPr>
        <w:ind w:left="851"/>
        <w:rPr>
          <w:sz w:val="24"/>
          <w:szCs w:val="24"/>
          <w:lang w:val="en-US"/>
        </w:rPr>
      </w:pPr>
      <w:r w:rsidRPr="00C311A4">
        <w:rPr>
          <w:sz w:val="24"/>
          <w:szCs w:val="24"/>
          <w:lang w:val="en-US"/>
        </w:rPr>
        <w:t>Renal clearance of metformin hydrochloride is &gt; 400 mL/min, indicating that metformin hydrochloride is eliminated by glomerular filtration and tubular secretion. Following an oral dose, the apparent terminal elimination half-life is approximately 6.5 hours.</w:t>
      </w:r>
    </w:p>
    <w:p w14:paraId="5E12D1B6" w14:textId="77777777" w:rsidR="004A1F86" w:rsidRPr="00C311A4" w:rsidRDefault="004A1F86" w:rsidP="00624EBB">
      <w:pPr>
        <w:ind w:left="851"/>
        <w:rPr>
          <w:sz w:val="24"/>
          <w:szCs w:val="24"/>
          <w:lang w:val="en-US"/>
        </w:rPr>
      </w:pPr>
      <w:r w:rsidRPr="00C311A4">
        <w:rPr>
          <w:sz w:val="24"/>
          <w:szCs w:val="24"/>
          <w:lang w:val="en-US"/>
        </w:rPr>
        <w:t>When renal function is impaired, renal clearance is decreased in proportion to that of creatinine and thus the elimination half-life is prolonged, leading to increased levels of metformin hydrochloride in plasma.</w:t>
      </w:r>
    </w:p>
    <w:p w14:paraId="130413DA" w14:textId="77777777" w:rsidR="004A1F86" w:rsidRPr="00C311A4" w:rsidRDefault="004A1F86" w:rsidP="00624EBB">
      <w:pPr>
        <w:ind w:left="851"/>
        <w:rPr>
          <w:sz w:val="24"/>
          <w:szCs w:val="24"/>
          <w:lang w:val="en-US"/>
        </w:rPr>
      </w:pPr>
    </w:p>
    <w:p w14:paraId="1E7A58C8" w14:textId="77777777" w:rsidR="004A1F86" w:rsidRPr="00C311A4" w:rsidRDefault="004A1F86" w:rsidP="00624EBB">
      <w:pPr>
        <w:ind w:left="851"/>
        <w:rPr>
          <w:i/>
          <w:sz w:val="24"/>
          <w:szCs w:val="24"/>
          <w:lang w:val="en-US"/>
        </w:rPr>
      </w:pPr>
      <w:r w:rsidRPr="00C311A4">
        <w:rPr>
          <w:i/>
          <w:sz w:val="24"/>
          <w:szCs w:val="24"/>
          <w:lang w:val="en-US"/>
        </w:rPr>
        <w:t>Paediatric population</w:t>
      </w:r>
    </w:p>
    <w:p w14:paraId="56ACA82D" w14:textId="77777777" w:rsidR="004A1F86" w:rsidRPr="00C311A4" w:rsidRDefault="004A1F86" w:rsidP="00624EBB">
      <w:pPr>
        <w:ind w:left="851"/>
        <w:rPr>
          <w:sz w:val="24"/>
          <w:szCs w:val="24"/>
          <w:lang w:val="en-US"/>
        </w:rPr>
      </w:pPr>
      <w:r w:rsidRPr="00C311A4">
        <w:rPr>
          <w:sz w:val="24"/>
          <w:szCs w:val="24"/>
          <w:lang w:val="en-US"/>
        </w:rPr>
        <w:t>Single dose study: after single doses of metformin hydrochloride 500 mg, paediatric patients have shown a similar pharmacokinetic profile to that observed in healthy adults.</w:t>
      </w:r>
    </w:p>
    <w:p w14:paraId="38BCB70A" w14:textId="77777777" w:rsidR="004A1F86" w:rsidRPr="00C311A4" w:rsidRDefault="004A1F86" w:rsidP="00624EBB">
      <w:pPr>
        <w:ind w:left="851"/>
        <w:rPr>
          <w:sz w:val="24"/>
          <w:szCs w:val="24"/>
          <w:lang w:val="en-US"/>
        </w:rPr>
      </w:pPr>
    </w:p>
    <w:p w14:paraId="79E5EB36" w14:textId="20A31897" w:rsidR="004A1F86" w:rsidRPr="00C311A4" w:rsidRDefault="004A1F86" w:rsidP="00624EBB">
      <w:pPr>
        <w:ind w:left="851"/>
        <w:rPr>
          <w:sz w:val="24"/>
          <w:szCs w:val="24"/>
          <w:lang w:val="en-GB"/>
        </w:rPr>
      </w:pPr>
      <w:r w:rsidRPr="00C311A4">
        <w:rPr>
          <w:sz w:val="24"/>
          <w:szCs w:val="24"/>
          <w:lang w:val="en-US"/>
        </w:rPr>
        <w:t>Multiple-dose study: data are restricted to one study. After repeated doses of 500 mg twice daily for 7 days in paediatric patients the peak plasma concentration (</w:t>
      </w:r>
      <w:proofErr w:type="spellStart"/>
      <w:r w:rsidRPr="00C311A4">
        <w:rPr>
          <w:sz w:val="24"/>
          <w:szCs w:val="24"/>
          <w:lang w:val="en-US"/>
        </w:rPr>
        <w:t>C</w:t>
      </w:r>
      <w:r w:rsidRPr="00C311A4">
        <w:rPr>
          <w:sz w:val="24"/>
          <w:szCs w:val="24"/>
          <w:vertAlign w:val="subscript"/>
          <w:lang w:val="en-US"/>
        </w:rPr>
        <w:t>max</w:t>
      </w:r>
      <w:proofErr w:type="spellEnd"/>
      <w:r w:rsidRPr="00C311A4">
        <w:rPr>
          <w:sz w:val="24"/>
          <w:szCs w:val="24"/>
          <w:lang w:val="en-US"/>
        </w:rPr>
        <w:t>) and systemic exposure (AUC</w:t>
      </w:r>
      <w:r w:rsidRPr="00C311A4">
        <w:rPr>
          <w:sz w:val="24"/>
          <w:szCs w:val="24"/>
          <w:vertAlign w:val="subscript"/>
          <w:lang w:val="en-US"/>
        </w:rPr>
        <w:t>0-t</w:t>
      </w:r>
      <w:r w:rsidRPr="00C311A4">
        <w:rPr>
          <w:sz w:val="24"/>
          <w:szCs w:val="24"/>
          <w:lang w:val="en-US"/>
        </w:rPr>
        <w:t xml:space="preserve">) were reduced by approximately 33% and 40%, respectively compared to diabetic adults who received repeated doses of 500 mg twice daily for 14 days. As the dose is individually titrated based on </w:t>
      </w:r>
      <w:proofErr w:type="spellStart"/>
      <w:r w:rsidRPr="00C311A4">
        <w:rPr>
          <w:sz w:val="24"/>
          <w:szCs w:val="24"/>
          <w:lang w:val="en-US"/>
        </w:rPr>
        <w:t>glycaemic</w:t>
      </w:r>
      <w:proofErr w:type="spellEnd"/>
      <w:r w:rsidRPr="00C311A4">
        <w:rPr>
          <w:sz w:val="24"/>
          <w:szCs w:val="24"/>
          <w:lang w:val="en-US"/>
        </w:rPr>
        <w:t xml:space="preserve"> control, this is of limited clinical relevance.</w:t>
      </w:r>
    </w:p>
    <w:p w14:paraId="7BAA4A9A" w14:textId="77777777" w:rsidR="007C5D2A" w:rsidRPr="00C311A4" w:rsidRDefault="007C5D2A" w:rsidP="003E0341">
      <w:pPr>
        <w:tabs>
          <w:tab w:val="left" w:pos="851"/>
        </w:tabs>
        <w:ind w:left="851"/>
        <w:rPr>
          <w:sz w:val="24"/>
          <w:szCs w:val="24"/>
          <w:lang w:val="en-GB"/>
        </w:rPr>
      </w:pPr>
    </w:p>
    <w:p w14:paraId="4EFCF8EB" w14:textId="77777777" w:rsidR="007C5D2A" w:rsidRPr="00C311A4" w:rsidRDefault="00180A12" w:rsidP="007C5D2A">
      <w:pPr>
        <w:tabs>
          <w:tab w:val="left" w:pos="851"/>
        </w:tabs>
        <w:ind w:left="851" w:hanging="851"/>
        <w:rPr>
          <w:b/>
          <w:sz w:val="24"/>
          <w:szCs w:val="24"/>
          <w:lang w:val="en-GB"/>
        </w:rPr>
      </w:pPr>
      <w:r w:rsidRPr="00C311A4">
        <w:rPr>
          <w:b/>
          <w:sz w:val="24"/>
          <w:szCs w:val="24"/>
          <w:lang w:val="en-GB"/>
        </w:rPr>
        <w:lastRenderedPageBreak/>
        <w:t>5.3</w:t>
      </w:r>
      <w:r w:rsidRPr="00C311A4">
        <w:rPr>
          <w:b/>
          <w:sz w:val="24"/>
          <w:szCs w:val="24"/>
          <w:lang w:val="en-GB"/>
        </w:rPr>
        <w:tab/>
        <w:t>Preclinical safety data</w:t>
      </w:r>
    </w:p>
    <w:p w14:paraId="6F637284" w14:textId="77777777" w:rsidR="004A1F86" w:rsidRPr="00656FCF" w:rsidRDefault="004A1F86" w:rsidP="00624EBB">
      <w:pPr>
        <w:ind w:left="851"/>
        <w:rPr>
          <w:sz w:val="24"/>
          <w:szCs w:val="24"/>
          <w:lang w:val="en-US"/>
        </w:rPr>
      </w:pPr>
    </w:p>
    <w:p w14:paraId="552D23B1" w14:textId="77777777" w:rsidR="004A1F86" w:rsidRPr="00C311A4" w:rsidRDefault="004A1F86" w:rsidP="00624EBB">
      <w:pPr>
        <w:ind w:left="851"/>
        <w:rPr>
          <w:sz w:val="24"/>
          <w:szCs w:val="24"/>
          <w:lang w:val="en-US"/>
        </w:rPr>
      </w:pPr>
      <w:r w:rsidRPr="00C311A4">
        <w:rPr>
          <w:sz w:val="24"/>
          <w:szCs w:val="24"/>
          <w:u w:val="single"/>
          <w:lang w:val="en-US"/>
        </w:rPr>
        <w:t>Linagliptin plus metformin</w:t>
      </w:r>
    </w:p>
    <w:p w14:paraId="3FBF3350" w14:textId="77777777" w:rsidR="004A1F86" w:rsidRPr="00C311A4" w:rsidRDefault="004A1F86" w:rsidP="00624EBB">
      <w:pPr>
        <w:ind w:left="851"/>
        <w:rPr>
          <w:sz w:val="24"/>
          <w:szCs w:val="24"/>
          <w:lang w:val="en-US"/>
        </w:rPr>
      </w:pPr>
      <w:r w:rsidRPr="00C311A4">
        <w:rPr>
          <w:sz w:val="24"/>
          <w:szCs w:val="24"/>
          <w:lang w:val="en-US"/>
        </w:rPr>
        <w:t xml:space="preserve">General toxicity studies in rats for up to 13 weeks were performed with the co-administration of linagliptin and metformin. The only observed interaction between linagliptin and metformin was a reduction of body weight gain. No other additive toxicity caused by the combination of linagliptin and metformin was observed at AUC exposure levels up to </w:t>
      </w:r>
      <w:proofErr w:type="gramStart"/>
      <w:r w:rsidRPr="00C311A4">
        <w:rPr>
          <w:sz w:val="24"/>
          <w:szCs w:val="24"/>
          <w:lang w:val="en-US"/>
        </w:rPr>
        <w:t>2 and 23 times</w:t>
      </w:r>
      <w:proofErr w:type="gramEnd"/>
      <w:r w:rsidRPr="00C311A4">
        <w:rPr>
          <w:sz w:val="24"/>
          <w:szCs w:val="24"/>
          <w:lang w:val="en-US"/>
        </w:rPr>
        <w:t xml:space="preserve"> human exposure, respectively.</w:t>
      </w:r>
    </w:p>
    <w:p w14:paraId="25206120" w14:textId="77777777" w:rsidR="004A1F86" w:rsidRPr="00C311A4" w:rsidRDefault="004A1F86" w:rsidP="00624EBB">
      <w:pPr>
        <w:ind w:left="851"/>
        <w:rPr>
          <w:sz w:val="24"/>
          <w:szCs w:val="24"/>
          <w:lang w:val="en-US"/>
        </w:rPr>
      </w:pPr>
    </w:p>
    <w:p w14:paraId="663AD307" w14:textId="77777777" w:rsidR="004A1F86" w:rsidRPr="00C311A4" w:rsidRDefault="004A1F86" w:rsidP="00624EBB">
      <w:pPr>
        <w:ind w:left="851"/>
        <w:rPr>
          <w:sz w:val="24"/>
          <w:szCs w:val="24"/>
          <w:lang w:val="en-US"/>
        </w:rPr>
      </w:pPr>
      <w:r w:rsidRPr="00C311A4">
        <w:rPr>
          <w:sz w:val="24"/>
          <w:szCs w:val="24"/>
          <w:lang w:val="en-US"/>
        </w:rPr>
        <w:t xml:space="preserve">An embryofetal development study in pregnant rats did not indicate a teratogenic effect attributed to the co-administration of linagliptin and metformin at AUC exposure levels up to </w:t>
      </w:r>
      <w:proofErr w:type="gramStart"/>
      <w:r w:rsidRPr="00C311A4">
        <w:rPr>
          <w:sz w:val="24"/>
          <w:szCs w:val="24"/>
          <w:lang w:val="en-US"/>
        </w:rPr>
        <w:t>4 and 30 times</w:t>
      </w:r>
      <w:proofErr w:type="gramEnd"/>
      <w:r w:rsidRPr="00C311A4">
        <w:rPr>
          <w:sz w:val="24"/>
          <w:szCs w:val="24"/>
          <w:lang w:val="en-US"/>
        </w:rPr>
        <w:t xml:space="preserve"> human exposure, respectively.</w:t>
      </w:r>
    </w:p>
    <w:p w14:paraId="79BE9B8A" w14:textId="77777777" w:rsidR="004A1F86" w:rsidRPr="00C311A4" w:rsidRDefault="004A1F86" w:rsidP="00624EBB">
      <w:pPr>
        <w:ind w:left="851"/>
        <w:rPr>
          <w:sz w:val="24"/>
          <w:szCs w:val="24"/>
          <w:lang w:val="en-US"/>
        </w:rPr>
      </w:pPr>
    </w:p>
    <w:p w14:paraId="206201D5" w14:textId="77777777" w:rsidR="004A1F86" w:rsidRPr="00C311A4" w:rsidRDefault="004A1F86" w:rsidP="00624EBB">
      <w:pPr>
        <w:ind w:left="851"/>
        <w:rPr>
          <w:sz w:val="24"/>
          <w:szCs w:val="24"/>
          <w:lang w:val="en-US"/>
        </w:rPr>
      </w:pPr>
      <w:r w:rsidRPr="00C311A4">
        <w:rPr>
          <w:sz w:val="24"/>
          <w:szCs w:val="24"/>
          <w:u w:val="single"/>
          <w:lang w:val="en-US"/>
        </w:rPr>
        <w:t>Linagliptin</w:t>
      </w:r>
    </w:p>
    <w:p w14:paraId="6AED163A" w14:textId="77777777" w:rsidR="004A1F86" w:rsidRPr="00C311A4" w:rsidRDefault="004A1F86" w:rsidP="00624EBB">
      <w:pPr>
        <w:ind w:left="851"/>
        <w:rPr>
          <w:sz w:val="24"/>
          <w:szCs w:val="24"/>
          <w:lang w:val="en-US"/>
        </w:rPr>
      </w:pPr>
      <w:r w:rsidRPr="00C311A4">
        <w:rPr>
          <w:sz w:val="24"/>
          <w:szCs w:val="24"/>
          <w:lang w:val="en-US"/>
        </w:rPr>
        <w:t>Liver, kidneys and gastrointestinal tract are the principal target organs of toxicity in mice and rats at repeat doses of linagliptin of more than 300 times the human exposure.</w:t>
      </w:r>
    </w:p>
    <w:p w14:paraId="100D947D" w14:textId="2BF32F19" w:rsidR="004A1F86" w:rsidRPr="00C311A4" w:rsidRDefault="004A1F86" w:rsidP="00624EBB">
      <w:pPr>
        <w:ind w:left="851"/>
        <w:rPr>
          <w:sz w:val="24"/>
          <w:szCs w:val="24"/>
          <w:lang w:val="en-US"/>
        </w:rPr>
      </w:pPr>
      <w:r w:rsidRPr="00C311A4">
        <w:rPr>
          <w:sz w:val="24"/>
          <w:szCs w:val="24"/>
          <w:lang w:val="en-US"/>
        </w:rPr>
        <w:t>In rats, effects on reproductive organs, thyroid and the lymphoid organs were seen at more than 1500 times human exposure. Strong pseudo-allergic reactions were observed in dogs at medium doses, secondarily causing cardiovascular changes, which were considered dog-specific. Liver, kidneys, stomach, reproductive organs, thymus, spleen, and lymph nodes were target organs of toxicity in Cynomolgus monkeys at more than 450 times human exposure. At more than 100 times human exposure, irritation of the stomach was the major finding in these monkeys.</w:t>
      </w:r>
    </w:p>
    <w:p w14:paraId="740645FD" w14:textId="77777777" w:rsidR="004A1F86" w:rsidRPr="00C311A4" w:rsidRDefault="004A1F86" w:rsidP="00624EBB">
      <w:pPr>
        <w:ind w:left="851"/>
        <w:rPr>
          <w:sz w:val="24"/>
          <w:szCs w:val="24"/>
          <w:lang w:val="en-US"/>
        </w:rPr>
      </w:pPr>
    </w:p>
    <w:p w14:paraId="2FB7FF29" w14:textId="77777777" w:rsidR="004A1F86" w:rsidRPr="00C311A4" w:rsidRDefault="004A1F86" w:rsidP="00624EBB">
      <w:pPr>
        <w:ind w:left="851"/>
        <w:rPr>
          <w:sz w:val="24"/>
          <w:szCs w:val="24"/>
          <w:lang w:val="en-US"/>
        </w:rPr>
      </w:pPr>
      <w:r w:rsidRPr="00C311A4">
        <w:rPr>
          <w:sz w:val="24"/>
          <w:szCs w:val="24"/>
          <w:lang w:val="en-US"/>
        </w:rPr>
        <w:t>Linagliptin and its main metabolite did not show a genotoxic potential.</w:t>
      </w:r>
    </w:p>
    <w:p w14:paraId="40C4924C" w14:textId="77777777" w:rsidR="004A1F86" w:rsidRPr="00C311A4" w:rsidRDefault="004A1F86" w:rsidP="00624EBB">
      <w:pPr>
        <w:ind w:left="851"/>
        <w:rPr>
          <w:sz w:val="24"/>
          <w:szCs w:val="24"/>
          <w:lang w:val="en-US"/>
        </w:rPr>
      </w:pPr>
      <w:r w:rsidRPr="00C311A4">
        <w:rPr>
          <w:sz w:val="24"/>
          <w:szCs w:val="24"/>
          <w:lang w:val="en-US"/>
        </w:rPr>
        <w:t xml:space="preserve">Oral </w:t>
      </w:r>
      <w:proofErr w:type="gramStart"/>
      <w:r w:rsidRPr="00C311A4">
        <w:rPr>
          <w:sz w:val="24"/>
          <w:szCs w:val="24"/>
          <w:lang w:val="en-US"/>
        </w:rPr>
        <w:t>2 year</w:t>
      </w:r>
      <w:proofErr w:type="gramEnd"/>
      <w:r w:rsidRPr="00C311A4">
        <w:rPr>
          <w:sz w:val="24"/>
          <w:szCs w:val="24"/>
          <w:lang w:val="en-US"/>
        </w:rPr>
        <w:t xml:space="preserve"> carcinogenicity studies in rats and mice revealed no evidence of carcinogenicity in rats or male mice. A significantly higher incidence of malignant lymphomas only in female mice at the highest dose (&gt; 200 times human exposure) is not considered relevant for humans (explanation: non- treatment related but due to highly variable background incidence). Based on these studies there is no concern for carcinogenicity in humans.</w:t>
      </w:r>
    </w:p>
    <w:p w14:paraId="502D559C" w14:textId="77777777" w:rsidR="004A1F86" w:rsidRPr="00C311A4" w:rsidRDefault="004A1F86" w:rsidP="00624EBB">
      <w:pPr>
        <w:ind w:left="851"/>
        <w:rPr>
          <w:sz w:val="24"/>
          <w:szCs w:val="24"/>
          <w:lang w:val="en-US"/>
        </w:rPr>
      </w:pPr>
    </w:p>
    <w:p w14:paraId="2EEABA81" w14:textId="2B62AE8C" w:rsidR="004A1F86" w:rsidRPr="00C311A4" w:rsidRDefault="004A1F86" w:rsidP="00624EBB">
      <w:pPr>
        <w:ind w:left="851"/>
        <w:rPr>
          <w:sz w:val="24"/>
          <w:szCs w:val="24"/>
          <w:lang w:val="en-US"/>
        </w:rPr>
      </w:pPr>
      <w:r w:rsidRPr="00C311A4">
        <w:rPr>
          <w:sz w:val="24"/>
          <w:szCs w:val="24"/>
          <w:lang w:val="en-US"/>
        </w:rPr>
        <w:t>The NOAEL for fertility, early embryonic development and teratogenicity in rats was set at &gt; 900 times the human exposure. The NOAEL for maternal-, embryo-fetal-, and offspring toxicity in rats was 49 times human exposure. No teratogenic effects were observed in rabbits at &gt; 1,000 times human exposure. A NOAEL of 78 times human exposure was derived for embryo-fetal toxicity in rabbits, and for maternal toxicity the NOAEL was 2.1 times human exposure. Therefore, it is considered unlikely that linagliptin affects reproduction at therapeutic exposures in humans.</w:t>
      </w:r>
    </w:p>
    <w:p w14:paraId="7E01AF51" w14:textId="77777777" w:rsidR="004A1F86" w:rsidRPr="00C311A4" w:rsidRDefault="004A1F86" w:rsidP="00624EBB">
      <w:pPr>
        <w:ind w:left="851"/>
        <w:rPr>
          <w:sz w:val="24"/>
          <w:szCs w:val="24"/>
          <w:lang w:val="en-US"/>
        </w:rPr>
      </w:pPr>
    </w:p>
    <w:p w14:paraId="21AFA911" w14:textId="77777777" w:rsidR="004A1F86" w:rsidRPr="00C311A4" w:rsidRDefault="004A1F86" w:rsidP="00624EBB">
      <w:pPr>
        <w:ind w:left="851"/>
        <w:rPr>
          <w:sz w:val="24"/>
          <w:szCs w:val="24"/>
          <w:lang w:val="en-US"/>
        </w:rPr>
      </w:pPr>
      <w:r w:rsidRPr="00C311A4">
        <w:rPr>
          <w:sz w:val="24"/>
          <w:szCs w:val="24"/>
          <w:u w:val="single"/>
          <w:lang w:val="en-US"/>
        </w:rPr>
        <w:t>Metformin</w:t>
      </w:r>
    </w:p>
    <w:p w14:paraId="6AF5C7B7" w14:textId="77777777" w:rsidR="004A1F86" w:rsidRPr="00C311A4" w:rsidRDefault="004A1F86" w:rsidP="00624EBB">
      <w:pPr>
        <w:ind w:left="851"/>
        <w:rPr>
          <w:sz w:val="24"/>
          <w:szCs w:val="24"/>
          <w:lang w:val="en-GB"/>
        </w:rPr>
      </w:pPr>
      <w:r w:rsidRPr="00C311A4">
        <w:rPr>
          <w:sz w:val="24"/>
          <w:szCs w:val="24"/>
          <w:lang w:val="en-US"/>
        </w:rPr>
        <w:t>Non-clinical data reveal no special hazard for humans based on conventional studies of safety pharmacology, repeated dose toxicity, genotoxicity, carcinogenic potential, toxicity to reproduction and development.</w:t>
      </w:r>
    </w:p>
    <w:p w14:paraId="70B32CA9" w14:textId="77777777" w:rsidR="007C5D2A" w:rsidRPr="00C311A4" w:rsidRDefault="007C5D2A" w:rsidP="003E0341">
      <w:pPr>
        <w:tabs>
          <w:tab w:val="left" w:pos="851"/>
        </w:tabs>
        <w:ind w:left="851"/>
        <w:rPr>
          <w:sz w:val="24"/>
          <w:szCs w:val="24"/>
          <w:lang w:val="en-GB"/>
        </w:rPr>
      </w:pPr>
    </w:p>
    <w:p w14:paraId="24C551D9" w14:textId="17FD6812" w:rsidR="00A73714" w:rsidRDefault="00A73714">
      <w:pPr>
        <w:rPr>
          <w:sz w:val="24"/>
          <w:szCs w:val="24"/>
          <w:lang w:val="en-GB"/>
        </w:rPr>
      </w:pPr>
      <w:r>
        <w:rPr>
          <w:sz w:val="24"/>
          <w:szCs w:val="24"/>
          <w:lang w:val="en-GB"/>
        </w:rPr>
        <w:br w:type="page"/>
      </w:r>
    </w:p>
    <w:p w14:paraId="6F8E3EF2" w14:textId="77777777" w:rsidR="007C5D2A" w:rsidRPr="00C311A4" w:rsidRDefault="007C5D2A" w:rsidP="003E0341">
      <w:pPr>
        <w:tabs>
          <w:tab w:val="left" w:pos="851"/>
        </w:tabs>
        <w:ind w:left="851"/>
        <w:rPr>
          <w:sz w:val="24"/>
          <w:szCs w:val="24"/>
          <w:lang w:val="en-GB"/>
        </w:rPr>
      </w:pPr>
    </w:p>
    <w:p w14:paraId="40E1AE73" w14:textId="77777777" w:rsidR="007C5D2A" w:rsidRPr="00C311A4" w:rsidRDefault="009925C9" w:rsidP="007C5D2A">
      <w:pPr>
        <w:ind w:left="851" w:hanging="851"/>
        <w:rPr>
          <w:b/>
          <w:sz w:val="24"/>
          <w:szCs w:val="24"/>
          <w:lang w:val="en-GB"/>
        </w:rPr>
      </w:pPr>
      <w:r w:rsidRPr="00C311A4">
        <w:rPr>
          <w:b/>
          <w:sz w:val="24"/>
          <w:szCs w:val="24"/>
          <w:lang w:val="en-GB"/>
        </w:rPr>
        <w:t>6.</w:t>
      </w:r>
      <w:r w:rsidR="007C5D2A" w:rsidRPr="00C311A4">
        <w:rPr>
          <w:b/>
          <w:sz w:val="24"/>
          <w:szCs w:val="24"/>
          <w:lang w:val="en-GB"/>
        </w:rPr>
        <w:tab/>
        <w:t>PHARMACEUTICAL PARTICULARS</w:t>
      </w:r>
    </w:p>
    <w:p w14:paraId="2CEE4998" w14:textId="77777777" w:rsidR="007C5D2A" w:rsidRPr="00C311A4" w:rsidRDefault="007C5D2A" w:rsidP="003E0341">
      <w:pPr>
        <w:tabs>
          <w:tab w:val="left" w:pos="851"/>
        </w:tabs>
        <w:ind w:left="851"/>
        <w:rPr>
          <w:sz w:val="24"/>
          <w:szCs w:val="24"/>
          <w:lang w:val="en-GB"/>
        </w:rPr>
      </w:pPr>
    </w:p>
    <w:p w14:paraId="4C8A2190" w14:textId="77777777" w:rsidR="007C5D2A" w:rsidRPr="00C311A4" w:rsidRDefault="007C5D2A" w:rsidP="007C5D2A">
      <w:pPr>
        <w:ind w:left="851" w:hanging="851"/>
        <w:rPr>
          <w:b/>
          <w:sz w:val="24"/>
          <w:szCs w:val="24"/>
          <w:lang w:val="en-GB"/>
        </w:rPr>
      </w:pPr>
      <w:r w:rsidRPr="00C311A4">
        <w:rPr>
          <w:b/>
          <w:sz w:val="24"/>
          <w:szCs w:val="24"/>
          <w:lang w:val="en-GB"/>
        </w:rPr>
        <w:t>6.1</w:t>
      </w:r>
      <w:r w:rsidRPr="00C311A4">
        <w:rPr>
          <w:b/>
          <w:sz w:val="24"/>
          <w:szCs w:val="24"/>
          <w:lang w:val="en-GB"/>
        </w:rPr>
        <w:tab/>
        <w:t>List of excipients</w:t>
      </w:r>
    </w:p>
    <w:p w14:paraId="33EF3F58" w14:textId="77777777" w:rsidR="00C877A2" w:rsidRDefault="00C877A2" w:rsidP="00624EBB">
      <w:pPr>
        <w:ind w:left="851"/>
        <w:rPr>
          <w:sz w:val="24"/>
          <w:szCs w:val="24"/>
          <w:lang w:val="en-US"/>
        </w:rPr>
      </w:pPr>
    </w:p>
    <w:p w14:paraId="438A98B8" w14:textId="03CEE9E2" w:rsidR="004A1F86" w:rsidRPr="00C877A2" w:rsidRDefault="004A1F86" w:rsidP="00624EBB">
      <w:pPr>
        <w:ind w:left="851"/>
        <w:rPr>
          <w:sz w:val="24"/>
          <w:szCs w:val="24"/>
          <w:u w:val="single"/>
          <w:lang w:val="en-US"/>
        </w:rPr>
      </w:pPr>
      <w:r w:rsidRPr="00C877A2">
        <w:rPr>
          <w:sz w:val="24"/>
          <w:szCs w:val="24"/>
          <w:u w:val="single"/>
          <w:lang w:val="en-US"/>
        </w:rPr>
        <w:t>Tablet core</w:t>
      </w:r>
    </w:p>
    <w:p w14:paraId="3711A31C" w14:textId="77777777" w:rsidR="004A1F86" w:rsidRPr="00C311A4" w:rsidRDefault="004A1F86" w:rsidP="00624EBB">
      <w:pPr>
        <w:ind w:left="851"/>
        <w:rPr>
          <w:sz w:val="24"/>
          <w:szCs w:val="24"/>
          <w:lang w:val="en-US"/>
        </w:rPr>
      </w:pPr>
      <w:r w:rsidRPr="00C311A4">
        <w:rPr>
          <w:sz w:val="24"/>
          <w:szCs w:val="24"/>
          <w:lang w:val="en-US"/>
        </w:rPr>
        <w:t xml:space="preserve">Maize starch </w:t>
      </w:r>
    </w:p>
    <w:p w14:paraId="3AAB41F6" w14:textId="77777777" w:rsidR="004A1F86" w:rsidRPr="00C311A4" w:rsidRDefault="004A1F86" w:rsidP="00624EBB">
      <w:pPr>
        <w:ind w:left="851"/>
        <w:rPr>
          <w:color w:val="000000"/>
          <w:sz w:val="24"/>
          <w:szCs w:val="24"/>
          <w:highlight w:val="yellow"/>
          <w:lang w:val="en-US"/>
        </w:rPr>
      </w:pPr>
      <w:proofErr w:type="spellStart"/>
      <w:r w:rsidRPr="00C311A4">
        <w:rPr>
          <w:sz w:val="24"/>
          <w:szCs w:val="24"/>
          <w:lang w:val="en-US"/>
        </w:rPr>
        <w:t>Copovidone</w:t>
      </w:r>
      <w:proofErr w:type="spellEnd"/>
      <w:r w:rsidRPr="00C311A4">
        <w:rPr>
          <w:color w:val="000000"/>
          <w:sz w:val="24"/>
          <w:szCs w:val="24"/>
          <w:highlight w:val="yellow"/>
          <w:lang w:val="en-US"/>
        </w:rPr>
        <w:t xml:space="preserve"> </w:t>
      </w:r>
    </w:p>
    <w:p w14:paraId="570E5D92" w14:textId="77777777" w:rsidR="004A1F86" w:rsidRPr="00C311A4" w:rsidRDefault="004A1F86" w:rsidP="00624EBB">
      <w:pPr>
        <w:ind w:left="851"/>
        <w:rPr>
          <w:sz w:val="24"/>
          <w:szCs w:val="24"/>
          <w:lang w:val="en-US"/>
        </w:rPr>
      </w:pPr>
      <w:r w:rsidRPr="00C311A4">
        <w:rPr>
          <w:sz w:val="24"/>
          <w:szCs w:val="24"/>
          <w:lang w:val="en-US"/>
        </w:rPr>
        <w:t>Hypromellose (type 2910)</w:t>
      </w:r>
    </w:p>
    <w:p w14:paraId="5D2896C2" w14:textId="77777777" w:rsidR="004A1F86" w:rsidRPr="00C311A4" w:rsidRDefault="004A1F86" w:rsidP="00624EBB">
      <w:pPr>
        <w:ind w:left="851"/>
        <w:rPr>
          <w:color w:val="000000"/>
          <w:sz w:val="24"/>
          <w:szCs w:val="24"/>
          <w:highlight w:val="yellow"/>
          <w:lang w:val="en-US"/>
        </w:rPr>
      </w:pPr>
      <w:r w:rsidRPr="00C311A4">
        <w:rPr>
          <w:sz w:val="24"/>
          <w:szCs w:val="24"/>
          <w:lang w:val="en-US"/>
        </w:rPr>
        <w:t>Sodium carbonate</w:t>
      </w:r>
      <w:r w:rsidRPr="00C311A4">
        <w:rPr>
          <w:color w:val="000000"/>
          <w:sz w:val="24"/>
          <w:szCs w:val="24"/>
          <w:highlight w:val="yellow"/>
          <w:lang w:val="en-US"/>
        </w:rPr>
        <w:t xml:space="preserve"> </w:t>
      </w:r>
    </w:p>
    <w:p w14:paraId="792C7FD1" w14:textId="77777777" w:rsidR="004A1F86" w:rsidRPr="00C311A4" w:rsidRDefault="004A1F86" w:rsidP="00624EBB">
      <w:pPr>
        <w:ind w:left="851"/>
        <w:rPr>
          <w:color w:val="000000"/>
          <w:sz w:val="24"/>
          <w:szCs w:val="24"/>
          <w:highlight w:val="yellow"/>
          <w:lang w:val="en-US"/>
        </w:rPr>
      </w:pPr>
      <w:r w:rsidRPr="00C311A4">
        <w:rPr>
          <w:sz w:val="24"/>
          <w:szCs w:val="24"/>
          <w:lang w:val="en-US"/>
        </w:rPr>
        <w:t>Silica, colloidal anhydrous</w:t>
      </w:r>
      <w:r w:rsidRPr="00C311A4">
        <w:rPr>
          <w:color w:val="000000"/>
          <w:sz w:val="24"/>
          <w:szCs w:val="24"/>
          <w:highlight w:val="yellow"/>
          <w:lang w:val="en-US"/>
        </w:rPr>
        <w:t xml:space="preserve"> </w:t>
      </w:r>
    </w:p>
    <w:p w14:paraId="3B3071FB" w14:textId="77777777" w:rsidR="004A1F86" w:rsidRPr="00C311A4" w:rsidRDefault="004A1F86" w:rsidP="00624EBB">
      <w:pPr>
        <w:ind w:left="851"/>
        <w:rPr>
          <w:color w:val="000000"/>
          <w:sz w:val="24"/>
          <w:szCs w:val="24"/>
          <w:lang w:val="en-US"/>
        </w:rPr>
      </w:pPr>
      <w:r w:rsidRPr="00C311A4">
        <w:rPr>
          <w:color w:val="000000"/>
          <w:sz w:val="24"/>
          <w:szCs w:val="24"/>
          <w:lang w:val="en-US"/>
        </w:rPr>
        <w:t>Magnesium stearate</w:t>
      </w:r>
    </w:p>
    <w:p w14:paraId="4C918A2B" w14:textId="77777777" w:rsidR="004A1F86" w:rsidRPr="00C311A4" w:rsidRDefault="004A1F86" w:rsidP="00624EBB">
      <w:pPr>
        <w:ind w:left="851"/>
        <w:rPr>
          <w:sz w:val="24"/>
          <w:szCs w:val="24"/>
          <w:lang w:val="en-GB"/>
        </w:rPr>
      </w:pPr>
    </w:p>
    <w:p w14:paraId="066E6140" w14:textId="33FFDF2E" w:rsidR="004A1F86" w:rsidRPr="00C877A2" w:rsidRDefault="00C311A4" w:rsidP="00624EBB">
      <w:pPr>
        <w:ind w:left="851"/>
        <w:rPr>
          <w:sz w:val="24"/>
          <w:szCs w:val="24"/>
          <w:highlight w:val="yellow"/>
          <w:u w:val="single"/>
          <w:lang w:val="en-US"/>
        </w:rPr>
      </w:pPr>
      <w:proofErr w:type="spellStart"/>
      <w:r w:rsidRPr="00C877A2">
        <w:rPr>
          <w:sz w:val="24"/>
          <w:szCs w:val="24"/>
          <w:u w:val="single"/>
          <w:lang w:val="en-US"/>
        </w:rPr>
        <w:t>Nagilma</w:t>
      </w:r>
      <w:proofErr w:type="spellEnd"/>
      <w:r w:rsidR="004A1F86" w:rsidRPr="00C877A2">
        <w:rPr>
          <w:sz w:val="24"/>
          <w:szCs w:val="24"/>
          <w:u w:val="single"/>
          <w:lang w:val="en-US"/>
        </w:rPr>
        <w:t xml:space="preserve"> 2.5 mg/850 mg film-coated tablets</w:t>
      </w:r>
    </w:p>
    <w:p w14:paraId="53958E9E" w14:textId="77777777" w:rsidR="004A1F86" w:rsidRPr="00C311A4" w:rsidRDefault="004A1F86" w:rsidP="00624EBB">
      <w:pPr>
        <w:ind w:left="851"/>
        <w:rPr>
          <w:i/>
          <w:iCs/>
          <w:sz w:val="24"/>
          <w:szCs w:val="24"/>
          <w:lang w:val="en-US"/>
        </w:rPr>
      </w:pPr>
      <w:r w:rsidRPr="00C311A4">
        <w:rPr>
          <w:i/>
          <w:iCs/>
          <w:sz w:val="24"/>
          <w:szCs w:val="24"/>
          <w:lang w:val="en-US"/>
        </w:rPr>
        <w:t>Film coating</w:t>
      </w:r>
    </w:p>
    <w:p w14:paraId="2B8D3059" w14:textId="77777777" w:rsidR="004A1F86" w:rsidRPr="00C311A4" w:rsidRDefault="004A1F86" w:rsidP="00624EBB">
      <w:pPr>
        <w:ind w:left="851"/>
        <w:rPr>
          <w:sz w:val="24"/>
          <w:szCs w:val="24"/>
          <w:lang w:val="en-US"/>
        </w:rPr>
      </w:pPr>
      <w:bookmarkStart w:id="2" w:name="_Hlk163722008"/>
      <w:r w:rsidRPr="00C311A4">
        <w:rPr>
          <w:sz w:val="24"/>
          <w:szCs w:val="24"/>
          <w:lang w:val="en-US"/>
        </w:rPr>
        <w:t>Hypromellose (type 2910)</w:t>
      </w:r>
    </w:p>
    <w:bookmarkEnd w:id="2"/>
    <w:p w14:paraId="62847DDA" w14:textId="77777777" w:rsidR="004A1F86" w:rsidRPr="00C311A4" w:rsidRDefault="004A1F86" w:rsidP="00624EBB">
      <w:pPr>
        <w:ind w:left="851"/>
        <w:rPr>
          <w:sz w:val="24"/>
          <w:szCs w:val="24"/>
          <w:lang w:val="en-US"/>
        </w:rPr>
      </w:pPr>
      <w:r w:rsidRPr="00C311A4">
        <w:rPr>
          <w:sz w:val="24"/>
          <w:szCs w:val="24"/>
          <w:lang w:val="en-US"/>
        </w:rPr>
        <w:t>Titanium dioxide (E171)</w:t>
      </w:r>
    </w:p>
    <w:p w14:paraId="0FDD04E4" w14:textId="77777777" w:rsidR="004A1F86" w:rsidRPr="00C311A4" w:rsidRDefault="004A1F86" w:rsidP="00624EBB">
      <w:pPr>
        <w:ind w:left="851"/>
        <w:rPr>
          <w:sz w:val="24"/>
          <w:szCs w:val="24"/>
          <w:lang w:val="en-US"/>
        </w:rPr>
      </w:pPr>
      <w:r w:rsidRPr="00C311A4">
        <w:rPr>
          <w:sz w:val="24"/>
          <w:szCs w:val="24"/>
          <w:lang w:val="en-US"/>
        </w:rPr>
        <w:t>Talc</w:t>
      </w:r>
    </w:p>
    <w:p w14:paraId="2D115980" w14:textId="77777777" w:rsidR="004A1F86" w:rsidRPr="00C311A4" w:rsidRDefault="004A1F86" w:rsidP="00624EBB">
      <w:pPr>
        <w:ind w:left="851"/>
        <w:rPr>
          <w:sz w:val="24"/>
          <w:szCs w:val="24"/>
          <w:highlight w:val="yellow"/>
          <w:lang w:val="es-ES"/>
        </w:rPr>
      </w:pPr>
      <w:r w:rsidRPr="00C311A4">
        <w:rPr>
          <w:sz w:val="24"/>
          <w:szCs w:val="24"/>
          <w:lang w:val="es-ES"/>
        </w:rPr>
        <w:t>Propylene</w:t>
      </w:r>
      <w:r w:rsidRPr="00C311A4">
        <w:rPr>
          <w:spacing w:val="-14"/>
          <w:sz w:val="24"/>
          <w:szCs w:val="24"/>
          <w:lang w:val="es-ES"/>
        </w:rPr>
        <w:t xml:space="preserve"> </w:t>
      </w:r>
      <w:r w:rsidRPr="00C311A4">
        <w:rPr>
          <w:sz w:val="24"/>
          <w:szCs w:val="24"/>
          <w:lang w:val="es-ES"/>
        </w:rPr>
        <w:t>glycol</w:t>
      </w:r>
    </w:p>
    <w:p w14:paraId="0DA33F99" w14:textId="77777777" w:rsidR="004A1F86" w:rsidRPr="00C311A4" w:rsidRDefault="004A1F86" w:rsidP="00624EBB">
      <w:pPr>
        <w:ind w:left="851"/>
        <w:rPr>
          <w:sz w:val="24"/>
          <w:szCs w:val="24"/>
          <w:lang w:val="es-ES"/>
        </w:rPr>
      </w:pPr>
      <w:r w:rsidRPr="00C311A4">
        <w:rPr>
          <w:sz w:val="24"/>
          <w:szCs w:val="24"/>
          <w:lang w:val="es-ES"/>
        </w:rPr>
        <w:t>Iron oxide red (E172)</w:t>
      </w:r>
    </w:p>
    <w:p w14:paraId="4ACB779F" w14:textId="77777777" w:rsidR="004A1F86" w:rsidRPr="00C311A4" w:rsidRDefault="004A1F86" w:rsidP="00624EBB">
      <w:pPr>
        <w:ind w:left="851"/>
        <w:rPr>
          <w:sz w:val="24"/>
          <w:szCs w:val="24"/>
          <w:lang w:val="en-US"/>
        </w:rPr>
      </w:pPr>
      <w:r w:rsidRPr="00C311A4">
        <w:rPr>
          <w:sz w:val="24"/>
          <w:szCs w:val="24"/>
          <w:lang w:val="en-US"/>
        </w:rPr>
        <w:t>Iron oxide yellow (E172)</w:t>
      </w:r>
    </w:p>
    <w:p w14:paraId="7AB8DA96" w14:textId="77777777" w:rsidR="004A1F86" w:rsidRPr="00C311A4" w:rsidRDefault="004A1F86" w:rsidP="00624EBB">
      <w:pPr>
        <w:ind w:left="851"/>
        <w:rPr>
          <w:sz w:val="24"/>
          <w:szCs w:val="24"/>
          <w:lang w:val="en-US"/>
        </w:rPr>
      </w:pPr>
    </w:p>
    <w:p w14:paraId="20A6A5CE" w14:textId="794ACF93" w:rsidR="004A1F86" w:rsidRPr="00C877A2" w:rsidRDefault="00C311A4" w:rsidP="00624EBB">
      <w:pPr>
        <w:ind w:left="851"/>
        <w:rPr>
          <w:sz w:val="24"/>
          <w:szCs w:val="24"/>
          <w:highlight w:val="yellow"/>
          <w:u w:val="single"/>
          <w:lang w:val="en-GB"/>
        </w:rPr>
      </w:pPr>
      <w:proofErr w:type="spellStart"/>
      <w:r w:rsidRPr="00C877A2">
        <w:rPr>
          <w:sz w:val="24"/>
          <w:szCs w:val="24"/>
          <w:u w:val="single"/>
          <w:lang w:val="en-US"/>
        </w:rPr>
        <w:t>Nagilma</w:t>
      </w:r>
      <w:proofErr w:type="spellEnd"/>
      <w:r w:rsidR="004A1F86" w:rsidRPr="00C877A2">
        <w:rPr>
          <w:sz w:val="24"/>
          <w:szCs w:val="24"/>
          <w:u w:val="single"/>
          <w:lang w:val="en-US"/>
        </w:rPr>
        <w:t xml:space="preserve"> 2.5 mg/1,000 mg film-coated tablets</w:t>
      </w:r>
    </w:p>
    <w:p w14:paraId="3433864F" w14:textId="77777777" w:rsidR="004A1F86" w:rsidRPr="00C311A4" w:rsidRDefault="004A1F86" w:rsidP="00624EBB">
      <w:pPr>
        <w:ind w:left="851"/>
        <w:rPr>
          <w:i/>
          <w:iCs/>
          <w:sz w:val="24"/>
          <w:szCs w:val="24"/>
          <w:lang w:val="en-US"/>
        </w:rPr>
      </w:pPr>
      <w:r w:rsidRPr="00C311A4">
        <w:rPr>
          <w:i/>
          <w:iCs/>
          <w:sz w:val="24"/>
          <w:szCs w:val="24"/>
          <w:lang w:val="en-US"/>
        </w:rPr>
        <w:t>Film coating</w:t>
      </w:r>
    </w:p>
    <w:p w14:paraId="37B46090" w14:textId="77777777" w:rsidR="004A1F86" w:rsidRPr="00C311A4" w:rsidRDefault="004A1F86" w:rsidP="00624EBB">
      <w:pPr>
        <w:ind w:left="851"/>
        <w:rPr>
          <w:sz w:val="24"/>
          <w:szCs w:val="24"/>
          <w:lang w:val="en-US"/>
        </w:rPr>
      </w:pPr>
      <w:r w:rsidRPr="00C311A4">
        <w:rPr>
          <w:sz w:val="24"/>
          <w:szCs w:val="24"/>
          <w:lang w:val="en-US"/>
        </w:rPr>
        <w:t xml:space="preserve">Hypromellose (type 2910) </w:t>
      </w:r>
    </w:p>
    <w:p w14:paraId="1DE94251" w14:textId="77777777" w:rsidR="004A1F86" w:rsidRPr="00C311A4" w:rsidRDefault="004A1F86" w:rsidP="00624EBB">
      <w:pPr>
        <w:ind w:left="851"/>
        <w:rPr>
          <w:sz w:val="24"/>
          <w:szCs w:val="24"/>
          <w:lang w:val="en-US"/>
        </w:rPr>
      </w:pPr>
      <w:r w:rsidRPr="00C311A4">
        <w:rPr>
          <w:sz w:val="24"/>
          <w:szCs w:val="24"/>
          <w:lang w:val="en-US"/>
        </w:rPr>
        <w:t>Titanium dioxide (E171)</w:t>
      </w:r>
    </w:p>
    <w:p w14:paraId="18A1D447" w14:textId="77777777" w:rsidR="004A1F86" w:rsidRPr="00C311A4" w:rsidRDefault="004A1F86" w:rsidP="00624EBB">
      <w:pPr>
        <w:ind w:left="851"/>
        <w:rPr>
          <w:sz w:val="24"/>
          <w:szCs w:val="24"/>
          <w:lang w:val="en-US"/>
        </w:rPr>
      </w:pPr>
      <w:r w:rsidRPr="00C311A4">
        <w:rPr>
          <w:sz w:val="24"/>
          <w:szCs w:val="24"/>
          <w:lang w:val="en-US"/>
        </w:rPr>
        <w:t>Talc</w:t>
      </w:r>
    </w:p>
    <w:p w14:paraId="135959C6" w14:textId="77777777" w:rsidR="004A1F86" w:rsidRPr="00C311A4" w:rsidRDefault="004A1F86" w:rsidP="00624EBB">
      <w:pPr>
        <w:ind w:left="851"/>
        <w:rPr>
          <w:sz w:val="24"/>
          <w:szCs w:val="24"/>
          <w:highlight w:val="yellow"/>
          <w:lang w:val="es-ES"/>
        </w:rPr>
      </w:pPr>
      <w:r w:rsidRPr="00C311A4">
        <w:rPr>
          <w:sz w:val="24"/>
          <w:szCs w:val="24"/>
          <w:lang w:val="es-ES"/>
        </w:rPr>
        <w:t>Propylene</w:t>
      </w:r>
      <w:r w:rsidRPr="00C311A4">
        <w:rPr>
          <w:spacing w:val="-14"/>
          <w:sz w:val="24"/>
          <w:szCs w:val="24"/>
          <w:lang w:val="es-ES"/>
        </w:rPr>
        <w:t xml:space="preserve"> </w:t>
      </w:r>
      <w:r w:rsidRPr="00C311A4">
        <w:rPr>
          <w:sz w:val="24"/>
          <w:szCs w:val="24"/>
          <w:lang w:val="es-ES"/>
        </w:rPr>
        <w:t>glycol</w:t>
      </w:r>
    </w:p>
    <w:p w14:paraId="65D5BA53" w14:textId="77777777" w:rsidR="004A1F86" w:rsidRPr="00C311A4" w:rsidRDefault="004A1F86" w:rsidP="00624EBB">
      <w:pPr>
        <w:ind w:left="851"/>
        <w:rPr>
          <w:sz w:val="24"/>
          <w:szCs w:val="24"/>
          <w:lang w:val="es-ES"/>
        </w:rPr>
      </w:pPr>
      <w:r w:rsidRPr="00C311A4">
        <w:rPr>
          <w:sz w:val="24"/>
          <w:szCs w:val="24"/>
          <w:lang w:val="es-ES"/>
        </w:rPr>
        <w:t>Iron oxide red (E172)</w:t>
      </w:r>
    </w:p>
    <w:p w14:paraId="4415B036" w14:textId="77777777" w:rsidR="007C5D2A" w:rsidRPr="00C311A4" w:rsidRDefault="007C5D2A" w:rsidP="003D727E">
      <w:pPr>
        <w:tabs>
          <w:tab w:val="left" w:pos="851"/>
        </w:tabs>
        <w:ind w:left="851"/>
        <w:rPr>
          <w:sz w:val="24"/>
          <w:szCs w:val="24"/>
          <w:lang w:val="en-GB"/>
        </w:rPr>
      </w:pPr>
    </w:p>
    <w:p w14:paraId="0F15E5BB" w14:textId="77777777" w:rsidR="007C5D2A" w:rsidRPr="00C311A4" w:rsidRDefault="007C5D2A" w:rsidP="007C5D2A">
      <w:pPr>
        <w:ind w:left="851" w:hanging="851"/>
        <w:rPr>
          <w:b/>
          <w:sz w:val="24"/>
          <w:szCs w:val="24"/>
          <w:lang w:val="en-GB"/>
        </w:rPr>
      </w:pPr>
      <w:r w:rsidRPr="00C311A4">
        <w:rPr>
          <w:b/>
          <w:sz w:val="24"/>
          <w:szCs w:val="24"/>
          <w:lang w:val="en-GB"/>
        </w:rPr>
        <w:t>6.2</w:t>
      </w:r>
      <w:r w:rsidRPr="00C311A4">
        <w:rPr>
          <w:b/>
          <w:sz w:val="24"/>
          <w:szCs w:val="24"/>
          <w:lang w:val="en-GB"/>
        </w:rPr>
        <w:tab/>
        <w:t>Incompatibilities</w:t>
      </w:r>
    </w:p>
    <w:p w14:paraId="2CFA6EDD" w14:textId="77777777" w:rsidR="004A1F86" w:rsidRPr="00C311A4" w:rsidRDefault="004A1F86" w:rsidP="00624EBB">
      <w:pPr>
        <w:ind w:left="851"/>
        <w:rPr>
          <w:sz w:val="24"/>
          <w:szCs w:val="24"/>
          <w:lang w:val="en-US"/>
        </w:rPr>
      </w:pPr>
      <w:r w:rsidRPr="00C311A4">
        <w:rPr>
          <w:sz w:val="24"/>
          <w:szCs w:val="24"/>
          <w:lang w:val="en-US"/>
        </w:rPr>
        <w:t>Not applicable.</w:t>
      </w:r>
    </w:p>
    <w:p w14:paraId="626E8681" w14:textId="77777777" w:rsidR="007C5D2A" w:rsidRPr="00C311A4" w:rsidRDefault="007C5D2A" w:rsidP="003E0341">
      <w:pPr>
        <w:tabs>
          <w:tab w:val="left" w:pos="851"/>
        </w:tabs>
        <w:ind w:left="851"/>
        <w:rPr>
          <w:sz w:val="24"/>
          <w:szCs w:val="24"/>
          <w:lang w:val="en-GB"/>
        </w:rPr>
      </w:pPr>
    </w:p>
    <w:p w14:paraId="452AE671" w14:textId="77777777" w:rsidR="007C5D2A" w:rsidRPr="00C311A4" w:rsidRDefault="007C5D2A" w:rsidP="007C5D2A">
      <w:pPr>
        <w:ind w:left="851" w:hanging="851"/>
        <w:rPr>
          <w:b/>
          <w:sz w:val="24"/>
          <w:szCs w:val="24"/>
          <w:lang w:val="en-GB"/>
        </w:rPr>
      </w:pPr>
      <w:r w:rsidRPr="00C311A4">
        <w:rPr>
          <w:b/>
          <w:sz w:val="24"/>
          <w:szCs w:val="24"/>
          <w:lang w:val="en-GB"/>
        </w:rPr>
        <w:t>6.3</w:t>
      </w:r>
      <w:r w:rsidRPr="00C311A4">
        <w:rPr>
          <w:b/>
          <w:sz w:val="24"/>
          <w:szCs w:val="24"/>
          <w:lang w:val="en-GB"/>
        </w:rPr>
        <w:tab/>
        <w:t>Shelf</w:t>
      </w:r>
      <w:r w:rsidR="00B45DC5" w:rsidRPr="00C311A4">
        <w:rPr>
          <w:b/>
          <w:sz w:val="24"/>
          <w:szCs w:val="24"/>
          <w:lang w:val="en-GB"/>
        </w:rPr>
        <w:t xml:space="preserve"> </w:t>
      </w:r>
      <w:r w:rsidRPr="00C311A4">
        <w:rPr>
          <w:b/>
          <w:sz w:val="24"/>
          <w:szCs w:val="24"/>
          <w:lang w:val="en-GB"/>
        </w:rPr>
        <w:t>life</w:t>
      </w:r>
    </w:p>
    <w:p w14:paraId="2FEC7436" w14:textId="77777777" w:rsidR="004A1F86" w:rsidRPr="00C311A4" w:rsidRDefault="004A1F86" w:rsidP="00624EBB">
      <w:pPr>
        <w:ind w:left="851"/>
        <w:rPr>
          <w:sz w:val="24"/>
          <w:szCs w:val="24"/>
          <w:lang w:val="en-US"/>
        </w:rPr>
      </w:pPr>
      <w:r w:rsidRPr="00C311A4">
        <w:rPr>
          <w:sz w:val="24"/>
          <w:szCs w:val="24"/>
          <w:lang w:val="en-US"/>
        </w:rPr>
        <w:t>15 months</w:t>
      </w:r>
    </w:p>
    <w:p w14:paraId="777A7FFC" w14:textId="77777777" w:rsidR="007C5D2A" w:rsidRPr="00C311A4" w:rsidRDefault="007C5D2A" w:rsidP="003E0341">
      <w:pPr>
        <w:tabs>
          <w:tab w:val="left" w:pos="851"/>
        </w:tabs>
        <w:ind w:left="851"/>
        <w:rPr>
          <w:sz w:val="24"/>
          <w:szCs w:val="24"/>
          <w:lang w:val="en-GB"/>
        </w:rPr>
      </w:pPr>
    </w:p>
    <w:p w14:paraId="318CE57A" w14:textId="77777777" w:rsidR="007C5D2A" w:rsidRPr="00C311A4" w:rsidRDefault="007C5D2A" w:rsidP="007C5D2A">
      <w:pPr>
        <w:ind w:left="851" w:hanging="851"/>
        <w:rPr>
          <w:b/>
          <w:sz w:val="24"/>
          <w:szCs w:val="24"/>
          <w:lang w:val="en-GB"/>
        </w:rPr>
      </w:pPr>
      <w:r w:rsidRPr="00C311A4">
        <w:rPr>
          <w:b/>
          <w:sz w:val="24"/>
          <w:szCs w:val="24"/>
          <w:lang w:val="en-GB"/>
        </w:rPr>
        <w:t>6.4</w:t>
      </w:r>
      <w:r w:rsidRPr="00C311A4">
        <w:rPr>
          <w:b/>
          <w:sz w:val="24"/>
          <w:szCs w:val="24"/>
          <w:lang w:val="en-GB"/>
        </w:rPr>
        <w:tab/>
        <w:t>Special precautions for storage</w:t>
      </w:r>
    </w:p>
    <w:p w14:paraId="72551C6E" w14:textId="77777777" w:rsidR="004A1F86" w:rsidRPr="00C311A4" w:rsidRDefault="004A1F86" w:rsidP="00624EBB">
      <w:pPr>
        <w:ind w:left="851"/>
        <w:rPr>
          <w:sz w:val="24"/>
          <w:szCs w:val="24"/>
          <w:lang w:val="en-US"/>
        </w:rPr>
      </w:pPr>
      <w:r w:rsidRPr="00C311A4">
        <w:rPr>
          <w:sz w:val="24"/>
          <w:szCs w:val="24"/>
          <w:lang w:val="en-US"/>
        </w:rPr>
        <w:t>Store below 30</w:t>
      </w:r>
      <w:r w:rsidRPr="00C311A4">
        <w:rPr>
          <w:sz w:val="24"/>
          <w:szCs w:val="24"/>
        </w:rPr>
        <w:sym w:font="Symbol" w:char="F0B0"/>
      </w:r>
      <w:r w:rsidRPr="00C311A4">
        <w:rPr>
          <w:sz w:val="24"/>
          <w:szCs w:val="24"/>
          <w:lang w:val="en-US"/>
        </w:rPr>
        <w:t>C.</w:t>
      </w:r>
    </w:p>
    <w:p w14:paraId="5A6A3139" w14:textId="77777777" w:rsidR="007C5D2A" w:rsidRPr="00C311A4" w:rsidRDefault="007C5D2A" w:rsidP="003E0341">
      <w:pPr>
        <w:tabs>
          <w:tab w:val="left" w:pos="851"/>
        </w:tabs>
        <w:ind w:left="851"/>
        <w:rPr>
          <w:sz w:val="24"/>
          <w:szCs w:val="24"/>
          <w:lang w:val="en-GB"/>
        </w:rPr>
      </w:pPr>
    </w:p>
    <w:p w14:paraId="36EF3DAF" w14:textId="77777777" w:rsidR="007C5D2A" w:rsidRPr="00C311A4" w:rsidRDefault="007C5D2A" w:rsidP="007C5D2A">
      <w:pPr>
        <w:ind w:left="851" w:hanging="851"/>
        <w:rPr>
          <w:b/>
          <w:sz w:val="24"/>
          <w:szCs w:val="24"/>
          <w:lang w:val="en-GB"/>
        </w:rPr>
      </w:pPr>
      <w:r w:rsidRPr="00C311A4">
        <w:rPr>
          <w:b/>
          <w:sz w:val="24"/>
          <w:szCs w:val="24"/>
          <w:lang w:val="en-GB"/>
        </w:rPr>
        <w:t>6.5</w:t>
      </w:r>
      <w:r w:rsidRPr="00C311A4">
        <w:rPr>
          <w:b/>
          <w:sz w:val="24"/>
          <w:szCs w:val="24"/>
          <w:lang w:val="en-GB"/>
        </w:rPr>
        <w:tab/>
        <w:t>Nature and contents of container</w:t>
      </w:r>
    </w:p>
    <w:p w14:paraId="2578B2AB" w14:textId="7C5DEE4E" w:rsidR="004A1F86" w:rsidRDefault="004A1F86" w:rsidP="00624EBB">
      <w:pPr>
        <w:ind w:left="851"/>
        <w:rPr>
          <w:sz w:val="24"/>
          <w:szCs w:val="24"/>
          <w:lang w:val="en-US"/>
        </w:rPr>
      </w:pPr>
      <w:r w:rsidRPr="00C311A4">
        <w:rPr>
          <w:sz w:val="24"/>
          <w:szCs w:val="24"/>
          <w:lang w:val="en-US"/>
        </w:rPr>
        <w:t>Pack sizes of 10,</w:t>
      </w:r>
      <w:r w:rsidRPr="00C311A4">
        <w:rPr>
          <w:spacing w:val="-1"/>
          <w:sz w:val="24"/>
          <w:szCs w:val="24"/>
          <w:lang w:val="en-US"/>
        </w:rPr>
        <w:t xml:space="preserve"> </w:t>
      </w:r>
      <w:r w:rsidRPr="00C311A4">
        <w:rPr>
          <w:sz w:val="24"/>
          <w:szCs w:val="24"/>
          <w:lang w:val="en-US"/>
        </w:rPr>
        <w:t>14,</w:t>
      </w:r>
      <w:r w:rsidRPr="00C311A4">
        <w:rPr>
          <w:spacing w:val="-1"/>
          <w:sz w:val="24"/>
          <w:szCs w:val="24"/>
          <w:lang w:val="en-US"/>
        </w:rPr>
        <w:t xml:space="preserve"> </w:t>
      </w:r>
      <w:r w:rsidRPr="00C311A4">
        <w:rPr>
          <w:sz w:val="24"/>
          <w:szCs w:val="24"/>
          <w:lang w:val="en-US"/>
        </w:rPr>
        <w:t>28,</w:t>
      </w:r>
      <w:r w:rsidRPr="00C311A4">
        <w:rPr>
          <w:spacing w:val="-2"/>
          <w:sz w:val="24"/>
          <w:szCs w:val="24"/>
          <w:lang w:val="en-US"/>
        </w:rPr>
        <w:t xml:space="preserve"> </w:t>
      </w:r>
      <w:r w:rsidRPr="00C311A4">
        <w:rPr>
          <w:sz w:val="24"/>
          <w:szCs w:val="24"/>
          <w:lang w:val="en-US"/>
        </w:rPr>
        <w:t>30, 56, 60, 84, 90, 98, 100 and 120 film-coated tablets and multipacks containing 120 (2 packs of 60), 180 (2 packs of 90), 180 (3 packs of 60) and 200 (2 packs of 100) film-coated tablets in PVC/PCTFE/PVC // Alu blisters.</w:t>
      </w:r>
    </w:p>
    <w:p w14:paraId="3A8C1049" w14:textId="77777777" w:rsidR="00C877A2" w:rsidRPr="00C311A4" w:rsidRDefault="00C877A2" w:rsidP="00624EBB">
      <w:pPr>
        <w:ind w:left="851"/>
        <w:rPr>
          <w:sz w:val="24"/>
          <w:szCs w:val="24"/>
          <w:lang w:val="en-US"/>
        </w:rPr>
      </w:pPr>
    </w:p>
    <w:p w14:paraId="226B016C" w14:textId="3FBC357C" w:rsidR="004A1F86" w:rsidRPr="00C311A4" w:rsidRDefault="004A1F86" w:rsidP="00624EBB">
      <w:pPr>
        <w:ind w:left="851"/>
        <w:rPr>
          <w:sz w:val="24"/>
          <w:szCs w:val="24"/>
          <w:lang w:val="en-US"/>
        </w:rPr>
      </w:pPr>
      <w:r w:rsidRPr="00C311A4">
        <w:rPr>
          <w:sz w:val="24"/>
          <w:szCs w:val="24"/>
          <w:lang w:val="en-US"/>
        </w:rPr>
        <w:t xml:space="preserve">Pack sizes of 10 </w:t>
      </w:r>
      <w:r w:rsidR="00C877A2">
        <w:rPr>
          <w:sz w:val="24"/>
          <w:szCs w:val="24"/>
          <w:lang w:val="en-US"/>
        </w:rPr>
        <w:t>×</w:t>
      </w:r>
      <w:r w:rsidRPr="00C311A4">
        <w:rPr>
          <w:sz w:val="24"/>
          <w:szCs w:val="24"/>
          <w:lang w:val="en-US"/>
        </w:rPr>
        <w:t xml:space="preserve"> 1, 14 </w:t>
      </w:r>
      <w:r w:rsidR="00C877A2">
        <w:rPr>
          <w:sz w:val="24"/>
          <w:szCs w:val="24"/>
          <w:lang w:val="en-US"/>
        </w:rPr>
        <w:t>×</w:t>
      </w:r>
      <w:r w:rsidRPr="00C311A4">
        <w:rPr>
          <w:sz w:val="24"/>
          <w:szCs w:val="24"/>
          <w:lang w:val="en-US"/>
        </w:rPr>
        <w:t xml:space="preserve"> 1, 28 </w:t>
      </w:r>
      <w:r w:rsidR="00C877A2">
        <w:rPr>
          <w:sz w:val="24"/>
          <w:szCs w:val="24"/>
          <w:lang w:val="en-US"/>
        </w:rPr>
        <w:t>×</w:t>
      </w:r>
      <w:r w:rsidRPr="00C311A4">
        <w:rPr>
          <w:sz w:val="24"/>
          <w:szCs w:val="24"/>
          <w:lang w:val="en-US"/>
        </w:rPr>
        <w:t xml:space="preserve"> 1, 30 </w:t>
      </w:r>
      <w:r w:rsidR="00C877A2">
        <w:rPr>
          <w:sz w:val="24"/>
          <w:szCs w:val="24"/>
          <w:lang w:val="en-US"/>
        </w:rPr>
        <w:t>×</w:t>
      </w:r>
      <w:r w:rsidRPr="00C311A4">
        <w:rPr>
          <w:sz w:val="24"/>
          <w:szCs w:val="24"/>
          <w:lang w:val="en-US"/>
        </w:rPr>
        <w:t xml:space="preserve"> 1, 56 </w:t>
      </w:r>
      <w:r w:rsidR="00C877A2">
        <w:rPr>
          <w:sz w:val="24"/>
          <w:szCs w:val="24"/>
          <w:lang w:val="en-US"/>
        </w:rPr>
        <w:t>×</w:t>
      </w:r>
      <w:r w:rsidRPr="00C311A4">
        <w:rPr>
          <w:sz w:val="24"/>
          <w:szCs w:val="24"/>
          <w:lang w:val="en-US"/>
        </w:rPr>
        <w:t xml:space="preserve"> 1, 60 </w:t>
      </w:r>
      <w:r w:rsidR="00C877A2">
        <w:rPr>
          <w:sz w:val="24"/>
          <w:szCs w:val="24"/>
          <w:lang w:val="en-US"/>
        </w:rPr>
        <w:t>×</w:t>
      </w:r>
      <w:r w:rsidRPr="00C311A4">
        <w:rPr>
          <w:sz w:val="24"/>
          <w:szCs w:val="24"/>
          <w:lang w:val="en-US"/>
        </w:rPr>
        <w:t xml:space="preserve"> 1, 84 </w:t>
      </w:r>
      <w:r w:rsidR="00C877A2">
        <w:rPr>
          <w:sz w:val="24"/>
          <w:szCs w:val="24"/>
          <w:lang w:val="en-US"/>
        </w:rPr>
        <w:t>×</w:t>
      </w:r>
      <w:r w:rsidRPr="00C311A4">
        <w:rPr>
          <w:sz w:val="24"/>
          <w:szCs w:val="24"/>
          <w:lang w:val="en-US"/>
        </w:rPr>
        <w:t xml:space="preserve"> 1, 90 </w:t>
      </w:r>
      <w:r w:rsidR="00C877A2">
        <w:rPr>
          <w:sz w:val="24"/>
          <w:szCs w:val="24"/>
          <w:lang w:val="en-US"/>
        </w:rPr>
        <w:t>×</w:t>
      </w:r>
      <w:r w:rsidRPr="00C311A4">
        <w:rPr>
          <w:sz w:val="24"/>
          <w:szCs w:val="24"/>
          <w:lang w:val="en-US"/>
        </w:rPr>
        <w:t xml:space="preserve"> 1, 98 </w:t>
      </w:r>
      <w:r w:rsidR="00C877A2">
        <w:rPr>
          <w:sz w:val="24"/>
          <w:szCs w:val="24"/>
          <w:lang w:val="en-US"/>
        </w:rPr>
        <w:t>×</w:t>
      </w:r>
      <w:r w:rsidRPr="00C311A4">
        <w:rPr>
          <w:sz w:val="24"/>
          <w:szCs w:val="24"/>
          <w:lang w:val="en-US"/>
        </w:rPr>
        <w:t xml:space="preserve"> 1, 100 </w:t>
      </w:r>
      <w:r w:rsidR="00C877A2">
        <w:rPr>
          <w:sz w:val="24"/>
          <w:szCs w:val="24"/>
          <w:lang w:val="en-US"/>
        </w:rPr>
        <w:t>×</w:t>
      </w:r>
      <w:r w:rsidRPr="00C311A4">
        <w:rPr>
          <w:sz w:val="24"/>
          <w:szCs w:val="24"/>
          <w:lang w:val="en-US"/>
        </w:rPr>
        <w:t xml:space="preserve"> 1 and 120 </w:t>
      </w:r>
      <w:r w:rsidR="00C877A2">
        <w:rPr>
          <w:sz w:val="24"/>
          <w:szCs w:val="24"/>
          <w:lang w:val="en-US"/>
        </w:rPr>
        <w:t>×</w:t>
      </w:r>
      <w:r w:rsidRPr="00C311A4">
        <w:rPr>
          <w:sz w:val="24"/>
          <w:szCs w:val="24"/>
          <w:lang w:val="en-US"/>
        </w:rPr>
        <w:t xml:space="preserve"> 1 film-coated tablets and multipacks containing 120 (2 packs of 60 </w:t>
      </w:r>
      <w:r w:rsidR="00C877A2">
        <w:rPr>
          <w:sz w:val="24"/>
          <w:szCs w:val="24"/>
          <w:lang w:val="en-US"/>
        </w:rPr>
        <w:t>×</w:t>
      </w:r>
      <w:r w:rsidRPr="00C311A4">
        <w:rPr>
          <w:sz w:val="24"/>
          <w:szCs w:val="24"/>
          <w:lang w:val="en-US"/>
        </w:rPr>
        <w:t xml:space="preserve"> 1), 180 (2 packs of 90 </w:t>
      </w:r>
      <w:r w:rsidR="00C877A2">
        <w:rPr>
          <w:sz w:val="24"/>
          <w:szCs w:val="24"/>
          <w:lang w:val="en-US"/>
        </w:rPr>
        <w:t>×</w:t>
      </w:r>
      <w:r w:rsidRPr="00C311A4">
        <w:rPr>
          <w:sz w:val="24"/>
          <w:szCs w:val="24"/>
          <w:lang w:val="en-US"/>
        </w:rPr>
        <w:t xml:space="preserve"> 1), 180 (3 packs of 60 </w:t>
      </w:r>
      <w:r w:rsidR="00C877A2">
        <w:rPr>
          <w:sz w:val="24"/>
          <w:szCs w:val="24"/>
          <w:lang w:val="en-US"/>
        </w:rPr>
        <w:t>×</w:t>
      </w:r>
      <w:r w:rsidRPr="00C311A4">
        <w:rPr>
          <w:sz w:val="24"/>
          <w:szCs w:val="24"/>
          <w:lang w:val="en-US"/>
        </w:rPr>
        <w:t xml:space="preserve"> 1) and 200 (2 packs of 100 </w:t>
      </w:r>
      <w:r w:rsidR="00C877A2">
        <w:rPr>
          <w:sz w:val="24"/>
          <w:szCs w:val="24"/>
          <w:lang w:val="en-US"/>
        </w:rPr>
        <w:t>×</w:t>
      </w:r>
      <w:r w:rsidRPr="00C311A4">
        <w:rPr>
          <w:sz w:val="24"/>
          <w:szCs w:val="24"/>
          <w:lang w:val="en-US"/>
        </w:rPr>
        <w:t xml:space="preserve"> 1) film-coated tablets in PVC/PCTFE/PVC // Alu perforated unit dose blisters.</w:t>
      </w:r>
    </w:p>
    <w:p w14:paraId="7E2241A8" w14:textId="77777777" w:rsidR="004A1F86" w:rsidRPr="00C311A4" w:rsidRDefault="004A1F86" w:rsidP="00624EBB">
      <w:pPr>
        <w:ind w:left="851"/>
        <w:rPr>
          <w:sz w:val="24"/>
          <w:szCs w:val="24"/>
          <w:highlight w:val="yellow"/>
          <w:lang w:val="en-US"/>
        </w:rPr>
      </w:pPr>
    </w:p>
    <w:p w14:paraId="033DB76E" w14:textId="77777777" w:rsidR="004A1F86" w:rsidRPr="00C311A4" w:rsidRDefault="004A1F86" w:rsidP="00624EBB">
      <w:pPr>
        <w:ind w:left="851"/>
        <w:rPr>
          <w:sz w:val="24"/>
          <w:szCs w:val="24"/>
          <w:lang w:val="en-GB"/>
        </w:rPr>
      </w:pPr>
      <w:r w:rsidRPr="00C311A4">
        <w:rPr>
          <w:sz w:val="24"/>
          <w:szCs w:val="24"/>
          <w:lang w:val="en-US"/>
        </w:rPr>
        <w:t>Not all pack sizes may be marketed.</w:t>
      </w:r>
    </w:p>
    <w:p w14:paraId="0B39D216" w14:textId="77777777" w:rsidR="007C5D2A" w:rsidRPr="00C311A4" w:rsidRDefault="007C5D2A" w:rsidP="003E0341">
      <w:pPr>
        <w:tabs>
          <w:tab w:val="left" w:pos="851"/>
        </w:tabs>
        <w:ind w:left="851"/>
        <w:rPr>
          <w:sz w:val="24"/>
          <w:szCs w:val="24"/>
          <w:lang w:val="en-GB"/>
        </w:rPr>
      </w:pPr>
    </w:p>
    <w:p w14:paraId="443D542F" w14:textId="77777777" w:rsidR="007C5D2A" w:rsidRPr="00C311A4" w:rsidRDefault="007C5D2A" w:rsidP="007C5D2A">
      <w:pPr>
        <w:ind w:left="851" w:hanging="851"/>
        <w:rPr>
          <w:b/>
          <w:sz w:val="24"/>
          <w:szCs w:val="24"/>
          <w:lang w:val="en-GB"/>
        </w:rPr>
      </w:pPr>
      <w:r w:rsidRPr="00C311A4">
        <w:rPr>
          <w:b/>
          <w:sz w:val="24"/>
          <w:szCs w:val="24"/>
          <w:lang w:val="en-GB"/>
        </w:rPr>
        <w:lastRenderedPageBreak/>
        <w:t>6.6</w:t>
      </w:r>
      <w:r w:rsidRPr="00C311A4">
        <w:rPr>
          <w:b/>
          <w:sz w:val="24"/>
          <w:szCs w:val="24"/>
          <w:lang w:val="en-GB"/>
        </w:rPr>
        <w:tab/>
        <w:t>Special precautions for disposal and other handling</w:t>
      </w:r>
    </w:p>
    <w:p w14:paraId="3C219460" w14:textId="77777777" w:rsidR="004A1F86" w:rsidRPr="00C311A4" w:rsidRDefault="004A1F86" w:rsidP="00624EBB">
      <w:pPr>
        <w:ind w:left="851"/>
        <w:rPr>
          <w:sz w:val="24"/>
          <w:szCs w:val="24"/>
          <w:lang w:val="en-US"/>
        </w:rPr>
      </w:pPr>
      <w:r w:rsidRPr="00C311A4">
        <w:rPr>
          <w:sz w:val="24"/>
          <w:szCs w:val="24"/>
          <w:lang w:val="en-US"/>
        </w:rPr>
        <w:t>Any unused medicinal product or waste material should be disposed of in accordance with local requirements.</w:t>
      </w:r>
    </w:p>
    <w:p w14:paraId="6B0DFA75" w14:textId="77777777" w:rsidR="007C5D2A" w:rsidRPr="00C311A4" w:rsidRDefault="007C5D2A" w:rsidP="00AB4376">
      <w:pPr>
        <w:tabs>
          <w:tab w:val="left" w:pos="851"/>
        </w:tabs>
        <w:ind w:left="851"/>
        <w:rPr>
          <w:sz w:val="24"/>
          <w:szCs w:val="24"/>
          <w:lang w:val="en-GB"/>
        </w:rPr>
      </w:pPr>
    </w:p>
    <w:p w14:paraId="124E37F1" w14:textId="77777777" w:rsidR="007C5D2A" w:rsidRPr="00C311A4" w:rsidRDefault="007C5D2A" w:rsidP="007C5D2A">
      <w:pPr>
        <w:tabs>
          <w:tab w:val="left" w:pos="851"/>
        </w:tabs>
        <w:ind w:left="851" w:hanging="851"/>
        <w:jc w:val="both"/>
        <w:rPr>
          <w:b/>
          <w:sz w:val="24"/>
          <w:szCs w:val="24"/>
          <w:lang w:val="en-GB"/>
        </w:rPr>
      </w:pPr>
      <w:r w:rsidRPr="00C311A4">
        <w:rPr>
          <w:b/>
          <w:sz w:val="24"/>
          <w:szCs w:val="24"/>
          <w:lang w:val="en-GB"/>
        </w:rPr>
        <w:t>7.</w:t>
      </w:r>
      <w:r w:rsidRPr="00C311A4">
        <w:rPr>
          <w:b/>
          <w:sz w:val="24"/>
          <w:szCs w:val="24"/>
          <w:lang w:val="en-GB"/>
        </w:rPr>
        <w:tab/>
        <w:t>MARKETING AUTHORISATION HOLDER</w:t>
      </w:r>
    </w:p>
    <w:p w14:paraId="5DC4DF82" w14:textId="239828EF" w:rsidR="007C5D2A" w:rsidRPr="00C311A4" w:rsidRDefault="00903F2D" w:rsidP="00A85D26">
      <w:pPr>
        <w:tabs>
          <w:tab w:val="left" w:pos="851"/>
        </w:tabs>
        <w:ind w:left="851"/>
        <w:jc w:val="both"/>
        <w:rPr>
          <w:sz w:val="24"/>
          <w:szCs w:val="24"/>
          <w:lang w:val="en-GB"/>
        </w:rPr>
      </w:pPr>
      <w:r w:rsidRPr="00C311A4">
        <w:rPr>
          <w:sz w:val="24"/>
          <w:szCs w:val="24"/>
          <w:lang w:val="en-GB"/>
        </w:rPr>
        <w:t>Innovis Pharma S.A.</w:t>
      </w:r>
    </w:p>
    <w:p w14:paraId="1F67227B" w14:textId="06E0F97D" w:rsidR="00903F2D" w:rsidRPr="00C311A4" w:rsidRDefault="00903F2D" w:rsidP="00A85D26">
      <w:pPr>
        <w:tabs>
          <w:tab w:val="left" w:pos="851"/>
        </w:tabs>
        <w:ind w:left="851"/>
        <w:jc w:val="both"/>
        <w:rPr>
          <w:sz w:val="24"/>
          <w:szCs w:val="24"/>
          <w:lang w:val="en-GB"/>
        </w:rPr>
      </w:pPr>
      <w:proofErr w:type="spellStart"/>
      <w:r w:rsidRPr="00C311A4">
        <w:rPr>
          <w:sz w:val="24"/>
          <w:szCs w:val="24"/>
          <w:lang w:val="en-GB"/>
        </w:rPr>
        <w:t>Marathonos</w:t>
      </w:r>
      <w:proofErr w:type="spellEnd"/>
      <w:r w:rsidRPr="00C311A4">
        <w:rPr>
          <w:sz w:val="24"/>
          <w:szCs w:val="24"/>
          <w:lang w:val="en-GB"/>
        </w:rPr>
        <w:t xml:space="preserve"> Avenue 144</w:t>
      </w:r>
    </w:p>
    <w:p w14:paraId="7FCFE3F5" w14:textId="34DBDBEA" w:rsidR="00903F2D" w:rsidRPr="00C311A4" w:rsidRDefault="00903F2D" w:rsidP="00A85D26">
      <w:pPr>
        <w:tabs>
          <w:tab w:val="left" w:pos="851"/>
        </w:tabs>
        <w:ind w:left="851"/>
        <w:jc w:val="both"/>
        <w:rPr>
          <w:sz w:val="24"/>
          <w:szCs w:val="24"/>
          <w:lang w:val="en-GB"/>
        </w:rPr>
      </w:pPr>
      <w:r w:rsidRPr="00C311A4">
        <w:rPr>
          <w:sz w:val="24"/>
          <w:szCs w:val="24"/>
          <w:lang w:val="en-GB"/>
        </w:rPr>
        <w:t>153 51, Pallini Attica</w:t>
      </w:r>
    </w:p>
    <w:p w14:paraId="71907ABF" w14:textId="6D13C393" w:rsidR="00903F2D" w:rsidRPr="00C311A4" w:rsidRDefault="00903F2D" w:rsidP="00A85D26">
      <w:pPr>
        <w:tabs>
          <w:tab w:val="left" w:pos="851"/>
        </w:tabs>
        <w:ind w:left="851"/>
        <w:jc w:val="both"/>
        <w:rPr>
          <w:sz w:val="24"/>
          <w:szCs w:val="24"/>
          <w:lang w:val="en-GB"/>
        </w:rPr>
      </w:pPr>
      <w:r w:rsidRPr="00C311A4">
        <w:rPr>
          <w:sz w:val="24"/>
          <w:szCs w:val="24"/>
          <w:lang w:val="en-GB"/>
        </w:rPr>
        <w:t>Greece</w:t>
      </w:r>
    </w:p>
    <w:p w14:paraId="64BF5897" w14:textId="77777777" w:rsidR="007C5D2A" w:rsidRPr="00C311A4" w:rsidRDefault="007C5D2A" w:rsidP="003E0341">
      <w:pPr>
        <w:tabs>
          <w:tab w:val="left" w:pos="851"/>
        </w:tabs>
        <w:ind w:left="851"/>
        <w:jc w:val="both"/>
        <w:rPr>
          <w:sz w:val="24"/>
          <w:szCs w:val="24"/>
          <w:lang w:val="en-GB"/>
        </w:rPr>
      </w:pPr>
    </w:p>
    <w:p w14:paraId="1BB674F2" w14:textId="77777777" w:rsidR="008A24F6" w:rsidRPr="00C311A4" w:rsidRDefault="005A498B" w:rsidP="003E0341">
      <w:pPr>
        <w:tabs>
          <w:tab w:val="left" w:pos="851"/>
        </w:tabs>
        <w:ind w:left="851"/>
        <w:jc w:val="both"/>
        <w:rPr>
          <w:b/>
          <w:sz w:val="24"/>
          <w:szCs w:val="24"/>
          <w:lang w:val="en-GB"/>
        </w:rPr>
      </w:pPr>
      <w:r w:rsidRPr="00C311A4">
        <w:rPr>
          <w:b/>
          <w:sz w:val="24"/>
          <w:szCs w:val="24"/>
          <w:lang w:val="en-GB"/>
        </w:rPr>
        <w:t>Representative</w:t>
      </w:r>
    </w:p>
    <w:p w14:paraId="43D06D5A" w14:textId="0AAFB34D" w:rsidR="008A24F6" w:rsidRPr="00C311A4" w:rsidRDefault="00903F2D" w:rsidP="003E0341">
      <w:pPr>
        <w:tabs>
          <w:tab w:val="left" w:pos="851"/>
        </w:tabs>
        <w:ind w:left="851"/>
        <w:jc w:val="both"/>
        <w:rPr>
          <w:sz w:val="24"/>
          <w:szCs w:val="24"/>
          <w:lang w:val="en-GB"/>
        </w:rPr>
      </w:pPr>
      <w:r w:rsidRPr="00C311A4">
        <w:rPr>
          <w:sz w:val="24"/>
          <w:szCs w:val="24"/>
          <w:lang w:val="en-GB"/>
        </w:rPr>
        <w:t>Innovis Pharma S.A.</w:t>
      </w:r>
    </w:p>
    <w:p w14:paraId="117E3970" w14:textId="7778CA57" w:rsidR="00903F2D" w:rsidRPr="00C311A4" w:rsidRDefault="00903F2D" w:rsidP="003E0341">
      <w:pPr>
        <w:tabs>
          <w:tab w:val="left" w:pos="851"/>
        </w:tabs>
        <w:ind w:left="851"/>
        <w:jc w:val="both"/>
        <w:rPr>
          <w:sz w:val="24"/>
          <w:szCs w:val="24"/>
          <w:lang w:val="en-GB"/>
        </w:rPr>
      </w:pPr>
      <w:r w:rsidRPr="00C311A4">
        <w:rPr>
          <w:sz w:val="24"/>
          <w:szCs w:val="24"/>
          <w:lang w:val="en-GB"/>
        </w:rPr>
        <w:t xml:space="preserve">44 </w:t>
      </w:r>
      <w:proofErr w:type="spellStart"/>
      <w:r w:rsidRPr="00C311A4">
        <w:rPr>
          <w:sz w:val="24"/>
          <w:szCs w:val="24"/>
          <w:lang w:val="en-GB"/>
        </w:rPr>
        <w:t>Kifissias</w:t>
      </w:r>
      <w:proofErr w:type="spellEnd"/>
      <w:r w:rsidRPr="00C311A4">
        <w:rPr>
          <w:sz w:val="24"/>
          <w:szCs w:val="24"/>
          <w:lang w:val="en-GB"/>
        </w:rPr>
        <w:t xml:space="preserve"> Avenue</w:t>
      </w:r>
    </w:p>
    <w:p w14:paraId="6FF75C38" w14:textId="0827183C" w:rsidR="00903F2D" w:rsidRPr="00C311A4" w:rsidRDefault="00903F2D" w:rsidP="003E0341">
      <w:pPr>
        <w:tabs>
          <w:tab w:val="left" w:pos="851"/>
        </w:tabs>
        <w:ind w:left="851"/>
        <w:jc w:val="both"/>
        <w:rPr>
          <w:sz w:val="24"/>
          <w:szCs w:val="24"/>
          <w:lang w:val="en-GB"/>
        </w:rPr>
      </w:pPr>
      <w:r w:rsidRPr="00C311A4">
        <w:rPr>
          <w:sz w:val="24"/>
          <w:szCs w:val="24"/>
          <w:lang w:val="en-GB"/>
        </w:rPr>
        <w:t xml:space="preserve">151 25 </w:t>
      </w:r>
      <w:proofErr w:type="spellStart"/>
      <w:r w:rsidRPr="00C311A4">
        <w:rPr>
          <w:sz w:val="24"/>
          <w:szCs w:val="24"/>
          <w:lang w:val="en-GB"/>
        </w:rPr>
        <w:t>Marousi</w:t>
      </w:r>
      <w:proofErr w:type="spellEnd"/>
      <w:r w:rsidR="00D25497" w:rsidRPr="00C311A4">
        <w:rPr>
          <w:sz w:val="24"/>
          <w:szCs w:val="24"/>
          <w:lang w:val="en-GB"/>
        </w:rPr>
        <w:t xml:space="preserve">, </w:t>
      </w:r>
      <w:proofErr w:type="spellStart"/>
      <w:r w:rsidR="00D25497" w:rsidRPr="00C311A4">
        <w:rPr>
          <w:sz w:val="24"/>
          <w:szCs w:val="24"/>
          <w:lang w:val="en-GB"/>
        </w:rPr>
        <w:t>Attiki</w:t>
      </w:r>
      <w:proofErr w:type="spellEnd"/>
    </w:p>
    <w:p w14:paraId="154D60F2" w14:textId="531AA49D" w:rsidR="00903F2D" w:rsidRPr="00C311A4" w:rsidRDefault="00D25497" w:rsidP="003E0341">
      <w:pPr>
        <w:tabs>
          <w:tab w:val="left" w:pos="851"/>
        </w:tabs>
        <w:ind w:left="851"/>
        <w:jc w:val="both"/>
        <w:rPr>
          <w:sz w:val="24"/>
          <w:szCs w:val="24"/>
          <w:lang w:val="en-GB"/>
        </w:rPr>
      </w:pPr>
      <w:r w:rsidRPr="00C311A4">
        <w:rPr>
          <w:sz w:val="24"/>
          <w:szCs w:val="24"/>
          <w:lang w:val="en-GB"/>
        </w:rPr>
        <w:t>Greece</w:t>
      </w:r>
    </w:p>
    <w:p w14:paraId="4029F9AB" w14:textId="77777777" w:rsidR="00D25497" w:rsidRPr="00C311A4" w:rsidRDefault="00D25497" w:rsidP="003E0341">
      <w:pPr>
        <w:tabs>
          <w:tab w:val="left" w:pos="851"/>
        </w:tabs>
        <w:ind w:left="851"/>
        <w:jc w:val="both"/>
        <w:rPr>
          <w:sz w:val="24"/>
          <w:szCs w:val="24"/>
          <w:lang w:val="en-GB"/>
        </w:rPr>
      </w:pPr>
    </w:p>
    <w:p w14:paraId="2DFFEF29" w14:textId="77777777" w:rsidR="007C5D2A" w:rsidRPr="00C311A4" w:rsidRDefault="007C5D2A" w:rsidP="007C5D2A">
      <w:pPr>
        <w:ind w:left="851" w:hanging="851"/>
        <w:jc w:val="both"/>
        <w:rPr>
          <w:b/>
          <w:sz w:val="24"/>
          <w:szCs w:val="24"/>
          <w:lang w:val="en-GB"/>
        </w:rPr>
      </w:pPr>
      <w:r w:rsidRPr="00C311A4">
        <w:rPr>
          <w:b/>
          <w:sz w:val="24"/>
          <w:szCs w:val="24"/>
          <w:lang w:val="en-GB"/>
        </w:rPr>
        <w:t>8.</w:t>
      </w:r>
      <w:r w:rsidRPr="00C311A4">
        <w:rPr>
          <w:b/>
          <w:sz w:val="24"/>
          <w:szCs w:val="24"/>
          <w:lang w:val="en-GB"/>
        </w:rPr>
        <w:tab/>
        <w:t>MARKETING AUTHORISATION NUMBER(S)</w:t>
      </w:r>
    </w:p>
    <w:p w14:paraId="4E86CD16" w14:textId="656FA7BB" w:rsidR="007C5D2A" w:rsidRPr="00C311A4" w:rsidRDefault="00D25497" w:rsidP="00C877A2">
      <w:pPr>
        <w:tabs>
          <w:tab w:val="left" w:pos="851"/>
          <w:tab w:val="left" w:pos="2410"/>
        </w:tabs>
        <w:ind w:left="851"/>
        <w:jc w:val="both"/>
        <w:rPr>
          <w:sz w:val="24"/>
          <w:szCs w:val="24"/>
          <w:lang w:val="en-GB"/>
        </w:rPr>
      </w:pPr>
      <w:r w:rsidRPr="00C311A4">
        <w:rPr>
          <w:sz w:val="24"/>
          <w:szCs w:val="24"/>
          <w:lang w:val="en-GB"/>
        </w:rPr>
        <w:t xml:space="preserve">2.5/850 mg: </w:t>
      </w:r>
      <w:r w:rsidR="00C877A2">
        <w:rPr>
          <w:sz w:val="24"/>
          <w:szCs w:val="24"/>
          <w:lang w:val="en-GB"/>
        </w:rPr>
        <w:tab/>
      </w:r>
      <w:r w:rsidRPr="00C311A4">
        <w:rPr>
          <w:sz w:val="24"/>
          <w:szCs w:val="24"/>
          <w:lang w:val="en-GB"/>
        </w:rPr>
        <w:t>70066</w:t>
      </w:r>
    </w:p>
    <w:p w14:paraId="6FCEB09E" w14:textId="07829125" w:rsidR="00D25497" w:rsidRPr="00C311A4" w:rsidRDefault="00D25497" w:rsidP="00C877A2">
      <w:pPr>
        <w:tabs>
          <w:tab w:val="left" w:pos="851"/>
          <w:tab w:val="left" w:pos="2410"/>
        </w:tabs>
        <w:ind w:left="851"/>
        <w:jc w:val="both"/>
        <w:rPr>
          <w:sz w:val="24"/>
          <w:szCs w:val="24"/>
          <w:lang w:val="en-GB"/>
        </w:rPr>
      </w:pPr>
      <w:r w:rsidRPr="00C311A4">
        <w:rPr>
          <w:sz w:val="24"/>
          <w:szCs w:val="24"/>
          <w:lang w:val="en-GB"/>
        </w:rPr>
        <w:t xml:space="preserve">2.5/1000 mg: </w:t>
      </w:r>
      <w:r w:rsidR="00C877A2">
        <w:rPr>
          <w:sz w:val="24"/>
          <w:szCs w:val="24"/>
          <w:lang w:val="en-GB"/>
        </w:rPr>
        <w:tab/>
      </w:r>
      <w:r w:rsidRPr="00C311A4">
        <w:rPr>
          <w:sz w:val="24"/>
          <w:szCs w:val="24"/>
          <w:lang w:val="en-GB"/>
        </w:rPr>
        <w:t>70067</w:t>
      </w:r>
    </w:p>
    <w:p w14:paraId="2476B2FD" w14:textId="77777777" w:rsidR="007C5D2A" w:rsidRPr="00C311A4" w:rsidRDefault="007C5D2A" w:rsidP="00180A12">
      <w:pPr>
        <w:tabs>
          <w:tab w:val="left" w:pos="851"/>
        </w:tabs>
        <w:ind w:left="851"/>
        <w:jc w:val="both"/>
        <w:rPr>
          <w:sz w:val="24"/>
          <w:szCs w:val="24"/>
          <w:lang w:val="en-GB"/>
        </w:rPr>
      </w:pPr>
    </w:p>
    <w:p w14:paraId="78BD6042" w14:textId="77777777" w:rsidR="007C5D2A" w:rsidRPr="00C311A4" w:rsidRDefault="007C5D2A" w:rsidP="007C5D2A">
      <w:pPr>
        <w:tabs>
          <w:tab w:val="left" w:pos="851"/>
        </w:tabs>
        <w:jc w:val="both"/>
        <w:rPr>
          <w:sz w:val="24"/>
          <w:szCs w:val="24"/>
          <w:lang w:val="en-GB"/>
        </w:rPr>
      </w:pPr>
      <w:r w:rsidRPr="00C311A4">
        <w:rPr>
          <w:b/>
          <w:sz w:val="24"/>
          <w:szCs w:val="24"/>
          <w:lang w:val="en-GB"/>
        </w:rPr>
        <w:t>9.</w:t>
      </w:r>
      <w:r w:rsidRPr="00C311A4">
        <w:rPr>
          <w:b/>
          <w:sz w:val="24"/>
          <w:szCs w:val="24"/>
          <w:lang w:val="en-GB"/>
        </w:rPr>
        <w:tab/>
        <w:t>DATE OF FIRST AUTHORISATION</w:t>
      </w:r>
    </w:p>
    <w:p w14:paraId="1422C7B4" w14:textId="1D789082" w:rsidR="007C5D2A" w:rsidRPr="00C311A4" w:rsidRDefault="00656FCF" w:rsidP="00A85D26">
      <w:pPr>
        <w:ind w:left="851"/>
        <w:jc w:val="both"/>
        <w:rPr>
          <w:sz w:val="24"/>
          <w:szCs w:val="24"/>
          <w:lang w:val="en-GB"/>
        </w:rPr>
      </w:pPr>
      <w:r>
        <w:rPr>
          <w:sz w:val="24"/>
          <w:szCs w:val="24"/>
          <w:lang w:val="en-GB"/>
        </w:rPr>
        <w:t>11 December 2024</w:t>
      </w:r>
      <w:bookmarkStart w:id="3" w:name="_GoBack"/>
      <w:bookmarkEnd w:id="3"/>
    </w:p>
    <w:p w14:paraId="15540475" w14:textId="77777777" w:rsidR="007C5D2A" w:rsidRPr="00C311A4" w:rsidRDefault="007C5D2A" w:rsidP="003E0341">
      <w:pPr>
        <w:tabs>
          <w:tab w:val="left" w:pos="851"/>
        </w:tabs>
        <w:ind w:left="851"/>
        <w:jc w:val="both"/>
        <w:rPr>
          <w:sz w:val="24"/>
          <w:szCs w:val="24"/>
          <w:lang w:val="en-GB"/>
        </w:rPr>
      </w:pPr>
    </w:p>
    <w:p w14:paraId="533BBB98" w14:textId="77777777" w:rsidR="007C5D2A" w:rsidRPr="00C311A4" w:rsidRDefault="007C5D2A" w:rsidP="007C5D2A">
      <w:pPr>
        <w:tabs>
          <w:tab w:val="left" w:pos="851"/>
        </w:tabs>
        <w:jc w:val="both"/>
        <w:rPr>
          <w:sz w:val="24"/>
          <w:szCs w:val="24"/>
          <w:lang w:val="en-GB"/>
        </w:rPr>
      </w:pPr>
      <w:r w:rsidRPr="00C311A4">
        <w:rPr>
          <w:b/>
          <w:sz w:val="24"/>
          <w:szCs w:val="24"/>
          <w:lang w:val="en-GB"/>
        </w:rPr>
        <w:t>10.</w:t>
      </w:r>
      <w:r w:rsidRPr="00C311A4">
        <w:rPr>
          <w:b/>
          <w:sz w:val="24"/>
          <w:szCs w:val="24"/>
          <w:lang w:val="en-GB"/>
        </w:rPr>
        <w:tab/>
        <w:t>DATE OF REVISION OF THE TEXT</w:t>
      </w:r>
    </w:p>
    <w:p w14:paraId="35988DD0" w14:textId="1F36153B" w:rsidR="007C5D2A" w:rsidRPr="00C311A4" w:rsidRDefault="00D25497" w:rsidP="003E0341">
      <w:pPr>
        <w:tabs>
          <w:tab w:val="left" w:pos="851"/>
        </w:tabs>
        <w:ind w:left="851"/>
        <w:jc w:val="both"/>
        <w:rPr>
          <w:sz w:val="24"/>
          <w:szCs w:val="24"/>
          <w:lang w:val="en-GB"/>
        </w:rPr>
      </w:pPr>
      <w:r w:rsidRPr="00C311A4">
        <w:rPr>
          <w:sz w:val="24"/>
          <w:szCs w:val="24"/>
          <w:lang w:val="en-GB"/>
        </w:rPr>
        <w:t>-</w:t>
      </w:r>
    </w:p>
    <w:sectPr w:rsidR="007C5D2A" w:rsidRPr="00C311A4"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B4F10" w14:textId="77777777" w:rsidR="00903F2D" w:rsidRDefault="00903F2D">
      <w:r>
        <w:separator/>
      </w:r>
    </w:p>
  </w:endnote>
  <w:endnote w:type="continuationSeparator" w:id="0">
    <w:p w14:paraId="30885FC6" w14:textId="77777777" w:rsidR="00903F2D" w:rsidRDefault="0090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IDFont+F3">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93266" w14:textId="77777777" w:rsidR="00903F2D" w:rsidRDefault="00903F2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16FA" w14:textId="77777777" w:rsidR="00903F2D" w:rsidRDefault="00903F2D">
    <w:pPr>
      <w:pStyle w:val="Sidefod"/>
      <w:pBdr>
        <w:bottom w:val="single" w:sz="6" w:space="1" w:color="auto"/>
      </w:pBdr>
    </w:pPr>
  </w:p>
  <w:p w14:paraId="20CF3902" w14:textId="77777777" w:rsidR="00903F2D" w:rsidRDefault="00903F2D">
    <w:pPr>
      <w:pStyle w:val="Sidefod"/>
      <w:tabs>
        <w:tab w:val="clear" w:pos="4819"/>
        <w:tab w:val="left" w:pos="8647"/>
      </w:tabs>
      <w:rPr>
        <w:i/>
        <w:snapToGrid w:val="0"/>
        <w:sz w:val="18"/>
      </w:rPr>
    </w:pPr>
  </w:p>
  <w:p w14:paraId="48CAC071" w14:textId="52AB55F5" w:rsidR="00903F2D" w:rsidRDefault="00903F2D"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656FCF">
      <w:rPr>
        <w:i/>
        <w:noProof/>
        <w:snapToGrid w:val="0"/>
        <w:sz w:val="18"/>
      </w:rPr>
      <w:t>Nagilma, filmovertrukne tabletter 2,5+850 mg og 2,5+1000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5BA7" w14:textId="77777777" w:rsidR="00903F2D" w:rsidRDefault="00903F2D">
    <w:pPr>
      <w:pStyle w:val="Sidefod"/>
      <w:pBdr>
        <w:bottom w:val="single" w:sz="6" w:space="1" w:color="auto"/>
      </w:pBdr>
      <w:tabs>
        <w:tab w:val="clear" w:pos="4819"/>
        <w:tab w:val="left" w:pos="8789"/>
      </w:tabs>
      <w:rPr>
        <w:i/>
        <w:snapToGrid w:val="0"/>
        <w:sz w:val="18"/>
      </w:rPr>
    </w:pPr>
  </w:p>
  <w:p w14:paraId="6760D9DA" w14:textId="77777777" w:rsidR="00903F2D" w:rsidRDefault="00903F2D">
    <w:pPr>
      <w:pStyle w:val="Sidefod"/>
      <w:tabs>
        <w:tab w:val="clear" w:pos="4819"/>
        <w:tab w:val="left" w:pos="8789"/>
      </w:tabs>
      <w:rPr>
        <w:i/>
        <w:snapToGrid w:val="0"/>
        <w:sz w:val="18"/>
      </w:rPr>
    </w:pPr>
  </w:p>
  <w:p w14:paraId="09926547" w14:textId="294837F8" w:rsidR="00903F2D" w:rsidRDefault="00903F2D">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656FCF">
      <w:rPr>
        <w:i/>
        <w:noProof/>
        <w:snapToGrid w:val="0"/>
        <w:sz w:val="18"/>
      </w:rPr>
      <w:t>Nagilma, filmovertrukne tabletter 2,5+850 mg og 2,5+1000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89DD0" w14:textId="77777777" w:rsidR="00903F2D" w:rsidRDefault="00903F2D">
      <w:r>
        <w:separator/>
      </w:r>
    </w:p>
  </w:footnote>
  <w:footnote w:type="continuationSeparator" w:id="0">
    <w:p w14:paraId="38F534E4" w14:textId="77777777" w:rsidR="00903F2D" w:rsidRDefault="00903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6DF56" w14:textId="77777777" w:rsidR="00903F2D" w:rsidRDefault="00903F2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52019" w14:textId="77777777" w:rsidR="00903F2D" w:rsidRDefault="00903F2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424C" w14:textId="77777777" w:rsidR="00903F2D" w:rsidRDefault="00903F2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E8C4FD9"/>
    <w:multiLevelType w:val="hybridMultilevel"/>
    <w:tmpl w:val="356E4C5C"/>
    <w:lvl w:ilvl="0" w:tplc="ED06AA7E">
      <w:start w:val="1"/>
      <w:numFmt w:val="bullet"/>
      <w:lvlText w:val=""/>
      <w:lvlJc w:val="left"/>
      <w:pPr>
        <w:ind w:left="360" w:hanging="360"/>
      </w:pPr>
      <w:rPr>
        <w:rFonts w:ascii="Symbol" w:hAnsi="Symbol" w:hint="default"/>
        <w:w w:val="100"/>
        <w:sz w:val="16"/>
        <w:szCs w:val="16"/>
      </w:rPr>
    </w:lvl>
    <w:lvl w:ilvl="1" w:tplc="51B4E144">
      <w:numFmt w:val="bullet"/>
      <w:lvlText w:val="•"/>
      <w:lvlJc w:val="left"/>
      <w:pPr>
        <w:ind w:left="1492" w:hanging="360"/>
      </w:pPr>
    </w:lvl>
    <w:lvl w:ilvl="2" w:tplc="69405164">
      <w:numFmt w:val="bullet"/>
      <w:lvlText w:val="•"/>
      <w:lvlJc w:val="left"/>
      <w:pPr>
        <w:ind w:left="2405" w:hanging="360"/>
      </w:pPr>
    </w:lvl>
    <w:lvl w:ilvl="3" w:tplc="BA7EF832">
      <w:numFmt w:val="bullet"/>
      <w:lvlText w:val="•"/>
      <w:lvlJc w:val="left"/>
      <w:pPr>
        <w:ind w:left="3317" w:hanging="360"/>
      </w:pPr>
    </w:lvl>
    <w:lvl w:ilvl="4" w:tplc="35FEB7D0">
      <w:numFmt w:val="bullet"/>
      <w:lvlText w:val="•"/>
      <w:lvlJc w:val="left"/>
      <w:pPr>
        <w:ind w:left="4230" w:hanging="360"/>
      </w:pPr>
    </w:lvl>
    <w:lvl w:ilvl="5" w:tplc="1686538A">
      <w:numFmt w:val="bullet"/>
      <w:lvlText w:val="•"/>
      <w:lvlJc w:val="left"/>
      <w:pPr>
        <w:ind w:left="5142" w:hanging="360"/>
      </w:pPr>
    </w:lvl>
    <w:lvl w:ilvl="6" w:tplc="6D023FB8">
      <w:numFmt w:val="bullet"/>
      <w:lvlText w:val="•"/>
      <w:lvlJc w:val="left"/>
      <w:pPr>
        <w:ind w:left="6055" w:hanging="360"/>
      </w:pPr>
    </w:lvl>
    <w:lvl w:ilvl="7" w:tplc="C6B819C2">
      <w:numFmt w:val="bullet"/>
      <w:lvlText w:val="•"/>
      <w:lvlJc w:val="left"/>
      <w:pPr>
        <w:ind w:left="6967" w:hanging="360"/>
      </w:pPr>
    </w:lvl>
    <w:lvl w:ilvl="8" w:tplc="862A5A66">
      <w:numFmt w:val="bullet"/>
      <w:lvlText w:val="•"/>
      <w:lvlJc w:val="left"/>
      <w:pPr>
        <w:ind w:left="7880" w:hanging="36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5A3A58"/>
    <w:multiLevelType w:val="hybridMultilevel"/>
    <w:tmpl w:val="E7C280A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9C05EFE"/>
    <w:multiLevelType w:val="hybridMultilevel"/>
    <w:tmpl w:val="E236ED22"/>
    <w:lvl w:ilvl="0" w:tplc="B722293E">
      <w:start w:val="1"/>
      <w:numFmt w:val="decimal"/>
      <w:lvlText w:val="(%1)"/>
      <w:lvlJc w:val="left"/>
      <w:pPr>
        <w:ind w:left="529" w:hanging="312"/>
      </w:pPr>
      <w:rPr>
        <w:rFonts w:ascii="Times New Roman" w:eastAsia="Times New Roman" w:hAnsi="Times New Roman" w:cs="Times New Roman" w:hint="default"/>
        <w:spacing w:val="-1"/>
        <w:w w:val="100"/>
        <w:sz w:val="22"/>
        <w:szCs w:val="22"/>
      </w:rPr>
    </w:lvl>
    <w:lvl w:ilvl="1" w:tplc="A19EB3B4">
      <w:numFmt w:val="bullet"/>
      <w:lvlText w:val="•"/>
      <w:lvlJc w:val="left"/>
      <w:pPr>
        <w:ind w:left="1438" w:hanging="312"/>
      </w:pPr>
    </w:lvl>
    <w:lvl w:ilvl="2" w:tplc="B8C2606E">
      <w:numFmt w:val="bullet"/>
      <w:lvlText w:val="•"/>
      <w:lvlJc w:val="left"/>
      <w:pPr>
        <w:ind w:left="2357" w:hanging="312"/>
      </w:pPr>
    </w:lvl>
    <w:lvl w:ilvl="3" w:tplc="BCAED616">
      <w:numFmt w:val="bullet"/>
      <w:lvlText w:val="•"/>
      <w:lvlJc w:val="left"/>
      <w:pPr>
        <w:ind w:left="3275" w:hanging="312"/>
      </w:pPr>
    </w:lvl>
    <w:lvl w:ilvl="4" w:tplc="9E2A2264">
      <w:numFmt w:val="bullet"/>
      <w:lvlText w:val="•"/>
      <w:lvlJc w:val="left"/>
      <w:pPr>
        <w:ind w:left="4194" w:hanging="312"/>
      </w:pPr>
    </w:lvl>
    <w:lvl w:ilvl="5" w:tplc="C2326A50">
      <w:numFmt w:val="bullet"/>
      <w:lvlText w:val="•"/>
      <w:lvlJc w:val="left"/>
      <w:pPr>
        <w:ind w:left="5112" w:hanging="312"/>
      </w:pPr>
    </w:lvl>
    <w:lvl w:ilvl="6" w:tplc="E236CF3C">
      <w:numFmt w:val="bullet"/>
      <w:lvlText w:val="•"/>
      <w:lvlJc w:val="left"/>
      <w:pPr>
        <w:ind w:left="6031" w:hanging="312"/>
      </w:pPr>
    </w:lvl>
    <w:lvl w:ilvl="7" w:tplc="DF5AFFDC">
      <w:numFmt w:val="bullet"/>
      <w:lvlText w:val="•"/>
      <w:lvlJc w:val="left"/>
      <w:pPr>
        <w:ind w:left="6949" w:hanging="312"/>
      </w:pPr>
    </w:lvl>
    <w:lvl w:ilvl="8" w:tplc="4800B482">
      <w:numFmt w:val="bullet"/>
      <w:lvlText w:val="•"/>
      <w:lvlJc w:val="left"/>
      <w:pPr>
        <w:ind w:left="7868" w:hanging="312"/>
      </w:pPr>
    </w:lvl>
  </w:abstractNum>
  <w:abstractNum w:abstractNumId="6" w15:restartNumberingAfterBreak="0">
    <w:nsid w:val="52DC02B6"/>
    <w:multiLevelType w:val="hybridMultilevel"/>
    <w:tmpl w:val="4A783F5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616F3D58"/>
    <w:multiLevelType w:val="hybridMultilevel"/>
    <w:tmpl w:val="37C4AB9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6F10796D"/>
    <w:multiLevelType w:val="hybridMultilevel"/>
    <w:tmpl w:val="147EAC1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F9C7177"/>
    <w:multiLevelType w:val="hybridMultilevel"/>
    <w:tmpl w:val="9A6206D2"/>
    <w:lvl w:ilvl="0" w:tplc="128E147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AC36436"/>
    <w:multiLevelType w:val="hybridMultilevel"/>
    <w:tmpl w:val="5F7809EC"/>
    <w:lvl w:ilvl="0" w:tplc="87AC5604">
      <w:start w:val="1"/>
      <w:numFmt w:val="decimal"/>
      <w:lvlText w:val="(%1)"/>
      <w:lvlJc w:val="left"/>
      <w:pPr>
        <w:ind w:left="1571" w:hanging="360"/>
      </w:pPr>
      <w:rPr>
        <w:rFonts w:ascii="Times New Roman" w:hAnsi="Times New Roman" w:hint="default"/>
        <w:sz w:val="22"/>
      </w:r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2" w15:restartNumberingAfterBreak="0">
    <w:nsid w:val="7E670401"/>
    <w:multiLevelType w:val="hybridMultilevel"/>
    <w:tmpl w:val="B74ECFAA"/>
    <w:lvl w:ilvl="0" w:tplc="6938177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
  </w:num>
  <w:num w:numId="5">
    <w:abstractNumId w:val="10"/>
  </w:num>
  <w:num w:numId="6">
    <w:abstractNumId w:val="12"/>
  </w:num>
  <w:num w:numId="7">
    <w:abstractNumId w:val="2"/>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6"/>
  </w:num>
  <w:num w:numId="10">
    <w:abstractNumId w:val="7"/>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48"/>
    <w:rsid w:val="00056601"/>
    <w:rsid w:val="000B0948"/>
    <w:rsid w:val="000C3846"/>
    <w:rsid w:val="000C6218"/>
    <w:rsid w:val="000D3C9D"/>
    <w:rsid w:val="000F0D47"/>
    <w:rsid w:val="001242DE"/>
    <w:rsid w:val="00180A12"/>
    <w:rsid w:val="00214331"/>
    <w:rsid w:val="00214CF4"/>
    <w:rsid w:val="0022428E"/>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1F86"/>
    <w:rsid w:val="004A3BF4"/>
    <w:rsid w:val="004A5DB3"/>
    <w:rsid w:val="004A7CE1"/>
    <w:rsid w:val="005152D9"/>
    <w:rsid w:val="00533AD4"/>
    <w:rsid w:val="00534849"/>
    <w:rsid w:val="00560102"/>
    <w:rsid w:val="00562EA1"/>
    <w:rsid w:val="005A498B"/>
    <w:rsid w:val="00617BB8"/>
    <w:rsid w:val="006207FF"/>
    <w:rsid w:val="00624EBB"/>
    <w:rsid w:val="00656FCF"/>
    <w:rsid w:val="00680052"/>
    <w:rsid w:val="00683267"/>
    <w:rsid w:val="006844E9"/>
    <w:rsid w:val="006B3847"/>
    <w:rsid w:val="00701BA4"/>
    <w:rsid w:val="0075453D"/>
    <w:rsid w:val="007A4CC6"/>
    <w:rsid w:val="007C3623"/>
    <w:rsid w:val="007C5D2A"/>
    <w:rsid w:val="007F1E00"/>
    <w:rsid w:val="00827444"/>
    <w:rsid w:val="008400E3"/>
    <w:rsid w:val="00864538"/>
    <w:rsid w:val="00873B4F"/>
    <w:rsid w:val="008A24F6"/>
    <w:rsid w:val="008E51AE"/>
    <w:rsid w:val="008F2F8C"/>
    <w:rsid w:val="00903F2D"/>
    <w:rsid w:val="00916468"/>
    <w:rsid w:val="009925C9"/>
    <w:rsid w:val="00A179D0"/>
    <w:rsid w:val="00A358A3"/>
    <w:rsid w:val="00A46747"/>
    <w:rsid w:val="00A73714"/>
    <w:rsid w:val="00A80446"/>
    <w:rsid w:val="00A85D26"/>
    <w:rsid w:val="00A9153A"/>
    <w:rsid w:val="00AB4376"/>
    <w:rsid w:val="00AC033C"/>
    <w:rsid w:val="00AC46E4"/>
    <w:rsid w:val="00AD0270"/>
    <w:rsid w:val="00AD2E36"/>
    <w:rsid w:val="00AF1CE8"/>
    <w:rsid w:val="00B45DC5"/>
    <w:rsid w:val="00BD3490"/>
    <w:rsid w:val="00C26226"/>
    <w:rsid w:val="00C311A4"/>
    <w:rsid w:val="00C3571D"/>
    <w:rsid w:val="00C54F0B"/>
    <w:rsid w:val="00C82621"/>
    <w:rsid w:val="00C877A2"/>
    <w:rsid w:val="00CB1423"/>
    <w:rsid w:val="00D02508"/>
    <w:rsid w:val="00D25497"/>
    <w:rsid w:val="00D778CC"/>
    <w:rsid w:val="00D82FE9"/>
    <w:rsid w:val="00D97B77"/>
    <w:rsid w:val="00DB6A85"/>
    <w:rsid w:val="00E06B32"/>
    <w:rsid w:val="00E1290F"/>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7A065"/>
  <w15:chartTrackingRefBased/>
  <w15:docId w15:val="{72CF2C61-7650-473D-8CF4-D1ADF549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4A1F86"/>
    <w:pPr>
      <w:spacing w:before="120" w:after="120"/>
      <w:jc w:val="both"/>
    </w:pPr>
    <w:rPr>
      <w:sz w:val="22"/>
      <w:lang w:val="en-US" w:eastAsia="en-US"/>
    </w:rPr>
  </w:style>
  <w:style w:type="paragraph" w:styleId="Listeafsnit">
    <w:name w:val="List Paragraph"/>
    <w:basedOn w:val="Normal"/>
    <w:uiPriority w:val="1"/>
    <w:qFormat/>
    <w:rsid w:val="004A1F86"/>
    <w:pPr>
      <w:tabs>
        <w:tab w:val="left" w:pos="567"/>
      </w:tabs>
      <w:spacing w:line="260" w:lineRule="exact"/>
      <w:ind w:left="720"/>
      <w:contextualSpacing/>
    </w:pPr>
    <w:rPr>
      <w:sz w:val="22"/>
      <w:lang w:val="en-GB" w:eastAsia="en-US"/>
    </w:rPr>
  </w:style>
  <w:style w:type="character" w:styleId="Hyperlink">
    <w:name w:val="Hyperlink"/>
    <w:semiHidden/>
    <w:unhideWhenUsed/>
    <w:rsid w:val="004A1F86"/>
    <w:rPr>
      <w:color w:val="0000FF"/>
      <w:u w:val="single"/>
    </w:rPr>
  </w:style>
  <w:style w:type="paragraph" w:styleId="Brdtekst">
    <w:name w:val="Body Text"/>
    <w:basedOn w:val="Normal"/>
    <w:link w:val="BrdtekstTegn"/>
    <w:uiPriority w:val="1"/>
    <w:semiHidden/>
    <w:unhideWhenUsed/>
    <w:qFormat/>
    <w:rsid w:val="004A1F86"/>
    <w:rPr>
      <w:i/>
      <w:color w:val="008000"/>
      <w:sz w:val="22"/>
      <w:lang w:val="en-GB" w:eastAsia="en-US"/>
    </w:rPr>
  </w:style>
  <w:style w:type="character" w:customStyle="1" w:styleId="BrdtekstTegn">
    <w:name w:val="Brødtekst Tegn"/>
    <w:basedOn w:val="Standardskrifttypeiafsnit"/>
    <w:link w:val="Brdtekst"/>
    <w:uiPriority w:val="1"/>
    <w:semiHidden/>
    <w:rsid w:val="004A1F86"/>
    <w:rPr>
      <w:i/>
      <w:color w:val="008000"/>
      <w:sz w:val="22"/>
      <w:lang w:val="en-GB" w:eastAsia="en-US"/>
    </w:rPr>
  </w:style>
  <w:style w:type="paragraph" w:customStyle="1" w:styleId="TableParagraph">
    <w:name w:val="Table Paragraph"/>
    <w:basedOn w:val="Normal"/>
    <w:uiPriority w:val="1"/>
    <w:qFormat/>
    <w:rsid w:val="004A1F86"/>
    <w:pPr>
      <w:widowControl w:val="0"/>
      <w:autoSpaceDE w:val="0"/>
      <w:autoSpaceDN w:val="0"/>
      <w:spacing w:before="3"/>
      <w:ind w:left="69"/>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51531">
      <w:bodyDiv w:val="1"/>
      <w:marLeft w:val="0"/>
      <w:marRight w:val="0"/>
      <w:marTop w:val="0"/>
      <w:marBottom w:val="0"/>
      <w:divBdr>
        <w:top w:val="none" w:sz="0" w:space="0" w:color="auto"/>
        <w:left w:val="none" w:sz="0" w:space="0" w:color="auto"/>
        <w:bottom w:val="none" w:sz="0" w:space="0" w:color="auto"/>
        <w:right w:val="none" w:sz="0" w:space="0" w:color="auto"/>
      </w:divBdr>
    </w:div>
    <w:div w:id="419834429">
      <w:bodyDiv w:val="1"/>
      <w:marLeft w:val="0"/>
      <w:marRight w:val="0"/>
      <w:marTop w:val="0"/>
      <w:marBottom w:val="0"/>
      <w:divBdr>
        <w:top w:val="none" w:sz="0" w:space="0" w:color="auto"/>
        <w:left w:val="none" w:sz="0" w:space="0" w:color="auto"/>
        <w:bottom w:val="none" w:sz="0" w:space="0" w:color="auto"/>
        <w:right w:val="none" w:sz="0" w:space="0" w:color="auto"/>
      </w:divBdr>
    </w:div>
    <w:div w:id="591551849">
      <w:bodyDiv w:val="1"/>
      <w:marLeft w:val="0"/>
      <w:marRight w:val="0"/>
      <w:marTop w:val="0"/>
      <w:marBottom w:val="0"/>
      <w:divBdr>
        <w:top w:val="none" w:sz="0" w:space="0" w:color="auto"/>
        <w:left w:val="none" w:sz="0" w:space="0" w:color="auto"/>
        <w:bottom w:val="none" w:sz="0" w:space="0" w:color="auto"/>
        <w:right w:val="none" w:sz="0" w:space="0" w:color="auto"/>
      </w:divBdr>
    </w:div>
    <w:div w:id="698776804">
      <w:bodyDiv w:val="1"/>
      <w:marLeft w:val="0"/>
      <w:marRight w:val="0"/>
      <w:marTop w:val="0"/>
      <w:marBottom w:val="0"/>
      <w:divBdr>
        <w:top w:val="none" w:sz="0" w:space="0" w:color="auto"/>
        <w:left w:val="none" w:sz="0" w:space="0" w:color="auto"/>
        <w:bottom w:val="none" w:sz="0" w:space="0" w:color="auto"/>
        <w:right w:val="none" w:sz="0" w:space="0" w:color="auto"/>
      </w:divBdr>
    </w:div>
    <w:div w:id="723600666">
      <w:bodyDiv w:val="1"/>
      <w:marLeft w:val="0"/>
      <w:marRight w:val="0"/>
      <w:marTop w:val="0"/>
      <w:marBottom w:val="0"/>
      <w:divBdr>
        <w:top w:val="none" w:sz="0" w:space="0" w:color="auto"/>
        <w:left w:val="none" w:sz="0" w:space="0" w:color="auto"/>
        <w:bottom w:val="none" w:sz="0" w:space="0" w:color="auto"/>
        <w:right w:val="none" w:sz="0" w:space="0" w:color="auto"/>
      </w:divBdr>
    </w:div>
    <w:div w:id="777023115">
      <w:bodyDiv w:val="1"/>
      <w:marLeft w:val="0"/>
      <w:marRight w:val="0"/>
      <w:marTop w:val="0"/>
      <w:marBottom w:val="0"/>
      <w:divBdr>
        <w:top w:val="none" w:sz="0" w:space="0" w:color="auto"/>
        <w:left w:val="none" w:sz="0" w:space="0" w:color="auto"/>
        <w:bottom w:val="none" w:sz="0" w:space="0" w:color="auto"/>
        <w:right w:val="none" w:sz="0" w:space="0" w:color="auto"/>
      </w:divBdr>
    </w:div>
    <w:div w:id="777407014">
      <w:bodyDiv w:val="1"/>
      <w:marLeft w:val="0"/>
      <w:marRight w:val="0"/>
      <w:marTop w:val="0"/>
      <w:marBottom w:val="0"/>
      <w:divBdr>
        <w:top w:val="none" w:sz="0" w:space="0" w:color="auto"/>
        <w:left w:val="none" w:sz="0" w:space="0" w:color="auto"/>
        <w:bottom w:val="none" w:sz="0" w:space="0" w:color="auto"/>
        <w:right w:val="none" w:sz="0" w:space="0" w:color="auto"/>
      </w:divBdr>
    </w:div>
    <w:div w:id="840699548">
      <w:bodyDiv w:val="1"/>
      <w:marLeft w:val="0"/>
      <w:marRight w:val="0"/>
      <w:marTop w:val="0"/>
      <w:marBottom w:val="0"/>
      <w:divBdr>
        <w:top w:val="none" w:sz="0" w:space="0" w:color="auto"/>
        <w:left w:val="none" w:sz="0" w:space="0" w:color="auto"/>
        <w:bottom w:val="none" w:sz="0" w:space="0" w:color="auto"/>
        <w:right w:val="none" w:sz="0" w:space="0" w:color="auto"/>
      </w:divBdr>
    </w:div>
    <w:div w:id="936595977">
      <w:bodyDiv w:val="1"/>
      <w:marLeft w:val="0"/>
      <w:marRight w:val="0"/>
      <w:marTop w:val="0"/>
      <w:marBottom w:val="0"/>
      <w:divBdr>
        <w:top w:val="none" w:sz="0" w:space="0" w:color="auto"/>
        <w:left w:val="none" w:sz="0" w:space="0" w:color="auto"/>
        <w:bottom w:val="none" w:sz="0" w:space="0" w:color="auto"/>
        <w:right w:val="none" w:sz="0" w:space="0" w:color="auto"/>
      </w:divBdr>
    </w:div>
    <w:div w:id="1008141141">
      <w:bodyDiv w:val="1"/>
      <w:marLeft w:val="0"/>
      <w:marRight w:val="0"/>
      <w:marTop w:val="0"/>
      <w:marBottom w:val="0"/>
      <w:divBdr>
        <w:top w:val="none" w:sz="0" w:space="0" w:color="auto"/>
        <w:left w:val="none" w:sz="0" w:space="0" w:color="auto"/>
        <w:bottom w:val="none" w:sz="0" w:space="0" w:color="auto"/>
        <w:right w:val="none" w:sz="0" w:space="0" w:color="auto"/>
      </w:divBdr>
    </w:div>
    <w:div w:id="1054354680">
      <w:bodyDiv w:val="1"/>
      <w:marLeft w:val="0"/>
      <w:marRight w:val="0"/>
      <w:marTop w:val="0"/>
      <w:marBottom w:val="0"/>
      <w:divBdr>
        <w:top w:val="none" w:sz="0" w:space="0" w:color="auto"/>
        <w:left w:val="none" w:sz="0" w:space="0" w:color="auto"/>
        <w:bottom w:val="none" w:sz="0" w:space="0" w:color="auto"/>
        <w:right w:val="none" w:sz="0" w:space="0" w:color="auto"/>
      </w:divBdr>
    </w:div>
    <w:div w:id="1406223854">
      <w:bodyDiv w:val="1"/>
      <w:marLeft w:val="0"/>
      <w:marRight w:val="0"/>
      <w:marTop w:val="0"/>
      <w:marBottom w:val="0"/>
      <w:divBdr>
        <w:top w:val="none" w:sz="0" w:space="0" w:color="auto"/>
        <w:left w:val="none" w:sz="0" w:space="0" w:color="auto"/>
        <w:bottom w:val="none" w:sz="0" w:space="0" w:color="auto"/>
        <w:right w:val="none" w:sz="0" w:space="0" w:color="auto"/>
      </w:divBdr>
    </w:div>
    <w:div w:id="1534224574">
      <w:bodyDiv w:val="1"/>
      <w:marLeft w:val="0"/>
      <w:marRight w:val="0"/>
      <w:marTop w:val="0"/>
      <w:marBottom w:val="0"/>
      <w:divBdr>
        <w:top w:val="none" w:sz="0" w:space="0" w:color="auto"/>
        <w:left w:val="none" w:sz="0" w:space="0" w:color="auto"/>
        <w:bottom w:val="none" w:sz="0" w:space="0" w:color="auto"/>
        <w:right w:val="none" w:sz="0" w:space="0" w:color="auto"/>
      </w:divBdr>
    </w:div>
    <w:div w:id="1586449413">
      <w:bodyDiv w:val="1"/>
      <w:marLeft w:val="0"/>
      <w:marRight w:val="0"/>
      <w:marTop w:val="0"/>
      <w:marBottom w:val="0"/>
      <w:divBdr>
        <w:top w:val="none" w:sz="0" w:space="0" w:color="auto"/>
        <w:left w:val="none" w:sz="0" w:space="0" w:color="auto"/>
        <w:bottom w:val="none" w:sz="0" w:space="0" w:color="auto"/>
        <w:right w:val="none" w:sz="0" w:space="0" w:color="auto"/>
      </w:divBdr>
    </w:div>
    <w:div w:id="1589536912">
      <w:bodyDiv w:val="1"/>
      <w:marLeft w:val="0"/>
      <w:marRight w:val="0"/>
      <w:marTop w:val="0"/>
      <w:marBottom w:val="0"/>
      <w:divBdr>
        <w:top w:val="none" w:sz="0" w:space="0" w:color="auto"/>
        <w:left w:val="none" w:sz="0" w:space="0" w:color="auto"/>
        <w:bottom w:val="none" w:sz="0" w:space="0" w:color="auto"/>
        <w:right w:val="none" w:sz="0" w:space="0" w:color="auto"/>
      </w:divBdr>
    </w:div>
    <w:div w:id="1591502785">
      <w:bodyDiv w:val="1"/>
      <w:marLeft w:val="0"/>
      <w:marRight w:val="0"/>
      <w:marTop w:val="0"/>
      <w:marBottom w:val="0"/>
      <w:divBdr>
        <w:top w:val="none" w:sz="0" w:space="0" w:color="auto"/>
        <w:left w:val="none" w:sz="0" w:space="0" w:color="auto"/>
        <w:bottom w:val="none" w:sz="0" w:space="0" w:color="auto"/>
        <w:right w:val="none" w:sz="0" w:space="0" w:color="auto"/>
      </w:divBdr>
    </w:div>
    <w:div w:id="1744987352">
      <w:bodyDiv w:val="1"/>
      <w:marLeft w:val="0"/>
      <w:marRight w:val="0"/>
      <w:marTop w:val="0"/>
      <w:marBottom w:val="0"/>
      <w:divBdr>
        <w:top w:val="none" w:sz="0" w:space="0" w:color="auto"/>
        <w:left w:val="none" w:sz="0" w:space="0" w:color="auto"/>
        <w:bottom w:val="none" w:sz="0" w:space="0" w:color="auto"/>
        <w:right w:val="none" w:sz="0" w:space="0" w:color="auto"/>
      </w:divBdr>
    </w:div>
    <w:div w:id="1757628678">
      <w:bodyDiv w:val="1"/>
      <w:marLeft w:val="0"/>
      <w:marRight w:val="0"/>
      <w:marTop w:val="0"/>
      <w:marBottom w:val="0"/>
      <w:divBdr>
        <w:top w:val="none" w:sz="0" w:space="0" w:color="auto"/>
        <w:left w:val="none" w:sz="0" w:space="0" w:color="auto"/>
        <w:bottom w:val="none" w:sz="0" w:space="0" w:color="auto"/>
        <w:right w:val="none" w:sz="0" w:space="0" w:color="auto"/>
      </w:divBdr>
    </w:div>
    <w:div w:id="1775972747">
      <w:bodyDiv w:val="1"/>
      <w:marLeft w:val="0"/>
      <w:marRight w:val="0"/>
      <w:marTop w:val="0"/>
      <w:marBottom w:val="0"/>
      <w:divBdr>
        <w:top w:val="none" w:sz="0" w:space="0" w:color="auto"/>
        <w:left w:val="none" w:sz="0" w:space="0" w:color="auto"/>
        <w:bottom w:val="none" w:sz="0" w:space="0" w:color="auto"/>
        <w:right w:val="none" w:sz="0" w:space="0" w:color="auto"/>
      </w:divBdr>
    </w:div>
    <w:div w:id="1879124839">
      <w:bodyDiv w:val="1"/>
      <w:marLeft w:val="0"/>
      <w:marRight w:val="0"/>
      <w:marTop w:val="0"/>
      <w:marBottom w:val="0"/>
      <w:divBdr>
        <w:top w:val="none" w:sz="0" w:space="0" w:color="auto"/>
        <w:left w:val="none" w:sz="0" w:space="0" w:color="auto"/>
        <w:bottom w:val="none" w:sz="0" w:space="0" w:color="auto"/>
        <w:right w:val="none" w:sz="0" w:space="0" w:color="auto"/>
      </w:divBdr>
    </w:div>
    <w:div w:id="210063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50</TotalTime>
  <Pages>25</Pages>
  <Words>9293</Words>
  <Characters>53901</Characters>
  <Application>Microsoft Office Word</Application>
  <DocSecurity>0</DocSecurity>
  <Lines>449</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2023080531, MT</dc:description>
  <cp:lastModifiedBy>Gitte Jørgensen</cp:lastModifiedBy>
  <cp:revision>14</cp:revision>
  <cp:lastPrinted>2006-02-24T09:31:00Z</cp:lastPrinted>
  <dcterms:created xsi:type="dcterms:W3CDTF">2024-12-11T09:08:00Z</dcterms:created>
  <dcterms:modified xsi:type="dcterms:W3CDTF">2024-12-11T11:58:00Z</dcterms:modified>
</cp:coreProperties>
</file>