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45972" w14:textId="77777777" w:rsidR="009260DE" w:rsidRPr="00FF6DFA" w:rsidRDefault="0021526C" w:rsidP="009260DE">
      <w:pPr>
        <w:rPr>
          <w:sz w:val="24"/>
          <w:szCs w:val="24"/>
        </w:rPr>
      </w:pPr>
      <w:r w:rsidRPr="00FF6DFA">
        <w:rPr>
          <w:noProof/>
          <w:sz w:val="24"/>
          <w:szCs w:val="24"/>
          <w:lang w:eastAsia="da-DK"/>
        </w:rPr>
        <w:drawing>
          <wp:anchor distT="0" distB="0" distL="114300" distR="114300" simplePos="0" relativeHeight="251658240" behindDoc="0" locked="0" layoutInCell="1" allowOverlap="1" wp14:anchorId="226AD0ED" wp14:editId="76DDE0A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FF6DFA">
        <w:rPr>
          <w:sz w:val="24"/>
          <w:szCs w:val="24"/>
        </w:rPr>
        <w:br w:type="textWrapping" w:clear="all"/>
      </w:r>
    </w:p>
    <w:p w14:paraId="5AF41AD2" w14:textId="7A69A032" w:rsidR="009260DE" w:rsidRPr="00FF6DFA" w:rsidRDefault="009260DE" w:rsidP="009260DE">
      <w:pPr>
        <w:pStyle w:val="Titel"/>
        <w:tabs>
          <w:tab w:val="right" w:pos="9356"/>
        </w:tabs>
        <w:jc w:val="left"/>
        <w:rPr>
          <w:b w:val="0"/>
          <w:szCs w:val="24"/>
          <w:lang w:eastAsia="en-US"/>
        </w:rPr>
      </w:pPr>
      <w:r w:rsidRPr="00FF6DFA">
        <w:rPr>
          <w:b w:val="0"/>
          <w:szCs w:val="24"/>
          <w:lang w:eastAsia="en-US"/>
        </w:rPr>
        <w:tab/>
      </w:r>
      <w:r w:rsidR="00770C89">
        <w:rPr>
          <w:szCs w:val="24"/>
        </w:rPr>
        <w:t>18. december 2025</w:t>
      </w:r>
    </w:p>
    <w:p w14:paraId="61B5D8CE" w14:textId="77777777" w:rsidR="009260DE" w:rsidRPr="00FF6DFA" w:rsidRDefault="009260DE" w:rsidP="009260DE">
      <w:pPr>
        <w:pStyle w:val="Titel"/>
        <w:tabs>
          <w:tab w:val="left" w:pos="8222"/>
        </w:tabs>
        <w:jc w:val="left"/>
        <w:rPr>
          <w:b w:val="0"/>
          <w:szCs w:val="24"/>
        </w:rPr>
      </w:pPr>
    </w:p>
    <w:p w14:paraId="184B53F8" w14:textId="77777777" w:rsidR="009260DE" w:rsidRPr="00FF6DFA" w:rsidRDefault="009260DE" w:rsidP="009260DE">
      <w:pPr>
        <w:pStyle w:val="Titel"/>
        <w:jc w:val="left"/>
        <w:rPr>
          <w:b w:val="0"/>
          <w:szCs w:val="24"/>
        </w:rPr>
      </w:pPr>
    </w:p>
    <w:p w14:paraId="1CE1119C" w14:textId="77777777" w:rsidR="009260DE" w:rsidRPr="00FF6DFA" w:rsidRDefault="009260DE" w:rsidP="009260DE">
      <w:pPr>
        <w:pStyle w:val="Titel"/>
        <w:jc w:val="left"/>
        <w:rPr>
          <w:b w:val="0"/>
          <w:szCs w:val="24"/>
        </w:rPr>
      </w:pPr>
    </w:p>
    <w:p w14:paraId="016D5036" w14:textId="77777777" w:rsidR="009260DE" w:rsidRPr="00FF6DFA" w:rsidRDefault="009260DE" w:rsidP="009260DE">
      <w:pPr>
        <w:jc w:val="center"/>
        <w:rPr>
          <w:b/>
          <w:sz w:val="24"/>
          <w:szCs w:val="24"/>
        </w:rPr>
      </w:pPr>
      <w:r w:rsidRPr="00FF6DFA">
        <w:rPr>
          <w:b/>
          <w:sz w:val="24"/>
          <w:szCs w:val="24"/>
        </w:rPr>
        <w:t>PRODUKTRESUMÉ</w:t>
      </w:r>
    </w:p>
    <w:p w14:paraId="59AAE67B" w14:textId="77777777" w:rsidR="009260DE" w:rsidRPr="00FF6DFA" w:rsidRDefault="009260DE" w:rsidP="009260DE">
      <w:pPr>
        <w:jc w:val="center"/>
        <w:rPr>
          <w:b/>
          <w:sz w:val="24"/>
          <w:szCs w:val="24"/>
        </w:rPr>
      </w:pPr>
    </w:p>
    <w:p w14:paraId="0C58E5BD" w14:textId="77777777" w:rsidR="009260DE" w:rsidRPr="00FF6DFA" w:rsidRDefault="009260DE" w:rsidP="009260DE">
      <w:pPr>
        <w:jc w:val="center"/>
        <w:rPr>
          <w:b/>
          <w:sz w:val="24"/>
          <w:szCs w:val="24"/>
        </w:rPr>
      </w:pPr>
      <w:r w:rsidRPr="00FF6DFA">
        <w:rPr>
          <w:b/>
          <w:sz w:val="24"/>
          <w:szCs w:val="24"/>
        </w:rPr>
        <w:t>for</w:t>
      </w:r>
    </w:p>
    <w:p w14:paraId="49723590" w14:textId="77777777" w:rsidR="000B058C" w:rsidRPr="00FF6DFA" w:rsidRDefault="000B058C" w:rsidP="009260DE">
      <w:pPr>
        <w:jc w:val="center"/>
        <w:rPr>
          <w:b/>
          <w:sz w:val="24"/>
          <w:szCs w:val="24"/>
        </w:rPr>
      </w:pPr>
    </w:p>
    <w:p w14:paraId="3D7DAE1A" w14:textId="26349411" w:rsidR="009260DE" w:rsidRPr="00FF6DFA" w:rsidRDefault="00BE0283" w:rsidP="009260DE">
      <w:pPr>
        <w:jc w:val="center"/>
        <w:rPr>
          <w:b/>
          <w:sz w:val="24"/>
          <w:szCs w:val="24"/>
        </w:rPr>
      </w:pPr>
      <w:proofErr w:type="spellStart"/>
      <w:r w:rsidRPr="00FF6DFA">
        <w:rPr>
          <w:b/>
          <w:sz w:val="24"/>
          <w:szCs w:val="24"/>
        </w:rPr>
        <w:t>Natriumhydrogencarbonat</w:t>
      </w:r>
      <w:proofErr w:type="spellEnd"/>
      <w:r w:rsidRPr="00FF6DFA">
        <w:rPr>
          <w:b/>
          <w:sz w:val="24"/>
          <w:szCs w:val="24"/>
        </w:rPr>
        <w:t xml:space="preserve"> </w:t>
      </w:r>
      <w:r w:rsidR="0004019A">
        <w:rPr>
          <w:b/>
          <w:sz w:val="24"/>
          <w:szCs w:val="24"/>
        </w:rPr>
        <w:t>"</w:t>
      </w:r>
      <w:r w:rsidRPr="00FF6DFA">
        <w:rPr>
          <w:b/>
          <w:sz w:val="24"/>
          <w:szCs w:val="24"/>
        </w:rPr>
        <w:t>PTR Pharma Consulting</w:t>
      </w:r>
      <w:r w:rsidR="0004019A">
        <w:rPr>
          <w:b/>
          <w:sz w:val="24"/>
          <w:szCs w:val="24"/>
        </w:rPr>
        <w:t>"</w:t>
      </w:r>
      <w:r w:rsidRPr="00FF6DFA">
        <w:rPr>
          <w:b/>
          <w:sz w:val="24"/>
          <w:szCs w:val="24"/>
        </w:rPr>
        <w:t>, bløde enterokapsler</w:t>
      </w:r>
    </w:p>
    <w:p w14:paraId="198CFEA7" w14:textId="77777777" w:rsidR="009260DE" w:rsidRPr="00FF6DFA" w:rsidRDefault="009260DE" w:rsidP="009260DE">
      <w:pPr>
        <w:jc w:val="both"/>
        <w:rPr>
          <w:sz w:val="24"/>
          <w:szCs w:val="24"/>
        </w:rPr>
      </w:pPr>
    </w:p>
    <w:p w14:paraId="51121306" w14:textId="77777777" w:rsidR="009260DE" w:rsidRPr="00FF6DFA" w:rsidRDefault="009260DE" w:rsidP="009260DE">
      <w:pPr>
        <w:jc w:val="both"/>
        <w:rPr>
          <w:sz w:val="24"/>
          <w:szCs w:val="24"/>
        </w:rPr>
      </w:pPr>
    </w:p>
    <w:p w14:paraId="3D70BC86" w14:textId="77777777" w:rsidR="009260DE" w:rsidRPr="00FF6DFA" w:rsidRDefault="009260DE" w:rsidP="009260DE">
      <w:pPr>
        <w:tabs>
          <w:tab w:val="left" w:pos="851"/>
        </w:tabs>
        <w:ind w:left="851" w:hanging="851"/>
        <w:rPr>
          <w:b/>
          <w:sz w:val="24"/>
          <w:szCs w:val="24"/>
        </w:rPr>
      </w:pPr>
      <w:r w:rsidRPr="00FF6DFA">
        <w:rPr>
          <w:b/>
          <w:sz w:val="24"/>
          <w:szCs w:val="24"/>
        </w:rPr>
        <w:t>0.</w:t>
      </w:r>
      <w:r w:rsidRPr="00FF6DFA">
        <w:rPr>
          <w:b/>
          <w:sz w:val="24"/>
          <w:szCs w:val="24"/>
        </w:rPr>
        <w:tab/>
        <w:t>D.SP.NR.</w:t>
      </w:r>
    </w:p>
    <w:p w14:paraId="28FD3760" w14:textId="332C379E" w:rsidR="009260DE" w:rsidRPr="00FF6DFA" w:rsidRDefault="00BE0283" w:rsidP="009260DE">
      <w:pPr>
        <w:tabs>
          <w:tab w:val="left" w:pos="851"/>
        </w:tabs>
        <w:ind w:left="851"/>
        <w:rPr>
          <w:sz w:val="24"/>
          <w:szCs w:val="24"/>
        </w:rPr>
      </w:pPr>
      <w:r w:rsidRPr="00FF6DFA">
        <w:rPr>
          <w:sz w:val="24"/>
          <w:szCs w:val="24"/>
        </w:rPr>
        <w:t>33947</w:t>
      </w:r>
    </w:p>
    <w:p w14:paraId="1542176C" w14:textId="77777777" w:rsidR="009260DE" w:rsidRPr="00FF6DFA" w:rsidRDefault="009260DE" w:rsidP="009260DE">
      <w:pPr>
        <w:tabs>
          <w:tab w:val="left" w:pos="851"/>
        </w:tabs>
        <w:ind w:left="851"/>
        <w:rPr>
          <w:sz w:val="24"/>
          <w:szCs w:val="24"/>
        </w:rPr>
      </w:pPr>
    </w:p>
    <w:p w14:paraId="238950E5" w14:textId="77777777" w:rsidR="009260DE" w:rsidRPr="00FF6DFA" w:rsidRDefault="009260DE" w:rsidP="009260DE">
      <w:pPr>
        <w:tabs>
          <w:tab w:val="left" w:pos="851"/>
        </w:tabs>
        <w:ind w:left="851" w:hanging="851"/>
        <w:rPr>
          <w:b/>
          <w:sz w:val="24"/>
          <w:szCs w:val="24"/>
        </w:rPr>
      </w:pPr>
      <w:r w:rsidRPr="00FF6DFA">
        <w:rPr>
          <w:b/>
          <w:sz w:val="24"/>
          <w:szCs w:val="24"/>
        </w:rPr>
        <w:t>1.</w:t>
      </w:r>
      <w:r w:rsidRPr="00FF6DFA">
        <w:rPr>
          <w:b/>
          <w:sz w:val="24"/>
          <w:szCs w:val="24"/>
        </w:rPr>
        <w:tab/>
        <w:t>LÆGEMIDLETS NAVN</w:t>
      </w:r>
    </w:p>
    <w:p w14:paraId="65F11FAE" w14:textId="5F012CEC" w:rsidR="009260DE" w:rsidRPr="00FF6DFA" w:rsidRDefault="00BE0283" w:rsidP="009260DE">
      <w:pPr>
        <w:tabs>
          <w:tab w:val="left" w:pos="851"/>
        </w:tabs>
        <w:ind w:left="851"/>
        <w:rPr>
          <w:sz w:val="24"/>
          <w:szCs w:val="24"/>
        </w:rPr>
      </w:pPr>
      <w:proofErr w:type="spellStart"/>
      <w:r w:rsidRPr="00FF6DFA">
        <w:rPr>
          <w:bCs/>
          <w:sz w:val="24"/>
          <w:szCs w:val="24"/>
        </w:rPr>
        <w:t>Natriumhydrogencarbonat</w:t>
      </w:r>
      <w:proofErr w:type="spellEnd"/>
      <w:r w:rsidRPr="00FF6DFA">
        <w:rPr>
          <w:bCs/>
          <w:sz w:val="24"/>
          <w:szCs w:val="24"/>
        </w:rPr>
        <w:t xml:space="preserve"> </w:t>
      </w:r>
      <w:r w:rsidR="0004019A">
        <w:rPr>
          <w:bCs/>
          <w:sz w:val="24"/>
          <w:szCs w:val="24"/>
        </w:rPr>
        <w:t>"</w:t>
      </w:r>
      <w:r w:rsidRPr="00FF6DFA">
        <w:rPr>
          <w:bCs/>
          <w:sz w:val="24"/>
          <w:szCs w:val="24"/>
        </w:rPr>
        <w:t>PTR Pharma Consulting</w:t>
      </w:r>
      <w:r w:rsidR="0004019A">
        <w:rPr>
          <w:bCs/>
          <w:sz w:val="24"/>
          <w:szCs w:val="24"/>
        </w:rPr>
        <w:t>"</w:t>
      </w:r>
    </w:p>
    <w:p w14:paraId="6E5942C8" w14:textId="77777777" w:rsidR="009260DE" w:rsidRPr="00FF6DFA" w:rsidRDefault="009260DE" w:rsidP="009260DE">
      <w:pPr>
        <w:tabs>
          <w:tab w:val="left" w:pos="851"/>
        </w:tabs>
        <w:ind w:left="851"/>
        <w:rPr>
          <w:sz w:val="24"/>
          <w:szCs w:val="24"/>
        </w:rPr>
      </w:pPr>
    </w:p>
    <w:p w14:paraId="7163D40F" w14:textId="77777777" w:rsidR="009260DE" w:rsidRPr="00FF6DFA" w:rsidRDefault="009260DE" w:rsidP="009260DE">
      <w:pPr>
        <w:tabs>
          <w:tab w:val="left" w:pos="851"/>
        </w:tabs>
        <w:ind w:left="851" w:hanging="851"/>
        <w:rPr>
          <w:b/>
          <w:sz w:val="24"/>
          <w:szCs w:val="24"/>
        </w:rPr>
      </w:pPr>
      <w:r w:rsidRPr="00FF6DFA">
        <w:rPr>
          <w:b/>
          <w:sz w:val="24"/>
          <w:szCs w:val="24"/>
        </w:rPr>
        <w:t>2.</w:t>
      </w:r>
      <w:r w:rsidRPr="00FF6DFA">
        <w:rPr>
          <w:b/>
          <w:sz w:val="24"/>
          <w:szCs w:val="24"/>
        </w:rPr>
        <w:tab/>
        <w:t>KVALITATIV OG KVANTITATIV SAMMENSÆTNING</w:t>
      </w:r>
    </w:p>
    <w:p w14:paraId="4565EE46" w14:textId="77777777" w:rsidR="003D1C90" w:rsidRPr="00FF6DFA" w:rsidRDefault="003D1C90" w:rsidP="00D833DD">
      <w:pPr>
        <w:ind w:left="851"/>
        <w:rPr>
          <w:sz w:val="24"/>
          <w:szCs w:val="24"/>
        </w:rPr>
      </w:pPr>
      <w:r w:rsidRPr="00FF6DFA">
        <w:rPr>
          <w:sz w:val="24"/>
          <w:szCs w:val="24"/>
        </w:rPr>
        <w:t xml:space="preserve">Hver kapsel indeholder 500 mg </w:t>
      </w:r>
      <w:proofErr w:type="spellStart"/>
      <w:r w:rsidRPr="00FF6DFA">
        <w:rPr>
          <w:sz w:val="24"/>
          <w:szCs w:val="24"/>
        </w:rPr>
        <w:t>natriumhydrogencarbonat</w:t>
      </w:r>
      <w:proofErr w:type="spellEnd"/>
      <w:r w:rsidRPr="00FF6DFA">
        <w:rPr>
          <w:sz w:val="24"/>
          <w:szCs w:val="24"/>
        </w:rPr>
        <w:t>.</w:t>
      </w:r>
    </w:p>
    <w:p w14:paraId="7272C7A5" w14:textId="77777777" w:rsidR="003D1C90" w:rsidRPr="00FF6DFA" w:rsidRDefault="003D1C90" w:rsidP="00D833DD">
      <w:pPr>
        <w:ind w:left="851"/>
        <w:rPr>
          <w:sz w:val="24"/>
          <w:szCs w:val="24"/>
        </w:rPr>
      </w:pPr>
    </w:p>
    <w:p w14:paraId="38620B70" w14:textId="77777777" w:rsidR="003D1C90" w:rsidRPr="00FF6DFA" w:rsidRDefault="003D1C90" w:rsidP="00D833DD">
      <w:pPr>
        <w:ind w:left="851"/>
        <w:rPr>
          <w:sz w:val="24"/>
          <w:szCs w:val="24"/>
          <w:u w:val="single"/>
        </w:rPr>
      </w:pPr>
      <w:r w:rsidRPr="00FF6DFA">
        <w:rPr>
          <w:sz w:val="24"/>
          <w:szCs w:val="24"/>
          <w:u w:val="single"/>
        </w:rPr>
        <w:t xml:space="preserve">Hjælpestoffer, som behandleren skal være opmærksom på: </w:t>
      </w:r>
    </w:p>
    <w:p w14:paraId="245DA354" w14:textId="77777777" w:rsidR="003D1C90" w:rsidRPr="00FF6DFA" w:rsidRDefault="003D1C90" w:rsidP="00D833DD">
      <w:pPr>
        <w:ind w:left="851"/>
        <w:rPr>
          <w:sz w:val="24"/>
          <w:szCs w:val="24"/>
        </w:rPr>
      </w:pPr>
      <w:r w:rsidRPr="00FF6DFA">
        <w:rPr>
          <w:sz w:val="24"/>
          <w:szCs w:val="24"/>
        </w:rPr>
        <w:t>Sorbitol og sojaolie.</w:t>
      </w:r>
    </w:p>
    <w:p w14:paraId="374F869D" w14:textId="77777777" w:rsidR="003D1C90" w:rsidRPr="00FF6DFA" w:rsidRDefault="003D1C90" w:rsidP="00D833DD">
      <w:pPr>
        <w:ind w:left="851"/>
        <w:rPr>
          <w:sz w:val="24"/>
          <w:szCs w:val="24"/>
        </w:rPr>
      </w:pPr>
      <w:r w:rsidRPr="00FF6DFA">
        <w:rPr>
          <w:sz w:val="24"/>
          <w:szCs w:val="24"/>
        </w:rPr>
        <w:t>Hver kapsel indeholder 50 mg sorbitol og 15 mg sojaolie.</w:t>
      </w:r>
    </w:p>
    <w:p w14:paraId="00EBF840" w14:textId="77777777" w:rsidR="003D1C90" w:rsidRPr="00FF6DFA" w:rsidRDefault="003D1C90" w:rsidP="00D833DD">
      <w:pPr>
        <w:ind w:left="851"/>
        <w:rPr>
          <w:sz w:val="24"/>
          <w:szCs w:val="24"/>
        </w:rPr>
      </w:pPr>
    </w:p>
    <w:p w14:paraId="779F601A" w14:textId="77777777" w:rsidR="003D1C90" w:rsidRPr="00FF6DFA" w:rsidRDefault="003D1C90" w:rsidP="00D833DD">
      <w:pPr>
        <w:ind w:left="851"/>
        <w:rPr>
          <w:sz w:val="24"/>
          <w:szCs w:val="24"/>
        </w:rPr>
      </w:pPr>
      <w:r w:rsidRPr="00FF6DFA">
        <w:rPr>
          <w:sz w:val="24"/>
          <w:szCs w:val="24"/>
        </w:rPr>
        <w:t>Alle hjælpestoffer er anført under pkt. 6.1.</w:t>
      </w:r>
    </w:p>
    <w:p w14:paraId="1AB2A6A0" w14:textId="77777777" w:rsidR="009260DE" w:rsidRPr="00FF6DFA" w:rsidRDefault="009260DE" w:rsidP="009260DE">
      <w:pPr>
        <w:tabs>
          <w:tab w:val="left" w:pos="851"/>
        </w:tabs>
        <w:ind w:left="851"/>
        <w:rPr>
          <w:sz w:val="24"/>
          <w:szCs w:val="24"/>
        </w:rPr>
      </w:pPr>
    </w:p>
    <w:p w14:paraId="52AEF66E" w14:textId="77777777" w:rsidR="009260DE" w:rsidRPr="00FF6DFA" w:rsidRDefault="009260DE" w:rsidP="009260DE">
      <w:pPr>
        <w:tabs>
          <w:tab w:val="left" w:pos="851"/>
        </w:tabs>
        <w:ind w:left="851" w:hanging="851"/>
        <w:rPr>
          <w:b/>
          <w:sz w:val="24"/>
          <w:szCs w:val="24"/>
        </w:rPr>
      </w:pPr>
      <w:r w:rsidRPr="00FF6DFA">
        <w:rPr>
          <w:b/>
          <w:sz w:val="24"/>
          <w:szCs w:val="24"/>
        </w:rPr>
        <w:t>3.</w:t>
      </w:r>
      <w:r w:rsidRPr="00FF6DFA">
        <w:rPr>
          <w:b/>
          <w:sz w:val="24"/>
          <w:szCs w:val="24"/>
        </w:rPr>
        <w:tab/>
        <w:t>LÆGEMIDDELFORM</w:t>
      </w:r>
    </w:p>
    <w:p w14:paraId="0AA88C34" w14:textId="7069D536" w:rsidR="003D1C90" w:rsidRPr="00FF6DFA" w:rsidRDefault="00FF6DFA" w:rsidP="00D833DD">
      <w:pPr>
        <w:ind w:left="851"/>
        <w:rPr>
          <w:sz w:val="24"/>
          <w:szCs w:val="24"/>
        </w:rPr>
      </w:pPr>
      <w:r>
        <w:rPr>
          <w:sz w:val="24"/>
          <w:szCs w:val="24"/>
        </w:rPr>
        <w:t>Bløde e</w:t>
      </w:r>
      <w:r w:rsidR="003D1C90" w:rsidRPr="00FF6DFA">
        <w:rPr>
          <w:sz w:val="24"/>
          <w:szCs w:val="24"/>
        </w:rPr>
        <w:t>nterokapsler</w:t>
      </w:r>
    </w:p>
    <w:p w14:paraId="7F175857" w14:textId="77777777" w:rsidR="003D1C90" w:rsidRPr="00FF6DFA" w:rsidRDefault="003D1C90" w:rsidP="00D833DD">
      <w:pPr>
        <w:ind w:left="851"/>
        <w:rPr>
          <w:sz w:val="24"/>
          <w:szCs w:val="24"/>
        </w:rPr>
      </w:pPr>
      <w:r w:rsidRPr="00FF6DFA">
        <w:rPr>
          <w:sz w:val="24"/>
          <w:szCs w:val="24"/>
        </w:rPr>
        <w:t xml:space="preserve">Uigennemsigtig, rødbrun og hvid, aflang, oval, blød </w:t>
      </w:r>
      <w:proofErr w:type="spellStart"/>
      <w:r w:rsidRPr="00FF6DFA">
        <w:rPr>
          <w:sz w:val="24"/>
          <w:szCs w:val="24"/>
        </w:rPr>
        <w:t>enterokapsel</w:t>
      </w:r>
      <w:proofErr w:type="spellEnd"/>
      <w:r w:rsidRPr="00FF6DFA">
        <w:rPr>
          <w:sz w:val="24"/>
          <w:szCs w:val="24"/>
        </w:rPr>
        <w:t>, med en størrelse på ca. 22 mm (længde) og 7,8 mm (diameter).</w:t>
      </w:r>
    </w:p>
    <w:p w14:paraId="1D30BD8B" w14:textId="13464A99" w:rsidR="009260DE" w:rsidRPr="00FF6DFA" w:rsidRDefault="009260DE" w:rsidP="009260DE">
      <w:pPr>
        <w:tabs>
          <w:tab w:val="left" w:pos="851"/>
        </w:tabs>
        <w:ind w:left="851"/>
        <w:rPr>
          <w:sz w:val="24"/>
          <w:szCs w:val="24"/>
        </w:rPr>
      </w:pPr>
    </w:p>
    <w:p w14:paraId="5C84D79E" w14:textId="77777777" w:rsidR="009260DE" w:rsidRPr="00FF6DFA" w:rsidRDefault="009260DE" w:rsidP="009260DE">
      <w:pPr>
        <w:tabs>
          <w:tab w:val="left" w:pos="851"/>
        </w:tabs>
        <w:ind w:left="851"/>
        <w:rPr>
          <w:sz w:val="24"/>
          <w:szCs w:val="24"/>
        </w:rPr>
      </w:pPr>
    </w:p>
    <w:p w14:paraId="6F50A109" w14:textId="77777777" w:rsidR="009260DE" w:rsidRPr="00FF6DFA" w:rsidRDefault="009260DE" w:rsidP="009260DE">
      <w:pPr>
        <w:tabs>
          <w:tab w:val="left" w:pos="851"/>
        </w:tabs>
        <w:ind w:left="851" w:hanging="851"/>
        <w:rPr>
          <w:b/>
          <w:sz w:val="24"/>
          <w:szCs w:val="24"/>
        </w:rPr>
      </w:pPr>
      <w:r w:rsidRPr="00FF6DFA">
        <w:rPr>
          <w:b/>
          <w:sz w:val="24"/>
          <w:szCs w:val="24"/>
        </w:rPr>
        <w:t>4.</w:t>
      </w:r>
      <w:r w:rsidRPr="00FF6DFA">
        <w:rPr>
          <w:b/>
          <w:sz w:val="24"/>
          <w:szCs w:val="24"/>
        </w:rPr>
        <w:tab/>
        <w:t>KLINISKE OPLYSNINGER</w:t>
      </w:r>
    </w:p>
    <w:p w14:paraId="033ED1E8" w14:textId="77777777" w:rsidR="009260DE" w:rsidRPr="00FF6DFA" w:rsidRDefault="009260DE" w:rsidP="009260DE">
      <w:pPr>
        <w:tabs>
          <w:tab w:val="left" w:pos="851"/>
        </w:tabs>
        <w:ind w:left="851"/>
        <w:rPr>
          <w:b/>
          <w:sz w:val="24"/>
          <w:szCs w:val="24"/>
        </w:rPr>
      </w:pPr>
    </w:p>
    <w:p w14:paraId="1C0759AC" w14:textId="77777777" w:rsidR="009260DE" w:rsidRPr="00FF6DFA" w:rsidRDefault="009260DE" w:rsidP="009260DE">
      <w:pPr>
        <w:tabs>
          <w:tab w:val="left" w:pos="851"/>
        </w:tabs>
        <w:ind w:left="851" w:hanging="851"/>
        <w:rPr>
          <w:b/>
          <w:sz w:val="24"/>
          <w:szCs w:val="24"/>
          <w:u w:val="single"/>
        </w:rPr>
      </w:pPr>
      <w:r w:rsidRPr="00FF6DFA">
        <w:rPr>
          <w:b/>
          <w:sz w:val="24"/>
          <w:szCs w:val="24"/>
        </w:rPr>
        <w:t>4.1</w:t>
      </w:r>
      <w:r w:rsidRPr="00FF6DFA">
        <w:rPr>
          <w:b/>
          <w:sz w:val="24"/>
          <w:szCs w:val="24"/>
        </w:rPr>
        <w:tab/>
        <w:t>Terapeutiske indikationer</w:t>
      </w:r>
    </w:p>
    <w:p w14:paraId="1D153F82" w14:textId="77777777" w:rsidR="003D1C90" w:rsidRPr="00FF6DFA" w:rsidRDefault="003D1C90" w:rsidP="00D833DD">
      <w:pPr>
        <w:ind w:left="851"/>
        <w:rPr>
          <w:sz w:val="24"/>
          <w:szCs w:val="24"/>
        </w:rPr>
      </w:pPr>
      <w:r w:rsidRPr="00FF6DFA">
        <w:rPr>
          <w:sz w:val="24"/>
          <w:szCs w:val="24"/>
        </w:rPr>
        <w:t xml:space="preserve">Behandling at metabolisk </w:t>
      </w:r>
      <w:proofErr w:type="spellStart"/>
      <w:r w:rsidRPr="00FF6DFA">
        <w:rPr>
          <w:sz w:val="24"/>
          <w:szCs w:val="24"/>
        </w:rPr>
        <w:t>acidose</w:t>
      </w:r>
      <w:proofErr w:type="spellEnd"/>
      <w:r w:rsidRPr="00FF6DFA">
        <w:rPr>
          <w:sz w:val="24"/>
          <w:szCs w:val="24"/>
        </w:rPr>
        <w:t xml:space="preserve"> og vedligeholdelsesbehandling mod tilbagevendende metabolisk </w:t>
      </w:r>
      <w:proofErr w:type="spellStart"/>
      <w:r w:rsidRPr="00FF6DFA">
        <w:rPr>
          <w:sz w:val="24"/>
          <w:szCs w:val="24"/>
        </w:rPr>
        <w:t>acidose</w:t>
      </w:r>
      <w:proofErr w:type="spellEnd"/>
      <w:r w:rsidRPr="00FF6DFA">
        <w:rPr>
          <w:sz w:val="24"/>
          <w:szCs w:val="24"/>
        </w:rPr>
        <w:t xml:space="preserve"> hos voksne patienter med kronisk nedsat nyrefunktion.</w:t>
      </w:r>
    </w:p>
    <w:p w14:paraId="030EC262" w14:textId="77777777" w:rsidR="009260DE" w:rsidRPr="00FF6DFA" w:rsidRDefault="009260DE" w:rsidP="009260DE">
      <w:pPr>
        <w:tabs>
          <w:tab w:val="left" w:pos="851"/>
        </w:tabs>
        <w:ind w:left="851"/>
        <w:rPr>
          <w:sz w:val="24"/>
          <w:szCs w:val="24"/>
        </w:rPr>
      </w:pPr>
    </w:p>
    <w:p w14:paraId="6843DDAD" w14:textId="77777777" w:rsidR="009260DE" w:rsidRPr="00FF6DFA" w:rsidRDefault="009260DE" w:rsidP="009260DE">
      <w:pPr>
        <w:tabs>
          <w:tab w:val="left" w:pos="851"/>
        </w:tabs>
        <w:ind w:left="851" w:hanging="851"/>
        <w:rPr>
          <w:b/>
          <w:sz w:val="24"/>
          <w:szCs w:val="24"/>
        </w:rPr>
      </w:pPr>
      <w:r w:rsidRPr="00FF6DFA">
        <w:rPr>
          <w:b/>
          <w:sz w:val="24"/>
          <w:szCs w:val="24"/>
        </w:rPr>
        <w:t>4.2</w:t>
      </w:r>
      <w:r w:rsidRPr="00FF6DFA">
        <w:rPr>
          <w:b/>
          <w:sz w:val="24"/>
          <w:szCs w:val="24"/>
        </w:rPr>
        <w:tab/>
        <w:t xml:space="preserve">Dosering og </w:t>
      </w:r>
      <w:r w:rsidR="002C1EC0" w:rsidRPr="00FF6DFA">
        <w:rPr>
          <w:b/>
          <w:sz w:val="24"/>
          <w:szCs w:val="24"/>
        </w:rPr>
        <w:t>administration</w:t>
      </w:r>
    </w:p>
    <w:p w14:paraId="628AAE31" w14:textId="77777777" w:rsidR="00FF6DFA" w:rsidRDefault="00FF6DFA" w:rsidP="00D833DD">
      <w:pPr>
        <w:ind w:left="851"/>
        <w:rPr>
          <w:sz w:val="24"/>
          <w:szCs w:val="24"/>
          <w:u w:val="single"/>
        </w:rPr>
      </w:pPr>
    </w:p>
    <w:p w14:paraId="702DB500" w14:textId="272571C7" w:rsidR="003D1C90" w:rsidRPr="00FF6DFA" w:rsidRDefault="003D1C90" w:rsidP="00D833DD">
      <w:pPr>
        <w:ind w:left="851"/>
        <w:rPr>
          <w:sz w:val="24"/>
          <w:szCs w:val="24"/>
          <w:u w:val="single"/>
        </w:rPr>
      </w:pPr>
      <w:r w:rsidRPr="00FF6DFA">
        <w:rPr>
          <w:sz w:val="24"/>
          <w:szCs w:val="24"/>
          <w:u w:val="single"/>
        </w:rPr>
        <w:t>Dosering</w:t>
      </w:r>
    </w:p>
    <w:p w14:paraId="2485C52D" w14:textId="77777777" w:rsidR="003D1C90" w:rsidRPr="00FF6DFA" w:rsidRDefault="003D1C90" w:rsidP="00D833DD">
      <w:pPr>
        <w:ind w:left="851"/>
        <w:rPr>
          <w:sz w:val="24"/>
          <w:szCs w:val="24"/>
        </w:rPr>
      </w:pPr>
      <w:r w:rsidRPr="00FF6DFA">
        <w:rPr>
          <w:sz w:val="24"/>
          <w:szCs w:val="24"/>
        </w:rPr>
        <w:t xml:space="preserve">Dosis afhænger af sværhedsgraden af metabolisk </w:t>
      </w:r>
      <w:proofErr w:type="spellStart"/>
      <w:r w:rsidRPr="00FF6DFA">
        <w:rPr>
          <w:sz w:val="24"/>
          <w:szCs w:val="24"/>
        </w:rPr>
        <w:t>acidose</w:t>
      </w:r>
      <w:proofErr w:type="spellEnd"/>
      <w:r w:rsidRPr="00FF6DFA">
        <w:rPr>
          <w:sz w:val="24"/>
          <w:szCs w:val="24"/>
        </w:rPr>
        <w:t>, baseret på resultaterne af blodgas-analyse eller bestemmelse af serum-</w:t>
      </w:r>
      <w:proofErr w:type="spellStart"/>
      <w:r w:rsidRPr="00FF6DFA">
        <w:rPr>
          <w:sz w:val="24"/>
          <w:szCs w:val="24"/>
        </w:rPr>
        <w:t>bicarbonat</w:t>
      </w:r>
      <w:proofErr w:type="spellEnd"/>
      <w:r w:rsidRPr="00FF6DFA">
        <w:rPr>
          <w:sz w:val="24"/>
          <w:szCs w:val="24"/>
        </w:rPr>
        <w:t>.</w:t>
      </w:r>
    </w:p>
    <w:p w14:paraId="3AEA12B5" w14:textId="77777777" w:rsidR="003D1C90" w:rsidRPr="00FF6DFA" w:rsidRDefault="003D1C90" w:rsidP="00D833DD">
      <w:pPr>
        <w:ind w:left="851"/>
        <w:rPr>
          <w:sz w:val="24"/>
          <w:szCs w:val="24"/>
        </w:rPr>
      </w:pPr>
      <w:r w:rsidRPr="00FF6DFA">
        <w:rPr>
          <w:sz w:val="24"/>
          <w:szCs w:val="24"/>
        </w:rPr>
        <w:t>Den gennemsnitlige dosis er 3</w:t>
      </w:r>
      <w:r w:rsidRPr="00FF6DFA">
        <w:rPr>
          <w:sz w:val="24"/>
          <w:szCs w:val="24"/>
        </w:rPr>
        <w:noBreakHyphen/>
        <w:t xml:space="preserve">5 g </w:t>
      </w:r>
      <w:proofErr w:type="spellStart"/>
      <w:r w:rsidRPr="00FF6DFA">
        <w:rPr>
          <w:sz w:val="24"/>
          <w:szCs w:val="24"/>
        </w:rPr>
        <w:t>natriumhydrogencarbonat</w:t>
      </w:r>
      <w:proofErr w:type="spellEnd"/>
      <w:r w:rsidRPr="00FF6DFA">
        <w:rPr>
          <w:sz w:val="24"/>
          <w:szCs w:val="24"/>
        </w:rPr>
        <w:t xml:space="preserve"> pr. dag, svarende til 40</w:t>
      </w:r>
      <w:r w:rsidRPr="00FF6DFA">
        <w:rPr>
          <w:sz w:val="24"/>
          <w:szCs w:val="24"/>
        </w:rPr>
        <w:noBreakHyphen/>
        <w:t xml:space="preserve">65 mg </w:t>
      </w:r>
      <w:proofErr w:type="spellStart"/>
      <w:r w:rsidRPr="00FF6DFA">
        <w:rPr>
          <w:sz w:val="24"/>
          <w:szCs w:val="24"/>
        </w:rPr>
        <w:t>natriumhydrogencarbonat</w:t>
      </w:r>
      <w:proofErr w:type="spellEnd"/>
      <w:r w:rsidRPr="00FF6DFA">
        <w:rPr>
          <w:sz w:val="24"/>
          <w:szCs w:val="24"/>
        </w:rPr>
        <w:t xml:space="preserve"> pr. kg legemsvægt pr. dag.</w:t>
      </w:r>
    </w:p>
    <w:p w14:paraId="40DC8EE8" w14:textId="5A0CF3C9" w:rsidR="003D1C90" w:rsidRPr="00FF6DFA" w:rsidRDefault="003D1C90" w:rsidP="00D833DD">
      <w:pPr>
        <w:ind w:left="851"/>
        <w:rPr>
          <w:sz w:val="24"/>
          <w:szCs w:val="24"/>
        </w:rPr>
      </w:pPr>
      <w:r w:rsidRPr="00FF6DFA">
        <w:rPr>
          <w:sz w:val="24"/>
          <w:szCs w:val="24"/>
        </w:rPr>
        <w:lastRenderedPageBreak/>
        <w:t>Den daglige dosis kan opnås ved at tage 6</w:t>
      </w:r>
      <w:r w:rsidRPr="00FF6DFA">
        <w:rPr>
          <w:sz w:val="24"/>
          <w:szCs w:val="24"/>
        </w:rPr>
        <w:noBreakHyphen/>
        <w:t xml:space="preserve">10 kapsler af </w:t>
      </w:r>
      <w:proofErr w:type="spellStart"/>
      <w:r w:rsidRPr="00FF6DFA">
        <w:rPr>
          <w:sz w:val="24"/>
          <w:szCs w:val="24"/>
        </w:rPr>
        <w:t>Natriumhydrogencarbonat</w:t>
      </w:r>
      <w:proofErr w:type="spellEnd"/>
      <w:r w:rsidRPr="00FF6DFA">
        <w:rPr>
          <w:sz w:val="24"/>
          <w:szCs w:val="24"/>
        </w:rPr>
        <w:t xml:space="preserve"> </w:t>
      </w:r>
      <w:r w:rsidR="0004019A">
        <w:rPr>
          <w:sz w:val="24"/>
          <w:szCs w:val="24"/>
        </w:rPr>
        <w:t>"</w:t>
      </w:r>
      <w:r w:rsidRPr="00FF6DFA">
        <w:rPr>
          <w:sz w:val="24"/>
          <w:szCs w:val="24"/>
        </w:rPr>
        <w:t>PTR Pharma Consulting</w:t>
      </w:r>
      <w:r w:rsidR="0004019A">
        <w:rPr>
          <w:sz w:val="24"/>
          <w:szCs w:val="24"/>
        </w:rPr>
        <w:t>"</w:t>
      </w:r>
      <w:r w:rsidRPr="00FF6DFA">
        <w:rPr>
          <w:sz w:val="24"/>
          <w:szCs w:val="24"/>
        </w:rPr>
        <w:t>.</w:t>
      </w:r>
    </w:p>
    <w:p w14:paraId="68633C5C" w14:textId="77777777" w:rsidR="003D1C90" w:rsidRPr="00FF6DFA" w:rsidRDefault="003D1C90" w:rsidP="00D833DD">
      <w:pPr>
        <w:ind w:left="851"/>
        <w:rPr>
          <w:sz w:val="24"/>
          <w:szCs w:val="24"/>
        </w:rPr>
      </w:pPr>
    </w:p>
    <w:p w14:paraId="420F8CB5" w14:textId="77777777" w:rsidR="003D1C90" w:rsidRPr="00FF6DFA" w:rsidRDefault="003D1C90" w:rsidP="00D833DD">
      <w:pPr>
        <w:ind w:left="851"/>
        <w:rPr>
          <w:sz w:val="24"/>
          <w:szCs w:val="24"/>
        </w:rPr>
      </w:pPr>
      <w:r w:rsidRPr="00FF6DFA">
        <w:rPr>
          <w:i/>
          <w:sz w:val="24"/>
          <w:szCs w:val="24"/>
        </w:rPr>
        <w:t>Pædiatrisk population</w:t>
      </w:r>
    </w:p>
    <w:p w14:paraId="6995DC2F" w14:textId="738E9AE0" w:rsidR="003D1C90" w:rsidRPr="00FF6DFA" w:rsidRDefault="003D1C90" w:rsidP="00D833DD">
      <w:pPr>
        <w:ind w:left="851"/>
        <w:rPr>
          <w:sz w:val="24"/>
          <w:szCs w:val="24"/>
        </w:rPr>
      </w:pPr>
      <w:r w:rsidRPr="00FF6DFA">
        <w:rPr>
          <w:sz w:val="24"/>
          <w:szCs w:val="24"/>
        </w:rPr>
        <w:t xml:space="preserve">Der foreligger ingen data. </w:t>
      </w:r>
      <w:proofErr w:type="spellStart"/>
      <w:r w:rsidRPr="00FF6DFA">
        <w:rPr>
          <w:sz w:val="24"/>
          <w:szCs w:val="24"/>
        </w:rPr>
        <w:t>Natriumhydrogencarbonat</w:t>
      </w:r>
      <w:proofErr w:type="spellEnd"/>
      <w:r w:rsidRPr="00FF6DFA">
        <w:rPr>
          <w:sz w:val="24"/>
          <w:szCs w:val="24"/>
        </w:rPr>
        <w:t xml:space="preserve"> </w:t>
      </w:r>
      <w:r w:rsidR="0004019A">
        <w:rPr>
          <w:sz w:val="24"/>
          <w:szCs w:val="24"/>
        </w:rPr>
        <w:t>"</w:t>
      </w:r>
      <w:r w:rsidRPr="00FF6DFA">
        <w:rPr>
          <w:sz w:val="24"/>
          <w:szCs w:val="24"/>
        </w:rPr>
        <w:t xml:space="preserve">PTR Pharma </w:t>
      </w:r>
      <w:proofErr w:type="spellStart"/>
      <w:r w:rsidRPr="00FF6DFA">
        <w:rPr>
          <w:sz w:val="24"/>
          <w:szCs w:val="24"/>
        </w:rPr>
        <w:t>Consulting</w:t>
      </w:r>
      <w:r w:rsidR="0004019A">
        <w:rPr>
          <w:sz w:val="24"/>
          <w:szCs w:val="24"/>
        </w:rPr>
        <w:t>"</w:t>
      </w:r>
      <w:r w:rsidRPr="00FF6DFA">
        <w:rPr>
          <w:sz w:val="24"/>
          <w:szCs w:val="24"/>
        </w:rPr>
        <w:t>s</w:t>
      </w:r>
      <w:proofErr w:type="spellEnd"/>
      <w:r w:rsidRPr="00FF6DFA">
        <w:rPr>
          <w:sz w:val="24"/>
          <w:szCs w:val="24"/>
        </w:rPr>
        <w:t xml:space="preserve"> sikkerhed og virkning hos børn og unge er ikke klarlagt.</w:t>
      </w:r>
    </w:p>
    <w:p w14:paraId="352CEE83" w14:textId="77777777" w:rsidR="003D1C90" w:rsidRPr="00FF6DFA" w:rsidRDefault="003D1C90" w:rsidP="00D833DD">
      <w:pPr>
        <w:ind w:left="851"/>
        <w:rPr>
          <w:sz w:val="24"/>
          <w:szCs w:val="24"/>
        </w:rPr>
      </w:pPr>
    </w:p>
    <w:p w14:paraId="17C6DF99" w14:textId="77777777" w:rsidR="003D1C90" w:rsidRPr="00FF6DFA" w:rsidRDefault="003D1C90" w:rsidP="00D833DD">
      <w:pPr>
        <w:ind w:left="851"/>
        <w:rPr>
          <w:sz w:val="24"/>
          <w:szCs w:val="24"/>
          <w:u w:val="single"/>
        </w:rPr>
      </w:pPr>
      <w:r w:rsidRPr="00FF6DFA">
        <w:rPr>
          <w:sz w:val="24"/>
          <w:szCs w:val="24"/>
          <w:u w:val="single"/>
        </w:rPr>
        <w:t>Administration</w:t>
      </w:r>
    </w:p>
    <w:p w14:paraId="437CB96A" w14:textId="77777777" w:rsidR="003D1C90" w:rsidRPr="00FF6DFA" w:rsidRDefault="003D1C90" w:rsidP="00D833DD">
      <w:pPr>
        <w:ind w:left="851"/>
        <w:rPr>
          <w:sz w:val="24"/>
          <w:szCs w:val="24"/>
        </w:rPr>
      </w:pPr>
      <w:r w:rsidRPr="00FF6DFA">
        <w:rPr>
          <w:sz w:val="24"/>
          <w:szCs w:val="24"/>
        </w:rPr>
        <w:t>Skal synkes hele med rigeligt væske og indtages i doser fordelt ud over dagen.</w:t>
      </w:r>
    </w:p>
    <w:p w14:paraId="22E1E044" w14:textId="77777777" w:rsidR="003D1C90" w:rsidRPr="00FF6DFA" w:rsidRDefault="003D1C90" w:rsidP="00D833DD">
      <w:pPr>
        <w:ind w:left="851"/>
        <w:rPr>
          <w:sz w:val="24"/>
          <w:szCs w:val="24"/>
        </w:rPr>
      </w:pPr>
    </w:p>
    <w:p w14:paraId="4E65527D" w14:textId="77777777" w:rsidR="003D1C90" w:rsidRPr="00FF6DFA" w:rsidRDefault="003D1C90" w:rsidP="00D833DD">
      <w:pPr>
        <w:ind w:left="851"/>
        <w:rPr>
          <w:sz w:val="24"/>
          <w:szCs w:val="24"/>
        </w:rPr>
      </w:pPr>
      <w:r w:rsidRPr="00FF6DFA">
        <w:rPr>
          <w:sz w:val="24"/>
          <w:szCs w:val="24"/>
        </w:rPr>
        <w:t xml:space="preserve">Dette lægemiddel må ikke tages i længere tid uden lægeligovervågning, da der kan udvikles </w:t>
      </w:r>
      <w:proofErr w:type="spellStart"/>
      <w:r w:rsidRPr="00FF6DFA">
        <w:rPr>
          <w:sz w:val="24"/>
          <w:szCs w:val="24"/>
        </w:rPr>
        <w:t>hypernatriæmi</w:t>
      </w:r>
      <w:proofErr w:type="spellEnd"/>
      <w:r w:rsidRPr="00FF6DFA">
        <w:rPr>
          <w:sz w:val="24"/>
          <w:szCs w:val="24"/>
        </w:rPr>
        <w:t xml:space="preserve"> eller </w:t>
      </w:r>
      <w:proofErr w:type="spellStart"/>
      <w:r w:rsidRPr="00FF6DFA">
        <w:rPr>
          <w:sz w:val="24"/>
          <w:szCs w:val="24"/>
        </w:rPr>
        <w:t>alkalose</w:t>
      </w:r>
      <w:proofErr w:type="spellEnd"/>
      <w:r w:rsidRPr="00FF6DFA">
        <w:rPr>
          <w:sz w:val="24"/>
          <w:szCs w:val="24"/>
        </w:rPr>
        <w:t>.</w:t>
      </w:r>
    </w:p>
    <w:p w14:paraId="201A71AF" w14:textId="77777777" w:rsidR="003D1C90" w:rsidRPr="00FF6DFA" w:rsidRDefault="003D1C90" w:rsidP="00D833DD">
      <w:pPr>
        <w:ind w:left="851"/>
        <w:rPr>
          <w:sz w:val="24"/>
          <w:szCs w:val="24"/>
        </w:rPr>
      </w:pPr>
    </w:p>
    <w:p w14:paraId="31880C1C" w14:textId="77777777" w:rsidR="003D1C90" w:rsidRPr="00FF6DFA" w:rsidRDefault="003D1C90" w:rsidP="00D833DD">
      <w:pPr>
        <w:ind w:left="851"/>
        <w:rPr>
          <w:sz w:val="24"/>
          <w:szCs w:val="24"/>
        </w:rPr>
      </w:pPr>
      <w:r w:rsidRPr="00FF6DFA">
        <w:rPr>
          <w:sz w:val="24"/>
          <w:szCs w:val="24"/>
        </w:rPr>
        <w:t>Bemærk: Hos patienter med pH</w:t>
      </w:r>
      <w:r w:rsidRPr="00FF6DFA">
        <w:rPr>
          <w:sz w:val="24"/>
          <w:szCs w:val="24"/>
        </w:rPr>
        <w:noBreakHyphen/>
        <w:t xml:space="preserve">værdi i blodet på under 7,2 er korrektion af </w:t>
      </w:r>
      <w:proofErr w:type="spellStart"/>
      <w:r w:rsidRPr="00FF6DFA">
        <w:rPr>
          <w:sz w:val="24"/>
          <w:szCs w:val="24"/>
        </w:rPr>
        <w:t>acidose</w:t>
      </w:r>
      <w:proofErr w:type="spellEnd"/>
      <w:r w:rsidRPr="00FF6DFA">
        <w:rPr>
          <w:sz w:val="24"/>
          <w:szCs w:val="24"/>
        </w:rPr>
        <w:t xml:space="preserve"> ved infusion påkrævet.</w:t>
      </w:r>
    </w:p>
    <w:p w14:paraId="15744BB5" w14:textId="77777777" w:rsidR="009260DE" w:rsidRPr="00FF6DFA" w:rsidRDefault="009260DE" w:rsidP="009260DE">
      <w:pPr>
        <w:tabs>
          <w:tab w:val="left" w:pos="851"/>
        </w:tabs>
        <w:ind w:left="851"/>
        <w:rPr>
          <w:sz w:val="24"/>
          <w:szCs w:val="24"/>
        </w:rPr>
      </w:pPr>
    </w:p>
    <w:p w14:paraId="298926E9" w14:textId="77777777" w:rsidR="009260DE" w:rsidRPr="00FF6DFA" w:rsidRDefault="009260DE" w:rsidP="009260DE">
      <w:pPr>
        <w:tabs>
          <w:tab w:val="left" w:pos="851"/>
        </w:tabs>
        <w:ind w:left="851" w:hanging="851"/>
        <w:rPr>
          <w:b/>
          <w:sz w:val="24"/>
          <w:szCs w:val="24"/>
        </w:rPr>
      </w:pPr>
      <w:r w:rsidRPr="00FF6DFA">
        <w:rPr>
          <w:b/>
          <w:sz w:val="24"/>
          <w:szCs w:val="24"/>
        </w:rPr>
        <w:t>4.3</w:t>
      </w:r>
      <w:r w:rsidRPr="00FF6DFA">
        <w:rPr>
          <w:b/>
          <w:sz w:val="24"/>
          <w:szCs w:val="24"/>
        </w:rPr>
        <w:tab/>
        <w:t>Kontraindikationer</w:t>
      </w:r>
    </w:p>
    <w:p w14:paraId="3E883175" w14:textId="77777777" w:rsidR="003D1C90" w:rsidRPr="00FF6DFA" w:rsidRDefault="003D1C90" w:rsidP="00D833DD">
      <w:pPr>
        <w:pStyle w:val="Listeafsnit"/>
        <w:numPr>
          <w:ilvl w:val="0"/>
          <w:numId w:val="6"/>
        </w:numPr>
        <w:ind w:left="1276" w:hanging="425"/>
        <w:rPr>
          <w:sz w:val="24"/>
          <w:szCs w:val="24"/>
        </w:rPr>
      </w:pPr>
      <w:r w:rsidRPr="00FF6DFA">
        <w:rPr>
          <w:sz w:val="24"/>
          <w:szCs w:val="24"/>
        </w:rPr>
        <w:t>Overfølsomhed over for det aktive stof, soja, jordnødder eller over for et eller flere af hjælpestofferne anført i pkt. 6.1.</w:t>
      </w:r>
    </w:p>
    <w:p w14:paraId="09DE1A71" w14:textId="77777777" w:rsidR="003D1C90" w:rsidRPr="00FF6DFA" w:rsidRDefault="003D1C90" w:rsidP="00D833DD">
      <w:pPr>
        <w:pStyle w:val="Listeafsnit"/>
        <w:numPr>
          <w:ilvl w:val="0"/>
          <w:numId w:val="6"/>
        </w:numPr>
        <w:ind w:left="1276" w:hanging="425"/>
        <w:rPr>
          <w:sz w:val="24"/>
          <w:szCs w:val="24"/>
        </w:rPr>
      </w:pPr>
      <w:r w:rsidRPr="00FF6DFA">
        <w:rPr>
          <w:sz w:val="24"/>
          <w:szCs w:val="24"/>
        </w:rPr>
        <w:t xml:space="preserve">Metabolisk </w:t>
      </w:r>
      <w:proofErr w:type="spellStart"/>
      <w:r w:rsidRPr="00FF6DFA">
        <w:rPr>
          <w:sz w:val="24"/>
          <w:szCs w:val="24"/>
        </w:rPr>
        <w:t>alkalose</w:t>
      </w:r>
      <w:proofErr w:type="spellEnd"/>
      <w:r w:rsidRPr="00FF6DFA">
        <w:rPr>
          <w:sz w:val="24"/>
          <w:szCs w:val="24"/>
        </w:rPr>
        <w:t>.</w:t>
      </w:r>
    </w:p>
    <w:p w14:paraId="28A918B9" w14:textId="77777777" w:rsidR="003D1C90" w:rsidRPr="00FF6DFA" w:rsidRDefault="003D1C90" w:rsidP="00D833DD">
      <w:pPr>
        <w:pStyle w:val="Listeafsnit"/>
        <w:numPr>
          <w:ilvl w:val="0"/>
          <w:numId w:val="6"/>
        </w:numPr>
        <w:ind w:left="1276" w:hanging="425"/>
        <w:rPr>
          <w:sz w:val="24"/>
          <w:szCs w:val="24"/>
        </w:rPr>
      </w:pPr>
      <w:proofErr w:type="spellStart"/>
      <w:r w:rsidRPr="00FF6DFA">
        <w:rPr>
          <w:sz w:val="24"/>
          <w:szCs w:val="24"/>
        </w:rPr>
        <w:t>Hypokaliæmi</w:t>
      </w:r>
      <w:proofErr w:type="spellEnd"/>
      <w:r w:rsidRPr="00FF6DFA">
        <w:rPr>
          <w:sz w:val="24"/>
          <w:szCs w:val="24"/>
        </w:rPr>
        <w:t>.</w:t>
      </w:r>
    </w:p>
    <w:p w14:paraId="7A264978" w14:textId="77777777" w:rsidR="003D1C90" w:rsidRPr="00FF6DFA" w:rsidRDefault="003D1C90" w:rsidP="00D833DD">
      <w:pPr>
        <w:pStyle w:val="Listeafsnit"/>
        <w:numPr>
          <w:ilvl w:val="0"/>
          <w:numId w:val="6"/>
        </w:numPr>
        <w:ind w:left="1276" w:hanging="425"/>
        <w:rPr>
          <w:sz w:val="24"/>
          <w:szCs w:val="24"/>
        </w:rPr>
      </w:pPr>
      <w:proofErr w:type="spellStart"/>
      <w:r w:rsidRPr="00FF6DFA">
        <w:rPr>
          <w:sz w:val="24"/>
          <w:szCs w:val="24"/>
        </w:rPr>
        <w:t>Hypernatriæmi</w:t>
      </w:r>
      <w:proofErr w:type="spellEnd"/>
      <w:r w:rsidRPr="00FF6DFA">
        <w:rPr>
          <w:sz w:val="24"/>
          <w:szCs w:val="24"/>
        </w:rPr>
        <w:t>.</w:t>
      </w:r>
    </w:p>
    <w:p w14:paraId="29DD7FC0" w14:textId="77777777" w:rsidR="003D1C90" w:rsidRPr="00FF6DFA" w:rsidRDefault="003D1C90" w:rsidP="00D833DD">
      <w:pPr>
        <w:pStyle w:val="Listeafsnit"/>
        <w:numPr>
          <w:ilvl w:val="0"/>
          <w:numId w:val="6"/>
        </w:numPr>
        <w:ind w:left="1276" w:hanging="425"/>
        <w:rPr>
          <w:sz w:val="24"/>
          <w:szCs w:val="24"/>
        </w:rPr>
      </w:pPr>
      <w:r w:rsidRPr="00FF6DFA">
        <w:rPr>
          <w:sz w:val="24"/>
          <w:szCs w:val="24"/>
        </w:rPr>
        <w:t>Natriumfattig diæt.</w:t>
      </w:r>
    </w:p>
    <w:p w14:paraId="49D89605" w14:textId="77777777" w:rsidR="009260DE" w:rsidRPr="00FF6DFA" w:rsidRDefault="009260DE" w:rsidP="009260DE">
      <w:pPr>
        <w:tabs>
          <w:tab w:val="left" w:pos="851"/>
        </w:tabs>
        <w:ind w:left="851"/>
        <w:rPr>
          <w:sz w:val="24"/>
          <w:szCs w:val="24"/>
        </w:rPr>
      </w:pPr>
    </w:p>
    <w:p w14:paraId="150026B8" w14:textId="77777777" w:rsidR="009260DE" w:rsidRPr="00FF6DFA" w:rsidRDefault="009260DE" w:rsidP="009260DE">
      <w:pPr>
        <w:tabs>
          <w:tab w:val="left" w:pos="851"/>
        </w:tabs>
        <w:ind w:left="851" w:hanging="851"/>
        <w:rPr>
          <w:b/>
          <w:sz w:val="24"/>
          <w:szCs w:val="24"/>
        </w:rPr>
      </w:pPr>
      <w:r w:rsidRPr="00FF6DFA">
        <w:rPr>
          <w:b/>
          <w:sz w:val="24"/>
          <w:szCs w:val="24"/>
        </w:rPr>
        <w:t>4.4</w:t>
      </w:r>
      <w:r w:rsidRPr="00FF6DFA">
        <w:rPr>
          <w:b/>
          <w:sz w:val="24"/>
          <w:szCs w:val="24"/>
        </w:rPr>
        <w:tab/>
        <w:t>Særlige advarsler og forsigtighedsregler vedrørende brugen</w:t>
      </w:r>
    </w:p>
    <w:p w14:paraId="79875EEB" w14:textId="532BAB9F" w:rsidR="003D1C90" w:rsidRPr="00FF6DFA" w:rsidRDefault="003D1C90" w:rsidP="00D833DD">
      <w:pPr>
        <w:ind w:left="851"/>
        <w:rPr>
          <w:sz w:val="24"/>
          <w:szCs w:val="24"/>
        </w:rPr>
      </w:pPr>
      <w:r w:rsidRPr="00FF6DFA">
        <w:rPr>
          <w:sz w:val="24"/>
          <w:szCs w:val="24"/>
        </w:rPr>
        <w:t xml:space="preserve">Virkningen af </w:t>
      </w:r>
      <w:proofErr w:type="spellStart"/>
      <w:r w:rsidRPr="00FF6DFA">
        <w:rPr>
          <w:sz w:val="24"/>
          <w:szCs w:val="24"/>
        </w:rPr>
        <w:t>Natriumhydrogencarbonat</w:t>
      </w:r>
      <w:proofErr w:type="spellEnd"/>
      <w:r w:rsidRPr="00FF6DFA">
        <w:rPr>
          <w:sz w:val="24"/>
          <w:szCs w:val="24"/>
        </w:rPr>
        <w:t xml:space="preserve"> </w:t>
      </w:r>
      <w:r w:rsidR="0004019A">
        <w:rPr>
          <w:sz w:val="24"/>
          <w:szCs w:val="24"/>
        </w:rPr>
        <w:t>"</w:t>
      </w:r>
      <w:r w:rsidRPr="00FF6DFA">
        <w:rPr>
          <w:sz w:val="24"/>
          <w:szCs w:val="24"/>
        </w:rPr>
        <w:t>PTR Pharma Consulting</w:t>
      </w:r>
      <w:r w:rsidR="0004019A">
        <w:rPr>
          <w:sz w:val="24"/>
          <w:szCs w:val="24"/>
        </w:rPr>
        <w:t>"</w:t>
      </w:r>
      <w:r w:rsidRPr="00FF6DFA">
        <w:rPr>
          <w:sz w:val="24"/>
          <w:szCs w:val="24"/>
        </w:rPr>
        <w:t xml:space="preserve"> skal initialt monitoreres i intervaller på mindst 1</w:t>
      </w:r>
      <w:r w:rsidRPr="00FF6DFA">
        <w:rPr>
          <w:sz w:val="24"/>
          <w:szCs w:val="24"/>
        </w:rPr>
        <w:noBreakHyphen/>
        <w:t xml:space="preserve">2 uger (f.eks. pH-måling, standard </w:t>
      </w:r>
      <w:proofErr w:type="spellStart"/>
      <w:r w:rsidRPr="00FF6DFA">
        <w:rPr>
          <w:sz w:val="24"/>
          <w:szCs w:val="24"/>
        </w:rPr>
        <w:t>bicarbonat</w:t>
      </w:r>
      <w:proofErr w:type="spellEnd"/>
      <w:r w:rsidRPr="00FF6DFA">
        <w:rPr>
          <w:sz w:val="24"/>
          <w:szCs w:val="24"/>
        </w:rPr>
        <w:t xml:space="preserve">, alkalireserver), særligt ved højere doser. Plasma-elektrolytter, særligt natrium, kalium og calcium, skal ligeledes monitoreres regelmæssigt. Disse kontroller skal også foretages regelmæssigt under langtidsbehandling. Den videre dosering bør fastlægges ud fra resultatet af disse kontroller. Eventuel </w:t>
      </w:r>
      <w:proofErr w:type="spellStart"/>
      <w:r w:rsidRPr="00FF6DFA">
        <w:rPr>
          <w:sz w:val="24"/>
          <w:szCs w:val="24"/>
        </w:rPr>
        <w:t>hyperalkalinitet</w:t>
      </w:r>
      <w:proofErr w:type="spellEnd"/>
      <w:r w:rsidRPr="00FF6DFA">
        <w:rPr>
          <w:sz w:val="24"/>
          <w:szCs w:val="24"/>
        </w:rPr>
        <w:t xml:space="preserve"> kan korrigeres ved en dosisreduktion.</w:t>
      </w:r>
    </w:p>
    <w:p w14:paraId="59515A5A" w14:textId="77777777" w:rsidR="003D1C90" w:rsidRPr="00FF6DFA" w:rsidRDefault="003D1C90" w:rsidP="00D833DD">
      <w:pPr>
        <w:ind w:left="851"/>
        <w:rPr>
          <w:sz w:val="24"/>
          <w:szCs w:val="24"/>
        </w:rPr>
      </w:pPr>
    </w:p>
    <w:p w14:paraId="210407A3" w14:textId="77777777" w:rsidR="003D1C90" w:rsidRPr="00FF6DFA" w:rsidRDefault="003D1C90" w:rsidP="00D833DD">
      <w:pPr>
        <w:ind w:left="851"/>
        <w:rPr>
          <w:sz w:val="24"/>
          <w:szCs w:val="24"/>
        </w:rPr>
      </w:pPr>
      <w:r w:rsidRPr="00FF6DFA">
        <w:rPr>
          <w:sz w:val="24"/>
          <w:szCs w:val="24"/>
        </w:rPr>
        <w:t xml:space="preserve">Der skal udvises særlig forsigtighed ved tilstedeværelse af </w:t>
      </w:r>
      <w:proofErr w:type="spellStart"/>
      <w:r w:rsidRPr="00FF6DFA">
        <w:rPr>
          <w:sz w:val="24"/>
          <w:szCs w:val="24"/>
        </w:rPr>
        <w:t>hypoventilation</w:t>
      </w:r>
      <w:proofErr w:type="spellEnd"/>
      <w:r w:rsidRPr="00FF6DFA">
        <w:rPr>
          <w:sz w:val="24"/>
          <w:szCs w:val="24"/>
        </w:rPr>
        <w:t xml:space="preserve">, </w:t>
      </w:r>
      <w:proofErr w:type="spellStart"/>
      <w:r w:rsidRPr="00FF6DFA">
        <w:rPr>
          <w:sz w:val="24"/>
          <w:szCs w:val="24"/>
        </w:rPr>
        <w:t>hypocalcæmi</w:t>
      </w:r>
      <w:proofErr w:type="spellEnd"/>
      <w:r w:rsidRPr="00FF6DFA">
        <w:rPr>
          <w:sz w:val="24"/>
          <w:szCs w:val="24"/>
        </w:rPr>
        <w:t xml:space="preserve"> og </w:t>
      </w:r>
      <w:proofErr w:type="spellStart"/>
      <w:r w:rsidRPr="00FF6DFA">
        <w:rPr>
          <w:sz w:val="24"/>
          <w:szCs w:val="24"/>
        </w:rPr>
        <w:t>hyperosmolære</w:t>
      </w:r>
      <w:proofErr w:type="spellEnd"/>
      <w:r w:rsidRPr="00FF6DFA">
        <w:rPr>
          <w:sz w:val="24"/>
          <w:szCs w:val="24"/>
        </w:rPr>
        <w:t xml:space="preserve"> tilstande.</w:t>
      </w:r>
    </w:p>
    <w:p w14:paraId="32A5C2FF" w14:textId="77777777" w:rsidR="003D1C90" w:rsidRPr="00FF6DFA" w:rsidRDefault="003D1C90" w:rsidP="00D833DD">
      <w:pPr>
        <w:ind w:left="851"/>
        <w:rPr>
          <w:sz w:val="24"/>
          <w:szCs w:val="24"/>
        </w:rPr>
      </w:pPr>
    </w:p>
    <w:p w14:paraId="1C366EC1" w14:textId="26B3A95D" w:rsidR="003D1C90" w:rsidRPr="00FF6DFA" w:rsidRDefault="003D1C90" w:rsidP="00D833DD">
      <w:pPr>
        <w:ind w:left="851"/>
        <w:rPr>
          <w:sz w:val="24"/>
          <w:szCs w:val="24"/>
        </w:rPr>
      </w:pPr>
      <w:r w:rsidRPr="00FF6DFA">
        <w:rPr>
          <w:sz w:val="24"/>
          <w:szCs w:val="24"/>
        </w:rPr>
        <w:t xml:space="preserve">Dette lægemiddel indeholder 137 mg natrium pr. kapsel, svarende til ca. 7 % af den af WHO anbefalede maksimale daglige indtagelse af 2 g natrium for en voksen. Den maksimale daglige dosis for dette lægemiddel (10 kapsler) svarer til 70 % af den af WHO anbefalede maksimale daglige indtagelse af natrium. </w:t>
      </w:r>
      <w:proofErr w:type="spellStart"/>
      <w:r w:rsidRPr="00FF6DFA">
        <w:rPr>
          <w:sz w:val="24"/>
          <w:szCs w:val="24"/>
        </w:rPr>
        <w:t>Natriumhydrogencarbonat</w:t>
      </w:r>
      <w:proofErr w:type="spellEnd"/>
      <w:r w:rsidRPr="00FF6DFA">
        <w:rPr>
          <w:sz w:val="24"/>
          <w:szCs w:val="24"/>
        </w:rPr>
        <w:t xml:space="preserve"> </w:t>
      </w:r>
      <w:r w:rsidR="005E7A14">
        <w:rPr>
          <w:sz w:val="24"/>
          <w:szCs w:val="24"/>
        </w:rPr>
        <w:t>"</w:t>
      </w:r>
      <w:r w:rsidRPr="00FF6DFA">
        <w:rPr>
          <w:sz w:val="24"/>
          <w:szCs w:val="24"/>
        </w:rPr>
        <w:t>PTR Pharma Consulting</w:t>
      </w:r>
      <w:r w:rsidR="0004019A">
        <w:rPr>
          <w:sz w:val="24"/>
          <w:szCs w:val="24"/>
        </w:rPr>
        <w:t>"</w:t>
      </w:r>
      <w:r w:rsidRPr="00FF6DFA">
        <w:rPr>
          <w:sz w:val="24"/>
          <w:szCs w:val="24"/>
        </w:rPr>
        <w:t xml:space="preserve"> anses som </w:t>
      </w:r>
      <w:r w:rsidR="0004019A">
        <w:rPr>
          <w:sz w:val="24"/>
          <w:szCs w:val="24"/>
        </w:rPr>
        <w:t>"</w:t>
      </w:r>
      <w:r w:rsidRPr="00FF6DFA">
        <w:rPr>
          <w:sz w:val="24"/>
          <w:szCs w:val="24"/>
        </w:rPr>
        <w:t>højdosis</w:t>
      </w:r>
      <w:r w:rsidR="0004019A">
        <w:rPr>
          <w:sz w:val="24"/>
          <w:szCs w:val="24"/>
        </w:rPr>
        <w:t>"</w:t>
      </w:r>
      <w:r w:rsidRPr="00FF6DFA">
        <w:rPr>
          <w:sz w:val="24"/>
          <w:szCs w:val="24"/>
        </w:rPr>
        <w:t xml:space="preserve"> natrium. Patienter på saltfattig diæt skal tage særlig højde for dette.</w:t>
      </w:r>
    </w:p>
    <w:p w14:paraId="6F43ABD7" w14:textId="77777777" w:rsidR="003D1C90" w:rsidRPr="00FF6DFA" w:rsidRDefault="003D1C90" w:rsidP="00D833DD">
      <w:pPr>
        <w:ind w:left="851"/>
        <w:rPr>
          <w:sz w:val="24"/>
          <w:szCs w:val="24"/>
        </w:rPr>
      </w:pPr>
    </w:p>
    <w:p w14:paraId="12244D1F" w14:textId="77777777" w:rsidR="003D1C90" w:rsidRPr="00FF6DFA" w:rsidRDefault="003D1C90" w:rsidP="00D833DD">
      <w:pPr>
        <w:ind w:left="851"/>
        <w:rPr>
          <w:sz w:val="24"/>
          <w:szCs w:val="24"/>
        </w:rPr>
      </w:pPr>
      <w:r w:rsidRPr="00FF6DFA">
        <w:rPr>
          <w:sz w:val="24"/>
          <w:szCs w:val="24"/>
        </w:rPr>
        <w:t xml:space="preserve">Dette lægemiddel indeholder 50 mg sorbitol i hver kapsel. Patienter med hereditær </w:t>
      </w:r>
      <w:proofErr w:type="spellStart"/>
      <w:r w:rsidRPr="00FF6DFA">
        <w:rPr>
          <w:sz w:val="24"/>
          <w:szCs w:val="24"/>
        </w:rPr>
        <w:t>fructoseintolerans</w:t>
      </w:r>
      <w:proofErr w:type="spellEnd"/>
      <w:r w:rsidRPr="00FF6DFA">
        <w:rPr>
          <w:sz w:val="24"/>
          <w:szCs w:val="24"/>
        </w:rPr>
        <w:t xml:space="preserve"> (HFI) bør ikke tage dette lægemiddel.</w:t>
      </w:r>
    </w:p>
    <w:p w14:paraId="67FF4BCD" w14:textId="77777777" w:rsidR="009260DE" w:rsidRPr="00FF6DFA" w:rsidRDefault="009260DE" w:rsidP="009260DE">
      <w:pPr>
        <w:tabs>
          <w:tab w:val="left" w:pos="851"/>
        </w:tabs>
        <w:ind w:left="851"/>
        <w:rPr>
          <w:sz w:val="24"/>
          <w:szCs w:val="24"/>
        </w:rPr>
      </w:pPr>
    </w:p>
    <w:p w14:paraId="480BEAA3" w14:textId="77777777" w:rsidR="009260DE" w:rsidRPr="00FF6DFA" w:rsidRDefault="009260DE" w:rsidP="009260DE">
      <w:pPr>
        <w:tabs>
          <w:tab w:val="left" w:pos="851"/>
        </w:tabs>
        <w:ind w:left="851" w:hanging="851"/>
        <w:rPr>
          <w:b/>
          <w:sz w:val="24"/>
          <w:szCs w:val="24"/>
        </w:rPr>
      </w:pPr>
      <w:r w:rsidRPr="00FF6DFA">
        <w:rPr>
          <w:b/>
          <w:sz w:val="24"/>
          <w:szCs w:val="24"/>
        </w:rPr>
        <w:t>4.5</w:t>
      </w:r>
      <w:r w:rsidRPr="00FF6DFA">
        <w:rPr>
          <w:b/>
          <w:sz w:val="24"/>
          <w:szCs w:val="24"/>
        </w:rPr>
        <w:tab/>
        <w:t>Interaktion med andre lægemidler og andre former for interaktion</w:t>
      </w:r>
    </w:p>
    <w:p w14:paraId="5E0F7329" w14:textId="77777777" w:rsidR="003D1C90" w:rsidRPr="00FF6DFA" w:rsidRDefault="003D1C90" w:rsidP="00D833DD">
      <w:pPr>
        <w:ind w:left="851"/>
        <w:rPr>
          <w:sz w:val="24"/>
          <w:szCs w:val="24"/>
          <w:lang w:eastAsia="da-DK"/>
        </w:rPr>
      </w:pPr>
      <w:r w:rsidRPr="00FF6DFA">
        <w:rPr>
          <w:sz w:val="24"/>
          <w:szCs w:val="24"/>
        </w:rPr>
        <w:t xml:space="preserve">Da pH-værdien i maven og tarmene øges, kan absorptionen og udskillelsen af svage syrer og baser blive påvirket. Dette gælder f.eks. </w:t>
      </w:r>
      <w:proofErr w:type="spellStart"/>
      <w:r w:rsidRPr="00FF6DFA">
        <w:rPr>
          <w:sz w:val="24"/>
          <w:szCs w:val="24"/>
        </w:rPr>
        <w:t>sympatomimetika</w:t>
      </w:r>
      <w:proofErr w:type="spellEnd"/>
      <w:r w:rsidRPr="00FF6DFA">
        <w:rPr>
          <w:sz w:val="24"/>
          <w:szCs w:val="24"/>
        </w:rPr>
        <w:t xml:space="preserve">, </w:t>
      </w:r>
      <w:proofErr w:type="spellStart"/>
      <w:r w:rsidRPr="00FF6DFA">
        <w:rPr>
          <w:sz w:val="24"/>
          <w:szCs w:val="24"/>
        </w:rPr>
        <w:t>antikolinergika</w:t>
      </w:r>
      <w:proofErr w:type="spellEnd"/>
      <w:r w:rsidRPr="00FF6DFA">
        <w:rPr>
          <w:sz w:val="24"/>
          <w:szCs w:val="24"/>
        </w:rPr>
        <w:t xml:space="preserve">, tricykliske </w:t>
      </w:r>
      <w:proofErr w:type="spellStart"/>
      <w:r w:rsidRPr="00FF6DFA">
        <w:rPr>
          <w:sz w:val="24"/>
          <w:szCs w:val="24"/>
        </w:rPr>
        <w:t>antidepressiva</w:t>
      </w:r>
      <w:proofErr w:type="spellEnd"/>
      <w:r w:rsidRPr="00FF6DFA">
        <w:rPr>
          <w:sz w:val="24"/>
          <w:szCs w:val="24"/>
        </w:rPr>
        <w:t>, barbiturater, H</w:t>
      </w:r>
      <w:r w:rsidRPr="00FF6DFA">
        <w:rPr>
          <w:sz w:val="24"/>
          <w:szCs w:val="24"/>
          <w:vertAlign w:val="subscript"/>
        </w:rPr>
        <w:t>2</w:t>
      </w:r>
      <w:r w:rsidRPr="00FF6DFA">
        <w:rPr>
          <w:sz w:val="24"/>
          <w:szCs w:val="24"/>
        </w:rPr>
        <w:t xml:space="preserve">-antagonister, </w:t>
      </w:r>
      <w:proofErr w:type="spellStart"/>
      <w:r w:rsidRPr="00FF6DFA">
        <w:rPr>
          <w:sz w:val="24"/>
          <w:szCs w:val="24"/>
        </w:rPr>
        <w:t>captopril</w:t>
      </w:r>
      <w:proofErr w:type="spellEnd"/>
      <w:r w:rsidRPr="00FF6DFA">
        <w:rPr>
          <w:sz w:val="24"/>
          <w:szCs w:val="24"/>
        </w:rPr>
        <w:t xml:space="preserve"> og </w:t>
      </w:r>
      <w:proofErr w:type="spellStart"/>
      <w:r w:rsidRPr="00FF6DFA">
        <w:rPr>
          <w:sz w:val="24"/>
          <w:szCs w:val="24"/>
        </w:rPr>
        <w:t>quinidin</w:t>
      </w:r>
      <w:proofErr w:type="spellEnd"/>
      <w:r w:rsidRPr="00FF6DFA">
        <w:rPr>
          <w:sz w:val="24"/>
          <w:szCs w:val="24"/>
        </w:rPr>
        <w:t>.</w:t>
      </w:r>
    </w:p>
    <w:p w14:paraId="11C1D253" w14:textId="77777777" w:rsidR="003D1C90" w:rsidRPr="00FF6DFA" w:rsidRDefault="003D1C90" w:rsidP="00D833DD">
      <w:pPr>
        <w:ind w:left="851"/>
        <w:rPr>
          <w:sz w:val="24"/>
          <w:szCs w:val="24"/>
        </w:rPr>
      </w:pPr>
    </w:p>
    <w:p w14:paraId="53AE793E" w14:textId="77777777" w:rsidR="003D1C90" w:rsidRPr="00FF6DFA" w:rsidRDefault="003D1C90" w:rsidP="00D833DD">
      <w:pPr>
        <w:ind w:left="851"/>
        <w:rPr>
          <w:sz w:val="24"/>
          <w:szCs w:val="24"/>
        </w:rPr>
      </w:pPr>
      <w:r w:rsidRPr="00FF6DFA">
        <w:rPr>
          <w:sz w:val="24"/>
          <w:szCs w:val="24"/>
        </w:rPr>
        <w:lastRenderedPageBreak/>
        <w:t xml:space="preserve">Der er mulige funktionelle interaktioner med </w:t>
      </w:r>
      <w:proofErr w:type="spellStart"/>
      <w:r w:rsidRPr="00FF6DFA">
        <w:rPr>
          <w:sz w:val="24"/>
          <w:szCs w:val="24"/>
        </w:rPr>
        <w:t>glukokortikoider</w:t>
      </w:r>
      <w:proofErr w:type="spellEnd"/>
      <w:r w:rsidRPr="00FF6DFA">
        <w:rPr>
          <w:sz w:val="24"/>
          <w:szCs w:val="24"/>
        </w:rPr>
        <w:t xml:space="preserve">, </w:t>
      </w:r>
      <w:proofErr w:type="spellStart"/>
      <w:r w:rsidRPr="00FF6DFA">
        <w:rPr>
          <w:sz w:val="24"/>
          <w:szCs w:val="24"/>
        </w:rPr>
        <w:t>mineralkortikoider</w:t>
      </w:r>
      <w:proofErr w:type="spellEnd"/>
      <w:r w:rsidRPr="00FF6DFA">
        <w:rPr>
          <w:sz w:val="24"/>
          <w:szCs w:val="24"/>
        </w:rPr>
        <w:t xml:space="preserve">, </w:t>
      </w:r>
      <w:proofErr w:type="spellStart"/>
      <w:r w:rsidRPr="00FF6DFA">
        <w:rPr>
          <w:sz w:val="24"/>
          <w:szCs w:val="24"/>
        </w:rPr>
        <w:t>androgener</w:t>
      </w:r>
      <w:proofErr w:type="spellEnd"/>
      <w:r w:rsidRPr="00FF6DFA">
        <w:rPr>
          <w:sz w:val="24"/>
          <w:szCs w:val="24"/>
        </w:rPr>
        <w:t xml:space="preserve"> og kalium-</w:t>
      </w:r>
      <w:proofErr w:type="spellStart"/>
      <w:r w:rsidRPr="00FF6DFA">
        <w:rPr>
          <w:sz w:val="24"/>
          <w:szCs w:val="24"/>
        </w:rPr>
        <w:t>depleterende</w:t>
      </w:r>
      <w:proofErr w:type="spellEnd"/>
      <w:r w:rsidRPr="00FF6DFA">
        <w:rPr>
          <w:sz w:val="24"/>
          <w:szCs w:val="24"/>
        </w:rPr>
        <w:t xml:space="preserve"> </w:t>
      </w:r>
      <w:proofErr w:type="spellStart"/>
      <w:r w:rsidRPr="00FF6DFA">
        <w:rPr>
          <w:sz w:val="24"/>
          <w:szCs w:val="24"/>
        </w:rPr>
        <w:t>diuretika</w:t>
      </w:r>
      <w:proofErr w:type="spellEnd"/>
      <w:r w:rsidRPr="00FF6DFA">
        <w:rPr>
          <w:sz w:val="24"/>
          <w:szCs w:val="24"/>
        </w:rPr>
        <w:t>.</w:t>
      </w:r>
    </w:p>
    <w:p w14:paraId="676E171D" w14:textId="77777777" w:rsidR="003D1C90" w:rsidRPr="00FF6DFA" w:rsidRDefault="003D1C90" w:rsidP="00D833DD">
      <w:pPr>
        <w:ind w:left="851"/>
        <w:rPr>
          <w:sz w:val="24"/>
          <w:szCs w:val="24"/>
        </w:rPr>
      </w:pPr>
    </w:p>
    <w:p w14:paraId="05799A57" w14:textId="77777777" w:rsidR="003D1C90" w:rsidRPr="00FF6DFA" w:rsidRDefault="003D1C90" w:rsidP="00D833DD">
      <w:pPr>
        <w:ind w:left="851"/>
        <w:rPr>
          <w:sz w:val="24"/>
          <w:szCs w:val="24"/>
        </w:rPr>
      </w:pPr>
      <w:r w:rsidRPr="00FF6DFA">
        <w:rPr>
          <w:sz w:val="24"/>
          <w:szCs w:val="24"/>
        </w:rPr>
        <w:t>Der skal udvises forsigtighed på grund af en mulig indvirkning på opløseligheden af lægemidler, der elimineres i urinen (f.eks. </w:t>
      </w:r>
      <w:proofErr w:type="spellStart"/>
      <w:r w:rsidRPr="00FF6DFA">
        <w:rPr>
          <w:sz w:val="24"/>
          <w:szCs w:val="24"/>
        </w:rPr>
        <w:t>ciprofloxacin</w:t>
      </w:r>
      <w:proofErr w:type="spellEnd"/>
      <w:r w:rsidRPr="00FF6DFA">
        <w:rPr>
          <w:sz w:val="24"/>
          <w:szCs w:val="24"/>
        </w:rPr>
        <w:t>).</w:t>
      </w:r>
    </w:p>
    <w:p w14:paraId="2522B72D" w14:textId="77777777" w:rsidR="003D1C90" w:rsidRPr="00FF6DFA" w:rsidRDefault="003D1C90" w:rsidP="00D833DD">
      <w:pPr>
        <w:ind w:left="851"/>
        <w:rPr>
          <w:sz w:val="24"/>
          <w:szCs w:val="24"/>
        </w:rPr>
      </w:pPr>
    </w:p>
    <w:p w14:paraId="3FD9FC55" w14:textId="77777777" w:rsidR="003D1C90" w:rsidRPr="00FF6DFA" w:rsidRDefault="003D1C90" w:rsidP="00D833DD">
      <w:pPr>
        <w:ind w:left="851"/>
        <w:rPr>
          <w:sz w:val="24"/>
          <w:szCs w:val="24"/>
        </w:rPr>
      </w:pPr>
      <w:r w:rsidRPr="00FF6DFA">
        <w:rPr>
          <w:sz w:val="24"/>
          <w:szCs w:val="24"/>
        </w:rPr>
        <w:t>Patienter bør rådes til at undgå indtagelse af alkoholiske drikkevarer, især dem med højt alkoholindhold, inden for en time før eller efter indtagelse af dette lægemiddel, da det kan beskadige filmovertrækket, hvilket kan medføre gener i mave-tarm-kanalen, såsom oppustethed eller bøvsen/opstød.</w:t>
      </w:r>
    </w:p>
    <w:p w14:paraId="744BC3BA" w14:textId="77777777" w:rsidR="009260DE" w:rsidRPr="00FF6DFA" w:rsidRDefault="009260DE" w:rsidP="009260DE">
      <w:pPr>
        <w:tabs>
          <w:tab w:val="left" w:pos="851"/>
        </w:tabs>
        <w:ind w:left="851"/>
        <w:rPr>
          <w:sz w:val="24"/>
          <w:szCs w:val="24"/>
        </w:rPr>
      </w:pPr>
    </w:p>
    <w:p w14:paraId="19A0B6B3" w14:textId="77777777" w:rsidR="009260DE" w:rsidRPr="00FF6DFA" w:rsidRDefault="009260DE" w:rsidP="009260DE">
      <w:pPr>
        <w:tabs>
          <w:tab w:val="left" w:pos="851"/>
        </w:tabs>
        <w:ind w:left="851" w:hanging="851"/>
        <w:rPr>
          <w:b/>
          <w:sz w:val="24"/>
          <w:szCs w:val="24"/>
        </w:rPr>
      </w:pPr>
      <w:r w:rsidRPr="00FF6DFA">
        <w:rPr>
          <w:b/>
          <w:sz w:val="24"/>
          <w:szCs w:val="24"/>
        </w:rPr>
        <w:t>4.6</w:t>
      </w:r>
      <w:r w:rsidRPr="00FF6DFA">
        <w:rPr>
          <w:b/>
          <w:sz w:val="24"/>
          <w:szCs w:val="24"/>
        </w:rPr>
        <w:tab/>
      </w:r>
      <w:r w:rsidR="0071241E" w:rsidRPr="00FF6DFA">
        <w:rPr>
          <w:b/>
          <w:sz w:val="24"/>
          <w:szCs w:val="24"/>
        </w:rPr>
        <w:t>Fertilitet, g</w:t>
      </w:r>
      <w:r w:rsidRPr="00FF6DFA">
        <w:rPr>
          <w:b/>
          <w:sz w:val="24"/>
          <w:szCs w:val="24"/>
        </w:rPr>
        <w:t>raviditet og amning</w:t>
      </w:r>
    </w:p>
    <w:p w14:paraId="70CD56D1" w14:textId="77777777" w:rsidR="0004019A" w:rsidRDefault="0004019A" w:rsidP="00D833DD">
      <w:pPr>
        <w:ind w:left="851"/>
        <w:rPr>
          <w:sz w:val="24"/>
          <w:szCs w:val="24"/>
        </w:rPr>
      </w:pPr>
    </w:p>
    <w:p w14:paraId="275678D0" w14:textId="4B254B7A" w:rsidR="003D1C90" w:rsidRPr="0004019A" w:rsidRDefault="003D1C90" w:rsidP="00D833DD">
      <w:pPr>
        <w:ind w:left="851"/>
        <w:rPr>
          <w:sz w:val="24"/>
          <w:szCs w:val="24"/>
          <w:u w:val="single"/>
        </w:rPr>
      </w:pPr>
      <w:r w:rsidRPr="0004019A">
        <w:rPr>
          <w:sz w:val="24"/>
          <w:szCs w:val="24"/>
          <w:u w:val="single"/>
        </w:rPr>
        <w:t>Graviditet og amning</w:t>
      </w:r>
    </w:p>
    <w:p w14:paraId="3B659396" w14:textId="44D6ED78" w:rsidR="003D1C90" w:rsidRPr="00FF6DFA" w:rsidRDefault="003D1C90" w:rsidP="00D833DD">
      <w:pPr>
        <w:ind w:left="851"/>
        <w:rPr>
          <w:sz w:val="24"/>
          <w:szCs w:val="24"/>
        </w:rPr>
      </w:pPr>
      <w:r w:rsidRPr="00FF6DFA">
        <w:rPr>
          <w:sz w:val="24"/>
          <w:szCs w:val="24"/>
        </w:rPr>
        <w:t xml:space="preserve">Der er ingen erfaring med anvendelse af </w:t>
      </w:r>
      <w:proofErr w:type="spellStart"/>
      <w:r w:rsidRPr="00FF6DFA">
        <w:rPr>
          <w:sz w:val="24"/>
          <w:szCs w:val="24"/>
        </w:rPr>
        <w:t>Natriumhydrogencarbonat</w:t>
      </w:r>
      <w:proofErr w:type="spellEnd"/>
      <w:r w:rsidRPr="00FF6DFA">
        <w:rPr>
          <w:sz w:val="24"/>
          <w:szCs w:val="24"/>
        </w:rPr>
        <w:t xml:space="preserve"> </w:t>
      </w:r>
      <w:r w:rsidR="0004019A">
        <w:rPr>
          <w:sz w:val="24"/>
          <w:szCs w:val="24"/>
        </w:rPr>
        <w:t>"</w:t>
      </w:r>
      <w:r w:rsidRPr="00FF6DFA">
        <w:rPr>
          <w:sz w:val="24"/>
          <w:szCs w:val="24"/>
        </w:rPr>
        <w:t>PTR Pharma Consulting</w:t>
      </w:r>
      <w:r w:rsidR="0004019A">
        <w:rPr>
          <w:sz w:val="24"/>
          <w:szCs w:val="24"/>
        </w:rPr>
        <w:t>"</w:t>
      </w:r>
      <w:r w:rsidRPr="00FF6DFA">
        <w:rPr>
          <w:sz w:val="24"/>
          <w:szCs w:val="24"/>
        </w:rPr>
        <w:t xml:space="preserve"> under graviditet og amning. Umiddelbart er der ikke noget til hinder for at anvende </w:t>
      </w:r>
      <w:proofErr w:type="spellStart"/>
      <w:r w:rsidRPr="00FF6DFA">
        <w:rPr>
          <w:sz w:val="24"/>
          <w:szCs w:val="24"/>
        </w:rPr>
        <w:t>natriumhydrogen</w:t>
      </w:r>
      <w:r w:rsidRPr="00FF6DFA">
        <w:rPr>
          <w:sz w:val="24"/>
          <w:szCs w:val="24"/>
        </w:rPr>
        <w:softHyphen/>
        <w:t>carbonat</w:t>
      </w:r>
      <w:proofErr w:type="spellEnd"/>
      <w:r w:rsidRPr="00FF6DFA">
        <w:rPr>
          <w:sz w:val="24"/>
          <w:szCs w:val="24"/>
        </w:rPr>
        <w:t xml:space="preserve"> til rette indikation. Det skal dog overvejes, at oralt administreret </w:t>
      </w:r>
      <w:proofErr w:type="spellStart"/>
      <w:r w:rsidRPr="00FF6DFA">
        <w:rPr>
          <w:sz w:val="24"/>
          <w:szCs w:val="24"/>
        </w:rPr>
        <w:t>natriumhydrogencarbonat</w:t>
      </w:r>
      <w:proofErr w:type="spellEnd"/>
      <w:r w:rsidRPr="00FF6DFA">
        <w:rPr>
          <w:sz w:val="24"/>
          <w:szCs w:val="24"/>
        </w:rPr>
        <w:t xml:space="preserve"> absorberes hurtigt og let krydser placentabarrieren. Eksisterende </w:t>
      </w:r>
      <w:proofErr w:type="spellStart"/>
      <w:r w:rsidRPr="00FF6DFA">
        <w:rPr>
          <w:sz w:val="24"/>
          <w:szCs w:val="24"/>
        </w:rPr>
        <w:t>dysreguleret</w:t>
      </w:r>
      <w:proofErr w:type="spellEnd"/>
      <w:r w:rsidRPr="00FF6DFA">
        <w:rPr>
          <w:sz w:val="24"/>
          <w:szCs w:val="24"/>
        </w:rPr>
        <w:t xml:space="preserve"> blodtryk, såsom den fysiologiske respiratoriske </w:t>
      </w:r>
      <w:proofErr w:type="spellStart"/>
      <w:r w:rsidRPr="00FF6DFA">
        <w:rPr>
          <w:sz w:val="24"/>
          <w:szCs w:val="24"/>
        </w:rPr>
        <w:t>alkalose</w:t>
      </w:r>
      <w:proofErr w:type="spellEnd"/>
      <w:r w:rsidRPr="00FF6DFA">
        <w:rPr>
          <w:sz w:val="24"/>
          <w:szCs w:val="24"/>
        </w:rPr>
        <w:t>, der er forbundet med graviditet, kan også forstærkes på grund af natriumbelastningen.</w:t>
      </w:r>
    </w:p>
    <w:p w14:paraId="42DBBB08" w14:textId="77777777" w:rsidR="003D1C90" w:rsidRPr="00FF6DFA" w:rsidRDefault="003D1C90" w:rsidP="00D833DD">
      <w:pPr>
        <w:ind w:left="851"/>
        <w:rPr>
          <w:sz w:val="24"/>
          <w:szCs w:val="24"/>
        </w:rPr>
      </w:pPr>
    </w:p>
    <w:p w14:paraId="02A2FE12" w14:textId="77777777" w:rsidR="003D1C90" w:rsidRPr="0004019A" w:rsidRDefault="003D1C90" w:rsidP="00D833DD">
      <w:pPr>
        <w:ind w:left="851"/>
        <w:rPr>
          <w:sz w:val="24"/>
          <w:szCs w:val="24"/>
          <w:u w:val="single"/>
        </w:rPr>
      </w:pPr>
      <w:r w:rsidRPr="0004019A">
        <w:rPr>
          <w:sz w:val="24"/>
          <w:szCs w:val="24"/>
          <w:u w:val="single"/>
        </w:rPr>
        <w:t>Fertilitet</w:t>
      </w:r>
    </w:p>
    <w:p w14:paraId="41F9BC0D" w14:textId="0BF61E39" w:rsidR="003D1C90" w:rsidRPr="00FF6DFA" w:rsidRDefault="003D1C90" w:rsidP="00D833DD">
      <w:pPr>
        <w:ind w:left="851"/>
        <w:rPr>
          <w:sz w:val="24"/>
          <w:szCs w:val="24"/>
        </w:rPr>
      </w:pPr>
      <w:r w:rsidRPr="00FF6DFA">
        <w:rPr>
          <w:sz w:val="24"/>
          <w:szCs w:val="24"/>
        </w:rPr>
        <w:t xml:space="preserve">Der er ingen tilgængelige data vedrørende virkningen af </w:t>
      </w:r>
      <w:proofErr w:type="spellStart"/>
      <w:r w:rsidRPr="00FF6DFA">
        <w:rPr>
          <w:sz w:val="24"/>
          <w:szCs w:val="24"/>
        </w:rPr>
        <w:t>Natriumhydrogencarbonat</w:t>
      </w:r>
      <w:proofErr w:type="spellEnd"/>
      <w:r w:rsidRPr="00FF6DFA">
        <w:rPr>
          <w:sz w:val="24"/>
          <w:szCs w:val="24"/>
        </w:rPr>
        <w:t xml:space="preserve"> </w:t>
      </w:r>
      <w:r w:rsidR="0004019A">
        <w:rPr>
          <w:sz w:val="24"/>
          <w:szCs w:val="24"/>
        </w:rPr>
        <w:t>"</w:t>
      </w:r>
      <w:r w:rsidRPr="00FF6DFA">
        <w:rPr>
          <w:sz w:val="24"/>
          <w:szCs w:val="24"/>
        </w:rPr>
        <w:t>PTR Pharma Consulting</w:t>
      </w:r>
      <w:r w:rsidR="0004019A">
        <w:rPr>
          <w:sz w:val="24"/>
          <w:szCs w:val="24"/>
        </w:rPr>
        <w:t>"</w:t>
      </w:r>
      <w:r w:rsidRPr="00FF6DFA">
        <w:rPr>
          <w:sz w:val="24"/>
          <w:szCs w:val="24"/>
        </w:rPr>
        <w:t xml:space="preserve"> på fertiliteten.</w:t>
      </w:r>
    </w:p>
    <w:p w14:paraId="696D922F" w14:textId="77777777" w:rsidR="009260DE" w:rsidRPr="00FF6DFA" w:rsidRDefault="009260DE" w:rsidP="009260DE">
      <w:pPr>
        <w:tabs>
          <w:tab w:val="left" w:pos="851"/>
        </w:tabs>
        <w:ind w:left="851"/>
        <w:rPr>
          <w:sz w:val="24"/>
          <w:szCs w:val="24"/>
        </w:rPr>
      </w:pPr>
    </w:p>
    <w:p w14:paraId="2B8E010C" w14:textId="77777777" w:rsidR="009260DE" w:rsidRPr="00FF6DFA" w:rsidRDefault="009260DE" w:rsidP="009260DE">
      <w:pPr>
        <w:tabs>
          <w:tab w:val="left" w:pos="851"/>
        </w:tabs>
        <w:ind w:left="851" w:hanging="851"/>
        <w:rPr>
          <w:b/>
          <w:sz w:val="24"/>
          <w:szCs w:val="24"/>
        </w:rPr>
      </w:pPr>
      <w:r w:rsidRPr="00FF6DFA">
        <w:rPr>
          <w:b/>
          <w:sz w:val="24"/>
          <w:szCs w:val="24"/>
        </w:rPr>
        <w:t>4.7</w:t>
      </w:r>
      <w:r w:rsidRPr="00FF6DFA">
        <w:rPr>
          <w:b/>
          <w:sz w:val="24"/>
          <w:szCs w:val="24"/>
        </w:rPr>
        <w:tab/>
        <w:t xml:space="preserve">Virkning på evnen til at føre motorkøretøj </w:t>
      </w:r>
      <w:r w:rsidR="0071241E" w:rsidRPr="00FF6DFA">
        <w:rPr>
          <w:b/>
          <w:sz w:val="24"/>
          <w:szCs w:val="24"/>
        </w:rPr>
        <w:t>og</w:t>
      </w:r>
      <w:r w:rsidRPr="00FF6DFA">
        <w:rPr>
          <w:b/>
          <w:sz w:val="24"/>
          <w:szCs w:val="24"/>
        </w:rPr>
        <w:t xml:space="preserve"> betjene maskiner</w:t>
      </w:r>
    </w:p>
    <w:p w14:paraId="6BDEFFC2" w14:textId="77777777" w:rsidR="003D1C90" w:rsidRPr="00FF6DFA" w:rsidRDefault="003D1C90" w:rsidP="00D833DD">
      <w:pPr>
        <w:ind w:left="851"/>
        <w:rPr>
          <w:sz w:val="24"/>
          <w:szCs w:val="24"/>
        </w:rPr>
      </w:pPr>
      <w:r w:rsidRPr="00FF6DFA">
        <w:rPr>
          <w:sz w:val="24"/>
          <w:szCs w:val="24"/>
        </w:rPr>
        <w:t>Ikke mærkning.</w:t>
      </w:r>
    </w:p>
    <w:p w14:paraId="65069FB9" w14:textId="4C8D5562" w:rsidR="003D1C90" w:rsidRPr="00FF6DFA" w:rsidRDefault="003D1C90" w:rsidP="00D833DD">
      <w:pPr>
        <w:ind w:left="851"/>
        <w:rPr>
          <w:sz w:val="24"/>
          <w:szCs w:val="24"/>
        </w:rPr>
      </w:pPr>
      <w:proofErr w:type="spellStart"/>
      <w:r w:rsidRPr="00FF6DFA">
        <w:rPr>
          <w:sz w:val="24"/>
          <w:szCs w:val="24"/>
        </w:rPr>
        <w:t>Natriumhydrogencarbonat</w:t>
      </w:r>
      <w:proofErr w:type="spellEnd"/>
      <w:r w:rsidRPr="00FF6DFA">
        <w:rPr>
          <w:sz w:val="24"/>
          <w:szCs w:val="24"/>
        </w:rPr>
        <w:t xml:space="preserve"> PTR </w:t>
      </w:r>
      <w:r w:rsidR="0004019A">
        <w:rPr>
          <w:sz w:val="24"/>
          <w:szCs w:val="24"/>
        </w:rPr>
        <w:t>"</w:t>
      </w:r>
      <w:r w:rsidRPr="00FF6DFA">
        <w:rPr>
          <w:sz w:val="24"/>
          <w:szCs w:val="24"/>
        </w:rPr>
        <w:t>Pharma Consulting</w:t>
      </w:r>
      <w:r w:rsidR="0004019A">
        <w:rPr>
          <w:sz w:val="24"/>
          <w:szCs w:val="24"/>
        </w:rPr>
        <w:t>"</w:t>
      </w:r>
      <w:r w:rsidRPr="00FF6DFA">
        <w:rPr>
          <w:sz w:val="24"/>
          <w:szCs w:val="24"/>
        </w:rPr>
        <w:t xml:space="preserve"> påvirker ikke evnen til at føre motorkøretøj og betjene maskiner.</w:t>
      </w:r>
    </w:p>
    <w:p w14:paraId="62CDFE24" w14:textId="77777777" w:rsidR="009260DE" w:rsidRPr="00FF6DFA" w:rsidRDefault="009260DE" w:rsidP="009260DE">
      <w:pPr>
        <w:tabs>
          <w:tab w:val="left" w:pos="851"/>
        </w:tabs>
        <w:ind w:left="851"/>
        <w:rPr>
          <w:sz w:val="24"/>
          <w:szCs w:val="24"/>
        </w:rPr>
      </w:pPr>
    </w:p>
    <w:p w14:paraId="139B873F" w14:textId="77777777" w:rsidR="009260DE" w:rsidRPr="00FF6DFA" w:rsidRDefault="009260DE" w:rsidP="009260DE">
      <w:pPr>
        <w:tabs>
          <w:tab w:val="left" w:pos="851"/>
        </w:tabs>
        <w:ind w:left="851" w:hanging="851"/>
        <w:rPr>
          <w:b/>
          <w:sz w:val="24"/>
          <w:szCs w:val="24"/>
        </w:rPr>
      </w:pPr>
      <w:r w:rsidRPr="00FF6DFA">
        <w:rPr>
          <w:b/>
          <w:sz w:val="24"/>
          <w:szCs w:val="24"/>
        </w:rPr>
        <w:t>4.8</w:t>
      </w:r>
      <w:r w:rsidRPr="00FF6DFA">
        <w:rPr>
          <w:b/>
          <w:sz w:val="24"/>
          <w:szCs w:val="24"/>
        </w:rPr>
        <w:tab/>
        <w:t>Bivirkninger</w:t>
      </w:r>
    </w:p>
    <w:p w14:paraId="6E5937A5" w14:textId="77777777" w:rsidR="003D1C90" w:rsidRPr="00FF6DFA" w:rsidRDefault="003D1C90" w:rsidP="00D833DD">
      <w:pPr>
        <w:ind w:left="851"/>
        <w:rPr>
          <w:sz w:val="24"/>
          <w:szCs w:val="24"/>
        </w:rPr>
      </w:pPr>
      <w:r w:rsidRPr="00FF6DFA">
        <w:rPr>
          <w:sz w:val="24"/>
          <w:szCs w:val="24"/>
        </w:rPr>
        <w:t>Følgende hyppigheder er anvendt til angivelse af bivirkninger:</w:t>
      </w:r>
    </w:p>
    <w:p w14:paraId="6FB8ADCC" w14:textId="77777777" w:rsidR="003D1C90" w:rsidRPr="00FF6DFA" w:rsidRDefault="003D1C90" w:rsidP="00D833DD">
      <w:pPr>
        <w:ind w:left="851"/>
        <w:rPr>
          <w:sz w:val="24"/>
          <w:szCs w:val="24"/>
        </w:rPr>
      </w:pPr>
    </w:p>
    <w:p w14:paraId="1AF06ADD" w14:textId="77777777" w:rsidR="003D1C90" w:rsidRPr="00FF6DFA" w:rsidRDefault="003D1C90" w:rsidP="00D833DD">
      <w:pPr>
        <w:ind w:left="851"/>
        <w:rPr>
          <w:sz w:val="24"/>
          <w:szCs w:val="24"/>
        </w:rPr>
      </w:pPr>
      <w:r w:rsidRPr="00FF6DFA">
        <w:rPr>
          <w:i/>
          <w:iCs/>
          <w:sz w:val="24"/>
          <w:szCs w:val="24"/>
        </w:rPr>
        <w:t>Meget almindelig</w:t>
      </w:r>
      <w:r w:rsidRPr="00FF6DFA">
        <w:rPr>
          <w:sz w:val="24"/>
          <w:szCs w:val="24"/>
        </w:rPr>
        <w:t xml:space="preserve"> (≥ 1/10)</w:t>
      </w:r>
    </w:p>
    <w:p w14:paraId="14406E97" w14:textId="77777777" w:rsidR="003D1C90" w:rsidRPr="00FF6DFA" w:rsidRDefault="003D1C90" w:rsidP="00D833DD">
      <w:pPr>
        <w:ind w:left="851"/>
        <w:rPr>
          <w:sz w:val="24"/>
          <w:szCs w:val="24"/>
        </w:rPr>
      </w:pPr>
      <w:r w:rsidRPr="00FF6DFA">
        <w:rPr>
          <w:i/>
          <w:iCs/>
          <w:sz w:val="24"/>
          <w:szCs w:val="24"/>
        </w:rPr>
        <w:t>Almindelig</w:t>
      </w:r>
      <w:r w:rsidRPr="00FF6DFA">
        <w:rPr>
          <w:sz w:val="24"/>
          <w:szCs w:val="24"/>
        </w:rPr>
        <w:t xml:space="preserve"> (≥ 1/100 til &lt; 1/10)</w:t>
      </w:r>
    </w:p>
    <w:p w14:paraId="06DF4338" w14:textId="77777777" w:rsidR="003D1C90" w:rsidRPr="00FF6DFA" w:rsidRDefault="003D1C90" w:rsidP="00D833DD">
      <w:pPr>
        <w:ind w:left="851"/>
        <w:rPr>
          <w:sz w:val="24"/>
          <w:szCs w:val="24"/>
        </w:rPr>
      </w:pPr>
      <w:r w:rsidRPr="00FF6DFA">
        <w:rPr>
          <w:i/>
          <w:iCs/>
          <w:sz w:val="24"/>
          <w:szCs w:val="24"/>
        </w:rPr>
        <w:t>Ikke almindelig</w:t>
      </w:r>
      <w:r w:rsidRPr="00FF6DFA">
        <w:rPr>
          <w:sz w:val="24"/>
          <w:szCs w:val="24"/>
        </w:rPr>
        <w:t xml:space="preserve"> (≥ 1/1.000 til &lt; 1/100)</w:t>
      </w:r>
    </w:p>
    <w:p w14:paraId="3E225CD6" w14:textId="77777777" w:rsidR="003D1C90" w:rsidRPr="00FF6DFA" w:rsidRDefault="003D1C90" w:rsidP="00D833DD">
      <w:pPr>
        <w:ind w:left="851"/>
        <w:rPr>
          <w:sz w:val="24"/>
          <w:szCs w:val="24"/>
        </w:rPr>
      </w:pPr>
      <w:r w:rsidRPr="00FF6DFA">
        <w:rPr>
          <w:i/>
          <w:iCs/>
          <w:sz w:val="24"/>
          <w:szCs w:val="24"/>
        </w:rPr>
        <w:t>Sjælden</w:t>
      </w:r>
      <w:r w:rsidRPr="00FF6DFA">
        <w:rPr>
          <w:sz w:val="24"/>
          <w:szCs w:val="24"/>
        </w:rPr>
        <w:t xml:space="preserve"> (≥ 1/10.000 til &lt; 1/1.000)</w:t>
      </w:r>
    </w:p>
    <w:p w14:paraId="47505F00" w14:textId="77777777" w:rsidR="003D1C90" w:rsidRPr="00FF6DFA" w:rsidRDefault="003D1C90" w:rsidP="00D833DD">
      <w:pPr>
        <w:ind w:left="851"/>
        <w:rPr>
          <w:sz w:val="24"/>
          <w:szCs w:val="24"/>
        </w:rPr>
      </w:pPr>
      <w:r w:rsidRPr="00FF6DFA">
        <w:rPr>
          <w:i/>
          <w:iCs/>
          <w:sz w:val="24"/>
          <w:szCs w:val="24"/>
        </w:rPr>
        <w:t>Meget sjælden</w:t>
      </w:r>
      <w:r w:rsidRPr="00FF6DFA">
        <w:rPr>
          <w:sz w:val="24"/>
          <w:szCs w:val="24"/>
        </w:rPr>
        <w:t xml:space="preserve"> (&lt; 1/10.000)</w:t>
      </w:r>
    </w:p>
    <w:p w14:paraId="715953FF" w14:textId="77777777" w:rsidR="003D1C90" w:rsidRPr="00FF6DFA" w:rsidRDefault="003D1C90" w:rsidP="00D833DD">
      <w:pPr>
        <w:ind w:left="851"/>
        <w:rPr>
          <w:sz w:val="24"/>
          <w:szCs w:val="24"/>
        </w:rPr>
      </w:pPr>
      <w:r w:rsidRPr="00FF6DFA">
        <w:rPr>
          <w:sz w:val="24"/>
          <w:szCs w:val="24"/>
        </w:rPr>
        <w:t>Ikke kendt (kan ikke estimeres ud fra forhåndenværende data)</w:t>
      </w:r>
    </w:p>
    <w:p w14:paraId="0AF8450B" w14:textId="77777777" w:rsidR="003D1C90" w:rsidRPr="00FF6DFA" w:rsidRDefault="003D1C90" w:rsidP="00D833DD">
      <w:pPr>
        <w:ind w:left="851"/>
        <w:rPr>
          <w:sz w:val="24"/>
          <w:szCs w:val="24"/>
        </w:rPr>
      </w:pPr>
    </w:p>
    <w:p w14:paraId="717D5D95" w14:textId="77777777" w:rsidR="003D1C90" w:rsidRPr="00FF6DFA" w:rsidRDefault="003D1C90" w:rsidP="00D833DD">
      <w:pPr>
        <w:ind w:left="851"/>
        <w:rPr>
          <w:i/>
          <w:iCs/>
          <w:sz w:val="24"/>
          <w:szCs w:val="24"/>
        </w:rPr>
      </w:pPr>
      <w:r w:rsidRPr="00FF6DFA">
        <w:rPr>
          <w:i/>
          <w:iCs/>
          <w:sz w:val="24"/>
          <w:szCs w:val="24"/>
        </w:rPr>
        <w:t>Mave-tarm-kanalen</w:t>
      </w:r>
    </w:p>
    <w:p w14:paraId="717C0BDF" w14:textId="77777777" w:rsidR="003D1C90" w:rsidRPr="00FF6DFA" w:rsidRDefault="003D1C90" w:rsidP="00D833DD">
      <w:pPr>
        <w:ind w:left="851"/>
        <w:rPr>
          <w:sz w:val="24"/>
          <w:szCs w:val="24"/>
        </w:rPr>
      </w:pPr>
      <w:r w:rsidRPr="00FF6DFA">
        <w:rPr>
          <w:i/>
          <w:iCs/>
          <w:sz w:val="24"/>
          <w:szCs w:val="24"/>
        </w:rPr>
        <w:t>Ikke kendt:</w:t>
      </w:r>
      <w:r w:rsidRPr="00FF6DFA">
        <w:rPr>
          <w:sz w:val="24"/>
          <w:szCs w:val="24"/>
        </w:rPr>
        <w:t xml:space="preserve"> </w:t>
      </w:r>
      <w:proofErr w:type="spellStart"/>
      <w:r w:rsidRPr="00FF6DFA">
        <w:rPr>
          <w:sz w:val="24"/>
          <w:szCs w:val="24"/>
        </w:rPr>
        <w:t>flatulens</w:t>
      </w:r>
      <w:proofErr w:type="spellEnd"/>
      <w:r w:rsidRPr="00FF6DFA">
        <w:rPr>
          <w:sz w:val="24"/>
          <w:szCs w:val="24"/>
        </w:rPr>
        <w:t xml:space="preserve"> og </w:t>
      </w:r>
      <w:proofErr w:type="spellStart"/>
      <w:r w:rsidRPr="00FF6DFA">
        <w:rPr>
          <w:sz w:val="24"/>
          <w:szCs w:val="24"/>
        </w:rPr>
        <w:t>abdominalsmerter</w:t>
      </w:r>
      <w:proofErr w:type="spellEnd"/>
      <w:r w:rsidRPr="00FF6DFA">
        <w:rPr>
          <w:sz w:val="24"/>
          <w:szCs w:val="24"/>
        </w:rPr>
        <w:t>.</w:t>
      </w:r>
    </w:p>
    <w:p w14:paraId="3EE055D5" w14:textId="77777777" w:rsidR="003D1C90" w:rsidRPr="00FF6DFA" w:rsidRDefault="003D1C90" w:rsidP="00D833DD">
      <w:pPr>
        <w:ind w:left="851"/>
        <w:rPr>
          <w:sz w:val="24"/>
          <w:szCs w:val="24"/>
        </w:rPr>
      </w:pPr>
    </w:p>
    <w:p w14:paraId="3F49B4E7" w14:textId="77777777" w:rsidR="003D1C90" w:rsidRPr="00FF6DFA" w:rsidRDefault="003D1C90" w:rsidP="00D833DD">
      <w:pPr>
        <w:ind w:left="851"/>
        <w:rPr>
          <w:i/>
          <w:iCs/>
          <w:sz w:val="24"/>
          <w:szCs w:val="24"/>
        </w:rPr>
      </w:pPr>
      <w:r w:rsidRPr="00FF6DFA">
        <w:rPr>
          <w:i/>
          <w:iCs/>
          <w:sz w:val="24"/>
          <w:szCs w:val="24"/>
        </w:rPr>
        <w:t>Nyrer og urinveje</w:t>
      </w:r>
    </w:p>
    <w:p w14:paraId="09ADEAAC" w14:textId="77777777" w:rsidR="003D1C90" w:rsidRPr="00FF6DFA" w:rsidRDefault="003D1C90" w:rsidP="00D833DD">
      <w:pPr>
        <w:ind w:left="851"/>
        <w:rPr>
          <w:sz w:val="24"/>
          <w:szCs w:val="24"/>
        </w:rPr>
      </w:pPr>
      <w:r w:rsidRPr="00FF6DFA">
        <w:rPr>
          <w:sz w:val="24"/>
          <w:szCs w:val="24"/>
        </w:rPr>
        <w:t xml:space="preserve">Ikke kendt: fremmelse af calcium- eller </w:t>
      </w:r>
      <w:proofErr w:type="spellStart"/>
      <w:r w:rsidRPr="00FF6DFA">
        <w:rPr>
          <w:sz w:val="24"/>
          <w:szCs w:val="24"/>
        </w:rPr>
        <w:t>magnesiumphosphat</w:t>
      </w:r>
      <w:proofErr w:type="spellEnd"/>
      <w:r w:rsidRPr="00FF6DFA">
        <w:rPr>
          <w:sz w:val="24"/>
          <w:szCs w:val="24"/>
        </w:rPr>
        <w:t xml:space="preserve"> </w:t>
      </w:r>
      <w:proofErr w:type="spellStart"/>
      <w:r w:rsidRPr="00FF6DFA">
        <w:rPr>
          <w:sz w:val="24"/>
          <w:szCs w:val="24"/>
        </w:rPr>
        <w:t>nefrolithiasis</w:t>
      </w:r>
      <w:proofErr w:type="spellEnd"/>
      <w:r w:rsidRPr="00FF6DFA">
        <w:rPr>
          <w:sz w:val="24"/>
          <w:szCs w:val="24"/>
        </w:rPr>
        <w:t xml:space="preserve"> ved kronisk anvendelse.</w:t>
      </w:r>
    </w:p>
    <w:p w14:paraId="70107969" w14:textId="77777777" w:rsidR="003D1C90" w:rsidRPr="00FF6DFA" w:rsidRDefault="003D1C90" w:rsidP="00D833DD">
      <w:pPr>
        <w:ind w:left="851"/>
        <w:rPr>
          <w:sz w:val="24"/>
          <w:szCs w:val="24"/>
        </w:rPr>
      </w:pPr>
    </w:p>
    <w:p w14:paraId="430EA270" w14:textId="77777777" w:rsidR="003D1C90" w:rsidRPr="00FF6DFA" w:rsidRDefault="003D1C90" w:rsidP="00D833DD">
      <w:pPr>
        <w:ind w:left="851"/>
        <w:rPr>
          <w:i/>
          <w:iCs/>
          <w:sz w:val="24"/>
          <w:szCs w:val="24"/>
        </w:rPr>
      </w:pPr>
      <w:r w:rsidRPr="00FF6DFA">
        <w:rPr>
          <w:i/>
          <w:iCs/>
          <w:sz w:val="24"/>
          <w:szCs w:val="24"/>
        </w:rPr>
        <w:t>Knogler, led, muskler og bindevæv</w:t>
      </w:r>
    </w:p>
    <w:p w14:paraId="237A6EBE" w14:textId="77777777" w:rsidR="003D1C90" w:rsidRPr="00FF6DFA" w:rsidRDefault="003D1C90" w:rsidP="00D833DD">
      <w:pPr>
        <w:ind w:left="851"/>
        <w:rPr>
          <w:sz w:val="24"/>
          <w:szCs w:val="24"/>
        </w:rPr>
      </w:pPr>
      <w:r w:rsidRPr="00FF6DFA">
        <w:rPr>
          <w:i/>
          <w:iCs/>
          <w:sz w:val="24"/>
          <w:szCs w:val="24"/>
        </w:rPr>
        <w:t>Ikke kendt:</w:t>
      </w:r>
      <w:r w:rsidRPr="00FF6DFA">
        <w:rPr>
          <w:sz w:val="24"/>
          <w:szCs w:val="24"/>
        </w:rPr>
        <w:t xml:space="preserve"> </w:t>
      </w:r>
      <w:proofErr w:type="spellStart"/>
      <w:r w:rsidRPr="00FF6DFA">
        <w:rPr>
          <w:sz w:val="24"/>
          <w:szCs w:val="24"/>
        </w:rPr>
        <w:t>hypocalcæmisk</w:t>
      </w:r>
      <w:proofErr w:type="spellEnd"/>
      <w:r w:rsidRPr="00FF6DFA">
        <w:rPr>
          <w:sz w:val="24"/>
          <w:szCs w:val="24"/>
        </w:rPr>
        <w:t xml:space="preserve"> tetani, (muskel-</w:t>
      </w:r>
      <w:proofErr w:type="spellStart"/>
      <w:r w:rsidRPr="00FF6DFA">
        <w:rPr>
          <w:sz w:val="24"/>
          <w:szCs w:val="24"/>
        </w:rPr>
        <w:t>hyperexcitabilitet</w:t>
      </w:r>
      <w:proofErr w:type="spellEnd"/>
      <w:r w:rsidRPr="00FF6DFA">
        <w:rPr>
          <w:sz w:val="24"/>
          <w:szCs w:val="24"/>
        </w:rPr>
        <w:t xml:space="preserve"> forårsaget af nedsat calciumindhold i blodet) hvis dosis overstiges. Hos patienter med eksisterende forstyrrelser i mave-tarm-kanalen, f.eks. diarré, kan der forekomme forværring af disse forstyrrelser.</w:t>
      </w:r>
    </w:p>
    <w:p w14:paraId="2AF73083" w14:textId="77777777" w:rsidR="003D1C90" w:rsidRPr="00FF6DFA" w:rsidRDefault="003D1C90" w:rsidP="00D833DD">
      <w:pPr>
        <w:ind w:left="851"/>
        <w:rPr>
          <w:sz w:val="24"/>
          <w:szCs w:val="24"/>
        </w:rPr>
      </w:pPr>
    </w:p>
    <w:p w14:paraId="680CE1FC" w14:textId="77777777" w:rsidR="003D1C90" w:rsidRPr="00FF6DFA" w:rsidRDefault="003D1C90" w:rsidP="00D833DD">
      <w:pPr>
        <w:ind w:left="851"/>
        <w:rPr>
          <w:i/>
          <w:iCs/>
          <w:sz w:val="24"/>
          <w:szCs w:val="24"/>
        </w:rPr>
      </w:pPr>
      <w:r w:rsidRPr="00FF6DFA">
        <w:rPr>
          <w:i/>
          <w:iCs/>
          <w:sz w:val="24"/>
          <w:szCs w:val="24"/>
        </w:rPr>
        <w:t>Hud og subkutane væv</w:t>
      </w:r>
    </w:p>
    <w:p w14:paraId="51467CED" w14:textId="77777777" w:rsidR="003D1C90" w:rsidRPr="00FF6DFA" w:rsidRDefault="003D1C90" w:rsidP="00D833DD">
      <w:pPr>
        <w:ind w:left="851"/>
        <w:rPr>
          <w:sz w:val="24"/>
          <w:szCs w:val="24"/>
        </w:rPr>
      </w:pPr>
      <w:r w:rsidRPr="00FF6DFA">
        <w:rPr>
          <w:i/>
          <w:iCs/>
          <w:sz w:val="24"/>
          <w:szCs w:val="24"/>
        </w:rPr>
        <w:t>Meget sjælden:</w:t>
      </w:r>
      <w:r w:rsidRPr="00FF6DFA">
        <w:rPr>
          <w:sz w:val="24"/>
          <w:szCs w:val="24"/>
        </w:rPr>
        <w:t xml:space="preserve"> allergiske reaktioner over for sojaolie.</w:t>
      </w:r>
    </w:p>
    <w:p w14:paraId="18337E05" w14:textId="77777777" w:rsidR="003D1C90" w:rsidRPr="00FF6DFA" w:rsidRDefault="003D1C90" w:rsidP="00D833DD">
      <w:pPr>
        <w:ind w:left="851"/>
        <w:rPr>
          <w:sz w:val="24"/>
          <w:szCs w:val="24"/>
        </w:rPr>
      </w:pPr>
    </w:p>
    <w:p w14:paraId="0A764B34" w14:textId="77777777" w:rsidR="003D1C90" w:rsidRPr="00FF6DFA" w:rsidRDefault="003D1C90" w:rsidP="00D833DD">
      <w:pPr>
        <w:ind w:left="851"/>
        <w:rPr>
          <w:sz w:val="24"/>
          <w:szCs w:val="24"/>
          <w:u w:val="single"/>
        </w:rPr>
      </w:pPr>
      <w:r w:rsidRPr="00FF6DFA">
        <w:rPr>
          <w:sz w:val="24"/>
          <w:szCs w:val="24"/>
          <w:u w:val="single"/>
        </w:rPr>
        <w:t>Indberetning af formodede bivirkninger</w:t>
      </w:r>
    </w:p>
    <w:p w14:paraId="772FC502" w14:textId="77777777" w:rsidR="003D1C90" w:rsidRPr="00FF6DFA" w:rsidRDefault="003D1C90" w:rsidP="00D833DD">
      <w:pPr>
        <w:ind w:left="851"/>
        <w:rPr>
          <w:sz w:val="24"/>
          <w:szCs w:val="24"/>
        </w:rPr>
      </w:pPr>
      <w:r w:rsidRPr="00FF6DFA">
        <w:rPr>
          <w:sz w:val="24"/>
          <w:szCs w:val="24"/>
        </w:rPr>
        <w:t>Når lægemidlet er godkendt, er indberetning af formodede bivirkninger vigtig. Det muliggør løbende overvågning af benefit/</w:t>
      </w:r>
      <w:proofErr w:type="spellStart"/>
      <w:r w:rsidRPr="00FF6DFA">
        <w:rPr>
          <w:sz w:val="24"/>
          <w:szCs w:val="24"/>
        </w:rPr>
        <w:t>risk</w:t>
      </w:r>
      <w:proofErr w:type="spellEnd"/>
      <w:r w:rsidRPr="00FF6DFA">
        <w:rPr>
          <w:sz w:val="24"/>
          <w:szCs w:val="24"/>
        </w:rPr>
        <w:t>-forholdet for lægemidlet. Sundhedspersoner anmodes om at indberette alle formodede bivirkninger via:</w:t>
      </w:r>
    </w:p>
    <w:p w14:paraId="7EA5C3A0" w14:textId="77777777" w:rsidR="003D1C90" w:rsidRPr="00FF6DFA" w:rsidRDefault="003D1C90" w:rsidP="00D833DD">
      <w:pPr>
        <w:ind w:left="851"/>
        <w:rPr>
          <w:sz w:val="24"/>
          <w:szCs w:val="24"/>
        </w:rPr>
      </w:pPr>
    </w:p>
    <w:p w14:paraId="384ED287" w14:textId="77777777" w:rsidR="003D1C90" w:rsidRPr="00FF6DFA" w:rsidRDefault="003D1C90" w:rsidP="00D833DD">
      <w:pPr>
        <w:ind w:left="851"/>
        <w:rPr>
          <w:sz w:val="24"/>
          <w:szCs w:val="24"/>
        </w:rPr>
      </w:pPr>
      <w:r w:rsidRPr="00FF6DFA">
        <w:rPr>
          <w:sz w:val="24"/>
          <w:szCs w:val="24"/>
        </w:rPr>
        <w:t>Lægemiddelstyrelsen</w:t>
      </w:r>
    </w:p>
    <w:p w14:paraId="42EF5331" w14:textId="77777777" w:rsidR="003D1C90" w:rsidRPr="00FF6DFA" w:rsidRDefault="003D1C90" w:rsidP="00D833DD">
      <w:pPr>
        <w:ind w:left="851"/>
        <w:rPr>
          <w:sz w:val="24"/>
          <w:szCs w:val="24"/>
        </w:rPr>
      </w:pPr>
      <w:r w:rsidRPr="00FF6DFA">
        <w:rPr>
          <w:sz w:val="24"/>
          <w:szCs w:val="24"/>
        </w:rPr>
        <w:t>Axel Heides Gade 1</w:t>
      </w:r>
    </w:p>
    <w:p w14:paraId="725769F2" w14:textId="77777777" w:rsidR="003D1C90" w:rsidRPr="00FF6DFA" w:rsidRDefault="003D1C90" w:rsidP="00D833DD">
      <w:pPr>
        <w:ind w:left="851"/>
        <w:rPr>
          <w:sz w:val="24"/>
          <w:szCs w:val="24"/>
        </w:rPr>
      </w:pPr>
      <w:r w:rsidRPr="00FF6DFA">
        <w:rPr>
          <w:sz w:val="24"/>
          <w:szCs w:val="24"/>
        </w:rPr>
        <w:t>DK</w:t>
      </w:r>
      <w:r w:rsidRPr="00FF6DFA">
        <w:rPr>
          <w:sz w:val="24"/>
          <w:szCs w:val="24"/>
        </w:rPr>
        <w:noBreakHyphen/>
        <w:t>2300 København S</w:t>
      </w:r>
    </w:p>
    <w:p w14:paraId="1E885F61" w14:textId="77777777" w:rsidR="003D1C90" w:rsidRPr="00FF6DFA" w:rsidRDefault="003D1C90" w:rsidP="00D833DD">
      <w:pPr>
        <w:ind w:left="851"/>
        <w:rPr>
          <w:sz w:val="24"/>
          <w:szCs w:val="24"/>
        </w:rPr>
      </w:pPr>
      <w:r w:rsidRPr="00FF6DFA">
        <w:rPr>
          <w:sz w:val="24"/>
          <w:szCs w:val="24"/>
        </w:rPr>
        <w:t xml:space="preserve">Websted: </w:t>
      </w:r>
      <w:hyperlink r:id="rId8" w:history="1">
        <w:r w:rsidRPr="00FF6DFA">
          <w:rPr>
            <w:rStyle w:val="Hyperlink"/>
            <w:sz w:val="24"/>
            <w:szCs w:val="24"/>
          </w:rPr>
          <w:t>www.meldenbivirkning.dk</w:t>
        </w:r>
      </w:hyperlink>
    </w:p>
    <w:p w14:paraId="2C5FB34B" w14:textId="77777777" w:rsidR="009260DE" w:rsidRPr="00FF6DFA" w:rsidRDefault="009260DE" w:rsidP="00A10294">
      <w:pPr>
        <w:tabs>
          <w:tab w:val="left" w:pos="851"/>
        </w:tabs>
        <w:ind w:left="851"/>
        <w:rPr>
          <w:sz w:val="24"/>
          <w:szCs w:val="24"/>
        </w:rPr>
      </w:pPr>
    </w:p>
    <w:p w14:paraId="6E6E1EE8" w14:textId="77777777" w:rsidR="009260DE" w:rsidRPr="00FF6DFA" w:rsidRDefault="009260DE" w:rsidP="009260DE">
      <w:pPr>
        <w:tabs>
          <w:tab w:val="left" w:pos="851"/>
        </w:tabs>
        <w:ind w:left="851" w:hanging="851"/>
        <w:rPr>
          <w:b/>
          <w:sz w:val="24"/>
          <w:szCs w:val="24"/>
        </w:rPr>
      </w:pPr>
      <w:r w:rsidRPr="00FF6DFA">
        <w:rPr>
          <w:b/>
          <w:sz w:val="24"/>
          <w:szCs w:val="24"/>
        </w:rPr>
        <w:t>4.9</w:t>
      </w:r>
      <w:r w:rsidRPr="00FF6DFA">
        <w:rPr>
          <w:b/>
          <w:sz w:val="24"/>
          <w:szCs w:val="24"/>
        </w:rPr>
        <w:tab/>
        <w:t>Overdosering</w:t>
      </w:r>
    </w:p>
    <w:p w14:paraId="6793CFF7" w14:textId="60730627" w:rsidR="003D1C90" w:rsidRPr="00FF6DFA" w:rsidRDefault="003D1C90" w:rsidP="00D833DD">
      <w:pPr>
        <w:ind w:left="851"/>
        <w:rPr>
          <w:sz w:val="24"/>
          <w:szCs w:val="24"/>
        </w:rPr>
      </w:pPr>
      <w:r w:rsidRPr="00FF6DFA">
        <w:rPr>
          <w:sz w:val="24"/>
          <w:szCs w:val="24"/>
        </w:rPr>
        <w:t xml:space="preserve">I tilfælde af absolut eller relativ overdosering (f.eks. ved nedsat nyrefunktion) kan selv orale doser af </w:t>
      </w:r>
      <w:proofErr w:type="spellStart"/>
      <w:r w:rsidRPr="00FF6DFA">
        <w:rPr>
          <w:sz w:val="24"/>
          <w:szCs w:val="24"/>
        </w:rPr>
        <w:t>natriumhydrogencarbonat</w:t>
      </w:r>
      <w:proofErr w:type="spellEnd"/>
      <w:r w:rsidRPr="00FF6DFA">
        <w:rPr>
          <w:sz w:val="24"/>
          <w:szCs w:val="24"/>
        </w:rPr>
        <w:t xml:space="preserve"> føre til </w:t>
      </w:r>
      <w:proofErr w:type="spellStart"/>
      <w:r w:rsidRPr="00FF6DFA">
        <w:rPr>
          <w:sz w:val="24"/>
          <w:szCs w:val="24"/>
        </w:rPr>
        <w:t>alkalose</w:t>
      </w:r>
      <w:proofErr w:type="spellEnd"/>
      <w:r w:rsidRPr="00FF6DFA">
        <w:rPr>
          <w:sz w:val="24"/>
          <w:szCs w:val="24"/>
        </w:rPr>
        <w:t xml:space="preserve"> med svimmelhed, muskelsvaghed, træthed, cyanose, </w:t>
      </w:r>
      <w:proofErr w:type="spellStart"/>
      <w:r w:rsidRPr="00FF6DFA">
        <w:rPr>
          <w:sz w:val="24"/>
          <w:szCs w:val="24"/>
        </w:rPr>
        <w:t>hypo</w:t>
      </w:r>
      <w:r w:rsidRPr="00FF6DFA">
        <w:rPr>
          <w:sz w:val="24"/>
          <w:szCs w:val="24"/>
        </w:rPr>
        <w:softHyphen/>
        <w:t>ventilation</w:t>
      </w:r>
      <w:proofErr w:type="spellEnd"/>
      <w:r w:rsidRPr="00FF6DFA">
        <w:rPr>
          <w:sz w:val="24"/>
          <w:szCs w:val="24"/>
        </w:rPr>
        <w:t xml:space="preserve"> og tetanus-symptomer. Apati, forvirring, </w:t>
      </w:r>
      <w:proofErr w:type="spellStart"/>
      <w:r w:rsidRPr="00FF6DFA">
        <w:rPr>
          <w:sz w:val="24"/>
          <w:szCs w:val="24"/>
        </w:rPr>
        <w:t>ileus</w:t>
      </w:r>
      <w:proofErr w:type="spellEnd"/>
      <w:r w:rsidRPr="00FF6DFA">
        <w:rPr>
          <w:sz w:val="24"/>
          <w:szCs w:val="24"/>
        </w:rPr>
        <w:t xml:space="preserve"> og </w:t>
      </w:r>
      <w:proofErr w:type="spellStart"/>
      <w:r w:rsidRPr="00FF6DFA">
        <w:rPr>
          <w:sz w:val="24"/>
          <w:szCs w:val="24"/>
        </w:rPr>
        <w:t>cirkulatorisk</w:t>
      </w:r>
      <w:proofErr w:type="spellEnd"/>
      <w:r w:rsidRPr="00FF6DFA">
        <w:rPr>
          <w:sz w:val="24"/>
          <w:szCs w:val="24"/>
        </w:rPr>
        <w:t xml:space="preserve"> kollaps kan opstå efter</w:t>
      </w:r>
      <w:r w:rsidRPr="00FF6DFA">
        <w:rPr>
          <w:sz w:val="24"/>
          <w:szCs w:val="24"/>
        </w:rPr>
        <w:softHyphen/>
        <w:t>følgende. Behandlingen består i korrigering af væske</w:t>
      </w:r>
      <w:r w:rsidRPr="00FF6DFA">
        <w:rPr>
          <w:sz w:val="24"/>
          <w:szCs w:val="24"/>
        </w:rPr>
        <w:noBreakHyphen/>
        <w:t xml:space="preserve"> og elektrolytbalancen, særligt med tilførsel af calcium, kalium og, om nødvendigt, </w:t>
      </w:r>
      <w:proofErr w:type="spellStart"/>
      <w:r w:rsidRPr="00FF6DFA">
        <w:rPr>
          <w:sz w:val="24"/>
          <w:szCs w:val="24"/>
        </w:rPr>
        <w:t>chlorid</w:t>
      </w:r>
      <w:proofErr w:type="spellEnd"/>
      <w:r w:rsidRPr="00FF6DFA">
        <w:rPr>
          <w:sz w:val="24"/>
          <w:szCs w:val="24"/>
        </w:rPr>
        <w:t xml:space="preserve">. I enkelte tilfælde kan symptomer på akut </w:t>
      </w:r>
      <w:proofErr w:type="spellStart"/>
      <w:r w:rsidRPr="00FF6DFA">
        <w:rPr>
          <w:sz w:val="24"/>
          <w:szCs w:val="24"/>
        </w:rPr>
        <w:t>hypernatriæmi</w:t>
      </w:r>
      <w:proofErr w:type="spellEnd"/>
      <w:r w:rsidRPr="00FF6DFA">
        <w:rPr>
          <w:sz w:val="24"/>
          <w:szCs w:val="24"/>
        </w:rPr>
        <w:t xml:space="preserve"> også være de mest fremtrædende med forvirring, </w:t>
      </w:r>
      <w:proofErr w:type="spellStart"/>
      <w:r w:rsidRPr="00FF6DFA">
        <w:rPr>
          <w:sz w:val="24"/>
          <w:szCs w:val="24"/>
        </w:rPr>
        <w:t>excitabilitet</w:t>
      </w:r>
      <w:proofErr w:type="spellEnd"/>
      <w:r w:rsidRPr="00FF6DFA">
        <w:rPr>
          <w:sz w:val="24"/>
          <w:szCs w:val="24"/>
        </w:rPr>
        <w:t xml:space="preserve"> og i nogle tilfælde krampeanfald og koma. I</w:t>
      </w:r>
      <w:r w:rsidR="0004019A">
        <w:rPr>
          <w:sz w:val="24"/>
          <w:szCs w:val="24"/>
        </w:rPr>
        <w:t> </w:t>
      </w:r>
      <w:r w:rsidRPr="00FF6DFA">
        <w:rPr>
          <w:sz w:val="24"/>
          <w:szCs w:val="24"/>
        </w:rPr>
        <w:t xml:space="preserve">sådanne tilfælde er tilførsel af væske (f.eks. </w:t>
      </w:r>
      <w:proofErr w:type="spellStart"/>
      <w:r w:rsidRPr="00FF6DFA">
        <w:rPr>
          <w:sz w:val="24"/>
          <w:szCs w:val="24"/>
        </w:rPr>
        <w:t>glucoseopløsninger</w:t>
      </w:r>
      <w:proofErr w:type="spellEnd"/>
      <w:r w:rsidRPr="00FF6DFA">
        <w:rPr>
          <w:sz w:val="24"/>
          <w:szCs w:val="24"/>
        </w:rPr>
        <w:t xml:space="preserve"> og </w:t>
      </w:r>
      <w:proofErr w:type="spellStart"/>
      <w:r w:rsidRPr="00FF6DFA">
        <w:rPr>
          <w:sz w:val="24"/>
          <w:szCs w:val="24"/>
        </w:rPr>
        <w:t>hypoosmolære</w:t>
      </w:r>
      <w:proofErr w:type="spellEnd"/>
      <w:r w:rsidRPr="00FF6DFA">
        <w:rPr>
          <w:sz w:val="24"/>
          <w:szCs w:val="24"/>
        </w:rPr>
        <w:t xml:space="preserve"> elektrolyt</w:t>
      </w:r>
      <w:r w:rsidRPr="00FF6DFA">
        <w:rPr>
          <w:sz w:val="24"/>
          <w:szCs w:val="24"/>
        </w:rPr>
        <w:softHyphen/>
        <w:t xml:space="preserve">opløsninger) og </w:t>
      </w:r>
      <w:proofErr w:type="spellStart"/>
      <w:r w:rsidRPr="00FF6DFA">
        <w:rPr>
          <w:sz w:val="24"/>
          <w:szCs w:val="24"/>
        </w:rPr>
        <w:t>diuretika</w:t>
      </w:r>
      <w:proofErr w:type="spellEnd"/>
      <w:r w:rsidRPr="00FF6DFA">
        <w:rPr>
          <w:sz w:val="24"/>
          <w:szCs w:val="24"/>
        </w:rPr>
        <w:t xml:space="preserve"> meget vigtig.</w:t>
      </w:r>
    </w:p>
    <w:p w14:paraId="73F0F704" w14:textId="77777777" w:rsidR="009260DE" w:rsidRPr="00FF6DFA" w:rsidRDefault="009260DE" w:rsidP="009260DE">
      <w:pPr>
        <w:tabs>
          <w:tab w:val="left" w:pos="851"/>
        </w:tabs>
        <w:ind w:left="851"/>
        <w:rPr>
          <w:sz w:val="24"/>
          <w:szCs w:val="24"/>
        </w:rPr>
      </w:pPr>
    </w:p>
    <w:p w14:paraId="7E415421" w14:textId="77777777" w:rsidR="009260DE" w:rsidRPr="00FF6DFA" w:rsidRDefault="009260DE" w:rsidP="009260DE">
      <w:pPr>
        <w:tabs>
          <w:tab w:val="left" w:pos="851"/>
        </w:tabs>
        <w:ind w:left="851" w:hanging="851"/>
        <w:rPr>
          <w:b/>
          <w:sz w:val="24"/>
          <w:szCs w:val="24"/>
        </w:rPr>
      </w:pPr>
      <w:r w:rsidRPr="00FF6DFA">
        <w:rPr>
          <w:b/>
          <w:sz w:val="24"/>
          <w:szCs w:val="24"/>
        </w:rPr>
        <w:t>4.10</w:t>
      </w:r>
      <w:r w:rsidRPr="00FF6DFA">
        <w:rPr>
          <w:b/>
          <w:sz w:val="24"/>
          <w:szCs w:val="24"/>
        </w:rPr>
        <w:tab/>
        <w:t>Udlevering</w:t>
      </w:r>
    </w:p>
    <w:p w14:paraId="2B45639C" w14:textId="2DBF4C56" w:rsidR="009260DE" w:rsidRPr="00FF6DFA" w:rsidRDefault="003D1C90" w:rsidP="009260DE">
      <w:pPr>
        <w:tabs>
          <w:tab w:val="left" w:pos="851"/>
        </w:tabs>
        <w:ind w:left="851"/>
        <w:rPr>
          <w:sz w:val="24"/>
          <w:szCs w:val="24"/>
        </w:rPr>
      </w:pPr>
      <w:r w:rsidRPr="00FF6DFA">
        <w:rPr>
          <w:sz w:val="24"/>
          <w:szCs w:val="24"/>
        </w:rPr>
        <w:t>B</w:t>
      </w:r>
    </w:p>
    <w:p w14:paraId="200B279F" w14:textId="77777777" w:rsidR="009260DE" w:rsidRPr="00FF6DFA" w:rsidRDefault="009260DE" w:rsidP="009260DE">
      <w:pPr>
        <w:tabs>
          <w:tab w:val="left" w:pos="851"/>
        </w:tabs>
        <w:ind w:left="851"/>
        <w:rPr>
          <w:sz w:val="24"/>
          <w:szCs w:val="24"/>
        </w:rPr>
      </w:pPr>
    </w:p>
    <w:p w14:paraId="66FBD155" w14:textId="77777777" w:rsidR="009260DE" w:rsidRPr="00FF6DFA" w:rsidRDefault="009260DE" w:rsidP="009260DE">
      <w:pPr>
        <w:tabs>
          <w:tab w:val="left" w:pos="851"/>
        </w:tabs>
        <w:ind w:left="851"/>
        <w:rPr>
          <w:sz w:val="24"/>
          <w:szCs w:val="24"/>
        </w:rPr>
      </w:pPr>
    </w:p>
    <w:p w14:paraId="659A8A29" w14:textId="77777777" w:rsidR="009260DE" w:rsidRPr="00FF6DFA" w:rsidRDefault="009260DE" w:rsidP="009260DE">
      <w:pPr>
        <w:tabs>
          <w:tab w:val="left" w:pos="851"/>
        </w:tabs>
        <w:ind w:left="851" w:hanging="851"/>
        <w:rPr>
          <w:b/>
          <w:sz w:val="24"/>
          <w:szCs w:val="24"/>
        </w:rPr>
      </w:pPr>
      <w:r w:rsidRPr="00FF6DFA">
        <w:rPr>
          <w:b/>
          <w:sz w:val="24"/>
          <w:szCs w:val="24"/>
        </w:rPr>
        <w:t>5.</w:t>
      </w:r>
      <w:r w:rsidRPr="00FF6DFA">
        <w:rPr>
          <w:b/>
          <w:sz w:val="24"/>
          <w:szCs w:val="24"/>
        </w:rPr>
        <w:tab/>
        <w:t>FARMAKOLOGISKE EGENSKABER</w:t>
      </w:r>
    </w:p>
    <w:p w14:paraId="74B33064" w14:textId="77777777" w:rsidR="009260DE" w:rsidRPr="00FF6DFA" w:rsidRDefault="009260DE" w:rsidP="009260DE">
      <w:pPr>
        <w:tabs>
          <w:tab w:val="left" w:pos="851"/>
        </w:tabs>
        <w:ind w:left="851"/>
        <w:rPr>
          <w:sz w:val="24"/>
          <w:szCs w:val="24"/>
        </w:rPr>
      </w:pPr>
    </w:p>
    <w:p w14:paraId="195462F1" w14:textId="77777777" w:rsidR="009260DE" w:rsidRPr="00FF6DFA" w:rsidRDefault="009260DE" w:rsidP="009260DE">
      <w:pPr>
        <w:tabs>
          <w:tab w:val="num" w:pos="851"/>
        </w:tabs>
        <w:ind w:left="851" w:hanging="851"/>
        <w:rPr>
          <w:b/>
          <w:sz w:val="24"/>
          <w:szCs w:val="24"/>
        </w:rPr>
      </w:pPr>
      <w:r w:rsidRPr="00FF6DFA">
        <w:rPr>
          <w:b/>
          <w:sz w:val="24"/>
          <w:szCs w:val="24"/>
        </w:rPr>
        <w:t>5.1</w:t>
      </w:r>
      <w:r w:rsidRPr="00FF6DFA">
        <w:rPr>
          <w:b/>
          <w:sz w:val="24"/>
          <w:szCs w:val="24"/>
        </w:rPr>
        <w:tab/>
      </w:r>
      <w:proofErr w:type="spellStart"/>
      <w:r w:rsidRPr="00FF6DFA">
        <w:rPr>
          <w:b/>
          <w:sz w:val="24"/>
          <w:szCs w:val="24"/>
        </w:rPr>
        <w:t>Farmakodynamiske</w:t>
      </w:r>
      <w:proofErr w:type="spellEnd"/>
      <w:r w:rsidRPr="00FF6DFA">
        <w:rPr>
          <w:b/>
          <w:sz w:val="24"/>
          <w:szCs w:val="24"/>
        </w:rPr>
        <w:t xml:space="preserve"> egenskaber</w:t>
      </w:r>
    </w:p>
    <w:p w14:paraId="79368C11" w14:textId="77777777" w:rsidR="003D1C90" w:rsidRPr="00FF6DFA" w:rsidRDefault="003D1C90" w:rsidP="00D833DD">
      <w:pPr>
        <w:suppressAutoHyphens/>
        <w:ind w:left="851"/>
        <w:rPr>
          <w:sz w:val="24"/>
          <w:szCs w:val="24"/>
        </w:rPr>
      </w:pPr>
      <w:proofErr w:type="spellStart"/>
      <w:r w:rsidRPr="00FF6DFA">
        <w:rPr>
          <w:sz w:val="24"/>
          <w:szCs w:val="24"/>
        </w:rPr>
        <w:t>Farmakoterapeutisk</w:t>
      </w:r>
      <w:proofErr w:type="spellEnd"/>
      <w:r w:rsidRPr="00FF6DFA">
        <w:rPr>
          <w:sz w:val="24"/>
          <w:szCs w:val="24"/>
        </w:rPr>
        <w:t xml:space="preserve"> klassifikation: </w:t>
      </w:r>
      <w:proofErr w:type="spellStart"/>
      <w:r w:rsidRPr="00FF6DFA">
        <w:rPr>
          <w:sz w:val="24"/>
          <w:szCs w:val="24"/>
        </w:rPr>
        <w:t>Antacida</w:t>
      </w:r>
      <w:proofErr w:type="spellEnd"/>
      <w:r w:rsidRPr="00FF6DFA">
        <w:rPr>
          <w:sz w:val="24"/>
          <w:szCs w:val="24"/>
        </w:rPr>
        <w:t>, ATC-kode: A02AH</w:t>
      </w:r>
    </w:p>
    <w:p w14:paraId="3CA87365" w14:textId="77777777" w:rsidR="003D1C90" w:rsidRPr="00FF6DFA" w:rsidRDefault="003D1C90" w:rsidP="00D833DD">
      <w:pPr>
        <w:suppressAutoHyphens/>
        <w:ind w:left="851"/>
        <w:rPr>
          <w:sz w:val="24"/>
          <w:szCs w:val="24"/>
        </w:rPr>
      </w:pPr>
    </w:p>
    <w:p w14:paraId="255FB00D" w14:textId="77777777" w:rsidR="003D1C90" w:rsidRPr="00FF6DFA" w:rsidRDefault="003D1C90" w:rsidP="00D833DD">
      <w:pPr>
        <w:suppressAutoHyphens/>
        <w:ind w:left="851"/>
        <w:rPr>
          <w:sz w:val="24"/>
          <w:szCs w:val="24"/>
        </w:rPr>
      </w:pPr>
      <w:proofErr w:type="spellStart"/>
      <w:r w:rsidRPr="00FF6DFA">
        <w:rPr>
          <w:sz w:val="24"/>
          <w:szCs w:val="24"/>
        </w:rPr>
        <w:t>Natriumhydrogencarbonat</w:t>
      </w:r>
      <w:proofErr w:type="spellEnd"/>
      <w:r w:rsidRPr="00FF6DFA">
        <w:rPr>
          <w:sz w:val="24"/>
          <w:szCs w:val="24"/>
        </w:rPr>
        <w:t xml:space="preserve"> er et salt, hvis vigtige farmakologiske egenskaber skyldes dets fysiologiske rolle som komponent i HCO</w:t>
      </w:r>
      <w:r w:rsidRPr="00FF6DFA">
        <w:rPr>
          <w:sz w:val="24"/>
          <w:szCs w:val="24"/>
          <w:vertAlign w:val="subscript"/>
        </w:rPr>
        <w:t>3</w:t>
      </w:r>
      <w:r w:rsidRPr="00FF6DFA">
        <w:rPr>
          <w:sz w:val="24"/>
          <w:szCs w:val="24"/>
        </w:rPr>
        <w:t>/CO</w:t>
      </w:r>
      <w:r w:rsidRPr="00FF6DFA">
        <w:rPr>
          <w:sz w:val="24"/>
          <w:szCs w:val="24"/>
          <w:vertAlign w:val="subscript"/>
        </w:rPr>
        <w:t>2</w:t>
      </w:r>
      <w:r w:rsidRPr="00FF6DFA">
        <w:rPr>
          <w:sz w:val="24"/>
          <w:szCs w:val="24"/>
        </w:rPr>
        <w:t xml:space="preserve">-bufferen. </w:t>
      </w:r>
      <w:proofErr w:type="spellStart"/>
      <w:r w:rsidRPr="00FF6DFA">
        <w:rPr>
          <w:sz w:val="24"/>
          <w:szCs w:val="24"/>
        </w:rPr>
        <w:t>Natriumhydrogencarbonat</w:t>
      </w:r>
      <w:proofErr w:type="spellEnd"/>
      <w:r w:rsidRPr="00FF6DFA">
        <w:rPr>
          <w:sz w:val="24"/>
          <w:szCs w:val="24"/>
        </w:rPr>
        <w:t xml:space="preserve"> fører til en stigning i kroppens pH-niveau.</w:t>
      </w:r>
    </w:p>
    <w:p w14:paraId="62F1ABB3" w14:textId="77777777" w:rsidR="003D1C90" w:rsidRPr="00FF6DFA" w:rsidRDefault="003D1C90" w:rsidP="00D833DD">
      <w:pPr>
        <w:suppressAutoHyphens/>
        <w:ind w:left="851"/>
        <w:rPr>
          <w:sz w:val="24"/>
          <w:szCs w:val="24"/>
        </w:rPr>
      </w:pPr>
    </w:p>
    <w:p w14:paraId="6C54EF15" w14:textId="37BFED6C" w:rsidR="003D1C90" w:rsidRDefault="003D1C90" w:rsidP="00D833DD">
      <w:pPr>
        <w:suppressAutoHyphens/>
        <w:ind w:left="851"/>
        <w:rPr>
          <w:sz w:val="24"/>
          <w:szCs w:val="24"/>
        </w:rPr>
      </w:pPr>
      <w:proofErr w:type="spellStart"/>
      <w:r w:rsidRPr="00FF6DFA">
        <w:rPr>
          <w:sz w:val="24"/>
          <w:szCs w:val="24"/>
        </w:rPr>
        <w:t>Natriumhydrogencarbonat</w:t>
      </w:r>
      <w:proofErr w:type="spellEnd"/>
      <w:r w:rsidRPr="00FF6DFA">
        <w:rPr>
          <w:sz w:val="24"/>
          <w:szCs w:val="24"/>
        </w:rPr>
        <w:t xml:space="preserve"> i </w:t>
      </w:r>
      <w:proofErr w:type="spellStart"/>
      <w:r w:rsidRPr="00FF6DFA">
        <w:rPr>
          <w:sz w:val="24"/>
          <w:szCs w:val="24"/>
        </w:rPr>
        <w:t>Natriumhydrogencarbonat</w:t>
      </w:r>
      <w:proofErr w:type="spellEnd"/>
      <w:r w:rsidRPr="00FF6DFA">
        <w:rPr>
          <w:sz w:val="24"/>
          <w:szCs w:val="24"/>
        </w:rPr>
        <w:t xml:space="preserve"> </w:t>
      </w:r>
      <w:r w:rsidR="0004019A">
        <w:rPr>
          <w:sz w:val="24"/>
          <w:szCs w:val="24"/>
        </w:rPr>
        <w:t>"</w:t>
      </w:r>
      <w:r w:rsidRPr="00FF6DFA">
        <w:rPr>
          <w:sz w:val="24"/>
          <w:szCs w:val="24"/>
        </w:rPr>
        <w:t>PTR Pharma Consulting</w:t>
      </w:r>
      <w:r w:rsidR="0004019A">
        <w:rPr>
          <w:sz w:val="24"/>
          <w:szCs w:val="24"/>
        </w:rPr>
        <w:t>"</w:t>
      </w:r>
      <w:r w:rsidRPr="00FF6DFA">
        <w:rPr>
          <w:sz w:val="24"/>
          <w:szCs w:val="24"/>
        </w:rPr>
        <w:t xml:space="preserve"> leveres i form af en bløde enterokapsler af gelatine, der kan opløses i tyndtarmen, hvorved der forhindres </w:t>
      </w:r>
      <w:proofErr w:type="spellStart"/>
      <w:r w:rsidRPr="00FF6DFA">
        <w:rPr>
          <w:sz w:val="24"/>
          <w:szCs w:val="24"/>
        </w:rPr>
        <w:t>meteorisme</w:t>
      </w:r>
      <w:proofErr w:type="spellEnd"/>
      <w:r w:rsidRPr="00FF6DFA">
        <w:rPr>
          <w:sz w:val="24"/>
          <w:szCs w:val="24"/>
        </w:rPr>
        <w:t xml:space="preserve"> forårsaget af dannelsen af kuldioxidgas i det sure miljø i mavesækken. Den administrerede mængde af tilgængeligt </w:t>
      </w:r>
      <w:proofErr w:type="spellStart"/>
      <w:r w:rsidRPr="00FF6DFA">
        <w:rPr>
          <w:sz w:val="24"/>
          <w:szCs w:val="24"/>
        </w:rPr>
        <w:t>bicarbonat</w:t>
      </w:r>
      <w:proofErr w:type="spellEnd"/>
      <w:r w:rsidRPr="00FF6DFA">
        <w:rPr>
          <w:sz w:val="24"/>
          <w:szCs w:val="24"/>
        </w:rPr>
        <w:t xml:space="preserve"> svarer til mængden administreret ved infusion af </w:t>
      </w:r>
      <w:proofErr w:type="spellStart"/>
      <w:r w:rsidRPr="00FF6DFA">
        <w:rPr>
          <w:sz w:val="24"/>
          <w:szCs w:val="24"/>
        </w:rPr>
        <w:t>natriumhydrogencarbonat</w:t>
      </w:r>
      <w:proofErr w:type="spellEnd"/>
      <w:r w:rsidRPr="00FF6DFA">
        <w:rPr>
          <w:sz w:val="24"/>
          <w:szCs w:val="24"/>
        </w:rPr>
        <w:t xml:space="preserve">, da formuleringen som </w:t>
      </w:r>
      <w:proofErr w:type="spellStart"/>
      <w:r w:rsidRPr="00FF6DFA">
        <w:rPr>
          <w:sz w:val="24"/>
          <w:szCs w:val="24"/>
        </w:rPr>
        <w:t>enterokapsel</w:t>
      </w:r>
      <w:proofErr w:type="spellEnd"/>
      <w:r w:rsidRPr="00FF6DFA">
        <w:rPr>
          <w:sz w:val="24"/>
          <w:szCs w:val="24"/>
        </w:rPr>
        <w:t xml:space="preserve"> forhindrer nedbrydelsen af </w:t>
      </w:r>
      <w:proofErr w:type="spellStart"/>
      <w:r w:rsidRPr="00FF6DFA">
        <w:rPr>
          <w:sz w:val="24"/>
          <w:szCs w:val="24"/>
        </w:rPr>
        <w:t>bicarbonat</w:t>
      </w:r>
      <w:proofErr w:type="spellEnd"/>
      <w:r w:rsidRPr="00FF6DFA">
        <w:rPr>
          <w:sz w:val="24"/>
          <w:szCs w:val="24"/>
        </w:rPr>
        <w:t xml:space="preserve"> i mavesækken. Der ses en stigning i </w:t>
      </w:r>
      <w:proofErr w:type="spellStart"/>
      <w:r w:rsidRPr="00FF6DFA">
        <w:rPr>
          <w:sz w:val="24"/>
          <w:szCs w:val="24"/>
        </w:rPr>
        <w:t>carbonat</w:t>
      </w:r>
      <w:proofErr w:type="spellEnd"/>
      <w:r w:rsidRPr="00FF6DFA">
        <w:rPr>
          <w:sz w:val="24"/>
          <w:szCs w:val="24"/>
        </w:rPr>
        <w:t xml:space="preserve">-niveauet i plasma og en korrektion af </w:t>
      </w:r>
      <w:proofErr w:type="spellStart"/>
      <w:r w:rsidRPr="00FF6DFA">
        <w:rPr>
          <w:sz w:val="24"/>
          <w:szCs w:val="24"/>
        </w:rPr>
        <w:t>bicarbonat</w:t>
      </w:r>
      <w:proofErr w:type="spellEnd"/>
      <w:r w:rsidRPr="00FF6DFA">
        <w:rPr>
          <w:sz w:val="24"/>
          <w:szCs w:val="24"/>
        </w:rPr>
        <w:t xml:space="preserve">-manglen. Det er derfor muligt at behandle metabolisk </w:t>
      </w:r>
      <w:proofErr w:type="spellStart"/>
      <w:r w:rsidRPr="00FF6DFA">
        <w:rPr>
          <w:sz w:val="24"/>
          <w:szCs w:val="24"/>
        </w:rPr>
        <w:t>acidose</w:t>
      </w:r>
      <w:proofErr w:type="spellEnd"/>
      <w:r w:rsidRPr="00FF6DFA">
        <w:rPr>
          <w:sz w:val="24"/>
          <w:szCs w:val="24"/>
        </w:rPr>
        <w:t xml:space="preserve"> med forskellig oprindelse, forudsat at pH-værdien i blodet ikke er under 7,2. På trods af dette, er der ved behandling af diabetisk </w:t>
      </w:r>
      <w:proofErr w:type="spellStart"/>
      <w:r w:rsidRPr="00FF6DFA">
        <w:rPr>
          <w:sz w:val="24"/>
          <w:szCs w:val="24"/>
        </w:rPr>
        <w:t>ketoacidose</w:t>
      </w:r>
      <w:proofErr w:type="spellEnd"/>
      <w:r w:rsidRPr="00FF6DFA">
        <w:rPr>
          <w:sz w:val="24"/>
          <w:szCs w:val="24"/>
        </w:rPr>
        <w:t xml:space="preserve"> set, at yderligere behandling med insulin er mere effektiv end behandling med buffere, efter pH-værdien er justeret til 7,2.</w:t>
      </w:r>
    </w:p>
    <w:p w14:paraId="5904073F" w14:textId="557521A9" w:rsidR="005E7A14" w:rsidRDefault="005E7A14">
      <w:pPr>
        <w:rPr>
          <w:sz w:val="24"/>
          <w:szCs w:val="24"/>
        </w:rPr>
      </w:pPr>
      <w:r>
        <w:rPr>
          <w:sz w:val="24"/>
          <w:szCs w:val="24"/>
        </w:rPr>
        <w:br w:type="page"/>
      </w:r>
    </w:p>
    <w:p w14:paraId="0999382D" w14:textId="77777777" w:rsidR="0004019A" w:rsidRPr="00FF6DFA" w:rsidRDefault="0004019A" w:rsidP="00D833DD">
      <w:pPr>
        <w:suppressAutoHyphens/>
        <w:ind w:left="851"/>
        <w:rPr>
          <w:sz w:val="24"/>
          <w:szCs w:val="24"/>
        </w:rPr>
      </w:pPr>
    </w:p>
    <w:p w14:paraId="65D3EA31" w14:textId="77777777" w:rsidR="009260DE" w:rsidRPr="00FF6DFA" w:rsidRDefault="009260DE" w:rsidP="009260DE">
      <w:pPr>
        <w:tabs>
          <w:tab w:val="left" w:pos="851"/>
        </w:tabs>
        <w:ind w:left="851" w:hanging="851"/>
        <w:rPr>
          <w:b/>
          <w:sz w:val="24"/>
          <w:szCs w:val="24"/>
        </w:rPr>
      </w:pPr>
      <w:r w:rsidRPr="00FF6DFA">
        <w:rPr>
          <w:b/>
          <w:sz w:val="24"/>
          <w:szCs w:val="24"/>
        </w:rPr>
        <w:t>5.2</w:t>
      </w:r>
      <w:r w:rsidRPr="00FF6DFA">
        <w:rPr>
          <w:b/>
          <w:sz w:val="24"/>
          <w:szCs w:val="24"/>
        </w:rPr>
        <w:tab/>
      </w:r>
      <w:proofErr w:type="spellStart"/>
      <w:r w:rsidRPr="00FF6DFA">
        <w:rPr>
          <w:b/>
          <w:sz w:val="24"/>
          <w:szCs w:val="24"/>
        </w:rPr>
        <w:t>Farmakokinetiske</w:t>
      </w:r>
      <w:proofErr w:type="spellEnd"/>
      <w:r w:rsidRPr="00FF6DFA">
        <w:rPr>
          <w:b/>
          <w:sz w:val="24"/>
          <w:szCs w:val="24"/>
        </w:rPr>
        <w:t xml:space="preserve"> egenskaber</w:t>
      </w:r>
    </w:p>
    <w:p w14:paraId="592AD742" w14:textId="77777777" w:rsidR="003D1C90" w:rsidRPr="00FF6DFA" w:rsidRDefault="003D1C90" w:rsidP="00D833DD">
      <w:pPr>
        <w:ind w:left="851"/>
        <w:rPr>
          <w:bCs/>
          <w:sz w:val="24"/>
          <w:szCs w:val="24"/>
        </w:rPr>
      </w:pPr>
      <w:r w:rsidRPr="00FF6DFA">
        <w:rPr>
          <w:bCs/>
          <w:sz w:val="24"/>
          <w:szCs w:val="24"/>
        </w:rPr>
        <w:t xml:space="preserve">I et studie blev absorptionen af oralt administreret </w:t>
      </w:r>
      <w:proofErr w:type="spellStart"/>
      <w:r w:rsidRPr="00FF6DFA">
        <w:rPr>
          <w:bCs/>
          <w:sz w:val="24"/>
          <w:szCs w:val="24"/>
        </w:rPr>
        <w:t>natriumhydrogencarbonat</w:t>
      </w:r>
      <w:proofErr w:type="spellEnd"/>
      <w:r w:rsidRPr="00FF6DFA">
        <w:rPr>
          <w:bCs/>
          <w:sz w:val="24"/>
          <w:szCs w:val="24"/>
        </w:rPr>
        <w:t xml:space="preserve"> som enterokapsler sammenlignet med intravenøs administration undersøgt ved at måle syre-base-status og udskillelse af Na</w:t>
      </w:r>
      <w:r w:rsidRPr="00FF6DFA">
        <w:rPr>
          <w:bCs/>
          <w:sz w:val="24"/>
          <w:szCs w:val="24"/>
          <w:vertAlign w:val="superscript"/>
        </w:rPr>
        <w:t>+</w:t>
      </w:r>
      <w:r w:rsidRPr="00FF6DFA">
        <w:rPr>
          <w:bCs/>
          <w:sz w:val="24"/>
          <w:szCs w:val="24"/>
        </w:rPr>
        <w:t xml:space="preserve"> via nyrerne.</w:t>
      </w:r>
    </w:p>
    <w:p w14:paraId="5B90DF8F" w14:textId="4131F1A6" w:rsidR="003D1C90" w:rsidRPr="00FF6DFA" w:rsidRDefault="003D1C90" w:rsidP="00D833DD">
      <w:pPr>
        <w:ind w:left="851"/>
        <w:rPr>
          <w:bCs/>
          <w:sz w:val="24"/>
          <w:szCs w:val="24"/>
        </w:rPr>
      </w:pPr>
      <w:r w:rsidRPr="00FF6DFA">
        <w:rPr>
          <w:bCs/>
          <w:sz w:val="24"/>
          <w:szCs w:val="24"/>
        </w:rPr>
        <w:t xml:space="preserve">Baseret på dette indtræder absorptionen af </w:t>
      </w:r>
      <w:proofErr w:type="spellStart"/>
      <w:r w:rsidRPr="00FF6DFA">
        <w:rPr>
          <w:bCs/>
          <w:sz w:val="24"/>
          <w:szCs w:val="24"/>
        </w:rPr>
        <w:t>natriumhydrogencarbonat</w:t>
      </w:r>
      <w:proofErr w:type="spellEnd"/>
      <w:r w:rsidRPr="00FF6DFA">
        <w:rPr>
          <w:bCs/>
          <w:sz w:val="24"/>
          <w:szCs w:val="24"/>
        </w:rPr>
        <w:t xml:space="preserve"> fra i alt 12 kapsler á 0,5 g efter omkring 2 timer. De største ændringer i syre-base-status ses efter ca. 5</w:t>
      </w:r>
      <w:r w:rsidRPr="00FF6DFA">
        <w:rPr>
          <w:bCs/>
          <w:sz w:val="24"/>
          <w:szCs w:val="24"/>
        </w:rPr>
        <w:noBreakHyphen/>
        <w:t>8 timer. I</w:t>
      </w:r>
      <w:r w:rsidR="005E7A14">
        <w:rPr>
          <w:bCs/>
          <w:sz w:val="24"/>
          <w:szCs w:val="24"/>
        </w:rPr>
        <w:t> </w:t>
      </w:r>
      <w:r w:rsidRPr="00FF6DFA">
        <w:rPr>
          <w:bCs/>
          <w:sz w:val="24"/>
          <w:szCs w:val="24"/>
        </w:rPr>
        <w:t>overensstemmelse med dette er udskillelsen af Na</w:t>
      </w:r>
      <w:r w:rsidRPr="00FF6DFA">
        <w:rPr>
          <w:bCs/>
          <w:sz w:val="24"/>
          <w:szCs w:val="24"/>
          <w:vertAlign w:val="superscript"/>
        </w:rPr>
        <w:t>+</w:t>
      </w:r>
      <w:r w:rsidRPr="00FF6DFA">
        <w:rPr>
          <w:bCs/>
          <w:sz w:val="24"/>
          <w:szCs w:val="24"/>
        </w:rPr>
        <w:t xml:space="preserve"> via nyrerne og tilsvarende base størst på dette tidspunkt.</w:t>
      </w:r>
    </w:p>
    <w:p w14:paraId="5FDD4FF5" w14:textId="77777777" w:rsidR="003D1C90" w:rsidRPr="00FF6DFA" w:rsidRDefault="003D1C90" w:rsidP="00D833DD">
      <w:pPr>
        <w:ind w:left="851"/>
        <w:rPr>
          <w:bCs/>
          <w:sz w:val="24"/>
          <w:szCs w:val="24"/>
        </w:rPr>
      </w:pPr>
      <w:r w:rsidRPr="00FF6DFA">
        <w:rPr>
          <w:bCs/>
          <w:sz w:val="24"/>
          <w:szCs w:val="24"/>
        </w:rPr>
        <w:t>Overordnet var ændringerne i aktuelt og standard-</w:t>
      </w:r>
      <w:proofErr w:type="spellStart"/>
      <w:r w:rsidRPr="00FF6DFA">
        <w:rPr>
          <w:bCs/>
          <w:sz w:val="24"/>
          <w:szCs w:val="24"/>
        </w:rPr>
        <w:t>bicarbonat</w:t>
      </w:r>
      <w:proofErr w:type="spellEnd"/>
      <w:r w:rsidRPr="00FF6DFA">
        <w:rPr>
          <w:bCs/>
          <w:sz w:val="24"/>
          <w:szCs w:val="24"/>
        </w:rPr>
        <w:t xml:space="preserve"> samt base-overskud signifikant større efter oral administration end efter intravenøs administration. Selvom dette indikerer, at en signifikant del af den orale </w:t>
      </w:r>
      <w:proofErr w:type="spellStart"/>
      <w:r w:rsidRPr="00FF6DFA">
        <w:rPr>
          <w:bCs/>
          <w:sz w:val="24"/>
          <w:szCs w:val="24"/>
        </w:rPr>
        <w:t>natriumhydrogencarbonat</w:t>
      </w:r>
      <w:proofErr w:type="spellEnd"/>
      <w:r w:rsidRPr="00FF6DFA">
        <w:rPr>
          <w:bCs/>
          <w:sz w:val="24"/>
          <w:szCs w:val="24"/>
        </w:rPr>
        <w:t>-dosis absorberes, kan denne mængde ikke kvantificeres. Et grov-estimat af mængden absorberet fra tarmkanalen kan foretages ved at sammenligne mængden af Na</w:t>
      </w:r>
      <w:r w:rsidRPr="00FF6DFA">
        <w:rPr>
          <w:bCs/>
          <w:sz w:val="24"/>
          <w:szCs w:val="24"/>
          <w:vertAlign w:val="superscript"/>
        </w:rPr>
        <w:t>+</w:t>
      </w:r>
      <w:r w:rsidRPr="00FF6DFA">
        <w:rPr>
          <w:bCs/>
          <w:sz w:val="24"/>
          <w:szCs w:val="24"/>
        </w:rPr>
        <w:t xml:space="preserve"> udskilt via nyrerne efter oral og intravenøs administration, hvilket resulterer i en absorptionsgrad på 70 %.</w:t>
      </w:r>
    </w:p>
    <w:p w14:paraId="7027B241" w14:textId="77777777" w:rsidR="009260DE" w:rsidRPr="00FF6DFA" w:rsidRDefault="009260DE" w:rsidP="009260DE">
      <w:pPr>
        <w:tabs>
          <w:tab w:val="left" w:pos="851"/>
        </w:tabs>
        <w:ind w:left="851"/>
        <w:rPr>
          <w:sz w:val="24"/>
          <w:szCs w:val="24"/>
        </w:rPr>
      </w:pPr>
    </w:p>
    <w:p w14:paraId="3DEE50AA" w14:textId="77777777" w:rsidR="009260DE" w:rsidRPr="00FF6DFA" w:rsidRDefault="009260DE" w:rsidP="009260DE">
      <w:pPr>
        <w:tabs>
          <w:tab w:val="left" w:pos="851"/>
        </w:tabs>
        <w:ind w:left="851" w:hanging="851"/>
        <w:rPr>
          <w:b/>
          <w:sz w:val="24"/>
          <w:szCs w:val="24"/>
        </w:rPr>
      </w:pPr>
      <w:r w:rsidRPr="00FF6DFA">
        <w:rPr>
          <w:b/>
          <w:sz w:val="24"/>
          <w:szCs w:val="24"/>
        </w:rPr>
        <w:t>5.3</w:t>
      </w:r>
      <w:r w:rsidRPr="00FF6DFA">
        <w:rPr>
          <w:b/>
          <w:sz w:val="24"/>
          <w:szCs w:val="24"/>
        </w:rPr>
        <w:tab/>
      </w:r>
      <w:r w:rsidR="00BD7931" w:rsidRPr="00FF6DFA">
        <w:rPr>
          <w:b/>
          <w:sz w:val="24"/>
          <w:szCs w:val="24"/>
        </w:rPr>
        <w:t>Non-</w:t>
      </w:r>
      <w:r w:rsidRPr="00FF6DFA">
        <w:rPr>
          <w:b/>
          <w:sz w:val="24"/>
          <w:szCs w:val="24"/>
        </w:rPr>
        <w:t>kliniske sikkerhedsdata</w:t>
      </w:r>
    </w:p>
    <w:p w14:paraId="4303AA85" w14:textId="77777777" w:rsidR="003D1C90" w:rsidRPr="00FF6DFA" w:rsidRDefault="003D1C90" w:rsidP="00D833DD">
      <w:pPr>
        <w:numPr>
          <w:ilvl w:val="12"/>
          <w:numId w:val="0"/>
        </w:numPr>
        <w:ind w:left="851" w:right="11"/>
        <w:rPr>
          <w:sz w:val="24"/>
          <w:szCs w:val="24"/>
        </w:rPr>
      </w:pPr>
      <w:r w:rsidRPr="00FF6DFA">
        <w:rPr>
          <w:sz w:val="24"/>
          <w:szCs w:val="24"/>
        </w:rPr>
        <w:t xml:space="preserve">Non-kliniske data viser ingen speciel risiko for mennesker vurderet ud fra konventionelle studier af sikkerhedsfarmakologi, toksicitet efter gentagne doser, genotoksicitet, </w:t>
      </w:r>
      <w:proofErr w:type="spellStart"/>
      <w:r w:rsidRPr="00FF6DFA">
        <w:rPr>
          <w:sz w:val="24"/>
          <w:szCs w:val="24"/>
        </w:rPr>
        <w:t>karcinogent</w:t>
      </w:r>
      <w:proofErr w:type="spellEnd"/>
      <w:r w:rsidRPr="00FF6DFA">
        <w:rPr>
          <w:sz w:val="24"/>
          <w:szCs w:val="24"/>
        </w:rPr>
        <w:t xml:space="preserve"> potentiale samt reproduktions</w:t>
      </w:r>
      <w:r w:rsidRPr="00FF6DFA">
        <w:rPr>
          <w:sz w:val="24"/>
          <w:szCs w:val="24"/>
        </w:rPr>
        <w:noBreakHyphen/>
        <w:t xml:space="preserve"> og udviklingstoksicitet.</w:t>
      </w:r>
    </w:p>
    <w:p w14:paraId="67A04C7F" w14:textId="77777777" w:rsidR="009260DE" w:rsidRPr="00FF6DFA" w:rsidRDefault="009260DE" w:rsidP="009260DE">
      <w:pPr>
        <w:tabs>
          <w:tab w:val="left" w:pos="851"/>
        </w:tabs>
        <w:ind w:left="851"/>
        <w:rPr>
          <w:sz w:val="24"/>
          <w:szCs w:val="24"/>
        </w:rPr>
      </w:pPr>
    </w:p>
    <w:p w14:paraId="0BA38FF6" w14:textId="77777777" w:rsidR="009260DE" w:rsidRPr="00FF6DFA" w:rsidRDefault="009260DE" w:rsidP="009260DE">
      <w:pPr>
        <w:tabs>
          <w:tab w:val="left" w:pos="851"/>
        </w:tabs>
        <w:ind w:left="851"/>
        <w:rPr>
          <w:sz w:val="24"/>
          <w:szCs w:val="24"/>
        </w:rPr>
      </w:pPr>
    </w:p>
    <w:p w14:paraId="1CD69275" w14:textId="77777777" w:rsidR="009260DE" w:rsidRPr="00FF6DFA" w:rsidRDefault="009260DE" w:rsidP="009260DE">
      <w:pPr>
        <w:tabs>
          <w:tab w:val="left" w:pos="851"/>
        </w:tabs>
        <w:ind w:left="851" w:hanging="851"/>
        <w:rPr>
          <w:b/>
          <w:sz w:val="24"/>
          <w:szCs w:val="24"/>
        </w:rPr>
      </w:pPr>
      <w:r w:rsidRPr="00FF6DFA">
        <w:rPr>
          <w:b/>
          <w:sz w:val="24"/>
          <w:szCs w:val="24"/>
        </w:rPr>
        <w:t>6.</w:t>
      </w:r>
      <w:r w:rsidRPr="00FF6DFA">
        <w:rPr>
          <w:b/>
          <w:sz w:val="24"/>
          <w:szCs w:val="24"/>
        </w:rPr>
        <w:tab/>
        <w:t>FARMACEUTISKE OPLYSNINGER</w:t>
      </w:r>
    </w:p>
    <w:p w14:paraId="6EBD4DEB" w14:textId="77777777" w:rsidR="009260DE" w:rsidRPr="00FF6DFA" w:rsidRDefault="009260DE" w:rsidP="009260DE">
      <w:pPr>
        <w:tabs>
          <w:tab w:val="left" w:pos="851"/>
        </w:tabs>
        <w:ind w:left="851"/>
        <w:rPr>
          <w:sz w:val="24"/>
          <w:szCs w:val="24"/>
        </w:rPr>
      </w:pPr>
    </w:p>
    <w:p w14:paraId="6F633225" w14:textId="77777777" w:rsidR="009260DE" w:rsidRPr="00FF6DFA" w:rsidRDefault="009260DE" w:rsidP="009260DE">
      <w:pPr>
        <w:tabs>
          <w:tab w:val="left" w:pos="851"/>
        </w:tabs>
        <w:ind w:left="851" w:hanging="851"/>
        <w:rPr>
          <w:b/>
          <w:sz w:val="24"/>
          <w:szCs w:val="24"/>
        </w:rPr>
      </w:pPr>
      <w:r w:rsidRPr="00FF6DFA">
        <w:rPr>
          <w:b/>
          <w:sz w:val="24"/>
          <w:szCs w:val="24"/>
        </w:rPr>
        <w:t>6.1</w:t>
      </w:r>
      <w:r w:rsidRPr="00FF6DFA">
        <w:rPr>
          <w:b/>
          <w:sz w:val="24"/>
          <w:szCs w:val="24"/>
        </w:rPr>
        <w:tab/>
        <w:t>Hjælpestoffer</w:t>
      </w:r>
    </w:p>
    <w:p w14:paraId="01787DA3" w14:textId="77777777" w:rsidR="003D1C90" w:rsidRPr="00FF6DFA" w:rsidRDefault="003D1C90" w:rsidP="00D833DD">
      <w:pPr>
        <w:suppressAutoHyphens/>
        <w:ind w:left="851"/>
        <w:rPr>
          <w:sz w:val="24"/>
          <w:szCs w:val="24"/>
        </w:rPr>
      </w:pPr>
      <w:r w:rsidRPr="00FF6DFA">
        <w:rPr>
          <w:sz w:val="24"/>
          <w:szCs w:val="24"/>
        </w:rPr>
        <w:t xml:space="preserve">Gul bivoks, </w:t>
      </w:r>
      <w:proofErr w:type="spellStart"/>
      <w:r w:rsidRPr="00FF6DFA">
        <w:rPr>
          <w:sz w:val="24"/>
          <w:szCs w:val="24"/>
        </w:rPr>
        <w:t>hydrogeneret</w:t>
      </w:r>
      <w:proofErr w:type="spellEnd"/>
      <w:r w:rsidRPr="00FF6DFA">
        <w:rPr>
          <w:sz w:val="24"/>
          <w:szCs w:val="24"/>
        </w:rPr>
        <w:t xml:space="preserve"> sojaolie, delvist </w:t>
      </w:r>
      <w:proofErr w:type="spellStart"/>
      <w:r w:rsidRPr="00FF6DFA">
        <w:rPr>
          <w:sz w:val="24"/>
          <w:szCs w:val="24"/>
        </w:rPr>
        <w:t>hydrogeneret</w:t>
      </w:r>
      <w:proofErr w:type="spellEnd"/>
      <w:r w:rsidRPr="00FF6DFA">
        <w:rPr>
          <w:sz w:val="24"/>
          <w:szCs w:val="24"/>
        </w:rPr>
        <w:t xml:space="preserve"> sojaolie, raffineret rapsolie, sojalecitin, jernoxid (E172), titandioxid (E171), glycerol 85 %, gelatine, delvist dehydreret flydende sorbitol, saltsyre 25 %, </w:t>
      </w:r>
      <w:proofErr w:type="spellStart"/>
      <w:r w:rsidRPr="00FF6DFA">
        <w:rPr>
          <w:sz w:val="24"/>
          <w:szCs w:val="24"/>
        </w:rPr>
        <w:t>triethylcitrat</w:t>
      </w:r>
      <w:proofErr w:type="spellEnd"/>
      <w:r w:rsidRPr="00FF6DFA">
        <w:rPr>
          <w:sz w:val="24"/>
          <w:szCs w:val="24"/>
        </w:rPr>
        <w:t xml:space="preserve">, </w:t>
      </w:r>
      <w:proofErr w:type="spellStart"/>
      <w:r w:rsidRPr="00FF6DFA">
        <w:rPr>
          <w:sz w:val="24"/>
          <w:szCs w:val="24"/>
        </w:rPr>
        <w:t>methacrylsyre-ethylacrylat</w:t>
      </w:r>
      <w:proofErr w:type="spellEnd"/>
      <w:r w:rsidRPr="00FF6DFA">
        <w:rPr>
          <w:sz w:val="24"/>
          <w:szCs w:val="24"/>
        </w:rPr>
        <w:t xml:space="preserve"> </w:t>
      </w:r>
      <w:proofErr w:type="spellStart"/>
      <w:r w:rsidRPr="00FF6DFA">
        <w:rPr>
          <w:sz w:val="24"/>
          <w:szCs w:val="24"/>
        </w:rPr>
        <w:t>copolymer</w:t>
      </w:r>
      <w:proofErr w:type="spellEnd"/>
      <w:r w:rsidRPr="00FF6DFA">
        <w:rPr>
          <w:sz w:val="24"/>
          <w:szCs w:val="24"/>
        </w:rPr>
        <w:t xml:space="preserve"> (1:1), </w:t>
      </w:r>
      <w:proofErr w:type="spellStart"/>
      <w:r w:rsidRPr="00FF6DFA">
        <w:rPr>
          <w:sz w:val="24"/>
          <w:szCs w:val="24"/>
        </w:rPr>
        <w:t>polysorbat</w:t>
      </w:r>
      <w:proofErr w:type="spellEnd"/>
      <w:r w:rsidRPr="00FF6DFA">
        <w:rPr>
          <w:sz w:val="24"/>
          <w:szCs w:val="24"/>
        </w:rPr>
        <w:t xml:space="preserve"> 80, </w:t>
      </w:r>
      <w:proofErr w:type="spellStart"/>
      <w:r w:rsidRPr="00FF6DFA">
        <w:rPr>
          <w:sz w:val="24"/>
          <w:szCs w:val="24"/>
        </w:rPr>
        <w:t>natriumlaurilsulfat</w:t>
      </w:r>
      <w:proofErr w:type="spellEnd"/>
      <w:r w:rsidRPr="00FF6DFA">
        <w:rPr>
          <w:sz w:val="24"/>
          <w:szCs w:val="24"/>
        </w:rPr>
        <w:t xml:space="preserve">, </w:t>
      </w:r>
      <w:proofErr w:type="spellStart"/>
      <w:r w:rsidRPr="00FF6DFA">
        <w:rPr>
          <w:sz w:val="24"/>
          <w:szCs w:val="24"/>
        </w:rPr>
        <w:t>glycerolmonostearat</w:t>
      </w:r>
      <w:proofErr w:type="spellEnd"/>
      <w:r w:rsidRPr="00FF6DFA">
        <w:rPr>
          <w:sz w:val="24"/>
          <w:szCs w:val="24"/>
        </w:rPr>
        <w:t>, renset vand.</w:t>
      </w:r>
    </w:p>
    <w:p w14:paraId="2E05E712" w14:textId="77777777" w:rsidR="009260DE" w:rsidRPr="00FF6DFA" w:rsidRDefault="009260DE" w:rsidP="009260DE">
      <w:pPr>
        <w:tabs>
          <w:tab w:val="left" w:pos="851"/>
        </w:tabs>
        <w:ind w:left="851"/>
        <w:rPr>
          <w:sz w:val="24"/>
          <w:szCs w:val="24"/>
        </w:rPr>
      </w:pPr>
    </w:p>
    <w:p w14:paraId="337E7A9A" w14:textId="77777777" w:rsidR="009260DE" w:rsidRPr="00FF6DFA" w:rsidRDefault="009260DE" w:rsidP="009260DE">
      <w:pPr>
        <w:tabs>
          <w:tab w:val="left" w:pos="851"/>
        </w:tabs>
        <w:ind w:left="851" w:hanging="851"/>
        <w:rPr>
          <w:b/>
          <w:sz w:val="24"/>
          <w:szCs w:val="24"/>
        </w:rPr>
      </w:pPr>
      <w:r w:rsidRPr="00FF6DFA">
        <w:rPr>
          <w:b/>
          <w:sz w:val="24"/>
          <w:szCs w:val="24"/>
        </w:rPr>
        <w:t>6.2</w:t>
      </w:r>
      <w:r w:rsidRPr="00FF6DFA">
        <w:rPr>
          <w:b/>
          <w:sz w:val="24"/>
          <w:szCs w:val="24"/>
        </w:rPr>
        <w:tab/>
        <w:t>Uforligeligheder</w:t>
      </w:r>
    </w:p>
    <w:p w14:paraId="10B3B5E1" w14:textId="77777777" w:rsidR="003D1C90" w:rsidRPr="00FF6DFA" w:rsidRDefault="003D1C90" w:rsidP="00FF6DFA">
      <w:pPr>
        <w:ind w:left="851"/>
        <w:rPr>
          <w:sz w:val="24"/>
          <w:szCs w:val="24"/>
        </w:rPr>
      </w:pPr>
      <w:r w:rsidRPr="00FF6DFA">
        <w:rPr>
          <w:sz w:val="24"/>
          <w:szCs w:val="24"/>
        </w:rPr>
        <w:t>Ikke relevant.</w:t>
      </w:r>
    </w:p>
    <w:p w14:paraId="1E75AE56" w14:textId="77777777" w:rsidR="009260DE" w:rsidRPr="00FF6DFA" w:rsidRDefault="009260DE" w:rsidP="009260DE">
      <w:pPr>
        <w:tabs>
          <w:tab w:val="left" w:pos="851"/>
        </w:tabs>
        <w:ind w:left="851"/>
        <w:rPr>
          <w:sz w:val="24"/>
          <w:szCs w:val="24"/>
        </w:rPr>
      </w:pPr>
    </w:p>
    <w:p w14:paraId="23ADD137" w14:textId="77777777" w:rsidR="009260DE" w:rsidRPr="00FF6DFA" w:rsidRDefault="009260DE" w:rsidP="009260DE">
      <w:pPr>
        <w:tabs>
          <w:tab w:val="left" w:pos="851"/>
        </w:tabs>
        <w:ind w:left="851" w:hanging="851"/>
        <w:rPr>
          <w:b/>
          <w:sz w:val="24"/>
          <w:szCs w:val="24"/>
        </w:rPr>
      </w:pPr>
      <w:r w:rsidRPr="00FF6DFA">
        <w:rPr>
          <w:b/>
          <w:sz w:val="24"/>
          <w:szCs w:val="24"/>
        </w:rPr>
        <w:t>6.3</w:t>
      </w:r>
      <w:r w:rsidRPr="00FF6DFA">
        <w:rPr>
          <w:b/>
          <w:sz w:val="24"/>
          <w:szCs w:val="24"/>
        </w:rPr>
        <w:tab/>
        <w:t>Opbevaringstid</w:t>
      </w:r>
    </w:p>
    <w:p w14:paraId="2656E3CC" w14:textId="77777777" w:rsidR="003D1C90" w:rsidRPr="00FF6DFA" w:rsidRDefault="003D1C90" w:rsidP="00FF6DFA">
      <w:pPr>
        <w:ind w:left="851"/>
        <w:rPr>
          <w:sz w:val="24"/>
          <w:szCs w:val="24"/>
        </w:rPr>
      </w:pPr>
      <w:r w:rsidRPr="00FF6DFA">
        <w:rPr>
          <w:sz w:val="24"/>
          <w:szCs w:val="24"/>
        </w:rPr>
        <w:t>3 år</w:t>
      </w:r>
    </w:p>
    <w:p w14:paraId="5736F2C8" w14:textId="77777777" w:rsidR="009260DE" w:rsidRPr="00FF6DFA" w:rsidRDefault="009260DE" w:rsidP="009260DE">
      <w:pPr>
        <w:tabs>
          <w:tab w:val="left" w:pos="851"/>
        </w:tabs>
        <w:ind w:left="851"/>
        <w:rPr>
          <w:sz w:val="24"/>
          <w:szCs w:val="24"/>
        </w:rPr>
      </w:pPr>
    </w:p>
    <w:p w14:paraId="720CC75B" w14:textId="77777777" w:rsidR="009260DE" w:rsidRPr="00FF6DFA" w:rsidRDefault="009260DE" w:rsidP="009260DE">
      <w:pPr>
        <w:tabs>
          <w:tab w:val="left" w:pos="851"/>
        </w:tabs>
        <w:ind w:left="851" w:hanging="851"/>
        <w:rPr>
          <w:b/>
          <w:sz w:val="24"/>
          <w:szCs w:val="24"/>
        </w:rPr>
      </w:pPr>
      <w:r w:rsidRPr="00FF6DFA">
        <w:rPr>
          <w:b/>
          <w:sz w:val="24"/>
          <w:szCs w:val="24"/>
        </w:rPr>
        <w:t>6.4</w:t>
      </w:r>
      <w:r w:rsidRPr="00FF6DFA">
        <w:rPr>
          <w:b/>
          <w:sz w:val="24"/>
          <w:szCs w:val="24"/>
        </w:rPr>
        <w:tab/>
        <w:t>Særlige opbevaringsforhold</w:t>
      </w:r>
    </w:p>
    <w:p w14:paraId="32E046D6" w14:textId="77777777" w:rsidR="003D1C90" w:rsidRPr="00FF6DFA" w:rsidRDefault="003D1C90" w:rsidP="00FF6DFA">
      <w:pPr>
        <w:ind w:left="851"/>
        <w:rPr>
          <w:snapToGrid w:val="0"/>
          <w:sz w:val="24"/>
          <w:szCs w:val="24"/>
        </w:rPr>
      </w:pPr>
      <w:r w:rsidRPr="00FF6DFA">
        <w:rPr>
          <w:snapToGrid w:val="0"/>
          <w:sz w:val="24"/>
          <w:szCs w:val="24"/>
        </w:rPr>
        <w:t>Må ikke opbevares ved temperaturer over 30 °C.</w:t>
      </w:r>
    </w:p>
    <w:p w14:paraId="610A55AF" w14:textId="77777777" w:rsidR="003D1C90" w:rsidRPr="00FF6DFA" w:rsidRDefault="003D1C90" w:rsidP="00FF6DFA">
      <w:pPr>
        <w:ind w:left="851"/>
        <w:rPr>
          <w:snapToGrid w:val="0"/>
          <w:sz w:val="24"/>
          <w:szCs w:val="24"/>
        </w:rPr>
      </w:pPr>
      <w:bookmarkStart w:id="0" w:name="_Hlk216082133"/>
      <w:r w:rsidRPr="00FF6DFA">
        <w:rPr>
          <w:snapToGrid w:val="0"/>
          <w:sz w:val="24"/>
          <w:szCs w:val="24"/>
        </w:rPr>
        <w:t>Opbevares i den originale pakning for at beskytte mod lys.</w:t>
      </w:r>
      <w:bookmarkEnd w:id="0"/>
    </w:p>
    <w:p w14:paraId="5CA149CF" w14:textId="77777777" w:rsidR="009260DE" w:rsidRPr="00FF6DFA" w:rsidRDefault="009260DE" w:rsidP="009260DE">
      <w:pPr>
        <w:tabs>
          <w:tab w:val="left" w:pos="851"/>
        </w:tabs>
        <w:ind w:left="851"/>
        <w:rPr>
          <w:sz w:val="24"/>
          <w:szCs w:val="24"/>
        </w:rPr>
      </w:pPr>
    </w:p>
    <w:p w14:paraId="32996F6E" w14:textId="77777777" w:rsidR="009260DE" w:rsidRPr="00FF6DFA" w:rsidRDefault="009260DE" w:rsidP="009260DE">
      <w:pPr>
        <w:tabs>
          <w:tab w:val="left" w:pos="851"/>
        </w:tabs>
        <w:ind w:left="851" w:hanging="851"/>
        <w:rPr>
          <w:b/>
          <w:sz w:val="24"/>
          <w:szCs w:val="24"/>
        </w:rPr>
      </w:pPr>
      <w:r w:rsidRPr="00FF6DFA">
        <w:rPr>
          <w:b/>
          <w:sz w:val="24"/>
          <w:szCs w:val="24"/>
        </w:rPr>
        <w:t>6.5</w:t>
      </w:r>
      <w:r w:rsidRPr="00FF6DFA">
        <w:rPr>
          <w:b/>
          <w:sz w:val="24"/>
          <w:szCs w:val="24"/>
        </w:rPr>
        <w:tab/>
        <w:t>Emballagetype og pakningsstørrelser</w:t>
      </w:r>
    </w:p>
    <w:p w14:paraId="6AB6A069" w14:textId="77777777" w:rsidR="003D1C90" w:rsidRPr="00FF6DFA" w:rsidRDefault="003D1C90" w:rsidP="00FF6DFA">
      <w:pPr>
        <w:suppressAutoHyphens/>
        <w:ind w:left="851"/>
        <w:rPr>
          <w:sz w:val="24"/>
          <w:szCs w:val="24"/>
        </w:rPr>
      </w:pPr>
      <w:r w:rsidRPr="00FF6DFA">
        <w:rPr>
          <w:sz w:val="24"/>
          <w:szCs w:val="24"/>
        </w:rPr>
        <w:t>Æsker indeholdende kapsler i klare PVC/PVDC-blisterkort forseglet med aluminiumfolie.</w:t>
      </w:r>
    </w:p>
    <w:p w14:paraId="7B34D201" w14:textId="77777777" w:rsidR="003D1C90" w:rsidRPr="00FF6DFA" w:rsidRDefault="003D1C90" w:rsidP="00FF6DFA">
      <w:pPr>
        <w:suppressAutoHyphens/>
        <w:ind w:left="851"/>
        <w:rPr>
          <w:sz w:val="24"/>
          <w:szCs w:val="24"/>
        </w:rPr>
      </w:pPr>
    </w:p>
    <w:p w14:paraId="34697CDB" w14:textId="77777777" w:rsidR="003D1C90" w:rsidRPr="00FF6DFA" w:rsidRDefault="003D1C90" w:rsidP="00FF6DFA">
      <w:pPr>
        <w:suppressAutoHyphens/>
        <w:ind w:left="851"/>
        <w:rPr>
          <w:sz w:val="24"/>
          <w:szCs w:val="24"/>
        </w:rPr>
      </w:pPr>
      <w:r w:rsidRPr="00FF6DFA">
        <w:rPr>
          <w:sz w:val="24"/>
          <w:szCs w:val="24"/>
        </w:rPr>
        <w:t>Pakningsstørrelser: 100 bløde enterokapsler og 500 bløde enterokapsler (hospitalspakning).</w:t>
      </w:r>
    </w:p>
    <w:p w14:paraId="4DE7A736" w14:textId="77777777" w:rsidR="003D1C90" w:rsidRPr="00FF6DFA" w:rsidRDefault="003D1C90" w:rsidP="00FF6DFA">
      <w:pPr>
        <w:suppressAutoHyphens/>
        <w:ind w:left="851"/>
        <w:rPr>
          <w:sz w:val="24"/>
          <w:szCs w:val="24"/>
        </w:rPr>
      </w:pPr>
    </w:p>
    <w:p w14:paraId="4B06B1A9" w14:textId="77777777" w:rsidR="003D1C90" w:rsidRPr="00FF6DFA" w:rsidRDefault="003D1C90" w:rsidP="00FF6DFA">
      <w:pPr>
        <w:suppressAutoHyphens/>
        <w:ind w:left="851"/>
        <w:rPr>
          <w:sz w:val="24"/>
          <w:szCs w:val="24"/>
        </w:rPr>
      </w:pPr>
      <w:r w:rsidRPr="00FF6DFA">
        <w:rPr>
          <w:sz w:val="24"/>
          <w:szCs w:val="24"/>
        </w:rPr>
        <w:t>Ikke alle pakningsstørrelser er nødvendigvis markedsført.</w:t>
      </w:r>
    </w:p>
    <w:p w14:paraId="1E645A1C" w14:textId="77777777" w:rsidR="009260DE" w:rsidRPr="00FF6DFA" w:rsidRDefault="009260DE" w:rsidP="009260DE">
      <w:pPr>
        <w:tabs>
          <w:tab w:val="left" w:pos="851"/>
        </w:tabs>
        <w:ind w:left="851"/>
        <w:rPr>
          <w:sz w:val="24"/>
          <w:szCs w:val="24"/>
        </w:rPr>
      </w:pPr>
    </w:p>
    <w:p w14:paraId="0AE19E9F" w14:textId="77777777" w:rsidR="009260DE" w:rsidRPr="00FF6DFA" w:rsidRDefault="009260DE" w:rsidP="009260DE">
      <w:pPr>
        <w:tabs>
          <w:tab w:val="left" w:pos="851"/>
        </w:tabs>
        <w:ind w:left="851" w:hanging="851"/>
        <w:rPr>
          <w:b/>
          <w:sz w:val="24"/>
          <w:szCs w:val="24"/>
        </w:rPr>
      </w:pPr>
      <w:r w:rsidRPr="00FF6DFA">
        <w:rPr>
          <w:b/>
          <w:sz w:val="24"/>
          <w:szCs w:val="24"/>
        </w:rPr>
        <w:t>6.6</w:t>
      </w:r>
      <w:r w:rsidRPr="00FF6DFA">
        <w:rPr>
          <w:b/>
          <w:sz w:val="24"/>
          <w:szCs w:val="24"/>
        </w:rPr>
        <w:tab/>
        <w:t xml:space="preserve">Regler for </w:t>
      </w:r>
      <w:r w:rsidR="00BD7931" w:rsidRPr="00FF6DFA">
        <w:rPr>
          <w:b/>
          <w:sz w:val="24"/>
          <w:szCs w:val="24"/>
        </w:rPr>
        <w:t>bortskaffelse</w:t>
      </w:r>
      <w:r w:rsidRPr="00FF6DFA">
        <w:rPr>
          <w:b/>
          <w:sz w:val="24"/>
          <w:szCs w:val="24"/>
        </w:rPr>
        <w:t xml:space="preserve"> og anden håndtering</w:t>
      </w:r>
    </w:p>
    <w:p w14:paraId="7D97473D" w14:textId="77777777" w:rsidR="003D1C90" w:rsidRPr="00FF6DFA" w:rsidRDefault="003D1C90" w:rsidP="00FF6DFA">
      <w:pPr>
        <w:ind w:left="851"/>
        <w:rPr>
          <w:sz w:val="24"/>
          <w:szCs w:val="24"/>
        </w:rPr>
      </w:pPr>
      <w:r w:rsidRPr="00FF6DFA">
        <w:rPr>
          <w:sz w:val="24"/>
          <w:szCs w:val="24"/>
        </w:rPr>
        <w:t>Ikke anvendt lægemiddel samt affald heraf skal bortskaffes i henhold til lokale retningslinjer.</w:t>
      </w:r>
    </w:p>
    <w:p w14:paraId="6058A40A" w14:textId="77777777" w:rsidR="009260DE" w:rsidRPr="00FF6DFA" w:rsidRDefault="009260DE" w:rsidP="000730CA">
      <w:pPr>
        <w:tabs>
          <w:tab w:val="left" w:pos="851"/>
        </w:tabs>
        <w:ind w:left="851"/>
        <w:rPr>
          <w:sz w:val="24"/>
          <w:szCs w:val="24"/>
        </w:rPr>
      </w:pPr>
    </w:p>
    <w:p w14:paraId="439A04B3" w14:textId="77777777" w:rsidR="009260DE" w:rsidRPr="00FF6DFA" w:rsidRDefault="009260DE" w:rsidP="009260DE">
      <w:pPr>
        <w:tabs>
          <w:tab w:val="left" w:pos="851"/>
        </w:tabs>
        <w:ind w:left="851" w:hanging="851"/>
        <w:rPr>
          <w:b/>
          <w:sz w:val="24"/>
          <w:szCs w:val="24"/>
        </w:rPr>
      </w:pPr>
      <w:r w:rsidRPr="00FF6DFA">
        <w:rPr>
          <w:b/>
          <w:sz w:val="24"/>
          <w:szCs w:val="24"/>
        </w:rPr>
        <w:t>7.</w:t>
      </w:r>
      <w:r w:rsidRPr="00FF6DFA">
        <w:rPr>
          <w:b/>
          <w:sz w:val="24"/>
          <w:szCs w:val="24"/>
        </w:rPr>
        <w:tab/>
        <w:t>INDEHAVER AF MARKEDSFØRINGSTILLADELSEN</w:t>
      </w:r>
    </w:p>
    <w:p w14:paraId="0FF99569" w14:textId="77777777" w:rsidR="003D1C90" w:rsidRPr="00FF6DFA" w:rsidRDefault="003D1C90" w:rsidP="00FF6DFA">
      <w:pPr>
        <w:suppressAutoHyphens/>
        <w:ind w:left="851"/>
        <w:rPr>
          <w:sz w:val="24"/>
          <w:szCs w:val="24"/>
        </w:rPr>
      </w:pPr>
      <w:r w:rsidRPr="00FF6DFA">
        <w:rPr>
          <w:sz w:val="24"/>
          <w:szCs w:val="24"/>
        </w:rPr>
        <w:t xml:space="preserve">PTR Pharma Consulting, </w:t>
      </w:r>
      <w:proofErr w:type="spellStart"/>
      <w:r w:rsidRPr="00FF6DFA">
        <w:rPr>
          <w:sz w:val="24"/>
          <w:szCs w:val="24"/>
        </w:rPr>
        <w:t>Unipessoal</w:t>
      </w:r>
      <w:proofErr w:type="spellEnd"/>
      <w:r w:rsidRPr="00FF6DFA">
        <w:rPr>
          <w:sz w:val="24"/>
          <w:szCs w:val="24"/>
        </w:rPr>
        <w:t xml:space="preserve"> </w:t>
      </w:r>
      <w:proofErr w:type="spellStart"/>
      <w:r w:rsidRPr="00FF6DFA">
        <w:rPr>
          <w:sz w:val="24"/>
          <w:szCs w:val="24"/>
        </w:rPr>
        <w:t>Lda</w:t>
      </w:r>
      <w:proofErr w:type="spellEnd"/>
      <w:r w:rsidRPr="00FF6DFA">
        <w:rPr>
          <w:sz w:val="24"/>
          <w:szCs w:val="24"/>
        </w:rPr>
        <w:t>.</w:t>
      </w:r>
    </w:p>
    <w:p w14:paraId="74E58EBF" w14:textId="77777777" w:rsidR="003D1C90" w:rsidRPr="00FF6DFA" w:rsidRDefault="003D1C90" w:rsidP="00FF6DFA">
      <w:pPr>
        <w:suppressAutoHyphens/>
        <w:ind w:left="851"/>
        <w:rPr>
          <w:sz w:val="24"/>
          <w:szCs w:val="24"/>
          <w:lang w:val="en-US"/>
        </w:rPr>
      </w:pPr>
      <w:proofErr w:type="spellStart"/>
      <w:r w:rsidRPr="00FF6DFA">
        <w:rPr>
          <w:sz w:val="24"/>
          <w:szCs w:val="24"/>
          <w:lang w:val="en-US"/>
        </w:rPr>
        <w:t>Rua</w:t>
      </w:r>
      <w:proofErr w:type="spellEnd"/>
      <w:r w:rsidRPr="00FF6DFA">
        <w:rPr>
          <w:sz w:val="24"/>
          <w:szCs w:val="24"/>
          <w:lang w:val="en-US"/>
        </w:rPr>
        <w:t xml:space="preserve"> Brito </w:t>
      </w:r>
      <w:proofErr w:type="spellStart"/>
      <w:r w:rsidRPr="00FF6DFA">
        <w:rPr>
          <w:sz w:val="24"/>
          <w:szCs w:val="24"/>
          <w:lang w:val="en-US"/>
        </w:rPr>
        <w:t>Pais</w:t>
      </w:r>
      <w:proofErr w:type="spellEnd"/>
      <w:r w:rsidRPr="00FF6DFA">
        <w:rPr>
          <w:sz w:val="24"/>
          <w:szCs w:val="24"/>
          <w:lang w:val="en-US"/>
        </w:rPr>
        <w:t>, 8C</w:t>
      </w:r>
    </w:p>
    <w:p w14:paraId="25A218AB" w14:textId="77777777" w:rsidR="003D1C90" w:rsidRPr="00FF6DFA" w:rsidRDefault="003D1C90" w:rsidP="00FF6DFA">
      <w:pPr>
        <w:suppressAutoHyphens/>
        <w:ind w:left="851"/>
        <w:rPr>
          <w:sz w:val="24"/>
          <w:szCs w:val="24"/>
          <w:lang w:val="en-US"/>
        </w:rPr>
      </w:pPr>
      <w:r w:rsidRPr="00FF6DFA">
        <w:rPr>
          <w:sz w:val="24"/>
          <w:szCs w:val="24"/>
          <w:lang w:val="en-US"/>
        </w:rPr>
        <w:t xml:space="preserve">1495-028 </w:t>
      </w:r>
      <w:proofErr w:type="spellStart"/>
      <w:r w:rsidRPr="00FF6DFA">
        <w:rPr>
          <w:sz w:val="24"/>
          <w:szCs w:val="24"/>
          <w:lang w:val="en-US"/>
        </w:rPr>
        <w:t>Algés</w:t>
      </w:r>
      <w:proofErr w:type="spellEnd"/>
    </w:p>
    <w:p w14:paraId="56992585" w14:textId="77777777" w:rsidR="003D1C90" w:rsidRPr="00FF6DFA" w:rsidRDefault="003D1C90" w:rsidP="00FF6DFA">
      <w:pPr>
        <w:suppressAutoHyphens/>
        <w:ind w:left="851"/>
        <w:rPr>
          <w:sz w:val="24"/>
          <w:szCs w:val="24"/>
          <w:lang w:val="en-US"/>
        </w:rPr>
      </w:pPr>
      <w:r w:rsidRPr="00FF6DFA">
        <w:rPr>
          <w:sz w:val="24"/>
          <w:szCs w:val="24"/>
          <w:lang w:val="en-US"/>
        </w:rPr>
        <w:t>Portugal</w:t>
      </w:r>
    </w:p>
    <w:p w14:paraId="4A54AF05" w14:textId="77777777" w:rsidR="00641C65" w:rsidRPr="00770C89" w:rsidRDefault="00641C65" w:rsidP="009260DE">
      <w:pPr>
        <w:tabs>
          <w:tab w:val="left" w:pos="851"/>
        </w:tabs>
        <w:ind w:left="851"/>
        <w:rPr>
          <w:sz w:val="24"/>
          <w:szCs w:val="24"/>
          <w:lang w:val="en-US"/>
        </w:rPr>
      </w:pPr>
    </w:p>
    <w:p w14:paraId="2DCB38F2" w14:textId="77777777" w:rsidR="009260DE" w:rsidRPr="00FF6DFA" w:rsidRDefault="009260DE" w:rsidP="009260DE">
      <w:pPr>
        <w:tabs>
          <w:tab w:val="left" w:pos="851"/>
        </w:tabs>
        <w:ind w:left="851" w:hanging="851"/>
        <w:rPr>
          <w:b/>
          <w:sz w:val="24"/>
          <w:szCs w:val="24"/>
        </w:rPr>
      </w:pPr>
      <w:r w:rsidRPr="00FF6DFA">
        <w:rPr>
          <w:b/>
          <w:sz w:val="24"/>
          <w:szCs w:val="24"/>
        </w:rPr>
        <w:t>8.</w:t>
      </w:r>
      <w:r w:rsidRPr="00FF6DFA">
        <w:rPr>
          <w:b/>
          <w:sz w:val="24"/>
          <w:szCs w:val="24"/>
        </w:rPr>
        <w:tab/>
        <w:t>MARKEDSFØRINGSTILLADELSESNUMMER (</w:t>
      </w:r>
      <w:r w:rsidR="00BF6243" w:rsidRPr="00FF6DFA">
        <w:rPr>
          <w:b/>
          <w:sz w:val="24"/>
          <w:szCs w:val="24"/>
        </w:rPr>
        <w:t>-</w:t>
      </w:r>
      <w:r w:rsidRPr="00FF6DFA">
        <w:rPr>
          <w:b/>
          <w:sz w:val="24"/>
          <w:szCs w:val="24"/>
        </w:rPr>
        <w:t>NUMRE)</w:t>
      </w:r>
    </w:p>
    <w:p w14:paraId="6854657E" w14:textId="4871FBEB" w:rsidR="009260DE" w:rsidRPr="00FF6DFA" w:rsidRDefault="003D1C90" w:rsidP="009260DE">
      <w:pPr>
        <w:tabs>
          <w:tab w:val="left" w:pos="851"/>
        </w:tabs>
        <w:ind w:left="851"/>
        <w:rPr>
          <w:sz w:val="24"/>
          <w:szCs w:val="24"/>
        </w:rPr>
      </w:pPr>
      <w:r w:rsidRPr="00FF6DFA">
        <w:rPr>
          <w:sz w:val="24"/>
          <w:szCs w:val="24"/>
        </w:rPr>
        <w:t>71562</w:t>
      </w:r>
    </w:p>
    <w:p w14:paraId="08C67ADA" w14:textId="77777777" w:rsidR="009260DE" w:rsidRPr="00FF6DFA" w:rsidRDefault="009260DE" w:rsidP="009260DE">
      <w:pPr>
        <w:tabs>
          <w:tab w:val="left" w:pos="851"/>
        </w:tabs>
        <w:ind w:left="851"/>
        <w:jc w:val="both"/>
        <w:rPr>
          <w:sz w:val="24"/>
          <w:szCs w:val="24"/>
        </w:rPr>
      </w:pPr>
    </w:p>
    <w:p w14:paraId="4163BC23" w14:textId="77777777" w:rsidR="009260DE" w:rsidRPr="00FF6DFA" w:rsidRDefault="009260DE" w:rsidP="009260DE">
      <w:pPr>
        <w:tabs>
          <w:tab w:val="left" w:pos="851"/>
        </w:tabs>
        <w:ind w:left="851" w:hanging="851"/>
        <w:rPr>
          <w:b/>
          <w:sz w:val="24"/>
          <w:szCs w:val="24"/>
        </w:rPr>
      </w:pPr>
      <w:r w:rsidRPr="00FF6DFA">
        <w:rPr>
          <w:b/>
          <w:sz w:val="24"/>
          <w:szCs w:val="24"/>
        </w:rPr>
        <w:t>9.</w:t>
      </w:r>
      <w:r w:rsidRPr="00FF6DFA">
        <w:rPr>
          <w:b/>
          <w:sz w:val="24"/>
          <w:szCs w:val="24"/>
        </w:rPr>
        <w:tab/>
        <w:t>DATO FOR FØRSTE MARKEDSFØRINGSTILLADELSE</w:t>
      </w:r>
    </w:p>
    <w:p w14:paraId="2A35545F" w14:textId="4F065391" w:rsidR="009260DE" w:rsidRPr="00FF6DFA" w:rsidRDefault="00770C89" w:rsidP="009260DE">
      <w:pPr>
        <w:tabs>
          <w:tab w:val="left" w:pos="851"/>
        </w:tabs>
        <w:ind w:left="851"/>
        <w:rPr>
          <w:sz w:val="24"/>
          <w:szCs w:val="24"/>
        </w:rPr>
      </w:pPr>
      <w:r>
        <w:rPr>
          <w:sz w:val="24"/>
          <w:szCs w:val="24"/>
        </w:rPr>
        <w:t>18. december 2025</w:t>
      </w:r>
    </w:p>
    <w:p w14:paraId="5AF28931" w14:textId="77777777" w:rsidR="009260DE" w:rsidRPr="00FF6DFA" w:rsidRDefault="009260DE" w:rsidP="009260DE">
      <w:pPr>
        <w:tabs>
          <w:tab w:val="left" w:pos="851"/>
        </w:tabs>
        <w:ind w:left="851"/>
        <w:rPr>
          <w:sz w:val="24"/>
          <w:szCs w:val="24"/>
        </w:rPr>
      </w:pPr>
    </w:p>
    <w:p w14:paraId="2585FDFC" w14:textId="77777777" w:rsidR="009260DE" w:rsidRPr="00FF6DFA" w:rsidRDefault="009260DE" w:rsidP="009260DE">
      <w:pPr>
        <w:tabs>
          <w:tab w:val="left" w:pos="851"/>
        </w:tabs>
        <w:ind w:left="851" w:hanging="851"/>
        <w:rPr>
          <w:b/>
          <w:sz w:val="24"/>
          <w:szCs w:val="24"/>
        </w:rPr>
      </w:pPr>
      <w:r w:rsidRPr="00FF6DFA">
        <w:rPr>
          <w:b/>
          <w:sz w:val="24"/>
          <w:szCs w:val="24"/>
        </w:rPr>
        <w:t>10.</w:t>
      </w:r>
      <w:r w:rsidRPr="00FF6DFA">
        <w:rPr>
          <w:b/>
          <w:sz w:val="24"/>
          <w:szCs w:val="24"/>
        </w:rPr>
        <w:tab/>
        <w:t>DATO FOR ÆNDRING AF TEKSTEN</w:t>
      </w:r>
    </w:p>
    <w:p w14:paraId="206D7694" w14:textId="6AF8F0CD" w:rsidR="009260DE" w:rsidRPr="00FF6DFA" w:rsidRDefault="003D1C90" w:rsidP="009260DE">
      <w:pPr>
        <w:tabs>
          <w:tab w:val="left" w:pos="851"/>
        </w:tabs>
        <w:ind w:left="851"/>
        <w:rPr>
          <w:sz w:val="24"/>
          <w:szCs w:val="24"/>
        </w:rPr>
      </w:pPr>
      <w:r w:rsidRPr="00FF6DFA">
        <w:rPr>
          <w:sz w:val="24"/>
          <w:szCs w:val="24"/>
        </w:rPr>
        <w:t>-</w:t>
      </w:r>
      <w:bookmarkStart w:id="1" w:name="_GoBack"/>
      <w:bookmarkEnd w:id="1"/>
    </w:p>
    <w:sectPr w:rsidR="009260DE" w:rsidRPr="00FF6DFA"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1F63D" w14:textId="77777777" w:rsidR="008E7FD0" w:rsidRDefault="008E7FD0">
      <w:r>
        <w:separator/>
      </w:r>
    </w:p>
  </w:endnote>
  <w:endnote w:type="continuationSeparator" w:id="0">
    <w:p w14:paraId="25552E5C" w14:textId="77777777" w:rsidR="008E7FD0" w:rsidRDefault="008E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D5CB" w14:textId="77777777" w:rsidR="000259B9" w:rsidRDefault="000259B9">
    <w:pPr>
      <w:pStyle w:val="Sidefod"/>
      <w:pBdr>
        <w:bottom w:val="single" w:sz="6" w:space="1" w:color="auto"/>
      </w:pBdr>
    </w:pPr>
  </w:p>
  <w:p w14:paraId="26B0CB87" w14:textId="77777777" w:rsidR="000259B9" w:rsidRDefault="000259B9" w:rsidP="00C42586">
    <w:pPr>
      <w:pStyle w:val="Sidefod"/>
      <w:tabs>
        <w:tab w:val="clear" w:pos="4819"/>
        <w:tab w:val="left" w:pos="8505"/>
      </w:tabs>
      <w:rPr>
        <w:i/>
        <w:sz w:val="18"/>
        <w:szCs w:val="18"/>
      </w:rPr>
    </w:pPr>
  </w:p>
  <w:p w14:paraId="677CBA67" w14:textId="18E51292"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403C58">
      <w:rPr>
        <w:i/>
        <w:noProof/>
        <w:sz w:val="18"/>
        <w:szCs w:val="18"/>
      </w:rPr>
      <w:t>Natriumhydrogencarbonat PTR Pharma Consulting, bløde enterokapsler 500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9D1C3" w14:textId="77777777" w:rsidR="008E7FD0" w:rsidRDefault="008E7FD0">
      <w:r>
        <w:separator/>
      </w:r>
    </w:p>
  </w:footnote>
  <w:footnote w:type="continuationSeparator" w:id="0">
    <w:p w14:paraId="02F65743" w14:textId="77777777" w:rsidR="008E7FD0" w:rsidRDefault="008E7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E587BEC"/>
    <w:multiLevelType w:val="hybridMultilevel"/>
    <w:tmpl w:val="D966DCC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D0"/>
    <w:rsid w:val="000259B9"/>
    <w:rsid w:val="0004019A"/>
    <w:rsid w:val="00041491"/>
    <w:rsid w:val="00050D16"/>
    <w:rsid w:val="000730CA"/>
    <w:rsid w:val="00074F2A"/>
    <w:rsid w:val="000A1CA8"/>
    <w:rsid w:val="000A466B"/>
    <w:rsid w:val="000B058C"/>
    <w:rsid w:val="000D68B0"/>
    <w:rsid w:val="000E4EE6"/>
    <w:rsid w:val="001454E2"/>
    <w:rsid w:val="00206CE8"/>
    <w:rsid w:val="0021526C"/>
    <w:rsid w:val="00231860"/>
    <w:rsid w:val="00283A2B"/>
    <w:rsid w:val="002B30AD"/>
    <w:rsid w:val="002C1EC0"/>
    <w:rsid w:val="002C2C01"/>
    <w:rsid w:val="003A29AE"/>
    <w:rsid w:val="003A32D7"/>
    <w:rsid w:val="003B4074"/>
    <w:rsid w:val="003C769A"/>
    <w:rsid w:val="003D1C90"/>
    <w:rsid w:val="003D3A90"/>
    <w:rsid w:val="003F1838"/>
    <w:rsid w:val="00403C58"/>
    <w:rsid w:val="004251C1"/>
    <w:rsid w:val="0045746C"/>
    <w:rsid w:val="0049104B"/>
    <w:rsid w:val="004E3B12"/>
    <w:rsid w:val="00532310"/>
    <w:rsid w:val="00565F0F"/>
    <w:rsid w:val="00594A86"/>
    <w:rsid w:val="00596D86"/>
    <w:rsid w:val="005E7A14"/>
    <w:rsid w:val="00637F5A"/>
    <w:rsid w:val="00641C65"/>
    <w:rsid w:val="006560B1"/>
    <w:rsid w:val="006756DD"/>
    <w:rsid w:val="0071241E"/>
    <w:rsid w:val="00737275"/>
    <w:rsid w:val="00740EEC"/>
    <w:rsid w:val="00770C89"/>
    <w:rsid w:val="0078011A"/>
    <w:rsid w:val="00782AF4"/>
    <w:rsid w:val="00790EE7"/>
    <w:rsid w:val="007B6649"/>
    <w:rsid w:val="0082576E"/>
    <w:rsid w:val="0089346F"/>
    <w:rsid w:val="008E7FD0"/>
    <w:rsid w:val="00907F75"/>
    <w:rsid w:val="009260DE"/>
    <w:rsid w:val="0093258A"/>
    <w:rsid w:val="009C7BA3"/>
    <w:rsid w:val="009D1F5A"/>
    <w:rsid w:val="00A10294"/>
    <w:rsid w:val="00B003BF"/>
    <w:rsid w:val="00B373D7"/>
    <w:rsid w:val="00B55271"/>
    <w:rsid w:val="00BD7931"/>
    <w:rsid w:val="00BE0283"/>
    <w:rsid w:val="00BF6243"/>
    <w:rsid w:val="00C36276"/>
    <w:rsid w:val="00C42586"/>
    <w:rsid w:val="00C45F6B"/>
    <w:rsid w:val="00C60CCD"/>
    <w:rsid w:val="00C84483"/>
    <w:rsid w:val="00C95551"/>
    <w:rsid w:val="00CB20D7"/>
    <w:rsid w:val="00D020B0"/>
    <w:rsid w:val="00D11748"/>
    <w:rsid w:val="00D1455C"/>
    <w:rsid w:val="00D237F6"/>
    <w:rsid w:val="00D34D98"/>
    <w:rsid w:val="00D366CF"/>
    <w:rsid w:val="00D833DD"/>
    <w:rsid w:val="00D93992"/>
    <w:rsid w:val="00E108AA"/>
    <w:rsid w:val="00E3749A"/>
    <w:rsid w:val="00E7437F"/>
    <w:rsid w:val="00E865B8"/>
    <w:rsid w:val="00EC0B9B"/>
    <w:rsid w:val="00ED5E9F"/>
    <w:rsid w:val="00F66D4F"/>
    <w:rsid w:val="00FB6D01"/>
    <w:rsid w:val="00FF6D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F2EC0"/>
  <w15:chartTrackingRefBased/>
  <w15:docId w15:val="{A6BA2F90-69F2-4BAB-BF54-7E5AAEA3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3D1C90"/>
    <w:pPr>
      <w:ind w:left="720"/>
      <w:contextualSpacing/>
    </w:pPr>
    <w:rPr>
      <w:sz w:val="22"/>
    </w:rPr>
  </w:style>
  <w:style w:type="paragraph" w:styleId="Brdtekstindrykning3">
    <w:name w:val="Body Text Indent 3"/>
    <w:basedOn w:val="Normal"/>
    <w:link w:val="Brdtekstindrykning3Tegn"/>
    <w:semiHidden/>
    <w:unhideWhenUsed/>
    <w:rsid w:val="003D1C90"/>
    <w:pPr>
      <w:tabs>
        <w:tab w:val="left" w:pos="851"/>
      </w:tabs>
      <w:ind w:left="855"/>
    </w:pPr>
    <w:rPr>
      <w:sz w:val="24"/>
      <w:lang w:eastAsia="da-DK"/>
    </w:rPr>
  </w:style>
  <w:style w:type="character" w:customStyle="1" w:styleId="Brdtekstindrykning3Tegn">
    <w:name w:val="Brødtekstindrykning 3 Tegn"/>
    <w:basedOn w:val="Standardskrifttypeiafsnit"/>
    <w:link w:val="Brdtekstindrykning3"/>
    <w:semiHidden/>
    <w:rsid w:val="003D1C90"/>
    <w:rPr>
      <w:sz w:val="24"/>
    </w:rPr>
  </w:style>
  <w:style w:type="character" w:styleId="Hyperlink">
    <w:name w:val="Hyperlink"/>
    <w:uiPriority w:val="99"/>
    <w:semiHidden/>
    <w:unhideWhenUsed/>
    <w:rsid w:val="003D1C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8535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23682203">
      <w:bodyDiv w:val="1"/>
      <w:marLeft w:val="0"/>
      <w:marRight w:val="0"/>
      <w:marTop w:val="0"/>
      <w:marBottom w:val="0"/>
      <w:divBdr>
        <w:top w:val="none" w:sz="0" w:space="0" w:color="auto"/>
        <w:left w:val="none" w:sz="0" w:space="0" w:color="auto"/>
        <w:bottom w:val="none" w:sz="0" w:space="0" w:color="auto"/>
        <w:right w:val="none" w:sz="0" w:space="0" w:color="auto"/>
      </w:divBdr>
    </w:div>
    <w:div w:id="362825782">
      <w:bodyDiv w:val="1"/>
      <w:marLeft w:val="0"/>
      <w:marRight w:val="0"/>
      <w:marTop w:val="0"/>
      <w:marBottom w:val="0"/>
      <w:divBdr>
        <w:top w:val="none" w:sz="0" w:space="0" w:color="auto"/>
        <w:left w:val="none" w:sz="0" w:space="0" w:color="auto"/>
        <w:bottom w:val="none" w:sz="0" w:space="0" w:color="auto"/>
        <w:right w:val="none" w:sz="0" w:space="0" w:color="auto"/>
      </w:divBdr>
    </w:div>
    <w:div w:id="393550114">
      <w:bodyDiv w:val="1"/>
      <w:marLeft w:val="0"/>
      <w:marRight w:val="0"/>
      <w:marTop w:val="0"/>
      <w:marBottom w:val="0"/>
      <w:divBdr>
        <w:top w:val="none" w:sz="0" w:space="0" w:color="auto"/>
        <w:left w:val="none" w:sz="0" w:space="0" w:color="auto"/>
        <w:bottom w:val="none" w:sz="0" w:space="0" w:color="auto"/>
        <w:right w:val="none" w:sz="0" w:space="0" w:color="auto"/>
      </w:divBdr>
    </w:div>
    <w:div w:id="402416815">
      <w:bodyDiv w:val="1"/>
      <w:marLeft w:val="0"/>
      <w:marRight w:val="0"/>
      <w:marTop w:val="0"/>
      <w:marBottom w:val="0"/>
      <w:divBdr>
        <w:top w:val="none" w:sz="0" w:space="0" w:color="auto"/>
        <w:left w:val="none" w:sz="0" w:space="0" w:color="auto"/>
        <w:bottom w:val="none" w:sz="0" w:space="0" w:color="auto"/>
        <w:right w:val="none" w:sz="0" w:space="0" w:color="auto"/>
      </w:divBdr>
    </w:div>
    <w:div w:id="408625646">
      <w:bodyDiv w:val="1"/>
      <w:marLeft w:val="0"/>
      <w:marRight w:val="0"/>
      <w:marTop w:val="0"/>
      <w:marBottom w:val="0"/>
      <w:divBdr>
        <w:top w:val="none" w:sz="0" w:space="0" w:color="auto"/>
        <w:left w:val="none" w:sz="0" w:space="0" w:color="auto"/>
        <w:bottom w:val="none" w:sz="0" w:space="0" w:color="auto"/>
        <w:right w:val="none" w:sz="0" w:space="0" w:color="auto"/>
      </w:divBdr>
    </w:div>
    <w:div w:id="447434192">
      <w:bodyDiv w:val="1"/>
      <w:marLeft w:val="0"/>
      <w:marRight w:val="0"/>
      <w:marTop w:val="0"/>
      <w:marBottom w:val="0"/>
      <w:divBdr>
        <w:top w:val="none" w:sz="0" w:space="0" w:color="auto"/>
        <w:left w:val="none" w:sz="0" w:space="0" w:color="auto"/>
        <w:bottom w:val="none" w:sz="0" w:space="0" w:color="auto"/>
        <w:right w:val="none" w:sz="0" w:space="0" w:color="auto"/>
      </w:divBdr>
    </w:div>
    <w:div w:id="476386884">
      <w:bodyDiv w:val="1"/>
      <w:marLeft w:val="0"/>
      <w:marRight w:val="0"/>
      <w:marTop w:val="0"/>
      <w:marBottom w:val="0"/>
      <w:divBdr>
        <w:top w:val="none" w:sz="0" w:space="0" w:color="auto"/>
        <w:left w:val="none" w:sz="0" w:space="0" w:color="auto"/>
        <w:bottom w:val="none" w:sz="0" w:space="0" w:color="auto"/>
        <w:right w:val="none" w:sz="0" w:space="0" w:color="auto"/>
      </w:divBdr>
    </w:div>
    <w:div w:id="482620555">
      <w:bodyDiv w:val="1"/>
      <w:marLeft w:val="0"/>
      <w:marRight w:val="0"/>
      <w:marTop w:val="0"/>
      <w:marBottom w:val="0"/>
      <w:divBdr>
        <w:top w:val="none" w:sz="0" w:space="0" w:color="auto"/>
        <w:left w:val="none" w:sz="0" w:space="0" w:color="auto"/>
        <w:bottom w:val="none" w:sz="0" w:space="0" w:color="auto"/>
        <w:right w:val="none" w:sz="0" w:space="0" w:color="auto"/>
      </w:divBdr>
    </w:div>
    <w:div w:id="505553960">
      <w:bodyDiv w:val="1"/>
      <w:marLeft w:val="0"/>
      <w:marRight w:val="0"/>
      <w:marTop w:val="0"/>
      <w:marBottom w:val="0"/>
      <w:divBdr>
        <w:top w:val="none" w:sz="0" w:space="0" w:color="auto"/>
        <w:left w:val="none" w:sz="0" w:space="0" w:color="auto"/>
        <w:bottom w:val="none" w:sz="0" w:space="0" w:color="auto"/>
        <w:right w:val="none" w:sz="0" w:space="0" w:color="auto"/>
      </w:divBdr>
    </w:div>
    <w:div w:id="744305405">
      <w:bodyDiv w:val="1"/>
      <w:marLeft w:val="0"/>
      <w:marRight w:val="0"/>
      <w:marTop w:val="0"/>
      <w:marBottom w:val="0"/>
      <w:divBdr>
        <w:top w:val="none" w:sz="0" w:space="0" w:color="auto"/>
        <w:left w:val="none" w:sz="0" w:space="0" w:color="auto"/>
        <w:bottom w:val="none" w:sz="0" w:space="0" w:color="auto"/>
        <w:right w:val="none" w:sz="0" w:space="0" w:color="auto"/>
      </w:divBdr>
    </w:div>
    <w:div w:id="886069032">
      <w:bodyDiv w:val="1"/>
      <w:marLeft w:val="0"/>
      <w:marRight w:val="0"/>
      <w:marTop w:val="0"/>
      <w:marBottom w:val="0"/>
      <w:divBdr>
        <w:top w:val="none" w:sz="0" w:space="0" w:color="auto"/>
        <w:left w:val="none" w:sz="0" w:space="0" w:color="auto"/>
        <w:bottom w:val="none" w:sz="0" w:space="0" w:color="auto"/>
        <w:right w:val="none" w:sz="0" w:space="0" w:color="auto"/>
      </w:divBdr>
    </w:div>
    <w:div w:id="895511841">
      <w:bodyDiv w:val="1"/>
      <w:marLeft w:val="0"/>
      <w:marRight w:val="0"/>
      <w:marTop w:val="0"/>
      <w:marBottom w:val="0"/>
      <w:divBdr>
        <w:top w:val="none" w:sz="0" w:space="0" w:color="auto"/>
        <w:left w:val="none" w:sz="0" w:space="0" w:color="auto"/>
        <w:bottom w:val="none" w:sz="0" w:space="0" w:color="auto"/>
        <w:right w:val="none" w:sz="0" w:space="0" w:color="auto"/>
      </w:divBdr>
    </w:div>
    <w:div w:id="937251352">
      <w:bodyDiv w:val="1"/>
      <w:marLeft w:val="0"/>
      <w:marRight w:val="0"/>
      <w:marTop w:val="0"/>
      <w:marBottom w:val="0"/>
      <w:divBdr>
        <w:top w:val="none" w:sz="0" w:space="0" w:color="auto"/>
        <w:left w:val="none" w:sz="0" w:space="0" w:color="auto"/>
        <w:bottom w:val="none" w:sz="0" w:space="0" w:color="auto"/>
        <w:right w:val="none" w:sz="0" w:space="0" w:color="auto"/>
      </w:divBdr>
    </w:div>
    <w:div w:id="1136295808">
      <w:bodyDiv w:val="1"/>
      <w:marLeft w:val="0"/>
      <w:marRight w:val="0"/>
      <w:marTop w:val="0"/>
      <w:marBottom w:val="0"/>
      <w:divBdr>
        <w:top w:val="none" w:sz="0" w:space="0" w:color="auto"/>
        <w:left w:val="none" w:sz="0" w:space="0" w:color="auto"/>
        <w:bottom w:val="none" w:sz="0" w:space="0" w:color="auto"/>
        <w:right w:val="none" w:sz="0" w:space="0" w:color="auto"/>
      </w:divBdr>
    </w:div>
    <w:div w:id="1262376459">
      <w:bodyDiv w:val="1"/>
      <w:marLeft w:val="0"/>
      <w:marRight w:val="0"/>
      <w:marTop w:val="0"/>
      <w:marBottom w:val="0"/>
      <w:divBdr>
        <w:top w:val="none" w:sz="0" w:space="0" w:color="auto"/>
        <w:left w:val="none" w:sz="0" w:space="0" w:color="auto"/>
        <w:bottom w:val="none" w:sz="0" w:space="0" w:color="auto"/>
        <w:right w:val="none" w:sz="0" w:space="0" w:color="auto"/>
      </w:divBdr>
    </w:div>
    <w:div w:id="1460103953">
      <w:bodyDiv w:val="1"/>
      <w:marLeft w:val="0"/>
      <w:marRight w:val="0"/>
      <w:marTop w:val="0"/>
      <w:marBottom w:val="0"/>
      <w:divBdr>
        <w:top w:val="none" w:sz="0" w:space="0" w:color="auto"/>
        <w:left w:val="none" w:sz="0" w:space="0" w:color="auto"/>
        <w:bottom w:val="none" w:sz="0" w:space="0" w:color="auto"/>
        <w:right w:val="none" w:sz="0" w:space="0" w:color="auto"/>
      </w:divBdr>
    </w:div>
    <w:div w:id="1827669595">
      <w:bodyDiv w:val="1"/>
      <w:marLeft w:val="0"/>
      <w:marRight w:val="0"/>
      <w:marTop w:val="0"/>
      <w:marBottom w:val="0"/>
      <w:divBdr>
        <w:top w:val="none" w:sz="0" w:space="0" w:color="auto"/>
        <w:left w:val="none" w:sz="0" w:space="0" w:color="auto"/>
        <w:bottom w:val="none" w:sz="0" w:space="0" w:color="auto"/>
        <w:right w:val="none" w:sz="0" w:space="0" w:color="auto"/>
      </w:divBdr>
    </w:div>
    <w:div w:id="1844009955">
      <w:bodyDiv w:val="1"/>
      <w:marLeft w:val="0"/>
      <w:marRight w:val="0"/>
      <w:marTop w:val="0"/>
      <w:marBottom w:val="0"/>
      <w:divBdr>
        <w:top w:val="none" w:sz="0" w:space="0" w:color="auto"/>
        <w:left w:val="none" w:sz="0" w:space="0" w:color="auto"/>
        <w:bottom w:val="none" w:sz="0" w:space="0" w:color="auto"/>
        <w:right w:val="none" w:sz="0" w:space="0" w:color="auto"/>
      </w:divBdr>
    </w:div>
    <w:div w:id="2007703623">
      <w:bodyDiv w:val="1"/>
      <w:marLeft w:val="0"/>
      <w:marRight w:val="0"/>
      <w:marTop w:val="0"/>
      <w:marBottom w:val="0"/>
      <w:divBdr>
        <w:top w:val="none" w:sz="0" w:space="0" w:color="auto"/>
        <w:left w:val="none" w:sz="0" w:space="0" w:color="auto"/>
        <w:bottom w:val="none" w:sz="0" w:space="0" w:color="auto"/>
        <w:right w:val="none" w:sz="0" w:space="0" w:color="auto"/>
      </w:divBdr>
    </w:div>
    <w:div w:id="20673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36</TotalTime>
  <Pages>6</Pages>
  <Words>1388</Words>
  <Characters>9560</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2024040231, MT</dc:description>
  <cp:lastModifiedBy>Gitte Jørgensen</cp:lastModifiedBy>
  <cp:revision>10</cp:revision>
  <cp:lastPrinted>2012-08-22T08:53:00Z</cp:lastPrinted>
  <dcterms:created xsi:type="dcterms:W3CDTF">2025-12-17T12:31:00Z</dcterms:created>
  <dcterms:modified xsi:type="dcterms:W3CDTF">2025-12-18T07:50:00Z</dcterms:modified>
</cp:coreProperties>
</file>