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77" w:rsidRPr="00FC6577" w:rsidRDefault="00146E14" w:rsidP="00FC6577">
      <w:pPr>
        <w:pStyle w:val="Titel"/>
        <w:tabs>
          <w:tab w:val="left" w:pos="7938"/>
        </w:tabs>
        <w:jc w:val="left"/>
        <w:rPr>
          <w:b w:val="0"/>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D56BF">
        <w:fldChar w:fldCharType="begin"/>
      </w:r>
      <w:r w:rsidR="00BD56BF">
        <w:instrText xml:space="preserve"> INCLUDEPICTURE  "cid:image004.jpg@01D117E9.E5553340" \* MERGEFORMATINET </w:instrText>
      </w:r>
      <w:r w:rsidR="00BD56BF">
        <w:fldChar w:fldCharType="separate"/>
      </w:r>
      <w:r w:rsidR="00BD56BF">
        <w:fldChar w:fldCharType="begin"/>
      </w:r>
      <w:r w:rsidR="00BD56BF">
        <w:instrText xml:space="preserve"> INCLUDEPICTURE  "cid:image004.jpg@01D117E9.E5553340" \* MERGEFORMATINET </w:instrText>
      </w:r>
      <w:r w:rsidR="00BD56BF">
        <w:fldChar w:fldCharType="separate"/>
      </w:r>
      <w:r w:rsidR="00BD56BF">
        <w:fldChar w:fldCharType="begin"/>
      </w:r>
      <w:r w:rsidR="00BD56BF">
        <w:instrText xml:space="preserve"> INCLUDEPICTURE  "cid:image004.jpg@01D117E9.E5553340" \* MERGEFORMATINET </w:instrText>
      </w:r>
      <w:r w:rsidR="00BD56BF">
        <w:fldChar w:fldCharType="separate"/>
      </w:r>
      <w:r w:rsidR="007C7966">
        <w:fldChar w:fldCharType="begin"/>
      </w:r>
      <w:r w:rsidR="007C7966">
        <w:instrText xml:space="preserve"> INCLUDEPICTURE  "cid:image004.jpg@01D117E9.E5553340" \* MERGEFORMATINET </w:instrText>
      </w:r>
      <w:r w:rsidR="007C7966">
        <w:fldChar w:fldCharType="separate"/>
      </w:r>
      <w:r w:rsidR="00F23B5F">
        <w:fldChar w:fldCharType="begin"/>
      </w:r>
      <w:r w:rsidR="00F23B5F">
        <w:instrText xml:space="preserve"> INCLUDEPICTURE  "cid:image004.jpg@01D117E9.E5553340" \* MERGEFORMATINET </w:instrText>
      </w:r>
      <w:r w:rsidR="00F23B5F">
        <w:fldChar w:fldCharType="separate"/>
      </w:r>
      <w:r w:rsidR="00251775">
        <w:fldChar w:fldCharType="begin"/>
      </w:r>
      <w:r w:rsidR="00251775">
        <w:instrText xml:space="preserve"> INCLUDEPICTURE  "cid:image004.jpg@01D117E9.E5553340" \* MERGEFORMATINET </w:instrText>
      </w:r>
      <w:r w:rsidR="00251775">
        <w:fldChar w:fldCharType="separate"/>
      </w:r>
      <w:r w:rsidR="007F2D3C">
        <w:fldChar w:fldCharType="begin"/>
      </w:r>
      <w:r w:rsidR="007F2D3C">
        <w:instrText xml:space="preserve"> </w:instrText>
      </w:r>
      <w:r w:rsidR="007F2D3C">
        <w:instrText>INCLUDEPICTURE  "cid:image004.jpg@01D117E9.E5553340" \* MERGEFORMATINET</w:instrText>
      </w:r>
      <w:r w:rsidR="007F2D3C">
        <w:instrText xml:space="preserve"> </w:instrText>
      </w:r>
      <w:r w:rsidR="007F2D3C">
        <w:fldChar w:fldCharType="separate"/>
      </w:r>
      <w:r w:rsidR="00B376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7F2D3C">
        <w:fldChar w:fldCharType="end"/>
      </w:r>
      <w:r w:rsidR="00251775">
        <w:fldChar w:fldCharType="end"/>
      </w:r>
      <w:r w:rsidR="00F23B5F">
        <w:fldChar w:fldCharType="end"/>
      </w:r>
      <w:r w:rsidR="007C7966">
        <w:fldChar w:fldCharType="end"/>
      </w:r>
      <w:r w:rsidR="00BD56BF">
        <w:fldChar w:fldCharType="end"/>
      </w:r>
      <w:r w:rsidR="00BD56BF">
        <w:fldChar w:fldCharType="end"/>
      </w:r>
      <w:r w:rsidR="00BD56BF">
        <w:fldChar w:fldCharType="end"/>
      </w:r>
      <w:r>
        <w:fldChar w:fldCharType="end"/>
      </w:r>
      <w:r>
        <w:fldChar w:fldCharType="end"/>
      </w:r>
      <w:r>
        <w:fldChar w:fldCharType="end"/>
      </w:r>
    </w:p>
    <w:p w:rsidR="00FC6577" w:rsidRPr="00FC6577" w:rsidRDefault="00FC6577" w:rsidP="00FC6577">
      <w:pPr>
        <w:pStyle w:val="Titel"/>
        <w:tabs>
          <w:tab w:val="left" w:pos="7938"/>
        </w:tabs>
        <w:jc w:val="left"/>
        <w:rPr>
          <w:b w:val="0"/>
        </w:rPr>
      </w:pPr>
    </w:p>
    <w:p w:rsidR="00146E14" w:rsidRPr="00102092" w:rsidRDefault="007F2D3C" w:rsidP="00102092">
      <w:pPr>
        <w:pStyle w:val="Titel"/>
        <w:ind w:left="6520" w:firstLine="993"/>
        <w:jc w:val="right"/>
        <w:rPr>
          <w:szCs w:val="24"/>
        </w:rPr>
      </w:pPr>
      <w:r>
        <w:rPr>
          <w:szCs w:val="24"/>
        </w:rPr>
        <w:t xml:space="preserve">6. </w:t>
      </w:r>
      <w:proofErr w:type="gramStart"/>
      <w:r>
        <w:rPr>
          <w:szCs w:val="24"/>
        </w:rPr>
        <w:t xml:space="preserve">oktober </w:t>
      </w:r>
      <w:r w:rsidR="00065E1D">
        <w:rPr>
          <w:szCs w:val="24"/>
        </w:rPr>
        <w:t xml:space="preserve"> 202</w:t>
      </w:r>
      <w:r w:rsidR="00F23B5F">
        <w:rPr>
          <w:szCs w:val="24"/>
        </w:rPr>
        <w:t>3</w:t>
      </w:r>
      <w:proofErr w:type="gramEnd"/>
    </w:p>
    <w:p w:rsidR="00FC6577" w:rsidRPr="00102092" w:rsidRDefault="00FC6577" w:rsidP="00102092">
      <w:pPr>
        <w:pStyle w:val="Titel"/>
        <w:jc w:val="left"/>
        <w:rPr>
          <w:b w:val="0"/>
          <w:szCs w:val="24"/>
        </w:rPr>
      </w:pPr>
    </w:p>
    <w:p w:rsidR="00FC6577" w:rsidRPr="00102092" w:rsidRDefault="00FC6577" w:rsidP="00102092">
      <w:pPr>
        <w:pStyle w:val="Titel"/>
        <w:jc w:val="left"/>
        <w:rPr>
          <w:b w:val="0"/>
          <w:szCs w:val="24"/>
        </w:rPr>
      </w:pPr>
    </w:p>
    <w:p w:rsidR="00146E14" w:rsidRPr="00102092" w:rsidRDefault="00146E14" w:rsidP="00102092">
      <w:pPr>
        <w:jc w:val="center"/>
        <w:rPr>
          <w:b/>
          <w:sz w:val="24"/>
          <w:szCs w:val="24"/>
        </w:rPr>
      </w:pPr>
      <w:r w:rsidRPr="00102092">
        <w:rPr>
          <w:b/>
          <w:sz w:val="24"/>
          <w:szCs w:val="24"/>
        </w:rPr>
        <w:t>PRODUKTRESUMÉ</w:t>
      </w:r>
    </w:p>
    <w:p w:rsidR="00146E14" w:rsidRPr="00102092" w:rsidRDefault="00146E14" w:rsidP="00102092">
      <w:pPr>
        <w:jc w:val="center"/>
        <w:rPr>
          <w:b/>
          <w:sz w:val="24"/>
          <w:szCs w:val="24"/>
        </w:rPr>
      </w:pPr>
    </w:p>
    <w:p w:rsidR="00146E14" w:rsidRPr="00102092" w:rsidRDefault="00146E14" w:rsidP="00102092">
      <w:pPr>
        <w:jc w:val="center"/>
        <w:rPr>
          <w:b/>
          <w:sz w:val="24"/>
          <w:szCs w:val="24"/>
        </w:rPr>
      </w:pPr>
      <w:r w:rsidRPr="00102092">
        <w:rPr>
          <w:b/>
          <w:sz w:val="24"/>
          <w:szCs w:val="24"/>
        </w:rPr>
        <w:t>for</w:t>
      </w:r>
    </w:p>
    <w:p w:rsidR="00146E14" w:rsidRPr="00102092" w:rsidRDefault="00146E14" w:rsidP="00102092">
      <w:pPr>
        <w:jc w:val="center"/>
        <w:rPr>
          <w:b/>
          <w:sz w:val="24"/>
          <w:szCs w:val="24"/>
        </w:rPr>
      </w:pPr>
    </w:p>
    <w:p w:rsidR="00146E14" w:rsidRPr="00102092" w:rsidRDefault="00146E14" w:rsidP="00102092">
      <w:pPr>
        <w:jc w:val="center"/>
        <w:rPr>
          <w:b/>
          <w:sz w:val="24"/>
          <w:szCs w:val="24"/>
        </w:rPr>
      </w:pPr>
      <w:r w:rsidRPr="00102092">
        <w:rPr>
          <w:b/>
          <w:sz w:val="24"/>
          <w:szCs w:val="24"/>
        </w:rPr>
        <w:t xml:space="preserve">Natriumklorid </w:t>
      </w:r>
      <w:r w:rsidR="00102092">
        <w:rPr>
          <w:b/>
          <w:sz w:val="24"/>
          <w:szCs w:val="24"/>
        </w:rPr>
        <w:t>"Baxter"</w:t>
      </w:r>
      <w:r w:rsidRPr="00102092">
        <w:rPr>
          <w:b/>
          <w:sz w:val="24"/>
          <w:szCs w:val="24"/>
        </w:rPr>
        <w:t xml:space="preserve"> </w:t>
      </w:r>
      <w:proofErr w:type="spellStart"/>
      <w:r w:rsidRPr="00102092">
        <w:rPr>
          <w:b/>
          <w:sz w:val="24"/>
          <w:szCs w:val="24"/>
        </w:rPr>
        <w:t>Viaflo</w:t>
      </w:r>
      <w:proofErr w:type="spellEnd"/>
      <w:r w:rsidRPr="00102092">
        <w:rPr>
          <w:b/>
          <w:sz w:val="24"/>
          <w:szCs w:val="24"/>
        </w:rPr>
        <w:t xml:space="preserve"> 9 mg/ml, infusionsvæske, opløsning</w:t>
      </w:r>
    </w:p>
    <w:p w:rsidR="00146E14" w:rsidRPr="00102092" w:rsidRDefault="00146E14" w:rsidP="00102092">
      <w:pPr>
        <w:rPr>
          <w:sz w:val="24"/>
          <w:szCs w:val="24"/>
        </w:rPr>
      </w:pPr>
    </w:p>
    <w:p w:rsidR="00146E14" w:rsidRPr="00102092" w:rsidRDefault="00146E14" w:rsidP="00102092">
      <w:pPr>
        <w:rPr>
          <w:sz w:val="24"/>
          <w:szCs w:val="24"/>
        </w:rPr>
      </w:pPr>
    </w:p>
    <w:p w:rsidR="00DC4B91" w:rsidRPr="00102092" w:rsidRDefault="00DC4B91" w:rsidP="00102092">
      <w:pPr>
        <w:tabs>
          <w:tab w:val="left" w:pos="851"/>
        </w:tabs>
        <w:ind w:left="851" w:hanging="851"/>
        <w:rPr>
          <w:b/>
          <w:sz w:val="24"/>
          <w:szCs w:val="24"/>
        </w:rPr>
      </w:pPr>
      <w:r w:rsidRPr="00102092">
        <w:rPr>
          <w:b/>
          <w:sz w:val="24"/>
          <w:szCs w:val="24"/>
        </w:rPr>
        <w:t>0.</w:t>
      </w:r>
      <w:r w:rsidRPr="00102092">
        <w:rPr>
          <w:b/>
          <w:sz w:val="24"/>
          <w:szCs w:val="24"/>
        </w:rPr>
        <w:tab/>
        <w:t>D.SP.NR.</w:t>
      </w:r>
    </w:p>
    <w:p w:rsidR="00146E14" w:rsidRPr="00102092" w:rsidRDefault="00146E14" w:rsidP="00102092">
      <w:pPr>
        <w:tabs>
          <w:tab w:val="left" w:pos="851"/>
        </w:tabs>
        <w:rPr>
          <w:sz w:val="24"/>
          <w:szCs w:val="24"/>
        </w:rPr>
      </w:pPr>
      <w:r w:rsidRPr="00102092">
        <w:rPr>
          <w:sz w:val="24"/>
          <w:szCs w:val="24"/>
        </w:rPr>
        <w:tab/>
        <w:t>03295</w:t>
      </w:r>
    </w:p>
    <w:p w:rsidR="00146E14" w:rsidRPr="00102092" w:rsidRDefault="00146E14" w:rsidP="00102092">
      <w:pPr>
        <w:tabs>
          <w:tab w:val="left" w:pos="851"/>
        </w:tabs>
        <w:rPr>
          <w:sz w:val="24"/>
          <w:szCs w:val="24"/>
        </w:rPr>
      </w:pPr>
    </w:p>
    <w:p w:rsidR="00DC4B91" w:rsidRPr="00102092" w:rsidRDefault="00DC4B91" w:rsidP="00102092">
      <w:pPr>
        <w:tabs>
          <w:tab w:val="left" w:pos="851"/>
        </w:tabs>
        <w:ind w:left="851" w:hanging="851"/>
        <w:rPr>
          <w:b/>
          <w:sz w:val="24"/>
          <w:szCs w:val="24"/>
        </w:rPr>
      </w:pPr>
      <w:r w:rsidRPr="00102092">
        <w:rPr>
          <w:b/>
          <w:sz w:val="24"/>
          <w:szCs w:val="24"/>
        </w:rPr>
        <w:t>1.</w:t>
      </w:r>
      <w:r w:rsidRPr="00102092">
        <w:rPr>
          <w:b/>
          <w:sz w:val="24"/>
          <w:szCs w:val="24"/>
        </w:rPr>
        <w:tab/>
        <w:t>LÆGEMIDLETS NAVN</w:t>
      </w:r>
    </w:p>
    <w:p w:rsidR="00146E14" w:rsidRPr="00102092" w:rsidRDefault="00146E14" w:rsidP="00102092">
      <w:pPr>
        <w:tabs>
          <w:tab w:val="left" w:pos="851"/>
        </w:tabs>
        <w:rPr>
          <w:sz w:val="24"/>
          <w:szCs w:val="24"/>
        </w:rPr>
      </w:pPr>
      <w:r w:rsidRPr="00102092">
        <w:rPr>
          <w:sz w:val="24"/>
          <w:szCs w:val="24"/>
        </w:rPr>
        <w:tab/>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w:t>
      </w:r>
    </w:p>
    <w:p w:rsidR="00146E14" w:rsidRPr="00102092" w:rsidRDefault="00146E14" w:rsidP="00102092">
      <w:pPr>
        <w:tabs>
          <w:tab w:val="left" w:pos="851"/>
        </w:tabs>
        <w:rPr>
          <w:sz w:val="24"/>
          <w:szCs w:val="24"/>
        </w:rPr>
      </w:pPr>
      <w:r w:rsidRPr="00102092">
        <w:rPr>
          <w:sz w:val="24"/>
          <w:szCs w:val="24"/>
        </w:rPr>
        <w:tab/>
      </w:r>
    </w:p>
    <w:p w:rsidR="00DC4B91" w:rsidRPr="00102092" w:rsidRDefault="00DC4B91" w:rsidP="00102092">
      <w:pPr>
        <w:tabs>
          <w:tab w:val="left" w:pos="851"/>
        </w:tabs>
        <w:ind w:left="851" w:hanging="851"/>
        <w:rPr>
          <w:b/>
          <w:sz w:val="24"/>
          <w:szCs w:val="24"/>
        </w:rPr>
      </w:pPr>
      <w:r w:rsidRPr="00102092">
        <w:rPr>
          <w:b/>
          <w:sz w:val="24"/>
          <w:szCs w:val="24"/>
        </w:rPr>
        <w:t>2.</w:t>
      </w:r>
      <w:r w:rsidRPr="00102092">
        <w:rPr>
          <w:b/>
          <w:sz w:val="24"/>
          <w:szCs w:val="24"/>
        </w:rPr>
        <w:tab/>
        <w:t>KVALITATIV OG KVANTITATIV SAMMENSÆTNING</w:t>
      </w:r>
    </w:p>
    <w:p w:rsidR="00146E14" w:rsidRPr="00102092" w:rsidRDefault="00146E14" w:rsidP="00102092">
      <w:pPr>
        <w:suppressAutoHyphens/>
        <w:ind w:left="851"/>
        <w:rPr>
          <w:sz w:val="24"/>
          <w:szCs w:val="24"/>
        </w:rPr>
      </w:pPr>
      <w:proofErr w:type="spellStart"/>
      <w:r w:rsidRPr="00102092">
        <w:rPr>
          <w:sz w:val="24"/>
          <w:szCs w:val="24"/>
        </w:rPr>
        <w:t>Natriumchlorid</w:t>
      </w:r>
      <w:proofErr w:type="spellEnd"/>
      <w:r w:rsidRPr="00102092">
        <w:rPr>
          <w:sz w:val="24"/>
          <w:szCs w:val="24"/>
        </w:rPr>
        <w:t>: 9,0 g/l</w:t>
      </w:r>
    </w:p>
    <w:p w:rsidR="00146E14" w:rsidRPr="00102092" w:rsidRDefault="00146E14" w:rsidP="00102092">
      <w:pPr>
        <w:suppressAutoHyphens/>
        <w:ind w:left="851"/>
        <w:rPr>
          <w:sz w:val="24"/>
          <w:szCs w:val="24"/>
        </w:rPr>
      </w:pPr>
      <w:r w:rsidRPr="00102092">
        <w:rPr>
          <w:sz w:val="24"/>
          <w:szCs w:val="24"/>
        </w:rPr>
        <w:t xml:space="preserve">Hver ml indeholder 9 mg </w:t>
      </w:r>
      <w:proofErr w:type="spellStart"/>
      <w:r w:rsidRPr="00102092">
        <w:rPr>
          <w:sz w:val="24"/>
          <w:szCs w:val="24"/>
        </w:rPr>
        <w:t>natriumchlorid</w:t>
      </w:r>
      <w:proofErr w:type="spellEnd"/>
      <w:r w:rsidRPr="00102092">
        <w:rPr>
          <w:sz w:val="24"/>
          <w:szCs w:val="24"/>
        </w:rPr>
        <w:t xml:space="preserve"> (isotonisk).</w:t>
      </w:r>
    </w:p>
    <w:p w:rsidR="00146E14" w:rsidRPr="00102092" w:rsidRDefault="00146E14" w:rsidP="00102092">
      <w:pPr>
        <w:suppressAutoHyphens/>
        <w:ind w:left="851"/>
        <w:rPr>
          <w:sz w:val="24"/>
          <w:szCs w:val="24"/>
          <w:lang w:val="en-US"/>
        </w:rPr>
      </w:pPr>
      <w:r w:rsidRPr="00102092">
        <w:rPr>
          <w:sz w:val="24"/>
          <w:szCs w:val="24"/>
          <w:lang w:val="en-US"/>
        </w:rPr>
        <w:t>mmol/l:  Na</w:t>
      </w:r>
      <w:r w:rsidRPr="00102092">
        <w:rPr>
          <w:sz w:val="24"/>
          <w:szCs w:val="24"/>
          <w:vertAlign w:val="superscript"/>
          <w:lang w:val="en-US"/>
        </w:rPr>
        <w:t>+</w:t>
      </w:r>
      <w:r w:rsidRPr="00102092">
        <w:rPr>
          <w:sz w:val="24"/>
          <w:szCs w:val="24"/>
          <w:lang w:val="en-US"/>
        </w:rPr>
        <w:t>: 154   Cl</w:t>
      </w:r>
      <w:r w:rsidRPr="00102092">
        <w:rPr>
          <w:sz w:val="24"/>
          <w:szCs w:val="24"/>
          <w:vertAlign w:val="superscript"/>
          <w:lang w:val="en-US"/>
        </w:rPr>
        <w:t>-</w:t>
      </w:r>
      <w:r w:rsidRPr="00102092">
        <w:rPr>
          <w:sz w:val="24"/>
          <w:szCs w:val="24"/>
          <w:lang w:val="en-US"/>
        </w:rPr>
        <w:t>: 154</w:t>
      </w:r>
    </w:p>
    <w:p w:rsidR="00146E14" w:rsidRPr="00102092" w:rsidRDefault="00146E14" w:rsidP="00102092">
      <w:pPr>
        <w:suppressAutoHyphens/>
        <w:ind w:left="851"/>
        <w:rPr>
          <w:sz w:val="24"/>
          <w:szCs w:val="24"/>
          <w:lang w:val="en-US"/>
        </w:rPr>
      </w:pPr>
    </w:p>
    <w:p w:rsidR="00146E14" w:rsidRPr="00102092" w:rsidRDefault="00146E14" w:rsidP="00102092">
      <w:pPr>
        <w:suppressAutoHyphens/>
        <w:ind w:left="851"/>
        <w:rPr>
          <w:sz w:val="24"/>
          <w:szCs w:val="24"/>
          <w:lang w:val="en-US"/>
        </w:rPr>
      </w:pPr>
      <w:r w:rsidRPr="00102092">
        <w:rPr>
          <w:sz w:val="24"/>
          <w:szCs w:val="24"/>
          <w:lang w:val="en-US"/>
        </w:rPr>
        <w:t>pH: 4,5 – 7</w:t>
      </w:r>
    </w:p>
    <w:p w:rsidR="00146E14" w:rsidRPr="00102092" w:rsidRDefault="00146E14" w:rsidP="00102092">
      <w:pPr>
        <w:suppressAutoHyphens/>
        <w:ind w:left="851"/>
        <w:rPr>
          <w:sz w:val="24"/>
          <w:szCs w:val="24"/>
          <w:lang w:val="en-US"/>
        </w:rPr>
      </w:pPr>
    </w:p>
    <w:p w:rsidR="00146E14" w:rsidRPr="00102092" w:rsidRDefault="00146E14" w:rsidP="00102092">
      <w:pPr>
        <w:tabs>
          <w:tab w:val="left" w:pos="-720"/>
        </w:tabs>
        <w:suppressAutoHyphens/>
        <w:ind w:left="851"/>
        <w:rPr>
          <w:sz w:val="24"/>
          <w:szCs w:val="24"/>
        </w:rPr>
      </w:pPr>
      <w:r w:rsidRPr="00102092">
        <w:rPr>
          <w:sz w:val="24"/>
          <w:szCs w:val="24"/>
        </w:rPr>
        <w:t>Alle hjælpestoffer er anført under pkt. 6.1.</w:t>
      </w:r>
    </w:p>
    <w:p w:rsidR="00146E14" w:rsidRPr="00102092" w:rsidRDefault="00146E14" w:rsidP="00102092">
      <w:pPr>
        <w:tabs>
          <w:tab w:val="left" w:pos="851"/>
        </w:tabs>
        <w:rPr>
          <w:sz w:val="24"/>
          <w:szCs w:val="24"/>
        </w:rPr>
      </w:pPr>
    </w:p>
    <w:p w:rsidR="00DC4B91" w:rsidRPr="00102092" w:rsidRDefault="00DC4B91" w:rsidP="00102092">
      <w:pPr>
        <w:tabs>
          <w:tab w:val="left" w:pos="851"/>
        </w:tabs>
        <w:ind w:left="851" w:hanging="851"/>
        <w:rPr>
          <w:b/>
          <w:sz w:val="24"/>
          <w:szCs w:val="24"/>
        </w:rPr>
      </w:pPr>
      <w:r w:rsidRPr="00102092">
        <w:rPr>
          <w:b/>
          <w:sz w:val="24"/>
          <w:szCs w:val="24"/>
        </w:rPr>
        <w:t>3.</w:t>
      </w:r>
      <w:r w:rsidRPr="00102092">
        <w:rPr>
          <w:b/>
          <w:sz w:val="24"/>
          <w:szCs w:val="24"/>
        </w:rPr>
        <w:tab/>
        <w:t>LÆGEMIDDELFORM</w:t>
      </w:r>
    </w:p>
    <w:p w:rsidR="00146E14" w:rsidRPr="00102092" w:rsidRDefault="00146E14" w:rsidP="00102092">
      <w:pPr>
        <w:suppressAutoHyphens/>
        <w:ind w:left="851"/>
        <w:rPr>
          <w:sz w:val="24"/>
          <w:szCs w:val="24"/>
        </w:rPr>
      </w:pPr>
      <w:r w:rsidRPr="00102092">
        <w:rPr>
          <w:sz w:val="24"/>
          <w:szCs w:val="24"/>
        </w:rPr>
        <w:t>Infusionsvæske, opløsning</w:t>
      </w:r>
    </w:p>
    <w:p w:rsidR="00146E14" w:rsidRPr="00102092" w:rsidRDefault="00146E14" w:rsidP="00102092">
      <w:pPr>
        <w:suppressAutoHyphens/>
        <w:ind w:left="851"/>
        <w:rPr>
          <w:sz w:val="24"/>
          <w:szCs w:val="24"/>
        </w:rPr>
      </w:pPr>
      <w:r w:rsidRPr="00102092">
        <w:rPr>
          <w:sz w:val="24"/>
          <w:szCs w:val="24"/>
        </w:rPr>
        <w:t xml:space="preserve">Klar opløsning uden synlige partikler. </w:t>
      </w:r>
    </w:p>
    <w:p w:rsidR="00146E14" w:rsidRPr="00102092" w:rsidRDefault="00146E14" w:rsidP="00102092">
      <w:pPr>
        <w:tabs>
          <w:tab w:val="left" w:pos="851"/>
        </w:tabs>
        <w:rPr>
          <w:sz w:val="24"/>
          <w:szCs w:val="24"/>
        </w:rPr>
      </w:pPr>
    </w:p>
    <w:p w:rsidR="00146E14" w:rsidRPr="00102092" w:rsidRDefault="00146E14" w:rsidP="00102092">
      <w:pPr>
        <w:tabs>
          <w:tab w:val="left" w:pos="851"/>
        </w:tabs>
        <w:rPr>
          <w:sz w:val="24"/>
          <w:szCs w:val="24"/>
        </w:rPr>
      </w:pPr>
    </w:p>
    <w:p w:rsidR="00DC4B91" w:rsidRPr="00102092" w:rsidRDefault="00DC4B91" w:rsidP="00102092">
      <w:pPr>
        <w:tabs>
          <w:tab w:val="left" w:pos="851"/>
        </w:tabs>
        <w:ind w:left="851" w:hanging="851"/>
        <w:rPr>
          <w:b/>
          <w:sz w:val="24"/>
          <w:szCs w:val="24"/>
        </w:rPr>
      </w:pPr>
      <w:r w:rsidRPr="00102092">
        <w:rPr>
          <w:b/>
          <w:sz w:val="24"/>
          <w:szCs w:val="24"/>
        </w:rPr>
        <w:t>4.</w:t>
      </w:r>
      <w:r w:rsidRPr="00102092">
        <w:rPr>
          <w:b/>
          <w:sz w:val="24"/>
          <w:szCs w:val="24"/>
        </w:rPr>
        <w:tab/>
        <w:t>KLINISKE OPLYSNINGER</w:t>
      </w:r>
    </w:p>
    <w:p w:rsidR="00DC4B91" w:rsidRPr="00102092" w:rsidRDefault="00DC4B91" w:rsidP="00102092">
      <w:pPr>
        <w:tabs>
          <w:tab w:val="left" w:pos="851"/>
        </w:tabs>
        <w:ind w:left="851"/>
        <w:rPr>
          <w:b/>
          <w:sz w:val="24"/>
          <w:szCs w:val="24"/>
        </w:rPr>
      </w:pPr>
    </w:p>
    <w:p w:rsidR="00DC4B91" w:rsidRPr="00102092" w:rsidRDefault="00DC4B91" w:rsidP="00102092">
      <w:pPr>
        <w:tabs>
          <w:tab w:val="left" w:pos="851"/>
        </w:tabs>
        <w:ind w:left="851" w:hanging="851"/>
        <w:rPr>
          <w:b/>
          <w:sz w:val="24"/>
          <w:szCs w:val="24"/>
          <w:u w:val="single"/>
        </w:rPr>
      </w:pPr>
      <w:r w:rsidRPr="00102092">
        <w:rPr>
          <w:b/>
          <w:sz w:val="24"/>
          <w:szCs w:val="24"/>
        </w:rPr>
        <w:t>4.1</w:t>
      </w:r>
      <w:r w:rsidRPr="00102092">
        <w:rPr>
          <w:b/>
          <w:sz w:val="24"/>
          <w:szCs w:val="24"/>
        </w:rPr>
        <w:tab/>
        <w:t>Terapeutiske indikationer</w:t>
      </w:r>
    </w:p>
    <w:p w:rsidR="00146E14" w:rsidRPr="00102092" w:rsidRDefault="00146E14" w:rsidP="00102092">
      <w:pPr>
        <w:ind w:left="851"/>
        <w:rPr>
          <w:sz w:val="24"/>
          <w:szCs w:val="24"/>
        </w:rPr>
      </w:pPr>
      <w:r w:rsidRPr="00102092">
        <w:rPr>
          <w:sz w:val="24"/>
          <w:szCs w:val="24"/>
        </w:rPr>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er indiceret til:</w:t>
      </w:r>
    </w:p>
    <w:p w:rsidR="00146E14" w:rsidRPr="00102092" w:rsidRDefault="00146E14" w:rsidP="00102092">
      <w:pPr>
        <w:numPr>
          <w:ilvl w:val="0"/>
          <w:numId w:val="11"/>
        </w:numPr>
        <w:ind w:left="851" w:firstLine="0"/>
        <w:rPr>
          <w:sz w:val="24"/>
          <w:szCs w:val="24"/>
        </w:rPr>
      </w:pPr>
      <w:r w:rsidRPr="00102092">
        <w:rPr>
          <w:sz w:val="24"/>
          <w:szCs w:val="24"/>
        </w:rPr>
        <w:t>Behandling af isotonisk ekstracellulær dehydrering.</w:t>
      </w:r>
    </w:p>
    <w:p w:rsidR="00146E14" w:rsidRPr="00102092" w:rsidRDefault="00146E14" w:rsidP="00102092">
      <w:pPr>
        <w:numPr>
          <w:ilvl w:val="0"/>
          <w:numId w:val="11"/>
        </w:numPr>
        <w:ind w:left="851" w:firstLine="0"/>
        <w:rPr>
          <w:sz w:val="24"/>
          <w:szCs w:val="24"/>
        </w:rPr>
      </w:pPr>
      <w:r w:rsidRPr="00102092">
        <w:rPr>
          <w:sz w:val="24"/>
          <w:szCs w:val="24"/>
        </w:rPr>
        <w:t>Behandling af natrium underskud.</w:t>
      </w:r>
    </w:p>
    <w:p w:rsidR="00146E14" w:rsidRPr="00102092" w:rsidRDefault="00146E14" w:rsidP="00102092">
      <w:pPr>
        <w:numPr>
          <w:ilvl w:val="0"/>
          <w:numId w:val="11"/>
        </w:numPr>
        <w:ind w:left="851" w:firstLine="0"/>
        <w:rPr>
          <w:sz w:val="24"/>
          <w:szCs w:val="24"/>
        </w:rPr>
      </w:pPr>
      <w:r w:rsidRPr="00102092">
        <w:rPr>
          <w:sz w:val="24"/>
          <w:szCs w:val="24"/>
        </w:rPr>
        <w:t>Vehikel eller fortyndingsvæske for forligelige lægemidler til parenteral indgivelse.</w:t>
      </w:r>
    </w:p>
    <w:p w:rsidR="00146E14" w:rsidRPr="00102092" w:rsidRDefault="00146E14" w:rsidP="00102092">
      <w:pPr>
        <w:tabs>
          <w:tab w:val="left" w:pos="851"/>
        </w:tabs>
        <w:rPr>
          <w:sz w:val="24"/>
          <w:szCs w:val="24"/>
        </w:rPr>
      </w:pPr>
    </w:p>
    <w:p w:rsidR="00A46287" w:rsidRPr="00102092" w:rsidRDefault="00A46287" w:rsidP="00102092">
      <w:pPr>
        <w:tabs>
          <w:tab w:val="left" w:pos="851"/>
        </w:tabs>
        <w:rPr>
          <w:b/>
          <w:sz w:val="24"/>
          <w:szCs w:val="24"/>
        </w:rPr>
      </w:pPr>
      <w:r w:rsidRPr="00102092">
        <w:rPr>
          <w:b/>
          <w:sz w:val="24"/>
          <w:szCs w:val="24"/>
        </w:rPr>
        <w:t>4.2</w:t>
      </w:r>
      <w:r w:rsidRPr="00102092">
        <w:rPr>
          <w:b/>
          <w:sz w:val="24"/>
          <w:szCs w:val="24"/>
        </w:rPr>
        <w:tab/>
        <w:t xml:space="preserve">Dosering og </w:t>
      </w:r>
      <w:r w:rsidR="00F23B5F">
        <w:rPr>
          <w:b/>
          <w:sz w:val="24"/>
          <w:szCs w:val="24"/>
        </w:rPr>
        <w:t>administration</w:t>
      </w:r>
    </w:p>
    <w:p w:rsidR="00A46287" w:rsidRPr="00102092" w:rsidRDefault="00A46287" w:rsidP="00102092">
      <w:pPr>
        <w:ind w:left="855"/>
        <w:rPr>
          <w:sz w:val="24"/>
          <w:szCs w:val="24"/>
          <w:u w:val="single"/>
        </w:rPr>
      </w:pPr>
    </w:p>
    <w:p w:rsidR="00146E14" w:rsidRPr="00D75521" w:rsidRDefault="00146E14" w:rsidP="00102092">
      <w:pPr>
        <w:ind w:left="855"/>
        <w:rPr>
          <w:sz w:val="24"/>
          <w:szCs w:val="24"/>
        </w:rPr>
      </w:pPr>
      <w:r w:rsidRPr="00102092">
        <w:rPr>
          <w:sz w:val="24"/>
          <w:szCs w:val="24"/>
          <w:u w:val="single"/>
        </w:rPr>
        <w:t>Dosering</w:t>
      </w:r>
      <w:r w:rsidRPr="00102092">
        <w:rPr>
          <w:b/>
          <w:sz w:val="24"/>
          <w:szCs w:val="24"/>
        </w:rPr>
        <w:br/>
      </w:r>
    </w:p>
    <w:p w:rsidR="00146E14" w:rsidRPr="00102092" w:rsidRDefault="00146E14" w:rsidP="00102092">
      <w:pPr>
        <w:ind w:left="851"/>
        <w:rPr>
          <w:i/>
          <w:sz w:val="24"/>
          <w:szCs w:val="24"/>
        </w:rPr>
      </w:pPr>
      <w:r w:rsidRPr="00102092">
        <w:rPr>
          <w:i/>
          <w:sz w:val="24"/>
          <w:szCs w:val="24"/>
        </w:rPr>
        <w:t>Voksne, ældre og børn:</w:t>
      </w:r>
    </w:p>
    <w:p w:rsidR="00146E14" w:rsidRPr="00102092" w:rsidRDefault="00146E14" w:rsidP="00102092">
      <w:pPr>
        <w:ind w:left="851"/>
        <w:rPr>
          <w:sz w:val="24"/>
          <w:szCs w:val="24"/>
        </w:rPr>
      </w:pPr>
      <w:r w:rsidRPr="00102092">
        <w:rPr>
          <w:sz w:val="24"/>
          <w:szCs w:val="24"/>
        </w:rPr>
        <w:t xml:space="preserve">Dosering kan udtrykkes i </w:t>
      </w:r>
      <w:proofErr w:type="spellStart"/>
      <w:r w:rsidRPr="00102092">
        <w:rPr>
          <w:sz w:val="24"/>
          <w:szCs w:val="24"/>
        </w:rPr>
        <w:t>mækv</w:t>
      </w:r>
      <w:proofErr w:type="spellEnd"/>
      <w:r w:rsidRPr="00102092">
        <w:rPr>
          <w:sz w:val="24"/>
          <w:szCs w:val="24"/>
        </w:rPr>
        <w:t xml:space="preserve">. eller mmol af natrium, masse af natrium eller masse af natriumsalt (1 g NaCl = 394 mg, 17,1 </w:t>
      </w:r>
      <w:proofErr w:type="spellStart"/>
      <w:r w:rsidRPr="00102092">
        <w:rPr>
          <w:sz w:val="24"/>
          <w:szCs w:val="24"/>
        </w:rPr>
        <w:t>mækv</w:t>
      </w:r>
      <w:proofErr w:type="spellEnd"/>
      <w:r w:rsidRPr="00102092">
        <w:rPr>
          <w:sz w:val="24"/>
          <w:szCs w:val="24"/>
        </w:rPr>
        <w:t>. eller 17,1 mmol af Na og Cl).</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lastRenderedPageBreak/>
        <w:t xml:space="preserve">Væskebalancen, serumelektrolytter og syre-base-balancen bør monitoreres før og efter administration, navnlig hvad angår serumnatrium hos patienter med forhøjet ikke-osmotisk </w:t>
      </w:r>
      <w:proofErr w:type="spellStart"/>
      <w:r w:rsidRPr="00102092">
        <w:rPr>
          <w:sz w:val="24"/>
          <w:szCs w:val="24"/>
        </w:rPr>
        <w:t>vasopressinfrigivelse</w:t>
      </w:r>
      <w:proofErr w:type="spellEnd"/>
      <w:r w:rsidRPr="00102092">
        <w:rPr>
          <w:sz w:val="24"/>
          <w:szCs w:val="24"/>
        </w:rPr>
        <w:t xml:space="preserve"> (syndrom med uhensigtsmæssig produktion af antidiuretisk hormon, SIADH) og hos patienter, som samtidig får </w:t>
      </w:r>
      <w:proofErr w:type="spellStart"/>
      <w:r w:rsidRPr="00102092">
        <w:rPr>
          <w:sz w:val="24"/>
          <w:szCs w:val="24"/>
        </w:rPr>
        <w:t>vasopressinagonister</w:t>
      </w:r>
      <w:proofErr w:type="spellEnd"/>
      <w:r w:rsidRPr="00102092">
        <w:rPr>
          <w:sz w:val="24"/>
          <w:szCs w:val="24"/>
        </w:rPr>
        <w:t xml:space="preserve"> på grund af risikoen for hospitalserhvervet </w:t>
      </w:r>
      <w:proofErr w:type="spellStart"/>
      <w:r w:rsidRPr="00102092">
        <w:rPr>
          <w:sz w:val="24"/>
          <w:szCs w:val="24"/>
        </w:rPr>
        <w:t>hyponatriæmi</w:t>
      </w:r>
      <w:proofErr w:type="spellEnd"/>
      <w:r w:rsidRPr="00102092">
        <w:rPr>
          <w:sz w:val="24"/>
          <w:szCs w:val="24"/>
        </w:rPr>
        <w:t xml:space="preserve"> (se pkt. 4.4, 4.5 og 4.8). Monitorering af serumnatrium er særlig vigtigt for </w:t>
      </w:r>
      <w:proofErr w:type="spellStart"/>
      <w:r w:rsidRPr="00102092">
        <w:rPr>
          <w:sz w:val="24"/>
          <w:szCs w:val="24"/>
        </w:rPr>
        <w:t>hypotone</w:t>
      </w:r>
      <w:proofErr w:type="spellEnd"/>
      <w:r w:rsidRPr="00102092">
        <w:rPr>
          <w:sz w:val="24"/>
          <w:szCs w:val="24"/>
        </w:rPr>
        <w:t xml:space="preserve"> væsker.</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infusionsvæske, opløsning har en </w:t>
      </w:r>
      <w:proofErr w:type="spellStart"/>
      <w:r w:rsidRPr="00102092">
        <w:rPr>
          <w:sz w:val="24"/>
          <w:szCs w:val="24"/>
        </w:rPr>
        <w:t>tonicitet</w:t>
      </w:r>
      <w:proofErr w:type="spellEnd"/>
      <w:r w:rsidRPr="00102092">
        <w:rPr>
          <w:sz w:val="24"/>
          <w:szCs w:val="24"/>
        </w:rPr>
        <w:t xml:space="preserve"> på ca. 308 </w:t>
      </w:r>
      <w:proofErr w:type="spellStart"/>
      <w:r w:rsidRPr="00102092">
        <w:rPr>
          <w:sz w:val="24"/>
          <w:szCs w:val="24"/>
        </w:rPr>
        <w:t>mOsm</w:t>
      </w:r>
      <w:proofErr w:type="spellEnd"/>
      <w:r w:rsidRPr="00102092">
        <w:rPr>
          <w:sz w:val="24"/>
          <w:szCs w:val="24"/>
        </w:rPr>
        <w:t>/l.</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Infusionshastigheden og -mængden afhænger af alder, vægt og klinisk tilstand (f.eks. forbrændinger, kirurgi, hovedskade eller infektioner), og samtidig behandling bør bestemmes af en læge med erfaring i intravenøs væskebehandling (se pkt. 4.4 og 4.8). </w:t>
      </w:r>
    </w:p>
    <w:p w:rsidR="00146E14" w:rsidRPr="00102092" w:rsidRDefault="00146E14" w:rsidP="00102092">
      <w:pPr>
        <w:ind w:left="851"/>
        <w:rPr>
          <w:sz w:val="24"/>
          <w:szCs w:val="24"/>
        </w:rPr>
      </w:pPr>
    </w:p>
    <w:p w:rsidR="00146E14" w:rsidRPr="00102092" w:rsidRDefault="00146E14" w:rsidP="00102092">
      <w:pPr>
        <w:ind w:left="851"/>
        <w:rPr>
          <w:i/>
          <w:sz w:val="24"/>
          <w:szCs w:val="24"/>
        </w:rPr>
      </w:pPr>
      <w:r w:rsidRPr="00102092">
        <w:rPr>
          <w:i/>
          <w:sz w:val="24"/>
          <w:szCs w:val="24"/>
        </w:rPr>
        <w:t>Anbefalet dosis</w:t>
      </w:r>
    </w:p>
    <w:p w:rsidR="00146E14" w:rsidRPr="00102092" w:rsidRDefault="00146E14" w:rsidP="00102092">
      <w:pPr>
        <w:ind w:left="851"/>
        <w:rPr>
          <w:sz w:val="24"/>
          <w:szCs w:val="24"/>
        </w:rPr>
      </w:pPr>
      <w:r w:rsidRPr="00102092">
        <w:rPr>
          <w:sz w:val="24"/>
          <w:szCs w:val="24"/>
        </w:rPr>
        <w:t>Den anbefalede dosis til behandling af isotonisk ekstracellulær dehydrering og natrium underskud er:</w:t>
      </w:r>
    </w:p>
    <w:p w:rsidR="00146E14" w:rsidRPr="00102092" w:rsidRDefault="00146E14" w:rsidP="00102092">
      <w:pPr>
        <w:numPr>
          <w:ilvl w:val="0"/>
          <w:numId w:val="11"/>
        </w:numPr>
        <w:tabs>
          <w:tab w:val="clear" w:pos="720"/>
        </w:tabs>
        <w:ind w:left="1276"/>
        <w:rPr>
          <w:sz w:val="24"/>
          <w:szCs w:val="24"/>
        </w:rPr>
      </w:pPr>
      <w:r w:rsidRPr="00102092">
        <w:rPr>
          <w:sz w:val="24"/>
          <w:szCs w:val="24"/>
        </w:rPr>
        <w:t>til voksne: 500 ml til 3 liter per 24 timer</w:t>
      </w:r>
    </w:p>
    <w:p w:rsidR="00146E14" w:rsidRPr="00102092" w:rsidRDefault="00146E14" w:rsidP="00102092">
      <w:pPr>
        <w:numPr>
          <w:ilvl w:val="0"/>
          <w:numId w:val="11"/>
        </w:numPr>
        <w:tabs>
          <w:tab w:val="clear" w:pos="720"/>
        </w:tabs>
        <w:ind w:left="1276"/>
        <w:rPr>
          <w:sz w:val="24"/>
          <w:szCs w:val="24"/>
        </w:rPr>
      </w:pPr>
      <w:r w:rsidRPr="00102092">
        <w:rPr>
          <w:sz w:val="24"/>
          <w:szCs w:val="24"/>
        </w:rPr>
        <w:t>til babyer og børn: 20 til 100 ml per 24 timer og per kg legemsvægt, afhængig af alderen og den totale legemsmasse.</w:t>
      </w:r>
    </w:p>
    <w:p w:rsidR="00146E14" w:rsidRPr="00102092" w:rsidRDefault="00146E14" w:rsidP="00102092">
      <w:pPr>
        <w:rPr>
          <w:sz w:val="24"/>
          <w:szCs w:val="24"/>
        </w:rPr>
      </w:pPr>
    </w:p>
    <w:p w:rsidR="00146E14" w:rsidRPr="00102092" w:rsidRDefault="00146E14" w:rsidP="00102092">
      <w:pPr>
        <w:ind w:left="851"/>
        <w:rPr>
          <w:sz w:val="24"/>
          <w:szCs w:val="24"/>
        </w:rPr>
      </w:pPr>
      <w:r w:rsidRPr="00102092">
        <w:rPr>
          <w:sz w:val="24"/>
          <w:szCs w:val="24"/>
        </w:rPr>
        <w:t xml:space="preserve">Den anbefalede dosering ved anvendelse som </w:t>
      </w:r>
      <w:proofErr w:type="gramStart"/>
      <w:r w:rsidRPr="00102092">
        <w:rPr>
          <w:sz w:val="24"/>
          <w:szCs w:val="24"/>
        </w:rPr>
        <w:t>en vehikel</w:t>
      </w:r>
      <w:proofErr w:type="gramEnd"/>
      <w:r w:rsidRPr="00102092">
        <w:rPr>
          <w:sz w:val="24"/>
          <w:szCs w:val="24"/>
        </w:rPr>
        <w:t xml:space="preserve"> eller fortyndingsvæske er i intervallet fra 50 til 250 ml per dosis af lægemidlet, der skal indgives.</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Når </w:t>
      </w:r>
      <w:proofErr w:type="spellStart"/>
      <w:r w:rsidRPr="00102092">
        <w:rPr>
          <w:sz w:val="24"/>
          <w:szCs w:val="24"/>
        </w:rPr>
        <w:t>natriumchlorid</w:t>
      </w:r>
      <w:proofErr w:type="spellEnd"/>
      <w:r w:rsidRPr="00102092">
        <w:rPr>
          <w:sz w:val="24"/>
          <w:szCs w:val="24"/>
        </w:rPr>
        <w:t xml:space="preserve"> 9 mg/ml anvendes som fortyndingsvæske for </w:t>
      </w:r>
      <w:proofErr w:type="spellStart"/>
      <w:r w:rsidRPr="00102092">
        <w:rPr>
          <w:sz w:val="24"/>
          <w:szCs w:val="24"/>
        </w:rPr>
        <w:t>injicerbare</w:t>
      </w:r>
      <w:proofErr w:type="spellEnd"/>
      <w:r w:rsidRPr="00102092">
        <w:rPr>
          <w:sz w:val="24"/>
          <w:szCs w:val="24"/>
        </w:rPr>
        <w:t xml:space="preserve"> tilberedninger af andre lægemidler, vil doseringen og infusionshastigheden også bestemmes af det ordinerede lægemiddels egenskaber og doseringsforløb.</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u w:val="single"/>
        </w:rPr>
        <w:t>Administration:</w:t>
      </w:r>
    </w:p>
    <w:p w:rsidR="00146E14" w:rsidRPr="00102092" w:rsidRDefault="00146E14" w:rsidP="00102092">
      <w:pPr>
        <w:ind w:left="851"/>
        <w:rPr>
          <w:sz w:val="24"/>
          <w:szCs w:val="24"/>
        </w:rPr>
      </w:pPr>
      <w:r w:rsidRPr="00102092">
        <w:rPr>
          <w:sz w:val="24"/>
          <w:szCs w:val="24"/>
        </w:rPr>
        <w:t xml:space="preserve">Opløsningen administreres ved intravenøs infusion med sterilt og </w:t>
      </w:r>
      <w:proofErr w:type="spellStart"/>
      <w:r w:rsidRPr="00102092">
        <w:rPr>
          <w:sz w:val="24"/>
          <w:szCs w:val="24"/>
        </w:rPr>
        <w:t>pyrogenfrit</w:t>
      </w:r>
      <w:proofErr w:type="spellEnd"/>
      <w:r w:rsidRPr="00102092">
        <w:rPr>
          <w:sz w:val="24"/>
          <w:szCs w:val="24"/>
        </w:rPr>
        <w:t xml:space="preserve"> udstyr og ved brug af aseptisk teknik. Udstyret skal primes med opløsningen for at forhindre, at der kommer luft i systemet.</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Opløsningen skal inspiceres visuelt for partikler og misfarvning inden brug. Må kun indgives, hvis opløsningen er klar, fri for synlige partikler og forseglingerne er intakte.</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Tag ikke enheden ud af yderposen før umiddelbart inden brug. </w:t>
      </w:r>
      <w:proofErr w:type="spellStart"/>
      <w:r w:rsidRPr="00102092">
        <w:rPr>
          <w:sz w:val="24"/>
          <w:szCs w:val="24"/>
        </w:rPr>
        <w:t>Inderposen</w:t>
      </w:r>
      <w:proofErr w:type="spellEnd"/>
      <w:r w:rsidRPr="00102092">
        <w:rPr>
          <w:sz w:val="24"/>
          <w:szCs w:val="24"/>
        </w:rPr>
        <w:t xml:space="preserve"> opretholder opløsningens sterilitet. Indgives straks efter isætning af infusionssæt.</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Fleksible poser af plast må ikke seriekobles, da dette kan medføre </w:t>
      </w:r>
      <w:proofErr w:type="spellStart"/>
      <w:r w:rsidRPr="00102092">
        <w:rPr>
          <w:sz w:val="24"/>
          <w:szCs w:val="24"/>
        </w:rPr>
        <w:t>luftemboli</w:t>
      </w:r>
      <w:proofErr w:type="spellEnd"/>
      <w:r w:rsidRPr="00102092">
        <w:rPr>
          <w:sz w:val="24"/>
          <w:szCs w:val="24"/>
        </w:rPr>
        <w:t xml:space="preserve"> på grund af residualluft i den primære pose. Hvis intravenøse opløsninger i fleksible poser af plast sættes under tryk for at øge indgivelseshastigheden, kan det medføre </w:t>
      </w:r>
      <w:proofErr w:type="spellStart"/>
      <w:r w:rsidRPr="00102092">
        <w:rPr>
          <w:sz w:val="24"/>
          <w:szCs w:val="24"/>
        </w:rPr>
        <w:t>luftemboli</w:t>
      </w:r>
      <w:proofErr w:type="spellEnd"/>
      <w:r w:rsidRPr="00102092">
        <w:rPr>
          <w:sz w:val="24"/>
          <w:szCs w:val="24"/>
        </w:rPr>
        <w:t>, hvis residualluften i posen ikke er fuldstændig udtømt inden indgivelse.</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Brug af ventilerede intravenøse administrationssæt med ventilen i åben position kan resultere i </w:t>
      </w:r>
      <w:proofErr w:type="spellStart"/>
      <w:r w:rsidRPr="00102092">
        <w:rPr>
          <w:sz w:val="24"/>
          <w:szCs w:val="24"/>
        </w:rPr>
        <w:t>luftemboli</w:t>
      </w:r>
      <w:proofErr w:type="spellEnd"/>
      <w:r w:rsidRPr="00102092">
        <w:rPr>
          <w:sz w:val="24"/>
          <w:szCs w:val="24"/>
        </w:rPr>
        <w:t>. Ventilerede intravenøse administrationssæt med ventilen i åben position bør ikke bruges sammen med fleksible poser af plast.</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Additiver kan tilsættes før infusion eller under infusion gennem injektionsporten.</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lastRenderedPageBreak/>
        <w:t xml:space="preserve">For information om uforligeligheder og klargøring af produktet (med additiver), se pkt. 6.2 og 6.6. </w:t>
      </w:r>
    </w:p>
    <w:p w:rsidR="00A46287" w:rsidRPr="00102092" w:rsidRDefault="00A46287" w:rsidP="00102092">
      <w:pPr>
        <w:ind w:left="851"/>
        <w:rPr>
          <w:sz w:val="24"/>
          <w:szCs w:val="24"/>
        </w:rPr>
      </w:pPr>
    </w:p>
    <w:p w:rsidR="00A46287" w:rsidRPr="00102092" w:rsidRDefault="00A46287" w:rsidP="00102092">
      <w:pPr>
        <w:tabs>
          <w:tab w:val="left" w:pos="851"/>
        </w:tabs>
        <w:rPr>
          <w:b/>
          <w:sz w:val="24"/>
          <w:szCs w:val="24"/>
        </w:rPr>
      </w:pPr>
      <w:r w:rsidRPr="00102092">
        <w:rPr>
          <w:b/>
          <w:sz w:val="24"/>
          <w:szCs w:val="24"/>
        </w:rPr>
        <w:t>4.3</w:t>
      </w:r>
      <w:r w:rsidRPr="00102092">
        <w:rPr>
          <w:b/>
          <w:sz w:val="24"/>
          <w:szCs w:val="24"/>
        </w:rPr>
        <w:tab/>
        <w:t>Kontraindikationer</w:t>
      </w:r>
    </w:p>
    <w:p w:rsidR="00146E14" w:rsidRPr="00102092" w:rsidRDefault="00146E14" w:rsidP="00102092">
      <w:pPr>
        <w:ind w:left="851"/>
        <w:rPr>
          <w:sz w:val="24"/>
          <w:szCs w:val="24"/>
        </w:rPr>
      </w:pPr>
      <w:r w:rsidRPr="00102092">
        <w:rPr>
          <w:sz w:val="24"/>
          <w:szCs w:val="24"/>
        </w:rPr>
        <w:t xml:space="preserve">Opløsningen er kontraindiceret hos patienter med </w:t>
      </w:r>
      <w:proofErr w:type="spellStart"/>
      <w:r w:rsidRPr="00102092">
        <w:rPr>
          <w:sz w:val="24"/>
          <w:szCs w:val="24"/>
        </w:rPr>
        <w:t>hypernatriæmi</w:t>
      </w:r>
      <w:proofErr w:type="spellEnd"/>
      <w:r w:rsidRPr="00102092">
        <w:rPr>
          <w:sz w:val="24"/>
          <w:szCs w:val="24"/>
        </w:rPr>
        <w:t xml:space="preserve"> eller </w:t>
      </w:r>
      <w:proofErr w:type="spellStart"/>
      <w:r w:rsidRPr="00102092">
        <w:rPr>
          <w:sz w:val="24"/>
          <w:szCs w:val="24"/>
        </w:rPr>
        <w:t>hyperchloridæmi</w:t>
      </w:r>
      <w:proofErr w:type="spellEnd"/>
      <w:r w:rsidRPr="00102092">
        <w:rPr>
          <w:sz w:val="24"/>
          <w:szCs w:val="24"/>
        </w:rPr>
        <w:t>.</w:t>
      </w:r>
    </w:p>
    <w:p w:rsidR="00146E14" w:rsidRPr="00102092" w:rsidRDefault="00146E14" w:rsidP="00102092">
      <w:pPr>
        <w:ind w:left="851"/>
        <w:rPr>
          <w:sz w:val="24"/>
          <w:szCs w:val="24"/>
        </w:rPr>
      </w:pPr>
      <w:r w:rsidRPr="00102092">
        <w:rPr>
          <w:sz w:val="24"/>
          <w:szCs w:val="24"/>
        </w:rPr>
        <w:t>Kontraindikationerne relateret til det tilsatte lægemiddel bør overvejes.</w:t>
      </w:r>
    </w:p>
    <w:p w:rsidR="00146E14" w:rsidRPr="00102092" w:rsidRDefault="00146E14" w:rsidP="00102092">
      <w:pPr>
        <w:pStyle w:val="Sidehoved"/>
        <w:tabs>
          <w:tab w:val="clear" w:pos="4819"/>
          <w:tab w:val="clear" w:pos="9638"/>
          <w:tab w:val="left" w:pos="851"/>
        </w:tabs>
        <w:rPr>
          <w:szCs w:val="24"/>
        </w:rPr>
      </w:pPr>
    </w:p>
    <w:p w:rsidR="00A46287" w:rsidRPr="00102092" w:rsidRDefault="00A46287" w:rsidP="00102092">
      <w:pPr>
        <w:tabs>
          <w:tab w:val="left" w:pos="851"/>
        </w:tabs>
        <w:ind w:left="851" w:hanging="851"/>
        <w:rPr>
          <w:b/>
          <w:sz w:val="24"/>
          <w:szCs w:val="24"/>
        </w:rPr>
      </w:pPr>
      <w:r w:rsidRPr="00102092">
        <w:rPr>
          <w:b/>
          <w:sz w:val="24"/>
          <w:szCs w:val="24"/>
        </w:rPr>
        <w:t>4.4</w:t>
      </w:r>
      <w:r w:rsidRPr="00102092">
        <w:rPr>
          <w:b/>
          <w:sz w:val="24"/>
          <w:szCs w:val="24"/>
        </w:rPr>
        <w:tab/>
        <w:t>Særlige advarsler og forsigtighedsregler vedrørende brugen</w:t>
      </w:r>
    </w:p>
    <w:p w:rsidR="00A46287" w:rsidRPr="00D75521" w:rsidRDefault="00A46287" w:rsidP="00102092">
      <w:pPr>
        <w:ind w:left="840"/>
        <w:rPr>
          <w:sz w:val="24"/>
          <w:szCs w:val="24"/>
          <w:u w:val="single"/>
        </w:rPr>
      </w:pPr>
    </w:p>
    <w:p w:rsidR="00146E14" w:rsidRPr="00D75521" w:rsidRDefault="00146E14" w:rsidP="00102092">
      <w:pPr>
        <w:ind w:left="840"/>
        <w:rPr>
          <w:i/>
          <w:sz w:val="24"/>
          <w:szCs w:val="24"/>
        </w:rPr>
      </w:pPr>
      <w:r w:rsidRPr="00D75521">
        <w:rPr>
          <w:sz w:val="24"/>
          <w:szCs w:val="24"/>
          <w:u w:val="single"/>
        </w:rPr>
        <w:t>Væskebalance/nyrefunktion</w:t>
      </w:r>
    </w:p>
    <w:p w:rsidR="00146E14" w:rsidRPr="00102092" w:rsidRDefault="00146E14" w:rsidP="00102092">
      <w:pPr>
        <w:ind w:left="840"/>
        <w:rPr>
          <w:sz w:val="24"/>
          <w:szCs w:val="24"/>
        </w:rPr>
      </w:pPr>
      <w:r w:rsidRPr="00102092">
        <w:rPr>
          <w:i/>
          <w:sz w:val="24"/>
          <w:szCs w:val="24"/>
        </w:rPr>
        <w:t>Brug hos patienter med (alvorlig) nedsat nyrefunktion.</w:t>
      </w:r>
    </w:p>
    <w:p w:rsidR="00146E14" w:rsidRPr="00102092" w:rsidRDefault="00146E14" w:rsidP="00102092">
      <w:pPr>
        <w:tabs>
          <w:tab w:val="left" w:pos="1800"/>
        </w:tabs>
        <w:ind w:left="810"/>
        <w:rPr>
          <w:sz w:val="24"/>
          <w:szCs w:val="24"/>
        </w:rPr>
      </w:pPr>
      <w:r w:rsidRPr="00102092">
        <w:rPr>
          <w:sz w:val="24"/>
          <w:szCs w:val="24"/>
        </w:rPr>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skal anvendes med særlig forsigtighed til patienter med eller i risiko for alvorlig nedsat nyrefunktion. Hos disse patienter kan administration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resultere i natriumretention. (Se ”</w:t>
      </w:r>
      <w:r w:rsidRPr="00102092">
        <w:rPr>
          <w:i/>
          <w:sz w:val="24"/>
          <w:szCs w:val="24"/>
        </w:rPr>
        <w:t>Brug hos patienter med risiko for natriumretention, væskeoverbelastning og ødem</w:t>
      </w:r>
      <w:r w:rsidRPr="00102092">
        <w:rPr>
          <w:sz w:val="24"/>
          <w:szCs w:val="24"/>
        </w:rPr>
        <w:t>” herunder for yderligere overvejelser.)</w:t>
      </w:r>
    </w:p>
    <w:p w:rsidR="00146E14" w:rsidRPr="00102092" w:rsidRDefault="00146E14" w:rsidP="00102092">
      <w:pPr>
        <w:tabs>
          <w:tab w:val="left" w:pos="1800"/>
        </w:tabs>
        <w:rPr>
          <w:sz w:val="24"/>
          <w:szCs w:val="24"/>
        </w:rPr>
      </w:pPr>
    </w:p>
    <w:p w:rsidR="00146E14" w:rsidRPr="00102092" w:rsidRDefault="00146E14" w:rsidP="00102092">
      <w:pPr>
        <w:tabs>
          <w:tab w:val="left" w:pos="7245"/>
        </w:tabs>
        <w:ind w:left="840"/>
        <w:rPr>
          <w:i/>
          <w:sz w:val="24"/>
          <w:szCs w:val="24"/>
        </w:rPr>
      </w:pPr>
      <w:r w:rsidRPr="00102092">
        <w:rPr>
          <w:i/>
          <w:sz w:val="24"/>
          <w:szCs w:val="24"/>
        </w:rPr>
        <w:t xml:space="preserve">Risiko for overbelastning med væske og/eller </w:t>
      </w:r>
      <w:proofErr w:type="spellStart"/>
      <w:r w:rsidRPr="00102092">
        <w:rPr>
          <w:i/>
          <w:sz w:val="24"/>
          <w:szCs w:val="24"/>
        </w:rPr>
        <w:t>solutter</w:t>
      </w:r>
      <w:proofErr w:type="spellEnd"/>
      <w:r w:rsidRPr="00102092">
        <w:rPr>
          <w:i/>
          <w:sz w:val="24"/>
          <w:szCs w:val="24"/>
        </w:rPr>
        <w:t xml:space="preserve"> og elektrolytforstyrrelser.</w:t>
      </w:r>
    </w:p>
    <w:p w:rsidR="00146E14" w:rsidRPr="00102092" w:rsidRDefault="00146E14" w:rsidP="00102092">
      <w:pPr>
        <w:tabs>
          <w:tab w:val="left" w:pos="7245"/>
        </w:tabs>
        <w:ind w:left="840"/>
        <w:rPr>
          <w:sz w:val="24"/>
          <w:szCs w:val="24"/>
        </w:rPr>
      </w:pPr>
      <w:r w:rsidRPr="00102092">
        <w:rPr>
          <w:sz w:val="24"/>
          <w:szCs w:val="24"/>
        </w:rPr>
        <w:t xml:space="preserve">Intravenøs indgivelse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kan, afhængigt af volumen og infusionshastighed, forårsage:</w:t>
      </w:r>
    </w:p>
    <w:p w:rsidR="00146E14" w:rsidRPr="00102092" w:rsidRDefault="00146E14" w:rsidP="00102092">
      <w:pPr>
        <w:numPr>
          <w:ilvl w:val="0"/>
          <w:numId w:val="16"/>
        </w:numPr>
        <w:rPr>
          <w:sz w:val="24"/>
          <w:szCs w:val="24"/>
        </w:rPr>
      </w:pPr>
      <w:r w:rsidRPr="00102092">
        <w:rPr>
          <w:sz w:val="24"/>
          <w:szCs w:val="24"/>
        </w:rPr>
        <w:t xml:space="preserve">Væske- og/eller </w:t>
      </w:r>
      <w:proofErr w:type="spellStart"/>
      <w:r w:rsidRPr="00102092">
        <w:rPr>
          <w:sz w:val="24"/>
          <w:szCs w:val="24"/>
        </w:rPr>
        <w:t>solutoverbelastning</w:t>
      </w:r>
      <w:proofErr w:type="spellEnd"/>
      <w:r w:rsidRPr="00102092">
        <w:rPr>
          <w:sz w:val="24"/>
          <w:szCs w:val="24"/>
        </w:rPr>
        <w:t>, som resulterer i overhydrering/</w:t>
      </w:r>
      <w:proofErr w:type="spellStart"/>
      <w:r w:rsidRPr="00102092">
        <w:rPr>
          <w:sz w:val="24"/>
          <w:szCs w:val="24"/>
        </w:rPr>
        <w:t>hypervolæmi</w:t>
      </w:r>
      <w:proofErr w:type="spellEnd"/>
      <w:r w:rsidRPr="00102092">
        <w:rPr>
          <w:sz w:val="24"/>
          <w:szCs w:val="24"/>
        </w:rPr>
        <w:t xml:space="preserve"> og for eksempel ophobningstilstande herunder centralt og perifert ødem.</w:t>
      </w:r>
    </w:p>
    <w:p w:rsidR="00146E14" w:rsidRPr="00102092" w:rsidRDefault="00146E14" w:rsidP="00102092">
      <w:pPr>
        <w:numPr>
          <w:ilvl w:val="0"/>
          <w:numId w:val="16"/>
        </w:numPr>
        <w:rPr>
          <w:sz w:val="24"/>
          <w:szCs w:val="24"/>
        </w:rPr>
      </w:pPr>
      <w:r w:rsidRPr="00102092">
        <w:rPr>
          <w:sz w:val="24"/>
          <w:szCs w:val="24"/>
        </w:rPr>
        <w:t>Klinisk relevante elektrolytforstyrrelser og syre-base ubalance.</w:t>
      </w:r>
    </w:p>
    <w:p w:rsidR="00146E14" w:rsidRPr="00102092" w:rsidRDefault="00146E14" w:rsidP="00102092">
      <w:pPr>
        <w:ind w:left="840"/>
        <w:rPr>
          <w:sz w:val="24"/>
          <w:szCs w:val="24"/>
        </w:rPr>
      </w:pPr>
    </w:p>
    <w:p w:rsidR="00146E14" w:rsidRPr="00102092" w:rsidRDefault="00146E14" w:rsidP="00102092">
      <w:pPr>
        <w:ind w:left="851"/>
        <w:rPr>
          <w:sz w:val="24"/>
          <w:szCs w:val="24"/>
        </w:rPr>
      </w:pPr>
      <w:r w:rsidRPr="00102092">
        <w:rPr>
          <w:sz w:val="24"/>
          <w:szCs w:val="24"/>
        </w:rPr>
        <w:t xml:space="preserve">Generelt er risikoen for </w:t>
      </w:r>
      <w:proofErr w:type="spellStart"/>
      <w:r w:rsidRPr="00102092">
        <w:rPr>
          <w:sz w:val="24"/>
          <w:szCs w:val="24"/>
        </w:rPr>
        <w:t>dilutionale</w:t>
      </w:r>
      <w:proofErr w:type="spellEnd"/>
      <w:r w:rsidRPr="00102092">
        <w:rPr>
          <w:sz w:val="24"/>
          <w:szCs w:val="24"/>
        </w:rPr>
        <w:t xml:space="preserve"> tilstande (retention af vand i forhold til natrium) omvendt proportional med elektrolytkoncentrationen i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og dets additiver. </w:t>
      </w:r>
    </w:p>
    <w:p w:rsidR="00146E14" w:rsidRPr="00102092" w:rsidRDefault="00146E14" w:rsidP="00102092">
      <w:pPr>
        <w:ind w:left="851"/>
        <w:rPr>
          <w:sz w:val="24"/>
          <w:szCs w:val="24"/>
        </w:rPr>
      </w:pPr>
      <w:r w:rsidRPr="00102092">
        <w:rPr>
          <w:sz w:val="24"/>
          <w:szCs w:val="24"/>
        </w:rPr>
        <w:t xml:space="preserve">Omvendt er risikoen for </w:t>
      </w:r>
      <w:proofErr w:type="spellStart"/>
      <w:r w:rsidRPr="00102092">
        <w:rPr>
          <w:sz w:val="24"/>
          <w:szCs w:val="24"/>
        </w:rPr>
        <w:t>solutoverbelastning</w:t>
      </w:r>
      <w:proofErr w:type="spellEnd"/>
      <w:r w:rsidRPr="00102092">
        <w:rPr>
          <w:sz w:val="24"/>
          <w:szCs w:val="24"/>
        </w:rPr>
        <w:t xml:space="preserve">, som forårsager ophobningstilstande (retention af </w:t>
      </w:r>
      <w:proofErr w:type="spellStart"/>
      <w:r w:rsidRPr="00102092">
        <w:rPr>
          <w:sz w:val="24"/>
          <w:szCs w:val="24"/>
        </w:rPr>
        <w:t>solutter</w:t>
      </w:r>
      <w:proofErr w:type="spellEnd"/>
      <w:r w:rsidRPr="00102092">
        <w:rPr>
          <w:sz w:val="24"/>
          <w:szCs w:val="24"/>
        </w:rPr>
        <w:t xml:space="preserve"> i forhold til vand) direkte proportional med elektrolytkoncentrationen i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og dets additiver.</w:t>
      </w:r>
    </w:p>
    <w:p w:rsidR="00146E14" w:rsidRPr="00102092" w:rsidRDefault="00146E14" w:rsidP="00102092">
      <w:pPr>
        <w:ind w:left="851"/>
        <w:rPr>
          <w:sz w:val="24"/>
          <w:szCs w:val="24"/>
        </w:rPr>
      </w:pPr>
    </w:p>
    <w:p w:rsidR="00146E14" w:rsidRPr="00102092" w:rsidRDefault="00146E14" w:rsidP="00102092">
      <w:pPr>
        <w:ind w:firstLine="840"/>
        <w:rPr>
          <w:sz w:val="24"/>
          <w:szCs w:val="24"/>
        </w:rPr>
      </w:pPr>
      <w:r w:rsidRPr="00102092">
        <w:rPr>
          <w:sz w:val="24"/>
          <w:szCs w:val="24"/>
        </w:rPr>
        <w:t>Særlig klinisk overvågning er påkrævet i begyndelsen af enhver intravenøs infusion.</w:t>
      </w:r>
    </w:p>
    <w:p w:rsidR="00146E14" w:rsidRPr="00102092" w:rsidRDefault="00146E14" w:rsidP="00102092">
      <w:pPr>
        <w:ind w:left="840"/>
        <w:rPr>
          <w:sz w:val="24"/>
          <w:szCs w:val="24"/>
        </w:rPr>
      </w:pPr>
    </w:p>
    <w:p w:rsidR="00146E14" w:rsidRPr="00102092" w:rsidRDefault="00146E14" w:rsidP="00102092">
      <w:pPr>
        <w:ind w:left="840"/>
        <w:rPr>
          <w:sz w:val="24"/>
          <w:szCs w:val="24"/>
        </w:rPr>
      </w:pPr>
      <w:r w:rsidRPr="00102092">
        <w:rPr>
          <w:sz w:val="24"/>
          <w:szCs w:val="24"/>
        </w:rPr>
        <w:t xml:space="preserve">Ved længerevarende parenteral behandling, og når patientens tilstand eller administrationshastigheden kræver det, kan det være nødvendigt med klinisk overvågning og periodiske laboratorieprøver for at monitorere ændringer i væskebalancen, elektrolytkoncentrationerne og syre-base balancen. </w:t>
      </w:r>
    </w:p>
    <w:p w:rsidR="00146E14" w:rsidRPr="00102092" w:rsidRDefault="00146E14" w:rsidP="00102092">
      <w:pPr>
        <w:ind w:left="840"/>
        <w:rPr>
          <w:sz w:val="24"/>
          <w:szCs w:val="24"/>
        </w:rPr>
      </w:pPr>
    </w:p>
    <w:p w:rsidR="00146E14" w:rsidRPr="00102092" w:rsidRDefault="00146E14" w:rsidP="00102092">
      <w:pPr>
        <w:ind w:left="840"/>
        <w:rPr>
          <w:sz w:val="24"/>
          <w:szCs w:val="24"/>
        </w:rPr>
      </w:pPr>
      <w:r w:rsidRPr="00102092">
        <w:rPr>
          <w:sz w:val="24"/>
          <w:szCs w:val="24"/>
        </w:rPr>
        <w:t xml:space="preserve">Infusion af store mængder skal ske med specifik monitorering af patienter med hjerte- eller lungesvigt og af patienter med ikke-osmotisk </w:t>
      </w:r>
      <w:proofErr w:type="spellStart"/>
      <w:r w:rsidRPr="00102092">
        <w:rPr>
          <w:sz w:val="24"/>
          <w:szCs w:val="24"/>
        </w:rPr>
        <w:t>vasopressinfrigivelse</w:t>
      </w:r>
      <w:proofErr w:type="spellEnd"/>
      <w:r w:rsidRPr="00102092">
        <w:rPr>
          <w:sz w:val="24"/>
          <w:szCs w:val="24"/>
        </w:rPr>
        <w:t xml:space="preserve"> (herunder SIADH) som følge af risikoen for hospitalserhvervet </w:t>
      </w:r>
      <w:proofErr w:type="spellStart"/>
      <w:r w:rsidRPr="00102092">
        <w:rPr>
          <w:sz w:val="24"/>
          <w:szCs w:val="24"/>
        </w:rPr>
        <w:t>hyponatriæmi</w:t>
      </w:r>
      <w:proofErr w:type="spellEnd"/>
      <w:r w:rsidRPr="00102092">
        <w:rPr>
          <w:sz w:val="24"/>
          <w:szCs w:val="24"/>
        </w:rPr>
        <w:t xml:space="preserve"> (se nedenfor).</w:t>
      </w:r>
    </w:p>
    <w:p w:rsidR="00146E14" w:rsidRPr="00102092" w:rsidRDefault="00146E14" w:rsidP="00102092">
      <w:pPr>
        <w:ind w:left="840"/>
        <w:rPr>
          <w:sz w:val="24"/>
          <w:szCs w:val="24"/>
        </w:rPr>
      </w:pPr>
    </w:p>
    <w:p w:rsidR="00146E14" w:rsidRPr="00102092" w:rsidRDefault="00146E14" w:rsidP="00102092">
      <w:pPr>
        <w:tabs>
          <w:tab w:val="left" w:pos="851"/>
        </w:tabs>
        <w:ind w:left="851"/>
        <w:rPr>
          <w:bCs/>
          <w:sz w:val="24"/>
          <w:szCs w:val="24"/>
        </w:rPr>
      </w:pPr>
      <w:proofErr w:type="spellStart"/>
      <w:r w:rsidRPr="00102092">
        <w:rPr>
          <w:bCs/>
          <w:sz w:val="24"/>
          <w:szCs w:val="24"/>
        </w:rPr>
        <w:t>Hyponatriæmi</w:t>
      </w:r>
      <w:proofErr w:type="spellEnd"/>
    </w:p>
    <w:p w:rsidR="00146E14" w:rsidRPr="00102092" w:rsidRDefault="00146E14" w:rsidP="00102092">
      <w:pPr>
        <w:tabs>
          <w:tab w:val="left" w:pos="851"/>
        </w:tabs>
        <w:ind w:left="851"/>
        <w:rPr>
          <w:bCs/>
          <w:sz w:val="24"/>
          <w:szCs w:val="24"/>
        </w:rPr>
      </w:pPr>
      <w:r w:rsidRPr="00102092">
        <w:rPr>
          <w:bCs/>
          <w:sz w:val="24"/>
          <w:szCs w:val="24"/>
        </w:rPr>
        <w:t xml:space="preserve">Patienter med ikke-osmotisk </w:t>
      </w:r>
      <w:proofErr w:type="spellStart"/>
      <w:r w:rsidRPr="00102092">
        <w:rPr>
          <w:bCs/>
          <w:sz w:val="24"/>
          <w:szCs w:val="24"/>
        </w:rPr>
        <w:t>vasopressinfrigivelse</w:t>
      </w:r>
      <w:proofErr w:type="spellEnd"/>
      <w:r w:rsidRPr="00102092">
        <w:rPr>
          <w:bCs/>
          <w:sz w:val="24"/>
          <w:szCs w:val="24"/>
        </w:rPr>
        <w:t xml:space="preserve"> (f.eks. ved akut sygdom, smerter, postoperativ stress, infektioner, forbrændinger og sygdomme i centralnervesystemet), patienter med hjerte-, lever- og nyresygdomme og patienter, som eksponeres for </w:t>
      </w:r>
      <w:proofErr w:type="spellStart"/>
      <w:r w:rsidRPr="00102092">
        <w:rPr>
          <w:bCs/>
          <w:sz w:val="24"/>
          <w:szCs w:val="24"/>
        </w:rPr>
        <w:t>vasopressinagonister</w:t>
      </w:r>
      <w:proofErr w:type="spellEnd"/>
      <w:r w:rsidRPr="00102092">
        <w:rPr>
          <w:bCs/>
          <w:sz w:val="24"/>
          <w:szCs w:val="24"/>
        </w:rPr>
        <w:t xml:space="preserve"> (se pkt. 4.5), har særlig risiko for akut </w:t>
      </w:r>
      <w:proofErr w:type="spellStart"/>
      <w:r w:rsidRPr="00102092">
        <w:rPr>
          <w:bCs/>
          <w:sz w:val="24"/>
          <w:szCs w:val="24"/>
        </w:rPr>
        <w:t>hyponatriæmi</w:t>
      </w:r>
      <w:proofErr w:type="spellEnd"/>
      <w:r w:rsidRPr="00102092">
        <w:rPr>
          <w:bCs/>
          <w:sz w:val="24"/>
          <w:szCs w:val="24"/>
        </w:rPr>
        <w:t xml:space="preserve"> ved infusion af </w:t>
      </w:r>
      <w:proofErr w:type="spellStart"/>
      <w:r w:rsidRPr="00102092">
        <w:rPr>
          <w:bCs/>
          <w:sz w:val="24"/>
          <w:szCs w:val="24"/>
        </w:rPr>
        <w:t>hypotone</w:t>
      </w:r>
      <w:proofErr w:type="spellEnd"/>
      <w:r w:rsidRPr="00102092">
        <w:rPr>
          <w:bCs/>
          <w:sz w:val="24"/>
          <w:szCs w:val="24"/>
        </w:rPr>
        <w:t xml:space="preserve"> væsker.</w:t>
      </w:r>
    </w:p>
    <w:p w:rsidR="00146E14" w:rsidRPr="00102092" w:rsidRDefault="00146E14" w:rsidP="00102092">
      <w:pPr>
        <w:tabs>
          <w:tab w:val="left" w:pos="851"/>
        </w:tabs>
        <w:ind w:left="851"/>
        <w:rPr>
          <w:bCs/>
          <w:sz w:val="24"/>
          <w:szCs w:val="24"/>
        </w:rPr>
      </w:pPr>
    </w:p>
    <w:p w:rsidR="00146E14" w:rsidRPr="00102092" w:rsidRDefault="00146E14" w:rsidP="00102092">
      <w:pPr>
        <w:tabs>
          <w:tab w:val="left" w:pos="851"/>
        </w:tabs>
        <w:ind w:left="851"/>
        <w:rPr>
          <w:bCs/>
          <w:sz w:val="24"/>
          <w:szCs w:val="24"/>
        </w:rPr>
      </w:pPr>
      <w:r w:rsidRPr="00102092">
        <w:rPr>
          <w:bCs/>
          <w:sz w:val="24"/>
          <w:szCs w:val="24"/>
        </w:rPr>
        <w:lastRenderedPageBreak/>
        <w:t xml:space="preserve">Akut </w:t>
      </w:r>
      <w:proofErr w:type="spellStart"/>
      <w:r w:rsidRPr="00102092">
        <w:rPr>
          <w:bCs/>
          <w:sz w:val="24"/>
          <w:szCs w:val="24"/>
        </w:rPr>
        <w:t>hyponatriæmi</w:t>
      </w:r>
      <w:proofErr w:type="spellEnd"/>
      <w:r w:rsidRPr="00102092">
        <w:rPr>
          <w:bCs/>
          <w:sz w:val="24"/>
          <w:szCs w:val="24"/>
        </w:rPr>
        <w:t xml:space="preserve"> kan føre til akut </w:t>
      </w:r>
      <w:proofErr w:type="spellStart"/>
      <w:r w:rsidRPr="00102092">
        <w:rPr>
          <w:bCs/>
          <w:sz w:val="24"/>
          <w:szCs w:val="24"/>
        </w:rPr>
        <w:t>hyponatriæmisk</w:t>
      </w:r>
      <w:proofErr w:type="spellEnd"/>
      <w:r w:rsidRPr="00102092">
        <w:rPr>
          <w:bCs/>
          <w:sz w:val="24"/>
          <w:szCs w:val="24"/>
        </w:rPr>
        <w:t xml:space="preserve"> </w:t>
      </w:r>
      <w:proofErr w:type="spellStart"/>
      <w:r w:rsidRPr="00102092">
        <w:rPr>
          <w:bCs/>
          <w:sz w:val="24"/>
          <w:szCs w:val="24"/>
        </w:rPr>
        <w:t>encephalopati</w:t>
      </w:r>
      <w:proofErr w:type="spellEnd"/>
      <w:r w:rsidRPr="00102092">
        <w:rPr>
          <w:bCs/>
          <w:sz w:val="24"/>
          <w:szCs w:val="24"/>
        </w:rPr>
        <w:t xml:space="preserve"> (hjerneødem), som er karakteriseret ved hovedpine, kvalme, krampeanfald, letargi og opkastning. Patienter med hjerneødem har særlig risiko for alvorlig, irreversibel og livstruende hjerneskade.</w:t>
      </w:r>
    </w:p>
    <w:p w:rsidR="00146E14" w:rsidRPr="00102092" w:rsidRDefault="00146E14" w:rsidP="00102092">
      <w:pPr>
        <w:tabs>
          <w:tab w:val="left" w:pos="851"/>
        </w:tabs>
        <w:ind w:left="851"/>
        <w:rPr>
          <w:bCs/>
          <w:sz w:val="24"/>
          <w:szCs w:val="24"/>
        </w:rPr>
      </w:pPr>
    </w:p>
    <w:p w:rsidR="00146E14" w:rsidRPr="00102092" w:rsidRDefault="00146E14" w:rsidP="00102092">
      <w:pPr>
        <w:tabs>
          <w:tab w:val="left" w:pos="851"/>
        </w:tabs>
        <w:ind w:left="851"/>
        <w:rPr>
          <w:bCs/>
          <w:sz w:val="24"/>
          <w:szCs w:val="24"/>
        </w:rPr>
      </w:pPr>
      <w:r w:rsidRPr="00102092">
        <w:rPr>
          <w:bCs/>
          <w:sz w:val="24"/>
          <w:szCs w:val="24"/>
        </w:rPr>
        <w:t xml:space="preserve">Børn, kvinder i den fødedygtige alder og patienter med nedsat hjernecompliance (f.eks. meningitis, </w:t>
      </w:r>
      <w:proofErr w:type="spellStart"/>
      <w:r w:rsidRPr="00102092">
        <w:rPr>
          <w:bCs/>
          <w:sz w:val="24"/>
          <w:szCs w:val="24"/>
        </w:rPr>
        <w:t>intrakraniel</w:t>
      </w:r>
      <w:proofErr w:type="spellEnd"/>
      <w:r w:rsidRPr="00102092">
        <w:rPr>
          <w:bCs/>
          <w:sz w:val="24"/>
          <w:szCs w:val="24"/>
        </w:rPr>
        <w:t xml:space="preserve"> blødning, cerebral kontusion og hjerneødem) har særlig risiko for den alvorlige og livstruende hævelse i hjernen, som akut </w:t>
      </w:r>
      <w:proofErr w:type="spellStart"/>
      <w:r w:rsidRPr="00102092">
        <w:rPr>
          <w:bCs/>
          <w:sz w:val="24"/>
          <w:szCs w:val="24"/>
        </w:rPr>
        <w:t>hyponatriæmi</w:t>
      </w:r>
      <w:proofErr w:type="spellEnd"/>
      <w:r w:rsidRPr="00102092">
        <w:rPr>
          <w:bCs/>
          <w:sz w:val="24"/>
          <w:szCs w:val="24"/>
        </w:rPr>
        <w:t xml:space="preserve"> medfører.</w:t>
      </w:r>
    </w:p>
    <w:p w:rsidR="00146E14" w:rsidRPr="00102092" w:rsidRDefault="00146E14" w:rsidP="00102092">
      <w:pPr>
        <w:ind w:left="851"/>
        <w:rPr>
          <w:sz w:val="24"/>
          <w:szCs w:val="24"/>
        </w:rPr>
      </w:pPr>
    </w:p>
    <w:p w:rsidR="00146E14" w:rsidRPr="00102092" w:rsidRDefault="00146E14" w:rsidP="00102092">
      <w:pPr>
        <w:tabs>
          <w:tab w:val="left" w:pos="7245"/>
        </w:tabs>
        <w:ind w:left="840"/>
        <w:rPr>
          <w:sz w:val="24"/>
          <w:szCs w:val="24"/>
        </w:rPr>
      </w:pPr>
      <w:r w:rsidRPr="00102092">
        <w:rPr>
          <w:i/>
          <w:sz w:val="24"/>
          <w:szCs w:val="24"/>
        </w:rPr>
        <w:t>Brug hos patienter med risiko for natriumretention, væskeoverbelastning og ødem.</w:t>
      </w:r>
    </w:p>
    <w:p w:rsidR="00146E14" w:rsidRPr="00102092" w:rsidRDefault="00146E14" w:rsidP="00102092">
      <w:pPr>
        <w:ind w:left="840"/>
        <w:rPr>
          <w:sz w:val="24"/>
          <w:szCs w:val="24"/>
        </w:rPr>
      </w:pPr>
      <w:r w:rsidRPr="00102092">
        <w:rPr>
          <w:sz w:val="24"/>
          <w:szCs w:val="24"/>
        </w:rPr>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bør anvendes med særlig forsigtighed, hvis overhovedet, til patienter med, eller med risiko for:</w:t>
      </w:r>
    </w:p>
    <w:p w:rsidR="00146E14" w:rsidRPr="00102092" w:rsidRDefault="00146E14" w:rsidP="00102092">
      <w:pPr>
        <w:numPr>
          <w:ilvl w:val="0"/>
          <w:numId w:val="17"/>
        </w:numPr>
        <w:ind w:left="1208" w:hanging="357"/>
        <w:rPr>
          <w:sz w:val="24"/>
          <w:szCs w:val="24"/>
        </w:rPr>
      </w:pPr>
      <w:proofErr w:type="spellStart"/>
      <w:r w:rsidRPr="00102092">
        <w:rPr>
          <w:sz w:val="24"/>
          <w:szCs w:val="24"/>
        </w:rPr>
        <w:t>Hypernatriæmi</w:t>
      </w:r>
      <w:proofErr w:type="spellEnd"/>
      <w:r w:rsidRPr="00102092">
        <w:rPr>
          <w:sz w:val="24"/>
          <w:szCs w:val="24"/>
        </w:rPr>
        <w:t xml:space="preserve">. En hurtig korrektion af </w:t>
      </w:r>
      <w:proofErr w:type="spellStart"/>
      <w:r w:rsidRPr="00102092">
        <w:rPr>
          <w:sz w:val="24"/>
          <w:szCs w:val="24"/>
        </w:rPr>
        <w:t>hypernatriæmi</w:t>
      </w:r>
      <w:proofErr w:type="spellEnd"/>
      <w:r w:rsidRPr="00102092">
        <w:rPr>
          <w:sz w:val="24"/>
          <w:szCs w:val="24"/>
        </w:rPr>
        <w:t>, efter tilpasning er sket, kan føre til cerebralt ødem, som potentielt kan resultere i anfald, permanent hjerneskade eller død.</w:t>
      </w:r>
    </w:p>
    <w:p w:rsidR="00146E14" w:rsidRPr="00102092" w:rsidRDefault="00146E14" w:rsidP="00102092">
      <w:pPr>
        <w:numPr>
          <w:ilvl w:val="0"/>
          <w:numId w:val="17"/>
        </w:numPr>
        <w:ind w:left="1208" w:hanging="357"/>
        <w:rPr>
          <w:sz w:val="24"/>
          <w:szCs w:val="24"/>
        </w:rPr>
      </w:pPr>
      <w:proofErr w:type="spellStart"/>
      <w:r w:rsidRPr="00102092">
        <w:rPr>
          <w:sz w:val="24"/>
          <w:szCs w:val="24"/>
        </w:rPr>
        <w:t>Hyperchloridæmi</w:t>
      </w:r>
      <w:proofErr w:type="spellEnd"/>
    </w:p>
    <w:p w:rsidR="00146E14" w:rsidRPr="00102092" w:rsidRDefault="00146E14" w:rsidP="00102092">
      <w:pPr>
        <w:numPr>
          <w:ilvl w:val="0"/>
          <w:numId w:val="17"/>
        </w:numPr>
        <w:ind w:left="1208" w:hanging="357"/>
        <w:rPr>
          <w:sz w:val="24"/>
          <w:szCs w:val="24"/>
        </w:rPr>
      </w:pPr>
      <w:r w:rsidRPr="00102092">
        <w:rPr>
          <w:sz w:val="24"/>
          <w:szCs w:val="24"/>
        </w:rPr>
        <w:t xml:space="preserve">Metabolisk </w:t>
      </w:r>
      <w:proofErr w:type="spellStart"/>
      <w:r w:rsidRPr="00102092">
        <w:rPr>
          <w:sz w:val="24"/>
          <w:szCs w:val="24"/>
        </w:rPr>
        <w:t>acidose</w:t>
      </w:r>
      <w:proofErr w:type="spellEnd"/>
      <w:r w:rsidRPr="00102092">
        <w:rPr>
          <w:sz w:val="24"/>
          <w:szCs w:val="24"/>
        </w:rPr>
        <w:t>, som kan forværres af langvarig brug af dette produkt, særligt hos patienter med nedsat nyrefunktion.</w:t>
      </w:r>
    </w:p>
    <w:p w:rsidR="00146E14" w:rsidRPr="00102092" w:rsidRDefault="00146E14" w:rsidP="00102092">
      <w:pPr>
        <w:numPr>
          <w:ilvl w:val="0"/>
          <w:numId w:val="17"/>
        </w:numPr>
        <w:ind w:left="1208" w:hanging="357"/>
        <w:rPr>
          <w:sz w:val="24"/>
          <w:szCs w:val="24"/>
        </w:rPr>
      </w:pPr>
      <w:proofErr w:type="spellStart"/>
      <w:r w:rsidRPr="00102092">
        <w:rPr>
          <w:sz w:val="24"/>
          <w:szCs w:val="24"/>
        </w:rPr>
        <w:t>Hypervolæmi</w:t>
      </w:r>
      <w:proofErr w:type="spellEnd"/>
      <w:r w:rsidRPr="00102092">
        <w:rPr>
          <w:sz w:val="24"/>
          <w:szCs w:val="24"/>
        </w:rPr>
        <w:t xml:space="preserve">, såsom kongestiv hjertefejl og </w:t>
      </w:r>
      <w:proofErr w:type="spellStart"/>
      <w:r w:rsidRPr="00102092">
        <w:rPr>
          <w:sz w:val="24"/>
          <w:szCs w:val="24"/>
        </w:rPr>
        <w:t>pulmonært</w:t>
      </w:r>
      <w:proofErr w:type="spellEnd"/>
      <w:r w:rsidRPr="00102092">
        <w:rPr>
          <w:sz w:val="24"/>
          <w:szCs w:val="24"/>
        </w:rPr>
        <w:t xml:space="preserve"> ødem kan ske, særligt hos patienter med </w:t>
      </w:r>
      <w:proofErr w:type="spellStart"/>
      <w:r w:rsidRPr="00102092">
        <w:rPr>
          <w:sz w:val="24"/>
          <w:szCs w:val="24"/>
        </w:rPr>
        <w:t>kardiovaskulære</w:t>
      </w:r>
      <w:proofErr w:type="spellEnd"/>
      <w:r w:rsidRPr="00102092">
        <w:rPr>
          <w:sz w:val="24"/>
          <w:szCs w:val="24"/>
        </w:rPr>
        <w:t xml:space="preserve"> sygdomme.</w:t>
      </w:r>
    </w:p>
    <w:p w:rsidR="00146E14" w:rsidRPr="00102092" w:rsidRDefault="00146E14" w:rsidP="00102092">
      <w:pPr>
        <w:numPr>
          <w:ilvl w:val="0"/>
          <w:numId w:val="17"/>
        </w:numPr>
        <w:ind w:left="1208" w:hanging="357"/>
        <w:rPr>
          <w:sz w:val="24"/>
          <w:szCs w:val="24"/>
        </w:rPr>
      </w:pPr>
      <w:proofErr w:type="spellStart"/>
      <w:r w:rsidRPr="00102092">
        <w:rPr>
          <w:sz w:val="24"/>
          <w:szCs w:val="24"/>
        </w:rPr>
        <w:t>Iatrogen</w:t>
      </w:r>
      <w:proofErr w:type="spellEnd"/>
      <w:r w:rsidRPr="00102092">
        <w:rPr>
          <w:sz w:val="24"/>
          <w:szCs w:val="24"/>
        </w:rPr>
        <w:t xml:space="preserve"> </w:t>
      </w:r>
      <w:proofErr w:type="spellStart"/>
      <w:r w:rsidRPr="00102092">
        <w:rPr>
          <w:sz w:val="24"/>
          <w:szCs w:val="24"/>
        </w:rPr>
        <w:t>hyperchloræmisk</w:t>
      </w:r>
      <w:proofErr w:type="spellEnd"/>
      <w:r w:rsidRPr="00102092">
        <w:rPr>
          <w:sz w:val="24"/>
          <w:szCs w:val="24"/>
        </w:rPr>
        <w:t xml:space="preserve"> metabolisk </w:t>
      </w:r>
      <w:proofErr w:type="spellStart"/>
      <w:r w:rsidRPr="00102092">
        <w:rPr>
          <w:sz w:val="24"/>
          <w:szCs w:val="24"/>
        </w:rPr>
        <w:t>acidose</w:t>
      </w:r>
      <w:proofErr w:type="spellEnd"/>
      <w:r w:rsidRPr="00102092">
        <w:rPr>
          <w:sz w:val="24"/>
          <w:szCs w:val="24"/>
        </w:rPr>
        <w:t xml:space="preserve"> (f.eks. under intravenøs volumengenoprettelse)  </w:t>
      </w:r>
    </w:p>
    <w:p w:rsidR="00146E14" w:rsidRPr="00102092" w:rsidRDefault="00146E14" w:rsidP="00102092">
      <w:pPr>
        <w:numPr>
          <w:ilvl w:val="0"/>
          <w:numId w:val="17"/>
        </w:numPr>
        <w:ind w:left="1208" w:hanging="357"/>
        <w:rPr>
          <w:sz w:val="24"/>
          <w:szCs w:val="24"/>
        </w:rPr>
      </w:pPr>
      <w:r w:rsidRPr="00102092">
        <w:rPr>
          <w:sz w:val="24"/>
          <w:szCs w:val="24"/>
        </w:rPr>
        <w:t>Tilstande, som kan medføre natriumretention, væskeoverbelastning og ødem (central og perifer), så som patienter med</w:t>
      </w:r>
    </w:p>
    <w:p w:rsidR="00146E14" w:rsidRPr="00102092" w:rsidRDefault="00146E14" w:rsidP="00102092">
      <w:pPr>
        <w:numPr>
          <w:ilvl w:val="0"/>
          <w:numId w:val="19"/>
        </w:numPr>
        <w:ind w:hanging="288"/>
        <w:rPr>
          <w:sz w:val="24"/>
          <w:szCs w:val="24"/>
        </w:rPr>
      </w:pPr>
      <w:r w:rsidRPr="00102092">
        <w:rPr>
          <w:sz w:val="24"/>
          <w:szCs w:val="24"/>
        </w:rPr>
        <w:t xml:space="preserve">primær </w:t>
      </w:r>
      <w:proofErr w:type="spellStart"/>
      <w:r w:rsidRPr="00102092">
        <w:rPr>
          <w:sz w:val="24"/>
          <w:szCs w:val="24"/>
        </w:rPr>
        <w:t>hyperaldosteronisme</w:t>
      </w:r>
      <w:proofErr w:type="spellEnd"/>
    </w:p>
    <w:p w:rsidR="00146E14" w:rsidRPr="00102092" w:rsidRDefault="00146E14" w:rsidP="00102092">
      <w:pPr>
        <w:numPr>
          <w:ilvl w:val="0"/>
          <w:numId w:val="19"/>
        </w:numPr>
        <w:ind w:hanging="288"/>
        <w:rPr>
          <w:sz w:val="24"/>
          <w:szCs w:val="24"/>
        </w:rPr>
      </w:pPr>
      <w:r w:rsidRPr="00102092">
        <w:rPr>
          <w:sz w:val="24"/>
          <w:szCs w:val="24"/>
        </w:rPr>
        <w:t xml:space="preserve">sekundær </w:t>
      </w:r>
      <w:proofErr w:type="spellStart"/>
      <w:r w:rsidRPr="00102092">
        <w:rPr>
          <w:sz w:val="24"/>
          <w:szCs w:val="24"/>
        </w:rPr>
        <w:t>hyperaldosteronisme</w:t>
      </w:r>
      <w:proofErr w:type="spellEnd"/>
      <w:r w:rsidRPr="00102092">
        <w:rPr>
          <w:sz w:val="24"/>
          <w:szCs w:val="24"/>
        </w:rPr>
        <w:t>, associeret med, for eksempel</w:t>
      </w:r>
    </w:p>
    <w:p w:rsidR="00146E14" w:rsidRPr="00102092" w:rsidRDefault="00146E14" w:rsidP="00102092">
      <w:pPr>
        <w:numPr>
          <w:ilvl w:val="0"/>
          <w:numId w:val="18"/>
        </w:numPr>
        <w:tabs>
          <w:tab w:val="left" w:pos="1800"/>
        </w:tabs>
        <w:ind w:firstLine="240"/>
        <w:rPr>
          <w:sz w:val="24"/>
          <w:szCs w:val="24"/>
        </w:rPr>
      </w:pPr>
      <w:r w:rsidRPr="00102092">
        <w:rPr>
          <w:sz w:val="24"/>
          <w:szCs w:val="24"/>
        </w:rPr>
        <w:t>hypertension</w:t>
      </w:r>
    </w:p>
    <w:p w:rsidR="00146E14" w:rsidRPr="00102092" w:rsidRDefault="00146E14" w:rsidP="00102092">
      <w:pPr>
        <w:numPr>
          <w:ilvl w:val="0"/>
          <w:numId w:val="18"/>
        </w:numPr>
        <w:tabs>
          <w:tab w:val="left" w:pos="1800"/>
        </w:tabs>
        <w:ind w:firstLine="240"/>
        <w:rPr>
          <w:sz w:val="24"/>
          <w:szCs w:val="24"/>
        </w:rPr>
      </w:pPr>
      <w:r w:rsidRPr="00102092">
        <w:rPr>
          <w:sz w:val="24"/>
          <w:szCs w:val="24"/>
        </w:rPr>
        <w:t>kongestiv hjertefejl</w:t>
      </w:r>
    </w:p>
    <w:p w:rsidR="00146E14" w:rsidRPr="00102092" w:rsidRDefault="00146E14" w:rsidP="00102092">
      <w:pPr>
        <w:numPr>
          <w:ilvl w:val="0"/>
          <w:numId w:val="18"/>
        </w:numPr>
        <w:tabs>
          <w:tab w:val="left" w:pos="1800"/>
        </w:tabs>
        <w:ind w:firstLine="240"/>
        <w:rPr>
          <w:sz w:val="24"/>
          <w:szCs w:val="24"/>
        </w:rPr>
      </w:pPr>
      <w:r w:rsidRPr="00102092">
        <w:rPr>
          <w:sz w:val="24"/>
          <w:szCs w:val="24"/>
        </w:rPr>
        <w:t xml:space="preserve">leversygdom (herunder </w:t>
      </w:r>
      <w:proofErr w:type="spellStart"/>
      <w:r w:rsidRPr="00102092">
        <w:rPr>
          <w:sz w:val="24"/>
          <w:szCs w:val="24"/>
        </w:rPr>
        <w:t>cirrhose</w:t>
      </w:r>
      <w:proofErr w:type="spellEnd"/>
      <w:r w:rsidRPr="00102092">
        <w:rPr>
          <w:sz w:val="24"/>
          <w:szCs w:val="24"/>
        </w:rPr>
        <w:t>)</w:t>
      </w:r>
    </w:p>
    <w:p w:rsidR="00146E14" w:rsidRPr="00102092" w:rsidRDefault="00146E14" w:rsidP="00102092">
      <w:pPr>
        <w:numPr>
          <w:ilvl w:val="0"/>
          <w:numId w:val="18"/>
        </w:numPr>
        <w:tabs>
          <w:tab w:val="left" w:pos="1800"/>
        </w:tabs>
        <w:ind w:firstLine="240"/>
        <w:rPr>
          <w:sz w:val="24"/>
          <w:szCs w:val="24"/>
        </w:rPr>
      </w:pPr>
      <w:r w:rsidRPr="00102092">
        <w:rPr>
          <w:sz w:val="24"/>
          <w:szCs w:val="24"/>
        </w:rPr>
        <w:t xml:space="preserve">nyresygdom (herunder </w:t>
      </w:r>
      <w:proofErr w:type="spellStart"/>
      <w:r w:rsidRPr="00102092">
        <w:rPr>
          <w:sz w:val="24"/>
          <w:szCs w:val="24"/>
        </w:rPr>
        <w:t>renal</w:t>
      </w:r>
      <w:proofErr w:type="spellEnd"/>
      <w:r w:rsidRPr="00102092">
        <w:rPr>
          <w:sz w:val="24"/>
          <w:szCs w:val="24"/>
        </w:rPr>
        <w:t xml:space="preserve"> arterie stenose, </w:t>
      </w:r>
      <w:proofErr w:type="spellStart"/>
      <w:r w:rsidRPr="00102092">
        <w:rPr>
          <w:sz w:val="24"/>
          <w:szCs w:val="24"/>
        </w:rPr>
        <w:t>nefrosclerose</w:t>
      </w:r>
      <w:proofErr w:type="spellEnd"/>
      <w:r w:rsidRPr="00102092">
        <w:rPr>
          <w:sz w:val="24"/>
          <w:szCs w:val="24"/>
        </w:rPr>
        <w:t xml:space="preserve">) eller </w:t>
      </w:r>
      <w:proofErr w:type="spellStart"/>
      <w:r w:rsidRPr="00102092">
        <w:rPr>
          <w:sz w:val="24"/>
          <w:szCs w:val="24"/>
        </w:rPr>
        <w:t>præeklampsi</w:t>
      </w:r>
      <w:proofErr w:type="spellEnd"/>
    </w:p>
    <w:p w:rsidR="00146E14" w:rsidRPr="00102092" w:rsidRDefault="00146E14" w:rsidP="00102092">
      <w:pPr>
        <w:numPr>
          <w:ilvl w:val="0"/>
          <w:numId w:val="18"/>
        </w:numPr>
        <w:tabs>
          <w:tab w:val="left" w:pos="1260"/>
        </w:tabs>
        <w:ind w:left="1260"/>
        <w:rPr>
          <w:sz w:val="24"/>
          <w:szCs w:val="24"/>
        </w:rPr>
      </w:pPr>
      <w:r w:rsidRPr="00102092">
        <w:rPr>
          <w:sz w:val="24"/>
          <w:szCs w:val="24"/>
        </w:rPr>
        <w:t xml:space="preserve">Lægemidler, som kan øge risikoen for natrium- eller væskeretention, som f.eks. </w:t>
      </w:r>
      <w:proofErr w:type="spellStart"/>
      <w:r w:rsidRPr="00102092">
        <w:rPr>
          <w:sz w:val="24"/>
          <w:szCs w:val="24"/>
        </w:rPr>
        <w:t>kortikosteroider</w:t>
      </w:r>
      <w:proofErr w:type="spellEnd"/>
      <w:r w:rsidRPr="00102092">
        <w:rPr>
          <w:sz w:val="24"/>
          <w:szCs w:val="24"/>
        </w:rPr>
        <w:t>.</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i/>
          <w:sz w:val="24"/>
          <w:szCs w:val="24"/>
        </w:rPr>
        <w:t>Infusionsreaktioner</w:t>
      </w:r>
    </w:p>
    <w:p w:rsidR="00146E14" w:rsidRPr="00102092" w:rsidRDefault="00146E14" w:rsidP="00102092">
      <w:pPr>
        <w:ind w:left="851"/>
        <w:rPr>
          <w:sz w:val="24"/>
          <w:szCs w:val="24"/>
        </w:rPr>
      </w:pPr>
      <w:r w:rsidRPr="00102092">
        <w:rPr>
          <w:sz w:val="24"/>
          <w:szCs w:val="24"/>
        </w:rPr>
        <w:t xml:space="preserve">Symptomer af ukendt ætiologi, som kan synes at være hypersensitivitetsreaktioner, er blevet rapporteret meget sjældent i forbindelse med infusion af </w:t>
      </w:r>
      <w:proofErr w:type="spellStart"/>
      <w:r w:rsidRPr="00102092">
        <w:rPr>
          <w:sz w:val="24"/>
          <w:szCs w:val="24"/>
        </w:rPr>
        <w:t>natriumchlorid</w:t>
      </w:r>
      <w:proofErr w:type="spellEnd"/>
      <w:r w:rsidRPr="00102092">
        <w:rPr>
          <w:sz w:val="24"/>
          <w:szCs w:val="24"/>
        </w:rPr>
        <w:t xml:space="preserve"> 9 mg/ml. Disse er blevet karakteriseret som hypotension, </w:t>
      </w:r>
      <w:proofErr w:type="spellStart"/>
      <w:r w:rsidRPr="00102092">
        <w:rPr>
          <w:sz w:val="24"/>
          <w:szCs w:val="24"/>
        </w:rPr>
        <w:t>pyreksi</w:t>
      </w:r>
      <w:proofErr w:type="spellEnd"/>
      <w:r w:rsidRPr="00102092">
        <w:rPr>
          <w:sz w:val="24"/>
          <w:szCs w:val="24"/>
        </w:rPr>
        <w:t xml:space="preserve">, </w:t>
      </w:r>
      <w:proofErr w:type="spellStart"/>
      <w:r w:rsidRPr="00102092">
        <w:rPr>
          <w:sz w:val="24"/>
          <w:szCs w:val="24"/>
        </w:rPr>
        <w:t>tremor</w:t>
      </w:r>
      <w:proofErr w:type="spellEnd"/>
      <w:r w:rsidRPr="00102092">
        <w:rPr>
          <w:sz w:val="24"/>
          <w:szCs w:val="24"/>
        </w:rPr>
        <w:t xml:space="preserve">, kuldegysninger, </w:t>
      </w:r>
      <w:proofErr w:type="spellStart"/>
      <w:r w:rsidRPr="00102092">
        <w:rPr>
          <w:sz w:val="24"/>
          <w:szCs w:val="24"/>
        </w:rPr>
        <w:t>urticaria</w:t>
      </w:r>
      <w:proofErr w:type="spellEnd"/>
      <w:r w:rsidRPr="00102092">
        <w:rPr>
          <w:sz w:val="24"/>
          <w:szCs w:val="24"/>
        </w:rPr>
        <w:t xml:space="preserve">, udslæt og </w:t>
      </w:r>
      <w:proofErr w:type="spellStart"/>
      <w:r w:rsidRPr="00102092">
        <w:rPr>
          <w:sz w:val="24"/>
          <w:szCs w:val="24"/>
        </w:rPr>
        <w:t>pruritus</w:t>
      </w:r>
      <w:proofErr w:type="spellEnd"/>
      <w:r w:rsidRPr="00102092">
        <w:rPr>
          <w:sz w:val="24"/>
          <w:szCs w:val="24"/>
        </w:rPr>
        <w:t>. Stop infusionen omgående, hvis tegn eller symptomer på disse reaktioner opstår. Passende behandlingstiltag bør iværksættes som klinisk indiceret.</w:t>
      </w:r>
    </w:p>
    <w:p w:rsidR="00146E14" w:rsidRPr="00102092" w:rsidRDefault="00146E14" w:rsidP="00102092">
      <w:pPr>
        <w:ind w:left="851"/>
        <w:rPr>
          <w:sz w:val="24"/>
          <w:szCs w:val="24"/>
        </w:rPr>
      </w:pPr>
    </w:p>
    <w:p w:rsidR="00146E14" w:rsidRPr="00102092" w:rsidRDefault="00146E14" w:rsidP="00102092">
      <w:pPr>
        <w:ind w:left="851"/>
        <w:rPr>
          <w:b/>
          <w:sz w:val="24"/>
          <w:szCs w:val="24"/>
        </w:rPr>
      </w:pPr>
      <w:r w:rsidRPr="00102092">
        <w:rPr>
          <w:b/>
          <w:sz w:val="24"/>
          <w:szCs w:val="24"/>
        </w:rPr>
        <w:t>Specielle patientgrupper</w:t>
      </w:r>
    </w:p>
    <w:p w:rsidR="00146E14" w:rsidRPr="00102092" w:rsidRDefault="00146E14" w:rsidP="00102092">
      <w:pPr>
        <w:ind w:left="851"/>
        <w:rPr>
          <w:sz w:val="24"/>
          <w:szCs w:val="24"/>
        </w:rPr>
      </w:pPr>
      <w:r w:rsidRPr="00102092">
        <w:rPr>
          <w:sz w:val="24"/>
          <w:szCs w:val="24"/>
        </w:rPr>
        <w:t xml:space="preserve">Den behandlende læge bør have erfaring med dette produkts brug og sikkerhed i disse specielle populationer, som er særligt følsomme over for hurtige ændringer af natriumniveauet i serum. </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Hurtig korrektion af </w:t>
      </w:r>
      <w:proofErr w:type="spellStart"/>
      <w:r w:rsidRPr="00102092">
        <w:rPr>
          <w:sz w:val="24"/>
          <w:szCs w:val="24"/>
        </w:rPr>
        <w:t>hyponatriæmi</w:t>
      </w:r>
      <w:proofErr w:type="spellEnd"/>
      <w:r w:rsidRPr="00102092">
        <w:rPr>
          <w:sz w:val="24"/>
          <w:szCs w:val="24"/>
        </w:rPr>
        <w:t xml:space="preserve"> og </w:t>
      </w:r>
      <w:proofErr w:type="spellStart"/>
      <w:r w:rsidRPr="00102092">
        <w:rPr>
          <w:sz w:val="24"/>
          <w:szCs w:val="24"/>
        </w:rPr>
        <w:t>hypernatriæmi</w:t>
      </w:r>
      <w:proofErr w:type="spellEnd"/>
      <w:r w:rsidRPr="00102092">
        <w:rPr>
          <w:sz w:val="24"/>
          <w:szCs w:val="24"/>
        </w:rPr>
        <w:t xml:space="preserve"> er potentielt farligt (risiko for alvorlige neurologiske komplikationer). Se </w:t>
      </w:r>
      <w:r w:rsidR="00D75521">
        <w:rPr>
          <w:sz w:val="24"/>
          <w:szCs w:val="24"/>
        </w:rPr>
        <w:t>"</w:t>
      </w:r>
      <w:proofErr w:type="spellStart"/>
      <w:r w:rsidRPr="00102092">
        <w:rPr>
          <w:i/>
          <w:sz w:val="24"/>
          <w:szCs w:val="24"/>
        </w:rPr>
        <w:t>hyponatriæmi</w:t>
      </w:r>
      <w:proofErr w:type="spellEnd"/>
      <w:r w:rsidRPr="00102092">
        <w:rPr>
          <w:i/>
          <w:sz w:val="24"/>
          <w:szCs w:val="24"/>
        </w:rPr>
        <w:t>/</w:t>
      </w:r>
      <w:proofErr w:type="spellStart"/>
      <w:r w:rsidRPr="00102092">
        <w:rPr>
          <w:i/>
          <w:sz w:val="24"/>
          <w:szCs w:val="24"/>
        </w:rPr>
        <w:t>hypernatriæmi</w:t>
      </w:r>
      <w:proofErr w:type="spellEnd"/>
      <w:r w:rsidR="00D75521">
        <w:rPr>
          <w:i/>
          <w:sz w:val="24"/>
          <w:szCs w:val="24"/>
        </w:rPr>
        <w:t>"</w:t>
      </w:r>
      <w:r w:rsidRPr="00102092">
        <w:rPr>
          <w:sz w:val="24"/>
          <w:szCs w:val="24"/>
        </w:rPr>
        <w:t xml:space="preserve"> ovenfor. </w:t>
      </w:r>
    </w:p>
    <w:p w:rsidR="00146E14" w:rsidRPr="00102092" w:rsidRDefault="00146E14" w:rsidP="00102092">
      <w:pPr>
        <w:ind w:left="851"/>
        <w:rPr>
          <w:sz w:val="24"/>
          <w:szCs w:val="24"/>
        </w:rPr>
      </w:pPr>
    </w:p>
    <w:p w:rsidR="00146E14" w:rsidRPr="00102092" w:rsidRDefault="00146E14" w:rsidP="00102092">
      <w:pPr>
        <w:ind w:left="840"/>
        <w:rPr>
          <w:i/>
          <w:sz w:val="24"/>
          <w:szCs w:val="24"/>
        </w:rPr>
      </w:pPr>
      <w:r w:rsidRPr="00102092">
        <w:rPr>
          <w:i/>
          <w:sz w:val="24"/>
          <w:szCs w:val="24"/>
        </w:rPr>
        <w:t>Pædiatrisk population</w:t>
      </w:r>
    </w:p>
    <w:p w:rsidR="00146E14" w:rsidRPr="00102092" w:rsidRDefault="00146E14" w:rsidP="00102092">
      <w:pPr>
        <w:ind w:left="840"/>
        <w:rPr>
          <w:sz w:val="24"/>
          <w:szCs w:val="24"/>
        </w:rPr>
      </w:pPr>
      <w:r w:rsidRPr="00102092">
        <w:rPr>
          <w:sz w:val="24"/>
          <w:szCs w:val="24"/>
        </w:rPr>
        <w:t xml:space="preserve">Plasmaelektrolytkoncentrationerne skal overvåges nøje hos den pædiatriske population, da de har nedsat evne til at regulere væske og elektrolytter. Til denne patientgruppe bør der </w:t>
      </w:r>
      <w:r w:rsidRPr="00102092">
        <w:rPr>
          <w:sz w:val="24"/>
          <w:szCs w:val="24"/>
        </w:rPr>
        <w:lastRenderedPageBreak/>
        <w:t xml:space="preserve">derfor kun gives gentagne infusioner af </w:t>
      </w:r>
      <w:proofErr w:type="spellStart"/>
      <w:r w:rsidRPr="00102092">
        <w:rPr>
          <w:sz w:val="24"/>
          <w:szCs w:val="24"/>
        </w:rPr>
        <w:t>natriumchlorid</w:t>
      </w:r>
      <w:proofErr w:type="spellEnd"/>
      <w:r w:rsidRPr="00102092">
        <w:rPr>
          <w:sz w:val="24"/>
          <w:szCs w:val="24"/>
        </w:rPr>
        <w:t xml:space="preserve"> efter bestemmelse af natriumniveauet i serum.</w:t>
      </w:r>
    </w:p>
    <w:p w:rsidR="00146E14" w:rsidRPr="00102092" w:rsidRDefault="00146E14" w:rsidP="00102092">
      <w:pPr>
        <w:ind w:left="840"/>
        <w:rPr>
          <w:sz w:val="24"/>
          <w:szCs w:val="24"/>
        </w:rPr>
      </w:pPr>
    </w:p>
    <w:p w:rsidR="00146E14" w:rsidRPr="00102092" w:rsidRDefault="00146E14" w:rsidP="00102092">
      <w:pPr>
        <w:ind w:left="840"/>
        <w:rPr>
          <w:i/>
          <w:sz w:val="24"/>
          <w:szCs w:val="24"/>
        </w:rPr>
      </w:pPr>
      <w:r w:rsidRPr="00102092">
        <w:rPr>
          <w:i/>
          <w:sz w:val="24"/>
          <w:szCs w:val="24"/>
        </w:rPr>
        <w:t>Geriatrisk population</w:t>
      </w:r>
    </w:p>
    <w:p w:rsidR="00146E14" w:rsidRPr="00102092" w:rsidRDefault="00146E14" w:rsidP="00102092">
      <w:pPr>
        <w:ind w:left="840"/>
        <w:rPr>
          <w:sz w:val="24"/>
          <w:szCs w:val="24"/>
        </w:rPr>
      </w:pPr>
      <w:r w:rsidRPr="00102092">
        <w:rPr>
          <w:sz w:val="24"/>
          <w:szCs w:val="24"/>
        </w:rPr>
        <w:t>Ved valg af infusionsopløsning og volumen/infusionshastighed til en geriatrisk patient, skal det tages i betragtning, at geriatriske patienter generelt har større sandsynlighed for hjerte-, nyre-, lever-, og andre sygdomme eller modtager samtidig behandling med andre lægemidler.</w:t>
      </w:r>
    </w:p>
    <w:p w:rsidR="00146E14" w:rsidRPr="00102092" w:rsidRDefault="00146E14" w:rsidP="00102092">
      <w:pPr>
        <w:rPr>
          <w:sz w:val="24"/>
          <w:szCs w:val="24"/>
        </w:rPr>
      </w:pPr>
    </w:p>
    <w:p w:rsidR="00146E14" w:rsidRPr="00102092" w:rsidRDefault="00146E14" w:rsidP="00102092">
      <w:pPr>
        <w:ind w:left="851"/>
        <w:rPr>
          <w:sz w:val="24"/>
          <w:szCs w:val="24"/>
        </w:rPr>
      </w:pPr>
      <w:r w:rsidRPr="00102092">
        <w:rPr>
          <w:sz w:val="24"/>
          <w:szCs w:val="24"/>
        </w:rPr>
        <w:t>Se pkt. 6.6 for information om klargøring af produktet og additiver.</w:t>
      </w:r>
    </w:p>
    <w:p w:rsidR="00146E14" w:rsidRPr="00102092" w:rsidRDefault="00146E14" w:rsidP="00102092">
      <w:pPr>
        <w:tabs>
          <w:tab w:val="left" w:pos="851"/>
        </w:tabs>
        <w:rPr>
          <w:sz w:val="24"/>
          <w:szCs w:val="24"/>
        </w:rPr>
      </w:pPr>
    </w:p>
    <w:p w:rsidR="00A46287" w:rsidRPr="00102092" w:rsidRDefault="00A46287" w:rsidP="00102092">
      <w:pPr>
        <w:tabs>
          <w:tab w:val="left" w:pos="851"/>
        </w:tabs>
        <w:ind w:left="851" w:hanging="851"/>
        <w:rPr>
          <w:b/>
          <w:sz w:val="24"/>
          <w:szCs w:val="24"/>
        </w:rPr>
      </w:pPr>
      <w:r w:rsidRPr="00102092">
        <w:rPr>
          <w:b/>
          <w:sz w:val="24"/>
          <w:szCs w:val="24"/>
        </w:rPr>
        <w:t>4.5</w:t>
      </w:r>
      <w:r w:rsidRPr="00102092">
        <w:rPr>
          <w:b/>
          <w:sz w:val="24"/>
          <w:szCs w:val="24"/>
        </w:rPr>
        <w:tab/>
        <w:t>Interaktion med andre lægemidler og andre former for interaktion</w:t>
      </w:r>
    </w:p>
    <w:p w:rsidR="00146E14" w:rsidRPr="00102092" w:rsidRDefault="00146E14" w:rsidP="00102092">
      <w:pPr>
        <w:tabs>
          <w:tab w:val="left" w:pos="851"/>
        </w:tabs>
        <w:ind w:left="855"/>
        <w:rPr>
          <w:i/>
          <w:sz w:val="24"/>
          <w:szCs w:val="24"/>
        </w:rPr>
      </w:pPr>
      <w:r w:rsidRPr="00102092">
        <w:rPr>
          <w:i/>
          <w:sz w:val="24"/>
          <w:szCs w:val="24"/>
        </w:rPr>
        <w:t xml:space="preserve">Lægemidler, der medfører en øget </w:t>
      </w:r>
      <w:proofErr w:type="spellStart"/>
      <w:r w:rsidRPr="00102092">
        <w:rPr>
          <w:i/>
          <w:sz w:val="24"/>
          <w:szCs w:val="24"/>
        </w:rPr>
        <w:t>vasopressineffekt</w:t>
      </w:r>
      <w:proofErr w:type="spellEnd"/>
    </w:p>
    <w:p w:rsidR="00146E14" w:rsidRPr="00102092" w:rsidRDefault="00146E14" w:rsidP="00102092">
      <w:pPr>
        <w:tabs>
          <w:tab w:val="left" w:pos="851"/>
        </w:tabs>
        <w:ind w:left="851" w:hanging="851"/>
        <w:rPr>
          <w:sz w:val="24"/>
          <w:szCs w:val="24"/>
        </w:rPr>
      </w:pPr>
      <w:r w:rsidRPr="00102092">
        <w:rPr>
          <w:sz w:val="24"/>
          <w:szCs w:val="24"/>
        </w:rPr>
        <w:tab/>
        <w:t xml:space="preserve">Nedenstående lægemidler øger </w:t>
      </w:r>
      <w:proofErr w:type="spellStart"/>
      <w:r w:rsidRPr="00102092">
        <w:rPr>
          <w:sz w:val="24"/>
          <w:szCs w:val="24"/>
        </w:rPr>
        <w:t>vasopressineffekten</w:t>
      </w:r>
      <w:proofErr w:type="spellEnd"/>
      <w:r w:rsidRPr="00102092">
        <w:rPr>
          <w:sz w:val="24"/>
          <w:szCs w:val="24"/>
        </w:rPr>
        <w:t xml:space="preserve">, hvilket fører til nedsat elektrolytfri vandafgivelse fra nyrerne og kan øge risikoen for hospitalserhvervet </w:t>
      </w:r>
      <w:proofErr w:type="spellStart"/>
      <w:r w:rsidRPr="00102092">
        <w:rPr>
          <w:sz w:val="24"/>
          <w:szCs w:val="24"/>
        </w:rPr>
        <w:t>hyponatriæmi</w:t>
      </w:r>
      <w:proofErr w:type="spellEnd"/>
      <w:r w:rsidRPr="00102092">
        <w:rPr>
          <w:sz w:val="24"/>
          <w:szCs w:val="24"/>
        </w:rPr>
        <w:t xml:space="preserve"> efter en uhensigtsmæssigt balanceret behandling med intravenøse væsker (se pkt. 4.2, 4.4. og 4.8).</w:t>
      </w:r>
    </w:p>
    <w:p w:rsidR="00146E14" w:rsidRPr="00102092" w:rsidRDefault="00146E14" w:rsidP="00221299">
      <w:pPr>
        <w:numPr>
          <w:ilvl w:val="0"/>
          <w:numId w:val="20"/>
        </w:numPr>
        <w:tabs>
          <w:tab w:val="left" w:pos="851"/>
        </w:tabs>
        <w:ind w:left="1276" w:hanging="425"/>
        <w:rPr>
          <w:sz w:val="24"/>
          <w:szCs w:val="24"/>
        </w:rPr>
      </w:pPr>
      <w:r w:rsidRPr="00102092">
        <w:rPr>
          <w:sz w:val="24"/>
          <w:szCs w:val="24"/>
        </w:rPr>
        <w:t xml:space="preserve">Lægemidler, der stimulerer frigivelsen af </w:t>
      </w:r>
      <w:proofErr w:type="spellStart"/>
      <w:r w:rsidRPr="00102092">
        <w:rPr>
          <w:sz w:val="24"/>
          <w:szCs w:val="24"/>
        </w:rPr>
        <w:t>vasopressin</w:t>
      </w:r>
      <w:proofErr w:type="spellEnd"/>
      <w:r w:rsidRPr="00102092">
        <w:rPr>
          <w:sz w:val="24"/>
          <w:szCs w:val="24"/>
        </w:rPr>
        <w:t xml:space="preserve">, omfatter: </w:t>
      </w:r>
      <w:proofErr w:type="spellStart"/>
      <w:r w:rsidRPr="00102092">
        <w:rPr>
          <w:sz w:val="24"/>
          <w:szCs w:val="24"/>
        </w:rPr>
        <w:t>Chlorpropamid</w:t>
      </w:r>
      <w:proofErr w:type="spellEnd"/>
      <w:r w:rsidRPr="00102092">
        <w:rPr>
          <w:sz w:val="24"/>
          <w:szCs w:val="24"/>
        </w:rPr>
        <w:t xml:space="preserve">, </w:t>
      </w:r>
      <w:proofErr w:type="spellStart"/>
      <w:r w:rsidRPr="00102092">
        <w:rPr>
          <w:sz w:val="24"/>
          <w:szCs w:val="24"/>
        </w:rPr>
        <w:t>clofibrat</w:t>
      </w:r>
      <w:proofErr w:type="spellEnd"/>
      <w:r w:rsidRPr="00102092">
        <w:rPr>
          <w:sz w:val="24"/>
          <w:szCs w:val="24"/>
        </w:rPr>
        <w:t xml:space="preserve">, </w:t>
      </w:r>
      <w:proofErr w:type="spellStart"/>
      <w:r w:rsidRPr="00102092">
        <w:rPr>
          <w:sz w:val="24"/>
          <w:szCs w:val="24"/>
        </w:rPr>
        <w:t>carbamazepin</w:t>
      </w:r>
      <w:proofErr w:type="spellEnd"/>
      <w:r w:rsidRPr="00102092">
        <w:rPr>
          <w:sz w:val="24"/>
          <w:szCs w:val="24"/>
        </w:rPr>
        <w:t xml:space="preserve">, </w:t>
      </w:r>
      <w:proofErr w:type="spellStart"/>
      <w:r w:rsidRPr="00102092">
        <w:rPr>
          <w:sz w:val="24"/>
          <w:szCs w:val="24"/>
        </w:rPr>
        <w:t>vincristin</w:t>
      </w:r>
      <w:proofErr w:type="spellEnd"/>
      <w:r w:rsidRPr="00102092">
        <w:rPr>
          <w:sz w:val="24"/>
          <w:szCs w:val="24"/>
        </w:rPr>
        <w:t xml:space="preserve">, selektive </w:t>
      </w:r>
      <w:proofErr w:type="spellStart"/>
      <w:r w:rsidRPr="00102092">
        <w:rPr>
          <w:sz w:val="24"/>
          <w:szCs w:val="24"/>
        </w:rPr>
        <w:t>serotoningenoptagelseshæmmere</w:t>
      </w:r>
      <w:proofErr w:type="spellEnd"/>
      <w:r w:rsidRPr="00102092">
        <w:rPr>
          <w:sz w:val="24"/>
          <w:szCs w:val="24"/>
        </w:rPr>
        <w:t xml:space="preserve">, 3,4-methylendioxy-N-metamfetamin, </w:t>
      </w:r>
      <w:proofErr w:type="spellStart"/>
      <w:r w:rsidRPr="00102092">
        <w:rPr>
          <w:sz w:val="24"/>
          <w:szCs w:val="24"/>
        </w:rPr>
        <w:t>ifosfamid</w:t>
      </w:r>
      <w:proofErr w:type="spellEnd"/>
      <w:r w:rsidRPr="00102092">
        <w:rPr>
          <w:sz w:val="24"/>
          <w:szCs w:val="24"/>
        </w:rPr>
        <w:t>, antipsykotika, narkotika</w:t>
      </w:r>
    </w:p>
    <w:p w:rsidR="00146E14" w:rsidRPr="00102092" w:rsidRDefault="00146E14" w:rsidP="00221299">
      <w:pPr>
        <w:numPr>
          <w:ilvl w:val="0"/>
          <w:numId w:val="20"/>
        </w:numPr>
        <w:tabs>
          <w:tab w:val="left" w:pos="851"/>
        </w:tabs>
        <w:ind w:left="1276" w:hanging="425"/>
        <w:rPr>
          <w:sz w:val="24"/>
          <w:szCs w:val="24"/>
        </w:rPr>
      </w:pPr>
      <w:r w:rsidRPr="00102092">
        <w:rPr>
          <w:sz w:val="24"/>
          <w:szCs w:val="24"/>
        </w:rPr>
        <w:t xml:space="preserve">Lægemidler, der forstærker virkningen af </w:t>
      </w:r>
      <w:proofErr w:type="spellStart"/>
      <w:r w:rsidRPr="00102092">
        <w:rPr>
          <w:sz w:val="24"/>
          <w:szCs w:val="24"/>
        </w:rPr>
        <w:t>vasopressin</w:t>
      </w:r>
      <w:proofErr w:type="spellEnd"/>
      <w:r w:rsidRPr="00102092">
        <w:rPr>
          <w:sz w:val="24"/>
          <w:szCs w:val="24"/>
        </w:rPr>
        <w:t xml:space="preserve">, omfatter: </w:t>
      </w:r>
      <w:proofErr w:type="spellStart"/>
      <w:r w:rsidRPr="00102092">
        <w:rPr>
          <w:sz w:val="24"/>
          <w:szCs w:val="24"/>
        </w:rPr>
        <w:t>Chlorpropamid</w:t>
      </w:r>
      <w:proofErr w:type="spellEnd"/>
      <w:r w:rsidRPr="00102092">
        <w:rPr>
          <w:sz w:val="24"/>
          <w:szCs w:val="24"/>
        </w:rPr>
        <w:t xml:space="preserve">, NSAID, </w:t>
      </w:r>
      <w:proofErr w:type="spellStart"/>
      <w:r w:rsidRPr="00102092">
        <w:rPr>
          <w:sz w:val="24"/>
          <w:szCs w:val="24"/>
        </w:rPr>
        <w:t>cyclophosphamid</w:t>
      </w:r>
      <w:proofErr w:type="spellEnd"/>
    </w:p>
    <w:p w:rsidR="00146E14" w:rsidRPr="00102092" w:rsidRDefault="00146E14" w:rsidP="00221299">
      <w:pPr>
        <w:numPr>
          <w:ilvl w:val="0"/>
          <w:numId w:val="20"/>
        </w:numPr>
        <w:tabs>
          <w:tab w:val="left" w:pos="851"/>
        </w:tabs>
        <w:ind w:left="1276" w:hanging="425"/>
        <w:rPr>
          <w:sz w:val="24"/>
          <w:szCs w:val="24"/>
        </w:rPr>
      </w:pPr>
      <w:proofErr w:type="spellStart"/>
      <w:r w:rsidRPr="00102092">
        <w:rPr>
          <w:sz w:val="24"/>
          <w:szCs w:val="24"/>
        </w:rPr>
        <w:t>Vasopressinanaloger</w:t>
      </w:r>
      <w:proofErr w:type="spellEnd"/>
      <w:r w:rsidRPr="00102092">
        <w:rPr>
          <w:sz w:val="24"/>
          <w:szCs w:val="24"/>
        </w:rPr>
        <w:t xml:space="preserve"> omfatter: </w:t>
      </w:r>
      <w:proofErr w:type="spellStart"/>
      <w:r w:rsidRPr="00102092">
        <w:rPr>
          <w:sz w:val="24"/>
          <w:szCs w:val="24"/>
        </w:rPr>
        <w:t>Desmopressin</w:t>
      </w:r>
      <w:proofErr w:type="spellEnd"/>
      <w:r w:rsidRPr="00102092">
        <w:rPr>
          <w:sz w:val="24"/>
          <w:szCs w:val="24"/>
        </w:rPr>
        <w:t xml:space="preserve">, </w:t>
      </w:r>
      <w:proofErr w:type="spellStart"/>
      <w:r w:rsidRPr="00102092">
        <w:rPr>
          <w:sz w:val="24"/>
          <w:szCs w:val="24"/>
        </w:rPr>
        <w:t>oxytocin</w:t>
      </w:r>
      <w:proofErr w:type="spellEnd"/>
      <w:r w:rsidRPr="00102092">
        <w:rPr>
          <w:sz w:val="24"/>
          <w:szCs w:val="24"/>
        </w:rPr>
        <w:t xml:space="preserve">, </w:t>
      </w:r>
      <w:proofErr w:type="spellStart"/>
      <w:r w:rsidRPr="00102092">
        <w:rPr>
          <w:sz w:val="24"/>
          <w:szCs w:val="24"/>
        </w:rPr>
        <w:t>terlipressin</w:t>
      </w:r>
      <w:proofErr w:type="spellEnd"/>
    </w:p>
    <w:p w:rsidR="00146E14" w:rsidRPr="00102092" w:rsidRDefault="00146E14" w:rsidP="00102092">
      <w:pPr>
        <w:tabs>
          <w:tab w:val="left" w:pos="851"/>
        </w:tabs>
        <w:rPr>
          <w:sz w:val="24"/>
          <w:szCs w:val="24"/>
        </w:rPr>
      </w:pPr>
      <w:r w:rsidRPr="00102092">
        <w:rPr>
          <w:sz w:val="24"/>
          <w:szCs w:val="24"/>
        </w:rPr>
        <w:tab/>
      </w:r>
    </w:p>
    <w:p w:rsidR="00146E14" w:rsidRPr="00102092" w:rsidRDefault="00146E14" w:rsidP="00102092">
      <w:pPr>
        <w:tabs>
          <w:tab w:val="left" w:pos="851"/>
        </w:tabs>
        <w:ind w:left="851"/>
        <w:rPr>
          <w:sz w:val="24"/>
          <w:szCs w:val="24"/>
        </w:rPr>
      </w:pPr>
      <w:r w:rsidRPr="00102092">
        <w:rPr>
          <w:sz w:val="24"/>
          <w:szCs w:val="24"/>
        </w:rPr>
        <w:t xml:space="preserve">Andre lægemidler, der øger risikoen for </w:t>
      </w:r>
      <w:proofErr w:type="spellStart"/>
      <w:r w:rsidRPr="00102092">
        <w:rPr>
          <w:sz w:val="24"/>
          <w:szCs w:val="24"/>
        </w:rPr>
        <w:t>hyponatriæmi</w:t>
      </w:r>
      <w:proofErr w:type="spellEnd"/>
      <w:r w:rsidRPr="00102092">
        <w:rPr>
          <w:sz w:val="24"/>
          <w:szCs w:val="24"/>
        </w:rPr>
        <w:t xml:space="preserve">, omfatter også vanddrivende midler generelt og </w:t>
      </w:r>
      <w:proofErr w:type="spellStart"/>
      <w:r w:rsidRPr="00102092">
        <w:rPr>
          <w:sz w:val="24"/>
          <w:szCs w:val="24"/>
        </w:rPr>
        <w:t>antiepileptika</w:t>
      </w:r>
      <w:proofErr w:type="spellEnd"/>
      <w:r w:rsidRPr="00102092">
        <w:rPr>
          <w:sz w:val="24"/>
          <w:szCs w:val="24"/>
        </w:rPr>
        <w:t xml:space="preserve"> såsom </w:t>
      </w:r>
      <w:proofErr w:type="spellStart"/>
      <w:r w:rsidRPr="00102092">
        <w:rPr>
          <w:sz w:val="24"/>
          <w:szCs w:val="24"/>
        </w:rPr>
        <w:t>oxcarbazepin</w:t>
      </w:r>
      <w:proofErr w:type="spellEnd"/>
      <w:r w:rsidRPr="00102092">
        <w:rPr>
          <w:sz w:val="24"/>
          <w:szCs w:val="24"/>
        </w:rPr>
        <w:t>.</w:t>
      </w:r>
    </w:p>
    <w:p w:rsidR="00146E14" w:rsidRPr="00102092" w:rsidRDefault="00146E14" w:rsidP="00102092">
      <w:pPr>
        <w:tabs>
          <w:tab w:val="left" w:pos="851"/>
        </w:tabs>
        <w:ind w:left="851" w:hanging="851"/>
        <w:rPr>
          <w:sz w:val="24"/>
          <w:szCs w:val="24"/>
        </w:rPr>
      </w:pPr>
    </w:p>
    <w:p w:rsidR="00146E14" w:rsidRPr="00102092" w:rsidRDefault="00146E14" w:rsidP="00102092">
      <w:pPr>
        <w:tabs>
          <w:tab w:val="left" w:pos="851"/>
        </w:tabs>
        <w:ind w:left="851" w:hanging="851"/>
        <w:rPr>
          <w:sz w:val="24"/>
          <w:szCs w:val="24"/>
        </w:rPr>
      </w:pPr>
      <w:r w:rsidRPr="00102092">
        <w:rPr>
          <w:sz w:val="24"/>
          <w:szCs w:val="24"/>
        </w:rPr>
        <w:tab/>
        <w:t xml:space="preserve">Forsigtighed skal udvises hos patienter, der behandles med </w:t>
      </w:r>
      <w:proofErr w:type="spellStart"/>
      <w:r w:rsidRPr="00102092">
        <w:rPr>
          <w:sz w:val="24"/>
          <w:szCs w:val="24"/>
        </w:rPr>
        <w:t>lithium</w:t>
      </w:r>
      <w:proofErr w:type="spellEnd"/>
      <w:r w:rsidRPr="00102092">
        <w:rPr>
          <w:sz w:val="24"/>
          <w:szCs w:val="24"/>
        </w:rPr>
        <w:t xml:space="preserve">. </w:t>
      </w:r>
      <w:proofErr w:type="spellStart"/>
      <w:r w:rsidRPr="00102092">
        <w:rPr>
          <w:sz w:val="24"/>
          <w:szCs w:val="24"/>
        </w:rPr>
        <w:t>Renal</w:t>
      </w:r>
      <w:proofErr w:type="spellEnd"/>
      <w:r w:rsidRPr="00102092">
        <w:rPr>
          <w:sz w:val="24"/>
          <w:szCs w:val="24"/>
        </w:rPr>
        <w:t xml:space="preserve"> natrium og </w:t>
      </w:r>
      <w:proofErr w:type="spellStart"/>
      <w:r w:rsidRPr="00102092">
        <w:rPr>
          <w:sz w:val="24"/>
          <w:szCs w:val="24"/>
        </w:rPr>
        <w:t>lithium</w:t>
      </w:r>
      <w:proofErr w:type="spellEnd"/>
      <w:r w:rsidRPr="00102092">
        <w:rPr>
          <w:sz w:val="24"/>
          <w:szCs w:val="24"/>
        </w:rPr>
        <w:t xml:space="preserve"> </w:t>
      </w:r>
      <w:proofErr w:type="spellStart"/>
      <w:r w:rsidRPr="00102092">
        <w:rPr>
          <w:sz w:val="24"/>
          <w:szCs w:val="24"/>
        </w:rPr>
        <w:t>clearance</w:t>
      </w:r>
      <w:proofErr w:type="spellEnd"/>
      <w:r w:rsidRPr="00102092">
        <w:rPr>
          <w:sz w:val="24"/>
          <w:szCs w:val="24"/>
        </w:rPr>
        <w:t xml:space="preserve"> kan være forøget under administration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Administration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kan resultere i nedsatte </w:t>
      </w:r>
      <w:proofErr w:type="spellStart"/>
      <w:r w:rsidRPr="00102092">
        <w:rPr>
          <w:sz w:val="24"/>
          <w:szCs w:val="24"/>
        </w:rPr>
        <w:t>lithiumniveauer</w:t>
      </w:r>
      <w:proofErr w:type="spellEnd"/>
      <w:r w:rsidRPr="00102092">
        <w:rPr>
          <w:sz w:val="24"/>
          <w:szCs w:val="24"/>
        </w:rPr>
        <w:t>.</w:t>
      </w:r>
    </w:p>
    <w:p w:rsidR="00146E14" w:rsidRPr="00102092" w:rsidRDefault="00146E14" w:rsidP="00102092">
      <w:pPr>
        <w:tabs>
          <w:tab w:val="left" w:pos="851"/>
        </w:tabs>
        <w:ind w:left="851" w:hanging="851"/>
        <w:rPr>
          <w:sz w:val="24"/>
          <w:szCs w:val="24"/>
        </w:rPr>
      </w:pPr>
    </w:p>
    <w:p w:rsidR="00146E14" w:rsidRPr="00102092" w:rsidRDefault="00146E14" w:rsidP="00102092">
      <w:pPr>
        <w:tabs>
          <w:tab w:val="left" w:pos="851"/>
        </w:tabs>
        <w:ind w:left="851" w:hanging="851"/>
        <w:rPr>
          <w:sz w:val="24"/>
          <w:szCs w:val="24"/>
        </w:rPr>
      </w:pPr>
      <w:r w:rsidRPr="00102092">
        <w:rPr>
          <w:sz w:val="24"/>
          <w:szCs w:val="24"/>
        </w:rPr>
        <w:tab/>
      </w:r>
      <w:proofErr w:type="spellStart"/>
      <w:r w:rsidRPr="00102092">
        <w:rPr>
          <w:sz w:val="24"/>
          <w:szCs w:val="24"/>
        </w:rPr>
        <w:t>Kortikoider</w:t>
      </w:r>
      <w:proofErr w:type="spellEnd"/>
      <w:r w:rsidRPr="00102092">
        <w:rPr>
          <w:sz w:val="24"/>
          <w:szCs w:val="24"/>
        </w:rPr>
        <w:t xml:space="preserve">/steroider og </w:t>
      </w:r>
      <w:proofErr w:type="spellStart"/>
      <w:r w:rsidRPr="00102092">
        <w:rPr>
          <w:sz w:val="24"/>
          <w:szCs w:val="24"/>
        </w:rPr>
        <w:t>carbenoxolon</w:t>
      </w:r>
      <w:proofErr w:type="spellEnd"/>
      <w:r w:rsidRPr="00102092">
        <w:rPr>
          <w:sz w:val="24"/>
          <w:szCs w:val="24"/>
        </w:rPr>
        <w:t xml:space="preserve"> er forbundet med retention af natrium og vand (ødem og hypertension). Se afsnit 4.4 </w:t>
      </w:r>
      <w:r w:rsidRPr="00102092">
        <w:rPr>
          <w:i/>
          <w:sz w:val="24"/>
          <w:szCs w:val="24"/>
        </w:rPr>
        <w:t>Særlige advarsler og forsigtighedsregler vedrørende brugen</w:t>
      </w:r>
      <w:r w:rsidRPr="00102092">
        <w:rPr>
          <w:sz w:val="24"/>
          <w:szCs w:val="24"/>
        </w:rPr>
        <w:t>.</w:t>
      </w:r>
    </w:p>
    <w:p w:rsidR="00146E14" w:rsidRPr="00102092" w:rsidRDefault="00146E14" w:rsidP="00102092">
      <w:pPr>
        <w:tabs>
          <w:tab w:val="left" w:pos="851"/>
        </w:tabs>
        <w:rPr>
          <w:sz w:val="24"/>
          <w:szCs w:val="24"/>
        </w:rPr>
      </w:pPr>
    </w:p>
    <w:p w:rsidR="00A46287" w:rsidRPr="00102092" w:rsidRDefault="00A46287" w:rsidP="00102092">
      <w:pPr>
        <w:tabs>
          <w:tab w:val="left" w:pos="851"/>
        </w:tabs>
        <w:ind w:left="851" w:hanging="851"/>
        <w:rPr>
          <w:b/>
          <w:sz w:val="24"/>
          <w:szCs w:val="24"/>
        </w:rPr>
      </w:pPr>
      <w:r w:rsidRPr="00102092">
        <w:rPr>
          <w:b/>
          <w:sz w:val="24"/>
          <w:szCs w:val="24"/>
        </w:rPr>
        <w:t>4.6</w:t>
      </w:r>
      <w:r w:rsidRPr="00102092">
        <w:rPr>
          <w:b/>
          <w:sz w:val="24"/>
          <w:szCs w:val="24"/>
        </w:rPr>
        <w:tab/>
      </w:r>
      <w:r w:rsidR="00F23B5F">
        <w:rPr>
          <w:b/>
          <w:sz w:val="24"/>
          <w:szCs w:val="24"/>
        </w:rPr>
        <w:t>Fertilitet, g</w:t>
      </w:r>
      <w:r w:rsidRPr="00102092">
        <w:rPr>
          <w:b/>
          <w:sz w:val="24"/>
          <w:szCs w:val="24"/>
        </w:rPr>
        <w:t>raviditet og amning</w:t>
      </w:r>
    </w:p>
    <w:p w:rsidR="00146E14" w:rsidRPr="00102092" w:rsidRDefault="00146E14" w:rsidP="00102092">
      <w:pPr>
        <w:tabs>
          <w:tab w:val="left" w:pos="851"/>
        </w:tabs>
        <w:ind w:left="851" w:hanging="851"/>
        <w:rPr>
          <w:sz w:val="24"/>
          <w:szCs w:val="24"/>
        </w:rPr>
      </w:pPr>
      <w:r w:rsidRPr="00102092">
        <w:rPr>
          <w:sz w:val="24"/>
          <w:szCs w:val="24"/>
        </w:rPr>
        <w:tab/>
        <w:t xml:space="preserve">Erfaringsgrundlaget for anvendelse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til gravide eller ammende kvinder er ringe. Lægen bør vurdere de potentielle risici og fordele for hver enkelt patient før administration af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w:t>
      </w:r>
    </w:p>
    <w:p w:rsidR="00146E14" w:rsidRPr="00102092" w:rsidRDefault="00146E14" w:rsidP="00102092">
      <w:pPr>
        <w:tabs>
          <w:tab w:val="left" w:pos="851"/>
        </w:tabs>
        <w:ind w:left="851" w:hanging="851"/>
        <w:rPr>
          <w:sz w:val="24"/>
          <w:szCs w:val="24"/>
        </w:rPr>
      </w:pPr>
    </w:p>
    <w:p w:rsidR="00146E14" w:rsidRPr="00102092" w:rsidRDefault="00146E14" w:rsidP="00102092">
      <w:pPr>
        <w:tabs>
          <w:tab w:val="left" w:pos="851"/>
        </w:tabs>
        <w:ind w:left="851" w:hanging="851"/>
        <w:rPr>
          <w:sz w:val="24"/>
          <w:szCs w:val="24"/>
        </w:rPr>
      </w:pPr>
      <w:r w:rsidRPr="00102092">
        <w:rPr>
          <w:sz w:val="24"/>
          <w:szCs w:val="24"/>
        </w:rPr>
        <w:tab/>
        <w:t xml:space="preserve">På grund af risikoen for </w:t>
      </w:r>
      <w:proofErr w:type="spellStart"/>
      <w:r w:rsidRPr="00102092">
        <w:rPr>
          <w:sz w:val="24"/>
          <w:szCs w:val="24"/>
        </w:rPr>
        <w:t>hyponatriæmi</w:t>
      </w:r>
      <w:proofErr w:type="spellEnd"/>
      <w:r w:rsidRPr="00102092">
        <w:rPr>
          <w:sz w:val="24"/>
          <w:szCs w:val="24"/>
        </w:rPr>
        <w:t xml:space="preserve"> skal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administreres med særlig forsigtighed til gravide kvinder med fødselsveer, navnlig når det gælder serumnatrium, og hvis det administreres i kombination med </w:t>
      </w:r>
      <w:proofErr w:type="spellStart"/>
      <w:r w:rsidRPr="00102092">
        <w:rPr>
          <w:sz w:val="24"/>
          <w:szCs w:val="24"/>
        </w:rPr>
        <w:t>oxytocin</w:t>
      </w:r>
      <w:proofErr w:type="spellEnd"/>
      <w:r w:rsidRPr="00102092">
        <w:rPr>
          <w:sz w:val="24"/>
          <w:szCs w:val="24"/>
        </w:rPr>
        <w:t xml:space="preserve"> (se pkt. 4.4, 4.5 og 4.8).</w:t>
      </w:r>
    </w:p>
    <w:p w:rsidR="00146E14" w:rsidRPr="00102092" w:rsidRDefault="00146E14" w:rsidP="00102092">
      <w:pPr>
        <w:tabs>
          <w:tab w:val="left" w:pos="851"/>
        </w:tabs>
        <w:ind w:left="851" w:hanging="851"/>
        <w:rPr>
          <w:sz w:val="24"/>
          <w:szCs w:val="24"/>
        </w:rPr>
      </w:pPr>
    </w:p>
    <w:p w:rsidR="00146E14" w:rsidRPr="00102092" w:rsidRDefault="00146E14" w:rsidP="00102092">
      <w:pPr>
        <w:tabs>
          <w:tab w:val="left" w:pos="851"/>
        </w:tabs>
        <w:ind w:left="851" w:hanging="851"/>
        <w:rPr>
          <w:sz w:val="24"/>
          <w:szCs w:val="24"/>
        </w:rPr>
      </w:pPr>
      <w:r w:rsidRPr="00102092">
        <w:rPr>
          <w:sz w:val="24"/>
          <w:szCs w:val="24"/>
        </w:rPr>
        <w:tab/>
        <w:t xml:space="preserve">Forsigtighed tilrådes ved patienter med </w:t>
      </w:r>
      <w:proofErr w:type="spellStart"/>
      <w:r w:rsidRPr="00102092">
        <w:rPr>
          <w:sz w:val="24"/>
          <w:szCs w:val="24"/>
        </w:rPr>
        <w:t>præeklampsi</w:t>
      </w:r>
      <w:proofErr w:type="spellEnd"/>
      <w:r w:rsidRPr="00102092">
        <w:rPr>
          <w:sz w:val="24"/>
          <w:szCs w:val="24"/>
        </w:rPr>
        <w:t xml:space="preserve"> (se pkt. 4.4 </w:t>
      </w:r>
      <w:r w:rsidRPr="00102092">
        <w:rPr>
          <w:i/>
          <w:sz w:val="24"/>
          <w:szCs w:val="24"/>
        </w:rPr>
        <w:t>Særlige advarsler og forsigtighedsregler vedrørende brugen</w:t>
      </w:r>
      <w:r w:rsidRPr="00102092">
        <w:rPr>
          <w:sz w:val="24"/>
          <w:szCs w:val="24"/>
        </w:rPr>
        <w:t>).</w:t>
      </w:r>
    </w:p>
    <w:p w:rsidR="00146E14" w:rsidRPr="00102092" w:rsidRDefault="00146E14" w:rsidP="00102092">
      <w:pPr>
        <w:tabs>
          <w:tab w:val="left" w:pos="851"/>
        </w:tabs>
        <w:ind w:left="851" w:hanging="851"/>
        <w:rPr>
          <w:sz w:val="24"/>
          <w:szCs w:val="24"/>
        </w:rPr>
      </w:pPr>
    </w:p>
    <w:p w:rsidR="00146E14" w:rsidRPr="00102092" w:rsidRDefault="00146E14" w:rsidP="00102092">
      <w:pPr>
        <w:tabs>
          <w:tab w:val="left" w:pos="851"/>
        </w:tabs>
        <w:ind w:left="851" w:hanging="851"/>
        <w:rPr>
          <w:sz w:val="24"/>
          <w:szCs w:val="24"/>
        </w:rPr>
      </w:pPr>
      <w:r w:rsidRPr="00102092">
        <w:rPr>
          <w:sz w:val="24"/>
          <w:szCs w:val="24"/>
        </w:rPr>
        <w:tab/>
        <w:t>Hvis et andet lægemiddel er tilsat, skal egenskaberne af det tilsatte lægemiddel og dets anvendelse under graviditet vurderes separat.</w:t>
      </w:r>
    </w:p>
    <w:p w:rsidR="00146E14" w:rsidRPr="00102092" w:rsidRDefault="00146E14" w:rsidP="00102092">
      <w:pPr>
        <w:tabs>
          <w:tab w:val="left" w:pos="851"/>
        </w:tabs>
        <w:rPr>
          <w:sz w:val="24"/>
          <w:szCs w:val="24"/>
        </w:rPr>
      </w:pPr>
    </w:p>
    <w:p w:rsidR="00A46287" w:rsidRPr="00102092" w:rsidRDefault="00A46287" w:rsidP="00102092">
      <w:pPr>
        <w:tabs>
          <w:tab w:val="left" w:pos="851"/>
        </w:tabs>
        <w:ind w:left="851" w:hanging="851"/>
        <w:rPr>
          <w:b/>
          <w:sz w:val="24"/>
          <w:szCs w:val="24"/>
        </w:rPr>
      </w:pPr>
      <w:r w:rsidRPr="00102092">
        <w:rPr>
          <w:b/>
          <w:sz w:val="24"/>
          <w:szCs w:val="24"/>
        </w:rPr>
        <w:lastRenderedPageBreak/>
        <w:t>4.7</w:t>
      </w:r>
      <w:r w:rsidRPr="00102092">
        <w:rPr>
          <w:b/>
          <w:sz w:val="24"/>
          <w:szCs w:val="24"/>
        </w:rPr>
        <w:tab/>
        <w:t xml:space="preserve">Virkninger på evnen til at føre motorkøretøj </w:t>
      </w:r>
      <w:r w:rsidR="00F23B5F">
        <w:rPr>
          <w:b/>
          <w:sz w:val="24"/>
          <w:szCs w:val="24"/>
        </w:rPr>
        <w:t>og</w:t>
      </w:r>
      <w:r w:rsidRPr="00102092">
        <w:rPr>
          <w:b/>
          <w:sz w:val="24"/>
          <w:szCs w:val="24"/>
        </w:rPr>
        <w:t xml:space="preserve"> betjene maskiner</w:t>
      </w:r>
    </w:p>
    <w:p w:rsidR="00146E14" w:rsidRPr="00102092" w:rsidRDefault="00146E14" w:rsidP="00102092">
      <w:pPr>
        <w:tabs>
          <w:tab w:val="left" w:pos="851"/>
        </w:tabs>
        <w:ind w:left="855"/>
        <w:rPr>
          <w:sz w:val="24"/>
          <w:szCs w:val="24"/>
        </w:rPr>
      </w:pPr>
      <w:r w:rsidRPr="00102092">
        <w:rPr>
          <w:sz w:val="24"/>
          <w:szCs w:val="24"/>
        </w:rPr>
        <w:t>Ingen mærkning.</w:t>
      </w:r>
    </w:p>
    <w:p w:rsidR="00146E14" w:rsidRPr="00102092" w:rsidRDefault="00146E14" w:rsidP="00102092">
      <w:pPr>
        <w:tabs>
          <w:tab w:val="left" w:pos="851"/>
        </w:tabs>
        <w:ind w:left="855"/>
        <w:rPr>
          <w:sz w:val="24"/>
          <w:szCs w:val="24"/>
        </w:rPr>
      </w:pPr>
      <w:r w:rsidRPr="00102092">
        <w:rPr>
          <w:sz w:val="24"/>
          <w:szCs w:val="24"/>
        </w:rPr>
        <w:t>Der er ikke foretaget undersøgelser af indflydelsen på evnen til at føre motorkøretøj eller betjene maskiner.</w:t>
      </w:r>
    </w:p>
    <w:p w:rsidR="00146E14" w:rsidRPr="00102092" w:rsidRDefault="00146E14" w:rsidP="00102092">
      <w:pPr>
        <w:tabs>
          <w:tab w:val="left" w:pos="851"/>
        </w:tabs>
        <w:rPr>
          <w:sz w:val="24"/>
          <w:szCs w:val="24"/>
        </w:rPr>
      </w:pPr>
    </w:p>
    <w:p w:rsidR="0039269E" w:rsidRPr="00102092" w:rsidRDefault="0039269E" w:rsidP="00102092">
      <w:pPr>
        <w:tabs>
          <w:tab w:val="left" w:pos="851"/>
        </w:tabs>
        <w:ind w:left="851" w:hanging="851"/>
        <w:rPr>
          <w:b/>
          <w:sz w:val="24"/>
          <w:szCs w:val="24"/>
        </w:rPr>
      </w:pPr>
      <w:r w:rsidRPr="00102092">
        <w:rPr>
          <w:b/>
          <w:sz w:val="24"/>
          <w:szCs w:val="24"/>
        </w:rPr>
        <w:t>4.8</w:t>
      </w:r>
      <w:r w:rsidRPr="00102092">
        <w:rPr>
          <w:b/>
          <w:sz w:val="24"/>
          <w:szCs w:val="24"/>
        </w:rPr>
        <w:tab/>
        <w:t>Bivirkninger</w:t>
      </w:r>
    </w:p>
    <w:p w:rsidR="00146E14" w:rsidRPr="00102092" w:rsidRDefault="00146E14" w:rsidP="00102092">
      <w:pPr>
        <w:ind w:left="851"/>
        <w:rPr>
          <w:sz w:val="24"/>
          <w:szCs w:val="24"/>
        </w:rPr>
      </w:pPr>
      <w:r w:rsidRPr="00102092">
        <w:rPr>
          <w:sz w:val="24"/>
          <w:szCs w:val="24"/>
        </w:rPr>
        <w:t>De følgende bivirkninger er rapporteret efter markedsføring. Frekvensen af bivirkningerne listet herunder kan ikke estimeres ud fra forhåndenværende data.</w:t>
      </w:r>
    </w:p>
    <w:tbl>
      <w:tblPr>
        <w:tblpPr w:leftFromText="180" w:rightFromText="180" w:vertAnchor="text" w:horzAnchor="margin" w:tblpXSpec="center"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4415"/>
        <w:gridCol w:w="1928"/>
      </w:tblGrid>
      <w:tr w:rsidR="00146E14" w:rsidRPr="00102092" w:rsidTr="00D75521">
        <w:trPr>
          <w:trHeight w:val="533"/>
        </w:trPr>
        <w:tc>
          <w:tcPr>
            <w:tcW w:w="1706" w:type="pct"/>
            <w:tcBorders>
              <w:bottom w:val="single" w:sz="4" w:space="0" w:color="auto"/>
            </w:tcBorders>
          </w:tcPr>
          <w:p w:rsidR="00146E14" w:rsidRPr="00102092" w:rsidRDefault="00146E14" w:rsidP="00102092">
            <w:pPr>
              <w:rPr>
                <w:b/>
                <w:sz w:val="24"/>
                <w:szCs w:val="24"/>
              </w:rPr>
            </w:pPr>
            <w:r w:rsidRPr="00102092">
              <w:rPr>
                <w:b/>
                <w:sz w:val="24"/>
                <w:szCs w:val="24"/>
              </w:rPr>
              <w:t>Systemorganklasse (SOC)</w:t>
            </w:r>
          </w:p>
          <w:p w:rsidR="00146E14" w:rsidRPr="00102092" w:rsidRDefault="00146E14" w:rsidP="00102092">
            <w:pPr>
              <w:rPr>
                <w:b/>
                <w:sz w:val="24"/>
                <w:szCs w:val="24"/>
              </w:rPr>
            </w:pPr>
          </w:p>
        </w:tc>
        <w:tc>
          <w:tcPr>
            <w:tcW w:w="2293" w:type="pct"/>
            <w:tcBorders>
              <w:bottom w:val="single" w:sz="4" w:space="0" w:color="auto"/>
            </w:tcBorders>
          </w:tcPr>
          <w:p w:rsidR="00146E14" w:rsidRPr="00102092" w:rsidRDefault="00146E14" w:rsidP="00102092">
            <w:pPr>
              <w:rPr>
                <w:b/>
                <w:sz w:val="24"/>
                <w:szCs w:val="24"/>
              </w:rPr>
            </w:pPr>
            <w:r w:rsidRPr="00102092">
              <w:rPr>
                <w:b/>
                <w:sz w:val="24"/>
                <w:szCs w:val="24"/>
              </w:rPr>
              <w:t>Bivirkninger</w:t>
            </w:r>
          </w:p>
        </w:tc>
        <w:tc>
          <w:tcPr>
            <w:tcW w:w="1001" w:type="pct"/>
            <w:tcBorders>
              <w:bottom w:val="single" w:sz="4" w:space="0" w:color="auto"/>
            </w:tcBorders>
          </w:tcPr>
          <w:p w:rsidR="00146E14" w:rsidRPr="00102092" w:rsidRDefault="00146E14" w:rsidP="00102092">
            <w:pPr>
              <w:rPr>
                <w:b/>
                <w:sz w:val="24"/>
                <w:szCs w:val="24"/>
              </w:rPr>
            </w:pPr>
            <w:r w:rsidRPr="00102092">
              <w:rPr>
                <w:b/>
                <w:sz w:val="24"/>
                <w:szCs w:val="24"/>
              </w:rPr>
              <w:t>Frekvens</w:t>
            </w:r>
          </w:p>
        </w:tc>
      </w:tr>
      <w:tr w:rsidR="00146E14" w:rsidRPr="00102092" w:rsidTr="00D75521">
        <w:trPr>
          <w:trHeight w:val="533"/>
        </w:trPr>
        <w:tc>
          <w:tcPr>
            <w:tcW w:w="1706" w:type="pct"/>
            <w:tcBorders>
              <w:bottom w:val="single" w:sz="4" w:space="0" w:color="auto"/>
            </w:tcBorders>
          </w:tcPr>
          <w:p w:rsidR="00146E14" w:rsidRPr="00102092" w:rsidRDefault="00146E14" w:rsidP="00102092">
            <w:pPr>
              <w:rPr>
                <w:sz w:val="24"/>
                <w:szCs w:val="24"/>
              </w:rPr>
            </w:pPr>
            <w:r w:rsidRPr="00102092">
              <w:rPr>
                <w:sz w:val="24"/>
                <w:szCs w:val="24"/>
              </w:rPr>
              <w:t>Nervesystemet</w:t>
            </w:r>
          </w:p>
        </w:tc>
        <w:tc>
          <w:tcPr>
            <w:tcW w:w="2293" w:type="pct"/>
            <w:tcBorders>
              <w:bottom w:val="single" w:sz="4" w:space="0" w:color="auto"/>
            </w:tcBorders>
          </w:tcPr>
          <w:p w:rsidR="00146E14" w:rsidRPr="00102092" w:rsidRDefault="00146E14" w:rsidP="00102092">
            <w:pPr>
              <w:rPr>
                <w:sz w:val="24"/>
                <w:szCs w:val="24"/>
              </w:rPr>
            </w:pPr>
            <w:proofErr w:type="spellStart"/>
            <w:r w:rsidRPr="00102092">
              <w:rPr>
                <w:sz w:val="24"/>
                <w:szCs w:val="24"/>
              </w:rPr>
              <w:t>Tremor</w:t>
            </w:r>
            <w:proofErr w:type="spellEnd"/>
          </w:p>
          <w:p w:rsidR="00146E14" w:rsidRPr="00102092" w:rsidRDefault="00146E14" w:rsidP="00102092">
            <w:pPr>
              <w:rPr>
                <w:sz w:val="24"/>
                <w:szCs w:val="24"/>
              </w:rPr>
            </w:pPr>
            <w:r w:rsidRPr="00102092">
              <w:rPr>
                <w:sz w:val="24"/>
                <w:szCs w:val="24"/>
              </w:rPr>
              <w:t xml:space="preserve">Akut </w:t>
            </w:r>
            <w:proofErr w:type="spellStart"/>
            <w:r w:rsidRPr="00102092">
              <w:rPr>
                <w:sz w:val="24"/>
                <w:szCs w:val="24"/>
              </w:rPr>
              <w:t>hyponatriæmisk</w:t>
            </w:r>
            <w:proofErr w:type="spellEnd"/>
            <w:r w:rsidRPr="00102092">
              <w:rPr>
                <w:sz w:val="24"/>
                <w:szCs w:val="24"/>
              </w:rPr>
              <w:t xml:space="preserve"> </w:t>
            </w:r>
            <w:proofErr w:type="spellStart"/>
            <w:r w:rsidRPr="00102092">
              <w:rPr>
                <w:sz w:val="24"/>
                <w:szCs w:val="24"/>
              </w:rPr>
              <w:t>encephalopati</w:t>
            </w:r>
            <w:proofErr w:type="spellEnd"/>
            <w:r w:rsidRPr="00102092">
              <w:rPr>
                <w:sz w:val="24"/>
                <w:szCs w:val="24"/>
              </w:rPr>
              <w:t>*</w:t>
            </w:r>
          </w:p>
        </w:tc>
        <w:tc>
          <w:tcPr>
            <w:tcW w:w="1001" w:type="pct"/>
            <w:tcBorders>
              <w:bottom w:val="single" w:sz="4" w:space="0" w:color="auto"/>
            </w:tcBorders>
          </w:tcPr>
          <w:p w:rsidR="00146E14" w:rsidRPr="00102092" w:rsidRDefault="00146E14" w:rsidP="00102092">
            <w:pPr>
              <w:rPr>
                <w:sz w:val="24"/>
                <w:szCs w:val="24"/>
              </w:rPr>
            </w:pPr>
            <w:r w:rsidRPr="00102092">
              <w:rPr>
                <w:sz w:val="24"/>
                <w:szCs w:val="24"/>
              </w:rPr>
              <w:t>Ikke kendt</w:t>
            </w:r>
          </w:p>
        </w:tc>
      </w:tr>
      <w:tr w:rsidR="00146E14" w:rsidRPr="00102092" w:rsidTr="00D75521">
        <w:trPr>
          <w:trHeight w:val="533"/>
        </w:trPr>
        <w:tc>
          <w:tcPr>
            <w:tcW w:w="1706" w:type="pct"/>
            <w:tcBorders>
              <w:bottom w:val="single" w:sz="4" w:space="0" w:color="auto"/>
            </w:tcBorders>
          </w:tcPr>
          <w:p w:rsidR="00146E14" w:rsidRPr="00102092" w:rsidRDefault="00146E14" w:rsidP="00102092">
            <w:pPr>
              <w:rPr>
                <w:sz w:val="24"/>
                <w:szCs w:val="24"/>
              </w:rPr>
            </w:pPr>
            <w:r w:rsidRPr="00102092">
              <w:rPr>
                <w:sz w:val="24"/>
                <w:szCs w:val="24"/>
              </w:rPr>
              <w:t>Metabolisme og ernæring</w:t>
            </w:r>
          </w:p>
        </w:tc>
        <w:tc>
          <w:tcPr>
            <w:tcW w:w="2293" w:type="pct"/>
            <w:tcBorders>
              <w:bottom w:val="single" w:sz="4" w:space="0" w:color="auto"/>
            </w:tcBorders>
          </w:tcPr>
          <w:p w:rsidR="00146E14" w:rsidRPr="00102092" w:rsidRDefault="00146E14" w:rsidP="00102092">
            <w:pPr>
              <w:rPr>
                <w:sz w:val="24"/>
                <w:szCs w:val="24"/>
              </w:rPr>
            </w:pPr>
            <w:r w:rsidRPr="00102092">
              <w:rPr>
                <w:sz w:val="24"/>
                <w:szCs w:val="24"/>
              </w:rPr>
              <w:t xml:space="preserve">Hospitalserhvervet </w:t>
            </w:r>
            <w:proofErr w:type="spellStart"/>
            <w:r w:rsidRPr="00102092">
              <w:rPr>
                <w:sz w:val="24"/>
                <w:szCs w:val="24"/>
              </w:rPr>
              <w:t>hyponatriæmi</w:t>
            </w:r>
            <w:proofErr w:type="spellEnd"/>
            <w:r w:rsidRPr="00102092">
              <w:rPr>
                <w:sz w:val="24"/>
                <w:szCs w:val="24"/>
              </w:rPr>
              <w:t>*</w:t>
            </w:r>
          </w:p>
          <w:p w:rsidR="00146E14" w:rsidRPr="00102092" w:rsidRDefault="00146E14" w:rsidP="00102092">
            <w:pPr>
              <w:rPr>
                <w:sz w:val="24"/>
                <w:szCs w:val="24"/>
              </w:rPr>
            </w:pPr>
          </w:p>
        </w:tc>
        <w:tc>
          <w:tcPr>
            <w:tcW w:w="1001" w:type="pct"/>
            <w:tcBorders>
              <w:bottom w:val="single" w:sz="4" w:space="0" w:color="auto"/>
            </w:tcBorders>
          </w:tcPr>
          <w:p w:rsidR="00146E14" w:rsidRPr="00102092" w:rsidRDefault="00146E14" w:rsidP="00102092">
            <w:pPr>
              <w:rPr>
                <w:sz w:val="24"/>
                <w:szCs w:val="24"/>
              </w:rPr>
            </w:pPr>
            <w:r w:rsidRPr="00102092">
              <w:rPr>
                <w:sz w:val="24"/>
                <w:szCs w:val="24"/>
              </w:rPr>
              <w:t>Ikke kendt</w:t>
            </w:r>
          </w:p>
        </w:tc>
      </w:tr>
      <w:tr w:rsidR="00146E14" w:rsidRPr="00102092" w:rsidTr="00D75521">
        <w:trPr>
          <w:trHeight w:val="533"/>
        </w:trPr>
        <w:tc>
          <w:tcPr>
            <w:tcW w:w="1706" w:type="pct"/>
            <w:tcBorders>
              <w:bottom w:val="single" w:sz="4" w:space="0" w:color="auto"/>
            </w:tcBorders>
          </w:tcPr>
          <w:p w:rsidR="00146E14" w:rsidRPr="00102092" w:rsidRDefault="00146E14" w:rsidP="00102092">
            <w:pPr>
              <w:rPr>
                <w:sz w:val="24"/>
                <w:szCs w:val="24"/>
              </w:rPr>
            </w:pPr>
            <w:proofErr w:type="spellStart"/>
            <w:r w:rsidRPr="00102092">
              <w:rPr>
                <w:sz w:val="24"/>
                <w:szCs w:val="24"/>
              </w:rPr>
              <w:t>Vaskulære</w:t>
            </w:r>
            <w:proofErr w:type="spellEnd"/>
            <w:r w:rsidRPr="00102092">
              <w:rPr>
                <w:sz w:val="24"/>
                <w:szCs w:val="24"/>
              </w:rPr>
              <w:t xml:space="preserve"> sygdomme</w:t>
            </w:r>
          </w:p>
        </w:tc>
        <w:tc>
          <w:tcPr>
            <w:tcW w:w="2293" w:type="pct"/>
            <w:tcBorders>
              <w:bottom w:val="single" w:sz="4" w:space="0" w:color="auto"/>
            </w:tcBorders>
          </w:tcPr>
          <w:p w:rsidR="00146E14" w:rsidRPr="00102092" w:rsidRDefault="00146E14" w:rsidP="00102092">
            <w:pPr>
              <w:rPr>
                <w:sz w:val="24"/>
                <w:szCs w:val="24"/>
              </w:rPr>
            </w:pPr>
            <w:r w:rsidRPr="00102092">
              <w:rPr>
                <w:sz w:val="24"/>
                <w:szCs w:val="24"/>
              </w:rPr>
              <w:t>Hypotension</w:t>
            </w:r>
          </w:p>
        </w:tc>
        <w:tc>
          <w:tcPr>
            <w:tcW w:w="1001" w:type="pct"/>
            <w:tcBorders>
              <w:bottom w:val="single" w:sz="4" w:space="0" w:color="auto"/>
            </w:tcBorders>
          </w:tcPr>
          <w:p w:rsidR="00146E14" w:rsidRPr="00102092" w:rsidRDefault="00146E14" w:rsidP="00102092">
            <w:pPr>
              <w:rPr>
                <w:sz w:val="24"/>
                <w:szCs w:val="24"/>
              </w:rPr>
            </w:pPr>
            <w:r w:rsidRPr="00102092">
              <w:rPr>
                <w:sz w:val="24"/>
                <w:szCs w:val="24"/>
              </w:rPr>
              <w:t>Ikke kendt</w:t>
            </w:r>
          </w:p>
        </w:tc>
      </w:tr>
      <w:tr w:rsidR="00146E14" w:rsidRPr="00102092" w:rsidTr="00D75521">
        <w:trPr>
          <w:trHeight w:val="146"/>
        </w:trPr>
        <w:tc>
          <w:tcPr>
            <w:tcW w:w="1706" w:type="pct"/>
            <w:tcBorders>
              <w:bottom w:val="single" w:sz="4" w:space="0" w:color="auto"/>
            </w:tcBorders>
          </w:tcPr>
          <w:p w:rsidR="00146E14" w:rsidRPr="00102092" w:rsidRDefault="00146E14" w:rsidP="00102092">
            <w:pPr>
              <w:rPr>
                <w:sz w:val="24"/>
                <w:szCs w:val="24"/>
              </w:rPr>
            </w:pPr>
            <w:r w:rsidRPr="00102092">
              <w:rPr>
                <w:sz w:val="24"/>
                <w:szCs w:val="24"/>
              </w:rPr>
              <w:t>Hud og subkutane væv</w:t>
            </w:r>
          </w:p>
        </w:tc>
        <w:tc>
          <w:tcPr>
            <w:tcW w:w="2293" w:type="pct"/>
            <w:tcBorders>
              <w:bottom w:val="single" w:sz="4" w:space="0" w:color="auto"/>
            </w:tcBorders>
          </w:tcPr>
          <w:p w:rsidR="00146E14" w:rsidRPr="00102092" w:rsidRDefault="00146E14" w:rsidP="00102092">
            <w:pPr>
              <w:rPr>
                <w:sz w:val="24"/>
                <w:szCs w:val="24"/>
              </w:rPr>
            </w:pPr>
            <w:proofErr w:type="spellStart"/>
            <w:r w:rsidRPr="00102092">
              <w:rPr>
                <w:sz w:val="24"/>
                <w:szCs w:val="24"/>
              </w:rPr>
              <w:t>Urticaria</w:t>
            </w:r>
            <w:proofErr w:type="spellEnd"/>
          </w:p>
          <w:p w:rsidR="00146E14" w:rsidRPr="00102092" w:rsidRDefault="00146E14" w:rsidP="00102092">
            <w:pPr>
              <w:rPr>
                <w:sz w:val="24"/>
                <w:szCs w:val="24"/>
              </w:rPr>
            </w:pPr>
            <w:r w:rsidRPr="00102092">
              <w:rPr>
                <w:sz w:val="24"/>
                <w:szCs w:val="24"/>
              </w:rPr>
              <w:t>Udslæt</w:t>
            </w:r>
          </w:p>
          <w:p w:rsidR="00146E14" w:rsidRPr="00102092" w:rsidRDefault="00146E14" w:rsidP="00102092">
            <w:pPr>
              <w:rPr>
                <w:sz w:val="24"/>
                <w:szCs w:val="24"/>
              </w:rPr>
            </w:pPr>
            <w:proofErr w:type="spellStart"/>
            <w:r w:rsidRPr="00102092">
              <w:rPr>
                <w:sz w:val="24"/>
                <w:szCs w:val="24"/>
              </w:rPr>
              <w:t>Pruritus</w:t>
            </w:r>
            <w:proofErr w:type="spellEnd"/>
          </w:p>
        </w:tc>
        <w:tc>
          <w:tcPr>
            <w:tcW w:w="1001" w:type="pct"/>
            <w:tcBorders>
              <w:bottom w:val="single" w:sz="4" w:space="0" w:color="auto"/>
            </w:tcBorders>
          </w:tcPr>
          <w:p w:rsidR="00146E14" w:rsidRPr="00102092" w:rsidRDefault="00146E14" w:rsidP="00102092">
            <w:pPr>
              <w:rPr>
                <w:sz w:val="24"/>
                <w:szCs w:val="24"/>
              </w:rPr>
            </w:pPr>
            <w:r w:rsidRPr="00102092">
              <w:rPr>
                <w:sz w:val="24"/>
                <w:szCs w:val="24"/>
              </w:rPr>
              <w:t>Ikke kendt</w:t>
            </w:r>
          </w:p>
        </w:tc>
      </w:tr>
      <w:tr w:rsidR="00146E14" w:rsidRPr="00102092" w:rsidTr="00D75521">
        <w:trPr>
          <w:trHeight w:val="146"/>
        </w:trPr>
        <w:tc>
          <w:tcPr>
            <w:tcW w:w="1706" w:type="pct"/>
            <w:tcBorders>
              <w:bottom w:val="single" w:sz="4" w:space="0" w:color="auto"/>
            </w:tcBorders>
          </w:tcPr>
          <w:p w:rsidR="00146E14" w:rsidRPr="00102092" w:rsidRDefault="00146E14" w:rsidP="00102092">
            <w:pPr>
              <w:rPr>
                <w:sz w:val="24"/>
                <w:szCs w:val="24"/>
              </w:rPr>
            </w:pPr>
            <w:r w:rsidRPr="00102092">
              <w:rPr>
                <w:sz w:val="24"/>
                <w:szCs w:val="24"/>
              </w:rPr>
              <w:t>Almene symptomer og reaktioner på administrationsstedet</w:t>
            </w:r>
          </w:p>
        </w:tc>
        <w:tc>
          <w:tcPr>
            <w:tcW w:w="2293" w:type="pct"/>
            <w:tcBorders>
              <w:bottom w:val="single" w:sz="4" w:space="0" w:color="auto"/>
            </w:tcBorders>
          </w:tcPr>
          <w:p w:rsidR="00146E14" w:rsidRPr="00102092" w:rsidRDefault="00146E14" w:rsidP="00102092">
            <w:pPr>
              <w:rPr>
                <w:sz w:val="24"/>
                <w:szCs w:val="24"/>
              </w:rPr>
            </w:pPr>
            <w:r w:rsidRPr="00102092">
              <w:rPr>
                <w:sz w:val="24"/>
                <w:szCs w:val="24"/>
              </w:rPr>
              <w:t>Reaktioner på infusionsstedet, som</w:t>
            </w:r>
          </w:p>
          <w:p w:rsidR="00146E14" w:rsidRPr="00102092" w:rsidRDefault="00146E14" w:rsidP="00102092">
            <w:pPr>
              <w:numPr>
                <w:ilvl w:val="0"/>
                <w:numId w:val="16"/>
              </w:numPr>
              <w:ind w:left="313"/>
              <w:rPr>
                <w:sz w:val="24"/>
                <w:szCs w:val="24"/>
              </w:rPr>
            </w:pPr>
            <w:proofErr w:type="spellStart"/>
            <w:r w:rsidRPr="00102092">
              <w:rPr>
                <w:sz w:val="24"/>
                <w:szCs w:val="24"/>
              </w:rPr>
              <w:t>Erythem</w:t>
            </w:r>
            <w:proofErr w:type="spellEnd"/>
          </w:p>
          <w:p w:rsidR="00146E14" w:rsidRPr="00102092" w:rsidRDefault="00146E14" w:rsidP="00102092">
            <w:pPr>
              <w:numPr>
                <w:ilvl w:val="0"/>
                <w:numId w:val="16"/>
              </w:numPr>
              <w:ind w:left="313"/>
              <w:rPr>
                <w:sz w:val="24"/>
                <w:szCs w:val="24"/>
              </w:rPr>
            </w:pPr>
            <w:r w:rsidRPr="00102092">
              <w:rPr>
                <w:sz w:val="24"/>
                <w:szCs w:val="24"/>
              </w:rPr>
              <w:t>Veneirritation, striber på infusionsstedet, brændende fornemmelse</w:t>
            </w:r>
          </w:p>
          <w:p w:rsidR="00146E14" w:rsidRPr="00102092" w:rsidRDefault="00146E14" w:rsidP="00102092">
            <w:pPr>
              <w:numPr>
                <w:ilvl w:val="0"/>
                <w:numId w:val="16"/>
              </w:numPr>
              <w:ind w:left="313"/>
              <w:rPr>
                <w:sz w:val="24"/>
                <w:szCs w:val="24"/>
              </w:rPr>
            </w:pPr>
            <w:r w:rsidRPr="00102092">
              <w:rPr>
                <w:sz w:val="24"/>
                <w:szCs w:val="24"/>
              </w:rPr>
              <w:t xml:space="preserve">Lokal smerte eller reaktion, </w:t>
            </w:r>
            <w:proofErr w:type="spellStart"/>
            <w:r w:rsidRPr="00102092">
              <w:rPr>
                <w:sz w:val="24"/>
                <w:szCs w:val="24"/>
              </w:rPr>
              <w:t>urticaria</w:t>
            </w:r>
            <w:proofErr w:type="spellEnd"/>
          </w:p>
          <w:p w:rsidR="00146E14" w:rsidRPr="00102092" w:rsidRDefault="00146E14" w:rsidP="00102092">
            <w:pPr>
              <w:numPr>
                <w:ilvl w:val="0"/>
                <w:numId w:val="16"/>
              </w:numPr>
              <w:ind w:left="313"/>
              <w:rPr>
                <w:sz w:val="24"/>
                <w:szCs w:val="24"/>
              </w:rPr>
            </w:pPr>
            <w:r w:rsidRPr="00102092">
              <w:rPr>
                <w:sz w:val="24"/>
                <w:szCs w:val="24"/>
              </w:rPr>
              <w:t>Infektion på injektionsstedet</w:t>
            </w:r>
          </w:p>
          <w:p w:rsidR="00146E14" w:rsidRPr="00102092" w:rsidRDefault="00146E14" w:rsidP="00102092">
            <w:pPr>
              <w:numPr>
                <w:ilvl w:val="0"/>
                <w:numId w:val="16"/>
              </w:numPr>
              <w:ind w:left="313"/>
              <w:rPr>
                <w:sz w:val="24"/>
                <w:szCs w:val="24"/>
              </w:rPr>
            </w:pPr>
            <w:r w:rsidRPr="00102092">
              <w:rPr>
                <w:sz w:val="24"/>
                <w:szCs w:val="24"/>
              </w:rPr>
              <w:t xml:space="preserve">Venøs trombose eller </w:t>
            </w:r>
            <w:proofErr w:type="spellStart"/>
            <w:r w:rsidRPr="00102092">
              <w:rPr>
                <w:sz w:val="24"/>
                <w:szCs w:val="24"/>
              </w:rPr>
              <w:t>flebitis</w:t>
            </w:r>
            <w:proofErr w:type="spellEnd"/>
            <w:r w:rsidRPr="00102092">
              <w:rPr>
                <w:sz w:val="24"/>
                <w:szCs w:val="24"/>
              </w:rPr>
              <w:t xml:space="preserve"> stammende fra injektionsstedet, </w:t>
            </w:r>
            <w:proofErr w:type="spellStart"/>
            <w:r w:rsidRPr="00102092">
              <w:rPr>
                <w:sz w:val="24"/>
                <w:szCs w:val="24"/>
              </w:rPr>
              <w:t>ekstravasation</w:t>
            </w:r>
            <w:proofErr w:type="spellEnd"/>
            <w:r w:rsidRPr="00102092">
              <w:rPr>
                <w:sz w:val="24"/>
                <w:szCs w:val="24"/>
              </w:rPr>
              <w:t xml:space="preserve"> og </w:t>
            </w:r>
            <w:proofErr w:type="spellStart"/>
            <w:r w:rsidRPr="00102092">
              <w:rPr>
                <w:sz w:val="24"/>
                <w:szCs w:val="24"/>
              </w:rPr>
              <w:t>hypervolæmi</w:t>
            </w:r>
            <w:proofErr w:type="spellEnd"/>
          </w:p>
          <w:p w:rsidR="00146E14" w:rsidRPr="00102092" w:rsidRDefault="00146E14" w:rsidP="00102092">
            <w:pPr>
              <w:numPr>
                <w:ilvl w:val="0"/>
                <w:numId w:val="16"/>
              </w:numPr>
              <w:ind w:left="313"/>
              <w:rPr>
                <w:sz w:val="24"/>
                <w:szCs w:val="24"/>
              </w:rPr>
            </w:pPr>
            <w:proofErr w:type="spellStart"/>
            <w:r w:rsidRPr="00102092">
              <w:rPr>
                <w:sz w:val="24"/>
                <w:szCs w:val="24"/>
              </w:rPr>
              <w:t>Pyreksi</w:t>
            </w:r>
            <w:proofErr w:type="spellEnd"/>
          </w:p>
          <w:p w:rsidR="00146E14" w:rsidRPr="00102092" w:rsidRDefault="00146E14" w:rsidP="00102092">
            <w:pPr>
              <w:numPr>
                <w:ilvl w:val="0"/>
                <w:numId w:val="16"/>
              </w:numPr>
              <w:ind w:left="313"/>
              <w:rPr>
                <w:sz w:val="24"/>
                <w:szCs w:val="24"/>
              </w:rPr>
            </w:pPr>
            <w:r w:rsidRPr="00102092">
              <w:rPr>
                <w:sz w:val="24"/>
                <w:szCs w:val="24"/>
              </w:rPr>
              <w:t>Kuldegysninger</w:t>
            </w:r>
          </w:p>
        </w:tc>
        <w:tc>
          <w:tcPr>
            <w:tcW w:w="1001" w:type="pct"/>
            <w:tcBorders>
              <w:bottom w:val="single" w:sz="4" w:space="0" w:color="auto"/>
            </w:tcBorders>
          </w:tcPr>
          <w:p w:rsidR="00146E14" w:rsidRPr="00102092" w:rsidRDefault="00146E14" w:rsidP="00102092">
            <w:pPr>
              <w:rPr>
                <w:sz w:val="24"/>
                <w:szCs w:val="24"/>
              </w:rPr>
            </w:pPr>
            <w:r w:rsidRPr="00102092">
              <w:rPr>
                <w:sz w:val="24"/>
                <w:szCs w:val="24"/>
              </w:rPr>
              <w:t>Ikke kendt</w:t>
            </w:r>
          </w:p>
        </w:tc>
      </w:tr>
    </w:tbl>
    <w:p w:rsidR="00146E14" w:rsidRPr="00102092" w:rsidRDefault="00146E14" w:rsidP="00102092">
      <w:pPr>
        <w:ind w:left="851"/>
        <w:rPr>
          <w:i/>
          <w:sz w:val="24"/>
          <w:szCs w:val="24"/>
        </w:rPr>
      </w:pPr>
      <w:r w:rsidRPr="00102092">
        <w:rPr>
          <w:noProof/>
          <w:sz w:val="24"/>
          <w:szCs w:val="24"/>
        </w:rPr>
        <w:t>*Hospitalserhvervet hyponatriæmi kan medføre irreversibel hjerneskade og død som følge af udviklingen af akut hyponatriæmisk encephalopati, hvis hyppighed er ikke kendt (se pkt. 4.2, 4.4 og 4.5).</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Følgende bivirkninger er ikke rapporteret ved anvendelse af produktet, men kan forekomme:</w:t>
      </w:r>
    </w:p>
    <w:p w:rsidR="00146E14" w:rsidRPr="00102092" w:rsidRDefault="00146E14" w:rsidP="00102092">
      <w:pPr>
        <w:numPr>
          <w:ilvl w:val="0"/>
          <w:numId w:val="17"/>
        </w:numPr>
        <w:ind w:left="1208" w:hanging="357"/>
        <w:rPr>
          <w:sz w:val="24"/>
          <w:szCs w:val="24"/>
        </w:rPr>
      </w:pPr>
      <w:proofErr w:type="spellStart"/>
      <w:r w:rsidRPr="00102092">
        <w:rPr>
          <w:sz w:val="24"/>
          <w:szCs w:val="24"/>
        </w:rPr>
        <w:t>Hypernatriæmi</w:t>
      </w:r>
      <w:proofErr w:type="spellEnd"/>
      <w:r w:rsidRPr="00102092">
        <w:rPr>
          <w:sz w:val="24"/>
          <w:szCs w:val="24"/>
        </w:rPr>
        <w:t xml:space="preserve"> (f.eks. ved administration til patienter med </w:t>
      </w:r>
      <w:proofErr w:type="spellStart"/>
      <w:r w:rsidRPr="00102092">
        <w:rPr>
          <w:sz w:val="24"/>
          <w:szCs w:val="24"/>
        </w:rPr>
        <w:t>nefrogen</w:t>
      </w:r>
      <w:proofErr w:type="spellEnd"/>
      <w:r w:rsidRPr="00102092">
        <w:rPr>
          <w:sz w:val="24"/>
          <w:szCs w:val="24"/>
        </w:rPr>
        <w:t xml:space="preserve"> diabetes </w:t>
      </w:r>
      <w:proofErr w:type="spellStart"/>
      <w:r w:rsidRPr="00102092">
        <w:rPr>
          <w:sz w:val="24"/>
          <w:szCs w:val="24"/>
        </w:rPr>
        <w:t>insipidus</w:t>
      </w:r>
      <w:proofErr w:type="spellEnd"/>
      <w:r w:rsidRPr="00102092">
        <w:rPr>
          <w:sz w:val="24"/>
          <w:szCs w:val="24"/>
        </w:rPr>
        <w:t xml:space="preserve"> eller stort </w:t>
      </w:r>
      <w:proofErr w:type="spellStart"/>
      <w:r w:rsidRPr="00102092">
        <w:rPr>
          <w:sz w:val="24"/>
          <w:szCs w:val="24"/>
        </w:rPr>
        <w:t>nasogastrisk</w:t>
      </w:r>
      <w:proofErr w:type="spellEnd"/>
      <w:r w:rsidRPr="00102092">
        <w:rPr>
          <w:sz w:val="24"/>
          <w:szCs w:val="24"/>
        </w:rPr>
        <w:t xml:space="preserve"> output)</w:t>
      </w:r>
    </w:p>
    <w:p w:rsidR="00146E14" w:rsidRPr="00102092" w:rsidRDefault="00146E14" w:rsidP="00102092">
      <w:pPr>
        <w:numPr>
          <w:ilvl w:val="0"/>
          <w:numId w:val="17"/>
        </w:numPr>
        <w:ind w:left="1208" w:hanging="357"/>
        <w:rPr>
          <w:sz w:val="24"/>
          <w:szCs w:val="24"/>
        </w:rPr>
      </w:pPr>
      <w:proofErr w:type="spellStart"/>
      <w:r w:rsidRPr="00102092">
        <w:rPr>
          <w:sz w:val="24"/>
          <w:szCs w:val="24"/>
        </w:rPr>
        <w:t>Hyperchloræmisk</w:t>
      </w:r>
      <w:proofErr w:type="spellEnd"/>
      <w:r w:rsidRPr="00102092">
        <w:rPr>
          <w:sz w:val="24"/>
          <w:szCs w:val="24"/>
        </w:rPr>
        <w:t xml:space="preserve"> metabolisk </w:t>
      </w:r>
      <w:proofErr w:type="spellStart"/>
      <w:r w:rsidRPr="00102092">
        <w:rPr>
          <w:sz w:val="24"/>
          <w:szCs w:val="24"/>
        </w:rPr>
        <w:t>acidose</w:t>
      </w:r>
      <w:proofErr w:type="spellEnd"/>
    </w:p>
    <w:p w:rsidR="00146E14" w:rsidRPr="00102092" w:rsidRDefault="00146E14" w:rsidP="00102092">
      <w:pPr>
        <w:numPr>
          <w:ilvl w:val="0"/>
          <w:numId w:val="17"/>
        </w:numPr>
        <w:ind w:left="1208" w:hanging="357"/>
        <w:rPr>
          <w:sz w:val="24"/>
          <w:szCs w:val="24"/>
        </w:rPr>
      </w:pPr>
      <w:proofErr w:type="spellStart"/>
      <w:r w:rsidRPr="00102092">
        <w:rPr>
          <w:sz w:val="24"/>
          <w:szCs w:val="24"/>
        </w:rPr>
        <w:t>Hyponatriæmi</w:t>
      </w:r>
      <w:proofErr w:type="spellEnd"/>
      <w:r w:rsidRPr="00102092">
        <w:rPr>
          <w:sz w:val="24"/>
          <w:szCs w:val="24"/>
        </w:rPr>
        <w:t xml:space="preserve">, som kan være symptomatisk. </w:t>
      </w:r>
      <w:proofErr w:type="spellStart"/>
      <w:r w:rsidRPr="00102092">
        <w:rPr>
          <w:sz w:val="24"/>
          <w:szCs w:val="24"/>
        </w:rPr>
        <w:t>Hyponatriæmi</w:t>
      </w:r>
      <w:proofErr w:type="spellEnd"/>
      <w:r w:rsidRPr="00102092">
        <w:rPr>
          <w:sz w:val="24"/>
          <w:szCs w:val="24"/>
        </w:rPr>
        <w:t xml:space="preserve"> kan forekomme, når </w:t>
      </w:r>
      <w:proofErr w:type="spellStart"/>
      <w:r w:rsidRPr="00102092">
        <w:rPr>
          <w:sz w:val="24"/>
          <w:szCs w:val="24"/>
        </w:rPr>
        <w:t>ekskretionen</w:t>
      </w:r>
      <w:proofErr w:type="spellEnd"/>
      <w:r w:rsidRPr="00102092">
        <w:rPr>
          <w:sz w:val="24"/>
          <w:szCs w:val="24"/>
        </w:rPr>
        <w:t xml:space="preserve"> af frit vand er hæmmet (f.eks. SIADH eller postoperativt)</w:t>
      </w:r>
    </w:p>
    <w:p w:rsidR="00146E14" w:rsidRPr="00102092" w:rsidRDefault="00146E14" w:rsidP="00102092">
      <w:pPr>
        <w:rPr>
          <w:sz w:val="24"/>
          <w:szCs w:val="24"/>
        </w:rPr>
      </w:pPr>
    </w:p>
    <w:p w:rsidR="00146E14" w:rsidRPr="00102092" w:rsidRDefault="00146E14" w:rsidP="00102092">
      <w:pPr>
        <w:ind w:left="851"/>
        <w:rPr>
          <w:sz w:val="24"/>
          <w:szCs w:val="24"/>
        </w:rPr>
      </w:pPr>
      <w:r w:rsidRPr="00102092">
        <w:rPr>
          <w:sz w:val="24"/>
          <w:szCs w:val="24"/>
        </w:rPr>
        <w:t xml:space="preserve">Generelle bivirkninger som skyldes overskud af natrium er beskrevet i pkt. 4.9 </w:t>
      </w:r>
      <w:r w:rsidRPr="00102092">
        <w:rPr>
          <w:i/>
          <w:sz w:val="24"/>
          <w:szCs w:val="24"/>
        </w:rPr>
        <w:t>Overdosering</w:t>
      </w:r>
      <w:r w:rsidRPr="00102092">
        <w:rPr>
          <w:sz w:val="24"/>
          <w:szCs w:val="24"/>
        </w:rPr>
        <w:t>.</w:t>
      </w:r>
    </w:p>
    <w:p w:rsidR="00146E14" w:rsidRPr="00102092" w:rsidRDefault="00146E14" w:rsidP="00102092">
      <w:pPr>
        <w:pStyle w:val="Sidehoved"/>
        <w:ind w:left="851"/>
        <w:rPr>
          <w:szCs w:val="24"/>
        </w:rPr>
      </w:pPr>
    </w:p>
    <w:p w:rsidR="00146E14" w:rsidRPr="00102092" w:rsidRDefault="00146E14" w:rsidP="00102092">
      <w:pPr>
        <w:pStyle w:val="Sidehoved"/>
        <w:ind w:left="851"/>
        <w:rPr>
          <w:szCs w:val="24"/>
        </w:rPr>
      </w:pPr>
      <w:r w:rsidRPr="00102092">
        <w:rPr>
          <w:i/>
          <w:szCs w:val="24"/>
        </w:rPr>
        <w:t>Additiver</w:t>
      </w:r>
    </w:p>
    <w:p w:rsidR="00146E14" w:rsidRPr="00102092" w:rsidRDefault="00146E14" w:rsidP="00102092">
      <w:pPr>
        <w:ind w:left="851"/>
        <w:rPr>
          <w:sz w:val="24"/>
          <w:szCs w:val="24"/>
        </w:rPr>
      </w:pPr>
      <w:r w:rsidRPr="00102092">
        <w:rPr>
          <w:sz w:val="24"/>
          <w:szCs w:val="24"/>
        </w:rPr>
        <w:t xml:space="preserve">Når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anvendes som en fortyndingsvæske for </w:t>
      </w:r>
      <w:proofErr w:type="spellStart"/>
      <w:r w:rsidRPr="00102092">
        <w:rPr>
          <w:sz w:val="24"/>
          <w:szCs w:val="24"/>
        </w:rPr>
        <w:t>injicerbare</w:t>
      </w:r>
      <w:proofErr w:type="spellEnd"/>
      <w:r w:rsidRPr="00102092">
        <w:rPr>
          <w:sz w:val="24"/>
          <w:szCs w:val="24"/>
        </w:rPr>
        <w:t xml:space="preserve"> tilberedninger af andre lægemidler, vil sandsynligheden for andre uønskede virkninger afhænge af egenskaberne for additiverne.</w:t>
      </w:r>
    </w:p>
    <w:p w:rsidR="00146E14" w:rsidRPr="00102092" w:rsidRDefault="00146E14" w:rsidP="00102092">
      <w:pPr>
        <w:ind w:left="851"/>
        <w:rPr>
          <w:sz w:val="24"/>
          <w:szCs w:val="24"/>
        </w:rPr>
      </w:pPr>
      <w:r w:rsidRPr="00102092">
        <w:rPr>
          <w:sz w:val="24"/>
          <w:szCs w:val="24"/>
        </w:rPr>
        <w:lastRenderedPageBreak/>
        <w:t>Hvis en bivirkning forekommer, skal patientens tilstand evalueres og passende behandlingstiltag iværksættes. Hvis nødvendigt bør infusionen stoppes. Den resterende opløsning bør gemmes til undersøgelser, såfremt dette vurderes at være nødvendigt.</w:t>
      </w:r>
    </w:p>
    <w:p w:rsidR="00146E14" w:rsidRPr="00102092" w:rsidRDefault="00146E14" w:rsidP="00102092">
      <w:pPr>
        <w:ind w:left="851"/>
        <w:rPr>
          <w:sz w:val="24"/>
          <w:szCs w:val="24"/>
        </w:rPr>
      </w:pPr>
    </w:p>
    <w:p w:rsidR="00146E14" w:rsidRPr="00102092" w:rsidRDefault="00146E14" w:rsidP="00102092">
      <w:pPr>
        <w:tabs>
          <w:tab w:val="left" w:pos="851"/>
        </w:tabs>
        <w:autoSpaceDE w:val="0"/>
        <w:autoSpaceDN w:val="0"/>
        <w:adjustRightInd w:val="0"/>
        <w:ind w:left="851"/>
        <w:rPr>
          <w:sz w:val="24"/>
          <w:szCs w:val="24"/>
          <w:u w:val="single"/>
        </w:rPr>
      </w:pPr>
      <w:r w:rsidRPr="00102092">
        <w:rPr>
          <w:noProof/>
          <w:sz w:val="24"/>
          <w:szCs w:val="24"/>
          <w:u w:val="single"/>
        </w:rPr>
        <w:t>Indberetning af formodede bivirkninger</w:t>
      </w:r>
    </w:p>
    <w:p w:rsidR="00146E14" w:rsidRPr="00102092" w:rsidRDefault="00146E14" w:rsidP="00102092">
      <w:pPr>
        <w:tabs>
          <w:tab w:val="left" w:pos="851"/>
        </w:tabs>
        <w:autoSpaceDE w:val="0"/>
        <w:autoSpaceDN w:val="0"/>
        <w:adjustRightInd w:val="0"/>
        <w:ind w:left="851"/>
        <w:rPr>
          <w:noProof/>
          <w:sz w:val="24"/>
          <w:szCs w:val="24"/>
        </w:rPr>
      </w:pPr>
      <w:r w:rsidRPr="00102092">
        <w:rPr>
          <w:noProof/>
          <w:sz w:val="24"/>
          <w:szCs w:val="24"/>
        </w:rPr>
        <w:t>Når lægemidlet er godkendt, er indberetning af formodede bivirkninger vigtig.</w:t>
      </w:r>
      <w:r w:rsidRPr="00102092">
        <w:rPr>
          <w:sz w:val="24"/>
          <w:szCs w:val="24"/>
        </w:rPr>
        <w:t xml:space="preserve"> </w:t>
      </w:r>
      <w:r w:rsidRPr="00102092">
        <w:rPr>
          <w:noProof/>
          <w:sz w:val="24"/>
          <w:szCs w:val="24"/>
        </w:rPr>
        <w:t>Det muliggør løbende overvågning af benefit/risk-forholdet for lægemidlet.</w:t>
      </w:r>
      <w:r w:rsidRPr="00102092">
        <w:rPr>
          <w:sz w:val="24"/>
          <w:szCs w:val="24"/>
        </w:rPr>
        <w:t xml:space="preserve"> </w:t>
      </w:r>
      <w:r w:rsidR="00065E1D">
        <w:rPr>
          <w:noProof/>
          <w:sz w:val="24"/>
          <w:szCs w:val="24"/>
        </w:rPr>
        <w:t>S</w:t>
      </w:r>
      <w:r w:rsidRPr="00102092">
        <w:rPr>
          <w:noProof/>
          <w:sz w:val="24"/>
          <w:szCs w:val="24"/>
        </w:rPr>
        <w:t>undhedsperson</w:t>
      </w:r>
      <w:r w:rsidR="00065E1D">
        <w:rPr>
          <w:noProof/>
          <w:sz w:val="24"/>
          <w:szCs w:val="24"/>
        </w:rPr>
        <w:t>er</w:t>
      </w:r>
      <w:r w:rsidRPr="00102092">
        <w:rPr>
          <w:noProof/>
          <w:sz w:val="24"/>
          <w:szCs w:val="24"/>
        </w:rPr>
        <w:t xml:space="preserve"> anmodes om at indberette alle formodede bivirkninger via:</w:t>
      </w:r>
    </w:p>
    <w:p w:rsidR="00146E14" w:rsidRPr="00102092" w:rsidRDefault="00146E14" w:rsidP="00102092">
      <w:pPr>
        <w:tabs>
          <w:tab w:val="left" w:pos="851"/>
        </w:tabs>
        <w:autoSpaceDE w:val="0"/>
        <w:autoSpaceDN w:val="0"/>
        <w:adjustRightInd w:val="0"/>
        <w:ind w:left="851"/>
        <w:rPr>
          <w:noProof/>
          <w:sz w:val="24"/>
          <w:szCs w:val="24"/>
        </w:rPr>
      </w:pPr>
    </w:p>
    <w:p w:rsidR="00146E14" w:rsidRPr="00102092" w:rsidRDefault="00146E14" w:rsidP="00102092">
      <w:pPr>
        <w:tabs>
          <w:tab w:val="left" w:pos="851"/>
        </w:tabs>
        <w:ind w:left="851"/>
        <w:rPr>
          <w:rFonts w:eastAsia="Calibri"/>
          <w:color w:val="000000"/>
          <w:sz w:val="24"/>
          <w:szCs w:val="24"/>
          <w:lang w:eastAsia="zh-CN"/>
        </w:rPr>
      </w:pPr>
      <w:r w:rsidRPr="00102092">
        <w:rPr>
          <w:rFonts w:eastAsia="Calibri"/>
          <w:color w:val="000000"/>
          <w:sz w:val="24"/>
          <w:szCs w:val="24"/>
          <w:lang w:eastAsia="zh-CN"/>
        </w:rPr>
        <w:t>Lægemiddelstyrelsen</w:t>
      </w:r>
    </w:p>
    <w:p w:rsidR="00146E14" w:rsidRPr="00102092" w:rsidRDefault="00146E14" w:rsidP="00102092">
      <w:pPr>
        <w:tabs>
          <w:tab w:val="left" w:pos="851"/>
        </w:tabs>
        <w:ind w:left="851"/>
        <w:rPr>
          <w:rFonts w:eastAsia="Calibri"/>
          <w:noProof/>
          <w:sz w:val="24"/>
          <w:szCs w:val="24"/>
          <w:lang w:eastAsia="zh-CN"/>
        </w:rPr>
      </w:pPr>
      <w:r w:rsidRPr="00102092">
        <w:rPr>
          <w:rFonts w:eastAsia="Calibri"/>
          <w:sz w:val="24"/>
          <w:szCs w:val="24"/>
          <w:lang w:eastAsia="zh-CN"/>
        </w:rPr>
        <w:t>Axel Heides Gade 1</w:t>
      </w:r>
    </w:p>
    <w:p w:rsidR="00146E14" w:rsidRPr="00102092" w:rsidRDefault="00146E14" w:rsidP="00102092">
      <w:pPr>
        <w:tabs>
          <w:tab w:val="left" w:pos="851"/>
        </w:tabs>
        <w:ind w:left="851"/>
        <w:rPr>
          <w:rFonts w:eastAsia="Calibri"/>
          <w:noProof/>
          <w:sz w:val="24"/>
          <w:szCs w:val="24"/>
          <w:lang w:eastAsia="zh-CN"/>
        </w:rPr>
      </w:pPr>
      <w:r w:rsidRPr="00102092">
        <w:rPr>
          <w:rFonts w:eastAsia="Calibri"/>
          <w:noProof/>
          <w:sz w:val="24"/>
          <w:szCs w:val="24"/>
          <w:lang w:eastAsia="zh-CN"/>
        </w:rPr>
        <w:t xml:space="preserve">DK-2300 </w:t>
      </w:r>
      <w:r w:rsidRPr="00102092">
        <w:rPr>
          <w:rFonts w:eastAsia="Calibri"/>
          <w:sz w:val="24"/>
          <w:szCs w:val="24"/>
          <w:lang w:eastAsia="zh-CN"/>
        </w:rPr>
        <w:t>København S</w:t>
      </w:r>
    </w:p>
    <w:p w:rsidR="00146E14" w:rsidRPr="001A2190" w:rsidRDefault="00146E14" w:rsidP="00102092">
      <w:pPr>
        <w:tabs>
          <w:tab w:val="left" w:pos="-720"/>
          <w:tab w:val="left" w:pos="851"/>
        </w:tabs>
        <w:suppressAutoHyphens/>
        <w:ind w:left="851"/>
        <w:rPr>
          <w:rFonts w:eastAsia="Calibri"/>
          <w:noProof/>
          <w:sz w:val="24"/>
          <w:szCs w:val="24"/>
          <w:lang w:eastAsia="zh-CN"/>
        </w:rPr>
      </w:pPr>
      <w:r w:rsidRPr="001A2190">
        <w:rPr>
          <w:rFonts w:eastAsia="Calibri"/>
          <w:sz w:val="24"/>
          <w:szCs w:val="24"/>
          <w:lang w:eastAsia="zh-CN"/>
        </w:rPr>
        <w:t>Websted</w:t>
      </w:r>
      <w:r w:rsidRPr="001A2190">
        <w:rPr>
          <w:rFonts w:eastAsia="Calibri"/>
          <w:noProof/>
          <w:sz w:val="24"/>
          <w:szCs w:val="24"/>
          <w:lang w:eastAsia="zh-CN"/>
        </w:rPr>
        <w:t xml:space="preserve">: </w:t>
      </w:r>
      <w:hyperlink r:id="rId9" w:history="1">
        <w:r w:rsidRPr="001A2190">
          <w:rPr>
            <w:rFonts w:eastAsia="Calibri"/>
            <w:noProof/>
            <w:color w:val="0000FF"/>
            <w:sz w:val="24"/>
            <w:szCs w:val="24"/>
            <w:u w:val="single"/>
            <w:lang w:eastAsia="zh-CN"/>
          </w:rPr>
          <w:t>www.meldenbivirkning.dk</w:t>
        </w:r>
      </w:hyperlink>
    </w:p>
    <w:p w:rsidR="00146E14" w:rsidRPr="001A2190" w:rsidRDefault="00146E14" w:rsidP="00102092">
      <w:pPr>
        <w:pStyle w:val="Sidehoved"/>
        <w:tabs>
          <w:tab w:val="clear" w:pos="4819"/>
          <w:tab w:val="clear" w:pos="9638"/>
          <w:tab w:val="left" w:pos="851"/>
        </w:tabs>
        <w:rPr>
          <w:szCs w:val="24"/>
        </w:rPr>
      </w:pPr>
    </w:p>
    <w:p w:rsidR="0039269E" w:rsidRPr="00102092" w:rsidRDefault="0039269E" w:rsidP="00102092">
      <w:pPr>
        <w:tabs>
          <w:tab w:val="left" w:pos="851"/>
        </w:tabs>
        <w:ind w:left="851" w:hanging="851"/>
        <w:rPr>
          <w:b/>
          <w:sz w:val="24"/>
          <w:szCs w:val="24"/>
        </w:rPr>
      </w:pPr>
      <w:r w:rsidRPr="00102092">
        <w:rPr>
          <w:b/>
          <w:sz w:val="24"/>
          <w:szCs w:val="24"/>
        </w:rPr>
        <w:t>4.9</w:t>
      </w:r>
      <w:r w:rsidRPr="00102092">
        <w:rPr>
          <w:b/>
          <w:sz w:val="24"/>
          <w:szCs w:val="24"/>
        </w:rPr>
        <w:tab/>
        <w:t>Overdosering</w:t>
      </w:r>
    </w:p>
    <w:p w:rsidR="00146E14" w:rsidRPr="00102092" w:rsidRDefault="00146E14" w:rsidP="00102092">
      <w:pPr>
        <w:ind w:left="851"/>
        <w:rPr>
          <w:sz w:val="24"/>
          <w:szCs w:val="24"/>
        </w:rPr>
      </w:pPr>
      <w:r w:rsidRPr="00102092">
        <w:rPr>
          <w:sz w:val="24"/>
          <w:szCs w:val="24"/>
        </w:rPr>
        <w:t xml:space="preserve">Generelle bivirkninger af natriumoverskud i kroppen omfatter kvalme, opkastning, diarré, mavekramper, tørst, nedsat spytafsondring og tåredannelse, svedeture, feber, </w:t>
      </w:r>
      <w:proofErr w:type="spellStart"/>
      <w:r w:rsidRPr="00102092">
        <w:rPr>
          <w:sz w:val="24"/>
          <w:szCs w:val="24"/>
        </w:rPr>
        <w:t>tachykardi</w:t>
      </w:r>
      <w:proofErr w:type="spellEnd"/>
      <w:r w:rsidRPr="00102092">
        <w:rPr>
          <w:sz w:val="24"/>
          <w:szCs w:val="24"/>
        </w:rPr>
        <w:t>, hypertension, nyresvigt, perifer- og lungeødem, åndedrætsophør, hovedpine, svimmelhed, uro i kroppen, irritation, svaghed, muskelstivhed og –spasmer, kramper, koma og død.</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Et for stort volumen af </w:t>
      </w:r>
      <w:proofErr w:type="spellStart"/>
      <w:r w:rsidRPr="00102092">
        <w:rPr>
          <w:sz w:val="24"/>
          <w:szCs w:val="24"/>
        </w:rPr>
        <w:t>natriumchlorid</w:t>
      </w:r>
      <w:proofErr w:type="spellEnd"/>
      <w:r w:rsidRPr="00102092">
        <w:rPr>
          <w:sz w:val="24"/>
          <w:szCs w:val="24"/>
        </w:rPr>
        <w:t xml:space="preserve"> 9 mg/ml kan føre til </w:t>
      </w:r>
      <w:proofErr w:type="spellStart"/>
      <w:r w:rsidRPr="00102092">
        <w:rPr>
          <w:sz w:val="24"/>
          <w:szCs w:val="24"/>
        </w:rPr>
        <w:t>hypernatriæmi</w:t>
      </w:r>
      <w:proofErr w:type="spellEnd"/>
      <w:r w:rsidRPr="00102092">
        <w:rPr>
          <w:sz w:val="24"/>
          <w:szCs w:val="24"/>
        </w:rPr>
        <w:t xml:space="preserve"> (som kan føre til CNS manifestationer, herunder anfald, koma, cerebralt ødem og død) og natriumoverbelastning (som kan føre til centralt og/eller perifært ødem) og bør behandles af en speciallæge. </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Overskud af </w:t>
      </w:r>
      <w:proofErr w:type="spellStart"/>
      <w:r w:rsidRPr="00102092">
        <w:rPr>
          <w:sz w:val="24"/>
          <w:szCs w:val="24"/>
        </w:rPr>
        <w:t>chlorid</w:t>
      </w:r>
      <w:proofErr w:type="spellEnd"/>
      <w:r w:rsidRPr="00102092">
        <w:rPr>
          <w:sz w:val="24"/>
          <w:szCs w:val="24"/>
        </w:rPr>
        <w:t xml:space="preserve"> i kroppen kan føre til tab af bikarbonat med en syredannende virkning.</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Når </w:t>
      </w:r>
      <w:proofErr w:type="spellStart"/>
      <w:r w:rsidRPr="00102092">
        <w:rPr>
          <w:sz w:val="24"/>
          <w:szCs w:val="24"/>
        </w:rPr>
        <w:t>natriumchlorid</w:t>
      </w:r>
      <w:proofErr w:type="spellEnd"/>
      <w:r w:rsidRPr="00102092">
        <w:rPr>
          <w:sz w:val="24"/>
          <w:szCs w:val="24"/>
        </w:rPr>
        <w:t xml:space="preserve"> 9 mg/ml anvendes som fortyndingsvæske for </w:t>
      </w:r>
      <w:proofErr w:type="spellStart"/>
      <w:r w:rsidRPr="00102092">
        <w:rPr>
          <w:sz w:val="24"/>
          <w:szCs w:val="24"/>
        </w:rPr>
        <w:t>injicerbare</w:t>
      </w:r>
      <w:proofErr w:type="spellEnd"/>
      <w:r w:rsidRPr="00102092">
        <w:rPr>
          <w:sz w:val="24"/>
          <w:szCs w:val="24"/>
        </w:rPr>
        <w:t xml:space="preserve"> tilberedninger af andre lægemidler, vil tegn og symptomer på overinfusion være relateret til de anvendte additivers egenskaber. I tilfælde af utilsigtet overinfusion bør behandlingen afbrydes, og patienten bør holdes under observation for de tegn og symptomer, som er relateret til det indgivne lægemiddel. Relevante og støttende foranstaltninger bør tilvejebringes, hvor det er påkrævet. </w:t>
      </w:r>
    </w:p>
    <w:p w:rsidR="00146E14" w:rsidRPr="00102092" w:rsidRDefault="00146E14" w:rsidP="00102092">
      <w:pPr>
        <w:pStyle w:val="Sidehoved"/>
        <w:tabs>
          <w:tab w:val="clear" w:pos="4819"/>
          <w:tab w:val="clear" w:pos="9638"/>
          <w:tab w:val="left" w:pos="851"/>
        </w:tabs>
        <w:ind w:left="851"/>
        <w:rPr>
          <w:szCs w:val="24"/>
        </w:rPr>
      </w:pPr>
    </w:p>
    <w:p w:rsidR="0039269E" w:rsidRPr="00102092" w:rsidRDefault="0039269E" w:rsidP="00102092">
      <w:pPr>
        <w:tabs>
          <w:tab w:val="left" w:pos="851"/>
        </w:tabs>
        <w:ind w:left="851" w:hanging="851"/>
        <w:rPr>
          <w:b/>
          <w:sz w:val="24"/>
          <w:szCs w:val="24"/>
        </w:rPr>
      </w:pPr>
      <w:r w:rsidRPr="00102092">
        <w:rPr>
          <w:b/>
          <w:sz w:val="24"/>
          <w:szCs w:val="24"/>
        </w:rPr>
        <w:t>4.10</w:t>
      </w:r>
      <w:r w:rsidRPr="00102092">
        <w:rPr>
          <w:b/>
          <w:sz w:val="24"/>
          <w:szCs w:val="24"/>
        </w:rPr>
        <w:tab/>
        <w:t>Udlevering</w:t>
      </w:r>
    </w:p>
    <w:p w:rsidR="00146E14" w:rsidRPr="00102092" w:rsidRDefault="00146E14" w:rsidP="00102092">
      <w:pPr>
        <w:tabs>
          <w:tab w:val="left" w:pos="851"/>
        </w:tabs>
        <w:ind w:left="851" w:hanging="851"/>
        <w:rPr>
          <w:sz w:val="24"/>
          <w:szCs w:val="24"/>
        </w:rPr>
      </w:pPr>
      <w:r w:rsidRPr="00102092">
        <w:rPr>
          <w:sz w:val="24"/>
          <w:szCs w:val="24"/>
        </w:rPr>
        <w:tab/>
        <w:t>B</w:t>
      </w:r>
    </w:p>
    <w:p w:rsidR="00146E14" w:rsidRPr="00102092" w:rsidRDefault="00146E14" w:rsidP="00102092">
      <w:pPr>
        <w:tabs>
          <w:tab w:val="left" w:pos="851"/>
        </w:tabs>
        <w:rPr>
          <w:sz w:val="24"/>
          <w:szCs w:val="24"/>
        </w:rPr>
      </w:pPr>
    </w:p>
    <w:p w:rsidR="00146E14" w:rsidRPr="00102092" w:rsidRDefault="00146E14" w:rsidP="00102092">
      <w:pPr>
        <w:tabs>
          <w:tab w:val="left" w:pos="851"/>
        </w:tabs>
        <w:rPr>
          <w:sz w:val="24"/>
          <w:szCs w:val="24"/>
        </w:rPr>
      </w:pPr>
    </w:p>
    <w:p w:rsidR="0039269E" w:rsidRPr="00102092" w:rsidRDefault="0039269E" w:rsidP="00102092">
      <w:pPr>
        <w:tabs>
          <w:tab w:val="left" w:pos="851"/>
        </w:tabs>
        <w:ind w:left="851" w:hanging="851"/>
        <w:rPr>
          <w:b/>
          <w:sz w:val="24"/>
          <w:szCs w:val="24"/>
        </w:rPr>
      </w:pPr>
      <w:r w:rsidRPr="00102092">
        <w:rPr>
          <w:b/>
          <w:sz w:val="24"/>
          <w:szCs w:val="24"/>
        </w:rPr>
        <w:t>5.</w:t>
      </w:r>
      <w:r w:rsidRPr="00102092">
        <w:rPr>
          <w:b/>
          <w:sz w:val="24"/>
          <w:szCs w:val="24"/>
        </w:rPr>
        <w:tab/>
        <w:t>FARMAKOLOGISKE EGENSKABER</w:t>
      </w:r>
    </w:p>
    <w:p w:rsidR="00146E14" w:rsidRPr="00102092" w:rsidRDefault="00146E14" w:rsidP="00102092">
      <w:pPr>
        <w:tabs>
          <w:tab w:val="left" w:pos="851"/>
        </w:tabs>
        <w:rPr>
          <w:sz w:val="24"/>
          <w:szCs w:val="24"/>
        </w:rPr>
      </w:pPr>
    </w:p>
    <w:p w:rsidR="00D55147" w:rsidRPr="00102092" w:rsidRDefault="00D55147" w:rsidP="00102092">
      <w:pPr>
        <w:tabs>
          <w:tab w:val="num" w:pos="851"/>
        </w:tabs>
        <w:ind w:left="851" w:hanging="851"/>
        <w:rPr>
          <w:b/>
          <w:sz w:val="24"/>
          <w:szCs w:val="24"/>
        </w:rPr>
      </w:pPr>
      <w:r w:rsidRPr="00102092">
        <w:rPr>
          <w:b/>
          <w:sz w:val="24"/>
          <w:szCs w:val="24"/>
        </w:rPr>
        <w:t>5.1</w:t>
      </w:r>
      <w:r w:rsidRPr="00102092">
        <w:rPr>
          <w:b/>
          <w:sz w:val="24"/>
          <w:szCs w:val="24"/>
        </w:rPr>
        <w:tab/>
      </w:r>
      <w:proofErr w:type="spellStart"/>
      <w:r w:rsidRPr="00102092">
        <w:rPr>
          <w:b/>
          <w:sz w:val="24"/>
          <w:szCs w:val="24"/>
        </w:rPr>
        <w:t>Farmakodynamiske</w:t>
      </w:r>
      <w:proofErr w:type="spellEnd"/>
      <w:r w:rsidRPr="00102092">
        <w:rPr>
          <w:b/>
          <w:sz w:val="24"/>
          <w:szCs w:val="24"/>
        </w:rPr>
        <w:t xml:space="preserve"> egenskaber</w:t>
      </w:r>
    </w:p>
    <w:p w:rsidR="00F23B5F" w:rsidRPr="00102092" w:rsidRDefault="00F23B5F" w:rsidP="00F23B5F">
      <w:pPr>
        <w:tabs>
          <w:tab w:val="left" w:pos="851"/>
        </w:tabs>
        <w:ind w:left="855"/>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102092">
        <w:rPr>
          <w:sz w:val="24"/>
          <w:szCs w:val="24"/>
        </w:rPr>
        <w:t>Andre infusionskoncentrater.</w:t>
      </w:r>
      <w:r>
        <w:rPr>
          <w:sz w:val="24"/>
          <w:szCs w:val="24"/>
        </w:rPr>
        <w:t xml:space="preserve"> </w:t>
      </w:r>
      <w:r w:rsidRPr="00102092">
        <w:rPr>
          <w:sz w:val="24"/>
          <w:szCs w:val="24"/>
        </w:rPr>
        <w:t>ATC-kode B</w:t>
      </w:r>
      <w:r>
        <w:rPr>
          <w:sz w:val="24"/>
          <w:szCs w:val="24"/>
        </w:rPr>
        <w:t xml:space="preserve"> </w:t>
      </w:r>
      <w:r w:rsidRPr="00102092">
        <w:rPr>
          <w:sz w:val="24"/>
          <w:szCs w:val="24"/>
        </w:rPr>
        <w:t>05</w:t>
      </w:r>
      <w:r>
        <w:rPr>
          <w:sz w:val="24"/>
          <w:szCs w:val="24"/>
        </w:rPr>
        <w:t xml:space="preserve"> BB 01. </w:t>
      </w:r>
    </w:p>
    <w:p w:rsidR="00F23B5F" w:rsidRDefault="00F23B5F" w:rsidP="00102092">
      <w:pPr>
        <w:suppressAutoHyphens/>
        <w:ind w:left="851"/>
        <w:rPr>
          <w:sz w:val="24"/>
          <w:szCs w:val="24"/>
        </w:rPr>
      </w:pPr>
    </w:p>
    <w:p w:rsidR="00146E14" w:rsidRPr="00102092" w:rsidRDefault="00146E14" w:rsidP="00102092">
      <w:pPr>
        <w:suppressAutoHyphens/>
        <w:ind w:left="851"/>
        <w:rPr>
          <w:sz w:val="24"/>
          <w:szCs w:val="24"/>
        </w:rPr>
      </w:pPr>
      <w:r w:rsidRPr="00102092">
        <w:rPr>
          <w:sz w:val="24"/>
          <w:szCs w:val="24"/>
        </w:rPr>
        <w:t xml:space="preserve">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er en isotonisk opløsning med en omtrentlig </w:t>
      </w:r>
      <w:proofErr w:type="spellStart"/>
      <w:r w:rsidRPr="00102092">
        <w:rPr>
          <w:sz w:val="24"/>
          <w:szCs w:val="24"/>
        </w:rPr>
        <w:t>osmolaritet</w:t>
      </w:r>
      <w:proofErr w:type="spellEnd"/>
      <w:r w:rsidRPr="00102092">
        <w:rPr>
          <w:sz w:val="24"/>
          <w:szCs w:val="24"/>
        </w:rPr>
        <w:t xml:space="preserve"> på 308 </w:t>
      </w:r>
      <w:proofErr w:type="spellStart"/>
      <w:r w:rsidRPr="00102092">
        <w:rPr>
          <w:sz w:val="24"/>
          <w:szCs w:val="24"/>
        </w:rPr>
        <w:t>mosm</w:t>
      </w:r>
      <w:proofErr w:type="spellEnd"/>
      <w:r w:rsidRPr="00102092">
        <w:rPr>
          <w:sz w:val="24"/>
          <w:szCs w:val="24"/>
        </w:rPr>
        <w:t>/l.</w:t>
      </w:r>
    </w:p>
    <w:p w:rsidR="00146E14" w:rsidRPr="00102092" w:rsidRDefault="00146E14" w:rsidP="00102092">
      <w:pPr>
        <w:suppressAutoHyphens/>
        <w:ind w:left="851"/>
        <w:rPr>
          <w:sz w:val="24"/>
          <w:szCs w:val="24"/>
        </w:rPr>
      </w:pPr>
      <w:r w:rsidRPr="00102092">
        <w:rPr>
          <w:sz w:val="24"/>
          <w:szCs w:val="24"/>
        </w:rPr>
        <w:t xml:space="preserve">Opløsningens </w:t>
      </w:r>
      <w:proofErr w:type="spellStart"/>
      <w:r w:rsidRPr="00102092">
        <w:rPr>
          <w:sz w:val="24"/>
          <w:szCs w:val="24"/>
        </w:rPr>
        <w:t>farmakodynamiske</w:t>
      </w:r>
      <w:proofErr w:type="spellEnd"/>
      <w:r w:rsidRPr="00102092">
        <w:rPr>
          <w:sz w:val="24"/>
          <w:szCs w:val="24"/>
        </w:rPr>
        <w:t xml:space="preserve"> egenskaber er de for natrium- og </w:t>
      </w:r>
      <w:proofErr w:type="spellStart"/>
      <w:r w:rsidRPr="00102092">
        <w:rPr>
          <w:sz w:val="24"/>
          <w:szCs w:val="24"/>
        </w:rPr>
        <w:t>chloridionerne</w:t>
      </w:r>
      <w:proofErr w:type="spellEnd"/>
      <w:r w:rsidRPr="00102092">
        <w:rPr>
          <w:sz w:val="24"/>
          <w:szCs w:val="24"/>
        </w:rPr>
        <w:t>, der indgår i opretholdelsen af væske- og elektrolytbalancen. Ioner såsom natrium cirkulerer gennem cellemembranen ved anvendelse af forskellige transportmekanismer, bl.a. natriumpumpen (Na-K-</w:t>
      </w:r>
      <w:proofErr w:type="spellStart"/>
      <w:r w:rsidRPr="00102092">
        <w:rPr>
          <w:sz w:val="24"/>
          <w:szCs w:val="24"/>
        </w:rPr>
        <w:t>ATPase</w:t>
      </w:r>
      <w:proofErr w:type="spellEnd"/>
      <w:r w:rsidRPr="00102092">
        <w:rPr>
          <w:sz w:val="24"/>
          <w:szCs w:val="24"/>
        </w:rPr>
        <w:t xml:space="preserve">). Natrium spiller en vigtig rolle i </w:t>
      </w:r>
      <w:proofErr w:type="spellStart"/>
      <w:r w:rsidRPr="00102092">
        <w:rPr>
          <w:sz w:val="24"/>
          <w:szCs w:val="24"/>
        </w:rPr>
        <w:t>neurotransmission</w:t>
      </w:r>
      <w:proofErr w:type="spellEnd"/>
      <w:r w:rsidRPr="00102092">
        <w:rPr>
          <w:sz w:val="24"/>
          <w:szCs w:val="24"/>
        </w:rPr>
        <w:t xml:space="preserve"> og </w:t>
      </w:r>
      <w:proofErr w:type="spellStart"/>
      <w:r w:rsidRPr="00102092">
        <w:rPr>
          <w:sz w:val="24"/>
          <w:szCs w:val="24"/>
        </w:rPr>
        <w:t>cardioelektrofysiologi</w:t>
      </w:r>
      <w:proofErr w:type="spellEnd"/>
      <w:r w:rsidRPr="00102092">
        <w:rPr>
          <w:sz w:val="24"/>
          <w:szCs w:val="24"/>
        </w:rPr>
        <w:t xml:space="preserve"> samt i nyremetabolismen.</w:t>
      </w:r>
    </w:p>
    <w:p w:rsidR="00146E14" w:rsidRPr="00102092" w:rsidRDefault="00146E14" w:rsidP="00102092">
      <w:pPr>
        <w:pStyle w:val="Sidehoved"/>
        <w:tabs>
          <w:tab w:val="clear" w:pos="4819"/>
          <w:tab w:val="clear" w:pos="9638"/>
          <w:tab w:val="left" w:pos="851"/>
        </w:tabs>
        <w:rPr>
          <w:szCs w:val="24"/>
        </w:rPr>
      </w:pPr>
    </w:p>
    <w:p w:rsidR="00D55147" w:rsidRPr="00102092" w:rsidRDefault="00D55147" w:rsidP="00102092">
      <w:pPr>
        <w:tabs>
          <w:tab w:val="left" w:pos="851"/>
        </w:tabs>
        <w:ind w:left="851" w:hanging="851"/>
        <w:rPr>
          <w:b/>
          <w:sz w:val="24"/>
          <w:szCs w:val="24"/>
        </w:rPr>
      </w:pPr>
      <w:r w:rsidRPr="00102092">
        <w:rPr>
          <w:b/>
          <w:sz w:val="24"/>
          <w:szCs w:val="24"/>
        </w:rPr>
        <w:lastRenderedPageBreak/>
        <w:t>5.2</w:t>
      </w:r>
      <w:r w:rsidRPr="00102092">
        <w:rPr>
          <w:b/>
          <w:sz w:val="24"/>
          <w:szCs w:val="24"/>
        </w:rPr>
        <w:tab/>
      </w:r>
      <w:proofErr w:type="spellStart"/>
      <w:r w:rsidRPr="00102092">
        <w:rPr>
          <w:b/>
          <w:sz w:val="24"/>
          <w:szCs w:val="24"/>
        </w:rPr>
        <w:t>Farmakokinetiske</w:t>
      </w:r>
      <w:proofErr w:type="spellEnd"/>
      <w:r w:rsidRPr="00102092">
        <w:rPr>
          <w:b/>
          <w:sz w:val="24"/>
          <w:szCs w:val="24"/>
        </w:rPr>
        <w:t xml:space="preserve"> egenskaber</w:t>
      </w:r>
    </w:p>
    <w:p w:rsidR="00146E14" w:rsidRPr="00102092" w:rsidRDefault="00146E14" w:rsidP="00102092">
      <w:pPr>
        <w:pStyle w:val="Brdtekstindrykning"/>
        <w:rPr>
          <w:szCs w:val="24"/>
        </w:rPr>
      </w:pPr>
      <w:r w:rsidRPr="00102092">
        <w:rPr>
          <w:szCs w:val="24"/>
        </w:rPr>
        <w:t xml:space="preserve">Natrium bliver overvejende udskilt af nyrerne, men der er høj grad af </w:t>
      </w:r>
      <w:proofErr w:type="spellStart"/>
      <w:r w:rsidRPr="00102092">
        <w:rPr>
          <w:szCs w:val="24"/>
        </w:rPr>
        <w:t>reabsorption</w:t>
      </w:r>
      <w:proofErr w:type="spellEnd"/>
      <w:r w:rsidRPr="00102092">
        <w:rPr>
          <w:szCs w:val="24"/>
        </w:rPr>
        <w:t xml:space="preserve"> i nyrerne.</w:t>
      </w:r>
    </w:p>
    <w:p w:rsidR="00146E14" w:rsidRPr="00102092" w:rsidRDefault="00146E14" w:rsidP="00102092">
      <w:pPr>
        <w:ind w:left="851"/>
        <w:rPr>
          <w:sz w:val="24"/>
          <w:szCs w:val="24"/>
        </w:rPr>
      </w:pPr>
      <w:r w:rsidRPr="00102092">
        <w:rPr>
          <w:sz w:val="24"/>
          <w:szCs w:val="24"/>
        </w:rPr>
        <w:t>Små mængder natrium afgives gennem fæces og sved.</w:t>
      </w:r>
    </w:p>
    <w:p w:rsidR="00146E14" w:rsidRPr="00102092" w:rsidRDefault="00146E14" w:rsidP="00102092">
      <w:pPr>
        <w:tabs>
          <w:tab w:val="left" w:pos="851"/>
        </w:tabs>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5.3</w:t>
      </w:r>
      <w:r w:rsidRPr="00102092">
        <w:rPr>
          <w:b/>
          <w:sz w:val="24"/>
          <w:szCs w:val="24"/>
        </w:rPr>
        <w:tab/>
      </w:r>
      <w:r w:rsidR="00F23B5F">
        <w:rPr>
          <w:b/>
          <w:sz w:val="24"/>
          <w:szCs w:val="24"/>
        </w:rPr>
        <w:t>Non-</w:t>
      </w:r>
      <w:r w:rsidRPr="00102092">
        <w:rPr>
          <w:b/>
          <w:sz w:val="24"/>
          <w:szCs w:val="24"/>
        </w:rPr>
        <w:t>kliniske sikkerhedsdata</w:t>
      </w:r>
    </w:p>
    <w:p w:rsidR="00146E14" w:rsidRPr="00102092" w:rsidRDefault="00146E14" w:rsidP="00102092">
      <w:pPr>
        <w:ind w:left="851"/>
        <w:rPr>
          <w:sz w:val="24"/>
          <w:szCs w:val="24"/>
        </w:rPr>
      </w:pPr>
      <w:r w:rsidRPr="00102092">
        <w:rPr>
          <w:sz w:val="24"/>
          <w:szCs w:val="24"/>
        </w:rPr>
        <w:t xml:space="preserve">Sikkerheden af </w:t>
      </w:r>
      <w:proofErr w:type="spellStart"/>
      <w:r w:rsidRPr="00102092">
        <w:rPr>
          <w:sz w:val="24"/>
          <w:szCs w:val="24"/>
        </w:rPr>
        <w:t>natriumchlorid</w:t>
      </w:r>
      <w:proofErr w:type="spellEnd"/>
      <w:r w:rsidRPr="00102092">
        <w:rPr>
          <w:sz w:val="24"/>
          <w:szCs w:val="24"/>
        </w:rPr>
        <w:t xml:space="preserve"> hos dyr har ingen relevans, da </w:t>
      </w:r>
      <w:proofErr w:type="spellStart"/>
      <w:r w:rsidRPr="00102092">
        <w:rPr>
          <w:sz w:val="24"/>
          <w:szCs w:val="24"/>
        </w:rPr>
        <w:t>natriumchlorid</w:t>
      </w:r>
      <w:proofErr w:type="spellEnd"/>
      <w:r w:rsidRPr="00102092">
        <w:rPr>
          <w:sz w:val="24"/>
          <w:szCs w:val="24"/>
        </w:rPr>
        <w:t xml:space="preserve"> indgår som en normal komponent i </w:t>
      </w:r>
      <w:proofErr w:type="spellStart"/>
      <w:r w:rsidRPr="00102092">
        <w:rPr>
          <w:sz w:val="24"/>
          <w:szCs w:val="24"/>
        </w:rPr>
        <w:t>animal</w:t>
      </w:r>
      <w:proofErr w:type="spellEnd"/>
      <w:r w:rsidRPr="00102092">
        <w:rPr>
          <w:sz w:val="24"/>
          <w:szCs w:val="24"/>
        </w:rPr>
        <w:t xml:space="preserve"> og </w:t>
      </w:r>
      <w:proofErr w:type="gramStart"/>
      <w:r w:rsidRPr="00102092">
        <w:rPr>
          <w:sz w:val="24"/>
          <w:szCs w:val="24"/>
        </w:rPr>
        <w:t>human plasma</w:t>
      </w:r>
      <w:proofErr w:type="gramEnd"/>
      <w:r w:rsidRPr="00102092">
        <w:rPr>
          <w:sz w:val="24"/>
          <w:szCs w:val="24"/>
        </w:rPr>
        <w:t>.</w:t>
      </w:r>
    </w:p>
    <w:p w:rsidR="00D55147" w:rsidRPr="00102092" w:rsidRDefault="00D55147" w:rsidP="00102092">
      <w:pPr>
        <w:tabs>
          <w:tab w:val="left" w:pos="851"/>
        </w:tabs>
        <w:ind w:left="851"/>
        <w:rPr>
          <w:sz w:val="24"/>
          <w:szCs w:val="24"/>
        </w:rPr>
      </w:pPr>
    </w:p>
    <w:p w:rsidR="00D55147" w:rsidRPr="00102092" w:rsidRDefault="00D55147" w:rsidP="00102092">
      <w:pPr>
        <w:tabs>
          <w:tab w:val="left" w:pos="851"/>
        </w:tabs>
        <w:ind w:left="851"/>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w:t>
      </w:r>
      <w:r w:rsidRPr="00102092">
        <w:rPr>
          <w:b/>
          <w:sz w:val="24"/>
          <w:szCs w:val="24"/>
        </w:rPr>
        <w:tab/>
        <w:t>FARMACEUTISKE OPLYSNINGER</w:t>
      </w:r>
    </w:p>
    <w:p w:rsidR="00D55147" w:rsidRPr="00102092" w:rsidRDefault="00D55147" w:rsidP="00102092">
      <w:pPr>
        <w:tabs>
          <w:tab w:val="left" w:pos="851"/>
        </w:tabs>
        <w:ind w:left="851"/>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6.1</w:t>
      </w:r>
      <w:r w:rsidRPr="00102092">
        <w:rPr>
          <w:b/>
          <w:sz w:val="24"/>
          <w:szCs w:val="24"/>
        </w:rPr>
        <w:tab/>
        <w:t>Hjælpestoffer</w:t>
      </w:r>
    </w:p>
    <w:p w:rsidR="00146E14" w:rsidRPr="00102092" w:rsidRDefault="00146E14" w:rsidP="00102092">
      <w:pPr>
        <w:tabs>
          <w:tab w:val="left" w:pos="851"/>
        </w:tabs>
        <w:ind w:left="851" w:hanging="851"/>
        <w:rPr>
          <w:sz w:val="24"/>
          <w:szCs w:val="24"/>
        </w:rPr>
      </w:pPr>
      <w:r w:rsidRPr="00102092">
        <w:rPr>
          <w:sz w:val="24"/>
          <w:szCs w:val="24"/>
        </w:rPr>
        <w:tab/>
        <w:t>Vand til injektionsvæsker.</w:t>
      </w:r>
    </w:p>
    <w:p w:rsidR="00146E14" w:rsidRPr="00102092" w:rsidRDefault="00146E14" w:rsidP="00102092">
      <w:pPr>
        <w:tabs>
          <w:tab w:val="left" w:pos="851"/>
        </w:tabs>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6.2</w:t>
      </w:r>
      <w:r w:rsidRPr="00102092">
        <w:rPr>
          <w:b/>
          <w:sz w:val="24"/>
          <w:szCs w:val="24"/>
        </w:rPr>
        <w:tab/>
        <w:t>Uforligeligheder</w:t>
      </w:r>
    </w:p>
    <w:p w:rsidR="00146E14" w:rsidRPr="00102092" w:rsidRDefault="00146E14" w:rsidP="00102092">
      <w:pPr>
        <w:ind w:left="855"/>
        <w:rPr>
          <w:sz w:val="24"/>
          <w:szCs w:val="24"/>
        </w:rPr>
      </w:pPr>
      <w:r w:rsidRPr="00102092">
        <w:rPr>
          <w:sz w:val="24"/>
          <w:szCs w:val="24"/>
        </w:rPr>
        <w:t xml:space="preserve">Som det gælder for alle parenterale opløsninger, skal additivers forligelighed med opløsningen vurderes før tilsætning. Hvis der ikke findes kompatibilitetsstudier, må denne opløsning ikke blandes med andre lægemidler. </w:t>
      </w:r>
    </w:p>
    <w:p w:rsidR="00146E14" w:rsidRPr="00102092" w:rsidRDefault="00146E14" w:rsidP="00102092">
      <w:pPr>
        <w:ind w:left="855"/>
        <w:rPr>
          <w:sz w:val="24"/>
          <w:szCs w:val="24"/>
        </w:rPr>
      </w:pPr>
    </w:p>
    <w:p w:rsidR="00146E14" w:rsidRPr="00102092" w:rsidRDefault="00146E14" w:rsidP="00102092">
      <w:pPr>
        <w:ind w:left="855"/>
        <w:rPr>
          <w:sz w:val="24"/>
          <w:szCs w:val="24"/>
        </w:rPr>
      </w:pPr>
      <w:r w:rsidRPr="00102092">
        <w:rPr>
          <w:sz w:val="24"/>
          <w:szCs w:val="24"/>
        </w:rPr>
        <w:t>De additiver, der vides at være uforligelige, bør ikke anvendes.</w:t>
      </w:r>
    </w:p>
    <w:p w:rsidR="00146E14" w:rsidRPr="00102092" w:rsidRDefault="00146E14" w:rsidP="00102092">
      <w:pPr>
        <w:ind w:left="855"/>
        <w:rPr>
          <w:sz w:val="24"/>
          <w:szCs w:val="24"/>
        </w:rPr>
      </w:pPr>
    </w:p>
    <w:p w:rsidR="00146E14" w:rsidRPr="00102092" w:rsidRDefault="00146E14" w:rsidP="00102092">
      <w:pPr>
        <w:ind w:left="855"/>
        <w:rPr>
          <w:sz w:val="24"/>
          <w:szCs w:val="24"/>
        </w:rPr>
      </w:pPr>
      <w:r w:rsidRPr="00102092">
        <w:rPr>
          <w:sz w:val="24"/>
          <w:szCs w:val="24"/>
        </w:rPr>
        <w:t xml:space="preserve">Se pkt. 6.6 for yderligere instruktioner om brugen af dette produkt med additiver. </w:t>
      </w:r>
    </w:p>
    <w:p w:rsidR="00146E14" w:rsidRPr="00102092" w:rsidRDefault="00146E14" w:rsidP="00102092">
      <w:pPr>
        <w:tabs>
          <w:tab w:val="left" w:pos="851"/>
        </w:tabs>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6.3</w:t>
      </w:r>
      <w:r w:rsidRPr="00102092">
        <w:rPr>
          <w:b/>
          <w:sz w:val="24"/>
          <w:szCs w:val="24"/>
        </w:rPr>
        <w:tab/>
        <w:t>Opbevaringstid</w:t>
      </w:r>
    </w:p>
    <w:p w:rsidR="00146E14" w:rsidRPr="00102092" w:rsidRDefault="00146E14" w:rsidP="00102092">
      <w:pPr>
        <w:ind w:left="851"/>
        <w:rPr>
          <w:sz w:val="24"/>
          <w:szCs w:val="24"/>
        </w:rPr>
      </w:pPr>
      <w:r w:rsidRPr="00102092">
        <w:rPr>
          <w:sz w:val="24"/>
          <w:szCs w:val="24"/>
        </w:rPr>
        <w:t xml:space="preserve">Opbevaringstid i uåbnet pakning: </w:t>
      </w:r>
    </w:p>
    <w:p w:rsidR="00146E14" w:rsidRPr="00102092" w:rsidRDefault="00146E14" w:rsidP="00102092">
      <w:pPr>
        <w:ind w:left="851"/>
        <w:rPr>
          <w:sz w:val="24"/>
          <w:szCs w:val="24"/>
        </w:rPr>
      </w:pPr>
      <w:r w:rsidRPr="00102092">
        <w:rPr>
          <w:sz w:val="24"/>
          <w:szCs w:val="24"/>
        </w:rPr>
        <w:t>50 ml pose: 15 måneder</w:t>
      </w:r>
    </w:p>
    <w:p w:rsidR="00146E14" w:rsidRPr="00102092" w:rsidRDefault="00146E14" w:rsidP="00102092">
      <w:pPr>
        <w:ind w:left="851"/>
        <w:rPr>
          <w:sz w:val="24"/>
          <w:szCs w:val="24"/>
        </w:rPr>
      </w:pPr>
      <w:r w:rsidRPr="00102092">
        <w:rPr>
          <w:sz w:val="24"/>
          <w:szCs w:val="24"/>
        </w:rPr>
        <w:t>100 ml pose: 2 år</w:t>
      </w:r>
    </w:p>
    <w:p w:rsidR="00146E14" w:rsidRPr="00102092" w:rsidRDefault="00146E14" w:rsidP="00102092">
      <w:pPr>
        <w:ind w:left="851"/>
        <w:rPr>
          <w:sz w:val="24"/>
          <w:szCs w:val="24"/>
        </w:rPr>
      </w:pPr>
      <w:r w:rsidRPr="00102092">
        <w:rPr>
          <w:sz w:val="24"/>
          <w:szCs w:val="24"/>
        </w:rPr>
        <w:t>250 og 500 ml poser: 2 år</w:t>
      </w:r>
    </w:p>
    <w:p w:rsidR="00146E14" w:rsidRPr="00102092" w:rsidRDefault="00146E14" w:rsidP="00102092">
      <w:pPr>
        <w:ind w:left="851"/>
        <w:rPr>
          <w:sz w:val="24"/>
          <w:szCs w:val="24"/>
        </w:rPr>
      </w:pPr>
      <w:r w:rsidRPr="00102092">
        <w:rPr>
          <w:sz w:val="24"/>
          <w:szCs w:val="24"/>
        </w:rPr>
        <w:t>1000 ml pose:3 år</w:t>
      </w:r>
    </w:p>
    <w:p w:rsidR="00146E14" w:rsidRPr="00102092" w:rsidRDefault="00146E14" w:rsidP="00102092">
      <w:pPr>
        <w:ind w:left="851"/>
        <w:rPr>
          <w:sz w:val="24"/>
          <w:szCs w:val="24"/>
        </w:rPr>
      </w:pPr>
    </w:p>
    <w:p w:rsidR="00146E14" w:rsidRPr="00102092" w:rsidRDefault="00146E14" w:rsidP="00102092">
      <w:pPr>
        <w:ind w:left="851"/>
        <w:rPr>
          <w:sz w:val="24"/>
          <w:szCs w:val="24"/>
          <w:u w:val="single"/>
        </w:rPr>
      </w:pPr>
      <w:r w:rsidRPr="00102092">
        <w:rPr>
          <w:sz w:val="24"/>
          <w:szCs w:val="24"/>
          <w:u w:val="single"/>
        </w:rPr>
        <w:t>Opbevaringstid under anvendelse: Additiver.</w:t>
      </w:r>
    </w:p>
    <w:p w:rsidR="00146E14" w:rsidRPr="00102092" w:rsidRDefault="00146E14" w:rsidP="00102092">
      <w:pPr>
        <w:ind w:left="851"/>
        <w:rPr>
          <w:sz w:val="24"/>
          <w:szCs w:val="24"/>
        </w:rPr>
      </w:pPr>
      <w:r w:rsidRPr="00102092">
        <w:rPr>
          <w:sz w:val="24"/>
          <w:szCs w:val="24"/>
        </w:rPr>
        <w:t xml:space="preserve">Inden anvendelse skal den kemisk/fysiske stabilitet af ethvert additiv fastsættes ved den pH, som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har.</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Ud fra et mikrobiologisk synspunkt skal det fortyndede produkt anvendes straks medmindre fortyndingen er foretaget under kontrollerede og validerede aseptiske forhold. Anvendes det fortyndede produkt ikke med det samme er holdbarheden og forholdene inden anvendelse på brugerens eget ansvar.</w:t>
      </w:r>
    </w:p>
    <w:p w:rsidR="00146E14" w:rsidRPr="00102092" w:rsidRDefault="00146E14" w:rsidP="00102092">
      <w:pPr>
        <w:ind w:left="851"/>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6.4</w:t>
      </w:r>
      <w:r w:rsidRPr="00102092">
        <w:rPr>
          <w:b/>
          <w:sz w:val="24"/>
          <w:szCs w:val="24"/>
        </w:rPr>
        <w:tab/>
        <w:t>Særlige opbevaringsforhold</w:t>
      </w:r>
    </w:p>
    <w:p w:rsidR="00146E14" w:rsidRPr="00102092" w:rsidRDefault="00146E14" w:rsidP="00102092">
      <w:pPr>
        <w:tabs>
          <w:tab w:val="left" w:pos="851"/>
        </w:tabs>
        <w:ind w:left="855"/>
        <w:rPr>
          <w:sz w:val="24"/>
          <w:szCs w:val="24"/>
        </w:rPr>
      </w:pPr>
      <w:r w:rsidRPr="00102092">
        <w:rPr>
          <w:sz w:val="24"/>
          <w:szCs w:val="24"/>
        </w:rPr>
        <w:t>50 og 100 ml poser: Må ikke opbevares ved temperaturer over 30 °C.</w:t>
      </w:r>
    </w:p>
    <w:p w:rsidR="00146E14" w:rsidRPr="00102092" w:rsidRDefault="00146E14" w:rsidP="00102092">
      <w:pPr>
        <w:tabs>
          <w:tab w:val="left" w:pos="851"/>
        </w:tabs>
        <w:ind w:left="855"/>
        <w:rPr>
          <w:sz w:val="24"/>
          <w:szCs w:val="24"/>
        </w:rPr>
      </w:pPr>
      <w:r w:rsidRPr="00102092">
        <w:rPr>
          <w:sz w:val="24"/>
          <w:szCs w:val="24"/>
        </w:rPr>
        <w:t>250, 500 og 1000 ml poser: Der er ingen særlige forholdsregler vedrørende opbevaringen for dette lægemiddel.</w:t>
      </w:r>
    </w:p>
    <w:p w:rsidR="00146E14" w:rsidRPr="00102092" w:rsidRDefault="00146E14" w:rsidP="00102092">
      <w:pPr>
        <w:tabs>
          <w:tab w:val="left" w:pos="851"/>
        </w:tabs>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6.5</w:t>
      </w:r>
      <w:r w:rsidRPr="00102092">
        <w:rPr>
          <w:b/>
          <w:sz w:val="24"/>
          <w:szCs w:val="24"/>
        </w:rPr>
        <w:tab/>
        <w:t>Emballagetype og pakningsstørrelser</w:t>
      </w:r>
    </w:p>
    <w:p w:rsidR="00146E14" w:rsidRPr="00102092" w:rsidRDefault="00146E14" w:rsidP="00102092">
      <w:pPr>
        <w:suppressAutoHyphens/>
        <w:ind w:left="851"/>
        <w:rPr>
          <w:sz w:val="24"/>
          <w:szCs w:val="24"/>
        </w:rPr>
      </w:pPr>
      <w:r w:rsidRPr="00102092">
        <w:rPr>
          <w:sz w:val="24"/>
          <w:szCs w:val="24"/>
        </w:rPr>
        <w:t xml:space="preserve">Posestørrelsen er enten 50, 100, 250, 500 eller 1000 ml. </w:t>
      </w:r>
    </w:p>
    <w:p w:rsidR="00146E14" w:rsidRPr="00102092" w:rsidRDefault="00146E14" w:rsidP="00102092">
      <w:pPr>
        <w:suppressAutoHyphens/>
        <w:ind w:left="851"/>
        <w:rPr>
          <w:sz w:val="24"/>
          <w:szCs w:val="24"/>
        </w:rPr>
      </w:pPr>
      <w:r w:rsidRPr="00102092">
        <w:rPr>
          <w:sz w:val="24"/>
          <w:szCs w:val="24"/>
        </w:rPr>
        <w:t xml:space="preserve">Poserne kendt som </w:t>
      </w:r>
      <w:proofErr w:type="spellStart"/>
      <w:r w:rsidRPr="00102092">
        <w:rPr>
          <w:sz w:val="24"/>
          <w:szCs w:val="24"/>
        </w:rPr>
        <w:t>Viaflo</w:t>
      </w:r>
      <w:proofErr w:type="spellEnd"/>
      <w:r w:rsidRPr="00102092">
        <w:rPr>
          <w:sz w:val="24"/>
          <w:szCs w:val="24"/>
        </w:rPr>
        <w:t xml:space="preserve"> er fremstillet af </w:t>
      </w:r>
      <w:proofErr w:type="spellStart"/>
      <w:r w:rsidRPr="00102092">
        <w:rPr>
          <w:sz w:val="24"/>
          <w:szCs w:val="24"/>
        </w:rPr>
        <w:t>polyolefin</w:t>
      </w:r>
      <w:proofErr w:type="spellEnd"/>
      <w:r w:rsidRPr="00102092">
        <w:rPr>
          <w:sz w:val="24"/>
          <w:szCs w:val="24"/>
        </w:rPr>
        <w:t xml:space="preserve">/polyamid </w:t>
      </w:r>
      <w:proofErr w:type="spellStart"/>
      <w:r w:rsidRPr="00102092">
        <w:rPr>
          <w:sz w:val="24"/>
          <w:szCs w:val="24"/>
        </w:rPr>
        <w:t>co</w:t>
      </w:r>
      <w:proofErr w:type="spellEnd"/>
      <w:r w:rsidRPr="00102092">
        <w:rPr>
          <w:sz w:val="24"/>
          <w:szCs w:val="24"/>
        </w:rPr>
        <w:t>-ekstruderet plast (PL-2442).</w:t>
      </w:r>
    </w:p>
    <w:p w:rsidR="00146E14" w:rsidRPr="00102092" w:rsidRDefault="00146E14" w:rsidP="00102092">
      <w:pPr>
        <w:suppressAutoHyphens/>
        <w:ind w:left="851"/>
        <w:rPr>
          <w:sz w:val="24"/>
          <w:szCs w:val="24"/>
        </w:rPr>
      </w:pPr>
    </w:p>
    <w:p w:rsidR="00146E14" w:rsidRPr="00102092" w:rsidRDefault="00146E14" w:rsidP="00102092">
      <w:pPr>
        <w:suppressAutoHyphens/>
        <w:ind w:left="851"/>
        <w:rPr>
          <w:sz w:val="24"/>
          <w:szCs w:val="24"/>
        </w:rPr>
      </w:pPr>
      <w:r w:rsidRPr="00102092">
        <w:rPr>
          <w:sz w:val="24"/>
          <w:szCs w:val="24"/>
        </w:rPr>
        <w:t>Poserne er pakket i en beskyttende plast yderpose sammensat af polyamid/polypropylen.</w:t>
      </w:r>
    </w:p>
    <w:p w:rsidR="00146E14" w:rsidRPr="00102092" w:rsidRDefault="00146E14" w:rsidP="00102092">
      <w:pPr>
        <w:suppressAutoHyphens/>
        <w:ind w:left="851"/>
        <w:rPr>
          <w:sz w:val="24"/>
          <w:szCs w:val="24"/>
        </w:rPr>
      </w:pPr>
    </w:p>
    <w:p w:rsidR="007F2D3C" w:rsidRDefault="007F2D3C" w:rsidP="007F2D3C">
      <w:pPr>
        <w:suppressAutoHyphens/>
        <w:ind w:left="851"/>
        <w:rPr>
          <w:sz w:val="24"/>
          <w:szCs w:val="24"/>
        </w:rPr>
      </w:pPr>
      <w:r>
        <w:rPr>
          <w:sz w:val="24"/>
          <w:szCs w:val="24"/>
        </w:rPr>
        <w:t>Pakningsstørrelser:</w:t>
      </w:r>
    </w:p>
    <w:p w:rsidR="007F2D3C" w:rsidRDefault="007F2D3C" w:rsidP="007F2D3C">
      <w:pPr>
        <w:suppressAutoHyphens/>
        <w:ind w:left="851"/>
        <w:rPr>
          <w:sz w:val="24"/>
          <w:szCs w:val="24"/>
        </w:rPr>
      </w:pPr>
      <w:r>
        <w:rPr>
          <w:sz w:val="24"/>
          <w:szCs w:val="24"/>
        </w:rPr>
        <w:t>50 poser a 50 ml pr. kasse</w:t>
      </w:r>
    </w:p>
    <w:p w:rsidR="007F2D3C" w:rsidRDefault="007F2D3C" w:rsidP="007F2D3C">
      <w:pPr>
        <w:suppressAutoHyphens/>
        <w:ind w:left="851"/>
        <w:rPr>
          <w:sz w:val="24"/>
          <w:szCs w:val="24"/>
        </w:rPr>
      </w:pPr>
      <w:r>
        <w:rPr>
          <w:sz w:val="24"/>
          <w:szCs w:val="24"/>
        </w:rPr>
        <w:t>75 poser a 50 ml pr. kasse</w:t>
      </w:r>
    </w:p>
    <w:p w:rsidR="007F2D3C" w:rsidRDefault="007F2D3C" w:rsidP="007F2D3C">
      <w:pPr>
        <w:suppressAutoHyphens/>
        <w:ind w:left="851"/>
        <w:rPr>
          <w:sz w:val="24"/>
          <w:szCs w:val="24"/>
        </w:rPr>
      </w:pPr>
      <w:r>
        <w:rPr>
          <w:sz w:val="24"/>
          <w:szCs w:val="24"/>
        </w:rPr>
        <w:t>1 pose a 50 ml</w:t>
      </w:r>
    </w:p>
    <w:p w:rsidR="007F2D3C" w:rsidRDefault="007F2D3C" w:rsidP="007F2D3C">
      <w:pPr>
        <w:suppressAutoHyphens/>
        <w:ind w:left="851"/>
        <w:rPr>
          <w:sz w:val="24"/>
          <w:szCs w:val="24"/>
        </w:rPr>
      </w:pPr>
      <w:r>
        <w:rPr>
          <w:sz w:val="24"/>
          <w:szCs w:val="24"/>
        </w:rPr>
        <w:t>50 poser a 100 ml pr. kasse</w:t>
      </w:r>
    </w:p>
    <w:p w:rsidR="007F2D3C" w:rsidRDefault="007F2D3C" w:rsidP="007F2D3C">
      <w:pPr>
        <w:suppressAutoHyphens/>
        <w:ind w:left="851"/>
        <w:rPr>
          <w:sz w:val="24"/>
          <w:szCs w:val="24"/>
        </w:rPr>
      </w:pPr>
      <w:r>
        <w:rPr>
          <w:sz w:val="24"/>
          <w:szCs w:val="24"/>
        </w:rPr>
        <w:t>60 poser a 100 ml pr. kasse</w:t>
      </w:r>
    </w:p>
    <w:p w:rsidR="007F2D3C" w:rsidRDefault="007F2D3C" w:rsidP="007F2D3C">
      <w:pPr>
        <w:suppressAutoHyphens/>
        <w:ind w:left="851"/>
        <w:rPr>
          <w:sz w:val="24"/>
          <w:szCs w:val="24"/>
          <w:lang w:val="en-US"/>
        </w:rPr>
      </w:pPr>
      <w:r>
        <w:rPr>
          <w:sz w:val="24"/>
          <w:szCs w:val="24"/>
          <w:lang w:val="en-US"/>
        </w:rPr>
        <w:t>1 pose a 100 ml</w:t>
      </w:r>
    </w:p>
    <w:p w:rsidR="007F2D3C" w:rsidRDefault="007F2D3C" w:rsidP="007F2D3C">
      <w:pPr>
        <w:suppressAutoHyphens/>
        <w:ind w:left="851"/>
        <w:rPr>
          <w:sz w:val="24"/>
          <w:szCs w:val="24"/>
          <w:lang w:val="en-US"/>
        </w:rPr>
      </w:pPr>
      <w:r>
        <w:rPr>
          <w:sz w:val="24"/>
          <w:szCs w:val="24"/>
          <w:lang w:val="en-US"/>
        </w:rPr>
        <w:t xml:space="preserve">30 poser a 250 ml pr. </w:t>
      </w:r>
      <w:proofErr w:type="spellStart"/>
      <w:r>
        <w:rPr>
          <w:sz w:val="24"/>
          <w:szCs w:val="24"/>
          <w:lang w:val="en-US"/>
        </w:rPr>
        <w:t>kasse</w:t>
      </w:r>
      <w:proofErr w:type="spellEnd"/>
    </w:p>
    <w:p w:rsidR="007F2D3C" w:rsidRDefault="007F2D3C" w:rsidP="007F2D3C">
      <w:pPr>
        <w:suppressAutoHyphens/>
        <w:ind w:left="851"/>
        <w:rPr>
          <w:sz w:val="24"/>
          <w:szCs w:val="24"/>
          <w:lang w:val="en-US"/>
        </w:rPr>
      </w:pPr>
      <w:r>
        <w:rPr>
          <w:sz w:val="24"/>
          <w:szCs w:val="24"/>
          <w:lang w:val="en-US"/>
        </w:rPr>
        <w:t>1 pose a 250 ml</w:t>
      </w:r>
    </w:p>
    <w:p w:rsidR="007F2D3C" w:rsidRDefault="007F2D3C" w:rsidP="007F2D3C">
      <w:pPr>
        <w:suppressAutoHyphens/>
        <w:ind w:left="851"/>
        <w:rPr>
          <w:sz w:val="24"/>
          <w:szCs w:val="24"/>
        </w:rPr>
      </w:pPr>
      <w:r>
        <w:rPr>
          <w:sz w:val="24"/>
          <w:szCs w:val="24"/>
        </w:rPr>
        <w:t>20 poser a 500 ml pr. Kasse</w:t>
      </w:r>
    </w:p>
    <w:p w:rsidR="007F2D3C" w:rsidRDefault="007F2D3C" w:rsidP="007F2D3C">
      <w:pPr>
        <w:suppressAutoHyphens/>
        <w:ind w:left="851"/>
        <w:rPr>
          <w:sz w:val="24"/>
          <w:szCs w:val="24"/>
        </w:rPr>
      </w:pPr>
      <w:r>
        <w:rPr>
          <w:sz w:val="24"/>
          <w:szCs w:val="24"/>
        </w:rPr>
        <w:t>1 pose a 500 ml</w:t>
      </w:r>
    </w:p>
    <w:p w:rsidR="007F2D3C" w:rsidRDefault="007F2D3C" w:rsidP="007F2D3C">
      <w:pPr>
        <w:suppressAutoHyphens/>
        <w:ind w:left="851"/>
        <w:rPr>
          <w:sz w:val="24"/>
          <w:szCs w:val="24"/>
        </w:rPr>
      </w:pPr>
      <w:r>
        <w:rPr>
          <w:sz w:val="24"/>
          <w:szCs w:val="24"/>
        </w:rPr>
        <w:t>10 poser a 1000 ml pr. kasse</w:t>
      </w:r>
    </w:p>
    <w:p w:rsidR="007F2D3C" w:rsidRDefault="007F2D3C" w:rsidP="007F2D3C">
      <w:pPr>
        <w:suppressAutoHyphens/>
        <w:ind w:left="851"/>
        <w:rPr>
          <w:sz w:val="24"/>
          <w:szCs w:val="24"/>
        </w:rPr>
      </w:pPr>
      <w:r>
        <w:rPr>
          <w:sz w:val="24"/>
          <w:szCs w:val="24"/>
        </w:rPr>
        <w:t>12 poser a 1000 ml pr. kasse</w:t>
      </w:r>
    </w:p>
    <w:p w:rsidR="007F2D3C" w:rsidRDefault="007F2D3C" w:rsidP="007F2D3C">
      <w:pPr>
        <w:suppressAutoHyphens/>
        <w:ind w:left="851"/>
        <w:rPr>
          <w:sz w:val="24"/>
          <w:szCs w:val="24"/>
        </w:rPr>
      </w:pPr>
      <w:r>
        <w:rPr>
          <w:sz w:val="24"/>
          <w:szCs w:val="24"/>
        </w:rPr>
        <w:t>1 pose a 1000 ml</w:t>
      </w:r>
    </w:p>
    <w:p w:rsidR="00146E14" w:rsidRPr="00706511" w:rsidRDefault="00146E14" w:rsidP="00102092">
      <w:pPr>
        <w:suppressAutoHyphens/>
        <w:ind w:left="851"/>
        <w:rPr>
          <w:sz w:val="24"/>
          <w:szCs w:val="24"/>
        </w:rPr>
      </w:pPr>
    </w:p>
    <w:p w:rsidR="00146E14" w:rsidRPr="00102092" w:rsidRDefault="00146E14" w:rsidP="00102092">
      <w:pPr>
        <w:suppressAutoHyphens/>
        <w:ind w:left="851"/>
        <w:rPr>
          <w:sz w:val="24"/>
          <w:szCs w:val="24"/>
        </w:rPr>
      </w:pPr>
      <w:r w:rsidRPr="00102092">
        <w:rPr>
          <w:sz w:val="24"/>
          <w:szCs w:val="24"/>
        </w:rPr>
        <w:t>Ikke alle pakningsstørrelser er nødvendigvis markedsført.</w:t>
      </w:r>
    </w:p>
    <w:p w:rsidR="00146E14" w:rsidRPr="00102092" w:rsidRDefault="00146E14" w:rsidP="00102092">
      <w:pPr>
        <w:pStyle w:val="Sidehoved"/>
        <w:tabs>
          <w:tab w:val="clear" w:pos="4819"/>
          <w:tab w:val="clear" w:pos="9638"/>
          <w:tab w:val="left" w:pos="851"/>
        </w:tabs>
        <w:rPr>
          <w:szCs w:val="24"/>
        </w:rPr>
      </w:pPr>
    </w:p>
    <w:p w:rsidR="00D55147" w:rsidRPr="00102092" w:rsidRDefault="00D55147" w:rsidP="00102092">
      <w:pPr>
        <w:tabs>
          <w:tab w:val="left" w:pos="851"/>
        </w:tabs>
        <w:ind w:left="851" w:hanging="851"/>
        <w:rPr>
          <w:b/>
          <w:sz w:val="24"/>
          <w:szCs w:val="24"/>
        </w:rPr>
      </w:pPr>
      <w:r w:rsidRPr="00102092">
        <w:rPr>
          <w:b/>
          <w:sz w:val="24"/>
          <w:szCs w:val="24"/>
        </w:rPr>
        <w:t>6.6</w:t>
      </w:r>
      <w:r w:rsidRPr="00102092">
        <w:rPr>
          <w:b/>
          <w:sz w:val="24"/>
          <w:szCs w:val="24"/>
        </w:rPr>
        <w:tab/>
        <w:t xml:space="preserve">Regler for </w:t>
      </w:r>
      <w:r w:rsidR="00F23B5F">
        <w:rPr>
          <w:b/>
          <w:sz w:val="24"/>
          <w:szCs w:val="24"/>
        </w:rPr>
        <w:t>bortskaffelse</w:t>
      </w:r>
      <w:r w:rsidRPr="00102092">
        <w:rPr>
          <w:b/>
          <w:sz w:val="24"/>
          <w:szCs w:val="24"/>
        </w:rPr>
        <w:t xml:space="preserve"> og anden håndtering</w:t>
      </w:r>
    </w:p>
    <w:p w:rsidR="00146E14" w:rsidRPr="00102092" w:rsidRDefault="00146E14" w:rsidP="00102092">
      <w:pPr>
        <w:ind w:left="851"/>
        <w:rPr>
          <w:sz w:val="24"/>
          <w:szCs w:val="24"/>
        </w:rPr>
      </w:pPr>
      <w:r w:rsidRPr="00102092">
        <w:rPr>
          <w:sz w:val="24"/>
          <w:szCs w:val="24"/>
        </w:rPr>
        <w:t>Se pkt. 4.2 for information om administrationsmetoden.</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Før et lægemiddel tilsættes verificeres det, at det er opløseligt og stabilt i vand ved samme pH som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Additiver kan tilsættes før infusion eller under infusion gennem injektionsporten.</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Det er lægens ansvar at vurdere, hvorvidt et tilsat lægemiddel er </w:t>
      </w:r>
      <w:proofErr w:type="spellStart"/>
      <w:r w:rsidRPr="00102092">
        <w:rPr>
          <w:sz w:val="24"/>
          <w:szCs w:val="24"/>
        </w:rPr>
        <w:t>uforligeligt</w:t>
      </w:r>
      <w:proofErr w:type="spellEnd"/>
      <w:r w:rsidRPr="00102092">
        <w:rPr>
          <w:sz w:val="24"/>
          <w:szCs w:val="24"/>
        </w:rPr>
        <w:t xml:space="preserve"> med Natriumklorid </w:t>
      </w:r>
      <w:r w:rsidR="00102092">
        <w:rPr>
          <w:sz w:val="24"/>
          <w:szCs w:val="24"/>
        </w:rPr>
        <w:t>"Baxter"</w:t>
      </w:r>
      <w:r w:rsidRPr="00102092">
        <w:rPr>
          <w:sz w:val="24"/>
          <w:szCs w:val="24"/>
        </w:rPr>
        <w:t xml:space="preserve"> </w:t>
      </w:r>
      <w:proofErr w:type="spellStart"/>
      <w:r w:rsidRPr="00102092">
        <w:rPr>
          <w:sz w:val="24"/>
          <w:szCs w:val="24"/>
        </w:rPr>
        <w:t>Viaflo</w:t>
      </w:r>
      <w:proofErr w:type="spellEnd"/>
      <w:r w:rsidRPr="00102092">
        <w:rPr>
          <w:sz w:val="24"/>
          <w:szCs w:val="24"/>
        </w:rPr>
        <w:t xml:space="preserve"> 9 mg/ml ved at kontrollere for eventuelle farveændringer og/eller eventuelt bundfald, uopløselige komplekser eller forekomst af krystaller. Instruktioner vedrørende brugen af lægemidlet, der skal tilsættes, skal gennemlæses.</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Når additiver bruges, skal </w:t>
      </w:r>
      <w:proofErr w:type="spellStart"/>
      <w:r w:rsidRPr="00102092">
        <w:rPr>
          <w:sz w:val="24"/>
          <w:szCs w:val="24"/>
        </w:rPr>
        <w:t>isotonien</w:t>
      </w:r>
      <w:proofErr w:type="spellEnd"/>
      <w:r w:rsidRPr="00102092">
        <w:rPr>
          <w:sz w:val="24"/>
          <w:szCs w:val="24"/>
        </w:rPr>
        <w:t xml:space="preserve"> verificeres før parenteral indgivelse. Grundig og omhyggelig aseptisk blanding med ethvert additiv er påkrævet. Opløsninger med additiver skal anvendes straks og må ikke opbevares. </w:t>
      </w:r>
    </w:p>
    <w:p w:rsidR="00146E14" w:rsidRPr="00102092" w:rsidRDefault="00146E14" w:rsidP="00102092">
      <w:pPr>
        <w:ind w:left="851"/>
        <w:rPr>
          <w:sz w:val="24"/>
          <w:szCs w:val="24"/>
        </w:rPr>
      </w:pPr>
    </w:p>
    <w:p w:rsidR="00146E14" w:rsidRPr="00102092" w:rsidRDefault="00146E14" w:rsidP="00102092">
      <w:pPr>
        <w:ind w:left="851"/>
        <w:rPr>
          <w:sz w:val="24"/>
          <w:szCs w:val="24"/>
        </w:rPr>
      </w:pPr>
      <w:r w:rsidRPr="00102092">
        <w:rPr>
          <w:sz w:val="24"/>
          <w:szCs w:val="24"/>
        </w:rPr>
        <w:t xml:space="preserve">Tilsætning af anden medicin eller anvendelse af en forkert indgivelsesteknik kan føre til feberreaktioner på grund af mulig tilførsel af </w:t>
      </w:r>
      <w:proofErr w:type="spellStart"/>
      <w:r w:rsidRPr="00102092">
        <w:rPr>
          <w:sz w:val="24"/>
          <w:szCs w:val="24"/>
        </w:rPr>
        <w:t>pyrogener</w:t>
      </w:r>
      <w:proofErr w:type="spellEnd"/>
      <w:r w:rsidRPr="00102092">
        <w:rPr>
          <w:sz w:val="24"/>
          <w:szCs w:val="24"/>
        </w:rPr>
        <w:t>. I tilfælde af bivirkninger skal infusionen straks afbrydes.</w:t>
      </w:r>
    </w:p>
    <w:p w:rsidR="00146E14" w:rsidRPr="00102092" w:rsidRDefault="00146E14" w:rsidP="00102092">
      <w:pPr>
        <w:ind w:left="851"/>
        <w:rPr>
          <w:sz w:val="24"/>
          <w:szCs w:val="24"/>
        </w:rPr>
      </w:pPr>
    </w:p>
    <w:p w:rsidR="00146E14" w:rsidRPr="00102092" w:rsidRDefault="00146E14" w:rsidP="00102092">
      <w:pPr>
        <w:pStyle w:val="Brdtekst3"/>
        <w:tabs>
          <w:tab w:val="clear" w:pos="-720"/>
        </w:tabs>
        <w:suppressAutoHyphens w:val="0"/>
        <w:ind w:left="851"/>
        <w:rPr>
          <w:sz w:val="24"/>
          <w:szCs w:val="24"/>
        </w:rPr>
      </w:pPr>
      <w:r w:rsidRPr="00102092">
        <w:rPr>
          <w:sz w:val="24"/>
          <w:szCs w:val="24"/>
        </w:rPr>
        <w:t>Kasseres efter engangsbrug.</w:t>
      </w:r>
    </w:p>
    <w:p w:rsidR="00146E14" w:rsidRPr="00102092" w:rsidRDefault="00146E14" w:rsidP="00102092">
      <w:pPr>
        <w:ind w:left="851"/>
        <w:rPr>
          <w:b/>
          <w:sz w:val="24"/>
          <w:szCs w:val="24"/>
        </w:rPr>
      </w:pPr>
      <w:r w:rsidRPr="00102092">
        <w:rPr>
          <w:b/>
          <w:sz w:val="24"/>
          <w:szCs w:val="24"/>
        </w:rPr>
        <w:t>Kassér ubrugt opløsning.</w:t>
      </w:r>
    </w:p>
    <w:p w:rsidR="00146E14" w:rsidRPr="00102092" w:rsidRDefault="00146E14" w:rsidP="00102092">
      <w:pPr>
        <w:ind w:left="851"/>
        <w:rPr>
          <w:b/>
          <w:sz w:val="24"/>
          <w:szCs w:val="24"/>
        </w:rPr>
      </w:pPr>
      <w:r w:rsidRPr="00102092">
        <w:rPr>
          <w:b/>
          <w:sz w:val="24"/>
          <w:szCs w:val="24"/>
        </w:rPr>
        <w:t>Delvist brugte poser må ikke tilsluttes igen.</w:t>
      </w:r>
    </w:p>
    <w:p w:rsidR="00146E14" w:rsidRPr="00102092" w:rsidRDefault="00146E14" w:rsidP="00102092">
      <w:pPr>
        <w:pStyle w:val="Brdtekstindrykning2"/>
        <w:rPr>
          <w:szCs w:val="24"/>
        </w:rPr>
      </w:pPr>
      <w:r w:rsidRPr="00102092">
        <w:rPr>
          <w:szCs w:val="24"/>
        </w:rPr>
        <w:t xml:space="preserve">Må ikke fjernes fra yderposen før umiddelbart inden brug. </w:t>
      </w:r>
      <w:proofErr w:type="spellStart"/>
      <w:r w:rsidRPr="00102092">
        <w:rPr>
          <w:szCs w:val="24"/>
        </w:rPr>
        <w:t>Inderposen</w:t>
      </w:r>
      <w:proofErr w:type="spellEnd"/>
      <w:r w:rsidRPr="00102092">
        <w:rPr>
          <w:szCs w:val="24"/>
        </w:rPr>
        <w:t xml:space="preserve"> opretholder produktets sterilitet.</w:t>
      </w:r>
    </w:p>
    <w:p w:rsidR="00146E14" w:rsidRPr="00102092" w:rsidRDefault="00146E14" w:rsidP="00102092">
      <w:pPr>
        <w:pStyle w:val="Brdtekstindrykning2"/>
        <w:rPr>
          <w:szCs w:val="24"/>
        </w:rPr>
      </w:pPr>
    </w:p>
    <w:p w:rsidR="00146E14" w:rsidRPr="00102092" w:rsidRDefault="00146E14" w:rsidP="00102092">
      <w:pPr>
        <w:pStyle w:val="Brdtekstindrykning2"/>
        <w:rPr>
          <w:b w:val="0"/>
          <w:szCs w:val="24"/>
        </w:rPr>
      </w:pPr>
      <w:r w:rsidRPr="00102092">
        <w:rPr>
          <w:b w:val="0"/>
          <w:szCs w:val="24"/>
        </w:rPr>
        <w:t>Brugsanvisning</w:t>
      </w:r>
    </w:p>
    <w:p w:rsidR="00146E14" w:rsidRPr="00102092" w:rsidRDefault="00146E14" w:rsidP="00102092">
      <w:pPr>
        <w:rPr>
          <w:sz w:val="24"/>
          <w:szCs w:val="24"/>
        </w:rPr>
      </w:pPr>
    </w:p>
    <w:p w:rsidR="00146E14" w:rsidRPr="00102092" w:rsidRDefault="00146E14" w:rsidP="00102092">
      <w:pPr>
        <w:ind w:left="851"/>
        <w:rPr>
          <w:sz w:val="24"/>
          <w:szCs w:val="24"/>
        </w:rPr>
      </w:pPr>
      <w:r w:rsidRPr="00102092">
        <w:rPr>
          <w:sz w:val="24"/>
          <w:szCs w:val="24"/>
          <w:u w:val="single"/>
        </w:rPr>
        <w:t>Åbning</w:t>
      </w:r>
    </w:p>
    <w:p w:rsidR="00146E14" w:rsidRPr="00102092" w:rsidRDefault="00146E14" w:rsidP="00102092">
      <w:pPr>
        <w:numPr>
          <w:ilvl w:val="1"/>
          <w:numId w:val="12"/>
        </w:numPr>
        <w:tabs>
          <w:tab w:val="left" w:pos="1843"/>
        </w:tabs>
        <w:rPr>
          <w:sz w:val="24"/>
          <w:szCs w:val="24"/>
        </w:rPr>
      </w:pPr>
      <w:r w:rsidRPr="00102092">
        <w:rPr>
          <w:sz w:val="24"/>
          <w:szCs w:val="24"/>
        </w:rPr>
        <w:t xml:space="preserve">Tag </w:t>
      </w:r>
      <w:proofErr w:type="spellStart"/>
      <w:r w:rsidRPr="00102092">
        <w:rPr>
          <w:sz w:val="24"/>
          <w:szCs w:val="24"/>
        </w:rPr>
        <w:t>Viaflo</w:t>
      </w:r>
      <w:proofErr w:type="spellEnd"/>
      <w:r w:rsidRPr="00102092">
        <w:rPr>
          <w:sz w:val="24"/>
          <w:szCs w:val="24"/>
        </w:rPr>
        <w:t>-posen ud af yderposen umiddelbart før brug.</w:t>
      </w:r>
    </w:p>
    <w:p w:rsidR="00146E14" w:rsidRPr="00102092" w:rsidRDefault="00146E14" w:rsidP="00102092">
      <w:pPr>
        <w:numPr>
          <w:ilvl w:val="1"/>
          <w:numId w:val="12"/>
        </w:numPr>
        <w:tabs>
          <w:tab w:val="left" w:pos="1843"/>
        </w:tabs>
        <w:rPr>
          <w:sz w:val="24"/>
          <w:szCs w:val="24"/>
        </w:rPr>
      </w:pPr>
      <w:r w:rsidRPr="00102092">
        <w:rPr>
          <w:sz w:val="24"/>
          <w:szCs w:val="24"/>
        </w:rPr>
        <w:t xml:space="preserve">Undersøg for små utætheder ved at klemme fast på </w:t>
      </w:r>
      <w:proofErr w:type="spellStart"/>
      <w:r w:rsidRPr="00102092">
        <w:rPr>
          <w:sz w:val="24"/>
          <w:szCs w:val="24"/>
        </w:rPr>
        <w:t>inderposen</w:t>
      </w:r>
      <w:proofErr w:type="spellEnd"/>
      <w:r w:rsidRPr="00102092">
        <w:rPr>
          <w:sz w:val="24"/>
          <w:szCs w:val="24"/>
        </w:rPr>
        <w:t>. Hvis der er utætheder, kasseres posen, da steriliteten er brudt.</w:t>
      </w:r>
    </w:p>
    <w:p w:rsidR="00146E14" w:rsidRPr="00102092" w:rsidRDefault="00146E14" w:rsidP="00102092">
      <w:pPr>
        <w:numPr>
          <w:ilvl w:val="1"/>
          <w:numId w:val="12"/>
        </w:numPr>
        <w:tabs>
          <w:tab w:val="left" w:pos="1843"/>
        </w:tabs>
        <w:rPr>
          <w:sz w:val="24"/>
          <w:szCs w:val="24"/>
        </w:rPr>
      </w:pPr>
      <w:r w:rsidRPr="00102092">
        <w:rPr>
          <w:sz w:val="24"/>
          <w:szCs w:val="24"/>
        </w:rPr>
        <w:lastRenderedPageBreak/>
        <w:t>Undersøg opløsningen for uklarheder og urenheder. Hvis opløsningen er uklar eller indeholder urenheder, kasseres posen.</w:t>
      </w:r>
    </w:p>
    <w:p w:rsidR="00146E14" w:rsidRPr="00102092" w:rsidRDefault="00146E14" w:rsidP="00102092">
      <w:pPr>
        <w:ind w:left="851"/>
        <w:rPr>
          <w:sz w:val="24"/>
          <w:szCs w:val="24"/>
        </w:rPr>
      </w:pPr>
    </w:p>
    <w:p w:rsidR="00146E14" w:rsidRPr="00102092" w:rsidRDefault="00146E14" w:rsidP="00102092">
      <w:pPr>
        <w:ind w:left="851"/>
        <w:rPr>
          <w:sz w:val="24"/>
          <w:szCs w:val="24"/>
          <w:u w:val="single"/>
        </w:rPr>
      </w:pPr>
      <w:r w:rsidRPr="00102092">
        <w:rPr>
          <w:sz w:val="24"/>
          <w:szCs w:val="24"/>
          <w:u w:val="single"/>
        </w:rPr>
        <w:t>Forberedelse til indgivelse</w:t>
      </w:r>
    </w:p>
    <w:p w:rsidR="00146E14" w:rsidRPr="00102092" w:rsidRDefault="00146E14" w:rsidP="00102092">
      <w:pPr>
        <w:tabs>
          <w:tab w:val="left" w:pos="709"/>
        </w:tabs>
        <w:ind w:left="851"/>
        <w:rPr>
          <w:sz w:val="24"/>
          <w:szCs w:val="24"/>
        </w:rPr>
      </w:pPr>
      <w:r w:rsidRPr="00102092">
        <w:rPr>
          <w:sz w:val="24"/>
          <w:szCs w:val="24"/>
        </w:rPr>
        <w:t>Anvend sterilt udstyr til forberedelse og indgivelse.</w:t>
      </w:r>
    </w:p>
    <w:p w:rsidR="00146E14" w:rsidRPr="00102092" w:rsidRDefault="00146E14" w:rsidP="00102092">
      <w:pPr>
        <w:numPr>
          <w:ilvl w:val="4"/>
          <w:numId w:val="12"/>
        </w:numPr>
        <w:tabs>
          <w:tab w:val="clear" w:pos="3600"/>
          <w:tab w:val="left" w:pos="1418"/>
          <w:tab w:val="left" w:pos="1843"/>
        </w:tabs>
        <w:ind w:left="1418" w:hanging="284"/>
        <w:rPr>
          <w:sz w:val="24"/>
          <w:szCs w:val="24"/>
        </w:rPr>
      </w:pPr>
      <w:r w:rsidRPr="00102092">
        <w:rPr>
          <w:sz w:val="24"/>
          <w:szCs w:val="24"/>
        </w:rPr>
        <w:t>Hæng posen op på stativet.</w:t>
      </w:r>
    </w:p>
    <w:p w:rsidR="00146E14" w:rsidRPr="00102092" w:rsidRDefault="00146E14" w:rsidP="00102092">
      <w:pPr>
        <w:numPr>
          <w:ilvl w:val="4"/>
          <w:numId w:val="12"/>
        </w:numPr>
        <w:tabs>
          <w:tab w:val="clear" w:pos="3600"/>
          <w:tab w:val="num" w:pos="1418"/>
          <w:tab w:val="left" w:pos="1843"/>
        </w:tabs>
        <w:ind w:left="1418" w:hanging="284"/>
        <w:rPr>
          <w:sz w:val="24"/>
          <w:szCs w:val="24"/>
        </w:rPr>
      </w:pPr>
      <w:r w:rsidRPr="00102092">
        <w:rPr>
          <w:sz w:val="24"/>
          <w:szCs w:val="24"/>
        </w:rPr>
        <w:t>Fjern plastbeskyttelsen fra porten i bunden af posen:</w:t>
      </w:r>
    </w:p>
    <w:p w:rsidR="00146E14" w:rsidRPr="00102092" w:rsidRDefault="00146E14" w:rsidP="00102092">
      <w:pPr>
        <w:numPr>
          <w:ilvl w:val="0"/>
          <w:numId w:val="13"/>
        </w:numPr>
        <w:tabs>
          <w:tab w:val="clear" w:pos="1854"/>
          <w:tab w:val="left" w:pos="1843"/>
        </w:tabs>
        <w:ind w:left="1418" w:firstLine="0"/>
        <w:rPr>
          <w:sz w:val="24"/>
          <w:szCs w:val="24"/>
        </w:rPr>
      </w:pPr>
      <w:r w:rsidRPr="00102092">
        <w:rPr>
          <w:sz w:val="24"/>
          <w:szCs w:val="24"/>
        </w:rPr>
        <w:t>tag fat i den lille vinge på porten med den ene hånd,</w:t>
      </w:r>
    </w:p>
    <w:p w:rsidR="00146E14" w:rsidRPr="00102092" w:rsidRDefault="00146E14" w:rsidP="00102092">
      <w:pPr>
        <w:numPr>
          <w:ilvl w:val="0"/>
          <w:numId w:val="13"/>
        </w:numPr>
        <w:tabs>
          <w:tab w:val="clear" w:pos="1854"/>
          <w:tab w:val="left" w:pos="1843"/>
        </w:tabs>
        <w:ind w:left="1418" w:firstLine="0"/>
        <w:rPr>
          <w:sz w:val="24"/>
          <w:szCs w:val="24"/>
        </w:rPr>
      </w:pPr>
      <w:r w:rsidRPr="00102092">
        <w:rPr>
          <w:sz w:val="24"/>
          <w:szCs w:val="24"/>
        </w:rPr>
        <w:t>tag fat i den store vinge på låget med den anden hånd og drej,</w:t>
      </w:r>
    </w:p>
    <w:p w:rsidR="00146E14" w:rsidRPr="00102092" w:rsidRDefault="00146E14" w:rsidP="00102092">
      <w:pPr>
        <w:numPr>
          <w:ilvl w:val="0"/>
          <w:numId w:val="13"/>
        </w:numPr>
        <w:tabs>
          <w:tab w:val="clear" w:pos="1854"/>
          <w:tab w:val="left" w:pos="1843"/>
        </w:tabs>
        <w:ind w:left="1418" w:firstLine="0"/>
        <w:rPr>
          <w:sz w:val="24"/>
          <w:szCs w:val="24"/>
        </w:rPr>
      </w:pPr>
      <w:r w:rsidRPr="00102092">
        <w:rPr>
          <w:sz w:val="24"/>
          <w:szCs w:val="24"/>
        </w:rPr>
        <w:t>låget vil løsne sig.</w:t>
      </w:r>
    </w:p>
    <w:p w:rsidR="00146E14" w:rsidRPr="00102092" w:rsidRDefault="00146E14" w:rsidP="00102092">
      <w:pPr>
        <w:numPr>
          <w:ilvl w:val="4"/>
          <w:numId w:val="12"/>
        </w:numPr>
        <w:tabs>
          <w:tab w:val="clear" w:pos="3600"/>
          <w:tab w:val="left" w:pos="1418"/>
          <w:tab w:val="left" w:pos="1843"/>
        </w:tabs>
        <w:ind w:left="1418" w:hanging="284"/>
        <w:rPr>
          <w:sz w:val="24"/>
          <w:szCs w:val="24"/>
        </w:rPr>
      </w:pPr>
      <w:r w:rsidRPr="00102092">
        <w:rPr>
          <w:sz w:val="24"/>
          <w:szCs w:val="24"/>
        </w:rPr>
        <w:t>Brug aseptisk teknik til klargøring af infusionen</w:t>
      </w:r>
    </w:p>
    <w:p w:rsidR="00146E14" w:rsidRPr="00102092" w:rsidRDefault="00146E14" w:rsidP="00102092">
      <w:pPr>
        <w:numPr>
          <w:ilvl w:val="1"/>
          <w:numId w:val="12"/>
        </w:numPr>
        <w:tabs>
          <w:tab w:val="left" w:pos="1843"/>
        </w:tabs>
        <w:ind w:left="1418" w:hanging="284"/>
        <w:rPr>
          <w:sz w:val="24"/>
          <w:szCs w:val="24"/>
        </w:rPr>
      </w:pPr>
      <w:r w:rsidRPr="00102092">
        <w:rPr>
          <w:sz w:val="24"/>
          <w:szCs w:val="24"/>
        </w:rPr>
        <w:t xml:space="preserve">Tilslut et infusionssæt. Følg infusionssættets anvisninger for tilslutning, </w:t>
      </w:r>
      <w:proofErr w:type="spellStart"/>
      <w:r w:rsidRPr="00102092">
        <w:rPr>
          <w:sz w:val="24"/>
          <w:szCs w:val="24"/>
        </w:rPr>
        <w:t>priming</w:t>
      </w:r>
      <w:proofErr w:type="spellEnd"/>
      <w:r w:rsidRPr="00102092">
        <w:rPr>
          <w:sz w:val="24"/>
          <w:szCs w:val="24"/>
        </w:rPr>
        <w:t xml:space="preserve"> af sættet og indgivelse af opløsningen.</w:t>
      </w:r>
    </w:p>
    <w:p w:rsidR="00146E14" w:rsidRPr="00102092" w:rsidRDefault="00146E14" w:rsidP="00102092">
      <w:pPr>
        <w:tabs>
          <w:tab w:val="left" w:pos="709"/>
        </w:tabs>
        <w:ind w:left="851"/>
        <w:rPr>
          <w:sz w:val="24"/>
          <w:szCs w:val="24"/>
        </w:rPr>
      </w:pPr>
    </w:p>
    <w:p w:rsidR="00146E14" w:rsidRPr="00102092" w:rsidRDefault="00146E14" w:rsidP="00102092">
      <w:pPr>
        <w:ind w:left="851"/>
        <w:rPr>
          <w:sz w:val="24"/>
          <w:szCs w:val="24"/>
        </w:rPr>
      </w:pPr>
      <w:r w:rsidRPr="00102092">
        <w:rPr>
          <w:sz w:val="24"/>
          <w:szCs w:val="24"/>
          <w:u w:val="single"/>
        </w:rPr>
        <w:t xml:space="preserve">Teknikker til injektion af </w:t>
      </w:r>
      <w:proofErr w:type="spellStart"/>
      <w:r w:rsidRPr="00102092">
        <w:rPr>
          <w:sz w:val="24"/>
          <w:szCs w:val="24"/>
          <w:u w:val="single"/>
        </w:rPr>
        <w:t>additive</w:t>
      </w:r>
      <w:proofErr w:type="spellEnd"/>
      <w:r w:rsidRPr="00102092">
        <w:rPr>
          <w:sz w:val="24"/>
          <w:szCs w:val="24"/>
          <w:u w:val="single"/>
        </w:rPr>
        <w:t xml:space="preserve"> lægemidler</w:t>
      </w:r>
    </w:p>
    <w:p w:rsidR="00146E14" w:rsidRPr="00102092" w:rsidRDefault="00146E14" w:rsidP="00102092">
      <w:pPr>
        <w:tabs>
          <w:tab w:val="left" w:pos="709"/>
        </w:tabs>
        <w:ind w:left="851"/>
        <w:rPr>
          <w:sz w:val="24"/>
          <w:szCs w:val="24"/>
        </w:rPr>
      </w:pPr>
      <w:r w:rsidRPr="00102092">
        <w:rPr>
          <w:sz w:val="24"/>
          <w:szCs w:val="24"/>
        </w:rPr>
        <w:t>Advarsel: Additiver kan være uforligelige.</w:t>
      </w:r>
    </w:p>
    <w:p w:rsidR="00146E14" w:rsidRPr="00102092" w:rsidRDefault="00146E14" w:rsidP="00102092">
      <w:pPr>
        <w:tabs>
          <w:tab w:val="left" w:pos="709"/>
        </w:tabs>
        <w:ind w:left="851"/>
        <w:rPr>
          <w:i/>
          <w:sz w:val="24"/>
          <w:szCs w:val="24"/>
        </w:rPr>
      </w:pPr>
    </w:p>
    <w:p w:rsidR="00146E14" w:rsidRPr="00102092" w:rsidRDefault="00146E14" w:rsidP="00102092">
      <w:pPr>
        <w:tabs>
          <w:tab w:val="left" w:pos="709"/>
        </w:tabs>
        <w:ind w:left="851"/>
        <w:rPr>
          <w:sz w:val="24"/>
          <w:szCs w:val="24"/>
        </w:rPr>
      </w:pPr>
      <w:r w:rsidRPr="00102092">
        <w:rPr>
          <w:i/>
          <w:sz w:val="24"/>
          <w:szCs w:val="24"/>
        </w:rPr>
        <w:t>Tilsætning af et lægemiddel før indgivelse:</w:t>
      </w:r>
    </w:p>
    <w:p w:rsidR="00146E14" w:rsidRPr="00102092" w:rsidRDefault="00146E14" w:rsidP="00102092">
      <w:pPr>
        <w:numPr>
          <w:ilvl w:val="0"/>
          <w:numId w:val="14"/>
        </w:numPr>
        <w:tabs>
          <w:tab w:val="clear" w:pos="1146"/>
          <w:tab w:val="num" w:pos="1418"/>
          <w:tab w:val="left" w:pos="1843"/>
        </w:tabs>
        <w:ind w:left="1418" w:hanging="284"/>
        <w:rPr>
          <w:sz w:val="24"/>
          <w:szCs w:val="24"/>
        </w:rPr>
      </w:pPr>
      <w:r w:rsidRPr="00102092">
        <w:rPr>
          <w:sz w:val="24"/>
          <w:szCs w:val="24"/>
        </w:rPr>
        <w:t>Desinficér medicinporten</w:t>
      </w:r>
    </w:p>
    <w:p w:rsidR="00146E14" w:rsidRPr="00102092" w:rsidRDefault="00146E14" w:rsidP="00102092">
      <w:pPr>
        <w:numPr>
          <w:ilvl w:val="0"/>
          <w:numId w:val="14"/>
        </w:numPr>
        <w:tabs>
          <w:tab w:val="clear" w:pos="1146"/>
          <w:tab w:val="num" w:pos="1418"/>
          <w:tab w:val="left" w:pos="1843"/>
        </w:tabs>
        <w:ind w:left="1418" w:hanging="284"/>
        <w:rPr>
          <w:sz w:val="24"/>
          <w:szCs w:val="24"/>
        </w:rPr>
      </w:pPr>
      <w:r w:rsidRPr="00102092">
        <w:rPr>
          <w:sz w:val="24"/>
          <w:szCs w:val="24"/>
        </w:rPr>
        <w:t xml:space="preserve">Anvend en sprøjte med en </w:t>
      </w:r>
      <w:r w:rsidR="00065E1D">
        <w:t xml:space="preserve">passende </w:t>
      </w:r>
      <w:r w:rsidRPr="00102092">
        <w:rPr>
          <w:sz w:val="24"/>
          <w:szCs w:val="24"/>
        </w:rPr>
        <w:t>nål, punktér den genlukkelige medicinport og injicér.</w:t>
      </w:r>
    </w:p>
    <w:p w:rsidR="00146E14" w:rsidRPr="00102092" w:rsidRDefault="00146E14" w:rsidP="00102092">
      <w:pPr>
        <w:numPr>
          <w:ilvl w:val="0"/>
          <w:numId w:val="14"/>
        </w:numPr>
        <w:tabs>
          <w:tab w:val="clear" w:pos="1146"/>
          <w:tab w:val="num" w:pos="1418"/>
          <w:tab w:val="left" w:pos="1843"/>
        </w:tabs>
        <w:ind w:left="1418" w:hanging="284"/>
        <w:rPr>
          <w:sz w:val="24"/>
          <w:szCs w:val="24"/>
        </w:rPr>
      </w:pPr>
      <w:r w:rsidRPr="00102092">
        <w:rPr>
          <w:sz w:val="24"/>
          <w:szCs w:val="24"/>
        </w:rPr>
        <w:t xml:space="preserve">Bland opløsning og lægemiddel grundigt. Ved lægemidler med høj densitet, såsom </w:t>
      </w:r>
      <w:proofErr w:type="spellStart"/>
      <w:r w:rsidRPr="00102092">
        <w:rPr>
          <w:sz w:val="24"/>
          <w:szCs w:val="24"/>
        </w:rPr>
        <w:t>kaliumchlorid</w:t>
      </w:r>
      <w:proofErr w:type="spellEnd"/>
      <w:r w:rsidRPr="00102092">
        <w:rPr>
          <w:sz w:val="24"/>
          <w:szCs w:val="24"/>
        </w:rPr>
        <w:t>, bankes forsigtigt på portene, mens de vender opad og bland.</w:t>
      </w:r>
    </w:p>
    <w:p w:rsidR="00146E14" w:rsidRPr="00102092" w:rsidRDefault="00146E14" w:rsidP="00102092">
      <w:pPr>
        <w:tabs>
          <w:tab w:val="left" w:pos="709"/>
          <w:tab w:val="num" w:pos="1418"/>
        </w:tabs>
        <w:ind w:left="851"/>
        <w:rPr>
          <w:sz w:val="24"/>
          <w:szCs w:val="24"/>
        </w:rPr>
      </w:pPr>
    </w:p>
    <w:p w:rsidR="00146E14" w:rsidRPr="00102092" w:rsidRDefault="00146E14" w:rsidP="00102092">
      <w:pPr>
        <w:ind w:left="851"/>
        <w:rPr>
          <w:sz w:val="24"/>
          <w:szCs w:val="24"/>
        </w:rPr>
      </w:pPr>
      <w:r w:rsidRPr="00102092">
        <w:rPr>
          <w:sz w:val="24"/>
          <w:szCs w:val="24"/>
        </w:rPr>
        <w:t>Advarsel: Opbevar ikke poser indeholdende tilsatte lægemidler.</w:t>
      </w:r>
    </w:p>
    <w:p w:rsidR="00146E14" w:rsidRPr="00102092" w:rsidRDefault="00146E14" w:rsidP="00102092">
      <w:pPr>
        <w:tabs>
          <w:tab w:val="left" w:pos="709"/>
        </w:tabs>
        <w:ind w:left="851"/>
        <w:rPr>
          <w:sz w:val="24"/>
          <w:szCs w:val="24"/>
        </w:rPr>
      </w:pPr>
    </w:p>
    <w:p w:rsidR="00146E14" w:rsidRPr="00102092" w:rsidRDefault="00146E14" w:rsidP="00102092">
      <w:pPr>
        <w:pStyle w:val="Overskrift6"/>
        <w:tabs>
          <w:tab w:val="clear" w:pos="-720"/>
          <w:tab w:val="clear" w:pos="567"/>
          <w:tab w:val="clear" w:pos="4536"/>
          <w:tab w:val="left" w:pos="426"/>
        </w:tabs>
        <w:suppressAutoHyphens w:val="0"/>
        <w:spacing w:line="240" w:lineRule="auto"/>
        <w:ind w:left="851"/>
        <w:rPr>
          <w:sz w:val="24"/>
          <w:szCs w:val="24"/>
          <w:lang w:val="da-DK"/>
        </w:rPr>
      </w:pPr>
      <w:r w:rsidRPr="00102092">
        <w:rPr>
          <w:sz w:val="24"/>
          <w:szCs w:val="24"/>
          <w:lang w:val="da-DK"/>
        </w:rPr>
        <w:t>Tilsætning af lægemidler under indgivelse:</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Luk klemmen på sættet.</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Desinficér medicinporten.</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 xml:space="preserve">Anvend en sprøjte med en </w:t>
      </w:r>
      <w:r w:rsidR="00065E1D">
        <w:t>passende</w:t>
      </w:r>
      <w:r w:rsidRPr="00102092">
        <w:rPr>
          <w:sz w:val="24"/>
          <w:szCs w:val="24"/>
        </w:rPr>
        <w:t xml:space="preserve"> nål, punktér den genlukkelige medicinport og injicér.</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 xml:space="preserve">Fjern posen fra </w:t>
      </w:r>
      <w:proofErr w:type="spellStart"/>
      <w:r w:rsidRPr="00102092">
        <w:rPr>
          <w:sz w:val="24"/>
          <w:szCs w:val="24"/>
        </w:rPr>
        <w:t>i.v</w:t>
      </w:r>
      <w:proofErr w:type="spellEnd"/>
      <w:r w:rsidRPr="00102092">
        <w:rPr>
          <w:sz w:val="24"/>
          <w:szCs w:val="24"/>
        </w:rPr>
        <w:t>.-stativet og/eller drej den, så portene vender opad.</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Tøm begge porte ved at banke forsigtigt på dem, mens de vender opad.</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Bland opløsning og lægemiddel grundigt.</w:t>
      </w:r>
    </w:p>
    <w:p w:rsidR="00146E14" w:rsidRPr="00102092" w:rsidRDefault="00146E14" w:rsidP="00102092">
      <w:pPr>
        <w:numPr>
          <w:ilvl w:val="0"/>
          <w:numId w:val="15"/>
        </w:numPr>
        <w:tabs>
          <w:tab w:val="clear" w:pos="1146"/>
          <w:tab w:val="num" w:pos="1418"/>
          <w:tab w:val="left" w:pos="1843"/>
        </w:tabs>
        <w:ind w:left="1418" w:hanging="284"/>
        <w:rPr>
          <w:sz w:val="24"/>
          <w:szCs w:val="24"/>
        </w:rPr>
      </w:pPr>
      <w:r w:rsidRPr="00102092">
        <w:rPr>
          <w:sz w:val="24"/>
          <w:szCs w:val="24"/>
        </w:rPr>
        <w:t>Hæng posen op igen, så den er klar til brug, genåbn klemmen og genoptag indgivelsen.</w:t>
      </w:r>
    </w:p>
    <w:p w:rsidR="00146E14" w:rsidRPr="00102092" w:rsidRDefault="00146E14" w:rsidP="00102092">
      <w:pPr>
        <w:pStyle w:val="Sidehoved"/>
        <w:tabs>
          <w:tab w:val="clear" w:pos="4819"/>
          <w:tab w:val="clear" w:pos="9638"/>
          <w:tab w:val="left" w:pos="851"/>
        </w:tabs>
        <w:rPr>
          <w:szCs w:val="24"/>
        </w:rPr>
      </w:pPr>
    </w:p>
    <w:p w:rsidR="00D55147" w:rsidRPr="00102092" w:rsidRDefault="00D55147" w:rsidP="00102092">
      <w:pPr>
        <w:tabs>
          <w:tab w:val="left" w:pos="851"/>
        </w:tabs>
        <w:ind w:left="851" w:hanging="851"/>
        <w:rPr>
          <w:b/>
          <w:sz w:val="24"/>
          <w:szCs w:val="24"/>
        </w:rPr>
      </w:pPr>
      <w:r w:rsidRPr="00102092">
        <w:rPr>
          <w:b/>
          <w:sz w:val="24"/>
          <w:szCs w:val="24"/>
        </w:rPr>
        <w:t>7.</w:t>
      </w:r>
      <w:r w:rsidRPr="00102092">
        <w:rPr>
          <w:b/>
          <w:sz w:val="24"/>
          <w:szCs w:val="24"/>
        </w:rPr>
        <w:tab/>
        <w:t>INDEHAVER AF MARKEDSFØRINGSTILLADELSEN</w:t>
      </w:r>
    </w:p>
    <w:p w:rsidR="00146E14" w:rsidRPr="00102092" w:rsidRDefault="00146E14" w:rsidP="00102092">
      <w:pPr>
        <w:tabs>
          <w:tab w:val="left" w:pos="567"/>
        </w:tabs>
        <w:ind w:left="851"/>
        <w:rPr>
          <w:sz w:val="24"/>
          <w:szCs w:val="24"/>
        </w:rPr>
      </w:pPr>
      <w:r w:rsidRPr="00102092">
        <w:rPr>
          <w:sz w:val="24"/>
          <w:szCs w:val="24"/>
        </w:rPr>
        <w:t>Baxter A/S</w:t>
      </w:r>
    </w:p>
    <w:p w:rsidR="00146E14" w:rsidRPr="00102092" w:rsidRDefault="00146E14" w:rsidP="00102092">
      <w:pPr>
        <w:tabs>
          <w:tab w:val="left" w:pos="567"/>
        </w:tabs>
        <w:ind w:left="851"/>
        <w:rPr>
          <w:sz w:val="24"/>
          <w:szCs w:val="24"/>
        </w:rPr>
      </w:pPr>
      <w:r w:rsidRPr="00102092">
        <w:rPr>
          <w:sz w:val="24"/>
          <w:szCs w:val="24"/>
        </w:rPr>
        <w:t>Tobaksvejen 2</w:t>
      </w:r>
      <w:r w:rsidR="00F23B5F">
        <w:rPr>
          <w:sz w:val="24"/>
          <w:szCs w:val="24"/>
        </w:rPr>
        <w:t>3</w:t>
      </w:r>
      <w:r w:rsidRPr="00102092">
        <w:rPr>
          <w:sz w:val="24"/>
          <w:szCs w:val="24"/>
        </w:rPr>
        <w:t>A</w:t>
      </w:r>
    </w:p>
    <w:p w:rsidR="00146E14" w:rsidRPr="00102092" w:rsidRDefault="00146E14" w:rsidP="00102092">
      <w:pPr>
        <w:tabs>
          <w:tab w:val="left" w:pos="567"/>
        </w:tabs>
        <w:ind w:left="851"/>
        <w:rPr>
          <w:sz w:val="24"/>
          <w:szCs w:val="24"/>
        </w:rPr>
      </w:pPr>
      <w:r w:rsidRPr="00102092">
        <w:rPr>
          <w:sz w:val="24"/>
          <w:szCs w:val="24"/>
        </w:rPr>
        <w:t>2860 Søborg</w:t>
      </w:r>
    </w:p>
    <w:p w:rsidR="00146E14" w:rsidRPr="00102092" w:rsidRDefault="00146E14" w:rsidP="00102092">
      <w:pPr>
        <w:pStyle w:val="Sidehoved"/>
        <w:ind w:left="851"/>
        <w:rPr>
          <w:szCs w:val="24"/>
        </w:rPr>
      </w:pPr>
    </w:p>
    <w:p w:rsidR="00D55147" w:rsidRPr="00102092" w:rsidRDefault="00D55147" w:rsidP="00102092">
      <w:pPr>
        <w:tabs>
          <w:tab w:val="left" w:pos="851"/>
        </w:tabs>
        <w:ind w:left="851" w:hanging="851"/>
        <w:rPr>
          <w:b/>
          <w:sz w:val="24"/>
          <w:szCs w:val="24"/>
        </w:rPr>
      </w:pPr>
      <w:r w:rsidRPr="00102092">
        <w:rPr>
          <w:b/>
          <w:sz w:val="24"/>
          <w:szCs w:val="24"/>
        </w:rPr>
        <w:t>8.</w:t>
      </w:r>
      <w:r w:rsidRPr="00102092">
        <w:rPr>
          <w:b/>
          <w:sz w:val="24"/>
          <w:szCs w:val="24"/>
        </w:rPr>
        <w:tab/>
        <w:t>MARKEDSFØRINGSTILLADELSESNUMMER (</w:t>
      </w:r>
      <w:r w:rsidR="00F23B5F">
        <w:rPr>
          <w:b/>
          <w:sz w:val="24"/>
          <w:szCs w:val="24"/>
        </w:rPr>
        <w:t>-</w:t>
      </w:r>
      <w:r w:rsidRPr="00102092">
        <w:rPr>
          <w:b/>
          <w:sz w:val="24"/>
          <w:szCs w:val="24"/>
        </w:rPr>
        <w:t>NUMRE)</w:t>
      </w:r>
    </w:p>
    <w:p w:rsidR="00146E14" w:rsidRPr="00102092" w:rsidRDefault="00146E14" w:rsidP="00102092">
      <w:pPr>
        <w:tabs>
          <w:tab w:val="left" w:pos="851"/>
        </w:tabs>
        <w:ind w:left="851" w:hanging="851"/>
        <w:rPr>
          <w:sz w:val="24"/>
          <w:szCs w:val="24"/>
        </w:rPr>
      </w:pPr>
      <w:r w:rsidRPr="00102092">
        <w:rPr>
          <w:sz w:val="24"/>
          <w:szCs w:val="24"/>
        </w:rPr>
        <w:tab/>
        <w:t>33374</w:t>
      </w:r>
    </w:p>
    <w:p w:rsidR="00146E14" w:rsidRPr="00102092" w:rsidRDefault="00146E14" w:rsidP="00102092">
      <w:pPr>
        <w:tabs>
          <w:tab w:val="left" w:pos="851"/>
        </w:tabs>
        <w:rPr>
          <w:sz w:val="24"/>
          <w:szCs w:val="24"/>
        </w:rPr>
      </w:pPr>
    </w:p>
    <w:p w:rsidR="00D55147" w:rsidRPr="00102092" w:rsidRDefault="00D55147" w:rsidP="00102092">
      <w:pPr>
        <w:tabs>
          <w:tab w:val="left" w:pos="851"/>
        </w:tabs>
        <w:ind w:left="851" w:hanging="851"/>
        <w:rPr>
          <w:b/>
          <w:sz w:val="24"/>
          <w:szCs w:val="24"/>
        </w:rPr>
      </w:pPr>
      <w:r w:rsidRPr="00102092">
        <w:rPr>
          <w:b/>
          <w:sz w:val="24"/>
          <w:szCs w:val="24"/>
        </w:rPr>
        <w:t>9.</w:t>
      </w:r>
      <w:r w:rsidRPr="00102092">
        <w:rPr>
          <w:b/>
          <w:sz w:val="24"/>
          <w:szCs w:val="24"/>
        </w:rPr>
        <w:tab/>
        <w:t>DATO FOR FØRSTE MARKEDSFØRINGSTILLADELSE</w:t>
      </w:r>
    </w:p>
    <w:p w:rsidR="00146E14" w:rsidRPr="00102092" w:rsidRDefault="00146E14" w:rsidP="00102092">
      <w:pPr>
        <w:tabs>
          <w:tab w:val="left" w:pos="851"/>
        </w:tabs>
        <w:ind w:left="855"/>
        <w:rPr>
          <w:sz w:val="24"/>
          <w:szCs w:val="24"/>
        </w:rPr>
      </w:pPr>
      <w:r w:rsidRPr="00102092">
        <w:rPr>
          <w:sz w:val="24"/>
          <w:szCs w:val="24"/>
        </w:rPr>
        <w:t>27. september 2002</w:t>
      </w:r>
    </w:p>
    <w:p w:rsidR="00146E14" w:rsidRPr="00102092" w:rsidRDefault="00146E14" w:rsidP="00102092">
      <w:pPr>
        <w:tabs>
          <w:tab w:val="left" w:pos="851"/>
        </w:tabs>
        <w:rPr>
          <w:sz w:val="24"/>
          <w:szCs w:val="24"/>
        </w:rPr>
      </w:pPr>
    </w:p>
    <w:p w:rsidR="00A614E8" w:rsidRPr="00102092" w:rsidRDefault="00A614E8" w:rsidP="00102092">
      <w:pPr>
        <w:tabs>
          <w:tab w:val="left" w:pos="851"/>
        </w:tabs>
        <w:ind w:left="851" w:hanging="851"/>
        <w:rPr>
          <w:b/>
          <w:sz w:val="24"/>
          <w:szCs w:val="24"/>
        </w:rPr>
      </w:pPr>
      <w:r w:rsidRPr="00102092">
        <w:rPr>
          <w:b/>
          <w:sz w:val="24"/>
          <w:szCs w:val="24"/>
        </w:rPr>
        <w:t>10.</w:t>
      </w:r>
      <w:r w:rsidRPr="00102092">
        <w:rPr>
          <w:b/>
          <w:sz w:val="24"/>
          <w:szCs w:val="24"/>
        </w:rPr>
        <w:tab/>
        <w:t>DATO FOR ÆNDRING AF TEKSTEN</w:t>
      </w:r>
    </w:p>
    <w:p w:rsidR="009260DE" w:rsidRPr="00102092" w:rsidRDefault="00146E14" w:rsidP="005759EB">
      <w:pPr>
        <w:tabs>
          <w:tab w:val="left" w:pos="851"/>
        </w:tabs>
        <w:rPr>
          <w:sz w:val="24"/>
          <w:szCs w:val="24"/>
        </w:rPr>
      </w:pPr>
      <w:r w:rsidRPr="00102092">
        <w:rPr>
          <w:sz w:val="24"/>
          <w:szCs w:val="24"/>
        </w:rPr>
        <w:tab/>
      </w:r>
      <w:r w:rsidR="007F2D3C">
        <w:rPr>
          <w:sz w:val="24"/>
          <w:szCs w:val="24"/>
        </w:rPr>
        <w:t>6. oktober 2023</w:t>
      </w:r>
      <w:bookmarkStart w:id="0" w:name="_GoBack"/>
      <w:bookmarkEnd w:id="0"/>
    </w:p>
    <w:sectPr w:rsidR="009260DE" w:rsidRPr="0010209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14" w:rsidRDefault="00146E14">
      <w:r>
        <w:separator/>
      </w:r>
    </w:p>
  </w:endnote>
  <w:endnote w:type="continuationSeparator" w:id="0">
    <w:p w:rsidR="00146E14" w:rsidRDefault="0014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6577">
      <w:rPr>
        <w:i/>
        <w:noProof/>
        <w:sz w:val="18"/>
        <w:szCs w:val="18"/>
      </w:rPr>
      <w:t>Natriumklorid Baxter Viaflo 9 mg-ml, infusionsvæske, opløsning 9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14" w:rsidRDefault="00146E14">
      <w:r>
        <w:separator/>
      </w:r>
    </w:p>
  </w:footnote>
  <w:footnote w:type="continuationSeparator" w:id="0">
    <w:p w:rsidR="00146E14" w:rsidRDefault="00146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D45"/>
    <w:multiLevelType w:val="hybridMultilevel"/>
    <w:tmpl w:val="CDF4AA8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ED41D62"/>
    <w:multiLevelType w:val="hybridMultilevel"/>
    <w:tmpl w:val="EC4E2BF8"/>
    <w:lvl w:ilvl="0" w:tplc="7988B37C">
      <w:start w:val="2"/>
      <w:numFmt w:val="bullet"/>
      <w:lvlText w:val="-"/>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991F79"/>
    <w:multiLevelType w:val="multilevel"/>
    <w:tmpl w:val="545CA2EA"/>
    <w:lvl w:ilvl="0">
      <w:start w:val="1"/>
      <w:numFmt w:val="lowerLetter"/>
      <w:lvlText w:val="%1."/>
      <w:lvlJc w:val="left"/>
      <w:pPr>
        <w:tabs>
          <w:tab w:val="num" w:pos="1146"/>
        </w:tabs>
        <w:ind w:left="1146" w:hanging="360"/>
      </w:pPr>
    </w:lvl>
    <w:lvl w:ilvl="1" w:tentative="1">
      <w:start w:val="1"/>
      <w:numFmt w:val="lowerLetter"/>
      <w:lvlText w:val="%2."/>
      <w:lvlJc w:val="left"/>
      <w:pPr>
        <w:tabs>
          <w:tab w:val="num" w:pos="1866"/>
        </w:tabs>
        <w:ind w:left="1866" w:hanging="360"/>
      </w:pPr>
    </w:lvl>
    <w:lvl w:ilvl="2" w:tentative="1">
      <w:start w:val="1"/>
      <w:numFmt w:val="lowerRoman"/>
      <w:lvlText w:val="%3."/>
      <w:lvlJc w:val="right"/>
      <w:pPr>
        <w:tabs>
          <w:tab w:val="num" w:pos="2586"/>
        </w:tabs>
        <w:ind w:left="2586" w:hanging="180"/>
      </w:pPr>
    </w:lvl>
    <w:lvl w:ilvl="3" w:tentative="1">
      <w:start w:val="1"/>
      <w:numFmt w:val="decimal"/>
      <w:lvlText w:val="%4."/>
      <w:lvlJc w:val="left"/>
      <w:pPr>
        <w:tabs>
          <w:tab w:val="num" w:pos="3306"/>
        </w:tabs>
        <w:ind w:left="3306" w:hanging="360"/>
      </w:p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2AB7683F"/>
    <w:multiLevelType w:val="hybridMultilevel"/>
    <w:tmpl w:val="2CAE9B8C"/>
    <w:lvl w:ilvl="0" w:tplc="B4048104">
      <w:start w:val="1"/>
      <w:numFmt w:val="bullet"/>
      <w:lvlText w:val=""/>
      <w:lvlJc w:val="left"/>
      <w:pPr>
        <w:tabs>
          <w:tab w:val="num" w:pos="510"/>
        </w:tabs>
        <w:ind w:left="453" w:hanging="227"/>
      </w:pPr>
      <w:rPr>
        <w:rFonts w:ascii="Symbol" w:hAnsi="Symbol" w:hint="default"/>
      </w:rPr>
    </w:lvl>
    <w:lvl w:ilvl="1" w:tplc="04060003" w:tentative="1">
      <w:start w:val="1"/>
      <w:numFmt w:val="bullet"/>
      <w:lvlText w:val="o"/>
      <w:lvlJc w:val="left"/>
      <w:pPr>
        <w:tabs>
          <w:tab w:val="num" w:pos="1553"/>
        </w:tabs>
        <w:ind w:left="1553" w:hanging="360"/>
      </w:pPr>
      <w:rPr>
        <w:rFonts w:ascii="Courier New" w:hAnsi="Courier New" w:cs="Courier New" w:hint="default"/>
      </w:rPr>
    </w:lvl>
    <w:lvl w:ilvl="2" w:tplc="04060005" w:tentative="1">
      <w:start w:val="1"/>
      <w:numFmt w:val="bullet"/>
      <w:lvlText w:val=""/>
      <w:lvlJc w:val="left"/>
      <w:pPr>
        <w:tabs>
          <w:tab w:val="num" w:pos="2273"/>
        </w:tabs>
        <w:ind w:left="2273" w:hanging="360"/>
      </w:pPr>
      <w:rPr>
        <w:rFonts w:ascii="Wingdings" w:hAnsi="Wingdings" w:hint="default"/>
      </w:rPr>
    </w:lvl>
    <w:lvl w:ilvl="3" w:tplc="04060001" w:tentative="1">
      <w:start w:val="1"/>
      <w:numFmt w:val="bullet"/>
      <w:lvlText w:val=""/>
      <w:lvlJc w:val="left"/>
      <w:pPr>
        <w:tabs>
          <w:tab w:val="num" w:pos="2993"/>
        </w:tabs>
        <w:ind w:left="2993" w:hanging="360"/>
      </w:pPr>
      <w:rPr>
        <w:rFonts w:ascii="Symbol" w:hAnsi="Symbol" w:hint="default"/>
      </w:rPr>
    </w:lvl>
    <w:lvl w:ilvl="4" w:tplc="04060003" w:tentative="1">
      <w:start w:val="1"/>
      <w:numFmt w:val="bullet"/>
      <w:lvlText w:val="o"/>
      <w:lvlJc w:val="left"/>
      <w:pPr>
        <w:tabs>
          <w:tab w:val="num" w:pos="3713"/>
        </w:tabs>
        <w:ind w:left="3713" w:hanging="360"/>
      </w:pPr>
      <w:rPr>
        <w:rFonts w:ascii="Courier New" w:hAnsi="Courier New" w:cs="Courier New" w:hint="default"/>
      </w:rPr>
    </w:lvl>
    <w:lvl w:ilvl="5" w:tplc="04060005" w:tentative="1">
      <w:start w:val="1"/>
      <w:numFmt w:val="bullet"/>
      <w:lvlText w:val=""/>
      <w:lvlJc w:val="left"/>
      <w:pPr>
        <w:tabs>
          <w:tab w:val="num" w:pos="4433"/>
        </w:tabs>
        <w:ind w:left="4433" w:hanging="360"/>
      </w:pPr>
      <w:rPr>
        <w:rFonts w:ascii="Wingdings" w:hAnsi="Wingdings" w:hint="default"/>
      </w:rPr>
    </w:lvl>
    <w:lvl w:ilvl="6" w:tplc="04060001" w:tentative="1">
      <w:start w:val="1"/>
      <w:numFmt w:val="bullet"/>
      <w:lvlText w:val=""/>
      <w:lvlJc w:val="left"/>
      <w:pPr>
        <w:tabs>
          <w:tab w:val="num" w:pos="5153"/>
        </w:tabs>
        <w:ind w:left="5153" w:hanging="360"/>
      </w:pPr>
      <w:rPr>
        <w:rFonts w:ascii="Symbol" w:hAnsi="Symbol" w:hint="default"/>
      </w:rPr>
    </w:lvl>
    <w:lvl w:ilvl="7" w:tplc="04060003" w:tentative="1">
      <w:start w:val="1"/>
      <w:numFmt w:val="bullet"/>
      <w:lvlText w:val="o"/>
      <w:lvlJc w:val="left"/>
      <w:pPr>
        <w:tabs>
          <w:tab w:val="num" w:pos="5873"/>
        </w:tabs>
        <w:ind w:left="5873" w:hanging="360"/>
      </w:pPr>
      <w:rPr>
        <w:rFonts w:ascii="Courier New" w:hAnsi="Courier New" w:cs="Courier New" w:hint="default"/>
      </w:rPr>
    </w:lvl>
    <w:lvl w:ilvl="8" w:tplc="0406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304252"/>
    <w:multiLevelType w:val="hybridMultilevel"/>
    <w:tmpl w:val="0368F2CE"/>
    <w:lvl w:ilvl="0" w:tplc="04090003">
      <w:start w:val="1"/>
      <w:numFmt w:val="bullet"/>
      <w:lvlText w:val="o"/>
      <w:lvlJc w:val="left"/>
      <w:pPr>
        <w:ind w:left="1458" w:hanging="360"/>
      </w:pPr>
      <w:rPr>
        <w:rFonts w:ascii="Courier New" w:hAnsi="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D810711"/>
    <w:multiLevelType w:val="multilevel"/>
    <w:tmpl w:val="71B6B7C2"/>
    <w:lvl w:ilvl="0">
      <w:start w:val="1"/>
      <w:numFmt w:val="lowerLetter"/>
      <w:lvlText w:val="%1."/>
      <w:lvlJc w:val="left"/>
      <w:pPr>
        <w:tabs>
          <w:tab w:val="num" w:pos="1146"/>
        </w:tabs>
        <w:ind w:left="1146" w:hanging="360"/>
      </w:pPr>
    </w:lvl>
    <w:lvl w:ilvl="1" w:tentative="1">
      <w:start w:val="1"/>
      <w:numFmt w:val="lowerLetter"/>
      <w:lvlText w:val="%2."/>
      <w:lvlJc w:val="left"/>
      <w:pPr>
        <w:tabs>
          <w:tab w:val="num" w:pos="1866"/>
        </w:tabs>
        <w:ind w:left="1866" w:hanging="360"/>
      </w:pPr>
    </w:lvl>
    <w:lvl w:ilvl="2" w:tentative="1">
      <w:start w:val="1"/>
      <w:numFmt w:val="lowerRoman"/>
      <w:lvlText w:val="%3."/>
      <w:lvlJc w:val="right"/>
      <w:pPr>
        <w:tabs>
          <w:tab w:val="num" w:pos="2586"/>
        </w:tabs>
        <w:ind w:left="2586" w:hanging="180"/>
      </w:pPr>
    </w:lvl>
    <w:lvl w:ilvl="3" w:tentative="1">
      <w:start w:val="1"/>
      <w:numFmt w:val="decimal"/>
      <w:lvlText w:val="%4."/>
      <w:lvlJc w:val="left"/>
      <w:pPr>
        <w:tabs>
          <w:tab w:val="num" w:pos="3306"/>
        </w:tabs>
        <w:ind w:left="3306" w:hanging="360"/>
      </w:p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614577A"/>
    <w:multiLevelType w:val="hybridMultilevel"/>
    <w:tmpl w:val="50789150"/>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2" w15:restartNumberingAfterBreak="0">
    <w:nsid w:val="6AA640D5"/>
    <w:multiLevelType w:val="multilevel"/>
    <w:tmpl w:val="7542E6F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BD7286"/>
    <w:multiLevelType w:val="multilevel"/>
    <w:tmpl w:val="8F7E786C"/>
    <w:lvl w:ilvl="0">
      <w:start w:val="1"/>
      <w:numFmt w:val="bullet"/>
      <w:lvlText w:val=""/>
      <w:lvlJc w:val="left"/>
      <w:pPr>
        <w:tabs>
          <w:tab w:val="num" w:pos="1854"/>
        </w:tabs>
        <w:ind w:left="1854" w:hanging="360"/>
      </w:pPr>
      <w:rPr>
        <w:rFonts w:ascii="Symbol" w:hAnsi="Symbol" w:hint="default"/>
      </w:rPr>
    </w:lvl>
    <w:lvl w:ilvl="1">
      <w:start w:val="3"/>
      <w:numFmt w:val="lowerLetter"/>
      <w:lvlText w:val="%2)"/>
      <w:lvlJc w:val="left"/>
      <w:pPr>
        <w:tabs>
          <w:tab w:val="num" w:pos="2574"/>
        </w:tabs>
        <w:ind w:left="2574" w:hanging="360"/>
      </w:pPr>
      <w:rPr>
        <w:rFonts w:hint="default"/>
      </w:rPr>
    </w:lvl>
    <w:lvl w:ilvl="2">
      <w:start w:val="3"/>
      <w:numFmt w:val="decimal"/>
      <w:lvlText w:val="%3."/>
      <w:lvlJc w:val="left"/>
      <w:pPr>
        <w:tabs>
          <w:tab w:val="num" w:pos="3294"/>
        </w:tabs>
        <w:ind w:left="3294" w:hanging="360"/>
      </w:pPr>
      <w:rPr>
        <w:rFont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7DEC2704"/>
    <w:multiLevelType w:val="multilevel"/>
    <w:tmpl w:val="D1B6B8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0"/>
  </w:num>
  <w:num w:numId="9">
    <w:abstractNumId w:val="5"/>
  </w:num>
  <w:num w:numId="10">
    <w:abstractNumId w:val="2"/>
  </w:num>
  <w:num w:numId="11">
    <w:abstractNumId w:val="12"/>
  </w:num>
  <w:num w:numId="12">
    <w:abstractNumId w:val="14"/>
  </w:num>
  <w:num w:numId="13">
    <w:abstractNumId w:val="13"/>
  </w:num>
  <w:num w:numId="14">
    <w:abstractNumId w:val="9"/>
  </w:num>
  <w:num w:numId="15">
    <w:abstractNumId w:val="3"/>
  </w:num>
  <w:num w:numId="16">
    <w:abstractNumId w:val="1"/>
  </w:num>
  <w:num w:numId="17">
    <w:abstractNumId w:val="4"/>
  </w:num>
  <w:num w:numId="18">
    <w:abstractNumId w:val="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14"/>
    <w:rsid w:val="000259B9"/>
    <w:rsid w:val="00041491"/>
    <w:rsid w:val="00050D16"/>
    <w:rsid w:val="00065E1D"/>
    <w:rsid w:val="00074F2A"/>
    <w:rsid w:val="000A0825"/>
    <w:rsid w:val="000A1CA8"/>
    <w:rsid w:val="000A466B"/>
    <w:rsid w:val="000B058C"/>
    <w:rsid w:val="000E4EE6"/>
    <w:rsid w:val="00102092"/>
    <w:rsid w:val="001454E2"/>
    <w:rsid w:val="00146E14"/>
    <w:rsid w:val="0017684A"/>
    <w:rsid w:val="001A2190"/>
    <w:rsid w:val="00206CE8"/>
    <w:rsid w:val="0021526C"/>
    <w:rsid w:val="00221299"/>
    <w:rsid w:val="00251775"/>
    <w:rsid w:val="00283A2B"/>
    <w:rsid w:val="002B30AD"/>
    <w:rsid w:val="002C2C01"/>
    <w:rsid w:val="0039269E"/>
    <w:rsid w:val="003A29AE"/>
    <w:rsid w:val="003A32D7"/>
    <w:rsid w:val="003B4074"/>
    <w:rsid w:val="003C769A"/>
    <w:rsid w:val="003F1838"/>
    <w:rsid w:val="0045746C"/>
    <w:rsid w:val="0049104B"/>
    <w:rsid w:val="004E3B12"/>
    <w:rsid w:val="00532310"/>
    <w:rsid w:val="00560ECC"/>
    <w:rsid w:val="00565F0F"/>
    <w:rsid w:val="005759EB"/>
    <w:rsid w:val="00594A86"/>
    <w:rsid w:val="00596D86"/>
    <w:rsid w:val="00637F5A"/>
    <w:rsid w:val="006560B1"/>
    <w:rsid w:val="006756DD"/>
    <w:rsid w:val="00706511"/>
    <w:rsid w:val="00737275"/>
    <w:rsid w:val="00740EEC"/>
    <w:rsid w:val="0075405F"/>
    <w:rsid w:val="0078011A"/>
    <w:rsid w:val="00782AF4"/>
    <w:rsid w:val="00790EE7"/>
    <w:rsid w:val="007B6649"/>
    <w:rsid w:val="007C7966"/>
    <w:rsid w:val="007F2D3C"/>
    <w:rsid w:val="0081546F"/>
    <w:rsid w:val="0082576E"/>
    <w:rsid w:val="00907F75"/>
    <w:rsid w:val="009260DE"/>
    <w:rsid w:val="0093258A"/>
    <w:rsid w:val="009C7BA3"/>
    <w:rsid w:val="009D1F5A"/>
    <w:rsid w:val="00A35545"/>
    <w:rsid w:val="00A46287"/>
    <w:rsid w:val="00A614E8"/>
    <w:rsid w:val="00B003BF"/>
    <w:rsid w:val="00B373D7"/>
    <w:rsid w:val="00B376A4"/>
    <w:rsid w:val="00BD56BF"/>
    <w:rsid w:val="00C36276"/>
    <w:rsid w:val="00C42586"/>
    <w:rsid w:val="00C60CCD"/>
    <w:rsid w:val="00C84483"/>
    <w:rsid w:val="00C95551"/>
    <w:rsid w:val="00CB20D7"/>
    <w:rsid w:val="00CE1B76"/>
    <w:rsid w:val="00D020B0"/>
    <w:rsid w:val="00D11748"/>
    <w:rsid w:val="00D366CF"/>
    <w:rsid w:val="00D55147"/>
    <w:rsid w:val="00D75521"/>
    <w:rsid w:val="00DC4B91"/>
    <w:rsid w:val="00E108AA"/>
    <w:rsid w:val="00E31812"/>
    <w:rsid w:val="00E3749A"/>
    <w:rsid w:val="00E7437F"/>
    <w:rsid w:val="00E865B8"/>
    <w:rsid w:val="00EC0B9B"/>
    <w:rsid w:val="00ED5E9F"/>
    <w:rsid w:val="00F23B5F"/>
    <w:rsid w:val="00F66D4F"/>
    <w:rsid w:val="00FB6D01"/>
    <w:rsid w:val="00FC6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0237E3"/>
  <w15:chartTrackingRefBased/>
  <w15:docId w15:val="{D07CA5F5-CB65-4A85-A1C2-6EC64BC7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B5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qFormat/>
    <w:rsid w:val="00146E14"/>
    <w:pPr>
      <w:keepNext/>
      <w:tabs>
        <w:tab w:val="left" w:pos="-720"/>
        <w:tab w:val="left" w:pos="567"/>
        <w:tab w:val="left" w:pos="4536"/>
      </w:tabs>
      <w:suppressAutoHyphens/>
      <w:spacing w:line="260" w:lineRule="exact"/>
      <w:outlineLvl w:val="5"/>
    </w:pPr>
    <w:rPr>
      <w:i/>
      <w:sz w:val="22"/>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rsid w:val="00146E14"/>
    <w:rPr>
      <w:i/>
      <w:sz w:val="22"/>
      <w:lang w:val="en-GB"/>
    </w:rPr>
  </w:style>
  <w:style w:type="paragraph" w:styleId="Brdtekstindrykning">
    <w:name w:val="Body Text Indent"/>
    <w:basedOn w:val="Normal"/>
    <w:link w:val="BrdtekstindrykningTegn"/>
    <w:rsid w:val="00146E14"/>
    <w:pPr>
      <w:ind w:left="851"/>
    </w:pPr>
    <w:rPr>
      <w:sz w:val="24"/>
      <w:lang w:eastAsia="da-DK"/>
    </w:rPr>
  </w:style>
  <w:style w:type="character" w:customStyle="1" w:styleId="BrdtekstindrykningTegn">
    <w:name w:val="Brødtekstindrykning Tegn"/>
    <w:basedOn w:val="Standardskrifttypeiafsnit"/>
    <w:link w:val="Brdtekstindrykning"/>
    <w:rsid w:val="00146E14"/>
    <w:rPr>
      <w:sz w:val="24"/>
    </w:rPr>
  </w:style>
  <w:style w:type="paragraph" w:styleId="Brdtekst3">
    <w:name w:val="Body Text 3"/>
    <w:basedOn w:val="Normal"/>
    <w:link w:val="Brdtekst3Tegn"/>
    <w:rsid w:val="00146E14"/>
    <w:pPr>
      <w:tabs>
        <w:tab w:val="left" w:pos="-720"/>
      </w:tabs>
      <w:suppressAutoHyphens/>
    </w:pPr>
    <w:rPr>
      <w:b/>
      <w:sz w:val="22"/>
      <w:lang w:eastAsia="da-DK"/>
    </w:rPr>
  </w:style>
  <w:style w:type="character" w:customStyle="1" w:styleId="Brdtekst3Tegn">
    <w:name w:val="Brødtekst 3 Tegn"/>
    <w:basedOn w:val="Standardskrifttypeiafsnit"/>
    <w:link w:val="Brdtekst3"/>
    <w:rsid w:val="00146E14"/>
    <w:rPr>
      <w:b/>
      <w:sz w:val="22"/>
    </w:rPr>
  </w:style>
  <w:style w:type="paragraph" w:styleId="Brdtekstindrykning2">
    <w:name w:val="Body Text Indent 2"/>
    <w:basedOn w:val="Normal"/>
    <w:link w:val="Brdtekstindrykning2Tegn"/>
    <w:rsid w:val="00146E14"/>
    <w:pPr>
      <w:ind w:left="851"/>
    </w:pPr>
    <w:rPr>
      <w:b/>
      <w:sz w:val="24"/>
      <w:lang w:eastAsia="da-DK"/>
    </w:rPr>
  </w:style>
  <w:style w:type="character" w:customStyle="1" w:styleId="Brdtekstindrykning2Tegn">
    <w:name w:val="Brødtekstindrykning 2 Tegn"/>
    <w:basedOn w:val="Standardskrifttypeiafsnit"/>
    <w:link w:val="Brdtekstindrykning2"/>
    <w:rsid w:val="00146E14"/>
    <w:rPr>
      <w:b/>
      <w:sz w:val="24"/>
    </w:rPr>
  </w:style>
  <w:style w:type="paragraph" w:styleId="Listeafsnit">
    <w:name w:val="List Paragraph"/>
    <w:basedOn w:val="Normal"/>
    <w:uiPriority w:val="34"/>
    <w:qFormat/>
    <w:rsid w:val="00A4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61">
      <w:bodyDiv w:val="1"/>
      <w:marLeft w:val="0"/>
      <w:marRight w:val="0"/>
      <w:marTop w:val="0"/>
      <w:marBottom w:val="0"/>
      <w:divBdr>
        <w:top w:val="none" w:sz="0" w:space="0" w:color="auto"/>
        <w:left w:val="none" w:sz="0" w:space="0" w:color="auto"/>
        <w:bottom w:val="none" w:sz="0" w:space="0" w:color="auto"/>
        <w:right w:val="none" w:sz="0" w:space="0" w:color="auto"/>
      </w:divBdr>
    </w:div>
    <w:div w:id="1460179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545687">
      <w:bodyDiv w:val="1"/>
      <w:marLeft w:val="0"/>
      <w:marRight w:val="0"/>
      <w:marTop w:val="0"/>
      <w:marBottom w:val="0"/>
      <w:divBdr>
        <w:top w:val="none" w:sz="0" w:space="0" w:color="auto"/>
        <w:left w:val="none" w:sz="0" w:space="0" w:color="auto"/>
        <w:bottom w:val="none" w:sz="0" w:space="0" w:color="auto"/>
        <w:right w:val="none" w:sz="0" w:space="0" w:color="auto"/>
      </w:divBdr>
    </w:div>
    <w:div w:id="321128781">
      <w:bodyDiv w:val="1"/>
      <w:marLeft w:val="0"/>
      <w:marRight w:val="0"/>
      <w:marTop w:val="0"/>
      <w:marBottom w:val="0"/>
      <w:divBdr>
        <w:top w:val="none" w:sz="0" w:space="0" w:color="auto"/>
        <w:left w:val="none" w:sz="0" w:space="0" w:color="auto"/>
        <w:bottom w:val="none" w:sz="0" w:space="0" w:color="auto"/>
        <w:right w:val="none" w:sz="0" w:space="0" w:color="auto"/>
      </w:divBdr>
    </w:div>
    <w:div w:id="322247079">
      <w:bodyDiv w:val="1"/>
      <w:marLeft w:val="0"/>
      <w:marRight w:val="0"/>
      <w:marTop w:val="0"/>
      <w:marBottom w:val="0"/>
      <w:divBdr>
        <w:top w:val="none" w:sz="0" w:space="0" w:color="auto"/>
        <w:left w:val="none" w:sz="0" w:space="0" w:color="auto"/>
        <w:bottom w:val="none" w:sz="0" w:space="0" w:color="auto"/>
        <w:right w:val="none" w:sz="0" w:space="0" w:color="auto"/>
      </w:divBdr>
    </w:div>
    <w:div w:id="492767080">
      <w:bodyDiv w:val="1"/>
      <w:marLeft w:val="0"/>
      <w:marRight w:val="0"/>
      <w:marTop w:val="0"/>
      <w:marBottom w:val="0"/>
      <w:divBdr>
        <w:top w:val="none" w:sz="0" w:space="0" w:color="auto"/>
        <w:left w:val="none" w:sz="0" w:space="0" w:color="auto"/>
        <w:bottom w:val="none" w:sz="0" w:space="0" w:color="auto"/>
        <w:right w:val="none" w:sz="0" w:space="0" w:color="auto"/>
      </w:divBdr>
    </w:div>
    <w:div w:id="495656453">
      <w:bodyDiv w:val="1"/>
      <w:marLeft w:val="0"/>
      <w:marRight w:val="0"/>
      <w:marTop w:val="0"/>
      <w:marBottom w:val="0"/>
      <w:divBdr>
        <w:top w:val="none" w:sz="0" w:space="0" w:color="auto"/>
        <w:left w:val="none" w:sz="0" w:space="0" w:color="auto"/>
        <w:bottom w:val="none" w:sz="0" w:space="0" w:color="auto"/>
        <w:right w:val="none" w:sz="0" w:space="0" w:color="auto"/>
      </w:divBdr>
    </w:div>
    <w:div w:id="597953679">
      <w:bodyDiv w:val="1"/>
      <w:marLeft w:val="0"/>
      <w:marRight w:val="0"/>
      <w:marTop w:val="0"/>
      <w:marBottom w:val="0"/>
      <w:divBdr>
        <w:top w:val="none" w:sz="0" w:space="0" w:color="auto"/>
        <w:left w:val="none" w:sz="0" w:space="0" w:color="auto"/>
        <w:bottom w:val="none" w:sz="0" w:space="0" w:color="auto"/>
        <w:right w:val="none" w:sz="0" w:space="0" w:color="auto"/>
      </w:divBdr>
    </w:div>
    <w:div w:id="610629544">
      <w:bodyDiv w:val="1"/>
      <w:marLeft w:val="0"/>
      <w:marRight w:val="0"/>
      <w:marTop w:val="0"/>
      <w:marBottom w:val="0"/>
      <w:divBdr>
        <w:top w:val="none" w:sz="0" w:space="0" w:color="auto"/>
        <w:left w:val="none" w:sz="0" w:space="0" w:color="auto"/>
        <w:bottom w:val="none" w:sz="0" w:space="0" w:color="auto"/>
        <w:right w:val="none" w:sz="0" w:space="0" w:color="auto"/>
      </w:divBdr>
    </w:div>
    <w:div w:id="758523979">
      <w:bodyDiv w:val="1"/>
      <w:marLeft w:val="0"/>
      <w:marRight w:val="0"/>
      <w:marTop w:val="0"/>
      <w:marBottom w:val="0"/>
      <w:divBdr>
        <w:top w:val="none" w:sz="0" w:space="0" w:color="auto"/>
        <w:left w:val="none" w:sz="0" w:space="0" w:color="auto"/>
        <w:bottom w:val="none" w:sz="0" w:space="0" w:color="auto"/>
        <w:right w:val="none" w:sz="0" w:space="0" w:color="auto"/>
      </w:divBdr>
    </w:div>
    <w:div w:id="801536478">
      <w:bodyDiv w:val="1"/>
      <w:marLeft w:val="0"/>
      <w:marRight w:val="0"/>
      <w:marTop w:val="0"/>
      <w:marBottom w:val="0"/>
      <w:divBdr>
        <w:top w:val="none" w:sz="0" w:space="0" w:color="auto"/>
        <w:left w:val="none" w:sz="0" w:space="0" w:color="auto"/>
        <w:bottom w:val="none" w:sz="0" w:space="0" w:color="auto"/>
        <w:right w:val="none" w:sz="0" w:space="0" w:color="auto"/>
      </w:divBdr>
    </w:div>
    <w:div w:id="938298024">
      <w:bodyDiv w:val="1"/>
      <w:marLeft w:val="0"/>
      <w:marRight w:val="0"/>
      <w:marTop w:val="0"/>
      <w:marBottom w:val="0"/>
      <w:divBdr>
        <w:top w:val="none" w:sz="0" w:space="0" w:color="auto"/>
        <w:left w:val="none" w:sz="0" w:space="0" w:color="auto"/>
        <w:bottom w:val="none" w:sz="0" w:space="0" w:color="auto"/>
        <w:right w:val="none" w:sz="0" w:space="0" w:color="auto"/>
      </w:divBdr>
    </w:div>
    <w:div w:id="1077092878">
      <w:bodyDiv w:val="1"/>
      <w:marLeft w:val="0"/>
      <w:marRight w:val="0"/>
      <w:marTop w:val="0"/>
      <w:marBottom w:val="0"/>
      <w:divBdr>
        <w:top w:val="none" w:sz="0" w:space="0" w:color="auto"/>
        <w:left w:val="none" w:sz="0" w:space="0" w:color="auto"/>
        <w:bottom w:val="none" w:sz="0" w:space="0" w:color="auto"/>
        <w:right w:val="none" w:sz="0" w:space="0" w:color="auto"/>
      </w:divBdr>
    </w:div>
    <w:div w:id="1077751059">
      <w:bodyDiv w:val="1"/>
      <w:marLeft w:val="0"/>
      <w:marRight w:val="0"/>
      <w:marTop w:val="0"/>
      <w:marBottom w:val="0"/>
      <w:divBdr>
        <w:top w:val="none" w:sz="0" w:space="0" w:color="auto"/>
        <w:left w:val="none" w:sz="0" w:space="0" w:color="auto"/>
        <w:bottom w:val="none" w:sz="0" w:space="0" w:color="auto"/>
        <w:right w:val="none" w:sz="0" w:space="0" w:color="auto"/>
      </w:divBdr>
    </w:div>
    <w:div w:id="1095439395">
      <w:bodyDiv w:val="1"/>
      <w:marLeft w:val="0"/>
      <w:marRight w:val="0"/>
      <w:marTop w:val="0"/>
      <w:marBottom w:val="0"/>
      <w:divBdr>
        <w:top w:val="none" w:sz="0" w:space="0" w:color="auto"/>
        <w:left w:val="none" w:sz="0" w:space="0" w:color="auto"/>
        <w:bottom w:val="none" w:sz="0" w:space="0" w:color="auto"/>
        <w:right w:val="none" w:sz="0" w:space="0" w:color="auto"/>
      </w:divBdr>
    </w:div>
    <w:div w:id="1148592069">
      <w:bodyDiv w:val="1"/>
      <w:marLeft w:val="0"/>
      <w:marRight w:val="0"/>
      <w:marTop w:val="0"/>
      <w:marBottom w:val="0"/>
      <w:divBdr>
        <w:top w:val="none" w:sz="0" w:space="0" w:color="auto"/>
        <w:left w:val="none" w:sz="0" w:space="0" w:color="auto"/>
        <w:bottom w:val="none" w:sz="0" w:space="0" w:color="auto"/>
        <w:right w:val="none" w:sz="0" w:space="0" w:color="auto"/>
      </w:divBdr>
    </w:div>
    <w:div w:id="1437022916">
      <w:bodyDiv w:val="1"/>
      <w:marLeft w:val="0"/>
      <w:marRight w:val="0"/>
      <w:marTop w:val="0"/>
      <w:marBottom w:val="0"/>
      <w:divBdr>
        <w:top w:val="none" w:sz="0" w:space="0" w:color="auto"/>
        <w:left w:val="none" w:sz="0" w:space="0" w:color="auto"/>
        <w:bottom w:val="none" w:sz="0" w:space="0" w:color="auto"/>
        <w:right w:val="none" w:sz="0" w:space="0" w:color="auto"/>
      </w:divBdr>
    </w:div>
    <w:div w:id="1459450737">
      <w:bodyDiv w:val="1"/>
      <w:marLeft w:val="0"/>
      <w:marRight w:val="0"/>
      <w:marTop w:val="0"/>
      <w:marBottom w:val="0"/>
      <w:divBdr>
        <w:top w:val="none" w:sz="0" w:space="0" w:color="auto"/>
        <w:left w:val="none" w:sz="0" w:space="0" w:color="auto"/>
        <w:bottom w:val="none" w:sz="0" w:space="0" w:color="auto"/>
        <w:right w:val="none" w:sz="0" w:space="0" w:color="auto"/>
      </w:divBdr>
    </w:div>
    <w:div w:id="1581793529">
      <w:bodyDiv w:val="1"/>
      <w:marLeft w:val="0"/>
      <w:marRight w:val="0"/>
      <w:marTop w:val="0"/>
      <w:marBottom w:val="0"/>
      <w:divBdr>
        <w:top w:val="none" w:sz="0" w:space="0" w:color="auto"/>
        <w:left w:val="none" w:sz="0" w:space="0" w:color="auto"/>
        <w:bottom w:val="none" w:sz="0" w:space="0" w:color="auto"/>
        <w:right w:val="none" w:sz="0" w:space="0" w:color="auto"/>
      </w:divBdr>
    </w:div>
    <w:div w:id="1620532853">
      <w:bodyDiv w:val="1"/>
      <w:marLeft w:val="0"/>
      <w:marRight w:val="0"/>
      <w:marTop w:val="0"/>
      <w:marBottom w:val="0"/>
      <w:divBdr>
        <w:top w:val="none" w:sz="0" w:space="0" w:color="auto"/>
        <w:left w:val="none" w:sz="0" w:space="0" w:color="auto"/>
        <w:bottom w:val="none" w:sz="0" w:space="0" w:color="auto"/>
        <w:right w:val="none" w:sz="0" w:space="0" w:color="auto"/>
      </w:divBdr>
    </w:div>
    <w:div w:id="1639650702">
      <w:bodyDiv w:val="1"/>
      <w:marLeft w:val="0"/>
      <w:marRight w:val="0"/>
      <w:marTop w:val="0"/>
      <w:marBottom w:val="0"/>
      <w:divBdr>
        <w:top w:val="none" w:sz="0" w:space="0" w:color="auto"/>
        <w:left w:val="none" w:sz="0" w:space="0" w:color="auto"/>
        <w:bottom w:val="none" w:sz="0" w:space="0" w:color="auto"/>
        <w:right w:val="none" w:sz="0" w:space="0" w:color="auto"/>
      </w:divBdr>
    </w:div>
    <w:div w:id="1674650022">
      <w:bodyDiv w:val="1"/>
      <w:marLeft w:val="0"/>
      <w:marRight w:val="0"/>
      <w:marTop w:val="0"/>
      <w:marBottom w:val="0"/>
      <w:divBdr>
        <w:top w:val="none" w:sz="0" w:space="0" w:color="auto"/>
        <w:left w:val="none" w:sz="0" w:space="0" w:color="auto"/>
        <w:bottom w:val="none" w:sz="0" w:space="0" w:color="auto"/>
        <w:right w:val="none" w:sz="0" w:space="0" w:color="auto"/>
      </w:divBdr>
    </w:div>
    <w:div w:id="1681856009">
      <w:bodyDiv w:val="1"/>
      <w:marLeft w:val="0"/>
      <w:marRight w:val="0"/>
      <w:marTop w:val="0"/>
      <w:marBottom w:val="0"/>
      <w:divBdr>
        <w:top w:val="none" w:sz="0" w:space="0" w:color="auto"/>
        <w:left w:val="none" w:sz="0" w:space="0" w:color="auto"/>
        <w:bottom w:val="none" w:sz="0" w:space="0" w:color="auto"/>
        <w:right w:val="none" w:sz="0" w:space="0" w:color="auto"/>
      </w:divBdr>
    </w:div>
    <w:div w:id="1745839777">
      <w:bodyDiv w:val="1"/>
      <w:marLeft w:val="0"/>
      <w:marRight w:val="0"/>
      <w:marTop w:val="0"/>
      <w:marBottom w:val="0"/>
      <w:divBdr>
        <w:top w:val="none" w:sz="0" w:space="0" w:color="auto"/>
        <w:left w:val="none" w:sz="0" w:space="0" w:color="auto"/>
        <w:bottom w:val="none" w:sz="0" w:space="0" w:color="auto"/>
        <w:right w:val="none" w:sz="0" w:space="0" w:color="auto"/>
      </w:divBdr>
    </w:div>
    <w:div w:id="1776629510">
      <w:bodyDiv w:val="1"/>
      <w:marLeft w:val="0"/>
      <w:marRight w:val="0"/>
      <w:marTop w:val="0"/>
      <w:marBottom w:val="0"/>
      <w:divBdr>
        <w:top w:val="none" w:sz="0" w:space="0" w:color="auto"/>
        <w:left w:val="none" w:sz="0" w:space="0" w:color="auto"/>
        <w:bottom w:val="none" w:sz="0" w:space="0" w:color="auto"/>
        <w:right w:val="none" w:sz="0" w:space="0" w:color="auto"/>
      </w:divBdr>
    </w:div>
    <w:div w:id="1817910794">
      <w:bodyDiv w:val="1"/>
      <w:marLeft w:val="0"/>
      <w:marRight w:val="0"/>
      <w:marTop w:val="0"/>
      <w:marBottom w:val="0"/>
      <w:divBdr>
        <w:top w:val="none" w:sz="0" w:space="0" w:color="auto"/>
        <w:left w:val="none" w:sz="0" w:space="0" w:color="auto"/>
        <w:bottom w:val="none" w:sz="0" w:space="0" w:color="auto"/>
        <w:right w:val="none" w:sz="0" w:space="0" w:color="auto"/>
      </w:divBdr>
    </w:div>
    <w:div w:id="1914578561">
      <w:bodyDiv w:val="1"/>
      <w:marLeft w:val="0"/>
      <w:marRight w:val="0"/>
      <w:marTop w:val="0"/>
      <w:marBottom w:val="0"/>
      <w:divBdr>
        <w:top w:val="none" w:sz="0" w:space="0" w:color="auto"/>
        <w:left w:val="none" w:sz="0" w:space="0" w:color="auto"/>
        <w:bottom w:val="none" w:sz="0" w:space="0" w:color="auto"/>
        <w:right w:val="none" w:sz="0" w:space="0" w:color="auto"/>
      </w:divBdr>
    </w:div>
    <w:div w:id="1979384147">
      <w:bodyDiv w:val="1"/>
      <w:marLeft w:val="0"/>
      <w:marRight w:val="0"/>
      <w:marTop w:val="0"/>
      <w:marBottom w:val="0"/>
      <w:divBdr>
        <w:top w:val="none" w:sz="0" w:space="0" w:color="auto"/>
        <w:left w:val="none" w:sz="0" w:space="0" w:color="auto"/>
        <w:bottom w:val="none" w:sz="0" w:space="0" w:color="auto"/>
        <w:right w:val="none" w:sz="0" w:space="0" w:color="auto"/>
      </w:divBdr>
    </w:div>
    <w:div w:id="2074160556">
      <w:bodyDiv w:val="1"/>
      <w:marLeft w:val="0"/>
      <w:marRight w:val="0"/>
      <w:marTop w:val="0"/>
      <w:marBottom w:val="0"/>
      <w:divBdr>
        <w:top w:val="none" w:sz="0" w:space="0" w:color="auto"/>
        <w:left w:val="none" w:sz="0" w:space="0" w:color="auto"/>
        <w:bottom w:val="none" w:sz="0" w:space="0" w:color="auto"/>
        <w:right w:val="none" w:sz="0" w:space="0" w:color="auto"/>
      </w:divBdr>
    </w:div>
    <w:div w:id="21191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10</Pages>
  <Words>2876</Words>
  <Characters>19687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2023070065_x000d_
SPC pkt. 6.5 tilføjelse af pakningsstørelse "12 poser a 1000 ml pr. kasse"</dc:description>
  <cp:lastModifiedBy>Kristine Skov Hansen</cp:lastModifiedBy>
  <cp:revision>2</cp:revision>
  <cp:lastPrinted>2012-08-22T08:53:00Z</cp:lastPrinted>
  <dcterms:created xsi:type="dcterms:W3CDTF">2023-10-06T07:10:00Z</dcterms:created>
  <dcterms:modified xsi:type="dcterms:W3CDTF">2023-10-06T07:10:00Z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