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663F"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7208247B" wp14:editId="3D6C763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0A172AFC" w14:textId="083FC8FB"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342DCE">
        <w:rPr>
          <w:szCs w:val="24"/>
        </w:rPr>
        <w:t>19. maj 2026</w:t>
      </w:r>
    </w:p>
    <w:p w14:paraId="35D8C816" w14:textId="77777777" w:rsidR="009260DE" w:rsidRPr="00C84483" w:rsidRDefault="009260DE" w:rsidP="009260DE">
      <w:pPr>
        <w:pStyle w:val="Titel"/>
        <w:tabs>
          <w:tab w:val="left" w:pos="8222"/>
        </w:tabs>
        <w:jc w:val="left"/>
        <w:rPr>
          <w:b w:val="0"/>
          <w:szCs w:val="24"/>
        </w:rPr>
      </w:pPr>
    </w:p>
    <w:p w14:paraId="5880B2DB" w14:textId="77777777" w:rsidR="009260DE" w:rsidRPr="00C84483" w:rsidRDefault="009260DE" w:rsidP="009260DE">
      <w:pPr>
        <w:pStyle w:val="Titel"/>
        <w:jc w:val="left"/>
        <w:rPr>
          <w:b w:val="0"/>
          <w:szCs w:val="24"/>
        </w:rPr>
      </w:pPr>
    </w:p>
    <w:p w14:paraId="5C5A649B" w14:textId="77777777" w:rsidR="009260DE" w:rsidRPr="00C84483" w:rsidRDefault="009260DE" w:rsidP="009260DE">
      <w:pPr>
        <w:pStyle w:val="Titel"/>
        <w:jc w:val="left"/>
        <w:rPr>
          <w:b w:val="0"/>
          <w:szCs w:val="24"/>
        </w:rPr>
      </w:pPr>
    </w:p>
    <w:p w14:paraId="12D2817A" w14:textId="77777777" w:rsidR="009260DE" w:rsidRPr="00C84483" w:rsidRDefault="009260DE" w:rsidP="009260DE">
      <w:pPr>
        <w:jc w:val="center"/>
        <w:rPr>
          <w:b/>
          <w:sz w:val="24"/>
          <w:szCs w:val="24"/>
        </w:rPr>
      </w:pPr>
      <w:r w:rsidRPr="00C84483">
        <w:rPr>
          <w:b/>
          <w:sz w:val="24"/>
          <w:szCs w:val="24"/>
        </w:rPr>
        <w:t>PRODUKTRESUMÉ</w:t>
      </w:r>
    </w:p>
    <w:p w14:paraId="30BDDFC4" w14:textId="77777777" w:rsidR="009260DE" w:rsidRPr="00C84483" w:rsidRDefault="009260DE" w:rsidP="009260DE">
      <w:pPr>
        <w:jc w:val="center"/>
        <w:rPr>
          <w:b/>
          <w:sz w:val="24"/>
          <w:szCs w:val="24"/>
        </w:rPr>
      </w:pPr>
    </w:p>
    <w:p w14:paraId="7F3E2FC0" w14:textId="77777777" w:rsidR="009260DE" w:rsidRDefault="009260DE" w:rsidP="009260DE">
      <w:pPr>
        <w:jc w:val="center"/>
        <w:rPr>
          <w:b/>
          <w:sz w:val="24"/>
          <w:szCs w:val="24"/>
        </w:rPr>
      </w:pPr>
      <w:r w:rsidRPr="00C84483">
        <w:rPr>
          <w:b/>
          <w:sz w:val="24"/>
          <w:szCs w:val="24"/>
        </w:rPr>
        <w:t>for</w:t>
      </w:r>
    </w:p>
    <w:p w14:paraId="0FBAD8E1" w14:textId="77777777" w:rsidR="000B058C" w:rsidRPr="00C84483" w:rsidRDefault="000B058C" w:rsidP="009260DE">
      <w:pPr>
        <w:jc w:val="center"/>
        <w:rPr>
          <w:b/>
          <w:sz w:val="24"/>
          <w:szCs w:val="24"/>
        </w:rPr>
      </w:pPr>
    </w:p>
    <w:p w14:paraId="0E1EFA98" w14:textId="0EF26B47" w:rsidR="009260DE" w:rsidRPr="00C84483" w:rsidRDefault="0032342E" w:rsidP="009260DE">
      <w:pPr>
        <w:jc w:val="center"/>
        <w:rPr>
          <w:b/>
          <w:sz w:val="24"/>
          <w:szCs w:val="24"/>
        </w:rPr>
      </w:pPr>
      <w:proofErr w:type="spellStart"/>
      <w:r>
        <w:rPr>
          <w:b/>
          <w:sz w:val="24"/>
          <w:szCs w:val="24"/>
        </w:rPr>
        <w:t>Naxtrin</w:t>
      </w:r>
      <w:proofErr w:type="spellEnd"/>
      <w:r>
        <w:rPr>
          <w:b/>
          <w:sz w:val="24"/>
          <w:szCs w:val="24"/>
        </w:rPr>
        <w:t>, filmovertrukne tabletter</w:t>
      </w:r>
    </w:p>
    <w:p w14:paraId="55805E4D" w14:textId="77777777" w:rsidR="009260DE" w:rsidRPr="00C84483" w:rsidRDefault="009260DE" w:rsidP="009260DE">
      <w:pPr>
        <w:jc w:val="both"/>
        <w:rPr>
          <w:sz w:val="24"/>
          <w:szCs w:val="24"/>
        </w:rPr>
      </w:pPr>
    </w:p>
    <w:p w14:paraId="38AE9BF2" w14:textId="77777777" w:rsidR="009260DE" w:rsidRPr="00C84483" w:rsidRDefault="009260DE" w:rsidP="009260DE">
      <w:pPr>
        <w:jc w:val="both"/>
        <w:rPr>
          <w:sz w:val="24"/>
          <w:szCs w:val="24"/>
        </w:rPr>
      </w:pPr>
    </w:p>
    <w:p w14:paraId="1DA162F1"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535D6ABA" w14:textId="60E1A842" w:rsidR="009260DE" w:rsidRPr="00C84483" w:rsidRDefault="0032342E" w:rsidP="009260DE">
      <w:pPr>
        <w:tabs>
          <w:tab w:val="left" w:pos="851"/>
        </w:tabs>
        <w:ind w:left="851"/>
        <w:rPr>
          <w:sz w:val="24"/>
          <w:szCs w:val="24"/>
        </w:rPr>
      </w:pPr>
      <w:r>
        <w:rPr>
          <w:sz w:val="24"/>
          <w:szCs w:val="24"/>
        </w:rPr>
        <w:t>34798</w:t>
      </w:r>
    </w:p>
    <w:p w14:paraId="41D43DBB" w14:textId="77777777" w:rsidR="009260DE" w:rsidRPr="00C84483" w:rsidRDefault="009260DE" w:rsidP="009260DE">
      <w:pPr>
        <w:tabs>
          <w:tab w:val="left" w:pos="851"/>
        </w:tabs>
        <w:ind w:left="851"/>
        <w:rPr>
          <w:sz w:val="24"/>
          <w:szCs w:val="24"/>
        </w:rPr>
      </w:pPr>
    </w:p>
    <w:p w14:paraId="065118D0"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703189EC" w14:textId="33ABC234" w:rsidR="009260DE" w:rsidRPr="00C84483" w:rsidRDefault="0032342E" w:rsidP="009260DE">
      <w:pPr>
        <w:tabs>
          <w:tab w:val="left" w:pos="851"/>
        </w:tabs>
        <w:ind w:left="851"/>
        <w:rPr>
          <w:sz w:val="24"/>
          <w:szCs w:val="24"/>
        </w:rPr>
      </w:pPr>
      <w:proofErr w:type="spellStart"/>
      <w:r>
        <w:rPr>
          <w:sz w:val="24"/>
          <w:szCs w:val="24"/>
        </w:rPr>
        <w:t>Naxtrin</w:t>
      </w:r>
      <w:proofErr w:type="spellEnd"/>
    </w:p>
    <w:p w14:paraId="378522F0" w14:textId="77777777" w:rsidR="009260DE" w:rsidRPr="00C84483" w:rsidRDefault="009260DE" w:rsidP="009260DE">
      <w:pPr>
        <w:tabs>
          <w:tab w:val="left" w:pos="851"/>
        </w:tabs>
        <w:ind w:left="851"/>
        <w:rPr>
          <w:sz w:val="24"/>
          <w:szCs w:val="24"/>
        </w:rPr>
      </w:pPr>
    </w:p>
    <w:p w14:paraId="099A22F0"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5F12838A" w14:textId="77777777" w:rsidR="006D6DFA" w:rsidRPr="006D6DFA" w:rsidRDefault="006D6DFA" w:rsidP="00072DC2">
      <w:pPr>
        <w:ind w:left="851"/>
        <w:rPr>
          <w:sz w:val="24"/>
          <w:szCs w:val="24"/>
        </w:rPr>
      </w:pPr>
      <w:r w:rsidRPr="006D6DFA">
        <w:rPr>
          <w:sz w:val="24"/>
          <w:szCs w:val="24"/>
        </w:rPr>
        <w:t xml:space="preserve">Hver filmovertrukket tablet indeholder 2,5 mg </w:t>
      </w:r>
      <w:bookmarkStart w:id="0" w:name="_Hlk229985738"/>
      <w:proofErr w:type="spellStart"/>
      <w:r w:rsidRPr="006D6DFA">
        <w:rPr>
          <w:sz w:val="24"/>
          <w:szCs w:val="24"/>
        </w:rPr>
        <w:t>naratriptan</w:t>
      </w:r>
      <w:proofErr w:type="spellEnd"/>
      <w:r w:rsidRPr="006D6DFA">
        <w:rPr>
          <w:sz w:val="24"/>
          <w:szCs w:val="24"/>
        </w:rPr>
        <w:t xml:space="preserve"> (som </w:t>
      </w:r>
      <w:proofErr w:type="spellStart"/>
      <w:r w:rsidRPr="006D6DFA">
        <w:rPr>
          <w:sz w:val="24"/>
          <w:szCs w:val="24"/>
        </w:rPr>
        <w:t>naratriptanhydrochlorid</w:t>
      </w:r>
      <w:proofErr w:type="spellEnd"/>
      <w:r w:rsidRPr="006D6DFA">
        <w:rPr>
          <w:sz w:val="24"/>
          <w:szCs w:val="24"/>
        </w:rPr>
        <w:t>)</w:t>
      </w:r>
      <w:bookmarkEnd w:id="0"/>
      <w:r w:rsidRPr="006D6DFA">
        <w:rPr>
          <w:sz w:val="24"/>
          <w:szCs w:val="24"/>
        </w:rPr>
        <w:t>.</w:t>
      </w:r>
    </w:p>
    <w:p w14:paraId="644D2244" w14:textId="77777777" w:rsidR="006D6DFA" w:rsidRPr="006D6DFA" w:rsidRDefault="006D6DFA" w:rsidP="00072DC2">
      <w:pPr>
        <w:ind w:left="851"/>
        <w:rPr>
          <w:sz w:val="24"/>
          <w:szCs w:val="24"/>
        </w:rPr>
      </w:pPr>
    </w:p>
    <w:p w14:paraId="7E28826F" w14:textId="77777777" w:rsidR="006D6DFA" w:rsidRPr="006D6DFA" w:rsidRDefault="006D6DFA" w:rsidP="00072DC2">
      <w:pPr>
        <w:ind w:left="851"/>
        <w:rPr>
          <w:sz w:val="24"/>
          <w:szCs w:val="24"/>
          <w:u w:val="single"/>
        </w:rPr>
      </w:pPr>
      <w:r w:rsidRPr="006D6DFA">
        <w:rPr>
          <w:sz w:val="24"/>
          <w:szCs w:val="24"/>
          <w:u w:val="single"/>
        </w:rPr>
        <w:t>Hjælpestof, som behandleren skal være opmærksom på</w:t>
      </w:r>
    </w:p>
    <w:p w14:paraId="7320E690" w14:textId="77777777" w:rsidR="006D6DFA" w:rsidRPr="006D6DFA" w:rsidRDefault="006D6DFA" w:rsidP="00072DC2">
      <w:pPr>
        <w:ind w:left="851"/>
        <w:rPr>
          <w:sz w:val="24"/>
          <w:szCs w:val="24"/>
        </w:rPr>
      </w:pPr>
      <w:r w:rsidRPr="006D6DFA">
        <w:rPr>
          <w:sz w:val="24"/>
          <w:szCs w:val="24"/>
        </w:rPr>
        <w:t xml:space="preserve">Hver filmovertrukket tablet indeholder 220,2 mg </w:t>
      </w:r>
      <w:proofErr w:type="spellStart"/>
      <w:r w:rsidRPr="006D6DFA">
        <w:rPr>
          <w:sz w:val="24"/>
          <w:szCs w:val="24"/>
        </w:rPr>
        <w:t>lactose</w:t>
      </w:r>
      <w:proofErr w:type="spellEnd"/>
      <w:r w:rsidRPr="006D6DFA">
        <w:rPr>
          <w:sz w:val="24"/>
          <w:szCs w:val="24"/>
        </w:rPr>
        <w:t>.</w:t>
      </w:r>
    </w:p>
    <w:p w14:paraId="503A2776" w14:textId="77777777" w:rsidR="006D6DFA" w:rsidRPr="006D6DFA" w:rsidRDefault="006D6DFA" w:rsidP="00072DC2">
      <w:pPr>
        <w:ind w:left="851"/>
        <w:rPr>
          <w:sz w:val="24"/>
          <w:szCs w:val="24"/>
        </w:rPr>
      </w:pPr>
      <w:r w:rsidRPr="006D6DFA">
        <w:rPr>
          <w:sz w:val="24"/>
          <w:szCs w:val="24"/>
        </w:rPr>
        <w:t>Alle hjælpestoffer er anført under pkt. 6.1.</w:t>
      </w:r>
    </w:p>
    <w:p w14:paraId="6928D42D" w14:textId="77777777" w:rsidR="009260DE" w:rsidRPr="00C84483" w:rsidRDefault="009260DE" w:rsidP="009260DE">
      <w:pPr>
        <w:tabs>
          <w:tab w:val="left" w:pos="851"/>
        </w:tabs>
        <w:ind w:left="851"/>
        <w:rPr>
          <w:sz w:val="24"/>
          <w:szCs w:val="24"/>
        </w:rPr>
      </w:pPr>
    </w:p>
    <w:p w14:paraId="5E60B4E9"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4AEF88ED" w14:textId="763CDADA" w:rsidR="006D6DFA" w:rsidRPr="006D6DFA" w:rsidRDefault="006D6DFA" w:rsidP="00072DC2">
      <w:pPr>
        <w:ind w:left="851"/>
        <w:rPr>
          <w:bCs/>
          <w:sz w:val="24"/>
          <w:szCs w:val="24"/>
        </w:rPr>
      </w:pPr>
      <w:r w:rsidRPr="006D6DFA">
        <w:rPr>
          <w:bCs/>
          <w:sz w:val="24"/>
          <w:szCs w:val="24"/>
        </w:rPr>
        <w:t>Filmovertrukne tabletter</w:t>
      </w:r>
    </w:p>
    <w:p w14:paraId="6264CB41" w14:textId="77777777" w:rsidR="006D6DFA" w:rsidRPr="006D6DFA" w:rsidRDefault="006D6DFA" w:rsidP="00072DC2">
      <w:pPr>
        <w:ind w:left="851"/>
        <w:rPr>
          <w:sz w:val="24"/>
          <w:szCs w:val="24"/>
        </w:rPr>
      </w:pPr>
      <w:r w:rsidRPr="006D6DFA">
        <w:rPr>
          <w:sz w:val="24"/>
          <w:szCs w:val="24"/>
        </w:rPr>
        <w:t>Kapselformede, lysegule, filmovertrukne tabletter, mærket med “NH” på den ene side og intet på den anden side.</w:t>
      </w:r>
    </w:p>
    <w:p w14:paraId="61931E7A" w14:textId="77777777" w:rsidR="009260DE" w:rsidRPr="00C84483" w:rsidRDefault="009260DE" w:rsidP="009260DE">
      <w:pPr>
        <w:tabs>
          <w:tab w:val="left" w:pos="851"/>
        </w:tabs>
        <w:ind w:left="851"/>
        <w:rPr>
          <w:sz w:val="24"/>
          <w:szCs w:val="24"/>
        </w:rPr>
      </w:pPr>
    </w:p>
    <w:p w14:paraId="64052B73" w14:textId="77777777" w:rsidR="009260DE" w:rsidRPr="00C84483" w:rsidRDefault="009260DE" w:rsidP="009260DE">
      <w:pPr>
        <w:tabs>
          <w:tab w:val="left" w:pos="851"/>
        </w:tabs>
        <w:ind w:left="851"/>
        <w:rPr>
          <w:sz w:val="24"/>
          <w:szCs w:val="24"/>
        </w:rPr>
      </w:pPr>
    </w:p>
    <w:p w14:paraId="3560C1A8"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5BF20C91" w14:textId="77777777" w:rsidR="009260DE" w:rsidRPr="00C84483" w:rsidRDefault="009260DE" w:rsidP="009260DE">
      <w:pPr>
        <w:tabs>
          <w:tab w:val="left" w:pos="851"/>
        </w:tabs>
        <w:ind w:left="851"/>
        <w:rPr>
          <w:b/>
          <w:sz w:val="24"/>
          <w:szCs w:val="24"/>
        </w:rPr>
      </w:pPr>
    </w:p>
    <w:p w14:paraId="6FD8FBE7"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763FA53E" w14:textId="77777777" w:rsidR="006D6DFA" w:rsidRPr="006D6DFA" w:rsidRDefault="006D6DFA" w:rsidP="00072DC2">
      <w:pPr>
        <w:ind w:left="851"/>
        <w:rPr>
          <w:sz w:val="24"/>
          <w:szCs w:val="24"/>
        </w:rPr>
      </w:pPr>
      <w:r w:rsidRPr="006D6DFA">
        <w:rPr>
          <w:sz w:val="24"/>
          <w:szCs w:val="24"/>
        </w:rPr>
        <w:t>Akut behandling af hovedpinefasen i migræneanfald med eller uden aura.</w:t>
      </w:r>
    </w:p>
    <w:p w14:paraId="02B3409A" w14:textId="77777777" w:rsidR="006D6DFA" w:rsidRPr="006D6DFA" w:rsidRDefault="006D6DFA" w:rsidP="00072DC2">
      <w:pPr>
        <w:ind w:left="851"/>
        <w:rPr>
          <w:sz w:val="24"/>
          <w:szCs w:val="24"/>
        </w:rPr>
      </w:pPr>
    </w:p>
    <w:p w14:paraId="31C1F7D6" w14:textId="77777777" w:rsidR="006D6DFA" w:rsidRPr="006D6DFA" w:rsidRDefault="006D6DFA" w:rsidP="00072DC2">
      <w:pPr>
        <w:ind w:left="851"/>
        <w:rPr>
          <w:sz w:val="24"/>
          <w:szCs w:val="24"/>
        </w:rPr>
      </w:pPr>
      <w:proofErr w:type="spellStart"/>
      <w:r w:rsidRPr="006D6DFA">
        <w:rPr>
          <w:sz w:val="24"/>
          <w:szCs w:val="24"/>
        </w:rPr>
        <w:t>Naxtrin</w:t>
      </w:r>
      <w:proofErr w:type="spellEnd"/>
      <w:r w:rsidRPr="006D6DFA">
        <w:rPr>
          <w:sz w:val="24"/>
          <w:szCs w:val="24"/>
        </w:rPr>
        <w:t xml:space="preserve"> er indiceret til voksne (i alderen 18-65 år).</w:t>
      </w:r>
    </w:p>
    <w:p w14:paraId="5105B80B" w14:textId="77777777" w:rsidR="009260DE" w:rsidRPr="00C84483" w:rsidRDefault="009260DE" w:rsidP="009260DE">
      <w:pPr>
        <w:tabs>
          <w:tab w:val="left" w:pos="851"/>
        </w:tabs>
        <w:ind w:left="851"/>
        <w:rPr>
          <w:sz w:val="24"/>
          <w:szCs w:val="24"/>
        </w:rPr>
      </w:pPr>
    </w:p>
    <w:p w14:paraId="63726CD0"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2F4BD2DD" w14:textId="77777777" w:rsidR="006D6DFA" w:rsidRPr="006D6DFA" w:rsidRDefault="006D6DFA" w:rsidP="00072DC2">
      <w:pPr>
        <w:ind w:left="851"/>
        <w:rPr>
          <w:sz w:val="24"/>
          <w:szCs w:val="24"/>
        </w:rPr>
      </w:pPr>
      <w:proofErr w:type="spellStart"/>
      <w:r w:rsidRPr="006D6DFA">
        <w:rPr>
          <w:sz w:val="24"/>
          <w:szCs w:val="24"/>
        </w:rPr>
        <w:t>Naxtrin</w:t>
      </w:r>
      <w:proofErr w:type="spellEnd"/>
      <w:r w:rsidRPr="006D6DFA">
        <w:rPr>
          <w:sz w:val="24"/>
          <w:szCs w:val="24"/>
        </w:rPr>
        <w:t xml:space="preserve"> bør tages så tidligt som muligt, efter at hovedpinen er begyndt, men er dog også effektivt, selvom det tages senere under migræneanfaldet.</w:t>
      </w:r>
    </w:p>
    <w:p w14:paraId="0AE544FA" w14:textId="77777777" w:rsidR="006D6DFA" w:rsidRPr="006D6DFA" w:rsidRDefault="006D6DFA" w:rsidP="00072DC2">
      <w:pPr>
        <w:ind w:left="851"/>
        <w:rPr>
          <w:sz w:val="24"/>
          <w:szCs w:val="24"/>
        </w:rPr>
      </w:pPr>
    </w:p>
    <w:p w14:paraId="1893D263" w14:textId="77777777" w:rsidR="006D6DFA" w:rsidRPr="006D6DFA" w:rsidRDefault="006D6DFA" w:rsidP="00072DC2">
      <w:pPr>
        <w:ind w:left="851"/>
        <w:rPr>
          <w:sz w:val="24"/>
          <w:szCs w:val="24"/>
        </w:rPr>
      </w:pPr>
      <w:proofErr w:type="spellStart"/>
      <w:r w:rsidRPr="006D6DFA">
        <w:rPr>
          <w:sz w:val="24"/>
          <w:szCs w:val="24"/>
        </w:rPr>
        <w:t>Naxtrin</w:t>
      </w:r>
      <w:proofErr w:type="spellEnd"/>
      <w:r w:rsidRPr="006D6DFA">
        <w:rPr>
          <w:sz w:val="24"/>
          <w:szCs w:val="24"/>
        </w:rPr>
        <w:t xml:space="preserve"> bør ikke bruges profylaktisk. </w:t>
      </w:r>
    </w:p>
    <w:p w14:paraId="79FACFD7" w14:textId="17A4DF6C" w:rsidR="0074149D" w:rsidRDefault="0074149D">
      <w:pPr>
        <w:rPr>
          <w:sz w:val="24"/>
          <w:szCs w:val="24"/>
        </w:rPr>
      </w:pPr>
      <w:r>
        <w:rPr>
          <w:sz w:val="24"/>
          <w:szCs w:val="24"/>
        </w:rPr>
        <w:br w:type="page"/>
      </w:r>
    </w:p>
    <w:p w14:paraId="2B1C0063" w14:textId="77777777" w:rsidR="006D6DFA" w:rsidRPr="006D6DFA" w:rsidRDefault="006D6DFA" w:rsidP="00072DC2">
      <w:pPr>
        <w:ind w:left="851"/>
        <w:rPr>
          <w:sz w:val="24"/>
          <w:szCs w:val="24"/>
        </w:rPr>
      </w:pPr>
    </w:p>
    <w:p w14:paraId="26046DEF" w14:textId="77777777" w:rsidR="006D6DFA" w:rsidRPr="006D6DFA" w:rsidRDefault="006D6DFA" w:rsidP="00072DC2">
      <w:pPr>
        <w:ind w:left="851"/>
        <w:rPr>
          <w:sz w:val="24"/>
          <w:szCs w:val="24"/>
          <w:u w:val="single"/>
        </w:rPr>
      </w:pPr>
      <w:r w:rsidRPr="006D6DFA">
        <w:rPr>
          <w:sz w:val="24"/>
          <w:szCs w:val="24"/>
          <w:u w:val="single"/>
        </w:rPr>
        <w:t>Dosering</w:t>
      </w:r>
    </w:p>
    <w:p w14:paraId="12FA22FF" w14:textId="77777777" w:rsidR="006D6DFA" w:rsidRPr="006D6DFA" w:rsidRDefault="006D6DFA" w:rsidP="00072DC2">
      <w:pPr>
        <w:ind w:left="851"/>
        <w:rPr>
          <w:sz w:val="24"/>
          <w:szCs w:val="24"/>
          <w:u w:val="single"/>
        </w:rPr>
      </w:pPr>
    </w:p>
    <w:p w14:paraId="211D5AD1" w14:textId="77777777" w:rsidR="006D6DFA" w:rsidRPr="006D6DFA" w:rsidRDefault="006D6DFA" w:rsidP="00072DC2">
      <w:pPr>
        <w:ind w:left="851"/>
        <w:rPr>
          <w:i/>
          <w:sz w:val="24"/>
          <w:szCs w:val="24"/>
        </w:rPr>
      </w:pPr>
      <w:r w:rsidRPr="006D6DFA">
        <w:rPr>
          <w:i/>
          <w:sz w:val="24"/>
          <w:szCs w:val="24"/>
        </w:rPr>
        <w:t>Voksne (18-65 år)</w:t>
      </w:r>
    </w:p>
    <w:p w14:paraId="7E31D705" w14:textId="77777777" w:rsidR="006D6DFA" w:rsidRPr="006D6DFA" w:rsidRDefault="006D6DFA" w:rsidP="00072DC2">
      <w:pPr>
        <w:ind w:left="851"/>
        <w:rPr>
          <w:sz w:val="24"/>
          <w:szCs w:val="24"/>
        </w:rPr>
      </w:pPr>
      <w:r w:rsidRPr="006D6DFA">
        <w:rPr>
          <w:sz w:val="24"/>
          <w:szCs w:val="24"/>
        </w:rPr>
        <w:t>Den anbefalede dosis er én tablet á 2,5 mg.</w:t>
      </w:r>
    </w:p>
    <w:p w14:paraId="5912C583" w14:textId="77777777" w:rsidR="006D6DFA" w:rsidRPr="006D6DFA" w:rsidRDefault="006D6DFA" w:rsidP="00072DC2">
      <w:pPr>
        <w:ind w:left="851"/>
        <w:rPr>
          <w:sz w:val="24"/>
          <w:szCs w:val="24"/>
        </w:rPr>
      </w:pPr>
    </w:p>
    <w:p w14:paraId="4030259B" w14:textId="77777777" w:rsidR="006D6DFA" w:rsidRPr="006D6DFA" w:rsidRDefault="006D6DFA" w:rsidP="00072DC2">
      <w:pPr>
        <w:ind w:left="851"/>
        <w:rPr>
          <w:sz w:val="24"/>
          <w:szCs w:val="24"/>
        </w:rPr>
      </w:pPr>
      <w:r w:rsidRPr="006D6DFA">
        <w:rPr>
          <w:sz w:val="24"/>
          <w:szCs w:val="24"/>
        </w:rPr>
        <w:t>Hvis migrænesymptomerne aftager efter første dosis, men senere kommer tilbage, kan yderligere en dosis tages, forudsat at der går mindst fire timer mellem de to doser.</w:t>
      </w:r>
    </w:p>
    <w:p w14:paraId="121F7E2F" w14:textId="77777777" w:rsidR="006D6DFA" w:rsidRPr="006D6DFA" w:rsidRDefault="006D6DFA" w:rsidP="00072DC2">
      <w:pPr>
        <w:ind w:left="851"/>
        <w:rPr>
          <w:sz w:val="24"/>
          <w:szCs w:val="24"/>
        </w:rPr>
      </w:pPr>
    </w:p>
    <w:p w14:paraId="5D388081" w14:textId="77777777" w:rsidR="006D6DFA" w:rsidRPr="006D6DFA" w:rsidRDefault="006D6DFA" w:rsidP="00072DC2">
      <w:pPr>
        <w:ind w:left="851"/>
        <w:rPr>
          <w:sz w:val="24"/>
          <w:szCs w:val="24"/>
        </w:rPr>
      </w:pPr>
      <w:r w:rsidRPr="006D6DFA">
        <w:rPr>
          <w:sz w:val="24"/>
          <w:szCs w:val="24"/>
        </w:rPr>
        <w:t>Den totale døgndosis må ikke overstige to tabletter á 2,5 mg.</w:t>
      </w:r>
    </w:p>
    <w:p w14:paraId="5BA6ADE0" w14:textId="77777777" w:rsidR="006D6DFA" w:rsidRPr="006D6DFA" w:rsidRDefault="006D6DFA" w:rsidP="00072DC2">
      <w:pPr>
        <w:ind w:left="851"/>
        <w:rPr>
          <w:sz w:val="24"/>
          <w:szCs w:val="24"/>
        </w:rPr>
      </w:pPr>
    </w:p>
    <w:p w14:paraId="2469627D" w14:textId="77777777" w:rsidR="006D6DFA" w:rsidRPr="006D6DFA" w:rsidRDefault="006D6DFA" w:rsidP="00072DC2">
      <w:pPr>
        <w:ind w:left="851"/>
        <w:rPr>
          <w:sz w:val="24"/>
          <w:szCs w:val="24"/>
        </w:rPr>
      </w:pPr>
      <w:r w:rsidRPr="006D6DFA">
        <w:rPr>
          <w:sz w:val="24"/>
          <w:szCs w:val="24"/>
        </w:rPr>
        <w:t xml:space="preserve">Hvis effekten af en første dosis </w:t>
      </w:r>
      <w:proofErr w:type="spellStart"/>
      <w:r w:rsidRPr="006D6DFA">
        <w:rPr>
          <w:sz w:val="24"/>
          <w:szCs w:val="24"/>
        </w:rPr>
        <w:t>naratriptan</w:t>
      </w:r>
      <w:proofErr w:type="spellEnd"/>
      <w:r w:rsidRPr="006D6DFA">
        <w:rPr>
          <w:sz w:val="24"/>
          <w:szCs w:val="24"/>
        </w:rPr>
        <w:t xml:space="preserve"> udebliver, skal samme anfald ikke behandles med yderligere en dosis, da det sandsynligvis ikke vil hjælpe for det samme anfald. Dog kan </w:t>
      </w:r>
      <w:proofErr w:type="spellStart"/>
      <w:r w:rsidRPr="006D6DFA">
        <w:rPr>
          <w:sz w:val="24"/>
          <w:szCs w:val="24"/>
        </w:rPr>
        <w:t>Naxtrin</w:t>
      </w:r>
      <w:proofErr w:type="spellEnd"/>
      <w:r w:rsidRPr="006D6DFA">
        <w:rPr>
          <w:sz w:val="24"/>
          <w:szCs w:val="24"/>
        </w:rPr>
        <w:t xml:space="preserve"> tages ved efterfølgende migræneanfald.</w:t>
      </w:r>
    </w:p>
    <w:p w14:paraId="79F40F67" w14:textId="77777777" w:rsidR="006D6DFA" w:rsidRPr="006D6DFA" w:rsidRDefault="006D6DFA" w:rsidP="00072DC2">
      <w:pPr>
        <w:ind w:left="851"/>
        <w:rPr>
          <w:sz w:val="24"/>
          <w:szCs w:val="24"/>
        </w:rPr>
      </w:pPr>
    </w:p>
    <w:p w14:paraId="22FFD2E3" w14:textId="77777777" w:rsidR="006D6DFA" w:rsidRPr="006D6DFA" w:rsidRDefault="006D6DFA" w:rsidP="00072DC2">
      <w:pPr>
        <w:ind w:left="851"/>
        <w:rPr>
          <w:i/>
          <w:sz w:val="24"/>
          <w:szCs w:val="24"/>
        </w:rPr>
      </w:pPr>
      <w:r w:rsidRPr="006D6DFA">
        <w:rPr>
          <w:i/>
          <w:sz w:val="24"/>
          <w:szCs w:val="24"/>
        </w:rPr>
        <w:t>Unge (12-17 år)</w:t>
      </w:r>
    </w:p>
    <w:p w14:paraId="4B4A1AAB" w14:textId="77777777" w:rsidR="006D6DFA" w:rsidRPr="006D6DFA" w:rsidRDefault="006D6DFA" w:rsidP="00072DC2">
      <w:pPr>
        <w:ind w:left="851"/>
        <w:rPr>
          <w:sz w:val="24"/>
          <w:szCs w:val="24"/>
        </w:rPr>
      </w:pPr>
      <w:r w:rsidRPr="006D6DFA">
        <w:rPr>
          <w:sz w:val="24"/>
          <w:szCs w:val="24"/>
        </w:rPr>
        <w:t xml:space="preserve">I en klinisk undersøgelse med unge blev der observeret et højt placeborespons. Virkningen af </w:t>
      </w:r>
      <w:proofErr w:type="spellStart"/>
      <w:r w:rsidRPr="006D6DFA">
        <w:rPr>
          <w:sz w:val="24"/>
          <w:szCs w:val="24"/>
        </w:rPr>
        <w:t>naratriptan</w:t>
      </w:r>
      <w:proofErr w:type="spellEnd"/>
      <w:r w:rsidRPr="006D6DFA">
        <w:rPr>
          <w:sz w:val="24"/>
          <w:szCs w:val="24"/>
        </w:rPr>
        <w:t xml:space="preserve"> til denne aldersgruppe er ikke vist, hvorfor </w:t>
      </w:r>
      <w:proofErr w:type="spellStart"/>
      <w:r w:rsidRPr="006D6DFA">
        <w:rPr>
          <w:sz w:val="24"/>
          <w:szCs w:val="24"/>
        </w:rPr>
        <w:t>naratriptan</w:t>
      </w:r>
      <w:proofErr w:type="spellEnd"/>
      <w:r w:rsidRPr="006D6DFA">
        <w:rPr>
          <w:sz w:val="24"/>
          <w:szCs w:val="24"/>
        </w:rPr>
        <w:t xml:space="preserve"> ikke kan anbefales. </w:t>
      </w:r>
    </w:p>
    <w:p w14:paraId="74EDE18B" w14:textId="77777777" w:rsidR="006D6DFA" w:rsidRPr="006D6DFA" w:rsidRDefault="006D6DFA" w:rsidP="00072DC2">
      <w:pPr>
        <w:ind w:left="851"/>
        <w:rPr>
          <w:sz w:val="24"/>
          <w:szCs w:val="24"/>
        </w:rPr>
      </w:pPr>
    </w:p>
    <w:p w14:paraId="64F28003" w14:textId="77777777" w:rsidR="006D6DFA" w:rsidRPr="006D6DFA" w:rsidRDefault="006D6DFA" w:rsidP="00072DC2">
      <w:pPr>
        <w:ind w:left="851"/>
        <w:rPr>
          <w:i/>
          <w:sz w:val="24"/>
          <w:szCs w:val="24"/>
        </w:rPr>
      </w:pPr>
      <w:r w:rsidRPr="006D6DFA">
        <w:rPr>
          <w:i/>
          <w:sz w:val="24"/>
          <w:szCs w:val="24"/>
        </w:rPr>
        <w:t>Børn (under 12 år)</w:t>
      </w:r>
    </w:p>
    <w:p w14:paraId="4625F04C" w14:textId="77777777" w:rsidR="006D6DFA" w:rsidRPr="006D6DFA" w:rsidRDefault="006D6DFA" w:rsidP="00072DC2">
      <w:pPr>
        <w:ind w:left="851"/>
        <w:rPr>
          <w:sz w:val="24"/>
          <w:szCs w:val="24"/>
        </w:rPr>
      </w:pPr>
      <w:proofErr w:type="spellStart"/>
      <w:r w:rsidRPr="006D6DFA">
        <w:rPr>
          <w:sz w:val="24"/>
          <w:szCs w:val="24"/>
        </w:rPr>
        <w:t>Naxtrin</w:t>
      </w:r>
      <w:proofErr w:type="spellEnd"/>
      <w:r w:rsidRPr="006D6DFA">
        <w:rPr>
          <w:sz w:val="24"/>
          <w:szCs w:val="24"/>
        </w:rPr>
        <w:t xml:space="preserve"> kan ikke anbefales til børn under 12 år på grund af manglende dokumentation omhandlende sikkerhed og virkning.</w:t>
      </w:r>
    </w:p>
    <w:p w14:paraId="38805B17" w14:textId="77777777" w:rsidR="006D6DFA" w:rsidRPr="006D6DFA" w:rsidRDefault="006D6DFA" w:rsidP="00072DC2">
      <w:pPr>
        <w:ind w:left="851"/>
        <w:rPr>
          <w:sz w:val="24"/>
          <w:szCs w:val="24"/>
        </w:rPr>
      </w:pPr>
    </w:p>
    <w:p w14:paraId="2F336623" w14:textId="77777777" w:rsidR="006D6DFA" w:rsidRPr="006D6DFA" w:rsidRDefault="006D6DFA" w:rsidP="00072DC2">
      <w:pPr>
        <w:ind w:left="851"/>
        <w:rPr>
          <w:i/>
          <w:sz w:val="24"/>
          <w:szCs w:val="24"/>
        </w:rPr>
      </w:pPr>
      <w:r w:rsidRPr="006D6DFA">
        <w:rPr>
          <w:i/>
          <w:sz w:val="24"/>
          <w:szCs w:val="24"/>
        </w:rPr>
        <w:t>Ældre (over 65 år)</w:t>
      </w:r>
    </w:p>
    <w:p w14:paraId="61E20BF4" w14:textId="77777777" w:rsidR="006D6DFA" w:rsidRPr="006D6DFA" w:rsidRDefault="006D6DFA" w:rsidP="00072DC2">
      <w:pPr>
        <w:ind w:left="851"/>
        <w:rPr>
          <w:sz w:val="24"/>
          <w:szCs w:val="24"/>
        </w:rPr>
      </w:pPr>
      <w:r w:rsidRPr="006D6DFA">
        <w:rPr>
          <w:sz w:val="24"/>
          <w:szCs w:val="24"/>
        </w:rPr>
        <w:t xml:space="preserve">Sikkerheden og effekten af </w:t>
      </w:r>
      <w:proofErr w:type="spellStart"/>
      <w:r w:rsidRPr="006D6DFA">
        <w:rPr>
          <w:sz w:val="24"/>
          <w:szCs w:val="24"/>
        </w:rPr>
        <w:t>naratriptan</w:t>
      </w:r>
      <w:proofErr w:type="spellEnd"/>
      <w:r w:rsidRPr="006D6DFA">
        <w:rPr>
          <w:sz w:val="24"/>
          <w:szCs w:val="24"/>
        </w:rPr>
        <w:t xml:space="preserve"> til patienter over 65 år er ikke undersøgt, hvorfor </w:t>
      </w:r>
      <w:proofErr w:type="spellStart"/>
      <w:r w:rsidRPr="006D6DFA">
        <w:rPr>
          <w:sz w:val="24"/>
          <w:szCs w:val="24"/>
        </w:rPr>
        <w:t>naratriptan</w:t>
      </w:r>
      <w:proofErr w:type="spellEnd"/>
      <w:r w:rsidRPr="006D6DFA">
        <w:rPr>
          <w:sz w:val="24"/>
          <w:szCs w:val="24"/>
        </w:rPr>
        <w:t xml:space="preserve"> ikke kan anbefales til denne aldersgruppe. Der er et moderat fald i </w:t>
      </w:r>
      <w:proofErr w:type="spellStart"/>
      <w:r w:rsidRPr="006D6DFA">
        <w:rPr>
          <w:sz w:val="24"/>
          <w:szCs w:val="24"/>
        </w:rPr>
        <w:t>clearance</w:t>
      </w:r>
      <w:proofErr w:type="spellEnd"/>
      <w:r w:rsidRPr="006D6DFA">
        <w:rPr>
          <w:sz w:val="24"/>
          <w:szCs w:val="24"/>
        </w:rPr>
        <w:t xml:space="preserve"> med alderen (se pkt. 5.2).</w:t>
      </w:r>
    </w:p>
    <w:p w14:paraId="37F1752B" w14:textId="77777777" w:rsidR="006D6DFA" w:rsidRPr="006D6DFA" w:rsidRDefault="006D6DFA" w:rsidP="00072DC2">
      <w:pPr>
        <w:ind w:left="851"/>
        <w:rPr>
          <w:sz w:val="24"/>
          <w:szCs w:val="24"/>
        </w:rPr>
      </w:pPr>
    </w:p>
    <w:p w14:paraId="4528D12E" w14:textId="77777777" w:rsidR="006D6DFA" w:rsidRPr="006D6DFA" w:rsidRDefault="006D6DFA" w:rsidP="00072DC2">
      <w:pPr>
        <w:ind w:left="851"/>
        <w:rPr>
          <w:i/>
          <w:sz w:val="24"/>
          <w:szCs w:val="24"/>
        </w:rPr>
      </w:pPr>
      <w:r w:rsidRPr="006D6DFA">
        <w:rPr>
          <w:i/>
          <w:sz w:val="24"/>
          <w:szCs w:val="24"/>
        </w:rPr>
        <w:t>Nedsat nyrefunktion</w:t>
      </w:r>
    </w:p>
    <w:p w14:paraId="49EDB464" w14:textId="77777777" w:rsidR="006D6DFA" w:rsidRPr="006D6DFA" w:rsidRDefault="006D6DFA" w:rsidP="00072DC2">
      <w:pPr>
        <w:ind w:left="851"/>
        <w:rPr>
          <w:sz w:val="24"/>
          <w:szCs w:val="24"/>
        </w:rPr>
      </w:pPr>
      <w:r w:rsidRPr="006D6DFA">
        <w:rPr>
          <w:sz w:val="24"/>
          <w:szCs w:val="24"/>
        </w:rPr>
        <w:t xml:space="preserve">Maksimal døgndosis til patienter med mild til moderat nedsat nyrefunktion er én tablet á 2,5 mg. Brugen af </w:t>
      </w:r>
      <w:proofErr w:type="spellStart"/>
      <w:r w:rsidRPr="006D6DFA">
        <w:rPr>
          <w:sz w:val="24"/>
          <w:szCs w:val="24"/>
        </w:rPr>
        <w:t>naratriptan</w:t>
      </w:r>
      <w:proofErr w:type="spellEnd"/>
      <w:r w:rsidRPr="006D6DFA">
        <w:rPr>
          <w:sz w:val="24"/>
          <w:szCs w:val="24"/>
        </w:rPr>
        <w:t xml:space="preserve"> er kontraindiceret hos patienter med alvorlig nedsat nyrefunktion (se pkt. 4.3 og 5.2).</w:t>
      </w:r>
    </w:p>
    <w:p w14:paraId="3F2E42A2" w14:textId="77777777" w:rsidR="006D6DFA" w:rsidRPr="006D6DFA" w:rsidRDefault="006D6DFA" w:rsidP="00072DC2">
      <w:pPr>
        <w:ind w:left="851"/>
        <w:rPr>
          <w:sz w:val="24"/>
          <w:szCs w:val="24"/>
        </w:rPr>
      </w:pPr>
    </w:p>
    <w:p w14:paraId="6CBF26AD" w14:textId="77777777" w:rsidR="006D6DFA" w:rsidRPr="006D6DFA" w:rsidRDefault="006D6DFA" w:rsidP="00072DC2">
      <w:pPr>
        <w:ind w:left="851"/>
        <w:rPr>
          <w:i/>
          <w:sz w:val="24"/>
          <w:szCs w:val="24"/>
        </w:rPr>
      </w:pPr>
      <w:r w:rsidRPr="006D6DFA">
        <w:rPr>
          <w:i/>
          <w:sz w:val="24"/>
          <w:szCs w:val="24"/>
        </w:rPr>
        <w:t>Nedsat leverfunktion</w:t>
      </w:r>
    </w:p>
    <w:p w14:paraId="7C3BB547" w14:textId="77777777" w:rsidR="006D6DFA" w:rsidRPr="006D6DFA" w:rsidRDefault="006D6DFA" w:rsidP="00072DC2">
      <w:pPr>
        <w:ind w:left="851"/>
        <w:rPr>
          <w:sz w:val="24"/>
          <w:szCs w:val="24"/>
        </w:rPr>
      </w:pPr>
      <w:r w:rsidRPr="006D6DFA">
        <w:rPr>
          <w:sz w:val="24"/>
          <w:szCs w:val="24"/>
        </w:rPr>
        <w:t xml:space="preserve">Maksimal døgndosis til patienter med mild til moderat nedsat leverfunktion er én tablet á 2,5 mg. Brugen af </w:t>
      </w:r>
      <w:proofErr w:type="spellStart"/>
      <w:r w:rsidRPr="006D6DFA">
        <w:rPr>
          <w:sz w:val="24"/>
          <w:szCs w:val="24"/>
        </w:rPr>
        <w:t>naratriptan</w:t>
      </w:r>
      <w:proofErr w:type="spellEnd"/>
      <w:r w:rsidRPr="006D6DFA">
        <w:rPr>
          <w:sz w:val="24"/>
          <w:szCs w:val="24"/>
        </w:rPr>
        <w:t xml:space="preserve"> er kontraindiceret hos patienter med alvorlig nedsat leverfunktion (se pkt. 4.3 og 5.2).</w:t>
      </w:r>
    </w:p>
    <w:p w14:paraId="19A65D81" w14:textId="77777777" w:rsidR="006D6DFA" w:rsidRPr="006D6DFA" w:rsidRDefault="006D6DFA" w:rsidP="00072DC2">
      <w:pPr>
        <w:ind w:left="851"/>
        <w:rPr>
          <w:sz w:val="24"/>
          <w:szCs w:val="24"/>
        </w:rPr>
      </w:pPr>
    </w:p>
    <w:p w14:paraId="1E5DE952" w14:textId="77777777" w:rsidR="006D6DFA" w:rsidRPr="006D6DFA" w:rsidRDefault="006D6DFA" w:rsidP="00072DC2">
      <w:pPr>
        <w:ind w:left="851"/>
        <w:rPr>
          <w:sz w:val="24"/>
          <w:szCs w:val="24"/>
          <w:u w:val="single"/>
        </w:rPr>
      </w:pPr>
      <w:r w:rsidRPr="006D6DFA">
        <w:rPr>
          <w:sz w:val="24"/>
          <w:szCs w:val="24"/>
          <w:u w:val="single"/>
        </w:rPr>
        <w:t>Administration</w:t>
      </w:r>
    </w:p>
    <w:p w14:paraId="2BF88232" w14:textId="77777777" w:rsidR="006D6DFA" w:rsidRPr="006D6DFA" w:rsidRDefault="006D6DFA" w:rsidP="00072DC2">
      <w:pPr>
        <w:ind w:left="851"/>
        <w:rPr>
          <w:sz w:val="24"/>
          <w:szCs w:val="24"/>
        </w:rPr>
      </w:pPr>
      <w:proofErr w:type="spellStart"/>
      <w:r w:rsidRPr="006D6DFA">
        <w:rPr>
          <w:sz w:val="24"/>
          <w:szCs w:val="24"/>
        </w:rPr>
        <w:t>Naxtrin</w:t>
      </w:r>
      <w:proofErr w:type="spellEnd"/>
      <w:r w:rsidRPr="006D6DFA">
        <w:rPr>
          <w:sz w:val="24"/>
          <w:szCs w:val="24"/>
        </w:rPr>
        <w:t xml:space="preserve"> skal synkes hele med vand.</w:t>
      </w:r>
    </w:p>
    <w:p w14:paraId="29225349" w14:textId="77777777" w:rsidR="009260DE" w:rsidRPr="00C84483" w:rsidRDefault="009260DE" w:rsidP="009260DE">
      <w:pPr>
        <w:tabs>
          <w:tab w:val="left" w:pos="851"/>
        </w:tabs>
        <w:ind w:left="851"/>
        <w:rPr>
          <w:sz w:val="24"/>
          <w:szCs w:val="24"/>
        </w:rPr>
      </w:pPr>
    </w:p>
    <w:p w14:paraId="24E1DB8E"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2F07961F" w14:textId="77777777" w:rsidR="006D6DFA" w:rsidRPr="006D6DFA" w:rsidRDefault="006D6DFA" w:rsidP="006D6DFA">
      <w:pPr>
        <w:tabs>
          <w:tab w:val="left" w:pos="851"/>
        </w:tabs>
        <w:ind w:left="851"/>
        <w:rPr>
          <w:sz w:val="24"/>
          <w:szCs w:val="24"/>
        </w:rPr>
      </w:pPr>
      <w:r w:rsidRPr="006D6DFA">
        <w:rPr>
          <w:sz w:val="24"/>
          <w:szCs w:val="24"/>
        </w:rPr>
        <w:t xml:space="preserve">Overfølsomhed over for </w:t>
      </w:r>
      <w:proofErr w:type="spellStart"/>
      <w:r w:rsidRPr="006D6DFA">
        <w:rPr>
          <w:sz w:val="24"/>
          <w:szCs w:val="24"/>
        </w:rPr>
        <w:t>naratriptan</w:t>
      </w:r>
      <w:proofErr w:type="spellEnd"/>
      <w:r w:rsidRPr="006D6DFA">
        <w:rPr>
          <w:sz w:val="24"/>
          <w:szCs w:val="24"/>
        </w:rPr>
        <w:t xml:space="preserve"> eller over for et eller flere af hjælpestofferne anført i pkt. 6.1.</w:t>
      </w:r>
    </w:p>
    <w:p w14:paraId="5116E7AC" w14:textId="77777777" w:rsidR="006D6DFA" w:rsidRPr="006D6DFA" w:rsidRDefault="006D6DFA" w:rsidP="006D6DFA">
      <w:pPr>
        <w:tabs>
          <w:tab w:val="left" w:pos="851"/>
        </w:tabs>
        <w:ind w:left="851"/>
        <w:rPr>
          <w:sz w:val="24"/>
          <w:szCs w:val="24"/>
        </w:rPr>
      </w:pPr>
    </w:p>
    <w:p w14:paraId="76C2851A" w14:textId="77777777" w:rsidR="006D6DFA" w:rsidRPr="006D6DFA" w:rsidRDefault="006D6DFA" w:rsidP="006D6DFA">
      <w:pPr>
        <w:tabs>
          <w:tab w:val="left" w:pos="851"/>
        </w:tabs>
        <w:ind w:left="851"/>
        <w:rPr>
          <w:sz w:val="24"/>
          <w:szCs w:val="24"/>
        </w:rPr>
      </w:pPr>
      <w:r w:rsidRPr="006D6DFA">
        <w:rPr>
          <w:sz w:val="24"/>
          <w:szCs w:val="24"/>
        </w:rPr>
        <w:t xml:space="preserve">Tidligere myokardieinfarkt, iskæmisk hjertelidelse, </w:t>
      </w:r>
      <w:proofErr w:type="spellStart"/>
      <w:r w:rsidRPr="006D6DFA">
        <w:rPr>
          <w:sz w:val="24"/>
          <w:szCs w:val="24"/>
        </w:rPr>
        <w:t>Prinzmetal's</w:t>
      </w:r>
      <w:proofErr w:type="spellEnd"/>
      <w:r w:rsidRPr="006D6DFA">
        <w:rPr>
          <w:sz w:val="24"/>
          <w:szCs w:val="24"/>
        </w:rPr>
        <w:t xml:space="preserve"> angina/koronar </w:t>
      </w:r>
      <w:proofErr w:type="spellStart"/>
      <w:r w:rsidRPr="006D6DFA">
        <w:rPr>
          <w:sz w:val="24"/>
          <w:szCs w:val="24"/>
        </w:rPr>
        <w:t>vasospasme</w:t>
      </w:r>
      <w:proofErr w:type="spellEnd"/>
      <w:r w:rsidRPr="006D6DFA">
        <w:rPr>
          <w:sz w:val="24"/>
          <w:szCs w:val="24"/>
        </w:rPr>
        <w:t>, perifer vaskulær lidelse eller patienter som har symptomer eller tegn på iskæmisk hjertesygdom.</w:t>
      </w:r>
    </w:p>
    <w:p w14:paraId="1F792B90" w14:textId="77777777" w:rsidR="006D6DFA" w:rsidRPr="006D6DFA" w:rsidRDefault="006D6DFA" w:rsidP="006D6DFA">
      <w:pPr>
        <w:tabs>
          <w:tab w:val="left" w:pos="851"/>
        </w:tabs>
        <w:ind w:left="851"/>
        <w:rPr>
          <w:sz w:val="24"/>
          <w:szCs w:val="24"/>
        </w:rPr>
      </w:pPr>
    </w:p>
    <w:p w14:paraId="0688E332" w14:textId="77777777" w:rsidR="006D6DFA" w:rsidRPr="006D6DFA" w:rsidRDefault="006D6DFA" w:rsidP="006D6DFA">
      <w:pPr>
        <w:tabs>
          <w:tab w:val="left" w:pos="851"/>
        </w:tabs>
        <w:ind w:left="851"/>
        <w:rPr>
          <w:sz w:val="24"/>
          <w:szCs w:val="24"/>
        </w:rPr>
      </w:pPr>
      <w:r w:rsidRPr="006D6DFA">
        <w:rPr>
          <w:sz w:val="24"/>
          <w:szCs w:val="24"/>
        </w:rPr>
        <w:t xml:space="preserve">Tidligere </w:t>
      </w:r>
      <w:proofErr w:type="spellStart"/>
      <w:r w:rsidRPr="006D6DFA">
        <w:rPr>
          <w:sz w:val="24"/>
          <w:szCs w:val="24"/>
        </w:rPr>
        <w:t>cerebrovaskulært</w:t>
      </w:r>
      <w:proofErr w:type="spellEnd"/>
      <w:r w:rsidRPr="006D6DFA">
        <w:rPr>
          <w:sz w:val="24"/>
          <w:szCs w:val="24"/>
        </w:rPr>
        <w:t xml:space="preserve"> attak (CVA) eller transitorisk iskæmisk attak (TIA).</w:t>
      </w:r>
    </w:p>
    <w:p w14:paraId="4C80AB43" w14:textId="77777777" w:rsidR="006D6DFA" w:rsidRPr="006D6DFA" w:rsidRDefault="006D6DFA" w:rsidP="006D6DFA">
      <w:pPr>
        <w:tabs>
          <w:tab w:val="left" w:pos="851"/>
        </w:tabs>
        <w:ind w:left="851"/>
        <w:rPr>
          <w:sz w:val="24"/>
          <w:szCs w:val="24"/>
        </w:rPr>
      </w:pPr>
    </w:p>
    <w:p w14:paraId="7F3708B8" w14:textId="77777777" w:rsidR="006D6DFA" w:rsidRPr="006D6DFA" w:rsidRDefault="006D6DFA" w:rsidP="006D6DFA">
      <w:pPr>
        <w:tabs>
          <w:tab w:val="left" w:pos="851"/>
        </w:tabs>
        <w:ind w:left="851"/>
        <w:rPr>
          <w:sz w:val="24"/>
          <w:szCs w:val="24"/>
        </w:rPr>
      </w:pPr>
      <w:r w:rsidRPr="006D6DFA">
        <w:rPr>
          <w:sz w:val="24"/>
          <w:szCs w:val="24"/>
        </w:rPr>
        <w:lastRenderedPageBreak/>
        <w:t>Moderat eller alvorlig hypertension, mild ukontrolleret hypertension.</w:t>
      </w:r>
    </w:p>
    <w:p w14:paraId="7D5683CF" w14:textId="77777777" w:rsidR="006D6DFA" w:rsidRPr="006D6DFA" w:rsidRDefault="006D6DFA" w:rsidP="006D6DFA">
      <w:pPr>
        <w:tabs>
          <w:tab w:val="left" w:pos="851"/>
        </w:tabs>
        <w:ind w:left="851"/>
        <w:rPr>
          <w:sz w:val="24"/>
          <w:szCs w:val="24"/>
        </w:rPr>
      </w:pPr>
    </w:p>
    <w:p w14:paraId="7B0B9DE6" w14:textId="77777777" w:rsidR="006D6DFA" w:rsidRPr="006D6DFA" w:rsidRDefault="006D6DFA" w:rsidP="00072DC2">
      <w:pPr>
        <w:ind w:left="851"/>
        <w:rPr>
          <w:sz w:val="24"/>
          <w:szCs w:val="24"/>
        </w:rPr>
      </w:pPr>
      <w:r w:rsidRPr="006D6DFA">
        <w:rPr>
          <w:sz w:val="24"/>
          <w:szCs w:val="24"/>
        </w:rPr>
        <w:t xml:space="preserve">Samtidig administration af </w:t>
      </w:r>
      <w:proofErr w:type="spellStart"/>
      <w:r w:rsidRPr="006D6DFA">
        <w:rPr>
          <w:sz w:val="24"/>
          <w:szCs w:val="24"/>
        </w:rPr>
        <w:t>naratriptan</w:t>
      </w:r>
      <w:proofErr w:type="spellEnd"/>
      <w:r w:rsidRPr="006D6DFA">
        <w:rPr>
          <w:sz w:val="24"/>
          <w:szCs w:val="24"/>
        </w:rPr>
        <w:t xml:space="preserve"> og </w:t>
      </w:r>
      <w:proofErr w:type="spellStart"/>
      <w:r w:rsidRPr="006D6DFA">
        <w:rPr>
          <w:sz w:val="24"/>
          <w:szCs w:val="24"/>
        </w:rPr>
        <w:t>ergotamin</w:t>
      </w:r>
      <w:proofErr w:type="spellEnd"/>
      <w:r w:rsidRPr="006D6DFA">
        <w:rPr>
          <w:sz w:val="24"/>
          <w:szCs w:val="24"/>
        </w:rPr>
        <w:t xml:space="preserve">, derivater af </w:t>
      </w:r>
      <w:proofErr w:type="spellStart"/>
      <w:r w:rsidRPr="006D6DFA">
        <w:rPr>
          <w:sz w:val="24"/>
          <w:szCs w:val="24"/>
        </w:rPr>
        <w:t>ergotamin</w:t>
      </w:r>
      <w:proofErr w:type="spellEnd"/>
      <w:r w:rsidRPr="006D6DFA">
        <w:rPr>
          <w:sz w:val="24"/>
          <w:szCs w:val="24"/>
        </w:rPr>
        <w:t xml:space="preserve"> (herunder </w:t>
      </w:r>
      <w:proofErr w:type="spellStart"/>
      <w:r w:rsidRPr="006D6DFA">
        <w:rPr>
          <w:sz w:val="24"/>
          <w:szCs w:val="24"/>
        </w:rPr>
        <w:t>methysergid</w:t>
      </w:r>
      <w:proofErr w:type="spellEnd"/>
      <w:r w:rsidRPr="006D6DFA">
        <w:rPr>
          <w:sz w:val="24"/>
          <w:szCs w:val="24"/>
        </w:rPr>
        <w:t xml:space="preserve">) og/eller andre </w:t>
      </w:r>
      <w:proofErr w:type="spellStart"/>
      <w:r w:rsidRPr="006D6DFA">
        <w:rPr>
          <w:sz w:val="24"/>
          <w:szCs w:val="24"/>
        </w:rPr>
        <w:t>triptaner</w:t>
      </w:r>
      <w:proofErr w:type="spellEnd"/>
      <w:r w:rsidRPr="006D6DFA">
        <w:rPr>
          <w:sz w:val="24"/>
          <w:szCs w:val="24"/>
        </w:rPr>
        <w:t>/5-HT</w:t>
      </w:r>
      <w:r w:rsidRPr="006D6DFA">
        <w:rPr>
          <w:sz w:val="24"/>
          <w:szCs w:val="24"/>
          <w:vertAlign w:val="subscript"/>
        </w:rPr>
        <w:t>1</w:t>
      </w:r>
      <w:r w:rsidRPr="006D6DFA">
        <w:rPr>
          <w:sz w:val="24"/>
          <w:szCs w:val="24"/>
        </w:rPr>
        <w:t>-receptoragonister.</w:t>
      </w:r>
    </w:p>
    <w:p w14:paraId="07B56A95" w14:textId="77777777" w:rsidR="006D6DFA" w:rsidRPr="006D6DFA" w:rsidRDefault="006D6DFA" w:rsidP="00072DC2">
      <w:pPr>
        <w:ind w:left="851"/>
        <w:rPr>
          <w:sz w:val="24"/>
          <w:szCs w:val="24"/>
        </w:rPr>
      </w:pPr>
    </w:p>
    <w:p w14:paraId="55C68A81" w14:textId="77777777" w:rsidR="006D6DFA" w:rsidRPr="006D6DFA" w:rsidRDefault="006D6DFA" w:rsidP="00072DC2">
      <w:pPr>
        <w:ind w:left="851"/>
        <w:rPr>
          <w:sz w:val="24"/>
          <w:szCs w:val="24"/>
        </w:rPr>
      </w:pPr>
      <w:r w:rsidRPr="006D6DFA">
        <w:rPr>
          <w:sz w:val="24"/>
          <w:szCs w:val="24"/>
        </w:rPr>
        <w:t>Alvorlig nedsat nyrefunktion (</w:t>
      </w:r>
      <w:proofErr w:type="spellStart"/>
      <w:r w:rsidRPr="006D6DFA">
        <w:rPr>
          <w:sz w:val="24"/>
          <w:szCs w:val="24"/>
        </w:rPr>
        <w:t>kreatininclearance</w:t>
      </w:r>
      <w:proofErr w:type="spellEnd"/>
      <w:r w:rsidRPr="006D6DFA">
        <w:rPr>
          <w:sz w:val="24"/>
          <w:szCs w:val="24"/>
        </w:rPr>
        <w:t xml:space="preserve"> &lt; 15 ml/min) eller alvorlig nedsat leverfunktion (Child-</w:t>
      </w:r>
      <w:proofErr w:type="spellStart"/>
      <w:r w:rsidRPr="006D6DFA">
        <w:rPr>
          <w:sz w:val="24"/>
          <w:szCs w:val="24"/>
        </w:rPr>
        <w:t>Pugh</w:t>
      </w:r>
      <w:proofErr w:type="spellEnd"/>
      <w:r w:rsidRPr="006D6DFA">
        <w:rPr>
          <w:sz w:val="24"/>
          <w:szCs w:val="24"/>
        </w:rPr>
        <w:t xml:space="preserve"> grad C).</w:t>
      </w:r>
    </w:p>
    <w:p w14:paraId="20059BED" w14:textId="77777777" w:rsidR="009260DE" w:rsidRPr="00C84483" w:rsidRDefault="009260DE" w:rsidP="009260DE">
      <w:pPr>
        <w:tabs>
          <w:tab w:val="left" w:pos="851"/>
        </w:tabs>
        <w:ind w:left="851"/>
        <w:rPr>
          <w:sz w:val="24"/>
          <w:szCs w:val="24"/>
        </w:rPr>
      </w:pPr>
    </w:p>
    <w:p w14:paraId="123BA765"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1C3A605" w14:textId="77777777" w:rsidR="006D6DFA" w:rsidRPr="006D6DFA" w:rsidRDefault="006D6DFA" w:rsidP="00072DC2">
      <w:pPr>
        <w:ind w:left="851"/>
        <w:rPr>
          <w:sz w:val="24"/>
          <w:szCs w:val="24"/>
        </w:rPr>
      </w:pPr>
      <w:proofErr w:type="spellStart"/>
      <w:r w:rsidRPr="006D6DFA">
        <w:rPr>
          <w:sz w:val="24"/>
          <w:szCs w:val="24"/>
        </w:rPr>
        <w:t>Naratriptan</w:t>
      </w:r>
      <w:proofErr w:type="spellEnd"/>
      <w:r w:rsidRPr="006D6DFA">
        <w:rPr>
          <w:sz w:val="24"/>
          <w:szCs w:val="24"/>
        </w:rPr>
        <w:t xml:space="preserve"> bør kun anvendes, når der forelægger en klar migrænediagnose.</w:t>
      </w:r>
    </w:p>
    <w:p w14:paraId="69C4BFA4" w14:textId="77777777" w:rsidR="006D6DFA" w:rsidRPr="006D6DFA" w:rsidRDefault="006D6DFA" w:rsidP="00072DC2">
      <w:pPr>
        <w:ind w:left="851"/>
        <w:rPr>
          <w:sz w:val="24"/>
          <w:szCs w:val="24"/>
        </w:rPr>
      </w:pPr>
    </w:p>
    <w:p w14:paraId="3BF8EEC4" w14:textId="77777777" w:rsidR="006D6DFA" w:rsidRPr="006D6DFA" w:rsidRDefault="006D6DFA" w:rsidP="00072DC2">
      <w:pPr>
        <w:ind w:left="851"/>
        <w:rPr>
          <w:sz w:val="24"/>
          <w:szCs w:val="24"/>
        </w:rPr>
      </w:pPr>
      <w:proofErr w:type="spellStart"/>
      <w:r w:rsidRPr="006D6DFA">
        <w:rPr>
          <w:sz w:val="24"/>
          <w:szCs w:val="24"/>
        </w:rPr>
        <w:t>Naratriptan</w:t>
      </w:r>
      <w:proofErr w:type="spellEnd"/>
      <w:r w:rsidRPr="006D6DFA">
        <w:rPr>
          <w:sz w:val="24"/>
          <w:szCs w:val="24"/>
        </w:rPr>
        <w:t xml:space="preserve"> er ikke indiceret til behandling af </w:t>
      </w:r>
      <w:proofErr w:type="spellStart"/>
      <w:r w:rsidRPr="006D6DFA">
        <w:rPr>
          <w:sz w:val="24"/>
          <w:szCs w:val="24"/>
        </w:rPr>
        <w:t>hemiplegisk</w:t>
      </w:r>
      <w:proofErr w:type="spellEnd"/>
      <w:r w:rsidRPr="006D6DFA">
        <w:rPr>
          <w:sz w:val="24"/>
          <w:szCs w:val="24"/>
        </w:rPr>
        <w:t xml:space="preserve">, </w:t>
      </w:r>
      <w:proofErr w:type="spellStart"/>
      <w:r w:rsidRPr="006D6DFA">
        <w:rPr>
          <w:sz w:val="24"/>
          <w:szCs w:val="24"/>
        </w:rPr>
        <w:t>basilaris</w:t>
      </w:r>
      <w:proofErr w:type="spellEnd"/>
      <w:r w:rsidRPr="006D6DFA">
        <w:rPr>
          <w:sz w:val="24"/>
          <w:szCs w:val="24"/>
        </w:rPr>
        <w:t xml:space="preserve"> eller </w:t>
      </w:r>
      <w:proofErr w:type="spellStart"/>
      <w:r w:rsidRPr="006D6DFA">
        <w:rPr>
          <w:sz w:val="24"/>
          <w:szCs w:val="24"/>
        </w:rPr>
        <w:t>oftalmoplegisk</w:t>
      </w:r>
      <w:proofErr w:type="spellEnd"/>
      <w:r w:rsidRPr="006D6DFA">
        <w:rPr>
          <w:sz w:val="24"/>
          <w:szCs w:val="24"/>
        </w:rPr>
        <w:t xml:space="preserve"> migræne.</w:t>
      </w:r>
    </w:p>
    <w:p w14:paraId="57EC962A" w14:textId="77777777" w:rsidR="006D6DFA" w:rsidRPr="006D6DFA" w:rsidRDefault="006D6DFA" w:rsidP="00072DC2">
      <w:pPr>
        <w:ind w:left="851"/>
        <w:rPr>
          <w:sz w:val="24"/>
          <w:szCs w:val="24"/>
        </w:rPr>
      </w:pPr>
    </w:p>
    <w:p w14:paraId="2A49B59B" w14:textId="77777777" w:rsidR="006D6DFA" w:rsidRPr="006D6DFA" w:rsidRDefault="006D6DFA" w:rsidP="00072DC2">
      <w:pPr>
        <w:ind w:left="851"/>
        <w:rPr>
          <w:sz w:val="24"/>
          <w:szCs w:val="24"/>
        </w:rPr>
      </w:pPr>
      <w:r w:rsidRPr="006D6DFA">
        <w:rPr>
          <w:sz w:val="24"/>
          <w:szCs w:val="24"/>
        </w:rPr>
        <w:t xml:space="preserve">Som ved anden akut migrænebehandling, bør andre potentielt alvorlige neurologiske lidelser udelukkes, før man behandler patienter uden tidligere migrænediagnose og patienter med atypiske symptomer. Det bør bemærkes, at migrænepatienter kan have forøget risiko for visse </w:t>
      </w:r>
      <w:proofErr w:type="spellStart"/>
      <w:r w:rsidRPr="006D6DFA">
        <w:rPr>
          <w:sz w:val="24"/>
          <w:szCs w:val="24"/>
        </w:rPr>
        <w:t>cerebrovaskulære</w:t>
      </w:r>
      <w:proofErr w:type="spellEnd"/>
      <w:r w:rsidRPr="006D6DFA">
        <w:rPr>
          <w:sz w:val="24"/>
          <w:szCs w:val="24"/>
        </w:rPr>
        <w:t xml:space="preserve"> sygdomme (f.eks. CVA eller TIA).</w:t>
      </w:r>
    </w:p>
    <w:p w14:paraId="68C8C7CF" w14:textId="77777777" w:rsidR="006D6DFA" w:rsidRPr="006D6DFA" w:rsidRDefault="006D6DFA" w:rsidP="00072DC2">
      <w:pPr>
        <w:ind w:left="851"/>
        <w:rPr>
          <w:sz w:val="24"/>
          <w:szCs w:val="24"/>
        </w:rPr>
      </w:pPr>
    </w:p>
    <w:p w14:paraId="79A63B7E" w14:textId="77777777" w:rsidR="006D6DFA" w:rsidRPr="006D6DFA" w:rsidRDefault="006D6DFA" w:rsidP="00072DC2">
      <w:pPr>
        <w:ind w:left="851"/>
        <w:rPr>
          <w:sz w:val="24"/>
          <w:szCs w:val="24"/>
        </w:rPr>
      </w:pPr>
      <w:r w:rsidRPr="006D6DFA">
        <w:rPr>
          <w:sz w:val="24"/>
          <w:szCs w:val="24"/>
        </w:rPr>
        <w:t xml:space="preserve">Sikkerhed og virkning for </w:t>
      </w:r>
      <w:proofErr w:type="spellStart"/>
      <w:r w:rsidRPr="006D6DFA">
        <w:rPr>
          <w:sz w:val="24"/>
          <w:szCs w:val="24"/>
        </w:rPr>
        <w:t>naratriptan</w:t>
      </w:r>
      <w:proofErr w:type="spellEnd"/>
      <w:r w:rsidRPr="006D6DFA">
        <w:rPr>
          <w:sz w:val="24"/>
          <w:szCs w:val="24"/>
        </w:rPr>
        <w:t xml:space="preserve"> administreret under aurafasen, forud for indsættelsen af hovedpinen, er endnu ikke fastsat.</w:t>
      </w:r>
    </w:p>
    <w:p w14:paraId="7945552B" w14:textId="77777777" w:rsidR="006D6DFA" w:rsidRPr="006D6DFA" w:rsidRDefault="006D6DFA" w:rsidP="00072DC2">
      <w:pPr>
        <w:ind w:left="851"/>
        <w:rPr>
          <w:sz w:val="24"/>
          <w:szCs w:val="24"/>
        </w:rPr>
      </w:pPr>
    </w:p>
    <w:p w14:paraId="73E15152" w14:textId="77777777" w:rsidR="006D6DFA" w:rsidRPr="006D6DFA" w:rsidRDefault="006D6DFA" w:rsidP="00072DC2">
      <w:pPr>
        <w:ind w:left="851"/>
        <w:rPr>
          <w:sz w:val="24"/>
          <w:szCs w:val="24"/>
        </w:rPr>
      </w:pPr>
      <w:r w:rsidRPr="006D6DFA">
        <w:rPr>
          <w:sz w:val="24"/>
          <w:szCs w:val="24"/>
        </w:rPr>
        <w:t>Ligesom med andre 5-HT</w:t>
      </w:r>
      <w:r w:rsidRPr="006D6DFA">
        <w:rPr>
          <w:sz w:val="24"/>
          <w:szCs w:val="24"/>
          <w:vertAlign w:val="subscript"/>
        </w:rPr>
        <w:t>1</w:t>
      </w:r>
      <w:r w:rsidRPr="006D6DFA">
        <w:rPr>
          <w:sz w:val="24"/>
          <w:szCs w:val="24"/>
        </w:rPr>
        <w:t xml:space="preserve">-receptoragonister skal </w:t>
      </w:r>
      <w:proofErr w:type="spellStart"/>
      <w:r w:rsidRPr="006D6DFA">
        <w:rPr>
          <w:sz w:val="24"/>
          <w:szCs w:val="24"/>
        </w:rPr>
        <w:t>naratriptan</w:t>
      </w:r>
      <w:proofErr w:type="spellEnd"/>
      <w:r w:rsidRPr="006D6DFA">
        <w:rPr>
          <w:sz w:val="24"/>
          <w:szCs w:val="24"/>
        </w:rPr>
        <w:t xml:space="preserve"> ikke gives til patienter med risikofaktorer for iskæmisk hjertesygdom – herunder patienter som er storrygere eller anvender nikotinsubstitutionsbehandling – uden at der først foretages en kardiovaskulær vurdering (se pkt. 4.3). Ordinering til </w:t>
      </w:r>
      <w:proofErr w:type="spellStart"/>
      <w:r w:rsidRPr="006D6DFA">
        <w:rPr>
          <w:sz w:val="24"/>
          <w:szCs w:val="24"/>
        </w:rPr>
        <w:t>postmenopausale</w:t>
      </w:r>
      <w:proofErr w:type="spellEnd"/>
      <w:r w:rsidRPr="006D6DFA">
        <w:rPr>
          <w:sz w:val="24"/>
          <w:szCs w:val="24"/>
        </w:rPr>
        <w:t xml:space="preserve"> kvinder og mænd over 40 år med disse risikofaktorer bør overvejes nøje. Disse vurderinger identificerer dog ikke alle patienter med hjertesygdom og hos patienter uden underliggende hjertesygdom, er der i meget sjældne tilfælde opstået alvorlige kardiovaskulære sygdomstilstande ved behandling med 5-HT</w:t>
      </w:r>
      <w:r w:rsidRPr="006D6DFA">
        <w:rPr>
          <w:sz w:val="24"/>
          <w:szCs w:val="24"/>
          <w:vertAlign w:val="subscript"/>
        </w:rPr>
        <w:t>1</w:t>
      </w:r>
      <w:r w:rsidRPr="006D6DFA">
        <w:rPr>
          <w:sz w:val="24"/>
          <w:szCs w:val="24"/>
        </w:rPr>
        <w:t>-receptoragonister.</w:t>
      </w:r>
    </w:p>
    <w:p w14:paraId="25F9BCFD" w14:textId="77777777" w:rsidR="006D6DFA" w:rsidRPr="006D6DFA" w:rsidRDefault="006D6DFA" w:rsidP="00072DC2">
      <w:pPr>
        <w:ind w:left="851"/>
        <w:rPr>
          <w:sz w:val="24"/>
          <w:szCs w:val="24"/>
        </w:rPr>
      </w:pPr>
    </w:p>
    <w:p w14:paraId="78D3F5AC" w14:textId="77777777" w:rsidR="006D6DFA" w:rsidRPr="006D6DFA" w:rsidRDefault="006D6DFA" w:rsidP="00072DC2">
      <w:pPr>
        <w:ind w:left="851"/>
        <w:rPr>
          <w:sz w:val="24"/>
          <w:szCs w:val="24"/>
        </w:rPr>
      </w:pPr>
      <w:r w:rsidRPr="006D6DFA">
        <w:rPr>
          <w:sz w:val="24"/>
          <w:szCs w:val="24"/>
        </w:rPr>
        <w:t xml:space="preserve">Efter behandling med </w:t>
      </w:r>
      <w:proofErr w:type="spellStart"/>
      <w:r w:rsidRPr="006D6DFA">
        <w:rPr>
          <w:sz w:val="24"/>
          <w:szCs w:val="24"/>
        </w:rPr>
        <w:t>naratriptan</w:t>
      </w:r>
      <w:proofErr w:type="spellEnd"/>
      <w:r w:rsidRPr="006D6DFA">
        <w:rPr>
          <w:sz w:val="24"/>
          <w:szCs w:val="24"/>
        </w:rPr>
        <w:t xml:space="preserve"> kan der forekomme forbigående – nogle gange intense – brystsmerter, og der kan forekomme en fornemmelse af trykken i brystet, som kan stråle op omkring halsen (se pkt. 4.8). Ved mistanke om at sådanne symptomer kan tyde på iskæmisk hjertesygdom, skal behandlingen med </w:t>
      </w:r>
      <w:proofErr w:type="spellStart"/>
      <w:r w:rsidRPr="006D6DFA">
        <w:rPr>
          <w:sz w:val="24"/>
          <w:szCs w:val="24"/>
        </w:rPr>
        <w:t>naratriptan</w:t>
      </w:r>
      <w:proofErr w:type="spellEnd"/>
      <w:r w:rsidRPr="006D6DFA">
        <w:rPr>
          <w:sz w:val="24"/>
          <w:szCs w:val="24"/>
        </w:rPr>
        <w:t xml:space="preserve"> afbrydes og nødvendig vurdering skal foretages (se pkt. 4.8).</w:t>
      </w:r>
    </w:p>
    <w:p w14:paraId="7684B76D" w14:textId="77777777" w:rsidR="006D6DFA" w:rsidRPr="006D6DFA" w:rsidRDefault="006D6DFA" w:rsidP="00072DC2">
      <w:pPr>
        <w:ind w:left="851"/>
        <w:rPr>
          <w:sz w:val="24"/>
          <w:szCs w:val="24"/>
        </w:rPr>
      </w:pPr>
    </w:p>
    <w:p w14:paraId="5C7DB8D2" w14:textId="77777777" w:rsidR="006D6DFA" w:rsidRPr="006D6DFA" w:rsidRDefault="006D6DFA" w:rsidP="00072DC2">
      <w:pPr>
        <w:ind w:left="851"/>
        <w:rPr>
          <w:sz w:val="24"/>
          <w:szCs w:val="24"/>
        </w:rPr>
      </w:pPr>
      <w:proofErr w:type="spellStart"/>
      <w:r w:rsidRPr="006D6DFA">
        <w:rPr>
          <w:sz w:val="24"/>
          <w:szCs w:val="24"/>
        </w:rPr>
        <w:t>Naratriptan</w:t>
      </w:r>
      <w:proofErr w:type="spellEnd"/>
      <w:r w:rsidRPr="006D6DFA">
        <w:rPr>
          <w:sz w:val="24"/>
          <w:szCs w:val="24"/>
        </w:rPr>
        <w:t xml:space="preserve"> indeholder en sulfonamidkomponent. Der er således en teoretisk risiko for overfølsomhedsreaktion hos patienter med kendt overfølsomhed over for sulfonamider.</w:t>
      </w:r>
    </w:p>
    <w:p w14:paraId="5E28439A" w14:textId="77777777" w:rsidR="006D6DFA" w:rsidRPr="006D6DFA" w:rsidRDefault="006D6DFA" w:rsidP="00072DC2">
      <w:pPr>
        <w:ind w:left="851"/>
        <w:rPr>
          <w:sz w:val="24"/>
          <w:szCs w:val="24"/>
        </w:rPr>
      </w:pPr>
    </w:p>
    <w:p w14:paraId="49B659B0" w14:textId="77777777" w:rsidR="006D6DFA" w:rsidRPr="006D6DFA" w:rsidRDefault="006D6DFA" w:rsidP="00072DC2">
      <w:pPr>
        <w:ind w:left="851"/>
        <w:rPr>
          <w:sz w:val="24"/>
          <w:szCs w:val="24"/>
        </w:rPr>
      </w:pPr>
      <w:r w:rsidRPr="006D6DFA">
        <w:rPr>
          <w:sz w:val="24"/>
          <w:szCs w:val="24"/>
        </w:rPr>
        <w:t xml:space="preserve">Anbefalet dosis af </w:t>
      </w:r>
      <w:proofErr w:type="spellStart"/>
      <w:r w:rsidRPr="006D6DFA">
        <w:rPr>
          <w:sz w:val="24"/>
          <w:szCs w:val="24"/>
        </w:rPr>
        <w:t>naratriptan</w:t>
      </w:r>
      <w:proofErr w:type="spellEnd"/>
      <w:r w:rsidRPr="006D6DFA">
        <w:rPr>
          <w:sz w:val="24"/>
          <w:szCs w:val="24"/>
        </w:rPr>
        <w:t xml:space="preserve"> bør ikke overskrides.</w:t>
      </w:r>
    </w:p>
    <w:p w14:paraId="739BA09B" w14:textId="77777777" w:rsidR="006D6DFA" w:rsidRPr="006D6DFA" w:rsidRDefault="006D6DFA" w:rsidP="00072DC2">
      <w:pPr>
        <w:ind w:left="851"/>
        <w:rPr>
          <w:sz w:val="24"/>
          <w:szCs w:val="24"/>
        </w:rPr>
      </w:pPr>
    </w:p>
    <w:p w14:paraId="346D5B30" w14:textId="77777777" w:rsidR="006D6DFA" w:rsidRPr="006D6DFA" w:rsidRDefault="006D6DFA" w:rsidP="00072DC2">
      <w:pPr>
        <w:ind w:left="851"/>
        <w:rPr>
          <w:sz w:val="24"/>
          <w:szCs w:val="24"/>
        </w:rPr>
      </w:pPr>
      <w:r w:rsidRPr="006D6DFA">
        <w:rPr>
          <w:sz w:val="24"/>
          <w:szCs w:val="24"/>
        </w:rPr>
        <w:t xml:space="preserve">Serotonin syndrom (herunder ændret mental status, </w:t>
      </w:r>
      <w:proofErr w:type="spellStart"/>
      <w:r w:rsidRPr="006D6DFA">
        <w:rPr>
          <w:sz w:val="24"/>
          <w:szCs w:val="24"/>
        </w:rPr>
        <w:t>autonomisk</w:t>
      </w:r>
      <w:proofErr w:type="spellEnd"/>
      <w:r w:rsidRPr="006D6DFA">
        <w:rPr>
          <w:sz w:val="24"/>
          <w:szCs w:val="24"/>
        </w:rPr>
        <w:t xml:space="preserve"> uligevægt og </w:t>
      </w:r>
      <w:proofErr w:type="spellStart"/>
      <w:r w:rsidRPr="006D6DFA">
        <w:rPr>
          <w:sz w:val="24"/>
          <w:szCs w:val="24"/>
        </w:rPr>
        <w:t>neuromuskulære</w:t>
      </w:r>
      <w:proofErr w:type="spellEnd"/>
      <w:r w:rsidRPr="006D6DFA">
        <w:rPr>
          <w:sz w:val="24"/>
          <w:szCs w:val="24"/>
        </w:rPr>
        <w:t xml:space="preserve"> </w:t>
      </w:r>
      <w:proofErr w:type="spellStart"/>
      <w:r w:rsidRPr="006D6DFA">
        <w:rPr>
          <w:sz w:val="24"/>
          <w:szCs w:val="24"/>
        </w:rPr>
        <w:t>abnormaliteter</w:t>
      </w:r>
      <w:proofErr w:type="spellEnd"/>
      <w:r w:rsidRPr="006D6DFA">
        <w:rPr>
          <w:sz w:val="24"/>
          <w:szCs w:val="24"/>
        </w:rPr>
        <w:t xml:space="preserve">) er rapporteret efter samtidig behandling med </w:t>
      </w:r>
      <w:proofErr w:type="spellStart"/>
      <w:r w:rsidRPr="006D6DFA">
        <w:rPr>
          <w:sz w:val="24"/>
          <w:szCs w:val="24"/>
        </w:rPr>
        <w:t>triptaner</w:t>
      </w:r>
      <w:proofErr w:type="spellEnd"/>
      <w:r w:rsidRPr="006D6DFA">
        <w:rPr>
          <w:sz w:val="24"/>
          <w:szCs w:val="24"/>
        </w:rPr>
        <w:t xml:space="preserve"> og selektive serotonin </w:t>
      </w:r>
      <w:proofErr w:type="spellStart"/>
      <w:r w:rsidRPr="006D6DFA">
        <w:rPr>
          <w:sz w:val="24"/>
          <w:szCs w:val="24"/>
        </w:rPr>
        <w:t>genoptagshæmmere</w:t>
      </w:r>
      <w:proofErr w:type="spellEnd"/>
      <w:r w:rsidRPr="006D6DFA">
        <w:rPr>
          <w:sz w:val="24"/>
          <w:szCs w:val="24"/>
        </w:rPr>
        <w:t xml:space="preserve"> (</w:t>
      </w:r>
      <w:proofErr w:type="spellStart"/>
      <w:r w:rsidRPr="006D6DFA">
        <w:rPr>
          <w:sz w:val="24"/>
          <w:szCs w:val="24"/>
        </w:rPr>
        <w:t>SSRI’er</w:t>
      </w:r>
      <w:proofErr w:type="spellEnd"/>
      <w:r w:rsidRPr="006D6DFA">
        <w:rPr>
          <w:sz w:val="24"/>
          <w:szCs w:val="24"/>
        </w:rPr>
        <w:t xml:space="preserve">)/serotonin noradrenalin </w:t>
      </w:r>
      <w:proofErr w:type="spellStart"/>
      <w:r w:rsidRPr="006D6DFA">
        <w:rPr>
          <w:sz w:val="24"/>
          <w:szCs w:val="24"/>
        </w:rPr>
        <w:t>genoptagshæmmere</w:t>
      </w:r>
      <w:proofErr w:type="spellEnd"/>
      <w:r w:rsidRPr="006D6DFA">
        <w:rPr>
          <w:sz w:val="24"/>
          <w:szCs w:val="24"/>
        </w:rPr>
        <w:t xml:space="preserve"> (</w:t>
      </w:r>
      <w:proofErr w:type="spellStart"/>
      <w:r w:rsidRPr="006D6DFA">
        <w:rPr>
          <w:sz w:val="24"/>
          <w:szCs w:val="24"/>
        </w:rPr>
        <w:t>SNRI’er</w:t>
      </w:r>
      <w:proofErr w:type="spellEnd"/>
      <w:r w:rsidRPr="006D6DFA">
        <w:rPr>
          <w:sz w:val="24"/>
          <w:szCs w:val="24"/>
        </w:rPr>
        <w:t xml:space="preserve">). Hvis samtidig administration med </w:t>
      </w:r>
      <w:proofErr w:type="spellStart"/>
      <w:r w:rsidRPr="006D6DFA">
        <w:rPr>
          <w:sz w:val="24"/>
          <w:szCs w:val="24"/>
        </w:rPr>
        <w:t>naratriptan</w:t>
      </w:r>
      <w:proofErr w:type="spellEnd"/>
      <w:r w:rsidRPr="006D6DFA">
        <w:rPr>
          <w:sz w:val="24"/>
          <w:szCs w:val="24"/>
        </w:rPr>
        <w:t xml:space="preserve"> og en SSRI/SNRI er klinisk fordelagtigt, bør passende observation af patienten iværksættes særligt i starten af behandlingen, ved øgning af dosis eller ved tillæg af et andet lægemiddel med </w:t>
      </w:r>
      <w:proofErr w:type="spellStart"/>
      <w:r w:rsidRPr="006D6DFA">
        <w:rPr>
          <w:sz w:val="24"/>
          <w:szCs w:val="24"/>
        </w:rPr>
        <w:t>serotonerg</w:t>
      </w:r>
      <w:proofErr w:type="spellEnd"/>
      <w:r w:rsidRPr="006D6DFA">
        <w:rPr>
          <w:sz w:val="24"/>
          <w:szCs w:val="24"/>
        </w:rPr>
        <w:t xml:space="preserve"> virkning (se pkt. 4.5).</w:t>
      </w:r>
    </w:p>
    <w:p w14:paraId="62500419" w14:textId="77777777" w:rsidR="006D6DFA" w:rsidRPr="006D6DFA" w:rsidRDefault="006D6DFA" w:rsidP="00072DC2">
      <w:pPr>
        <w:ind w:left="851"/>
        <w:rPr>
          <w:sz w:val="24"/>
          <w:szCs w:val="24"/>
        </w:rPr>
      </w:pPr>
    </w:p>
    <w:p w14:paraId="32BA0DBF" w14:textId="77777777" w:rsidR="006D6DFA" w:rsidRPr="006D6DFA" w:rsidRDefault="006D6DFA" w:rsidP="00072DC2">
      <w:pPr>
        <w:ind w:left="851"/>
        <w:rPr>
          <w:sz w:val="24"/>
          <w:szCs w:val="24"/>
        </w:rPr>
      </w:pPr>
      <w:r w:rsidRPr="006D6DFA">
        <w:rPr>
          <w:sz w:val="24"/>
          <w:szCs w:val="24"/>
        </w:rPr>
        <w:t>Langvarig brug af smertestillende medicin mod hovedpine kan være forbundet med forværring af hovedpinen. Hvis denne situation forekommer eller mistænkes, bør en læge kontaktes og behandlingen skal seponeres. Diagnosen medicin-overforbrugshovedpine (MOH) bør overvejes hos patienter, som har hyppig eller daglig hovedpine på trods af (eller på grund af) regelmæssig brug af medicin mod hovedpine.</w:t>
      </w:r>
    </w:p>
    <w:p w14:paraId="26AE29FC" w14:textId="77777777" w:rsidR="006D6DFA" w:rsidRPr="006D6DFA" w:rsidRDefault="006D6DFA" w:rsidP="00072DC2">
      <w:pPr>
        <w:ind w:left="851"/>
        <w:rPr>
          <w:sz w:val="24"/>
          <w:szCs w:val="24"/>
        </w:rPr>
      </w:pPr>
    </w:p>
    <w:p w14:paraId="028D7AF9" w14:textId="77777777" w:rsidR="006D6DFA" w:rsidRPr="006D6DFA" w:rsidRDefault="006D6DFA" w:rsidP="00072DC2">
      <w:pPr>
        <w:ind w:left="851"/>
        <w:rPr>
          <w:sz w:val="24"/>
          <w:szCs w:val="24"/>
        </w:rPr>
      </w:pPr>
      <w:r w:rsidRPr="006D6DFA">
        <w:rPr>
          <w:sz w:val="24"/>
          <w:szCs w:val="24"/>
        </w:rPr>
        <w:t xml:space="preserve">Forekomsten af bivirkninger kan øges ved samtidig administration af </w:t>
      </w:r>
      <w:proofErr w:type="spellStart"/>
      <w:r w:rsidRPr="006D6DFA">
        <w:rPr>
          <w:sz w:val="24"/>
          <w:szCs w:val="24"/>
        </w:rPr>
        <w:t>triptaner</w:t>
      </w:r>
      <w:proofErr w:type="spellEnd"/>
      <w:r w:rsidRPr="006D6DFA">
        <w:rPr>
          <w:sz w:val="24"/>
          <w:szCs w:val="24"/>
        </w:rPr>
        <w:t xml:space="preserve"> eller naturlægemidler, som indeholder perikon (</w:t>
      </w:r>
      <w:r w:rsidRPr="006D6DFA">
        <w:rPr>
          <w:i/>
          <w:sz w:val="24"/>
          <w:szCs w:val="24"/>
        </w:rPr>
        <w:t xml:space="preserve">Hypericum </w:t>
      </w:r>
      <w:proofErr w:type="spellStart"/>
      <w:r w:rsidRPr="006D6DFA">
        <w:rPr>
          <w:i/>
          <w:sz w:val="24"/>
          <w:szCs w:val="24"/>
        </w:rPr>
        <w:t>perforatum</w:t>
      </w:r>
      <w:proofErr w:type="spellEnd"/>
      <w:r w:rsidRPr="006D6DFA">
        <w:rPr>
          <w:sz w:val="24"/>
          <w:szCs w:val="24"/>
        </w:rPr>
        <w:t>).</w:t>
      </w:r>
    </w:p>
    <w:p w14:paraId="08B34E72" w14:textId="77777777" w:rsidR="006D6DFA" w:rsidRPr="006D6DFA" w:rsidRDefault="006D6DFA" w:rsidP="00072DC2">
      <w:pPr>
        <w:ind w:left="851"/>
        <w:rPr>
          <w:sz w:val="24"/>
          <w:szCs w:val="24"/>
        </w:rPr>
      </w:pPr>
    </w:p>
    <w:p w14:paraId="61D5106E" w14:textId="77777777" w:rsidR="006D6DFA" w:rsidRPr="006D6DFA" w:rsidRDefault="006D6DFA" w:rsidP="00072DC2">
      <w:pPr>
        <w:ind w:left="851"/>
        <w:rPr>
          <w:sz w:val="24"/>
          <w:szCs w:val="24"/>
          <w:u w:val="single"/>
        </w:rPr>
      </w:pPr>
      <w:r w:rsidRPr="006D6DFA">
        <w:rPr>
          <w:sz w:val="24"/>
          <w:szCs w:val="24"/>
          <w:u w:val="single"/>
        </w:rPr>
        <w:t>Hjælpestoffer</w:t>
      </w:r>
    </w:p>
    <w:p w14:paraId="45E43274" w14:textId="77777777" w:rsidR="006D6DFA" w:rsidRPr="006D6DFA" w:rsidRDefault="006D6DFA" w:rsidP="00072DC2">
      <w:pPr>
        <w:ind w:left="851"/>
        <w:rPr>
          <w:sz w:val="24"/>
          <w:szCs w:val="24"/>
        </w:rPr>
      </w:pPr>
      <w:r w:rsidRPr="006D6DFA">
        <w:rPr>
          <w:sz w:val="24"/>
          <w:szCs w:val="24"/>
        </w:rPr>
        <w:t xml:space="preserve">Dette lægemiddel indeholder laktose. Bør ikke anvendes til patienter med hereditær </w:t>
      </w:r>
      <w:proofErr w:type="spellStart"/>
      <w:r w:rsidRPr="006D6DFA">
        <w:rPr>
          <w:sz w:val="24"/>
          <w:szCs w:val="24"/>
        </w:rPr>
        <w:t>galactoseintolerans</w:t>
      </w:r>
      <w:proofErr w:type="spellEnd"/>
      <w:r w:rsidRPr="006D6DFA">
        <w:rPr>
          <w:sz w:val="24"/>
          <w:szCs w:val="24"/>
        </w:rPr>
        <w:t xml:space="preserve">, total </w:t>
      </w:r>
      <w:proofErr w:type="spellStart"/>
      <w:r w:rsidRPr="006D6DFA">
        <w:rPr>
          <w:sz w:val="24"/>
          <w:szCs w:val="24"/>
        </w:rPr>
        <w:t>lactasemangel</w:t>
      </w:r>
      <w:proofErr w:type="spellEnd"/>
      <w:r w:rsidRPr="006D6DFA">
        <w:rPr>
          <w:sz w:val="24"/>
          <w:szCs w:val="24"/>
        </w:rPr>
        <w:t xml:space="preserve"> eller </w:t>
      </w:r>
      <w:proofErr w:type="spellStart"/>
      <w:r w:rsidRPr="006D6DFA">
        <w:rPr>
          <w:sz w:val="24"/>
          <w:szCs w:val="24"/>
        </w:rPr>
        <w:t>glucose</w:t>
      </w:r>
      <w:proofErr w:type="spellEnd"/>
      <w:r w:rsidRPr="006D6DFA">
        <w:rPr>
          <w:sz w:val="24"/>
          <w:szCs w:val="24"/>
        </w:rPr>
        <w:t>/</w:t>
      </w:r>
      <w:proofErr w:type="spellStart"/>
      <w:r w:rsidRPr="006D6DFA">
        <w:rPr>
          <w:sz w:val="24"/>
          <w:szCs w:val="24"/>
        </w:rPr>
        <w:t>galactosemalabsorption</w:t>
      </w:r>
      <w:proofErr w:type="spellEnd"/>
      <w:r w:rsidRPr="006D6DFA">
        <w:rPr>
          <w:sz w:val="24"/>
          <w:szCs w:val="24"/>
        </w:rPr>
        <w:t>.</w:t>
      </w:r>
    </w:p>
    <w:p w14:paraId="5E706946" w14:textId="77777777" w:rsidR="006D6DFA" w:rsidRPr="006D6DFA" w:rsidRDefault="006D6DFA" w:rsidP="00072DC2">
      <w:pPr>
        <w:ind w:left="851"/>
        <w:rPr>
          <w:sz w:val="24"/>
          <w:szCs w:val="24"/>
        </w:rPr>
      </w:pPr>
      <w:proofErr w:type="spellStart"/>
      <w:r w:rsidRPr="006D6DFA">
        <w:rPr>
          <w:sz w:val="24"/>
          <w:szCs w:val="24"/>
        </w:rPr>
        <w:t>Naxtrin</w:t>
      </w:r>
      <w:proofErr w:type="spellEnd"/>
      <w:r w:rsidRPr="006D6DFA">
        <w:rPr>
          <w:sz w:val="24"/>
          <w:szCs w:val="24"/>
        </w:rPr>
        <w:t xml:space="preserve"> indeholder mindre end 1 mmol (23 mg) natrium pr. tablet, dvs. det er i det væsentlige ’natriumfrit’.</w:t>
      </w:r>
    </w:p>
    <w:p w14:paraId="0C11E968" w14:textId="77777777" w:rsidR="009260DE" w:rsidRPr="00C84483" w:rsidRDefault="009260DE" w:rsidP="009260DE">
      <w:pPr>
        <w:tabs>
          <w:tab w:val="left" w:pos="851"/>
        </w:tabs>
        <w:ind w:left="851"/>
        <w:rPr>
          <w:sz w:val="24"/>
          <w:szCs w:val="24"/>
        </w:rPr>
      </w:pPr>
    </w:p>
    <w:p w14:paraId="2633ED49"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438C9F5C" w14:textId="77777777" w:rsidR="006D6DFA" w:rsidRPr="006D6DFA" w:rsidRDefault="006D6DFA" w:rsidP="00072DC2">
      <w:pPr>
        <w:ind w:left="851"/>
        <w:rPr>
          <w:sz w:val="24"/>
          <w:szCs w:val="24"/>
        </w:rPr>
      </w:pPr>
      <w:r w:rsidRPr="006D6DFA">
        <w:rPr>
          <w:sz w:val="24"/>
          <w:szCs w:val="24"/>
        </w:rPr>
        <w:t>Kliniske studier påviste ingen interaktioner med alkohol eller føde.</w:t>
      </w:r>
    </w:p>
    <w:p w14:paraId="04CA6BE2" w14:textId="77777777" w:rsidR="006D6DFA" w:rsidRPr="006D6DFA" w:rsidRDefault="006D6DFA" w:rsidP="00072DC2">
      <w:pPr>
        <w:ind w:left="851"/>
        <w:rPr>
          <w:sz w:val="24"/>
          <w:szCs w:val="24"/>
        </w:rPr>
      </w:pPr>
    </w:p>
    <w:p w14:paraId="6499804F" w14:textId="77777777" w:rsidR="006D6DFA" w:rsidRPr="006D6DFA" w:rsidRDefault="006D6DFA" w:rsidP="00072DC2">
      <w:pPr>
        <w:ind w:left="851"/>
        <w:rPr>
          <w:sz w:val="24"/>
          <w:szCs w:val="24"/>
        </w:rPr>
      </w:pPr>
      <w:proofErr w:type="spellStart"/>
      <w:r w:rsidRPr="006D6DFA">
        <w:rPr>
          <w:sz w:val="24"/>
          <w:szCs w:val="24"/>
        </w:rPr>
        <w:t>Naratriptan</w:t>
      </w:r>
      <w:proofErr w:type="spellEnd"/>
      <w:r w:rsidRPr="006D6DFA">
        <w:rPr>
          <w:sz w:val="24"/>
          <w:szCs w:val="24"/>
        </w:rPr>
        <w:t xml:space="preserve"> hæmmede ikke </w:t>
      </w:r>
      <w:proofErr w:type="spellStart"/>
      <w:r w:rsidRPr="006D6DFA">
        <w:rPr>
          <w:sz w:val="24"/>
          <w:szCs w:val="24"/>
        </w:rPr>
        <w:t>monoaminoxidase</w:t>
      </w:r>
      <w:proofErr w:type="spellEnd"/>
      <w:r w:rsidRPr="006D6DFA">
        <w:rPr>
          <w:sz w:val="24"/>
          <w:szCs w:val="24"/>
        </w:rPr>
        <w:t xml:space="preserve"> enzymer </w:t>
      </w:r>
      <w:r w:rsidRPr="006D6DFA">
        <w:rPr>
          <w:i/>
          <w:sz w:val="24"/>
          <w:szCs w:val="24"/>
        </w:rPr>
        <w:t xml:space="preserve">in </w:t>
      </w:r>
      <w:proofErr w:type="spellStart"/>
      <w:r w:rsidRPr="006D6DFA">
        <w:rPr>
          <w:i/>
          <w:sz w:val="24"/>
          <w:szCs w:val="24"/>
        </w:rPr>
        <w:t>vitro</w:t>
      </w:r>
      <w:proofErr w:type="spellEnd"/>
      <w:r w:rsidRPr="006D6DFA">
        <w:rPr>
          <w:i/>
          <w:sz w:val="24"/>
          <w:szCs w:val="24"/>
        </w:rPr>
        <w:t>.</w:t>
      </w:r>
      <w:r w:rsidRPr="006D6DFA">
        <w:rPr>
          <w:sz w:val="24"/>
          <w:szCs w:val="24"/>
        </w:rPr>
        <w:t xml:space="preserve"> Derfor er der ikke udført </w:t>
      </w:r>
      <w:r w:rsidRPr="006D6DFA">
        <w:rPr>
          <w:i/>
          <w:sz w:val="24"/>
          <w:szCs w:val="24"/>
        </w:rPr>
        <w:t xml:space="preserve">in </w:t>
      </w:r>
      <w:proofErr w:type="spellStart"/>
      <w:r w:rsidRPr="006D6DFA">
        <w:rPr>
          <w:i/>
          <w:sz w:val="24"/>
          <w:szCs w:val="24"/>
        </w:rPr>
        <w:t>vitro</w:t>
      </w:r>
      <w:proofErr w:type="spellEnd"/>
      <w:r w:rsidRPr="006D6DFA">
        <w:rPr>
          <w:sz w:val="24"/>
          <w:szCs w:val="24"/>
        </w:rPr>
        <w:t xml:space="preserve"> interaktionsstudier med </w:t>
      </w:r>
      <w:proofErr w:type="spellStart"/>
      <w:r w:rsidRPr="006D6DFA">
        <w:rPr>
          <w:sz w:val="24"/>
          <w:szCs w:val="24"/>
        </w:rPr>
        <w:t>monoaminoxidasehæmmere</w:t>
      </w:r>
      <w:proofErr w:type="spellEnd"/>
      <w:r w:rsidRPr="006D6DFA">
        <w:rPr>
          <w:sz w:val="24"/>
          <w:szCs w:val="24"/>
        </w:rPr>
        <w:t>.</w:t>
      </w:r>
    </w:p>
    <w:p w14:paraId="6FDC5447" w14:textId="77777777" w:rsidR="006D6DFA" w:rsidRPr="006D6DFA" w:rsidRDefault="006D6DFA" w:rsidP="00072DC2">
      <w:pPr>
        <w:ind w:left="851"/>
        <w:rPr>
          <w:sz w:val="24"/>
          <w:szCs w:val="24"/>
        </w:rPr>
      </w:pPr>
    </w:p>
    <w:p w14:paraId="729A121D" w14:textId="77777777" w:rsidR="006D6DFA" w:rsidRPr="006D6DFA" w:rsidRDefault="006D6DFA" w:rsidP="00072DC2">
      <w:pPr>
        <w:ind w:left="851"/>
        <w:rPr>
          <w:sz w:val="24"/>
          <w:szCs w:val="24"/>
        </w:rPr>
      </w:pPr>
      <w:r w:rsidRPr="006D6DFA">
        <w:rPr>
          <w:sz w:val="24"/>
          <w:szCs w:val="24"/>
        </w:rPr>
        <w:t xml:space="preserve">På baggrund af </w:t>
      </w:r>
      <w:r w:rsidRPr="006D6DFA">
        <w:rPr>
          <w:i/>
          <w:sz w:val="24"/>
          <w:szCs w:val="24"/>
        </w:rPr>
        <w:t xml:space="preserve">in </w:t>
      </w:r>
      <w:proofErr w:type="spellStart"/>
      <w:r w:rsidRPr="006D6DFA">
        <w:rPr>
          <w:i/>
          <w:sz w:val="24"/>
          <w:szCs w:val="24"/>
        </w:rPr>
        <w:t>vitro</w:t>
      </w:r>
      <w:proofErr w:type="spellEnd"/>
      <w:r w:rsidRPr="006D6DFA">
        <w:rPr>
          <w:sz w:val="24"/>
          <w:szCs w:val="24"/>
        </w:rPr>
        <w:t xml:space="preserve">-studier er det blevet konkluderet, at en lang række </w:t>
      </w:r>
      <w:proofErr w:type="spellStart"/>
      <w:r w:rsidRPr="006D6DFA">
        <w:rPr>
          <w:sz w:val="24"/>
          <w:szCs w:val="24"/>
        </w:rPr>
        <w:t>cytokrom</w:t>
      </w:r>
      <w:proofErr w:type="spellEnd"/>
      <w:r w:rsidRPr="006D6DFA">
        <w:rPr>
          <w:sz w:val="24"/>
          <w:szCs w:val="24"/>
        </w:rPr>
        <w:t xml:space="preserve"> P450-isoenzymer er involveret i den begrænsede </w:t>
      </w:r>
      <w:proofErr w:type="spellStart"/>
      <w:r w:rsidRPr="006D6DFA">
        <w:rPr>
          <w:sz w:val="24"/>
          <w:szCs w:val="24"/>
        </w:rPr>
        <w:t>metabolisering</w:t>
      </w:r>
      <w:proofErr w:type="spellEnd"/>
      <w:r w:rsidRPr="006D6DFA">
        <w:rPr>
          <w:sz w:val="24"/>
          <w:szCs w:val="24"/>
        </w:rPr>
        <w:t xml:space="preserve"> af </w:t>
      </w:r>
      <w:proofErr w:type="spellStart"/>
      <w:r w:rsidRPr="006D6DFA">
        <w:rPr>
          <w:sz w:val="24"/>
          <w:szCs w:val="24"/>
        </w:rPr>
        <w:t>naratriptan</w:t>
      </w:r>
      <w:proofErr w:type="spellEnd"/>
      <w:r w:rsidRPr="006D6DFA">
        <w:rPr>
          <w:sz w:val="24"/>
          <w:szCs w:val="24"/>
        </w:rPr>
        <w:t xml:space="preserve">. Signifikante metaboliske interaktioner med andre lægemidler, som </w:t>
      </w:r>
      <w:proofErr w:type="spellStart"/>
      <w:r w:rsidRPr="006D6DFA">
        <w:rPr>
          <w:sz w:val="24"/>
          <w:szCs w:val="24"/>
        </w:rPr>
        <w:t>metaboliseres</w:t>
      </w:r>
      <w:proofErr w:type="spellEnd"/>
      <w:r w:rsidRPr="006D6DFA">
        <w:rPr>
          <w:sz w:val="24"/>
          <w:szCs w:val="24"/>
        </w:rPr>
        <w:t xml:space="preserve"> via specifikke P450 enzymer, er derfor ikke sandsynlige (se pkt. 5.2).</w:t>
      </w:r>
    </w:p>
    <w:p w14:paraId="1BB5D926" w14:textId="77777777" w:rsidR="006D6DFA" w:rsidRPr="006D6DFA" w:rsidRDefault="006D6DFA" w:rsidP="00072DC2">
      <w:pPr>
        <w:ind w:left="851"/>
        <w:rPr>
          <w:sz w:val="24"/>
          <w:szCs w:val="24"/>
        </w:rPr>
      </w:pPr>
    </w:p>
    <w:p w14:paraId="2A584EF6" w14:textId="77777777" w:rsidR="006D6DFA" w:rsidRPr="006D6DFA" w:rsidRDefault="006D6DFA" w:rsidP="00072DC2">
      <w:pPr>
        <w:ind w:left="851"/>
        <w:rPr>
          <w:sz w:val="24"/>
          <w:szCs w:val="24"/>
        </w:rPr>
      </w:pPr>
      <w:r w:rsidRPr="006D6DFA">
        <w:rPr>
          <w:sz w:val="24"/>
          <w:szCs w:val="24"/>
        </w:rPr>
        <w:t>Kliniske studier har ikke påvist nogen interaktion med β-</w:t>
      </w:r>
      <w:proofErr w:type="spellStart"/>
      <w:r w:rsidRPr="006D6DFA">
        <w:rPr>
          <w:sz w:val="24"/>
          <w:szCs w:val="24"/>
        </w:rPr>
        <w:t>blokkere</w:t>
      </w:r>
      <w:proofErr w:type="spellEnd"/>
      <w:r w:rsidRPr="006D6DFA">
        <w:rPr>
          <w:sz w:val="24"/>
          <w:szCs w:val="24"/>
        </w:rPr>
        <w:t xml:space="preserve">, tricykliske </w:t>
      </w:r>
      <w:proofErr w:type="spellStart"/>
      <w:r w:rsidRPr="006D6DFA">
        <w:rPr>
          <w:sz w:val="24"/>
          <w:szCs w:val="24"/>
        </w:rPr>
        <w:t>antidepressiva</w:t>
      </w:r>
      <w:proofErr w:type="spellEnd"/>
      <w:r w:rsidRPr="006D6DFA">
        <w:rPr>
          <w:sz w:val="24"/>
          <w:szCs w:val="24"/>
        </w:rPr>
        <w:t xml:space="preserve"> eller selektive </w:t>
      </w:r>
      <w:proofErr w:type="spellStart"/>
      <w:r w:rsidRPr="006D6DFA">
        <w:rPr>
          <w:sz w:val="24"/>
          <w:szCs w:val="24"/>
        </w:rPr>
        <w:t>serotoningenoptagshæmmere</w:t>
      </w:r>
      <w:proofErr w:type="spellEnd"/>
      <w:r w:rsidRPr="006D6DFA">
        <w:rPr>
          <w:sz w:val="24"/>
          <w:szCs w:val="24"/>
        </w:rPr>
        <w:t>.</w:t>
      </w:r>
    </w:p>
    <w:p w14:paraId="18DA0A23" w14:textId="77777777" w:rsidR="006D6DFA" w:rsidRPr="006D6DFA" w:rsidRDefault="006D6DFA" w:rsidP="00072DC2">
      <w:pPr>
        <w:ind w:left="851"/>
        <w:rPr>
          <w:sz w:val="24"/>
          <w:szCs w:val="24"/>
        </w:rPr>
      </w:pPr>
    </w:p>
    <w:p w14:paraId="7FC3A139" w14:textId="77777777" w:rsidR="006D6DFA" w:rsidRPr="006D6DFA" w:rsidRDefault="006D6DFA" w:rsidP="00072DC2">
      <w:pPr>
        <w:ind w:left="851"/>
        <w:rPr>
          <w:sz w:val="24"/>
          <w:szCs w:val="24"/>
        </w:rPr>
      </w:pPr>
      <w:r w:rsidRPr="006D6DFA">
        <w:rPr>
          <w:sz w:val="24"/>
          <w:szCs w:val="24"/>
        </w:rPr>
        <w:t xml:space="preserve">Perorale antikonceptionsmidler mindsker </w:t>
      </w:r>
      <w:proofErr w:type="spellStart"/>
      <w:r w:rsidRPr="006D6DFA">
        <w:rPr>
          <w:sz w:val="24"/>
          <w:szCs w:val="24"/>
        </w:rPr>
        <w:t>naratriptans</w:t>
      </w:r>
      <w:proofErr w:type="spellEnd"/>
      <w:r w:rsidRPr="006D6DFA">
        <w:rPr>
          <w:sz w:val="24"/>
          <w:szCs w:val="24"/>
        </w:rPr>
        <w:t xml:space="preserve"> totale </w:t>
      </w:r>
      <w:proofErr w:type="spellStart"/>
      <w:r w:rsidRPr="006D6DFA">
        <w:rPr>
          <w:sz w:val="24"/>
          <w:szCs w:val="24"/>
        </w:rPr>
        <w:t>clearance</w:t>
      </w:r>
      <w:proofErr w:type="spellEnd"/>
      <w:r w:rsidRPr="006D6DFA">
        <w:rPr>
          <w:sz w:val="24"/>
          <w:szCs w:val="24"/>
        </w:rPr>
        <w:t xml:space="preserve"> med 30 % og rygning øger den totale </w:t>
      </w:r>
      <w:proofErr w:type="spellStart"/>
      <w:r w:rsidRPr="006D6DFA">
        <w:rPr>
          <w:sz w:val="24"/>
          <w:szCs w:val="24"/>
        </w:rPr>
        <w:t>clearance</w:t>
      </w:r>
      <w:proofErr w:type="spellEnd"/>
      <w:r w:rsidRPr="006D6DFA">
        <w:rPr>
          <w:sz w:val="24"/>
          <w:szCs w:val="24"/>
        </w:rPr>
        <w:t xml:space="preserve"> med 30 %. Dosisjustering er ikke nødvendig.</w:t>
      </w:r>
    </w:p>
    <w:p w14:paraId="0F0D16F9" w14:textId="77777777" w:rsidR="006D6DFA" w:rsidRPr="006D6DFA" w:rsidRDefault="006D6DFA" w:rsidP="00072DC2">
      <w:pPr>
        <w:ind w:left="851"/>
        <w:rPr>
          <w:sz w:val="24"/>
          <w:szCs w:val="24"/>
        </w:rPr>
      </w:pPr>
    </w:p>
    <w:p w14:paraId="04370D53" w14:textId="77777777" w:rsidR="006D6DFA" w:rsidRPr="006D6DFA" w:rsidRDefault="006D6DFA" w:rsidP="00072DC2">
      <w:pPr>
        <w:ind w:left="851"/>
        <w:rPr>
          <w:sz w:val="24"/>
          <w:szCs w:val="24"/>
        </w:rPr>
      </w:pPr>
      <w:r w:rsidRPr="006D6DFA">
        <w:rPr>
          <w:sz w:val="24"/>
          <w:szCs w:val="24"/>
        </w:rPr>
        <w:t xml:space="preserve">Da 60 % af </w:t>
      </w:r>
      <w:proofErr w:type="spellStart"/>
      <w:r w:rsidRPr="006D6DFA">
        <w:rPr>
          <w:sz w:val="24"/>
          <w:szCs w:val="24"/>
        </w:rPr>
        <w:t>naratriptan</w:t>
      </w:r>
      <w:proofErr w:type="spellEnd"/>
      <w:r w:rsidRPr="006D6DFA">
        <w:rPr>
          <w:sz w:val="24"/>
          <w:szCs w:val="24"/>
        </w:rPr>
        <w:t xml:space="preserve"> udskilles via nyrerne med aktiv </w:t>
      </w:r>
      <w:proofErr w:type="spellStart"/>
      <w:r w:rsidRPr="006D6DFA">
        <w:rPr>
          <w:sz w:val="24"/>
          <w:szCs w:val="24"/>
        </w:rPr>
        <w:t>renal</w:t>
      </w:r>
      <w:proofErr w:type="spellEnd"/>
      <w:r w:rsidRPr="006D6DFA">
        <w:rPr>
          <w:sz w:val="24"/>
          <w:szCs w:val="24"/>
        </w:rPr>
        <w:t xml:space="preserve"> sekretion svarende til ca. 30 % af den totale </w:t>
      </w:r>
      <w:proofErr w:type="spellStart"/>
      <w:r w:rsidRPr="006D6DFA">
        <w:rPr>
          <w:sz w:val="24"/>
          <w:szCs w:val="24"/>
        </w:rPr>
        <w:t>clearance</w:t>
      </w:r>
      <w:proofErr w:type="spellEnd"/>
      <w:r w:rsidRPr="006D6DFA">
        <w:rPr>
          <w:sz w:val="24"/>
          <w:szCs w:val="24"/>
        </w:rPr>
        <w:t xml:space="preserve">, kan interaktioner med andre lægemidler, som også udskilles via nyrerne, være mulige. På grund af </w:t>
      </w:r>
      <w:proofErr w:type="spellStart"/>
      <w:r w:rsidRPr="006D6DFA">
        <w:rPr>
          <w:sz w:val="24"/>
          <w:szCs w:val="24"/>
        </w:rPr>
        <w:t>naratriptans</w:t>
      </w:r>
      <w:proofErr w:type="spellEnd"/>
      <w:r w:rsidRPr="006D6DFA">
        <w:rPr>
          <w:sz w:val="24"/>
          <w:szCs w:val="24"/>
        </w:rPr>
        <w:t xml:space="preserve"> sikkerhedsprofil er hæmning af </w:t>
      </w:r>
      <w:proofErr w:type="spellStart"/>
      <w:r w:rsidRPr="006D6DFA">
        <w:rPr>
          <w:sz w:val="24"/>
          <w:szCs w:val="24"/>
        </w:rPr>
        <w:t>naratriptansekretionen</w:t>
      </w:r>
      <w:proofErr w:type="spellEnd"/>
      <w:r w:rsidRPr="006D6DFA">
        <w:rPr>
          <w:sz w:val="24"/>
          <w:szCs w:val="24"/>
        </w:rPr>
        <w:t xml:space="preserve"> dog sandsynligvis af mindre betydning, mens muligheden for at </w:t>
      </w:r>
      <w:proofErr w:type="spellStart"/>
      <w:r w:rsidRPr="006D6DFA">
        <w:rPr>
          <w:sz w:val="24"/>
          <w:szCs w:val="24"/>
        </w:rPr>
        <w:t>naratriptan</w:t>
      </w:r>
      <w:proofErr w:type="spellEnd"/>
      <w:r w:rsidRPr="006D6DFA">
        <w:rPr>
          <w:sz w:val="24"/>
          <w:szCs w:val="24"/>
        </w:rPr>
        <w:t xml:space="preserve"> kan hæmme andre lægemidler med aktiv sekretion bør overvejes.</w:t>
      </w:r>
    </w:p>
    <w:p w14:paraId="4F06EBD7" w14:textId="77777777" w:rsidR="006D6DFA" w:rsidRPr="006D6DFA" w:rsidRDefault="006D6DFA" w:rsidP="00072DC2">
      <w:pPr>
        <w:ind w:left="851"/>
        <w:rPr>
          <w:sz w:val="24"/>
          <w:szCs w:val="24"/>
        </w:rPr>
      </w:pPr>
    </w:p>
    <w:p w14:paraId="579263E8" w14:textId="77777777" w:rsidR="006D6DFA" w:rsidRPr="006D6DFA" w:rsidRDefault="006D6DFA" w:rsidP="00072DC2">
      <w:pPr>
        <w:ind w:left="851"/>
        <w:rPr>
          <w:sz w:val="24"/>
          <w:szCs w:val="24"/>
        </w:rPr>
      </w:pPr>
      <w:r w:rsidRPr="006D6DFA">
        <w:rPr>
          <w:sz w:val="24"/>
          <w:szCs w:val="24"/>
        </w:rPr>
        <w:t xml:space="preserve">Der er begrænset dokumentation omhandlende interaktion med </w:t>
      </w:r>
      <w:proofErr w:type="spellStart"/>
      <w:r w:rsidRPr="006D6DFA">
        <w:rPr>
          <w:sz w:val="24"/>
          <w:szCs w:val="24"/>
        </w:rPr>
        <w:t>ergotamin</w:t>
      </w:r>
      <w:proofErr w:type="spellEnd"/>
      <w:r w:rsidRPr="006D6DFA">
        <w:rPr>
          <w:sz w:val="24"/>
          <w:szCs w:val="24"/>
        </w:rPr>
        <w:t xml:space="preserve">, lægemidler, som indeholder </w:t>
      </w:r>
      <w:proofErr w:type="spellStart"/>
      <w:r w:rsidRPr="006D6DFA">
        <w:rPr>
          <w:sz w:val="24"/>
          <w:szCs w:val="24"/>
        </w:rPr>
        <w:t>ergotamin</w:t>
      </w:r>
      <w:proofErr w:type="spellEnd"/>
      <w:r w:rsidRPr="006D6DFA">
        <w:rPr>
          <w:sz w:val="24"/>
          <w:szCs w:val="24"/>
        </w:rPr>
        <w:t xml:space="preserve">, </w:t>
      </w:r>
      <w:proofErr w:type="spellStart"/>
      <w:r w:rsidRPr="006D6DFA">
        <w:rPr>
          <w:sz w:val="24"/>
          <w:szCs w:val="24"/>
        </w:rPr>
        <w:t>dihydroergotamin</w:t>
      </w:r>
      <w:proofErr w:type="spellEnd"/>
      <w:r w:rsidRPr="006D6DFA">
        <w:rPr>
          <w:sz w:val="24"/>
          <w:szCs w:val="24"/>
        </w:rPr>
        <w:t xml:space="preserve"> (DHE) eller </w:t>
      </w:r>
      <w:proofErr w:type="spellStart"/>
      <w:r w:rsidRPr="006D6DFA">
        <w:rPr>
          <w:sz w:val="24"/>
          <w:szCs w:val="24"/>
        </w:rPr>
        <w:t>sumatriptan</w:t>
      </w:r>
      <w:proofErr w:type="spellEnd"/>
      <w:r w:rsidRPr="006D6DFA">
        <w:rPr>
          <w:sz w:val="24"/>
          <w:szCs w:val="24"/>
        </w:rPr>
        <w:t xml:space="preserve">. Teoretisk er der en øget risiko for koronar </w:t>
      </w:r>
      <w:proofErr w:type="spellStart"/>
      <w:r w:rsidRPr="006D6DFA">
        <w:rPr>
          <w:sz w:val="24"/>
          <w:szCs w:val="24"/>
        </w:rPr>
        <w:t>vasospasme</w:t>
      </w:r>
      <w:proofErr w:type="spellEnd"/>
      <w:r w:rsidRPr="006D6DFA">
        <w:rPr>
          <w:sz w:val="24"/>
          <w:szCs w:val="24"/>
        </w:rPr>
        <w:t xml:space="preserve"> ved samtidige administrationer med disse og 5-HT</w:t>
      </w:r>
      <w:r w:rsidRPr="006D6DFA">
        <w:rPr>
          <w:sz w:val="24"/>
          <w:szCs w:val="24"/>
          <w:vertAlign w:val="subscript"/>
        </w:rPr>
        <w:t>1</w:t>
      </w:r>
      <w:r w:rsidRPr="006D6DFA">
        <w:rPr>
          <w:sz w:val="24"/>
          <w:szCs w:val="24"/>
        </w:rPr>
        <w:t>-receptoragonister (se pkt. 4.3).</w:t>
      </w:r>
    </w:p>
    <w:p w14:paraId="260F9C17" w14:textId="77777777" w:rsidR="006D6DFA" w:rsidRPr="006D6DFA" w:rsidRDefault="006D6DFA" w:rsidP="00072DC2">
      <w:pPr>
        <w:ind w:left="851"/>
        <w:rPr>
          <w:sz w:val="24"/>
          <w:szCs w:val="24"/>
        </w:rPr>
      </w:pPr>
    </w:p>
    <w:p w14:paraId="3FE3EBE8" w14:textId="77777777" w:rsidR="006D6DFA" w:rsidRPr="006D6DFA" w:rsidRDefault="006D6DFA" w:rsidP="00072DC2">
      <w:pPr>
        <w:ind w:left="851"/>
        <w:rPr>
          <w:sz w:val="24"/>
          <w:szCs w:val="24"/>
        </w:rPr>
      </w:pPr>
      <w:r w:rsidRPr="006D6DFA">
        <w:rPr>
          <w:sz w:val="24"/>
          <w:szCs w:val="24"/>
        </w:rPr>
        <w:t xml:space="preserve">Der bør gå mindst 24 timer efter administration af </w:t>
      </w:r>
      <w:proofErr w:type="spellStart"/>
      <w:r w:rsidRPr="006D6DFA">
        <w:rPr>
          <w:sz w:val="24"/>
          <w:szCs w:val="24"/>
        </w:rPr>
        <w:t>naratriptan</w:t>
      </w:r>
      <w:proofErr w:type="spellEnd"/>
      <w:r w:rsidRPr="006D6DFA">
        <w:rPr>
          <w:sz w:val="24"/>
          <w:szCs w:val="24"/>
        </w:rPr>
        <w:t xml:space="preserve">, før der gives et lægemiddel, som indeholder </w:t>
      </w:r>
      <w:proofErr w:type="spellStart"/>
      <w:r w:rsidRPr="006D6DFA">
        <w:rPr>
          <w:sz w:val="24"/>
          <w:szCs w:val="24"/>
        </w:rPr>
        <w:t>ergotamin</w:t>
      </w:r>
      <w:proofErr w:type="spellEnd"/>
      <w:r w:rsidRPr="006D6DFA">
        <w:rPr>
          <w:sz w:val="24"/>
          <w:szCs w:val="24"/>
        </w:rPr>
        <w:t xml:space="preserve"> eller en anden triptan/5-HT</w:t>
      </w:r>
      <w:r w:rsidRPr="006D6DFA">
        <w:rPr>
          <w:sz w:val="24"/>
          <w:szCs w:val="24"/>
          <w:vertAlign w:val="subscript"/>
        </w:rPr>
        <w:t>1</w:t>
      </w:r>
      <w:r w:rsidRPr="006D6DFA">
        <w:rPr>
          <w:sz w:val="24"/>
          <w:szCs w:val="24"/>
        </w:rPr>
        <w:t xml:space="preserve">-receptoragonist. Omvendt bør der gå mindst 24 timer efter administration af et lægemiddel, som indeholder </w:t>
      </w:r>
      <w:proofErr w:type="spellStart"/>
      <w:r w:rsidRPr="006D6DFA">
        <w:rPr>
          <w:sz w:val="24"/>
          <w:szCs w:val="24"/>
        </w:rPr>
        <w:t>ergotamin</w:t>
      </w:r>
      <w:proofErr w:type="spellEnd"/>
      <w:r w:rsidRPr="006D6DFA">
        <w:rPr>
          <w:sz w:val="24"/>
          <w:szCs w:val="24"/>
        </w:rPr>
        <w:t xml:space="preserve">, før </w:t>
      </w:r>
      <w:proofErr w:type="spellStart"/>
      <w:r w:rsidRPr="006D6DFA">
        <w:rPr>
          <w:sz w:val="24"/>
          <w:szCs w:val="24"/>
        </w:rPr>
        <w:t>naratriptan</w:t>
      </w:r>
      <w:proofErr w:type="spellEnd"/>
      <w:r w:rsidRPr="006D6DFA">
        <w:rPr>
          <w:sz w:val="24"/>
          <w:szCs w:val="24"/>
        </w:rPr>
        <w:t xml:space="preserve"> gives.</w:t>
      </w:r>
    </w:p>
    <w:p w14:paraId="25DDFD0C" w14:textId="77777777" w:rsidR="006D6DFA" w:rsidRPr="006D6DFA" w:rsidRDefault="006D6DFA" w:rsidP="00072DC2">
      <w:pPr>
        <w:ind w:left="851"/>
        <w:rPr>
          <w:sz w:val="24"/>
          <w:szCs w:val="24"/>
        </w:rPr>
      </w:pPr>
    </w:p>
    <w:p w14:paraId="50418010" w14:textId="77777777" w:rsidR="006D6DFA" w:rsidRPr="006D6DFA" w:rsidRDefault="006D6DFA" w:rsidP="00072DC2">
      <w:pPr>
        <w:ind w:left="851"/>
        <w:rPr>
          <w:sz w:val="24"/>
          <w:szCs w:val="24"/>
        </w:rPr>
      </w:pPr>
      <w:r w:rsidRPr="006D6DFA">
        <w:rPr>
          <w:sz w:val="24"/>
          <w:szCs w:val="24"/>
        </w:rPr>
        <w:t xml:space="preserve">Patienter med symptomer, som er forligelige med serotoninsyndrom (herunder ændret mental status, </w:t>
      </w:r>
      <w:proofErr w:type="spellStart"/>
      <w:r w:rsidRPr="006D6DFA">
        <w:rPr>
          <w:sz w:val="24"/>
          <w:szCs w:val="24"/>
        </w:rPr>
        <w:t>autonomisk</w:t>
      </w:r>
      <w:proofErr w:type="spellEnd"/>
      <w:r w:rsidRPr="006D6DFA">
        <w:rPr>
          <w:sz w:val="24"/>
          <w:szCs w:val="24"/>
        </w:rPr>
        <w:t xml:space="preserve"> uligevægt og </w:t>
      </w:r>
      <w:proofErr w:type="spellStart"/>
      <w:r w:rsidRPr="006D6DFA">
        <w:rPr>
          <w:sz w:val="24"/>
          <w:szCs w:val="24"/>
        </w:rPr>
        <w:t>neuromuskulære</w:t>
      </w:r>
      <w:proofErr w:type="spellEnd"/>
      <w:r w:rsidRPr="006D6DFA">
        <w:rPr>
          <w:sz w:val="24"/>
          <w:szCs w:val="24"/>
        </w:rPr>
        <w:t xml:space="preserve"> </w:t>
      </w:r>
      <w:proofErr w:type="spellStart"/>
      <w:r w:rsidRPr="006D6DFA">
        <w:rPr>
          <w:sz w:val="24"/>
          <w:szCs w:val="24"/>
        </w:rPr>
        <w:t>abnormaliteter</w:t>
      </w:r>
      <w:proofErr w:type="spellEnd"/>
      <w:r w:rsidRPr="006D6DFA">
        <w:rPr>
          <w:sz w:val="24"/>
          <w:szCs w:val="24"/>
        </w:rPr>
        <w:t xml:space="preserve">) er rapporteret efter behandling med selektive serotonin </w:t>
      </w:r>
      <w:proofErr w:type="spellStart"/>
      <w:r w:rsidRPr="006D6DFA">
        <w:rPr>
          <w:sz w:val="24"/>
          <w:szCs w:val="24"/>
        </w:rPr>
        <w:t>genoptagshæmmere</w:t>
      </w:r>
      <w:proofErr w:type="spellEnd"/>
      <w:r w:rsidRPr="006D6DFA">
        <w:rPr>
          <w:sz w:val="24"/>
          <w:szCs w:val="24"/>
        </w:rPr>
        <w:t xml:space="preserve"> (</w:t>
      </w:r>
      <w:proofErr w:type="spellStart"/>
      <w:r w:rsidRPr="006D6DFA">
        <w:rPr>
          <w:sz w:val="24"/>
          <w:szCs w:val="24"/>
        </w:rPr>
        <w:t>SSRI’er</w:t>
      </w:r>
      <w:proofErr w:type="spellEnd"/>
      <w:r w:rsidRPr="006D6DFA">
        <w:rPr>
          <w:sz w:val="24"/>
          <w:szCs w:val="24"/>
        </w:rPr>
        <w:t xml:space="preserve">) eller serotonin noradrenalin </w:t>
      </w:r>
      <w:proofErr w:type="spellStart"/>
      <w:r w:rsidRPr="006D6DFA">
        <w:rPr>
          <w:sz w:val="24"/>
          <w:szCs w:val="24"/>
        </w:rPr>
        <w:t>genoptagshæmmere</w:t>
      </w:r>
      <w:proofErr w:type="spellEnd"/>
      <w:r w:rsidRPr="006D6DFA">
        <w:rPr>
          <w:sz w:val="24"/>
          <w:szCs w:val="24"/>
        </w:rPr>
        <w:t xml:space="preserve"> (</w:t>
      </w:r>
      <w:proofErr w:type="spellStart"/>
      <w:r w:rsidRPr="006D6DFA">
        <w:rPr>
          <w:sz w:val="24"/>
          <w:szCs w:val="24"/>
        </w:rPr>
        <w:t>SNRI’er</w:t>
      </w:r>
      <w:proofErr w:type="spellEnd"/>
      <w:r w:rsidRPr="006D6DFA">
        <w:rPr>
          <w:sz w:val="24"/>
          <w:szCs w:val="24"/>
        </w:rPr>
        <w:t xml:space="preserve">) og </w:t>
      </w:r>
      <w:proofErr w:type="spellStart"/>
      <w:r w:rsidRPr="006D6DFA">
        <w:rPr>
          <w:sz w:val="24"/>
          <w:szCs w:val="24"/>
        </w:rPr>
        <w:t>triptaner</w:t>
      </w:r>
      <w:proofErr w:type="spellEnd"/>
      <w:r w:rsidRPr="006D6DFA">
        <w:rPr>
          <w:sz w:val="24"/>
          <w:szCs w:val="24"/>
        </w:rPr>
        <w:t xml:space="preserve"> (se pkt. 4.4).</w:t>
      </w:r>
    </w:p>
    <w:p w14:paraId="1F2BF81E" w14:textId="77777777" w:rsidR="009260DE" w:rsidRPr="00C84483" w:rsidRDefault="009260DE" w:rsidP="00072DC2">
      <w:pPr>
        <w:ind w:left="851"/>
        <w:rPr>
          <w:sz w:val="24"/>
          <w:szCs w:val="24"/>
        </w:rPr>
      </w:pPr>
    </w:p>
    <w:p w14:paraId="74DA6040"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4FC40477" w14:textId="77777777" w:rsidR="00B77A34" w:rsidRDefault="00B77A34" w:rsidP="00072DC2">
      <w:pPr>
        <w:ind w:left="851"/>
        <w:rPr>
          <w:sz w:val="24"/>
          <w:szCs w:val="24"/>
          <w:u w:val="single"/>
        </w:rPr>
      </w:pPr>
    </w:p>
    <w:p w14:paraId="22A736F1" w14:textId="695A7EEC" w:rsidR="006D6DFA" w:rsidRPr="006D6DFA" w:rsidRDefault="006D6DFA" w:rsidP="00072DC2">
      <w:pPr>
        <w:ind w:left="851"/>
        <w:rPr>
          <w:sz w:val="24"/>
          <w:szCs w:val="24"/>
          <w:u w:val="single"/>
        </w:rPr>
      </w:pPr>
      <w:r w:rsidRPr="006D6DFA">
        <w:rPr>
          <w:sz w:val="24"/>
          <w:szCs w:val="24"/>
          <w:u w:val="single"/>
        </w:rPr>
        <w:t>Graviditet</w:t>
      </w:r>
    </w:p>
    <w:p w14:paraId="03F391F2" w14:textId="77777777" w:rsidR="006D6DFA" w:rsidRPr="006D6DFA" w:rsidRDefault="006D6DFA" w:rsidP="00072DC2">
      <w:pPr>
        <w:ind w:left="851"/>
        <w:rPr>
          <w:sz w:val="24"/>
          <w:szCs w:val="24"/>
        </w:rPr>
      </w:pPr>
      <w:r w:rsidRPr="006D6DFA">
        <w:rPr>
          <w:sz w:val="24"/>
          <w:szCs w:val="24"/>
        </w:rPr>
        <w:t xml:space="preserve">Dyreeksperimentelle undersøgelser tyder ikke på nogen direkte </w:t>
      </w:r>
      <w:proofErr w:type="spellStart"/>
      <w:r w:rsidRPr="006D6DFA">
        <w:rPr>
          <w:sz w:val="24"/>
          <w:szCs w:val="24"/>
        </w:rPr>
        <w:t>teratogen</w:t>
      </w:r>
      <w:proofErr w:type="spellEnd"/>
      <w:r w:rsidRPr="006D6DFA">
        <w:rPr>
          <w:sz w:val="24"/>
          <w:szCs w:val="24"/>
        </w:rPr>
        <w:t xml:space="preserve"> effekt. Hos kaniner er der imidlertid observeret forsinket </w:t>
      </w:r>
      <w:proofErr w:type="spellStart"/>
      <w:r w:rsidRPr="006D6DFA">
        <w:rPr>
          <w:sz w:val="24"/>
          <w:szCs w:val="24"/>
        </w:rPr>
        <w:t>ossifikation</w:t>
      </w:r>
      <w:proofErr w:type="spellEnd"/>
      <w:r w:rsidRPr="006D6DFA">
        <w:rPr>
          <w:sz w:val="24"/>
          <w:szCs w:val="24"/>
        </w:rPr>
        <w:t xml:space="preserve"> hos fostret og mulig påvirkning af embryoets levedygtighed.</w:t>
      </w:r>
    </w:p>
    <w:p w14:paraId="3232B4F3" w14:textId="77777777" w:rsidR="006D6DFA" w:rsidRPr="006D6DFA" w:rsidRDefault="006D6DFA" w:rsidP="00072DC2">
      <w:pPr>
        <w:ind w:left="851"/>
        <w:rPr>
          <w:sz w:val="24"/>
          <w:szCs w:val="24"/>
        </w:rPr>
      </w:pPr>
    </w:p>
    <w:p w14:paraId="5E54A56B" w14:textId="77777777" w:rsidR="006D6DFA" w:rsidRPr="006D6DFA" w:rsidRDefault="006D6DFA" w:rsidP="00072DC2">
      <w:pPr>
        <w:ind w:left="851"/>
        <w:rPr>
          <w:sz w:val="24"/>
          <w:szCs w:val="24"/>
        </w:rPr>
      </w:pPr>
      <w:r w:rsidRPr="006D6DFA">
        <w:rPr>
          <w:sz w:val="24"/>
          <w:szCs w:val="24"/>
        </w:rPr>
        <w:t xml:space="preserve">Data efter markedsføring fra prospektive graviditetsregistre har dokumenteret udfaldet af graviditeter hos færre end 60 kvinder, der var eksponeret for </w:t>
      </w:r>
      <w:proofErr w:type="spellStart"/>
      <w:r w:rsidRPr="006D6DFA">
        <w:rPr>
          <w:sz w:val="24"/>
          <w:szCs w:val="24"/>
        </w:rPr>
        <w:t>naratriptan</w:t>
      </w:r>
      <w:proofErr w:type="spellEnd"/>
      <w:r w:rsidRPr="006D6DFA">
        <w:rPr>
          <w:sz w:val="24"/>
          <w:szCs w:val="24"/>
        </w:rPr>
        <w:t xml:space="preserve">. På grund af det begrænsede antal kan der ikke gives en definitiv konklusion vedrørende risikoen for fødselsdefekter efter eksponering for </w:t>
      </w:r>
      <w:proofErr w:type="spellStart"/>
      <w:r w:rsidRPr="006D6DFA">
        <w:rPr>
          <w:sz w:val="24"/>
          <w:szCs w:val="24"/>
        </w:rPr>
        <w:t>naratriptan</w:t>
      </w:r>
      <w:proofErr w:type="spellEnd"/>
      <w:r w:rsidRPr="006D6DFA">
        <w:rPr>
          <w:sz w:val="24"/>
          <w:szCs w:val="24"/>
        </w:rPr>
        <w:t>.</w:t>
      </w:r>
    </w:p>
    <w:p w14:paraId="705ADD39" w14:textId="77777777" w:rsidR="006D6DFA" w:rsidRPr="006D6DFA" w:rsidRDefault="006D6DFA" w:rsidP="00072DC2">
      <w:pPr>
        <w:ind w:left="851"/>
        <w:rPr>
          <w:sz w:val="24"/>
          <w:szCs w:val="24"/>
        </w:rPr>
      </w:pPr>
    </w:p>
    <w:p w14:paraId="68E5CE5D" w14:textId="77777777" w:rsidR="006D6DFA" w:rsidRPr="006D6DFA" w:rsidRDefault="006D6DFA" w:rsidP="00072DC2">
      <w:pPr>
        <w:ind w:left="851"/>
        <w:rPr>
          <w:sz w:val="24"/>
          <w:szCs w:val="24"/>
        </w:rPr>
      </w:pPr>
      <w:r w:rsidRPr="006D6DFA">
        <w:rPr>
          <w:sz w:val="24"/>
          <w:szCs w:val="24"/>
        </w:rPr>
        <w:t xml:space="preserve">Brug af </w:t>
      </w:r>
      <w:proofErr w:type="spellStart"/>
      <w:r w:rsidRPr="006D6DFA">
        <w:rPr>
          <w:sz w:val="24"/>
          <w:szCs w:val="24"/>
        </w:rPr>
        <w:t>naratriptan</w:t>
      </w:r>
      <w:proofErr w:type="spellEnd"/>
      <w:r w:rsidRPr="006D6DFA">
        <w:rPr>
          <w:sz w:val="24"/>
          <w:szCs w:val="24"/>
        </w:rPr>
        <w:t xml:space="preserve"> under graviditet bør kun overvejes, hvis den forventede fordel for moderen er større end en mulig risiko for fostret.</w:t>
      </w:r>
    </w:p>
    <w:p w14:paraId="532AACF6" w14:textId="77777777" w:rsidR="006D6DFA" w:rsidRPr="006D6DFA" w:rsidRDefault="006D6DFA" w:rsidP="00072DC2">
      <w:pPr>
        <w:ind w:left="851"/>
        <w:rPr>
          <w:sz w:val="24"/>
          <w:szCs w:val="24"/>
        </w:rPr>
      </w:pPr>
    </w:p>
    <w:p w14:paraId="273A37C7" w14:textId="77777777" w:rsidR="006D6DFA" w:rsidRPr="006D6DFA" w:rsidRDefault="006D6DFA" w:rsidP="00072DC2">
      <w:pPr>
        <w:ind w:left="851"/>
        <w:rPr>
          <w:sz w:val="24"/>
          <w:szCs w:val="24"/>
          <w:u w:val="single"/>
        </w:rPr>
      </w:pPr>
      <w:r w:rsidRPr="006D6DFA">
        <w:rPr>
          <w:sz w:val="24"/>
          <w:szCs w:val="24"/>
          <w:u w:val="single"/>
        </w:rPr>
        <w:t>Amning</w:t>
      </w:r>
    </w:p>
    <w:p w14:paraId="7F7AA209" w14:textId="77777777" w:rsidR="006D6DFA" w:rsidRPr="006D6DFA" w:rsidRDefault="006D6DFA" w:rsidP="00072DC2">
      <w:pPr>
        <w:ind w:left="851"/>
        <w:rPr>
          <w:sz w:val="24"/>
          <w:szCs w:val="24"/>
        </w:rPr>
      </w:pPr>
      <w:proofErr w:type="spellStart"/>
      <w:r w:rsidRPr="006D6DFA">
        <w:rPr>
          <w:sz w:val="24"/>
          <w:szCs w:val="24"/>
        </w:rPr>
        <w:t>Naratriptan</w:t>
      </w:r>
      <w:proofErr w:type="spellEnd"/>
      <w:r w:rsidRPr="006D6DFA">
        <w:rPr>
          <w:sz w:val="24"/>
          <w:szCs w:val="24"/>
        </w:rPr>
        <w:t xml:space="preserve"> og/eller dets metabolitter udskilles i mælken hos diegivende rotter. Forbigående påvirkning af den peri- og </w:t>
      </w:r>
      <w:proofErr w:type="spellStart"/>
      <w:r w:rsidRPr="006D6DFA">
        <w:rPr>
          <w:sz w:val="24"/>
          <w:szCs w:val="24"/>
        </w:rPr>
        <w:t>postnatale</w:t>
      </w:r>
      <w:proofErr w:type="spellEnd"/>
      <w:r w:rsidRPr="006D6DFA">
        <w:rPr>
          <w:sz w:val="24"/>
          <w:szCs w:val="24"/>
        </w:rPr>
        <w:t xml:space="preserve"> udvikling hos nyfødte rotter blev kun observeret ved </w:t>
      </w:r>
      <w:proofErr w:type="spellStart"/>
      <w:r w:rsidRPr="006D6DFA">
        <w:rPr>
          <w:sz w:val="24"/>
          <w:szCs w:val="24"/>
        </w:rPr>
        <w:t>maternel</w:t>
      </w:r>
      <w:proofErr w:type="spellEnd"/>
      <w:r w:rsidRPr="006D6DFA">
        <w:rPr>
          <w:sz w:val="24"/>
          <w:szCs w:val="24"/>
        </w:rPr>
        <w:t xml:space="preserve"> eksponering som overstiger den maksimale humane eksponering. Der er ikke udført studier hos ammende kvinder med det formål at bestemme udskillelse af </w:t>
      </w:r>
      <w:proofErr w:type="spellStart"/>
      <w:r w:rsidRPr="006D6DFA">
        <w:rPr>
          <w:sz w:val="24"/>
          <w:szCs w:val="24"/>
        </w:rPr>
        <w:t>naratriptan</w:t>
      </w:r>
      <w:proofErr w:type="spellEnd"/>
      <w:r w:rsidRPr="006D6DFA">
        <w:rPr>
          <w:sz w:val="24"/>
          <w:szCs w:val="24"/>
        </w:rPr>
        <w:t xml:space="preserve"> i modermælken. For at minimere spædbarnets eksponering anbefales det, at amning undgås 24 timer efter behandling.</w:t>
      </w:r>
    </w:p>
    <w:p w14:paraId="64129A78" w14:textId="77777777" w:rsidR="009260DE" w:rsidRPr="00C84483" w:rsidRDefault="009260DE" w:rsidP="009260DE">
      <w:pPr>
        <w:tabs>
          <w:tab w:val="left" w:pos="851"/>
        </w:tabs>
        <w:ind w:left="851"/>
        <w:rPr>
          <w:sz w:val="24"/>
          <w:szCs w:val="24"/>
        </w:rPr>
      </w:pPr>
    </w:p>
    <w:p w14:paraId="38BCEA80"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3B40C264" w14:textId="77777777" w:rsidR="006D6DFA" w:rsidRPr="006D6DFA" w:rsidRDefault="006D6DFA" w:rsidP="00072DC2">
      <w:pPr>
        <w:ind w:left="851"/>
        <w:rPr>
          <w:sz w:val="24"/>
          <w:szCs w:val="24"/>
        </w:rPr>
      </w:pPr>
      <w:r w:rsidRPr="006D6DFA">
        <w:rPr>
          <w:sz w:val="24"/>
          <w:szCs w:val="24"/>
        </w:rPr>
        <w:t>Ikke mærkning.</w:t>
      </w:r>
    </w:p>
    <w:p w14:paraId="3E6E3C29" w14:textId="77777777" w:rsidR="006D6DFA" w:rsidRPr="006D6DFA" w:rsidRDefault="006D6DFA" w:rsidP="00072DC2">
      <w:pPr>
        <w:ind w:left="851"/>
        <w:rPr>
          <w:sz w:val="24"/>
          <w:szCs w:val="24"/>
        </w:rPr>
      </w:pPr>
    </w:p>
    <w:p w14:paraId="2606D5D3" w14:textId="77777777" w:rsidR="006D6DFA" w:rsidRPr="006D6DFA" w:rsidRDefault="006D6DFA" w:rsidP="00072DC2">
      <w:pPr>
        <w:ind w:left="851"/>
        <w:rPr>
          <w:sz w:val="24"/>
          <w:szCs w:val="24"/>
        </w:rPr>
      </w:pPr>
      <w:r w:rsidRPr="006D6DFA">
        <w:rPr>
          <w:sz w:val="24"/>
          <w:szCs w:val="24"/>
        </w:rPr>
        <w:t xml:space="preserve">Der er ikke udført undersøgelser vedrørende virkningen på evnen til at føre motorkøretøj og betjene maskiner. Der kan forekomme døsighed som et resultat af migræne eller behandlingen med </w:t>
      </w:r>
      <w:proofErr w:type="spellStart"/>
      <w:r w:rsidRPr="006D6DFA">
        <w:rPr>
          <w:sz w:val="24"/>
          <w:szCs w:val="24"/>
        </w:rPr>
        <w:t>naratriptan</w:t>
      </w:r>
      <w:proofErr w:type="spellEnd"/>
      <w:r w:rsidRPr="006D6DFA">
        <w:rPr>
          <w:sz w:val="24"/>
          <w:szCs w:val="24"/>
        </w:rPr>
        <w:t xml:space="preserve">. Forsigtighed tilrådes, når der skal udføres </w:t>
      </w:r>
      <w:proofErr w:type="spellStart"/>
      <w:r w:rsidRPr="006D6DFA">
        <w:rPr>
          <w:sz w:val="24"/>
          <w:szCs w:val="24"/>
        </w:rPr>
        <w:t>opmærksomheds-krævende</w:t>
      </w:r>
      <w:proofErr w:type="spellEnd"/>
      <w:r w:rsidRPr="006D6DFA">
        <w:rPr>
          <w:sz w:val="24"/>
          <w:szCs w:val="24"/>
        </w:rPr>
        <w:t xml:space="preserve"> arbejde (f.eks. bilkørsel eller betjening af maskiner).</w:t>
      </w:r>
    </w:p>
    <w:p w14:paraId="50D4AADB" w14:textId="77777777" w:rsidR="009260DE" w:rsidRPr="00C84483" w:rsidRDefault="009260DE" w:rsidP="009260DE">
      <w:pPr>
        <w:tabs>
          <w:tab w:val="left" w:pos="851"/>
        </w:tabs>
        <w:ind w:left="851"/>
        <w:rPr>
          <w:sz w:val="24"/>
          <w:szCs w:val="24"/>
        </w:rPr>
      </w:pPr>
    </w:p>
    <w:p w14:paraId="09AB77AB"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78A0F1DB" w14:textId="77777777" w:rsidR="006D6DFA" w:rsidRPr="006D6DFA" w:rsidRDefault="006D6DFA" w:rsidP="00072DC2">
      <w:pPr>
        <w:ind w:left="851"/>
        <w:rPr>
          <w:sz w:val="24"/>
          <w:szCs w:val="24"/>
        </w:rPr>
      </w:pPr>
      <w:r w:rsidRPr="006D6DFA">
        <w:rPr>
          <w:sz w:val="24"/>
          <w:szCs w:val="24"/>
        </w:rPr>
        <w:t>Nogle af symptomerne kan udgøre en del af migræne-anfaldet.</w:t>
      </w:r>
    </w:p>
    <w:p w14:paraId="516B602F" w14:textId="77777777" w:rsidR="006D6DFA" w:rsidRPr="006D6DFA" w:rsidRDefault="006D6DFA" w:rsidP="00072DC2">
      <w:pPr>
        <w:ind w:left="851"/>
        <w:rPr>
          <w:sz w:val="24"/>
          <w:szCs w:val="24"/>
        </w:rPr>
      </w:pPr>
    </w:p>
    <w:p w14:paraId="1F55CE35" w14:textId="77777777" w:rsidR="006D6DFA" w:rsidRPr="006D6DFA" w:rsidRDefault="006D6DFA" w:rsidP="00072DC2">
      <w:pPr>
        <w:ind w:left="851"/>
        <w:rPr>
          <w:sz w:val="24"/>
          <w:szCs w:val="24"/>
        </w:rPr>
      </w:pPr>
      <w:r w:rsidRPr="006D6DFA">
        <w:rPr>
          <w:sz w:val="24"/>
          <w:szCs w:val="24"/>
        </w:rPr>
        <w:t>Bivirkningerne er inddelt under overskrifter efter hyppighed ved hjælp af følgende konvention: meget almindelig (≥1/10), almindelig (≥1/100 til &lt;1/10), ikke almindelig (≥1/1.000 til &lt;1/100), sjælden (≥1/10.000 til &lt;1/1.000) og meget sjælden (&lt;1/10.000).</w:t>
      </w:r>
    </w:p>
    <w:p w14:paraId="39D486A5" w14:textId="77777777" w:rsidR="006D6DFA" w:rsidRPr="006D6DFA" w:rsidRDefault="006D6DFA" w:rsidP="006D6DFA">
      <w:pPr>
        <w:tabs>
          <w:tab w:val="left" w:pos="851"/>
        </w:tabs>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6252"/>
      </w:tblGrid>
      <w:tr w:rsidR="006D6DFA" w:rsidRPr="003B55C8" w14:paraId="5285BD50" w14:textId="77777777" w:rsidTr="00FC01B2">
        <w:trPr>
          <w:trHeight w:val="259"/>
        </w:trPr>
        <w:tc>
          <w:tcPr>
            <w:tcW w:w="5000" w:type="pct"/>
            <w:gridSpan w:val="2"/>
            <w:tcBorders>
              <w:top w:val="single" w:sz="4" w:space="0" w:color="auto"/>
              <w:left w:val="single" w:sz="4" w:space="0" w:color="auto"/>
              <w:bottom w:val="single" w:sz="4" w:space="0" w:color="auto"/>
              <w:right w:val="single" w:sz="4" w:space="0" w:color="auto"/>
            </w:tcBorders>
            <w:hideMark/>
          </w:tcPr>
          <w:p w14:paraId="293E350B" w14:textId="77777777" w:rsidR="006D6DFA" w:rsidRPr="003B55C8" w:rsidRDefault="006D6DFA" w:rsidP="00FC01B2">
            <w:pPr>
              <w:ind w:left="32"/>
              <w:rPr>
                <w:b/>
                <w:bCs/>
                <w:iCs/>
                <w:sz w:val="24"/>
                <w:szCs w:val="24"/>
              </w:rPr>
            </w:pPr>
            <w:bookmarkStart w:id="1" w:name="_Hlk220610028"/>
            <w:r w:rsidRPr="003B55C8">
              <w:rPr>
                <w:b/>
                <w:bCs/>
                <w:iCs/>
                <w:sz w:val="24"/>
                <w:szCs w:val="24"/>
              </w:rPr>
              <w:t>Immunsystemet</w:t>
            </w:r>
          </w:p>
        </w:tc>
      </w:tr>
      <w:tr w:rsidR="006D6DFA" w:rsidRPr="003B55C8" w14:paraId="4ED07666" w14:textId="77777777" w:rsidTr="00FC01B2">
        <w:trPr>
          <w:trHeight w:val="189"/>
        </w:trPr>
        <w:tc>
          <w:tcPr>
            <w:tcW w:w="1753" w:type="pct"/>
            <w:tcBorders>
              <w:top w:val="single" w:sz="4" w:space="0" w:color="auto"/>
              <w:left w:val="single" w:sz="4" w:space="0" w:color="auto"/>
              <w:bottom w:val="single" w:sz="4" w:space="0" w:color="auto"/>
              <w:right w:val="single" w:sz="4" w:space="0" w:color="auto"/>
            </w:tcBorders>
            <w:hideMark/>
          </w:tcPr>
          <w:p w14:paraId="6FBC897D" w14:textId="77777777" w:rsidR="006D6DFA" w:rsidRPr="003B55C8" w:rsidRDefault="006D6DFA" w:rsidP="00FC01B2">
            <w:pPr>
              <w:ind w:left="32"/>
              <w:rPr>
                <w:sz w:val="24"/>
                <w:szCs w:val="24"/>
              </w:rPr>
            </w:pPr>
            <w:r w:rsidRPr="003B55C8">
              <w:rPr>
                <w:sz w:val="24"/>
                <w:szCs w:val="24"/>
              </w:rPr>
              <w:t>Sjælden:</w:t>
            </w:r>
          </w:p>
        </w:tc>
        <w:tc>
          <w:tcPr>
            <w:tcW w:w="3247" w:type="pct"/>
            <w:tcBorders>
              <w:top w:val="single" w:sz="4" w:space="0" w:color="auto"/>
              <w:left w:val="single" w:sz="4" w:space="0" w:color="auto"/>
              <w:bottom w:val="single" w:sz="4" w:space="0" w:color="auto"/>
              <w:right w:val="single" w:sz="4" w:space="0" w:color="auto"/>
            </w:tcBorders>
            <w:hideMark/>
          </w:tcPr>
          <w:p w14:paraId="2EF3820A" w14:textId="77777777" w:rsidR="006D6DFA" w:rsidRPr="003B55C8" w:rsidRDefault="006D6DFA" w:rsidP="00FC01B2">
            <w:pPr>
              <w:ind w:left="32"/>
              <w:rPr>
                <w:sz w:val="24"/>
                <w:szCs w:val="24"/>
              </w:rPr>
            </w:pPr>
            <w:r w:rsidRPr="003B55C8">
              <w:rPr>
                <w:sz w:val="24"/>
                <w:szCs w:val="24"/>
              </w:rPr>
              <w:t>Anafylaksi</w:t>
            </w:r>
          </w:p>
        </w:tc>
      </w:tr>
      <w:tr w:rsidR="006D6DFA" w:rsidRPr="003B55C8" w14:paraId="76072E4C" w14:textId="77777777" w:rsidTr="00FC01B2">
        <w:trPr>
          <w:trHeight w:val="278"/>
        </w:trPr>
        <w:tc>
          <w:tcPr>
            <w:tcW w:w="5000" w:type="pct"/>
            <w:gridSpan w:val="2"/>
            <w:tcBorders>
              <w:top w:val="single" w:sz="4" w:space="0" w:color="auto"/>
              <w:left w:val="single" w:sz="4" w:space="0" w:color="auto"/>
              <w:bottom w:val="single" w:sz="4" w:space="0" w:color="auto"/>
              <w:right w:val="single" w:sz="4" w:space="0" w:color="auto"/>
            </w:tcBorders>
            <w:hideMark/>
          </w:tcPr>
          <w:p w14:paraId="2E5B0CCF" w14:textId="77777777" w:rsidR="006D6DFA" w:rsidRPr="003B55C8" w:rsidRDefault="006D6DFA" w:rsidP="00FC01B2">
            <w:pPr>
              <w:ind w:left="32"/>
              <w:rPr>
                <w:b/>
                <w:bCs/>
                <w:iCs/>
                <w:sz w:val="24"/>
                <w:szCs w:val="24"/>
              </w:rPr>
            </w:pPr>
            <w:r w:rsidRPr="003B55C8">
              <w:rPr>
                <w:b/>
                <w:bCs/>
                <w:iCs/>
                <w:sz w:val="24"/>
                <w:szCs w:val="24"/>
              </w:rPr>
              <w:t>Nervesystemet</w:t>
            </w:r>
          </w:p>
        </w:tc>
      </w:tr>
      <w:tr w:rsidR="006D6DFA" w:rsidRPr="003B55C8" w14:paraId="3B01F053" w14:textId="77777777" w:rsidTr="00FC01B2">
        <w:trPr>
          <w:trHeight w:val="278"/>
        </w:trPr>
        <w:tc>
          <w:tcPr>
            <w:tcW w:w="1753" w:type="pct"/>
            <w:tcBorders>
              <w:top w:val="single" w:sz="4" w:space="0" w:color="auto"/>
              <w:left w:val="single" w:sz="4" w:space="0" w:color="auto"/>
              <w:bottom w:val="single" w:sz="4" w:space="0" w:color="auto"/>
              <w:right w:val="single" w:sz="4" w:space="0" w:color="auto"/>
            </w:tcBorders>
            <w:hideMark/>
          </w:tcPr>
          <w:p w14:paraId="0C88164B" w14:textId="77777777" w:rsidR="006D6DFA" w:rsidRPr="003B55C8" w:rsidRDefault="006D6DFA" w:rsidP="00FC01B2">
            <w:pPr>
              <w:ind w:left="32"/>
              <w:rPr>
                <w:sz w:val="24"/>
                <w:szCs w:val="24"/>
              </w:rPr>
            </w:pPr>
            <w:r w:rsidRPr="003B55C8">
              <w:rPr>
                <w:sz w:val="24"/>
                <w:szCs w:val="24"/>
              </w:rPr>
              <w:t>Almindelig:</w:t>
            </w:r>
          </w:p>
        </w:tc>
        <w:tc>
          <w:tcPr>
            <w:tcW w:w="3247" w:type="pct"/>
            <w:tcBorders>
              <w:top w:val="single" w:sz="4" w:space="0" w:color="auto"/>
              <w:left w:val="single" w:sz="4" w:space="0" w:color="auto"/>
              <w:bottom w:val="single" w:sz="4" w:space="0" w:color="auto"/>
              <w:right w:val="single" w:sz="4" w:space="0" w:color="auto"/>
            </w:tcBorders>
            <w:hideMark/>
          </w:tcPr>
          <w:p w14:paraId="5BCBF850" w14:textId="77777777" w:rsidR="006D6DFA" w:rsidRPr="003B55C8" w:rsidRDefault="006D6DFA" w:rsidP="00FC01B2">
            <w:pPr>
              <w:ind w:left="32"/>
              <w:rPr>
                <w:sz w:val="24"/>
                <w:szCs w:val="24"/>
              </w:rPr>
            </w:pPr>
            <w:r w:rsidRPr="003B55C8">
              <w:rPr>
                <w:sz w:val="24"/>
                <w:szCs w:val="24"/>
              </w:rPr>
              <w:t>Snurrende fornemmelse, svimmelhed og døsighed</w:t>
            </w:r>
          </w:p>
        </w:tc>
      </w:tr>
      <w:tr w:rsidR="006D6DFA" w:rsidRPr="003B55C8" w14:paraId="7AEA51F6" w14:textId="77777777" w:rsidTr="00FC01B2">
        <w:trPr>
          <w:trHeight w:val="202"/>
        </w:trPr>
        <w:tc>
          <w:tcPr>
            <w:tcW w:w="1753" w:type="pct"/>
            <w:tcBorders>
              <w:top w:val="single" w:sz="4" w:space="0" w:color="auto"/>
              <w:left w:val="single" w:sz="4" w:space="0" w:color="auto"/>
              <w:bottom w:val="single" w:sz="4" w:space="0" w:color="auto"/>
              <w:right w:val="single" w:sz="4" w:space="0" w:color="auto"/>
            </w:tcBorders>
            <w:hideMark/>
          </w:tcPr>
          <w:p w14:paraId="546D8322" w14:textId="77777777" w:rsidR="006D6DFA" w:rsidRPr="003B55C8" w:rsidRDefault="006D6DFA" w:rsidP="00FC01B2">
            <w:pPr>
              <w:ind w:left="32"/>
              <w:rPr>
                <w:sz w:val="24"/>
                <w:szCs w:val="24"/>
              </w:rPr>
            </w:pPr>
            <w:r w:rsidRPr="003B55C8">
              <w:rPr>
                <w:sz w:val="24"/>
                <w:szCs w:val="24"/>
              </w:rPr>
              <w:t>Sjælden:</w:t>
            </w:r>
          </w:p>
        </w:tc>
        <w:tc>
          <w:tcPr>
            <w:tcW w:w="3247" w:type="pct"/>
            <w:tcBorders>
              <w:top w:val="single" w:sz="4" w:space="0" w:color="auto"/>
              <w:left w:val="single" w:sz="4" w:space="0" w:color="auto"/>
              <w:bottom w:val="single" w:sz="4" w:space="0" w:color="auto"/>
              <w:right w:val="single" w:sz="4" w:space="0" w:color="auto"/>
            </w:tcBorders>
            <w:hideMark/>
          </w:tcPr>
          <w:p w14:paraId="084C872C" w14:textId="77777777" w:rsidR="006D6DFA" w:rsidRPr="003B55C8" w:rsidRDefault="006D6DFA" w:rsidP="00FC01B2">
            <w:pPr>
              <w:ind w:left="32"/>
              <w:rPr>
                <w:sz w:val="24"/>
                <w:szCs w:val="24"/>
              </w:rPr>
            </w:pPr>
            <w:proofErr w:type="spellStart"/>
            <w:r w:rsidRPr="003B55C8">
              <w:rPr>
                <w:sz w:val="24"/>
                <w:szCs w:val="24"/>
              </w:rPr>
              <w:t>Somnolens</w:t>
            </w:r>
            <w:proofErr w:type="spellEnd"/>
          </w:p>
        </w:tc>
      </w:tr>
      <w:tr w:rsidR="006D6DFA" w:rsidRPr="003B55C8" w14:paraId="5130BC3B" w14:textId="77777777" w:rsidTr="00FC01B2">
        <w:trPr>
          <w:trHeight w:val="278"/>
        </w:trPr>
        <w:tc>
          <w:tcPr>
            <w:tcW w:w="5000" w:type="pct"/>
            <w:gridSpan w:val="2"/>
            <w:tcBorders>
              <w:top w:val="single" w:sz="4" w:space="0" w:color="auto"/>
              <w:left w:val="single" w:sz="4" w:space="0" w:color="auto"/>
              <w:bottom w:val="single" w:sz="4" w:space="0" w:color="auto"/>
              <w:right w:val="single" w:sz="4" w:space="0" w:color="auto"/>
            </w:tcBorders>
            <w:hideMark/>
          </w:tcPr>
          <w:p w14:paraId="0A57464D" w14:textId="77777777" w:rsidR="006D6DFA" w:rsidRPr="003B55C8" w:rsidRDefault="006D6DFA" w:rsidP="00FC01B2">
            <w:pPr>
              <w:ind w:left="32"/>
              <w:rPr>
                <w:b/>
                <w:bCs/>
                <w:iCs/>
                <w:sz w:val="24"/>
                <w:szCs w:val="24"/>
              </w:rPr>
            </w:pPr>
            <w:r w:rsidRPr="003B55C8">
              <w:rPr>
                <w:b/>
                <w:bCs/>
                <w:iCs/>
                <w:sz w:val="24"/>
                <w:szCs w:val="24"/>
              </w:rPr>
              <w:t>Øjne</w:t>
            </w:r>
          </w:p>
        </w:tc>
      </w:tr>
      <w:tr w:rsidR="006D6DFA" w:rsidRPr="003B55C8" w14:paraId="08A19A45" w14:textId="77777777" w:rsidTr="00FC01B2">
        <w:trPr>
          <w:trHeight w:val="366"/>
        </w:trPr>
        <w:tc>
          <w:tcPr>
            <w:tcW w:w="1753" w:type="pct"/>
            <w:tcBorders>
              <w:top w:val="single" w:sz="4" w:space="0" w:color="auto"/>
              <w:left w:val="single" w:sz="4" w:space="0" w:color="auto"/>
              <w:bottom w:val="single" w:sz="4" w:space="0" w:color="auto"/>
              <w:right w:val="single" w:sz="4" w:space="0" w:color="auto"/>
            </w:tcBorders>
            <w:hideMark/>
          </w:tcPr>
          <w:p w14:paraId="55B20F7B" w14:textId="77777777" w:rsidR="006D6DFA" w:rsidRPr="003B55C8" w:rsidRDefault="006D6DFA" w:rsidP="00FC01B2">
            <w:pPr>
              <w:ind w:left="32"/>
              <w:rPr>
                <w:sz w:val="24"/>
                <w:szCs w:val="24"/>
              </w:rPr>
            </w:pPr>
            <w:r w:rsidRPr="003B55C8">
              <w:rPr>
                <w:sz w:val="24"/>
                <w:szCs w:val="24"/>
              </w:rPr>
              <w:t>Ikke almindelig:</w:t>
            </w:r>
          </w:p>
        </w:tc>
        <w:tc>
          <w:tcPr>
            <w:tcW w:w="3247" w:type="pct"/>
            <w:tcBorders>
              <w:top w:val="single" w:sz="4" w:space="0" w:color="auto"/>
              <w:left w:val="single" w:sz="4" w:space="0" w:color="auto"/>
              <w:bottom w:val="single" w:sz="4" w:space="0" w:color="auto"/>
              <w:right w:val="single" w:sz="4" w:space="0" w:color="auto"/>
            </w:tcBorders>
            <w:hideMark/>
          </w:tcPr>
          <w:p w14:paraId="2B08B8AD" w14:textId="77777777" w:rsidR="006D6DFA" w:rsidRPr="003B55C8" w:rsidRDefault="006D6DFA" w:rsidP="00FC01B2">
            <w:pPr>
              <w:ind w:left="32"/>
              <w:rPr>
                <w:sz w:val="24"/>
                <w:szCs w:val="24"/>
              </w:rPr>
            </w:pPr>
            <w:r w:rsidRPr="003B55C8">
              <w:rPr>
                <w:sz w:val="24"/>
                <w:szCs w:val="24"/>
              </w:rPr>
              <w:t>Synsforstyrrelser</w:t>
            </w:r>
          </w:p>
        </w:tc>
      </w:tr>
      <w:tr w:rsidR="006D6DFA" w:rsidRPr="003B55C8" w14:paraId="59F7AD83" w14:textId="77777777" w:rsidTr="00FC01B2">
        <w:trPr>
          <w:trHeight w:val="271"/>
        </w:trPr>
        <w:tc>
          <w:tcPr>
            <w:tcW w:w="5000" w:type="pct"/>
            <w:gridSpan w:val="2"/>
            <w:tcBorders>
              <w:top w:val="single" w:sz="4" w:space="0" w:color="auto"/>
              <w:left w:val="single" w:sz="4" w:space="0" w:color="auto"/>
              <w:bottom w:val="single" w:sz="4" w:space="0" w:color="auto"/>
              <w:right w:val="single" w:sz="4" w:space="0" w:color="auto"/>
            </w:tcBorders>
            <w:hideMark/>
          </w:tcPr>
          <w:p w14:paraId="3AA7FF3D" w14:textId="77777777" w:rsidR="006D6DFA" w:rsidRPr="003B55C8" w:rsidRDefault="006D6DFA" w:rsidP="00FC01B2">
            <w:pPr>
              <w:ind w:left="32"/>
              <w:rPr>
                <w:b/>
                <w:bCs/>
                <w:iCs/>
                <w:sz w:val="24"/>
                <w:szCs w:val="24"/>
              </w:rPr>
            </w:pPr>
            <w:r w:rsidRPr="003B55C8">
              <w:rPr>
                <w:b/>
                <w:bCs/>
                <w:iCs/>
                <w:sz w:val="24"/>
                <w:szCs w:val="24"/>
              </w:rPr>
              <w:t>Hjerte</w:t>
            </w:r>
          </w:p>
        </w:tc>
      </w:tr>
      <w:tr w:rsidR="006D6DFA" w:rsidRPr="003B55C8" w14:paraId="6793B276" w14:textId="77777777" w:rsidTr="00FC01B2">
        <w:trPr>
          <w:trHeight w:val="244"/>
        </w:trPr>
        <w:tc>
          <w:tcPr>
            <w:tcW w:w="1753" w:type="pct"/>
            <w:tcBorders>
              <w:top w:val="single" w:sz="4" w:space="0" w:color="auto"/>
              <w:left w:val="single" w:sz="4" w:space="0" w:color="auto"/>
              <w:bottom w:val="single" w:sz="4" w:space="0" w:color="auto"/>
              <w:right w:val="single" w:sz="4" w:space="0" w:color="auto"/>
            </w:tcBorders>
            <w:hideMark/>
          </w:tcPr>
          <w:p w14:paraId="0DC85914" w14:textId="77777777" w:rsidR="006D6DFA" w:rsidRPr="003B55C8" w:rsidRDefault="006D6DFA" w:rsidP="00FC01B2">
            <w:pPr>
              <w:ind w:left="32"/>
              <w:rPr>
                <w:sz w:val="24"/>
                <w:szCs w:val="24"/>
              </w:rPr>
            </w:pPr>
            <w:r w:rsidRPr="003B55C8">
              <w:rPr>
                <w:sz w:val="24"/>
                <w:szCs w:val="24"/>
              </w:rPr>
              <w:t>Ikke almindelig:</w:t>
            </w:r>
          </w:p>
        </w:tc>
        <w:tc>
          <w:tcPr>
            <w:tcW w:w="3247" w:type="pct"/>
            <w:tcBorders>
              <w:top w:val="single" w:sz="4" w:space="0" w:color="auto"/>
              <w:left w:val="single" w:sz="4" w:space="0" w:color="auto"/>
              <w:bottom w:val="single" w:sz="4" w:space="0" w:color="auto"/>
              <w:right w:val="single" w:sz="4" w:space="0" w:color="auto"/>
            </w:tcBorders>
            <w:hideMark/>
          </w:tcPr>
          <w:p w14:paraId="5A0E099D" w14:textId="77777777" w:rsidR="006D6DFA" w:rsidRPr="003B55C8" w:rsidRDefault="006D6DFA" w:rsidP="00FC01B2">
            <w:pPr>
              <w:ind w:left="32"/>
              <w:rPr>
                <w:sz w:val="24"/>
                <w:szCs w:val="24"/>
              </w:rPr>
            </w:pPr>
            <w:r w:rsidRPr="003B55C8">
              <w:rPr>
                <w:sz w:val="24"/>
                <w:szCs w:val="24"/>
              </w:rPr>
              <w:t xml:space="preserve">Bradykardi, </w:t>
            </w:r>
            <w:proofErr w:type="spellStart"/>
            <w:r w:rsidRPr="003B55C8">
              <w:rPr>
                <w:sz w:val="24"/>
                <w:szCs w:val="24"/>
              </w:rPr>
              <w:t>takykardi</w:t>
            </w:r>
            <w:proofErr w:type="spellEnd"/>
            <w:r w:rsidRPr="003B55C8">
              <w:rPr>
                <w:sz w:val="24"/>
                <w:szCs w:val="24"/>
              </w:rPr>
              <w:t xml:space="preserve">, </w:t>
            </w:r>
            <w:proofErr w:type="spellStart"/>
            <w:r w:rsidRPr="003B55C8">
              <w:rPr>
                <w:sz w:val="24"/>
                <w:szCs w:val="24"/>
              </w:rPr>
              <w:t>palpitationer</w:t>
            </w:r>
            <w:proofErr w:type="spellEnd"/>
          </w:p>
        </w:tc>
      </w:tr>
      <w:tr w:rsidR="006D6DFA" w:rsidRPr="003B55C8" w14:paraId="175B1B0B" w14:textId="77777777" w:rsidTr="00FC01B2">
        <w:trPr>
          <w:trHeight w:val="307"/>
        </w:trPr>
        <w:tc>
          <w:tcPr>
            <w:tcW w:w="1753" w:type="pct"/>
            <w:tcBorders>
              <w:top w:val="single" w:sz="4" w:space="0" w:color="auto"/>
              <w:left w:val="single" w:sz="4" w:space="0" w:color="auto"/>
              <w:bottom w:val="single" w:sz="4" w:space="0" w:color="auto"/>
              <w:right w:val="single" w:sz="4" w:space="0" w:color="auto"/>
            </w:tcBorders>
            <w:hideMark/>
          </w:tcPr>
          <w:p w14:paraId="28323E52" w14:textId="77777777" w:rsidR="006D6DFA" w:rsidRPr="003B55C8" w:rsidRDefault="006D6DFA" w:rsidP="00FC01B2">
            <w:pPr>
              <w:ind w:left="32"/>
              <w:rPr>
                <w:sz w:val="24"/>
                <w:szCs w:val="24"/>
              </w:rPr>
            </w:pPr>
            <w:r w:rsidRPr="003B55C8">
              <w:rPr>
                <w:sz w:val="24"/>
                <w:szCs w:val="24"/>
              </w:rPr>
              <w:t>Meget sjælden:</w:t>
            </w:r>
          </w:p>
        </w:tc>
        <w:tc>
          <w:tcPr>
            <w:tcW w:w="3247" w:type="pct"/>
            <w:tcBorders>
              <w:top w:val="single" w:sz="4" w:space="0" w:color="auto"/>
              <w:left w:val="single" w:sz="4" w:space="0" w:color="auto"/>
              <w:bottom w:val="single" w:sz="4" w:space="0" w:color="auto"/>
              <w:right w:val="single" w:sz="4" w:space="0" w:color="auto"/>
            </w:tcBorders>
            <w:hideMark/>
          </w:tcPr>
          <w:p w14:paraId="2A8DA762" w14:textId="77777777" w:rsidR="006D6DFA" w:rsidRPr="003B55C8" w:rsidRDefault="006D6DFA" w:rsidP="00FC01B2">
            <w:pPr>
              <w:ind w:left="32"/>
              <w:rPr>
                <w:sz w:val="24"/>
                <w:szCs w:val="24"/>
              </w:rPr>
            </w:pPr>
            <w:r w:rsidRPr="003B55C8">
              <w:rPr>
                <w:sz w:val="24"/>
                <w:szCs w:val="24"/>
              </w:rPr>
              <w:t xml:space="preserve">Koronar </w:t>
            </w:r>
            <w:proofErr w:type="spellStart"/>
            <w:r w:rsidRPr="003B55C8">
              <w:rPr>
                <w:sz w:val="24"/>
                <w:szCs w:val="24"/>
              </w:rPr>
              <w:t>arterial</w:t>
            </w:r>
            <w:proofErr w:type="spellEnd"/>
            <w:r w:rsidRPr="003B55C8">
              <w:rPr>
                <w:sz w:val="24"/>
                <w:szCs w:val="24"/>
              </w:rPr>
              <w:t xml:space="preserve"> </w:t>
            </w:r>
            <w:proofErr w:type="spellStart"/>
            <w:r w:rsidRPr="003B55C8">
              <w:rPr>
                <w:sz w:val="24"/>
                <w:szCs w:val="24"/>
              </w:rPr>
              <w:t>vasospasme</w:t>
            </w:r>
            <w:proofErr w:type="spellEnd"/>
            <w:r w:rsidRPr="003B55C8">
              <w:rPr>
                <w:sz w:val="24"/>
                <w:szCs w:val="24"/>
              </w:rPr>
              <w:t>, angina, myokardieinfarkt</w:t>
            </w:r>
          </w:p>
        </w:tc>
      </w:tr>
      <w:tr w:rsidR="006D6DFA" w:rsidRPr="003B55C8" w14:paraId="5038EDA9" w14:textId="77777777" w:rsidTr="00FC01B2">
        <w:trPr>
          <w:trHeight w:val="244"/>
        </w:trPr>
        <w:tc>
          <w:tcPr>
            <w:tcW w:w="5000" w:type="pct"/>
            <w:gridSpan w:val="2"/>
            <w:tcBorders>
              <w:top w:val="single" w:sz="4" w:space="0" w:color="auto"/>
              <w:left w:val="single" w:sz="4" w:space="0" w:color="auto"/>
              <w:bottom w:val="single" w:sz="4" w:space="0" w:color="auto"/>
              <w:right w:val="single" w:sz="4" w:space="0" w:color="auto"/>
            </w:tcBorders>
            <w:hideMark/>
          </w:tcPr>
          <w:p w14:paraId="1D293091" w14:textId="77777777" w:rsidR="006D6DFA" w:rsidRPr="003B55C8" w:rsidRDefault="006D6DFA" w:rsidP="00FC01B2">
            <w:pPr>
              <w:ind w:left="32"/>
              <w:rPr>
                <w:b/>
                <w:bCs/>
                <w:iCs/>
                <w:sz w:val="24"/>
                <w:szCs w:val="24"/>
              </w:rPr>
            </w:pPr>
            <w:r w:rsidRPr="003B55C8">
              <w:rPr>
                <w:b/>
                <w:bCs/>
                <w:iCs/>
                <w:sz w:val="24"/>
                <w:szCs w:val="24"/>
              </w:rPr>
              <w:t>Vaskulære sygdomme</w:t>
            </w:r>
          </w:p>
        </w:tc>
      </w:tr>
      <w:tr w:rsidR="006D6DFA" w:rsidRPr="003B55C8" w14:paraId="6DB1E455" w14:textId="77777777" w:rsidTr="00FC01B2">
        <w:trPr>
          <w:trHeight w:val="273"/>
        </w:trPr>
        <w:tc>
          <w:tcPr>
            <w:tcW w:w="1753" w:type="pct"/>
            <w:tcBorders>
              <w:top w:val="single" w:sz="4" w:space="0" w:color="auto"/>
              <w:left w:val="single" w:sz="4" w:space="0" w:color="auto"/>
              <w:bottom w:val="single" w:sz="4" w:space="0" w:color="auto"/>
              <w:right w:val="single" w:sz="4" w:space="0" w:color="auto"/>
            </w:tcBorders>
            <w:hideMark/>
          </w:tcPr>
          <w:p w14:paraId="33025512" w14:textId="77777777" w:rsidR="006D6DFA" w:rsidRPr="003B55C8" w:rsidRDefault="006D6DFA" w:rsidP="00FC01B2">
            <w:pPr>
              <w:ind w:left="32"/>
              <w:rPr>
                <w:sz w:val="24"/>
                <w:szCs w:val="24"/>
              </w:rPr>
            </w:pPr>
            <w:r w:rsidRPr="003B55C8">
              <w:rPr>
                <w:sz w:val="24"/>
                <w:szCs w:val="24"/>
              </w:rPr>
              <w:t>Meget sjælden:</w:t>
            </w:r>
          </w:p>
        </w:tc>
        <w:tc>
          <w:tcPr>
            <w:tcW w:w="3247" w:type="pct"/>
            <w:tcBorders>
              <w:top w:val="single" w:sz="4" w:space="0" w:color="auto"/>
              <w:left w:val="single" w:sz="4" w:space="0" w:color="auto"/>
              <w:bottom w:val="single" w:sz="4" w:space="0" w:color="auto"/>
              <w:right w:val="single" w:sz="4" w:space="0" w:color="auto"/>
            </w:tcBorders>
            <w:hideMark/>
          </w:tcPr>
          <w:p w14:paraId="7B8663DC" w14:textId="77777777" w:rsidR="006D6DFA" w:rsidRPr="003B55C8" w:rsidRDefault="006D6DFA" w:rsidP="00FC01B2">
            <w:pPr>
              <w:ind w:left="32"/>
              <w:rPr>
                <w:sz w:val="24"/>
                <w:szCs w:val="24"/>
              </w:rPr>
            </w:pPr>
            <w:r w:rsidRPr="003B55C8">
              <w:rPr>
                <w:sz w:val="24"/>
                <w:szCs w:val="24"/>
              </w:rPr>
              <w:t>Perifer vaskulær iskæmi</w:t>
            </w:r>
          </w:p>
        </w:tc>
      </w:tr>
      <w:tr w:rsidR="006D6DFA" w:rsidRPr="003B55C8" w14:paraId="555B3CB0" w14:textId="77777777" w:rsidTr="00FC01B2">
        <w:trPr>
          <w:trHeight w:val="296"/>
        </w:trPr>
        <w:tc>
          <w:tcPr>
            <w:tcW w:w="5000" w:type="pct"/>
            <w:gridSpan w:val="2"/>
            <w:tcBorders>
              <w:top w:val="single" w:sz="4" w:space="0" w:color="auto"/>
              <w:left w:val="single" w:sz="4" w:space="0" w:color="auto"/>
              <w:bottom w:val="single" w:sz="4" w:space="0" w:color="auto"/>
              <w:right w:val="single" w:sz="4" w:space="0" w:color="auto"/>
            </w:tcBorders>
            <w:hideMark/>
          </w:tcPr>
          <w:p w14:paraId="5C9182FE" w14:textId="77777777" w:rsidR="006D6DFA" w:rsidRPr="003B55C8" w:rsidRDefault="006D6DFA" w:rsidP="00FC01B2">
            <w:pPr>
              <w:ind w:left="32"/>
              <w:rPr>
                <w:b/>
                <w:bCs/>
                <w:iCs/>
                <w:sz w:val="24"/>
                <w:szCs w:val="24"/>
              </w:rPr>
            </w:pPr>
            <w:r w:rsidRPr="003B55C8">
              <w:rPr>
                <w:b/>
                <w:bCs/>
                <w:iCs/>
                <w:sz w:val="24"/>
                <w:szCs w:val="24"/>
              </w:rPr>
              <w:t>Mave-tarm-kanalen</w:t>
            </w:r>
          </w:p>
        </w:tc>
      </w:tr>
      <w:tr w:rsidR="006D6DFA" w:rsidRPr="003B55C8" w14:paraId="0ED95AAD" w14:textId="77777777" w:rsidTr="00FC01B2">
        <w:trPr>
          <w:trHeight w:val="248"/>
        </w:trPr>
        <w:tc>
          <w:tcPr>
            <w:tcW w:w="1753" w:type="pct"/>
            <w:tcBorders>
              <w:top w:val="single" w:sz="4" w:space="0" w:color="auto"/>
              <w:left w:val="single" w:sz="4" w:space="0" w:color="auto"/>
              <w:bottom w:val="single" w:sz="4" w:space="0" w:color="auto"/>
              <w:right w:val="single" w:sz="4" w:space="0" w:color="auto"/>
            </w:tcBorders>
            <w:hideMark/>
          </w:tcPr>
          <w:p w14:paraId="283413CA" w14:textId="77777777" w:rsidR="006D6DFA" w:rsidRPr="003B55C8" w:rsidRDefault="006D6DFA" w:rsidP="00FC01B2">
            <w:pPr>
              <w:ind w:left="32"/>
              <w:rPr>
                <w:sz w:val="24"/>
                <w:szCs w:val="24"/>
              </w:rPr>
            </w:pPr>
            <w:r w:rsidRPr="003B55C8">
              <w:rPr>
                <w:sz w:val="24"/>
                <w:szCs w:val="24"/>
              </w:rPr>
              <w:t>Almindelig:</w:t>
            </w:r>
          </w:p>
        </w:tc>
        <w:tc>
          <w:tcPr>
            <w:tcW w:w="3247" w:type="pct"/>
            <w:tcBorders>
              <w:top w:val="single" w:sz="4" w:space="0" w:color="auto"/>
              <w:left w:val="single" w:sz="4" w:space="0" w:color="auto"/>
              <w:bottom w:val="single" w:sz="4" w:space="0" w:color="auto"/>
              <w:right w:val="single" w:sz="4" w:space="0" w:color="auto"/>
            </w:tcBorders>
            <w:hideMark/>
          </w:tcPr>
          <w:p w14:paraId="70E7FCC7" w14:textId="77777777" w:rsidR="006D6DFA" w:rsidRPr="003B55C8" w:rsidRDefault="006D6DFA" w:rsidP="00FC01B2">
            <w:pPr>
              <w:ind w:left="32"/>
              <w:rPr>
                <w:sz w:val="24"/>
                <w:szCs w:val="24"/>
              </w:rPr>
            </w:pPr>
            <w:r w:rsidRPr="003B55C8">
              <w:rPr>
                <w:sz w:val="24"/>
                <w:szCs w:val="24"/>
              </w:rPr>
              <w:t>Kvalme, opkastning</w:t>
            </w:r>
          </w:p>
        </w:tc>
      </w:tr>
      <w:tr w:rsidR="006D6DFA" w:rsidRPr="003B55C8" w14:paraId="20B851BE" w14:textId="77777777" w:rsidTr="00FC01B2">
        <w:trPr>
          <w:trHeight w:val="272"/>
        </w:trPr>
        <w:tc>
          <w:tcPr>
            <w:tcW w:w="1753" w:type="pct"/>
            <w:tcBorders>
              <w:top w:val="single" w:sz="4" w:space="0" w:color="auto"/>
              <w:left w:val="single" w:sz="4" w:space="0" w:color="auto"/>
              <w:bottom w:val="single" w:sz="4" w:space="0" w:color="auto"/>
              <w:right w:val="single" w:sz="4" w:space="0" w:color="auto"/>
            </w:tcBorders>
            <w:hideMark/>
          </w:tcPr>
          <w:p w14:paraId="43786667" w14:textId="77777777" w:rsidR="006D6DFA" w:rsidRPr="003B55C8" w:rsidRDefault="006D6DFA" w:rsidP="00FC01B2">
            <w:pPr>
              <w:ind w:left="32"/>
              <w:rPr>
                <w:sz w:val="24"/>
                <w:szCs w:val="24"/>
              </w:rPr>
            </w:pPr>
            <w:r w:rsidRPr="003B55C8">
              <w:rPr>
                <w:sz w:val="24"/>
                <w:szCs w:val="24"/>
              </w:rPr>
              <w:t>Sjælden:</w:t>
            </w:r>
          </w:p>
        </w:tc>
        <w:tc>
          <w:tcPr>
            <w:tcW w:w="3247" w:type="pct"/>
            <w:tcBorders>
              <w:top w:val="single" w:sz="4" w:space="0" w:color="auto"/>
              <w:left w:val="single" w:sz="4" w:space="0" w:color="auto"/>
              <w:bottom w:val="single" w:sz="4" w:space="0" w:color="auto"/>
              <w:right w:val="single" w:sz="4" w:space="0" w:color="auto"/>
            </w:tcBorders>
            <w:hideMark/>
          </w:tcPr>
          <w:p w14:paraId="7CFD6929" w14:textId="77777777" w:rsidR="006D6DFA" w:rsidRPr="003B55C8" w:rsidRDefault="006D6DFA" w:rsidP="00FC01B2">
            <w:pPr>
              <w:ind w:left="32"/>
              <w:rPr>
                <w:sz w:val="24"/>
                <w:szCs w:val="24"/>
              </w:rPr>
            </w:pPr>
            <w:r w:rsidRPr="003B55C8">
              <w:rPr>
                <w:sz w:val="24"/>
                <w:szCs w:val="24"/>
              </w:rPr>
              <w:t xml:space="preserve">Iskæmisk </w:t>
            </w:r>
            <w:proofErr w:type="spellStart"/>
            <w:r w:rsidRPr="003B55C8">
              <w:rPr>
                <w:sz w:val="24"/>
                <w:szCs w:val="24"/>
              </w:rPr>
              <w:t>kolitis</w:t>
            </w:r>
            <w:proofErr w:type="spellEnd"/>
          </w:p>
        </w:tc>
      </w:tr>
      <w:tr w:rsidR="006D6DFA" w:rsidRPr="003B55C8" w14:paraId="4AF34039" w14:textId="77777777" w:rsidTr="00FC01B2">
        <w:trPr>
          <w:trHeight w:val="249"/>
        </w:trPr>
        <w:tc>
          <w:tcPr>
            <w:tcW w:w="5000" w:type="pct"/>
            <w:gridSpan w:val="2"/>
            <w:tcBorders>
              <w:top w:val="single" w:sz="4" w:space="0" w:color="auto"/>
              <w:left w:val="single" w:sz="4" w:space="0" w:color="auto"/>
              <w:bottom w:val="single" w:sz="4" w:space="0" w:color="auto"/>
              <w:right w:val="single" w:sz="4" w:space="0" w:color="auto"/>
            </w:tcBorders>
            <w:hideMark/>
          </w:tcPr>
          <w:p w14:paraId="5A24A5A3" w14:textId="77777777" w:rsidR="006D6DFA" w:rsidRPr="003B55C8" w:rsidRDefault="006D6DFA" w:rsidP="00FC01B2">
            <w:pPr>
              <w:ind w:left="32"/>
              <w:rPr>
                <w:b/>
                <w:bCs/>
                <w:iCs/>
                <w:sz w:val="24"/>
                <w:szCs w:val="24"/>
              </w:rPr>
            </w:pPr>
            <w:r w:rsidRPr="003B55C8">
              <w:rPr>
                <w:b/>
                <w:bCs/>
                <w:iCs/>
                <w:sz w:val="24"/>
                <w:szCs w:val="24"/>
              </w:rPr>
              <w:t>Hud og subkutane væv</w:t>
            </w:r>
          </w:p>
        </w:tc>
      </w:tr>
      <w:tr w:rsidR="006D6DFA" w:rsidRPr="003B55C8" w14:paraId="13C06A21" w14:textId="77777777" w:rsidTr="00FC01B2">
        <w:trPr>
          <w:trHeight w:val="294"/>
        </w:trPr>
        <w:tc>
          <w:tcPr>
            <w:tcW w:w="1753" w:type="pct"/>
            <w:tcBorders>
              <w:top w:val="single" w:sz="4" w:space="0" w:color="auto"/>
              <w:left w:val="single" w:sz="4" w:space="0" w:color="auto"/>
              <w:bottom w:val="single" w:sz="4" w:space="0" w:color="auto"/>
              <w:right w:val="single" w:sz="4" w:space="0" w:color="auto"/>
            </w:tcBorders>
            <w:hideMark/>
          </w:tcPr>
          <w:p w14:paraId="70F394A9" w14:textId="77777777" w:rsidR="006D6DFA" w:rsidRPr="003B55C8" w:rsidRDefault="006D6DFA" w:rsidP="00FC01B2">
            <w:pPr>
              <w:ind w:left="32"/>
              <w:rPr>
                <w:sz w:val="24"/>
                <w:szCs w:val="24"/>
              </w:rPr>
            </w:pPr>
            <w:r w:rsidRPr="003B55C8">
              <w:rPr>
                <w:sz w:val="24"/>
                <w:szCs w:val="24"/>
              </w:rPr>
              <w:t>Sjælden:</w:t>
            </w:r>
          </w:p>
        </w:tc>
        <w:tc>
          <w:tcPr>
            <w:tcW w:w="3247" w:type="pct"/>
            <w:tcBorders>
              <w:top w:val="single" w:sz="4" w:space="0" w:color="auto"/>
              <w:left w:val="single" w:sz="4" w:space="0" w:color="auto"/>
              <w:bottom w:val="single" w:sz="4" w:space="0" w:color="auto"/>
              <w:right w:val="single" w:sz="4" w:space="0" w:color="auto"/>
            </w:tcBorders>
            <w:hideMark/>
          </w:tcPr>
          <w:p w14:paraId="4B9AFBF3" w14:textId="77777777" w:rsidR="006D6DFA" w:rsidRPr="003B55C8" w:rsidRDefault="006D6DFA" w:rsidP="00FC01B2">
            <w:pPr>
              <w:ind w:left="32"/>
              <w:rPr>
                <w:sz w:val="24"/>
                <w:szCs w:val="24"/>
              </w:rPr>
            </w:pPr>
            <w:r w:rsidRPr="003B55C8">
              <w:rPr>
                <w:sz w:val="24"/>
                <w:szCs w:val="24"/>
              </w:rPr>
              <w:t xml:space="preserve">Udslæt, urticaria, </w:t>
            </w:r>
            <w:proofErr w:type="spellStart"/>
            <w:r w:rsidRPr="003B55C8">
              <w:rPr>
                <w:sz w:val="24"/>
                <w:szCs w:val="24"/>
              </w:rPr>
              <w:t>pruritus</w:t>
            </w:r>
            <w:proofErr w:type="spellEnd"/>
            <w:r w:rsidRPr="003B55C8">
              <w:rPr>
                <w:sz w:val="24"/>
                <w:szCs w:val="24"/>
              </w:rPr>
              <w:t>, ansigtsødem</w:t>
            </w:r>
          </w:p>
        </w:tc>
      </w:tr>
      <w:tr w:rsidR="006D6DFA" w:rsidRPr="003B55C8" w14:paraId="354C728D" w14:textId="77777777" w:rsidTr="00FC01B2">
        <w:trPr>
          <w:trHeight w:val="295"/>
        </w:trPr>
        <w:tc>
          <w:tcPr>
            <w:tcW w:w="5000" w:type="pct"/>
            <w:gridSpan w:val="2"/>
            <w:tcBorders>
              <w:top w:val="single" w:sz="4" w:space="0" w:color="auto"/>
              <w:left w:val="single" w:sz="4" w:space="0" w:color="auto"/>
              <w:bottom w:val="single" w:sz="4" w:space="0" w:color="auto"/>
              <w:right w:val="single" w:sz="4" w:space="0" w:color="auto"/>
            </w:tcBorders>
            <w:hideMark/>
          </w:tcPr>
          <w:p w14:paraId="57B42717" w14:textId="77777777" w:rsidR="006D6DFA" w:rsidRPr="003B55C8" w:rsidRDefault="006D6DFA" w:rsidP="00FC01B2">
            <w:pPr>
              <w:ind w:left="32"/>
              <w:rPr>
                <w:b/>
                <w:bCs/>
                <w:iCs/>
                <w:sz w:val="24"/>
                <w:szCs w:val="24"/>
              </w:rPr>
            </w:pPr>
            <w:r w:rsidRPr="003B55C8">
              <w:rPr>
                <w:b/>
                <w:bCs/>
                <w:iCs/>
                <w:sz w:val="24"/>
                <w:szCs w:val="24"/>
              </w:rPr>
              <w:t>Almene symptomer og reaktioner på administrationsstedet</w:t>
            </w:r>
          </w:p>
        </w:tc>
      </w:tr>
      <w:tr w:rsidR="006D6DFA" w:rsidRPr="003B55C8" w14:paraId="67853301" w14:textId="77777777" w:rsidTr="00FC01B2">
        <w:trPr>
          <w:trHeight w:val="295"/>
        </w:trPr>
        <w:tc>
          <w:tcPr>
            <w:tcW w:w="1753" w:type="pct"/>
            <w:tcBorders>
              <w:top w:val="single" w:sz="4" w:space="0" w:color="auto"/>
              <w:left w:val="single" w:sz="4" w:space="0" w:color="auto"/>
              <w:bottom w:val="single" w:sz="4" w:space="0" w:color="auto"/>
              <w:right w:val="single" w:sz="4" w:space="0" w:color="auto"/>
            </w:tcBorders>
            <w:hideMark/>
          </w:tcPr>
          <w:p w14:paraId="50D352DA" w14:textId="77777777" w:rsidR="006D6DFA" w:rsidRPr="003B55C8" w:rsidRDefault="006D6DFA" w:rsidP="00FC01B2">
            <w:pPr>
              <w:ind w:left="32"/>
              <w:rPr>
                <w:sz w:val="24"/>
                <w:szCs w:val="24"/>
              </w:rPr>
            </w:pPr>
            <w:r w:rsidRPr="003B55C8">
              <w:rPr>
                <w:sz w:val="24"/>
                <w:szCs w:val="24"/>
              </w:rPr>
              <w:t>Almindelig:</w:t>
            </w:r>
          </w:p>
        </w:tc>
        <w:tc>
          <w:tcPr>
            <w:tcW w:w="3247" w:type="pct"/>
            <w:tcBorders>
              <w:top w:val="single" w:sz="4" w:space="0" w:color="auto"/>
              <w:left w:val="single" w:sz="4" w:space="0" w:color="auto"/>
              <w:bottom w:val="single" w:sz="4" w:space="0" w:color="auto"/>
              <w:right w:val="single" w:sz="4" w:space="0" w:color="auto"/>
            </w:tcBorders>
            <w:hideMark/>
          </w:tcPr>
          <w:p w14:paraId="561E67E9" w14:textId="77777777" w:rsidR="006D6DFA" w:rsidRPr="003B55C8" w:rsidRDefault="006D6DFA" w:rsidP="00FC01B2">
            <w:pPr>
              <w:ind w:left="32"/>
              <w:rPr>
                <w:sz w:val="24"/>
                <w:szCs w:val="24"/>
              </w:rPr>
            </w:pPr>
            <w:r w:rsidRPr="003B55C8">
              <w:rPr>
                <w:sz w:val="24"/>
                <w:szCs w:val="24"/>
              </w:rPr>
              <w:t>Varmefornemmelse, ubehag/træthed</w:t>
            </w:r>
          </w:p>
        </w:tc>
      </w:tr>
      <w:tr w:rsidR="006D6DFA" w:rsidRPr="003B55C8" w14:paraId="7716C28D" w14:textId="77777777" w:rsidTr="00FC01B2">
        <w:trPr>
          <w:trHeight w:val="295"/>
        </w:trPr>
        <w:tc>
          <w:tcPr>
            <w:tcW w:w="1753" w:type="pct"/>
            <w:tcBorders>
              <w:top w:val="single" w:sz="4" w:space="0" w:color="auto"/>
              <w:left w:val="single" w:sz="4" w:space="0" w:color="auto"/>
              <w:bottom w:val="single" w:sz="4" w:space="0" w:color="auto"/>
              <w:right w:val="single" w:sz="4" w:space="0" w:color="auto"/>
            </w:tcBorders>
            <w:hideMark/>
          </w:tcPr>
          <w:p w14:paraId="7C0293A3" w14:textId="77777777" w:rsidR="006D6DFA" w:rsidRPr="003B55C8" w:rsidRDefault="006D6DFA" w:rsidP="00FC01B2">
            <w:pPr>
              <w:ind w:left="32"/>
              <w:rPr>
                <w:sz w:val="24"/>
                <w:szCs w:val="24"/>
              </w:rPr>
            </w:pPr>
            <w:r w:rsidRPr="003B55C8">
              <w:rPr>
                <w:sz w:val="24"/>
                <w:szCs w:val="24"/>
              </w:rPr>
              <w:t>Ikke almindelig:</w:t>
            </w:r>
          </w:p>
        </w:tc>
        <w:tc>
          <w:tcPr>
            <w:tcW w:w="3247" w:type="pct"/>
            <w:tcBorders>
              <w:top w:val="single" w:sz="4" w:space="0" w:color="auto"/>
              <w:left w:val="single" w:sz="4" w:space="0" w:color="auto"/>
              <w:bottom w:val="single" w:sz="4" w:space="0" w:color="auto"/>
              <w:right w:val="single" w:sz="4" w:space="0" w:color="auto"/>
            </w:tcBorders>
            <w:hideMark/>
          </w:tcPr>
          <w:p w14:paraId="09E6D219" w14:textId="77777777" w:rsidR="006D6DFA" w:rsidRPr="003B55C8" w:rsidRDefault="006D6DFA" w:rsidP="00FC01B2">
            <w:pPr>
              <w:ind w:left="32"/>
              <w:rPr>
                <w:sz w:val="24"/>
                <w:szCs w:val="24"/>
              </w:rPr>
            </w:pPr>
            <w:r w:rsidRPr="003B55C8">
              <w:rPr>
                <w:sz w:val="24"/>
                <w:szCs w:val="24"/>
              </w:rPr>
              <w:t>Smerter, tyngdefornemmelse, trykkende eller knugende fornemmelse. Disse symptomer er normalt forbigående, kan være intense og kan berøre alle dele af kroppen, herunder brystet og omkring halsen.</w:t>
            </w:r>
          </w:p>
        </w:tc>
      </w:tr>
      <w:tr w:rsidR="006D6DFA" w:rsidRPr="003B55C8" w14:paraId="0F96438F" w14:textId="77777777" w:rsidTr="00FC01B2">
        <w:trPr>
          <w:trHeight w:val="295"/>
        </w:trPr>
        <w:tc>
          <w:tcPr>
            <w:tcW w:w="5000" w:type="pct"/>
            <w:gridSpan w:val="2"/>
            <w:tcBorders>
              <w:top w:val="single" w:sz="4" w:space="0" w:color="auto"/>
              <w:left w:val="single" w:sz="4" w:space="0" w:color="auto"/>
              <w:bottom w:val="single" w:sz="4" w:space="0" w:color="auto"/>
              <w:right w:val="single" w:sz="4" w:space="0" w:color="auto"/>
            </w:tcBorders>
            <w:hideMark/>
          </w:tcPr>
          <w:p w14:paraId="3F328146" w14:textId="77777777" w:rsidR="006D6DFA" w:rsidRPr="003B55C8" w:rsidRDefault="006D6DFA" w:rsidP="00FC01B2">
            <w:pPr>
              <w:ind w:left="32"/>
              <w:rPr>
                <w:b/>
                <w:bCs/>
                <w:iCs/>
                <w:sz w:val="24"/>
                <w:szCs w:val="24"/>
              </w:rPr>
            </w:pPr>
            <w:r w:rsidRPr="003B55C8">
              <w:rPr>
                <w:b/>
                <w:bCs/>
                <w:iCs/>
                <w:sz w:val="24"/>
                <w:szCs w:val="24"/>
              </w:rPr>
              <w:t>Undersøgelser</w:t>
            </w:r>
          </w:p>
        </w:tc>
      </w:tr>
      <w:tr w:rsidR="006D6DFA" w:rsidRPr="003B55C8" w14:paraId="6EA1124F" w14:textId="77777777" w:rsidTr="00FC01B2">
        <w:trPr>
          <w:trHeight w:val="295"/>
        </w:trPr>
        <w:tc>
          <w:tcPr>
            <w:tcW w:w="1753" w:type="pct"/>
            <w:tcBorders>
              <w:top w:val="single" w:sz="4" w:space="0" w:color="auto"/>
              <w:left w:val="single" w:sz="4" w:space="0" w:color="auto"/>
              <w:bottom w:val="single" w:sz="4" w:space="0" w:color="auto"/>
              <w:right w:val="single" w:sz="4" w:space="0" w:color="auto"/>
            </w:tcBorders>
            <w:hideMark/>
          </w:tcPr>
          <w:p w14:paraId="12AA725C" w14:textId="77777777" w:rsidR="006D6DFA" w:rsidRPr="003B55C8" w:rsidRDefault="006D6DFA" w:rsidP="00FC01B2">
            <w:pPr>
              <w:ind w:left="32"/>
              <w:rPr>
                <w:sz w:val="24"/>
                <w:szCs w:val="24"/>
              </w:rPr>
            </w:pPr>
            <w:r w:rsidRPr="003B55C8">
              <w:rPr>
                <w:sz w:val="24"/>
                <w:szCs w:val="24"/>
              </w:rPr>
              <w:t>Ikke almindelig:</w:t>
            </w:r>
          </w:p>
        </w:tc>
        <w:tc>
          <w:tcPr>
            <w:tcW w:w="3247" w:type="pct"/>
            <w:tcBorders>
              <w:top w:val="single" w:sz="4" w:space="0" w:color="auto"/>
              <w:left w:val="single" w:sz="4" w:space="0" w:color="auto"/>
              <w:bottom w:val="single" w:sz="4" w:space="0" w:color="auto"/>
              <w:right w:val="single" w:sz="4" w:space="0" w:color="auto"/>
            </w:tcBorders>
            <w:hideMark/>
          </w:tcPr>
          <w:p w14:paraId="2FF1E9BF" w14:textId="77777777" w:rsidR="006D6DFA" w:rsidRPr="003B55C8" w:rsidRDefault="006D6DFA" w:rsidP="00FC01B2">
            <w:pPr>
              <w:ind w:left="32"/>
              <w:rPr>
                <w:sz w:val="24"/>
                <w:szCs w:val="24"/>
              </w:rPr>
            </w:pPr>
            <w:r w:rsidRPr="003B55C8">
              <w:rPr>
                <w:sz w:val="24"/>
                <w:szCs w:val="24"/>
              </w:rPr>
              <w:t>Blodtryksstigning på ca. 5 </w:t>
            </w:r>
            <w:proofErr w:type="spellStart"/>
            <w:r w:rsidRPr="003B55C8">
              <w:rPr>
                <w:sz w:val="24"/>
                <w:szCs w:val="24"/>
              </w:rPr>
              <w:t>mmHg</w:t>
            </w:r>
            <w:proofErr w:type="spellEnd"/>
            <w:r w:rsidRPr="003B55C8">
              <w:rPr>
                <w:sz w:val="24"/>
                <w:szCs w:val="24"/>
              </w:rPr>
              <w:t xml:space="preserve"> (systolisk) og 3 </w:t>
            </w:r>
            <w:proofErr w:type="spellStart"/>
            <w:r w:rsidRPr="003B55C8">
              <w:rPr>
                <w:sz w:val="24"/>
                <w:szCs w:val="24"/>
              </w:rPr>
              <w:t>mmHg</w:t>
            </w:r>
            <w:proofErr w:type="spellEnd"/>
            <w:r w:rsidRPr="003B55C8">
              <w:rPr>
                <w:sz w:val="24"/>
                <w:szCs w:val="24"/>
              </w:rPr>
              <w:t xml:space="preserve"> (diastolisk) i indtil 12 timer efter administration.</w:t>
            </w:r>
          </w:p>
        </w:tc>
      </w:tr>
      <w:bookmarkEnd w:id="1"/>
    </w:tbl>
    <w:p w14:paraId="34485D4E" w14:textId="77777777" w:rsidR="006D6DFA" w:rsidRPr="006D6DFA" w:rsidRDefault="006D6DFA" w:rsidP="00FC01B2">
      <w:pPr>
        <w:ind w:left="851"/>
        <w:rPr>
          <w:i/>
          <w:sz w:val="24"/>
          <w:szCs w:val="24"/>
        </w:rPr>
      </w:pPr>
    </w:p>
    <w:p w14:paraId="573055DF" w14:textId="77777777" w:rsidR="006D6DFA" w:rsidRPr="006D6DFA" w:rsidRDefault="006D6DFA" w:rsidP="00FC01B2">
      <w:pPr>
        <w:ind w:left="851"/>
        <w:rPr>
          <w:sz w:val="24"/>
          <w:szCs w:val="24"/>
          <w:u w:val="single"/>
        </w:rPr>
      </w:pPr>
      <w:r w:rsidRPr="006D6DFA">
        <w:rPr>
          <w:sz w:val="24"/>
          <w:szCs w:val="24"/>
          <w:u w:val="single"/>
        </w:rPr>
        <w:t>Indberetning af formodede bivirkninger</w:t>
      </w:r>
    </w:p>
    <w:p w14:paraId="745B325C" w14:textId="77777777" w:rsidR="006D6DFA" w:rsidRPr="006D6DFA" w:rsidRDefault="006D6DFA" w:rsidP="00FC01B2">
      <w:pPr>
        <w:ind w:left="851"/>
        <w:rPr>
          <w:sz w:val="24"/>
          <w:szCs w:val="24"/>
        </w:rPr>
      </w:pPr>
      <w:r w:rsidRPr="006D6DFA">
        <w:rPr>
          <w:sz w:val="24"/>
          <w:szCs w:val="24"/>
        </w:rPr>
        <w:t>Når lægemidlet er godkendt, er indberetning af formodede bivirkninger vigtig. Det muliggør løbende overvågning af benefit/</w:t>
      </w:r>
      <w:proofErr w:type="spellStart"/>
      <w:r w:rsidRPr="006D6DFA">
        <w:rPr>
          <w:sz w:val="24"/>
          <w:szCs w:val="24"/>
        </w:rPr>
        <w:t>risk</w:t>
      </w:r>
      <w:proofErr w:type="spellEnd"/>
      <w:r w:rsidRPr="006D6DFA">
        <w:rPr>
          <w:sz w:val="24"/>
          <w:szCs w:val="24"/>
        </w:rPr>
        <w:t>-forholdet for lægemidlet. Sundhedspersoner anmodes om at indberette alle formodede bivirkninger via:</w:t>
      </w:r>
    </w:p>
    <w:p w14:paraId="69A7F844" w14:textId="77777777" w:rsidR="006D6DFA" w:rsidRPr="006D6DFA" w:rsidRDefault="006D6DFA" w:rsidP="00FC01B2">
      <w:pPr>
        <w:ind w:left="851"/>
        <w:rPr>
          <w:sz w:val="24"/>
          <w:szCs w:val="24"/>
        </w:rPr>
      </w:pPr>
    </w:p>
    <w:p w14:paraId="6BEC4ADA" w14:textId="77777777" w:rsidR="006D6DFA" w:rsidRPr="006D6DFA" w:rsidRDefault="006D6DFA" w:rsidP="00FC01B2">
      <w:pPr>
        <w:ind w:left="851"/>
        <w:rPr>
          <w:sz w:val="24"/>
          <w:szCs w:val="24"/>
        </w:rPr>
      </w:pPr>
      <w:r w:rsidRPr="006D6DFA">
        <w:rPr>
          <w:sz w:val="24"/>
          <w:szCs w:val="24"/>
        </w:rPr>
        <w:t>Lægemiddelstyrelsen</w:t>
      </w:r>
    </w:p>
    <w:p w14:paraId="63007A97" w14:textId="77777777" w:rsidR="006D6DFA" w:rsidRPr="006D6DFA" w:rsidRDefault="006D6DFA" w:rsidP="00FC01B2">
      <w:pPr>
        <w:ind w:left="851"/>
        <w:rPr>
          <w:sz w:val="24"/>
          <w:szCs w:val="24"/>
        </w:rPr>
      </w:pPr>
      <w:r w:rsidRPr="006D6DFA">
        <w:rPr>
          <w:sz w:val="24"/>
          <w:szCs w:val="24"/>
        </w:rPr>
        <w:t>Axel Heides Gade 1</w:t>
      </w:r>
    </w:p>
    <w:p w14:paraId="246BD430" w14:textId="77777777" w:rsidR="006D6DFA" w:rsidRPr="006D6DFA" w:rsidRDefault="006D6DFA" w:rsidP="00FC01B2">
      <w:pPr>
        <w:ind w:left="851"/>
        <w:rPr>
          <w:sz w:val="24"/>
          <w:szCs w:val="24"/>
        </w:rPr>
      </w:pPr>
      <w:r w:rsidRPr="006D6DFA">
        <w:rPr>
          <w:sz w:val="24"/>
          <w:szCs w:val="24"/>
        </w:rPr>
        <w:t>DK-2300 København S</w:t>
      </w:r>
    </w:p>
    <w:p w14:paraId="57B80D67" w14:textId="77777777" w:rsidR="006D6DFA" w:rsidRPr="006D6DFA" w:rsidRDefault="006D6DFA" w:rsidP="00FC01B2">
      <w:pPr>
        <w:ind w:left="851"/>
        <w:rPr>
          <w:sz w:val="24"/>
          <w:szCs w:val="24"/>
        </w:rPr>
      </w:pPr>
      <w:r w:rsidRPr="006D6DFA">
        <w:rPr>
          <w:sz w:val="24"/>
          <w:szCs w:val="24"/>
        </w:rPr>
        <w:t xml:space="preserve">Websted: </w:t>
      </w:r>
      <w:r w:rsidRPr="006D6DFA">
        <w:rPr>
          <w:sz w:val="24"/>
          <w:szCs w:val="24"/>
          <w:u w:val="single"/>
        </w:rPr>
        <w:t>www.meldenbivirkning.dk</w:t>
      </w:r>
    </w:p>
    <w:p w14:paraId="1DFA6AFC" w14:textId="77777777" w:rsidR="009260DE" w:rsidRPr="00A10294" w:rsidRDefault="009260DE" w:rsidP="00A10294">
      <w:pPr>
        <w:tabs>
          <w:tab w:val="left" w:pos="851"/>
        </w:tabs>
        <w:ind w:left="851"/>
        <w:rPr>
          <w:sz w:val="24"/>
          <w:szCs w:val="24"/>
        </w:rPr>
      </w:pPr>
    </w:p>
    <w:p w14:paraId="2AE6FA5F"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3C9618D7" w14:textId="77777777" w:rsidR="006D6DFA" w:rsidRPr="006D6DFA" w:rsidRDefault="006D6DFA" w:rsidP="00FC01B2">
      <w:pPr>
        <w:ind w:left="851"/>
        <w:rPr>
          <w:sz w:val="24"/>
          <w:szCs w:val="24"/>
        </w:rPr>
      </w:pPr>
      <w:r w:rsidRPr="006D6DFA">
        <w:rPr>
          <w:sz w:val="24"/>
          <w:szCs w:val="24"/>
        </w:rPr>
        <w:t xml:space="preserve">Administration af en høj dosis på 25 mg </w:t>
      </w:r>
      <w:proofErr w:type="spellStart"/>
      <w:r w:rsidRPr="006D6DFA">
        <w:rPr>
          <w:sz w:val="24"/>
          <w:szCs w:val="24"/>
        </w:rPr>
        <w:t>naratriptan</w:t>
      </w:r>
      <w:proofErr w:type="spellEnd"/>
      <w:r w:rsidRPr="006D6DFA">
        <w:rPr>
          <w:sz w:val="24"/>
          <w:szCs w:val="24"/>
        </w:rPr>
        <w:t xml:space="preserve"> til en rask mandlig frivillig øgede blodtrykket med op til 71 </w:t>
      </w:r>
      <w:proofErr w:type="spellStart"/>
      <w:r w:rsidRPr="006D6DFA">
        <w:rPr>
          <w:sz w:val="24"/>
          <w:szCs w:val="24"/>
        </w:rPr>
        <w:t>mmHg</w:t>
      </w:r>
      <w:proofErr w:type="spellEnd"/>
      <w:r w:rsidRPr="006D6DFA">
        <w:rPr>
          <w:sz w:val="24"/>
          <w:szCs w:val="24"/>
        </w:rPr>
        <w:t xml:space="preserve"> og resulterede i bivirkninger, herunder uklarhed, spænding i nakken, træthed og koordinationstab.</w:t>
      </w:r>
    </w:p>
    <w:p w14:paraId="6543CBF7" w14:textId="77777777" w:rsidR="006D6DFA" w:rsidRPr="006D6DFA" w:rsidRDefault="006D6DFA" w:rsidP="00FC01B2">
      <w:pPr>
        <w:ind w:left="851"/>
        <w:rPr>
          <w:sz w:val="24"/>
          <w:szCs w:val="24"/>
        </w:rPr>
      </w:pPr>
    </w:p>
    <w:p w14:paraId="74F4B717" w14:textId="77777777" w:rsidR="006D6DFA" w:rsidRPr="006D6DFA" w:rsidRDefault="006D6DFA" w:rsidP="00FC01B2">
      <w:pPr>
        <w:ind w:left="851"/>
        <w:rPr>
          <w:sz w:val="24"/>
          <w:szCs w:val="24"/>
        </w:rPr>
      </w:pPr>
      <w:r w:rsidRPr="006D6DFA">
        <w:rPr>
          <w:sz w:val="24"/>
          <w:szCs w:val="24"/>
        </w:rPr>
        <w:t>Blodtrykket faldt til udgangsniveau inden for 8 timer efter dosering uden yderligere farmakologisk intervention.</w:t>
      </w:r>
    </w:p>
    <w:p w14:paraId="6B20F0ED" w14:textId="77777777" w:rsidR="006D6DFA" w:rsidRPr="006D6DFA" w:rsidRDefault="006D6DFA" w:rsidP="00FC01B2">
      <w:pPr>
        <w:ind w:left="851"/>
        <w:rPr>
          <w:sz w:val="24"/>
          <w:szCs w:val="24"/>
        </w:rPr>
      </w:pPr>
    </w:p>
    <w:p w14:paraId="69C7B2CD" w14:textId="77777777" w:rsidR="006D6DFA" w:rsidRPr="006D6DFA" w:rsidRDefault="006D6DFA" w:rsidP="00FC01B2">
      <w:pPr>
        <w:ind w:left="851"/>
        <w:rPr>
          <w:sz w:val="24"/>
          <w:szCs w:val="24"/>
        </w:rPr>
      </w:pPr>
      <w:r w:rsidRPr="006D6DFA">
        <w:rPr>
          <w:sz w:val="24"/>
          <w:szCs w:val="24"/>
        </w:rPr>
        <w:t xml:space="preserve">Det vides ikke, hvilken effekt hæmodialyse eller </w:t>
      </w:r>
      <w:proofErr w:type="spellStart"/>
      <w:r w:rsidRPr="006D6DFA">
        <w:rPr>
          <w:sz w:val="24"/>
          <w:szCs w:val="24"/>
        </w:rPr>
        <w:t>peritonealdialyse</w:t>
      </w:r>
      <w:proofErr w:type="spellEnd"/>
      <w:r w:rsidRPr="006D6DFA">
        <w:rPr>
          <w:sz w:val="24"/>
          <w:szCs w:val="24"/>
        </w:rPr>
        <w:t xml:space="preserve"> har på plasma-koncentrationen af </w:t>
      </w:r>
      <w:proofErr w:type="spellStart"/>
      <w:r w:rsidRPr="006D6DFA">
        <w:rPr>
          <w:sz w:val="24"/>
          <w:szCs w:val="24"/>
        </w:rPr>
        <w:t>naratriptan</w:t>
      </w:r>
      <w:proofErr w:type="spellEnd"/>
      <w:r w:rsidRPr="006D6DFA">
        <w:rPr>
          <w:sz w:val="24"/>
          <w:szCs w:val="24"/>
        </w:rPr>
        <w:t>.</w:t>
      </w:r>
    </w:p>
    <w:p w14:paraId="2D23424F" w14:textId="77777777" w:rsidR="006D6DFA" w:rsidRPr="006D6DFA" w:rsidRDefault="006D6DFA" w:rsidP="00FC01B2">
      <w:pPr>
        <w:ind w:left="851"/>
        <w:rPr>
          <w:i/>
          <w:sz w:val="24"/>
          <w:szCs w:val="24"/>
        </w:rPr>
      </w:pPr>
    </w:p>
    <w:p w14:paraId="3CB39064" w14:textId="77777777" w:rsidR="006D6DFA" w:rsidRPr="006D6DFA" w:rsidRDefault="006D6DFA" w:rsidP="00FC01B2">
      <w:pPr>
        <w:ind w:left="851"/>
        <w:rPr>
          <w:i/>
          <w:sz w:val="24"/>
          <w:szCs w:val="24"/>
        </w:rPr>
      </w:pPr>
      <w:r w:rsidRPr="006D6DFA">
        <w:rPr>
          <w:i/>
          <w:sz w:val="24"/>
          <w:szCs w:val="24"/>
        </w:rPr>
        <w:t>Behandling</w:t>
      </w:r>
    </w:p>
    <w:p w14:paraId="4FB70EF0" w14:textId="77777777" w:rsidR="006D6DFA" w:rsidRPr="006D6DFA" w:rsidRDefault="006D6DFA" w:rsidP="00FC01B2">
      <w:pPr>
        <w:ind w:left="851"/>
        <w:rPr>
          <w:sz w:val="24"/>
          <w:szCs w:val="24"/>
        </w:rPr>
      </w:pPr>
      <w:r w:rsidRPr="006D6DFA">
        <w:rPr>
          <w:sz w:val="24"/>
          <w:szCs w:val="24"/>
        </w:rPr>
        <w:t>Ved overdosering bør patienten overvåges i mindst 24 timer, og symptomatisk behandling iværksættes om nødvendigt.</w:t>
      </w:r>
    </w:p>
    <w:p w14:paraId="3574F29E" w14:textId="77777777" w:rsidR="009260DE" w:rsidRPr="00C84483" w:rsidRDefault="009260DE" w:rsidP="009260DE">
      <w:pPr>
        <w:tabs>
          <w:tab w:val="left" w:pos="851"/>
        </w:tabs>
        <w:ind w:left="851"/>
        <w:rPr>
          <w:sz w:val="24"/>
          <w:szCs w:val="24"/>
        </w:rPr>
      </w:pPr>
    </w:p>
    <w:p w14:paraId="628C6C71"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40290B1C" w14:textId="71D16B05" w:rsidR="009260DE" w:rsidRPr="00C84483" w:rsidRDefault="006D6DFA" w:rsidP="009260DE">
      <w:pPr>
        <w:tabs>
          <w:tab w:val="left" w:pos="851"/>
        </w:tabs>
        <w:ind w:left="851"/>
        <w:rPr>
          <w:sz w:val="24"/>
          <w:szCs w:val="24"/>
        </w:rPr>
      </w:pPr>
      <w:r>
        <w:rPr>
          <w:sz w:val="24"/>
          <w:szCs w:val="24"/>
        </w:rPr>
        <w:t>B</w:t>
      </w:r>
    </w:p>
    <w:p w14:paraId="019C05C5" w14:textId="77777777" w:rsidR="009260DE" w:rsidRPr="00C84483" w:rsidRDefault="009260DE" w:rsidP="009260DE">
      <w:pPr>
        <w:tabs>
          <w:tab w:val="left" w:pos="851"/>
        </w:tabs>
        <w:ind w:left="851"/>
        <w:rPr>
          <w:sz w:val="24"/>
          <w:szCs w:val="24"/>
        </w:rPr>
      </w:pPr>
    </w:p>
    <w:p w14:paraId="59960CD0" w14:textId="02C5E00F" w:rsidR="00862ED6" w:rsidRDefault="00862ED6">
      <w:pPr>
        <w:rPr>
          <w:sz w:val="24"/>
          <w:szCs w:val="24"/>
        </w:rPr>
      </w:pPr>
      <w:r>
        <w:rPr>
          <w:sz w:val="24"/>
          <w:szCs w:val="24"/>
        </w:rPr>
        <w:br w:type="page"/>
      </w:r>
    </w:p>
    <w:p w14:paraId="7C315ACA" w14:textId="77777777" w:rsidR="009260DE" w:rsidRPr="00C84483" w:rsidRDefault="009260DE" w:rsidP="009260DE">
      <w:pPr>
        <w:tabs>
          <w:tab w:val="left" w:pos="851"/>
        </w:tabs>
        <w:ind w:left="851"/>
        <w:rPr>
          <w:sz w:val="24"/>
          <w:szCs w:val="24"/>
        </w:rPr>
      </w:pPr>
    </w:p>
    <w:p w14:paraId="6C7674E2"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176EE7EF" w14:textId="77777777" w:rsidR="009260DE" w:rsidRPr="00C84483" w:rsidRDefault="009260DE" w:rsidP="009260DE">
      <w:pPr>
        <w:tabs>
          <w:tab w:val="left" w:pos="851"/>
        </w:tabs>
        <w:ind w:left="851"/>
        <w:rPr>
          <w:sz w:val="24"/>
          <w:szCs w:val="24"/>
        </w:rPr>
      </w:pPr>
    </w:p>
    <w:p w14:paraId="14C4699C"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041B6C0F" w14:textId="77777777" w:rsidR="006D6DFA" w:rsidRPr="006D6DFA" w:rsidRDefault="006D6DFA" w:rsidP="00FC01B2">
      <w:pPr>
        <w:ind w:left="851"/>
        <w:rPr>
          <w:sz w:val="24"/>
          <w:szCs w:val="24"/>
        </w:rPr>
      </w:pPr>
      <w:proofErr w:type="spellStart"/>
      <w:r w:rsidRPr="006D6DFA">
        <w:rPr>
          <w:sz w:val="24"/>
          <w:szCs w:val="24"/>
        </w:rPr>
        <w:t>Farmakoterapeutisk</w:t>
      </w:r>
      <w:proofErr w:type="spellEnd"/>
      <w:r w:rsidRPr="006D6DFA">
        <w:rPr>
          <w:sz w:val="24"/>
          <w:szCs w:val="24"/>
        </w:rPr>
        <w:t xml:space="preserve"> klassifikation: Selektive 5-HT</w:t>
      </w:r>
      <w:r w:rsidRPr="006D6DFA">
        <w:rPr>
          <w:sz w:val="24"/>
          <w:szCs w:val="24"/>
          <w:vertAlign w:val="subscript"/>
        </w:rPr>
        <w:t>1</w:t>
      </w:r>
      <w:r w:rsidRPr="006D6DFA">
        <w:rPr>
          <w:sz w:val="24"/>
          <w:szCs w:val="24"/>
        </w:rPr>
        <w:t>-receptorantagonister, ATC-kode: N02CC02.</w:t>
      </w:r>
    </w:p>
    <w:p w14:paraId="2B0D208A" w14:textId="77777777" w:rsidR="006D6DFA" w:rsidRPr="006D6DFA" w:rsidRDefault="006D6DFA" w:rsidP="00FC01B2">
      <w:pPr>
        <w:ind w:left="851"/>
        <w:rPr>
          <w:sz w:val="24"/>
          <w:szCs w:val="24"/>
        </w:rPr>
      </w:pPr>
    </w:p>
    <w:p w14:paraId="31A6249A" w14:textId="77777777" w:rsidR="006D6DFA" w:rsidRPr="006D6DFA" w:rsidRDefault="006D6DFA" w:rsidP="00FC01B2">
      <w:pPr>
        <w:ind w:left="851"/>
        <w:rPr>
          <w:sz w:val="24"/>
          <w:szCs w:val="24"/>
          <w:u w:val="single"/>
        </w:rPr>
      </w:pPr>
      <w:r w:rsidRPr="006D6DFA">
        <w:rPr>
          <w:sz w:val="24"/>
          <w:szCs w:val="24"/>
          <w:u w:val="single"/>
        </w:rPr>
        <w:t>Virkningsmekanisme</w:t>
      </w:r>
    </w:p>
    <w:p w14:paraId="4DD6F2F3" w14:textId="77777777" w:rsidR="006D6DFA" w:rsidRPr="006D6DFA" w:rsidRDefault="006D6DFA" w:rsidP="00FC01B2">
      <w:pPr>
        <w:ind w:left="851"/>
        <w:rPr>
          <w:sz w:val="24"/>
          <w:szCs w:val="24"/>
        </w:rPr>
      </w:pPr>
      <w:proofErr w:type="spellStart"/>
      <w:r w:rsidRPr="006D6DFA">
        <w:rPr>
          <w:sz w:val="24"/>
          <w:szCs w:val="24"/>
        </w:rPr>
        <w:t>Naratriptan</w:t>
      </w:r>
      <w:proofErr w:type="spellEnd"/>
      <w:r w:rsidRPr="006D6DFA">
        <w:rPr>
          <w:sz w:val="24"/>
          <w:szCs w:val="24"/>
        </w:rPr>
        <w:t xml:space="preserve"> er en selektiv agonist til 5-hydroxytryptamin-1 (5-HT</w:t>
      </w:r>
      <w:proofErr w:type="gramStart"/>
      <w:r w:rsidRPr="006D6DFA">
        <w:rPr>
          <w:sz w:val="24"/>
          <w:szCs w:val="24"/>
          <w:vertAlign w:val="subscript"/>
        </w:rPr>
        <w:t>1</w:t>
      </w:r>
      <w:r w:rsidRPr="006D6DFA">
        <w:rPr>
          <w:sz w:val="24"/>
          <w:szCs w:val="24"/>
        </w:rPr>
        <w:t>)-</w:t>
      </w:r>
      <w:proofErr w:type="gramEnd"/>
      <w:r w:rsidRPr="006D6DFA">
        <w:rPr>
          <w:sz w:val="24"/>
          <w:szCs w:val="24"/>
        </w:rPr>
        <w:t xml:space="preserve">receptorer, som forårsager vaskulær kontraktion. </w:t>
      </w:r>
      <w:proofErr w:type="spellStart"/>
      <w:r w:rsidRPr="006D6DFA">
        <w:rPr>
          <w:sz w:val="24"/>
          <w:szCs w:val="24"/>
        </w:rPr>
        <w:t>Naratriptan</w:t>
      </w:r>
      <w:proofErr w:type="spellEnd"/>
      <w:r w:rsidRPr="006D6DFA">
        <w:rPr>
          <w:sz w:val="24"/>
          <w:szCs w:val="24"/>
        </w:rPr>
        <w:t xml:space="preserve"> har høj affinitet til klonede humane 5-HT</w:t>
      </w:r>
      <w:r w:rsidRPr="006D6DFA">
        <w:rPr>
          <w:sz w:val="24"/>
          <w:szCs w:val="24"/>
          <w:vertAlign w:val="subscript"/>
        </w:rPr>
        <w:t>1B</w:t>
      </w:r>
      <w:r w:rsidRPr="006D6DFA">
        <w:rPr>
          <w:sz w:val="24"/>
          <w:szCs w:val="24"/>
        </w:rPr>
        <w:t>- og 5-HT</w:t>
      </w:r>
      <w:r w:rsidRPr="006D6DFA">
        <w:rPr>
          <w:sz w:val="24"/>
          <w:szCs w:val="24"/>
          <w:vertAlign w:val="subscript"/>
        </w:rPr>
        <w:t>1D</w:t>
      </w:r>
      <w:r w:rsidRPr="006D6DFA">
        <w:rPr>
          <w:sz w:val="24"/>
          <w:szCs w:val="24"/>
        </w:rPr>
        <w:t>-receptorer; den humane 5-HT</w:t>
      </w:r>
      <w:r w:rsidRPr="006D6DFA">
        <w:rPr>
          <w:sz w:val="24"/>
          <w:szCs w:val="24"/>
          <w:vertAlign w:val="subscript"/>
        </w:rPr>
        <w:t>1B</w:t>
      </w:r>
      <w:r w:rsidRPr="006D6DFA">
        <w:rPr>
          <w:sz w:val="24"/>
          <w:szCs w:val="24"/>
        </w:rPr>
        <w:t>-receptor antages at svare til den vaskulære 5-HT</w:t>
      </w:r>
      <w:r w:rsidRPr="006D6DFA">
        <w:rPr>
          <w:sz w:val="24"/>
          <w:szCs w:val="24"/>
          <w:vertAlign w:val="subscript"/>
        </w:rPr>
        <w:t>1</w:t>
      </w:r>
      <w:r w:rsidRPr="006D6DFA">
        <w:rPr>
          <w:sz w:val="24"/>
          <w:szCs w:val="24"/>
        </w:rPr>
        <w:t xml:space="preserve">receptor, som forårsager kontraktion af </w:t>
      </w:r>
      <w:proofErr w:type="spellStart"/>
      <w:r w:rsidRPr="006D6DFA">
        <w:rPr>
          <w:sz w:val="24"/>
          <w:szCs w:val="24"/>
        </w:rPr>
        <w:t>intrakranielle</w:t>
      </w:r>
      <w:proofErr w:type="spellEnd"/>
      <w:r w:rsidRPr="006D6DFA">
        <w:rPr>
          <w:sz w:val="24"/>
          <w:szCs w:val="24"/>
        </w:rPr>
        <w:t xml:space="preserve"> blodkar. </w:t>
      </w:r>
      <w:proofErr w:type="spellStart"/>
      <w:r w:rsidRPr="006D6DFA">
        <w:rPr>
          <w:sz w:val="24"/>
          <w:szCs w:val="24"/>
        </w:rPr>
        <w:t>Naratriptan</w:t>
      </w:r>
      <w:proofErr w:type="spellEnd"/>
      <w:r w:rsidRPr="006D6DFA">
        <w:rPr>
          <w:sz w:val="24"/>
          <w:szCs w:val="24"/>
        </w:rPr>
        <w:t xml:space="preserve"> har lille eller ingen effekt på andre 5-HT-receptorundertyper (5-HT</w:t>
      </w:r>
      <w:r w:rsidRPr="006D6DFA">
        <w:rPr>
          <w:sz w:val="24"/>
          <w:szCs w:val="24"/>
          <w:vertAlign w:val="subscript"/>
        </w:rPr>
        <w:t>2</w:t>
      </w:r>
      <w:r w:rsidRPr="006D6DFA">
        <w:rPr>
          <w:sz w:val="24"/>
          <w:szCs w:val="24"/>
        </w:rPr>
        <w:t>, 5-HT</w:t>
      </w:r>
      <w:r w:rsidRPr="006D6DFA">
        <w:rPr>
          <w:sz w:val="24"/>
          <w:szCs w:val="24"/>
          <w:vertAlign w:val="subscript"/>
        </w:rPr>
        <w:t>3</w:t>
      </w:r>
      <w:r w:rsidRPr="006D6DFA">
        <w:rPr>
          <w:sz w:val="24"/>
          <w:szCs w:val="24"/>
        </w:rPr>
        <w:t>, 5-HT</w:t>
      </w:r>
      <w:r w:rsidRPr="006D6DFA">
        <w:rPr>
          <w:sz w:val="24"/>
          <w:szCs w:val="24"/>
          <w:vertAlign w:val="subscript"/>
        </w:rPr>
        <w:t>4</w:t>
      </w:r>
      <w:r w:rsidRPr="006D6DFA">
        <w:rPr>
          <w:sz w:val="24"/>
          <w:szCs w:val="24"/>
        </w:rPr>
        <w:t xml:space="preserve"> og 5-HT</w:t>
      </w:r>
      <w:r w:rsidRPr="006D6DFA">
        <w:rPr>
          <w:sz w:val="24"/>
          <w:szCs w:val="24"/>
          <w:vertAlign w:val="subscript"/>
        </w:rPr>
        <w:t>7</w:t>
      </w:r>
      <w:r w:rsidRPr="006D6DFA">
        <w:rPr>
          <w:sz w:val="24"/>
          <w:szCs w:val="24"/>
        </w:rPr>
        <w:t>).</w:t>
      </w:r>
    </w:p>
    <w:p w14:paraId="4A33274C" w14:textId="77777777" w:rsidR="006D6DFA" w:rsidRPr="006D6DFA" w:rsidRDefault="006D6DFA" w:rsidP="00FC01B2">
      <w:pPr>
        <w:ind w:left="851"/>
        <w:rPr>
          <w:sz w:val="24"/>
          <w:szCs w:val="24"/>
        </w:rPr>
      </w:pPr>
    </w:p>
    <w:p w14:paraId="27777257" w14:textId="77777777" w:rsidR="006D6DFA" w:rsidRPr="006D6DFA" w:rsidRDefault="006D6DFA" w:rsidP="00FC01B2">
      <w:pPr>
        <w:ind w:left="851"/>
        <w:rPr>
          <w:sz w:val="24"/>
          <w:szCs w:val="24"/>
        </w:rPr>
      </w:pPr>
      <w:r w:rsidRPr="006D6DFA">
        <w:rPr>
          <w:sz w:val="24"/>
          <w:szCs w:val="24"/>
        </w:rPr>
        <w:t xml:space="preserve">Hos dyr kontraherer </w:t>
      </w:r>
      <w:proofErr w:type="spellStart"/>
      <w:r w:rsidRPr="006D6DFA">
        <w:rPr>
          <w:sz w:val="24"/>
          <w:szCs w:val="24"/>
        </w:rPr>
        <w:t>naratriptan</w:t>
      </w:r>
      <w:proofErr w:type="spellEnd"/>
      <w:r w:rsidRPr="006D6DFA">
        <w:rPr>
          <w:sz w:val="24"/>
          <w:szCs w:val="24"/>
        </w:rPr>
        <w:t xml:space="preserve"> selektivt cirkulationen i </w:t>
      </w:r>
      <w:proofErr w:type="spellStart"/>
      <w:r w:rsidRPr="006D6DFA">
        <w:rPr>
          <w:sz w:val="24"/>
          <w:szCs w:val="24"/>
        </w:rPr>
        <w:t>carotisarterierne</w:t>
      </w:r>
      <w:proofErr w:type="spellEnd"/>
      <w:r w:rsidRPr="006D6DFA">
        <w:rPr>
          <w:sz w:val="24"/>
          <w:szCs w:val="24"/>
        </w:rPr>
        <w:t xml:space="preserve">. </w:t>
      </w:r>
      <w:proofErr w:type="gramStart"/>
      <w:r w:rsidRPr="006D6DFA">
        <w:rPr>
          <w:sz w:val="24"/>
          <w:szCs w:val="24"/>
        </w:rPr>
        <w:t>Endvidere</w:t>
      </w:r>
      <w:proofErr w:type="gramEnd"/>
      <w:r w:rsidRPr="006D6DFA">
        <w:rPr>
          <w:sz w:val="24"/>
          <w:szCs w:val="24"/>
        </w:rPr>
        <w:t xml:space="preserve"> tyder dyreundersøgelser på, at </w:t>
      </w:r>
      <w:proofErr w:type="spellStart"/>
      <w:r w:rsidRPr="006D6DFA">
        <w:rPr>
          <w:sz w:val="24"/>
          <w:szCs w:val="24"/>
        </w:rPr>
        <w:t>naratriptan</w:t>
      </w:r>
      <w:proofErr w:type="spellEnd"/>
      <w:r w:rsidRPr="006D6DFA">
        <w:rPr>
          <w:sz w:val="24"/>
          <w:szCs w:val="24"/>
        </w:rPr>
        <w:t xml:space="preserve"> hæmmer aktiviteten af </w:t>
      </w:r>
      <w:proofErr w:type="spellStart"/>
      <w:r w:rsidRPr="006D6DFA">
        <w:rPr>
          <w:sz w:val="24"/>
          <w:szCs w:val="24"/>
        </w:rPr>
        <w:t>trigeminusnerven</w:t>
      </w:r>
      <w:proofErr w:type="spellEnd"/>
      <w:r w:rsidRPr="006D6DFA">
        <w:rPr>
          <w:sz w:val="24"/>
          <w:szCs w:val="24"/>
        </w:rPr>
        <w:t xml:space="preserve">. Begge disse mekanismer kan medvirke til </w:t>
      </w:r>
      <w:proofErr w:type="spellStart"/>
      <w:r w:rsidRPr="006D6DFA">
        <w:rPr>
          <w:sz w:val="24"/>
          <w:szCs w:val="24"/>
        </w:rPr>
        <w:t>naratriptans</w:t>
      </w:r>
      <w:proofErr w:type="spellEnd"/>
      <w:r w:rsidRPr="006D6DFA">
        <w:rPr>
          <w:sz w:val="24"/>
          <w:szCs w:val="24"/>
        </w:rPr>
        <w:t xml:space="preserve"> effekt på migræne hos mennesker.</w:t>
      </w:r>
    </w:p>
    <w:p w14:paraId="2C6A4461" w14:textId="77777777" w:rsidR="006D6DFA" w:rsidRPr="006D6DFA" w:rsidRDefault="006D6DFA" w:rsidP="00FC01B2">
      <w:pPr>
        <w:ind w:left="851"/>
        <w:rPr>
          <w:sz w:val="24"/>
          <w:szCs w:val="24"/>
        </w:rPr>
      </w:pPr>
    </w:p>
    <w:p w14:paraId="03CE0FBD" w14:textId="77777777" w:rsidR="006D6DFA" w:rsidRPr="006D6DFA" w:rsidRDefault="006D6DFA" w:rsidP="00FC01B2">
      <w:pPr>
        <w:ind w:left="851"/>
        <w:rPr>
          <w:sz w:val="24"/>
          <w:szCs w:val="24"/>
          <w:u w:val="single"/>
        </w:rPr>
      </w:pPr>
      <w:r w:rsidRPr="006D6DFA">
        <w:rPr>
          <w:sz w:val="24"/>
          <w:szCs w:val="24"/>
          <w:u w:val="single"/>
        </w:rPr>
        <w:t>Klinisk virkning</w:t>
      </w:r>
    </w:p>
    <w:p w14:paraId="133E789D" w14:textId="77777777" w:rsidR="006D6DFA" w:rsidRPr="006D6DFA" w:rsidRDefault="006D6DFA" w:rsidP="00FC01B2">
      <w:pPr>
        <w:ind w:left="851"/>
        <w:rPr>
          <w:sz w:val="24"/>
          <w:szCs w:val="24"/>
        </w:rPr>
      </w:pPr>
      <w:r w:rsidRPr="006D6DFA">
        <w:rPr>
          <w:sz w:val="24"/>
          <w:szCs w:val="24"/>
        </w:rPr>
        <w:t xml:space="preserve">I kliniske studier indtræder virkningen efter en time og den maksimale virkning opnås efter fire timer. Initialvirkningen af </w:t>
      </w:r>
      <w:proofErr w:type="spellStart"/>
      <w:r w:rsidRPr="006D6DFA">
        <w:rPr>
          <w:sz w:val="24"/>
          <w:szCs w:val="24"/>
        </w:rPr>
        <w:t>naratriptan</w:t>
      </w:r>
      <w:proofErr w:type="spellEnd"/>
      <w:r w:rsidRPr="006D6DFA">
        <w:rPr>
          <w:sz w:val="24"/>
          <w:szCs w:val="24"/>
        </w:rPr>
        <w:t xml:space="preserve"> 2,5 mg var lidt lavere end af </w:t>
      </w:r>
      <w:proofErr w:type="spellStart"/>
      <w:r w:rsidRPr="006D6DFA">
        <w:rPr>
          <w:sz w:val="24"/>
          <w:szCs w:val="24"/>
        </w:rPr>
        <w:t>sumatriptan</w:t>
      </w:r>
      <w:proofErr w:type="spellEnd"/>
      <w:r w:rsidRPr="006D6DFA">
        <w:rPr>
          <w:sz w:val="24"/>
          <w:szCs w:val="24"/>
        </w:rPr>
        <w:t xml:space="preserve"> 100 mg. Effekten over 24 timer er dog den samme for begge stoffer og forekomsten af bivirkninger i de kliniske studier var lidt lavere med </w:t>
      </w:r>
      <w:proofErr w:type="spellStart"/>
      <w:r w:rsidRPr="006D6DFA">
        <w:rPr>
          <w:sz w:val="24"/>
          <w:szCs w:val="24"/>
        </w:rPr>
        <w:t>naratriptan</w:t>
      </w:r>
      <w:proofErr w:type="spellEnd"/>
      <w:r w:rsidRPr="006D6DFA">
        <w:rPr>
          <w:sz w:val="24"/>
          <w:szCs w:val="24"/>
        </w:rPr>
        <w:t xml:space="preserve"> 2,5 mg end med </w:t>
      </w:r>
      <w:proofErr w:type="spellStart"/>
      <w:r w:rsidRPr="006D6DFA">
        <w:rPr>
          <w:sz w:val="24"/>
          <w:szCs w:val="24"/>
        </w:rPr>
        <w:t>sumatriptan</w:t>
      </w:r>
      <w:proofErr w:type="spellEnd"/>
      <w:r w:rsidRPr="006D6DFA">
        <w:rPr>
          <w:sz w:val="24"/>
          <w:szCs w:val="24"/>
        </w:rPr>
        <w:t xml:space="preserve"> 100 mg. Der er ikke udført studier, hvor </w:t>
      </w:r>
      <w:proofErr w:type="spellStart"/>
      <w:r w:rsidRPr="006D6DFA">
        <w:rPr>
          <w:sz w:val="24"/>
          <w:szCs w:val="24"/>
        </w:rPr>
        <w:t>naratriptan</w:t>
      </w:r>
      <w:proofErr w:type="spellEnd"/>
      <w:r w:rsidRPr="006D6DFA">
        <w:rPr>
          <w:sz w:val="24"/>
          <w:szCs w:val="24"/>
        </w:rPr>
        <w:t xml:space="preserve"> 2,5 mg sammenlignes med </w:t>
      </w:r>
      <w:proofErr w:type="spellStart"/>
      <w:r w:rsidRPr="006D6DFA">
        <w:rPr>
          <w:sz w:val="24"/>
          <w:szCs w:val="24"/>
        </w:rPr>
        <w:t>sumatriptan</w:t>
      </w:r>
      <w:proofErr w:type="spellEnd"/>
      <w:r w:rsidRPr="006D6DFA">
        <w:rPr>
          <w:sz w:val="24"/>
          <w:szCs w:val="24"/>
        </w:rPr>
        <w:t xml:space="preserve"> 50 mg.</w:t>
      </w:r>
    </w:p>
    <w:p w14:paraId="78C759A3" w14:textId="77777777" w:rsidR="009260DE" w:rsidRPr="00C84483" w:rsidRDefault="009260DE" w:rsidP="00FC01B2">
      <w:pPr>
        <w:ind w:left="851"/>
        <w:rPr>
          <w:sz w:val="24"/>
          <w:szCs w:val="24"/>
        </w:rPr>
      </w:pPr>
    </w:p>
    <w:p w14:paraId="12C6C0B2"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59E73A3B" w14:textId="77777777" w:rsidR="00B77A34" w:rsidRDefault="00B77A34" w:rsidP="00FC01B2">
      <w:pPr>
        <w:ind w:left="851"/>
        <w:rPr>
          <w:sz w:val="24"/>
          <w:szCs w:val="24"/>
          <w:u w:val="single"/>
        </w:rPr>
      </w:pPr>
    </w:p>
    <w:p w14:paraId="335B0072" w14:textId="2DEC362D" w:rsidR="006D6DFA" w:rsidRPr="006D6DFA" w:rsidRDefault="006D6DFA" w:rsidP="00FC01B2">
      <w:pPr>
        <w:ind w:left="851"/>
        <w:rPr>
          <w:sz w:val="24"/>
          <w:szCs w:val="24"/>
          <w:u w:val="single"/>
        </w:rPr>
      </w:pPr>
      <w:r w:rsidRPr="006D6DFA">
        <w:rPr>
          <w:sz w:val="24"/>
          <w:szCs w:val="24"/>
          <w:u w:val="single"/>
        </w:rPr>
        <w:t>Absorption</w:t>
      </w:r>
    </w:p>
    <w:p w14:paraId="452CD3AE" w14:textId="77777777" w:rsidR="006D6DFA" w:rsidRPr="006D6DFA" w:rsidRDefault="006D6DFA" w:rsidP="00FC01B2">
      <w:pPr>
        <w:ind w:left="851"/>
        <w:rPr>
          <w:sz w:val="24"/>
          <w:szCs w:val="24"/>
        </w:rPr>
      </w:pPr>
      <w:r w:rsidRPr="006D6DFA">
        <w:rPr>
          <w:sz w:val="24"/>
          <w:szCs w:val="24"/>
        </w:rPr>
        <w:t xml:space="preserve">Efter peroral administration af </w:t>
      </w:r>
      <w:proofErr w:type="spellStart"/>
      <w:r w:rsidRPr="006D6DFA">
        <w:rPr>
          <w:sz w:val="24"/>
          <w:szCs w:val="24"/>
        </w:rPr>
        <w:t>naratriptan</w:t>
      </w:r>
      <w:proofErr w:type="spellEnd"/>
      <w:r w:rsidRPr="006D6DFA">
        <w:rPr>
          <w:sz w:val="24"/>
          <w:szCs w:val="24"/>
        </w:rPr>
        <w:t xml:space="preserve">, ses maksimal plasmakoncentration efter 2-3 timer. Efter indtagelse af én 2,5 mg </w:t>
      </w:r>
      <w:proofErr w:type="spellStart"/>
      <w:r w:rsidRPr="006D6DFA">
        <w:rPr>
          <w:sz w:val="24"/>
          <w:szCs w:val="24"/>
        </w:rPr>
        <w:t>naratriptan</w:t>
      </w:r>
      <w:proofErr w:type="spellEnd"/>
      <w:r w:rsidRPr="006D6DFA">
        <w:rPr>
          <w:sz w:val="24"/>
          <w:szCs w:val="24"/>
        </w:rPr>
        <w:t xml:space="preserve"> tablet er </w:t>
      </w:r>
      <w:proofErr w:type="spellStart"/>
      <w:r w:rsidRPr="006D6DFA">
        <w:rPr>
          <w:sz w:val="24"/>
          <w:szCs w:val="24"/>
        </w:rPr>
        <w:t>C</w:t>
      </w:r>
      <w:r w:rsidRPr="006D6DFA">
        <w:rPr>
          <w:sz w:val="24"/>
          <w:szCs w:val="24"/>
          <w:vertAlign w:val="subscript"/>
        </w:rPr>
        <w:t>max</w:t>
      </w:r>
      <w:proofErr w:type="spellEnd"/>
      <w:r w:rsidRPr="006D6DFA">
        <w:rPr>
          <w:sz w:val="24"/>
          <w:szCs w:val="24"/>
          <w:vertAlign w:val="subscript"/>
        </w:rPr>
        <w:t xml:space="preserve"> </w:t>
      </w:r>
      <w:r w:rsidRPr="006D6DFA">
        <w:rPr>
          <w:sz w:val="24"/>
          <w:szCs w:val="24"/>
        </w:rPr>
        <w:t xml:space="preserve">ca. 8,3 </w:t>
      </w:r>
      <w:proofErr w:type="spellStart"/>
      <w:r w:rsidRPr="006D6DFA">
        <w:rPr>
          <w:sz w:val="24"/>
          <w:szCs w:val="24"/>
        </w:rPr>
        <w:t>ng</w:t>
      </w:r>
      <w:proofErr w:type="spellEnd"/>
      <w:r w:rsidRPr="006D6DFA">
        <w:rPr>
          <w:sz w:val="24"/>
          <w:szCs w:val="24"/>
        </w:rPr>
        <w:t xml:space="preserve">/ml hos kvinder (95 % CI: 6,5 til 10,5 </w:t>
      </w:r>
      <w:proofErr w:type="spellStart"/>
      <w:r w:rsidRPr="006D6DFA">
        <w:rPr>
          <w:sz w:val="24"/>
          <w:szCs w:val="24"/>
        </w:rPr>
        <w:t>ng</w:t>
      </w:r>
      <w:proofErr w:type="spellEnd"/>
      <w:r w:rsidRPr="006D6DFA">
        <w:rPr>
          <w:sz w:val="24"/>
          <w:szCs w:val="24"/>
        </w:rPr>
        <w:t xml:space="preserve">/ml) og 5,4 </w:t>
      </w:r>
      <w:proofErr w:type="spellStart"/>
      <w:r w:rsidRPr="006D6DFA">
        <w:rPr>
          <w:sz w:val="24"/>
          <w:szCs w:val="24"/>
        </w:rPr>
        <w:t>ng</w:t>
      </w:r>
      <w:proofErr w:type="spellEnd"/>
      <w:r w:rsidRPr="006D6DFA">
        <w:rPr>
          <w:sz w:val="24"/>
          <w:szCs w:val="24"/>
        </w:rPr>
        <w:t xml:space="preserve">/ml hos mænd (95 % CI: 4,7 til 6,1 </w:t>
      </w:r>
      <w:proofErr w:type="spellStart"/>
      <w:r w:rsidRPr="006D6DFA">
        <w:rPr>
          <w:sz w:val="24"/>
          <w:szCs w:val="24"/>
        </w:rPr>
        <w:t>ng</w:t>
      </w:r>
      <w:proofErr w:type="spellEnd"/>
      <w:r w:rsidRPr="006D6DFA">
        <w:rPr>
          <w:sz w:val="24"/>
          <w:szCs w:val="24"/>
        </w:rPr>
        <w:t>/ml).</w:t>
      </w:r>
    </w:p>
    <w:p w14:paraId="63C191E0" w14:textId="77777777" w:rsidR="006D6DFA" w:rsidRPr="006D6DFA" w:rsidRDefault="006D6DFA" w:rsidP="00FC01B2">
      <w:pPr>
        <w:ind w:left="851"/>
        <w:rPr>
          <w:sz w:val="24"/>
          <w:szCs w:val="24"/>
        </w:rPr>
      </w:pPr>
    </w:p>
    <w:p w14:paraId="14062C26" w14:textId="77777777" w:rsidR="006D6DFA" w:rsidRPr="006D6DFA" w:rsidRDefault="006D6DFA" w:rsidP="00FC01B2">
      <w:pPr>
        <w:ind w:left="851"/>
        <w:rPr>
          <w:sz w:val="24"/>
          <w:szCs w:val="24"/>
        </w:rPr>
      </w:pPr>
      <w:r w:rsidRPr="006D6DFA">
        <w:rPr>
          <w:sz w:val="24"/>
          <w:szCs w:val="24"/>
        </w:rPr>
        <w:t>Den perorale biotilgængelighed er 74 % hos kvinder og 63 % hos mænd uden forskel i effekt eller tolerance ved klinisk brug. Derfor er en kønsafhængig dosisjustering ikke nødvendig.</w:t>
      </w:r>
    </w:p>
    <w:p w14:paraId="4BD86540" w14:textId="77777777" w:rsidR="006D6DFA" w:rsidRPr="006D6DFA" w:rsidRDefault="006D6DFA" w:rsidP="00FC01B2">
      <w:pPr>
        <w:ind w:left="851"/>
        <w:rPr>
          <w:sz w:val="24"/>
          <w:szCs w:val="24"/>
        </w:rPr>
      </w:pPr>
    </w:p>
    <w:p w14:paraId="47B131F9" w14:textId="77777777" w:rsidR="006D6DFA" w:rsidRPr="006D6DFA" w:rsidRDefault="006D6DFA" w:rsidP="00FC01B2">
      <w:pPr>
        <w:ind w:left="851"/>
        <w:rPr>
          <w:sz w:val="24"/>
          <w:szCs w:val="24"/>
          <w:u w:val="single"/>
        </w:rPr>
      </w:pPr>
      <w:r w:rsidRPr="006D6DFA">
        <w:rPr>
          <w:sz w:val="24"/>
          <w:szCs w:val="24"/>
          <w:u w:val="single"/>
        </w:rPr>
        <w:t>Fordeling</w:t>
      </w:r>
    </w:p>
    <w:p w14:paraId="73D7029B" w14:textId="77777777" w:rsidR="006D6DFA" w:rsidRPr="006D6DFA" w:rsidRDefault="006D6DFA" w:rsidP="00FC01B2">
      <w:pPr>
        <w:ind w:left="851"/>
        <w:rPr>
          <w:sz w:val="24"/>
          <w:szCs w:val="24"/>
        </w:rPr>
      </w:pPr>
      <w:r w:rsidRPr="006D6DFA">
        <w:rPr>
          <w:sz w:val="24"/>
          <w:szCs w:val="24"/>
        </w:rPr>
        <w:t xml:space="preserve">Fordelingsvolumen for </w:t>
      </w:r>
      <w:proofErr w:type="spellStart"/>
      <w:r w:rsidRPr="006D6DFA">
        <w:rPr>
          <w:sz w:val="24"/>
          <w:szCs w:val="24"/>
        </w:rPr>
        <w:t>naratriptan</w:t>
      </w:r>
      <w:proofErr w:type="spellEnd"/>
      <w:r w:rsidRPr="006D6DFA">
        <w:rPr>
          <w:sz w:val="24"/>
          <w:szCs w:val="24"/>
        </w:rPr>
        <w:t xml:space="preserve"> er 170 liter. Plasmaproteinbinding er lav (29 %).</w:t>
      </w:r>
    </w:p>
    <w:p w14:paraId="1A8BFCC1" w14:textId="77777777" w:rsidR="006D6DFA" w:rsidRPr="006D6DFA" w:rsidRDefault="006D6DFA" w:rsidP="00FC01B2">
      <w:pPr>
        <w:ind w:left="851"/>
        <w:rPr>
          <w:sz w:val="24"/>
          <w:szCs w:val="24"/>
        </w:rPr>
      </w:pPr>
    </w:p>
    <w:p w14:paraId="076C491D" w14:textId="77777777" w:rsidR="006D6DFA" w:rsidRPr="006D6DFA" w:rsidRDefault="006D6DFA" w:rsidP="00FC01B2">
      <w:pPr>
        <w:ind w:left="851"/>
        <w:rPr>
          <w:sz w:val="24"/>
          <w:szCs w:val="24"/>
          <w:u w:val="single"/>
        </w:rPr>
      </w:pPr>
      <w:r w:rsidRPr="006D6DFA">
        <w:rPr>
          <w:sz w:val="24"/>
          <w:szCs w:val="24"/>
          <w:u w:val="single"/>
        </w:rPr>
        <w:t>Biotransformation</w:t>
      </w:r>
    </w:p>
    <w:p w14:paraId="603D9E92" w14:textId="77777777" w:rsidR="006D6DFA" w:rsidRPr="006D6DFA" w:rsidRDefault="006D6DFA" w:rsidP="00FC01B2">
      <w:pPr>
        <w:ind w:left="851"/>
        <w:rPr>
          <w:sz w:val="24"/>
          <w:szCs w:val="24"/>
        </w:rPr>
      </w:pPr>
      <w:r w:rsidRPr="006D6DFA">
        <w:rPr>
          <w:sz w:val="24"/>
          <w:szCs w:val="24"/>
        </w:rPr>
        <w:t xml:space="preserve">Den gennemsnitlige </w:t>
      </w:r>
      <w:proofErr w:type="spellStart"/>
      <w:r w:rsidRPr="006D6DFA">
        <w:rPr>
          <w:sz w:val="24"/>
          <w:szCs w:val="24"/>
        </w:rPr>
        <w:t>clearance</w:t>
      </w:r>
      <w:proofErr w:type="spellEnd"/>
      <w:r w:rsidRPr="006D6DFA">
        <w:rPr>
          <w:sz w:val="24"/>
          <w:szCs w:val="24"/>
        </w:rPr>
        <w:t xml:space="preserve"> efter intravenøs administration var 470 ml/min hos mænd og 380 ml/min hos kvinder. </w:t>
      </w:r>
      <w:proofErr w:type="spellStart"/>
      <w:r w:rsidRPr="006D6DFA">
        <w:rPr>
          <w:sz w:val="24"/>
          <w:szCs w:val="24"/>
        </w:rPr>
        <w:t>Renal</w:t>
      </w:r>
      <w:proofErr w:type="spellEnd"/>
      <w:r w:rsidRPr="006D6DFA">
        <w:rPr>
          <w:sz w:val="24"/>
          <w:szCs w:val="24"/>
        </w:rPr>
        <w:t xml:space="preserve"> </w:t>
      </w:r>
      <w:proofErr w:type="spellStart"/>
      <w:r w:rsidRPr="006D6DFA">
        <w:rPr>
          <w:sz w:val="24"/>
          <w:szCs w:val="24"/>
        </w:rPr>
        <w:t>clearance</w:t>
      </w:r>
      <w:proofErr w:type="spellEnd"/>
      <w:r w:rsidRPr="006D6DFA">
        <w:rPr>
          <w:sz w:val="24"/>
          <w:szCs w:val="24"/>
        </w:rPr>
        <w:t xml:space="preserve"> er ens for mænd og kvinder, 220 ml/min, og er højere end den </w:t>
      </w:r>
      <w:proofErr w:type="spellStart"/>
      <w:r w:rsidRPr="006D6DFA">
        <w:rPr>
          <w:sz w:val="24"/>
          <w:szCs w:val="24"/>
        </w:rPr>
        <w:t>glomerulære</w:t>
      </w:r>
      <w:proofErr w:type="spellEnd"/>
      <w:r w:rsidRPr="006D6DFA">
        <w:rPr>
          <w:sz w:val="24"/>
          <w:szCs w:val="24"/>
        </w:rPr>
        <w:t xml:space="preserve"> filtrationshastighed, hvilket tyder på, at </w:t>
      </w:r>
      <w:proofErr w:type="spellStart"/>
      <w:r w:rsidRPr="006D6DFA">
        <w:rPr>
          <w:sz w:val="24"/>
          <w:szCs w:val="24"/>
        </w:rPr>
        <w:t>naratriptan</w:t>
      </w:r>
      <w:proofErr w:type="spellEnd"/>
      <w:r w:rsidRPr="006D6DFA">
        <w:rPr>
          <w:sz w:val="24"/>
          <w:szCs w:val="24"/>
        </w:rPr>
        <w:t xml:space="preserve"> udskilles aktivt i </w:t>
      </w:r>
      <w:proofErr w:type="spellStart"/>
      <w:r w:rsidRPr="006D6DFA">
        <w:rPr>
          <w:sz w:val="24"/>
          <w:szCs w:val="24"/>
        </w:rPr>
        <w:t>nyretubuli</w:t>
      </w:r>
      <w:proofErr w:type="spellEnd"/>
      <w:r w:rsidRPr="006D6DFA">
        <w:rPr>
          <w:sz w:val="24"/>
          <w:szCs w:val="24"/>
        </w:rPr>
        <w:t xml:space="preserve">. </w:t>
      </w:r>
      <w:proofErr w:type="spellStart"/>
      <w:r w:rsidRPr="006D6DFA">
        <w:rPr>
          <w:sz w:val="24"/>
          <w:szCs w:val="24"/>
        </w:rPr>
        <w:t>Naratriptan</w:t>
      </w:r>
      <w:proofErr w:type="spellEnd"/>
      <w:r w:rsidRPr="006D6DFA">
        <w:rPr>
          <w:sz w:val="24"/>
          <w:szCs w:val="24"/>
        </w:rPr>
        <w:t xml:space="preserve"> udskilles hovedsageligt i urinen, hvor 50 % af dosis genfindes som </w:t>
      </w:r>
      <w:proofErr w:type="spellStart"/>
      <w:r w:rsidRPr="006D6DFA">
        <w:rPr>
          <w:sz w:val="24"/>
          <w:szCs w:val="24"/>
        </w:rPr>
        <w:t>uomdannet</w:t>
      </w:r>
      <w:proofErr w:type="spellEnd"/>
      <w:r w:rsidRPr="006D6DFA">
        <w:rPr>
          <w:sz w:val="24"/>
          <w:szCs w:val="24"/>
        </w:rPr>
        <w:t xml:space="preserve"> </w:t>
      </w:r>
      <w:proofErr w:type="spellStart"/>
      <w:r w:rsidRPr="006D6DFA">
        <w:rPr>
          <w:sz w:val="24"/>
          <w:szCs w:val="24"/>
        </w:rPr>
        <w:t>naratriptan</w:t>
      </w:r>
      <w:proofErr w:type="spellEnd"/>
      <w:r w:rsidRPr="006D6DFA">
        <w:rPr>
          <w:sz w:val="24"/>
          <w:szCs w:val="24"/>
        </w:rPr>
        <w:t>, og 30 % genfindes som inaktive metabolitter.</w:t>
      </w:r>
      <w:r w:rsidRPr="006D6DFA">
        <w:rPr>
          <w:i/>
          <w:sz w:val="24"/>
          <w:szCs w:val="24"/>
        </w:rPr>
        <w:t xml:space="preserve"> In </w:t>
      </w:r>
      <w:proofErr w:type="spellStart"/>
      <w:r w:rsidRPr="006D6DFA">
        <w:rPr>
          <w:i/>
          <w:sz w:val="24"/>
          <w:szCs w:val="24"/>
        </w:rPr>
        <w:t>vitro</w:t>
      </w:r>
      <w:proofErr w:type="spellEnd"/>
      <w:r w:rsidRPr="006D6DFA">
        <w:rPr>
          <w:i/>
          <w:sz w:val="24"/>
          <w:szCs w:val="24"/>
        </w:rPr>
        <w:t xml:space="preserve"> </w:t>
      </w:r>
      <w:r w:rsidRPr="006D6DFA">
        <w:rPr>
          <w:sz w:val="24"/>
          <w:szCs w:val="24"/>
        </w:rPr>
        <w:t xml:space="preserve">bliver </w:t>
      </w:r>
      <w:proofErr w:type="spellStart"/>
      <w:r w:rsidRPr="006D6DFA">
        <w:rPr>
          <w:sz w:val="24"/>
          <w:szCs w:val="24"/>
        </w:rPr>
        <w:t>naratriptan</w:t>
      </w:r>
      <w:proofErr w:type="spellEnd"/>
      <w:r w:rsidRPr="006D6DFA">
        <w:rPr>
          <w:sz w:val="24"/>
          <w:szCs w:val="24"/>
        </w:rPr>
        <w:t xml:space="preserve"> </w:t>
      </w:r>
      <w:proofErr w:type="spellStart"/>
      <w:r w:rsidRPr="006D6DFA">
        <w:rPr>
          <w:sz w:val="24"/>
          <w:szCs w:val="24"/>
        </w:rPr>
        <w:t>metaboliseret</w:t>
      </w:r>
      <w:proofErr w:type="spellEnd"/>
      <w:r w:rsidRPr="006D6DFA">
        <w:rPr>
          <w:sz w:val="24"/>
          <w:szCs w:val="24"/>
        </w:rPr>
        <w:t xml:space="preserve"> af en lang række </w:t>
      </w:r>
      <w:proofErr w:type="spellStart"/>
      <w:r w:rsidRPr="006D6DFA">
        <w:rPr>
          <w:sz w:val="24"/>
          <w:szCs w:val="24"/>
        </w:rPr>
        <w:t>cytokrom</w:t>
      </w:r>
      <w:proofErr w:type="spellEnd"/>
      <w:r w:rsidRPr="006D6DFA">
        <w:rPr>
          <w:sz w:val="24"/>
          <w:szCs w:val="24"/>
        </w:rPr>
        <w:t xml:space="preserve"> P450-isoenzymer. Som konsekvens heraf forventes ingen nævneværdig metaboliske interaktioner med </w:t>
      </w:r>
      <w:proofErr w:type="spellStart"/>
      <w:r w:rsidRPr="006D6DFA">
        <w:rPr>
          <w:sz w:val="24"/>
          <w:szCs w:val="24"/>
        </w:rPr>
        <w:t>naratriptan</w:t>
      </w:r>
      <w:proofErr w:type="spellEnd"/>
      <w:r w:rsidRPr="006D6DFA">
        <w:rPr>
          <w:sz w:val="24"/>
          <w:szCs w:val="24"/>
        </w:rPr>
        <w:t xml:space="preserve"> (se pkt. 4.5).</w:t>
      </w:r>
    </w:p>
    <w:p w14:paraId="36F93A5B" w14:textId="77777777" w:rsidR="006D6DFA" w:rsidRPr="006D6DFA" w:rsidRDefault="006D6DFA" w:rsidP="00FC01B2">
      <w:pPr>
        <w:ind w:left="851"/>
        <w:rPr>
          <w:sz w:val="24"/>
          <w:szCs w:val="24"/>
        </w:rPr>
      </w:pPr>
    </w:p>
    <w:p w14:paraId="12407D71" w14:textId="77777777" w:rsidR="006D6DFA" w:rsidRPr="006D6DFA" w:rsidRDefault="006D6DFA" w:rsidP="00FC01B2">
      <w:pPr>
        <w:ind w:left="851"/>
        <w:rPr>
          <w:sz w:val="24"/>
          <w:szCs w:val="24"/>
        </w:rPr>
      </w:pPr>
      <w:proofErr w:type="spellStart"/>
      <w:r w:rsidRPr="006D6DFA">
        <w:rPr>
          <w:sz w:val="24"/>
          <w:szCs w:val="24"/>
        </w:rPr>
        <w:t>Naratriptan</w:t>
      </w:r>
      <w:proofErr w:type="spellEnd"/>
      <w:r w:rsidRPr="006D6DFA">
        <w:rPr>
          <w:sz w:val="24"/>
          <w:szCs w:val="24"/>
        </w:rPr>
        <w:t xml:space="preserve"> hæmmer ikke P450 enzymer. Om </w:t>
      </w:r>
      <w:proofErr w:type="spellStart"/>
      <w:r w:rsidRPr="006D6DFA">
        <w:rPr>
          <w:sz w:val="24"/>
          <w:szCs w:val="24"/>
        </w:rPr>
        <w:t>naratriptan</w:t>
      </w:r>
      <w:proofErr w:type="spellEnd"/>
      <w:r w:rsidRPr="006D6DFA">
        <w:rPr>
          <w:sz w:val="24"/>
          <w:szCs w:val="24"/>
        </w:rPr>
        <w:t xml:space="preserve"> eventuel har humant </w:t>
      </w:r>
      <w:proofErr w:type="spellStart"/>
      <w:r w:rsidRPr="006D6DFA">
        <w:rPr>
          <w:sz w:val="24"/>
          <w:szCs w:val="24"/>
        </w:rPr>
        <w:t>isoenzyminducerende</w:t>
      </w:r>
      <w:proofErr w:type="spellEnd"/>
      <w:r w:rsidRPr="006D6DFA">
        <w:rPr>
          <w:sz w:val="24"/>
          <w:szCs w:val="24"/>
        </w:rPr>
        <w:t xml:space="preserve"> potentiale er ukendt. Dog sås der ingen signifikante forandringer i leverens </w:t>
      </w:r>
      <w:proofErr w:type="spellStart"/>
      <w:r w:rsidRPr="006D6DFA">
        <w:rPr>
          <w:sz w:val="24"/>
          <w:szCs w:val="24"/>
        </w:rPr>
        <w:t>cytokrom</w:t>
      </w:r>
      <w:proofErr w:type="spellEnd"/>
      <w:r w:rsidRPr="006D6DFA">
        <w:rPr>
          <w:sz w:val="24"/>
          <w:szCs w:val="24"/>
        </w:rPr>
        <w:t xml:space="preserve"> P450-isoformer hos rotter.</w:t>
      </w:r>
    </w:p>
    <w:p w14:paraId="4F191D5C" w14:textId="77777777" w:rsidR="006D6DFA" w:rsidRPr="006D6DFA" w:rsidRDefault="006D6DFA" w:rsidP="00FC01B2">
      <w:pPr>
        <w:ind w:left="851"/>
        <w:rPr>
          <w:sz w:val="24"/>
          <w:szCs w:val="24"/>
        </w:rPr>
      </w:pPr>
    </w:p>
    <w:p w14:paraId="11882CF0" w14:textId="77777777" w:rsidR="006D6DFA" w:rsidRPr="006D6DFA" w:rsidRDefault="006D6DFA" w:rsidP="00FC01B2">
      <w:pPr>
        <w:ind w:left="851"/>
        <w:rPr>
          <w:sz w:val="24"/>
          <w:szCs w:val="24"/>
          <w:u w:val="single"/>
        </w:rPr>
      </w:pPr>
      <w:r w:rsidRPr="006D6DFA">
        <w:rPr>
          <w:sz w:val="24"/>
          <w:szCs w:val="24"/>
          <w:u w:val="single"/>
        </w:rPr>
        <w:t>Elimination</w:t>
      </w:r>
    </w:p>
    <w:p w14:paraId="3030B6D9" w14:textId="77777777" w:rsidR="006D6DFA" w:rsidRPr="006D6DFA" w:rsidRDefault="006D6DFA" w:rsidP="00FC01B2">
      <w:pPr>
        <w:ind w:left="851"/>
        <w:rPr>
          <w:sz w:val="24"/>
          <w:szCs w:val="24"/>
        </w:rPr>
      </w:pPr>
      <w:r w:rsidRPr="006D6DFA">
        <w:rPr>
          <w:sz w:val="24"/>
          <w:szCs w:val="24"/>
        </w:rPr>
        <w:t>Den gennemsnitlige eliminationshalveringstid (t</w:t>
      </w:r>
      <w:r w:rsidRPr="006D6DFA">
        <w:rPr>
          <w:sz w:val="24"/>
          <w:szCs w:val="24"/>
          <w:vertAlign w:val="subscript"/>
        </w:rPr>
        <w:t>½</w:t>
      </w:r>
      <w:r w:rsidRPr="006D6DFA">
        <w:rPr>
          <w:sz w:val="24"/>
          <w:szCs w:val="24"/>
        </w:rPr>
        <w:t>) er 6 timer.</w:t>
      </w:r>
    </w:p>
    <w:p w14:paraId="57E37D7E" w14:textId="77777777" w:rsidR="006D6DFA" w:rsidRPr="006D6DFA" w:rsidRDefault="006D6DFA" w:rsidP="00FC01B2">
      <w:pPr>
        <w:ind w:left="851"/>
        <w:rPr>
          <w:sz w:val="24"/>
          <w:szCs w:val="24"/>
        </w:rPr>
      </w:pPr>
    </w:p>
    <w:p w14:paraId="4D5242BC" w14:textId="77777777" w:rsidR="006D6DFA" w:rsidRPr="006D6DFA" w:rsidRDefault="006D6DFA" w:rsidP="00FC01B2">
      <w:pPr>
        <w:ind w:left="851"/>
        <w:rPr>
          <w:b/>
          <w:bCs/>
          <w:i/>
          <w:sz w:val="24"/>
          <w:szCs w:val="24"/>
        </w:rPr>
      </w:pPr>
      <w:r w:rsidRPr="006D6DFA">
        <w:rPr>
          <w:b/>
          <w:bCs/>
          <w:i/>
          <w:sz w:val="24"/>
          <w:szCs w:val="24"/>
        </w:rPr>
        <w:t>Særlige populationer</w:t>
      </w:r>
    </w:p>
    <w:p w14:paraId="67D6F8B7" w14:textId="77777777" w:rsidR="006D6DFA" w:rsidRPr="006D6DFA" w:rsidRDefault="006D6DFA" w:rsidP="00FC01B2">
      <w:pPr>
        <w:ind w:left="851"/>
        <w:rPr>
          <w:i/>
          <w:sz w:val="24"/>
          <w:szCs w:val="24"/>
        </w:rPr>
      </w:pPr>
    </w:p>
    <w:p w14:paraId="3D107D31" w14:textId="77777777" w:rsidR="006D6DFA" w:rsidRPr="006D6DFA" w:rsidRDefault="006D6DFA" w:rsidP="00FC01B2">
      <w:pPr>
        <w:ind w:left="851"/>
        <w:rPr>
          <w:i/>
          <w:sz w:val="24"/>
          <w:szCs w:val="24"/>
        </w:rPr>
      </w:pPr>
      <w:r w:rsidRPr="006D6DFA">
        <w:rPr>
          <w:i/>
          <w:sz w:val="24"/>
          <w:szCs w:val="24"/>
        </w:rPr>
        <w:t>Ældre</w:t>
      </w:r>
    </w:p>
    <w:p w14:paraId="3C9F8C2E" w14:textId="77777777" w:rsidR="006D6DFA" w:rsidRPr="006D6DFA" w:rsidRDefault="006D6DFA" w:rsidP="00FC01B2">
      <w:pPr>
        <w:ind w:left="851"/>
        <w:rPr>
          <w:sz w:val="24"/>
          <w:szCs w:val="24"/>
        </w:rPr>
      </w:pPr>
      <w:r w:rsidRPr="006D6DFA">
        <w:rPr>
          <w:sz w:val="24"/>
          <w:szCs w:val="24"/>
        </w:rPr>
        <w:t xml:space="preserve">Hos raske ældre frivillige (n=12) var </w:t>
      </w:r>
      <w:proofErr w:type="spellStart"/>
      <w:r w:rsidRPr="006D6DFA">
        <w:rPr>
          <w:sz w:val="24"/>
          <w:szCs w:val="24"/>
        </w:rPr>
        <w:t>clearance</w:t>
      </w:r>
      <w:proofErr w:type="spellEnd"/>
      <w:r w:rsidRPr="006D6DFA">
        <w:rPr>
          <w:sz w:val="24"/>
          <w:szCs w:val="24"/>
        </w:rPr>
        <w:t xml:space="preserve"> nedsat med 26 % og AUC var nedsat med 30 % sammenlignet med raske unge frivillige (n=12) i samme undersøgelse (se pkt. 4.2).</w:t>
      </w:r>
    </w:p>
    <w:p w14:paraId="4FD19036" w14:textId="77777777" w:rsidR="006D6DFA" w:rsidRPr="006D6DFA" w:rsidRDefault="006D6DFA" w:rsidP="00FC01B2">
      <w:pPr>
        <w:ind w:left="851"/>
        <w:rPr>
          <w:sz w:val="24"/>
          <w:szCs w:val="24"/>
        </w:rPr>
      </w:pPr>
    </w:p>
    <w:p w14:paraId="359636BE" w14:textId="77777777" w:rsidR="006D6DFA" w:rsidRPr="006D6DFA" w:rsidRDefault="006D6DFA" w:rsidP="00FC01B2">
      <w:pPr>
        <w:ind w:left="851"/>
        <w:rPr>
          <w:i/>
          <w:sz w:val="24"/>
          <w:szCs w:val="24"/>
        </w:rPr>
      </w:pPr>
      <w:r w:rsidRPr="006D6DFA">
        <w:rPr>
          <w:i/>
          <w:sz w:val="24"/>
          <w:szCs w:val="24"/>
        </w:rPr>
        <w:t>Køn</w:t>
      </w:r>
    </w:p>
    <w:p w14:paraId="5EBEE9AB" w14:textId="77777777" w:rsidR="006D6DFA" w:rsidRPr="006D6DFA" w:rsidRDefault="006D6DFA" w:rsidP="00FC01B2">
      <w:pPr>
        <w:ind w:left="851"/>
        <w:rPr>
          <w:sz w:val="24"/>
          <w:szCs w:val="24"/>
        </w:rPr>
      </w:pPr>
      <w:proofErr w:type="spellStart"/>
      <w:r w:rsidRPr="006D6DFA">
        <w:rPr>
          <w:sz w:val="24"/>
          <w:szCs w:val="24"/>
        </w:rPr>
        <w:t>Naratriptans</w:t>
      </w:r>
      <w:proofErr w:type="spellEnd"/>
      <w:r w:rsidRPr="006D6DFA">
        <w:rPr>
          <w:sz w:val="24"/>
          <w:szCs w:val="24"/>
        </w:rPr>
        <w:t xml:space="preserve"> AUC og </w:t>
      </w:r>
      <w:proofErr w:type="spellStart"/>
      <w:r w:rsidRPr="006D6DFA">
        <w:rPr>
          <w:sz w:val="24"/>
          <w:szCs w:val="24"/>
        </w:rPr>
        <w:t>C</w:t>
      </w:r>
      <w:r w:rsidRPr="006D6DFA">
        <w:rPr>
          <w:sz w:val="24"/>
          <w:szCs w:val="24"/>
          <w:vertAlign w:val="subscript"/>
        </w:rPr>
        <w:t>max</w:t>
      </w:r>
      <w:proofErr w:type="spellEnd"/>
      <w:r w:rsidRPr="006D6DFA">
        <w:rPr>
          <w:sz w:val="24"/>
          <w:szCs w:val="24"/>
        </w:rPr>
        <w:t xml:space="preserve"> var ca. 35 % lavere hos mænd i forhold til kvinder, eventuelt grundet den samtidige administration af perorale antikonceptionsmidler. Dog var der ingen forskelle i effekt og </w:t>
      </w:r>
      <w:proofErr w:type="spellStart"/>
      <w:r w:rsidRPr="006D6DFA">
        <w:rPr>
          <w:sz w:val="24"/>
          <w:szCs w:val="24"/>
        </w:rPr>
        <w:t>tolerabilitet</w:t>
      </w:r>
      <w:proofErr w:type="spellEnd"/>
      <w:r w:rsidRPr="006D6DFA">
        <w:rPr>
          <w:sz w:val="24"/>
          <w:szCs w:val="24"/>
        </w:rPr>
        <w:t xml:space="preserve"> ved klinisk brug. Derfor er en kønsafhængig dosisjustering ikke nødvendig (se pkt. 4.2).</w:t>
      </w:r>
    </w:p>
    <w:p w14:paraId="5D172C5F" w14:textId="77777777" w:rsidR="006D6DFA" w:rsidRPr="006D6DFA" w:rsidRDefault="006D6DFA" w:rsidP="00FC01B2">
      <w:pPr>
        <w:ind w:left="851"/>
        <w:rPr>
          <w:sz w:val="24"/>
          <w:szCs w:val="24"/>
        </w:rPr>
      </w:pPr>
    </w:p>
    <w:p w14:paraId="5D0E1DE3" w14:textId="77777777" w:rsidR="006D6DFA" w:rsidRPr="006D6DFA" w:rsidRDefault="006D6DFA" w:rsidP="00FC01B2">
      <w:pPr>
        <w:ind w:left="851"/>
        <w:rPr>
          <w:i/>
          <w:sz w:val="24"/>
          <w:szCs w:val="24"/>
        </w:rPr>
      </w:pPr>
      <w:r w:rsidRPr="006D6DFA">
        <w:rPr>
          <w:i/>
          <w:sz w:val="24"/>
          <w:szCs w:val="24"/>
        </w:rPr>
        <w:t>Nedsat nyrefunktion</w:t>
      </w:r>
    </w:p>
    <w:p w14:paraId="019D8475" w14:textId="77777777" w:rsidR="006D6DFA" w:rsidRPr="006D6DFA" w:rsidRDefault="006D6DFA" w:rsidP="00FC01B2">
      <w:pPr>
        <w:ind w:left="851"/>
        <w:rPr>
          <w:sz w:val="24"/>
          <w:szCs w:val="24"/>
        </w:rPr>
      </w:pPr>
      <w:proofErr w:type="spellStart"/>
      <w:r w:rsidRPr="006D6DFA">
        <w:rPr>
          <w:sz w:val="24"/>
          <w:szCs w:val="24"/>
        </w:rPr>
        <w:t>Naratriptan</w:t>
      </w:r>
      <w:proofErr w:type="spellEnd"/>
      <w:r w:rsidRPr="006D6DFA">
        <w:rPr>
          <w:sz w:val="24"/>
          <w:szCs w:val="24"/>
        </w:rPr>
        <w:t xml:space="preserve"> udskilles hovedsageligt ved </w:t>
      </w:r>
      <w:proofErr w:type="spellStart"/>
      <w:r w:rsidRPr="006D6DFA">
        <w:rPr>
          <w:sz w:val="24"/>
          <w:szCs w:val="24"/>
        </w:rPr>
        <w:t>renal</w:t>
      </w:r>
      <w:proofErr w:type="spellEnd"/>
      <w:r w:rsidRPr="006D6DFA">
        <w:rPr>
          <w:sz w:val="24"/>
          <w:szCs w:val="24"/>
        </w:rPr>
        <w:t xml:space="preserve"> </w:t>
      </w:r>
      <w:proofErr w:type="spellStart"/>
      <w:r w:rsidRPr="006D6DFA">
        <w:rPr>
          <w:sz w:val="24"/>
          <w:szCs w:val="24"/>
        </w:rPr>
        <w:t>ekskretion</w:t>
      </w:r>
      <w:proofErr w:type="spellEnd"/>
      <w:r w:rsidRPr="006D6DFA">
        <w:rPr>
          <w:sz w:val="24"/>
          <w:szCs w:val="24"/>
        </w:rPr>
        <w:t xml:space="preserve">. Som følge heraf kan </w:t>
      </w:r>
      <w:proofErr w:type="spellStart"/>
      <w:r w:rsidRPr="006D6DFA">
        <w:rPr>
          <w:sz w:val="24"/>
          <w:szCs w:val="24"/>
        </w:rPr>
        <w:t>naratriptankoncentrationen</w:t>
      </w:r>
      <w:proofErr w:type="spellEnd"/>
      <w:r w:rsidRPr="006D6DFA">
        <w:rPr>
          <w:sz w:val="24"/>
          <w:szCs w:val="24"/>
        </w:rPr>
        <w:t xml:space="preserve"> være forhøjet hos patienter med nyresygdom. I en undersøgelse hos mænd og kvinder med nedsat nyrefunktion (</w:t>
      </w:r>
      <w:proofErr w:type="spellStart"/>
      <w:r w:rsidRPr="006D6DFA">
        <w:rPr>
          <w:sz w:val="24"/>
          <w:szCs w:val="24"/>
        </w:rPr>
        <w:t>kreatininclearance</w:t>
      </w:r>
      <w:proofErr w:type="spellEnd"/>
      <w:r w:rsidRPr="006D6DFA">
        <w:rPr>
          <w:sz w:val="24"/>
          <w:szCs w:val="24"/>
        </w:rPr>
        <w:t xml:space="preserve"> 18 til 115 ml/min; n=15) sammenlignet med raske frivillige (n=8) som var matchet med køn, alder og vægt, var t</w:t>
      </w:r>
      <w:r w:rsidRPr="006D6DFA">
        <w:rPr>
          <w:sz w:val="24"/>
          <w:szCs w:val="24"/>
          <w:vertAlign w:val="subscript"/>
        </w:rPr>
        <w:t>½</w:t>
      </w:r>
      <w:r w:rsidRPr="006D6DFA">
        <w:rPr>
          <w:sz w:val="24"/>
          <w:szCs w:val="24"/>
        </w:rPr>
        <w:t xml:space="preserve"> øget ca. 80 % og </w:t>
      </w:r>
      <w:proofErr w:type="spellStart"/>
      <w:r w:rsidRPr="006D6DFA">
        <w:rPr>
          <w:sz w:val="24"/>
          <w:szCs w:val="24"/>
        </w:rPr>
        <w:t>clearance</w:t>
      </w:r>
      <w:proofErr w:type="spellEnd"/>
      <w:r w:rsidRPr="006D6DFA">
        <w:rPr>
          <w:sz w:val="24"/>
          <w:szCs w:val="24"/>
        </w:rPr>
        <w:t xml:space="preserve"> nedsat ca. 50 % hos patienterne med nedsat nyrefunktion (se pkt. 4.2).</w:t>
      </w:r>
    </w:p>
    <w:p w14:paraId="12EF1AB4" w14:textId="77777777" w:rsidR="006D6DFA" w:rsidRPr="006D6DFA" w:rsidRDefault="006D6DFA" w:rsidP="00FC01B2">
      <w:pPr>
        <w:ind w:left="851"/>
        <w:rPr>
          <w:sz w:val="24"/>
          <w:szCs w:val="24"/>
        </w:rPr>
      </w:pPr>
    </w:p>
    <w:p w14:paraId="79E02695" w14:textId="77777777" w:rsidR="006D6DFA" w:rsidRPr="006D6DFA" w:rsidRDefault="006D6DFA" w:rsidP="00FC01B2">
      <w:pPr>
        <w:ind w:left="851"/>
        <w:rPr>
          <w:i/>
          <w:sz w:val="24"/>
          <w:szCs w:val="24"/>
        </w:rPr>
      </w:pPr>
      <w:r w:rsidRPr="006D6DFA">
        <w:rPr>
          <w:i/>
          <w:sz w:val="24"/>
          <w:szCs w:val="24"/>
        </w:rPr>
        <w:t>Nedsat leverfunktion</w:t>
      </w:r>
    </w:p>
    <w:p w14:paraId="27351A81" w14:textId="77777777" w:rsidR="006D6DFA" w:rsidRPr="006D6DFA" w:rsidRDefault="006D6DFA" w:rsidP="00FC01B2">
      <w:pPr>
        <w:ind w:left="851"/>
        <w:rPr>
          <w:sz w:val="24"/>
          <w:szCs w:val="24"/>
        </w:rPr>
      </w:pPr>
      <w:r w:rsidRPr="006D6DFA">
        <w:rPr>
          <w:sz w:val="24"/>
          <w:szCs w:val="24"/>
        </w:rPr>
        <w:t xml:space="preserve">Leveren spiller en mindre rolle for </w:t>
      </w:r>
      <w:proofErr w:type="spellStart"/>
      <w:r w:rsidRPr="006D6DFA">
        <w:rPr>
          <w:sz w:val="24"/>
          <w:szCs w:val="24"/>
        </w:rPr>
        <w:t>clearance</w:t>
      </w:r>
      <w:proofErr w:type="spellEnd"/>
      <w:r w:rsidRPr="006D6DFA">
        <w:rPr>
          <w:sz w:val="24"/>
          <w:szCs w:val="24"/>
        </w:rPr>
        <w:t xml:space="preserve"> af peroralt administreret </w:t>
      </w:r>
      <w:proofErr w:type="spellStart"/>
      <w:r w:rsidRPr="006D6DFA">
        <w:rPr>
          <w:sz w:val="24"/>
          <w:szCs w:val="24"/>
        </w:rPr>
        <w:t>naratriptan</w:t>
      </w:r>
      <w:proofErr w:type="spellEnd"/>
      <w:r w:rsidRPr="006D6DFA">
        <w:rPr>
          <w:sz w:val="24"/>
          <w:szCs w:val="24"/>
        </w:rPr>
        <w:t>. I et studie med mænd og kvinder med nedsat leverfunktion (Child-</w:t>
      </w:r>
      <w:proofErr w:type="spellStart"/>
      <w:r w:rsidRPr="006D6DFA">
        <w:rPr>
          <w:sz w:val="24"/>
          <w:szCs w:val="24"/>
        </w:rPr>
        <w:t>Pugh</w:t>
      </w:r>
      <w:proofErr w:type="spellEnd"/>
      <w:r w:rsidRPr="006D6DFA">
        <w:rPr>
          <w:sz w:val="24"/>
          <w:szCs w:val="24"/>
        </w:rPr>
        <w:t xml:space="preserve"> grad A eller B, n=8) sammenlignet med raske frivillige som blev matchet med køn, alder og vægt, var t</w:t>
      </w:r>
      <w:r w:rsidRPr="006D6DFA">
        <w:rPr>
          <w:sz w:val="24"/>
          <w:szCs w:val="24"/>
          <w:vertAlign w:val="subscript"/>
        </w:rPr>
        <w:t xml:space="preserve">½ </w:t>
      </w:r>
      <w:r w:rsidRPr="006D6DFA">
        <w:rPr>
          <w:sz w:val="24"/>
          <w:szCs w:val="24"/>
        </w:rPr>
        <w:t xml:space="preserve">øget ca. 40 % og </w:t>
      </w:r>
      <w:proofErr w:type="spellStart"/>
      <w:r w:rsidRPr="006D6DFA">
        <w:rPr>
          <w:sz w:val="24"/>
          <w:szCs w:val="24"/>
        </w:rPr>
        <w:t>clearance</w:t>
      </w:r>
      <w:proofErr w:type="spellEnd"/>
      <w:r w:rsidRPr="006D6DFA">
        <w:rPr>
          <w:sz w:val="24"/>
          <w:szCs w:val="24"/>
        </w:rPr>
        <w:t xml:space="preserve"> nedsat ca. 30 % hos patienterne med nedsat leverfunktion (se pkt. 4.2).</w:t>
      </w:r>
    </w:p>
    <w:p w14:paraId="0DEDAE67" w14:textId="77777777" w:rsidR="009260DE" w:rsidRPr="00C84483" w:rsidRDefault="009260DE" w:rsidP="009260DE">
      <w:pPr>
        <w:tabs>
          <w:tab w:val="left" w:pos="851"/>
        </w:tabs>
        <w:ind w:left="851"/>
        <w:rPr>
          <w:sz w:val="24"/>
          <w:szCs w:val="24"/>
        </w:rPr>
      </w:pPr>
    </w:p>
    <w:p w14:paraId="72486B2C"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4D9A071F" w14:textId="77777777" w:rsidR="006D6DFA" w:rsidRPr="006D6DFA" w:rsidRDefault="006D6DFA" w:rsidP="00FC01B2">
      <w:pPr>
        <w:ind w:left="851"/>
        <w:rPr>
          <w:sz w:val="24"/>
          <w:szCs w:val="24"/>
        </w:rPr>
      </w:pPr>
      <w:r w:rsidRPr="006D6DFA">
        <w:rPr>
          <w:sz w:val="24"/>
          <w:szCs w:val="24"/>
        </w:rPr>
        <w:t>Der blev kun observeret virkninger i ikke-kliniske forsøg efter enkeltdoser og gentagne doser, der i væsentlig grad anses for at overstige den maksimale humane eksponering, hvilket indikerer ringe relevans for klinisk brug.</w:t>
      </w:r>
    </w:p>
    <w:p w14:paraId="29100A1A" w14:textId="77777777" w:rsidR="006D6DFA" w:rsidRPr="006D6DFA" w:rsidRDefault="006D6DFA" w:rsidP="00FC01B2">
      <w:pPr>
        <w:ind w:left="851"/>
        <w:rPr>
          <w:sz w:val="24"/>
          <w:szCs w:val="24"/>
        </w:rPr>
      </w:pPr>
    </w:p>
    <w:p w14:paraId="6760591D" w14:textId="77777777" w:rsidR="006D6DFA" w:rsidRPr="006D6DFA" w:rsidRDefault="006D6DFA" w:rsidP="00FC01B2">
      <w:pPr>
        <w:ind w:left="851"/>
        <w:rPr>
          <w:sz w:val="24"/>
          <w:szCs w:val="24"/>
        </w:rPr>
      </w:pPr>
      <w:r w:rsidRPr="006D6DFA">
        <w:rPr>
          <w:sz w:val="24"/>
          <w:szCs w:val="24"/>
        </w:rPr>
        <w:t xml:space="preserve">Et standardbatteri af genotoksiske tests påviste ingen genotoksisk effekt af </w:t>
      </w:r>
      <w:proofErr w:type="spellStart"/>
      <w:r w:rsidRPr="006D6DFA">
        <w:rPr>
          <w:sz w:val="24"/>
          <w:szCs w:val="24"/>
        </w:rPr>
        <w:t>naratriptan</w:t>
      </w:r>
      <w:proofErr w:type="spellEnd"/>
      <w:r w:rsidRPr="006D6DFA">
        <w:rPr>
          <w:sz w:val="24"/>
          <w:szCs w:val="24"/>
        </w:rPr>
        <w:t>.</w:t>
      </w:r>
    </w:p>
    <w:p w14:paraId="7647AD49" w14:textId="77777777" w:rsidR="006D6DFA" w:rsidRPr="006D6DFA" w:rsidRDefault="006D6DFA" w:rsidP="00FC01B2">
      <w:pPr>
        <w:ind w:left="851"/>
        <w:rPr>
          <w:sz w:val="24"/>
          <w:szCs w:val="24"/>
        </w:rPr>
      </w:pPr>
    </w:p>
    <w:p w14:paraId="36CFBE1C" w14:textId="77777777" w:rsidR="006D6DFA" w:rsidRPr="006D6DFA" w:rsidRDefault="006D6DFA" w:rsidP="00FC01B2">
      <w:pPr>
        <w:ind w:left="851"/>
        <w:rPr>
          <w:sz w:val="24"/>
          <w:szCs w:val="24"/>
        </w:rPr>
      </w:pPr>
      <w:r w:rsidRPr="006D6DFA">
        <w:rPr>
          <w:sz w:val="24"/>
          <w:szCs w:val="24"/>
        </w:rPr>
        <w:t xml:space="preserve">Der sås ikke tumorer af klinisk relevans ved </w:t>
      </w:r>
      <w:proofErr w:type="spellStart"/>
      <w:r w:rsidRPr="006D6DFA">
        <w:rPr>
          <w:sz w:val="24"/>
          <w:szCs w:val="24"/>
        </w:rPr>
        <w:t>karcinogenicitets</w:t>
      </w:r>
      <w:proofErr w:type="spellEnd"/>
      <w:r w:rsidRPr="006D6DFA">
        <w:rPr>
          <w:sz w:val="24"/>
          <w:szCs w:val="24"/>
        </w:rPr>
        <w:t xml:space="preserve"> studier i mus og rotter.</w:t>
      </w:r>
    </w:p>
    <w:p w14:paraId="5ABD03EC" w14:textId="77777777" w:rsidR="006D6DFA" w:rsidRPr="006D6DFA" w:rsidRDefault="006D6DFA" w:rsidP="006D6DFA">
      <w:pPr>
        <w:tabs>
          <w:tab w:val="left" w:pos="851"/>
        </w:tabs>
        <w:ind w:left="851"/>
        <w:rPr>
          <w:sz w:val="24"/>
          <w:szCs w:val="24"/>
        </w:rPr>
      </w:pPr>
    </w:p>
    <w:p w14:paraId="3C8B114A" w14:textId="77777777" w:rsidR="009260DE" w:rsidRPr="00C84483" w:rsidRDefault="009260DE" w:rsidP="009260DE">
      <w:pPr>
        <w:tabs>
          <w:tab w:val="left" w:pos="851"/>
        </w:tabs>
        <w:ind w:left="851"/>
        <w:rPr>
          <w:sz w:val="24"/>
          <w:szCs w:val="24"/>
        </w:rPr>
      </w:pPr>
    </w:p>
    <w:p w14:paraId="3E231E79"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6454D295" w14:textId="77777777" w:rsidR="009260DE" w:rsidRPr="00BA09F1" w:rsidRDefault="009260DE" w:rsidP="009260DE">
      <w:pPr>
        <w:tabs>
          <w:tab w:val="left" w:pos="851"/>
        </w:tabs>
        <w:ind w:left="851"/>
        <w:rPr>
          <w:sz w:val="24"/>
          <w:szCs w:val="24"/>
        </w:rPr>
      </w:pPr>
    </w:p>
    <w:p w14:paraId="251F9B09"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4009DEA8" w14:textId="77777777" w:rsidR="00B77A34" w:rsidRDefault="00B77A34" w:rsidP="00FC01B2">
      <w:pPr>
        <w:ind w:left="851"/>
        <w:rPr>
          <w:iCs/>
          <w:sz w:val="24"/>
          <w:szCs w:val="24"/>
          <w:u w:val="single"/>
        </w:rPr>
      </w:pPr>
    </w:p>
    <w:p w14:paraId="197A1950" w14:textId="16B1DA21" w:rsidR="006D6DFA" w:rsidRPr="006D6DFA" w:rsidRDefault="006D6DFA" w:rsidP="00FC01B2">
      <w:pPr>
        <w:ind w:left="851"/>
        <w:rPr>
          <w:iCs/>
          <w:sz w:val="24"/>
          <w:szCs w:val="24"/>
          <w:u w:val="single"/>
        </w:rPr>
      </w:pPr>
      <w:r w:rsidRPr="006D6DFA">
        <w:rPr>
          <w:iCs/>
          <w:sz w:val="24"/>
          <w:szCs w:val="24"/>
          <w:u w:val="single"/>
        </w:rPr>
        <w:t>Kerne</w:t>
      </w:r>
    </w:p>
    <w:p w14:paraId="7C29D711" w14:textId="77777777" w:rsidR="006D6DFA" w:rsidRPr="006D6DFA" w:rsidRDefault="006D6DFA" w:rsidP="00FC01B2">
      <w:pPr>
        <w:ind w:left="851"/>
        <w:rPr>
          <w:sz w:val="24"/>
          <w:szCs w:val="24"/>
        </w:rPr>
      </w:pPr>
      <w:r w:rsidRPr="006D6DFA">
        <w:rPr>
          <w:sz w:val="24"/>
          <w:szCs w:val="24"/>
        </w:rPr>
        <w:t xml:space="preserve">Vandfri </w:t>
      </w:r>
      <w:proofErr w:type="spellStart"/>
      <w:r w:rsidRPr="006D6DFA">
        <w:rPr>
          <w:sz w:val="24"/>
          <w:szCs w:val="24"/>
        </w:rPr>
        <w:t>lactose</w:t>
      </w:r>
      <w:proofErr w:type="spellEnd"/>
    </w:p>
    <w:p w14:paraId="6C2CB28A" w14:textId="77777777" w:rsidR="006D6DFA" w:rsidRPr="006D6DFA" w:rsidRDefault="006D6DFA" w:rsidP="00FC01B2">
      <w:pPr>
        <w:ind w:left="851"/>
        <w:rPr>
          <w:sz w:val="24"/>
          <w:szCs w:val="24"/>
        </w:rPr>
      </w:pPr>
      <w:r w:rsidRPr="006D6DFA">
        <w:rPr>
          <w:sz w:val="24"/>
          <w:szCs w:val="24"/>
        </w:rPr>
        <w:t>Cellulose, mikrokrystallinsk (PH102)</w:t>
      </w:r>
    </w:p>
    <w:p w14:paraId="09CA52A5" w14:textId="77777777" w:rsidR="006D6DFA" w:rsidRPr="006D6DFA" w:rsidRDefault="006D6DFA" w:rsidP="00FC01B2">
      <w:pPr>
        <w:ind w:left="851"/>
        <w:rPr>
          <w:sz w:val="24"/>
          <w:szCs w:val="24"/>
        </w:rPr>
      </w:pPr>
      <w:proofErr w:type="spellStart"/>
      <w:r w:rsidRPr="006D6DFA">
        <w:rPr>
          <w:sz w:val="24"/>
          <w:szCs w:val="24"/>
        </w:rPr>
        <w:t>Croscarmellosenatrium</w:t>
      </w:r>
      <w:proofErr w:type="spellEnd"/>
    </w:p>
    <w:p w14:paraId="31D136D2" w14:textId="77777777" w:rsidR="006D6DFA" w:rsidRPr="006D6DFA" w:rsidRDefault="006D6DFA" w:rsidP="00FC01B2">
      <w:pPr>
        <w:ind w:left="851"/>
        <w:rPr>
          <w:sz w:val="24"/>
          <w:szCs w:val="24"/>
        </w:rPr>
      </w:pPr>
      <w:proofErr w:type="spellStart"/>
      <w:r w:rsidRPr="006D6DFA">
        <w:rPr>
          <w:sz w:val="24"/>
          <w:szCs w:val="24"/>
        </w:rPr>
        <w:t>Magnesiumstearat</w:t>
      </w:r>
      <w:proofErr w:type="spellEnd"/>
    </w:p>
    <w:p w14:paraId="4230D694" w14:textId="77777777" w:rsidR="006D6DFA" w:rsidRPr="006D6DFA" w:rsidRDefault="006D6DFA" w:rsidP="00FC01B2">
      <w:pPr>
        <w:ind w:left="851"/>
        <w:rPr>
          <w:sz w:val="24"/>
          <w:szCs w:val="24"/>
        </w:rPr>
      </w:pPr>
    </w:p>
    <w:p w14:paraId="66A4BFC2" w14:textId="77777777" w:rsidR="006D6DFA" w:rsidRPr="006D6DFA" w:rsidRDefault="006D6DFA" w:rsidP="00FC01B2">
      <w:pPr>
        <w:ind w:left="851"/>
        <w:rPr>
          <w:iCs/>
          <w:sz w:val="24"/>
          <w:szCs w:val="24"/>
          <w:u w:val="single"/>
        </w:rPr>
      </w:pPr>
      <w:r w:rsidRPr="006D6DFA">
        <w:rPr>
          <w:iCs/>
          <w:sz w:val="24"/>
          <w:szCs w:val="24"/>
          <w:u w:val="single"/>
        </w:rPr>
        <w:t>Overtræk</w:t>
      </w:r>
    </w:p>
    <w:p w14:paraId="595D6711" w14:textId="77777777" w:rsidR="006D6DFA" w:rsidRPr="006D6DFA" w:rsidRDefault="006D6DFA" w:rsidP="00FC01B2">
      <w:pPr>
        <w:ind w:left="851"/>
        <w:rPr>
          <w:sz w:val="24"/>
          <w:szCs w:val="24"/>
          <w:lang w:val="pt-PT"/>
        </w:rPr>
      </w:pPr>
      <w:r w:rsidRPr="006D6DFA">
        <w:rPr>
          <w:sz w:val="24"/>
          <w:szCs w:val="24"/>
          <w:lang w:val="pt-PT"/>
        </w:rPr>
        <w:t>Hypromellose (E464)</w:t>
      </w:r>
    </w:p>
    <w:p w14:paraId="6F47DF19" w14:textId="77777777" w:rsidR="006D6DFA" w:rsidRPr="006D6DFA" w:rsidRDefault="006D6DFA" w:rsidP="00FC01B2">
      <w:pPr>
        <w:ind w:left="851"/>
        <w:rPr>
          <w:sz w:val="24"/>
          <w:szCs w:val="24"/>
          <w:lang w:val="pt-PT"/>
        </w:rPr>
      </w:pPr>
      <w:r w:rsidRPr="006D6DFA">
        <w:rPr>
          <w:sz w:val="24"/>
          <w:szCs w:val="24"/>
          <w:lang w:val="pt-PT"/>
        </w:rPr>
        <w:t>Titandioxid (E171)</w:t>
      </w:r>
    </w:p>
    <w:p w14:paraId="3346BFD0" w14:textId="77777777" w:rsidR="006D6DFA" w:rsidRPr="006D6DFA" w:rsidRDefault="006D6DFA" w:rsidP="00FC01B2">
      <w:pPr>
        <w:ind w:left="851"/>
        <w:rPr>
          <w:sz w:val="24"/>
          <w:szCs w:val="24"/>
          <w:lang w:val="pt-PT"/>
        </w:rPr>
      </w:pPr>
      <w:r w:rsidRPr="006D6DFA">
        <w:rPr>
          <w:sz w:val="24"/>
          <w:szCs w:val="24"/>
          <w:lang w:val="pt-PT"/>
        </w:rPr>
        <w:t>Polyethylenglycol (E1521)</w:t>
      </w:r>
    </w:p>
    <w:p w14:paraId="3C39609C" w14:textId="77777777" w:rsidR="006D6DFA" w:rsidRPr="006D6DFA" w:rsidRDefault="006D6DFA" w:rsidP="00FC01B2">
      <w:pPr>
        <w:ind w:left="851"/>
        <w:rPr>
          <w:sz w:val="24"/>
          <w:szCs w:val="24"/>
        </w:rPr>
      </w:pPr>
      <w:r w:rsidRPr="006D6DFA">
        <w:rPr>
          <w:sz w:val="24"/>
          <w:szCs w:val="24"/>
        </w:rPr>
        <w:t>Gul jernoxid (E172)</w:t>
      </w:r>
    </w:p>
    <w:p w14:paraId="29DD6B6D" w14:textId="77777777" w:rsidR="009260DE" w:rsidRPr="00C84483" w:rsidRDefault="009260DE" w:rsidP="009260DE">
      <w:pPr>
        <w:tabs>
          <w:tab w:val="left" w:pos="851"/>
        </w:tabs>
        <w:ind w:left="851"/>
        <w:rPr>
          <w:sz w:val="24"/>
          <w:szCs w:val="24"/>
        </w:rPr>
      </w:pPr>
    </w:p>
    <w:p w14:paraId="2E6EF257"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21566333" w14:textId="77777777" w:rsidR="006D6DFA" w:rsidRPr="006D6DFA" w:rsidRDefault="006D6DFA" w:rsidP="00FC01B2">
      <w:pPr>
        <w:ind w:left="851"/>
        <w:rPr>
          <w:sz w:val="24"/>
          <w:szCs w:val="24"/>
        </w:rPr>
      </w:pPr>
      <w:r w:rsidRPr="006D6DFA">
        <w:rPr>
          <w:sz w:val="24"/>
          <w:szCs w:val="24"/>
        </w:rPr>
        <w:t>Ikke relevant.</w:t>
      </w:r>
    </w:p>
    <w:p w14:paraId="351A75D0" w14:textId="77777777" w:rsidR="009260DE" w:rsidRPr="00C84483" w:rsidRDefault="009260DE" w:rsidP="009260DE">
      <w:pPr>
        <w:tabs>
          <w:tab w:val="left" w:pos="851"/>
        </w:tabs>
        <w:ind w:left="851"/>
        <w:rPr>
          <w:sz w:val="24"/>
          <w:szCs w:val="24"/>
        </w:rPr>
      </w:pPr>
    </w:p>
    <w:p w14:paraId="532687E6"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3B7A2786" w14:textId="77777777" w:rsidR="006D6DFA" w:rsidRPr="006D6DFA" w:rsidRDefault="006D6DFA" w:rsidP="00FC01B2">
      <w:pPr>
        <w:ind w:left="851"/>
        <w:rPr>
          <w:sz w:val="24"/>
          <w:szCs w:val="24"/>
        </w:rPr>
      </w:pPr>
      <w:r w:rsidRPr="006D6DFA">
        <w:rPr>
          <w:sz w:val="24"/>
          <w:szCs w:val="24"/>
        </w:rPr>
        <w:t>2 år.</w:t>
      </w:r>
    </w:p>
    <w:p w14:paraId="77A7648E" w14:textId="77777777" w:rsidR="009260DE" w:rsidRPr="00C84483" w:rsidRDefault="009260DE" w:rsidP="009260DE">
      <w:pPr>
        <w:tabs>
          <w:tab w:val="left" w:pos="851"/>
        </w:tabs>
        <w:ind w:left="851"/>
        <w:rPr>
          <w:sz w:val="24"/>
          <w:szCs w:val="24"/>
        </w:rPr>
      </w:pPr>
    </w:p>
    <w:p w14:paraId="6BC997AA"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1BAACEDB" w14:textId="77777777" w:rsidR="006D6DFA" w:rsidRPr="006D6DFA" w:rsidRDefault="006D6DFA" w:rsidP="00FC01B2">
      <w:pPr>
        <w:ind w:left="851"/>
        <w:rPr>
          <w:sz w:val="24"/>
          <w:szCs w:val="24"/>
        </w:rPr>
      </w:pPr>
      <w:r w:rsidRPr="006D6DFA">
        <w:rPr>
          <w:sz w:val="24"/>
          <w:szCs w:val="24"/>
        </w:rPr>
        <w:t>Må ikke opbevares ved temperaturer over 30 °C.</w:t>
      </w:r>
    </w:p>
    <w:p w14:paraId="4BB94090" w14:textId="77777777" w:rsidR="009260DE" w:rsidRPr="00C84483" w:rsidRDefault="009260DE" w:rsidP="009260DE">
      <w:pPr>
        <w:tabs>
          <w:tab w:val="left" w:pos="851"/>
        </w:tabs>
        <w:ind w:left="851"/>
        <w:rPr>
          <w:sz w:val="24"/>
          <w:szCs w:val="24"/>
        </w:rPr>
      </w:pPr>
    </w:p>
    <w:p w14:paraId="1CEEBB44"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616E172B" w14:textId="77777777" w:rsidR="006D6DFA" w:rsidRPr="006D6DFA" w:rsidRDefault="006D6DFA" w:rsidP="00FC01B2">
      <w:pPr>
        <w:ind w:left="851"/>
        <w:rPr>
          <w:sz w:val="24"/>
          <w:szCs w:val="24"/>
        </w:rPr>
      </w:pPr>
      <w:proofErr w:type="spellStart"/>
      <w:r w:rsidRPr="006D6DFA">
        <w:rPr>
          <w:sz w:val="24"/>
          <w:szCs w:val="24"/>
        </w:rPr>
        <w:t>Alu</w:t>
      </w:r>
      <w:proofErr w:type="spellEnd"/>
      <w:r w:rsidRPr="006D6DFA">
        <w:rPr>
          <w:sz w:val="24"/>
          <w:szCs w:val="24"/>
        </w:rPr>
        <w:t>-</w:t>
      </w:r>
      <w:proofErr w:type="spellStart"/>
      <w:r w:rsidRPr="006D6DFA">
        <w:rPr>
          <w:sz w:val="24"/>
          <w:szCs w:val="24"/>
        </w:rPr>
        <w:t>Alu</w:t>
      </w:r>
      <w:proofErr w:type="spellEnd"/>
      <w:r w:rsidRPr="006D6DFA">
        <w:rPr>
          <w:sz w:val="24"/>
          <w:szCs w:val="24"/>
        </w:rPr>
        <w:t>-blisterpakning med 6, 12, 14, 18, 20, 28, 30, 50, 60, 100 stk.</w:t>
      </w:r>
    </w:p>
    <w:p w14:paraId="577BB7C4" w14:textId="77777777" w:rsidR="006D6DFA" w:rsidRPr="006D6DFA" w:rsidRDefault="006D6DFA" w:rsidP="00FC01B2">
      <w:pPr>
        <w:ind w:left="851"/>
        <w:rPr>
          <w:sz w:val="24"/>
          <w:szCs w:val="24"/>
        </w:rPr>
      </w:pPr>
      <w:r w:rsidRPr="006D6DFA">
        <w:rPr>
          <w:sz w:val="24"/>
          <w:szCs w:val="24"/>
        </w:rPr>
        <w:t>Ikke alle pakningsstørrelser er nødvendigvis markedsført.</w:t>
      </w:r>
    </w:p>
    <w:p w14:paraId="5809775C" w14:textId="77777777" w:rsidR="009260DE" w:rsidRPr="00C84483" w:rsidRDefault="009260DE" w:rsidP="009260DE">
      <w:pPr>
        <w:tabs>
          <w:tab w:val="left" w:pos="851"/>
        </w:tabs>
        <w:ind w:left="851"/>
        <w:rPr>
          <w:sz w:val="24"/>
          <w:szCs w:val="24"/>
        </w:rPr>
      </w:pPr>
    </w:p>
    <w:p w14:paraId="7E34EDD8"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20FDDCAD" w14:textId="77777777" w:rsidR="006D6DFA" w:rsidRPr="006D6DFA" w:rsidRDefault="006D6DFA" w:rsidP="00FC01B2">
      <w:pPr>
        <w:ind w:left="851"/>
        <w:rPr>
          <w:sz w:val="24"/>
          <w:szCs w:val="24"/>
        </w:rPr>
      </w:pPr>
      <w:r w:rsidRPr="006D6DFA">
        <w:rPr>
          <w:sz w:val="24"/>
          <w:szCs w:val="24"/>
        </w:rPr>
        <w:t>Ingen særlige forholdsregler.</w:t>
      </w:r>
    </w:p>
    <w:p w14:paraId="31A18FE3" w14:textId="77777777" w:rsidR="009260DE" w:rsidRPr="00C84483" w:rsidRDefault="009260DE" w:rsidP="000730CA">
      <w:pPr>
        <w:tabs>
          <w:tab w:val="left" w:pos="851"/>
        </w:tabs>
        <w:ind w:left="851"/>
        <w:rPr>
          <w:sz w:val="24"/>
          <w:szCs w:val="24"/>
        </w:rPr>
      </w:pPr>
    </w:p>
    <w:p w14:paraId="1E19D4D4"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26E3C799" w14:textId="77777777" w:rsidR="006D6DFA" w:rsidRPr="00342DCE" w:rsidRDefault="006D6DFA" w:rsidP="00FC01B2">
      <w:pPr>
        <w:ind w:left="851"/>
        <w:rPr>
          <w:sz w:val="24"/>
          <w:szCs w:val="24"/>
          <w:lang w:val="en-US"/>
        </w:rPr>
      </w:pPr>
      <w:r w:rsidRPr="00342DCE">
        <w:rPr>
          <w:sz w:val="24"/>
          <w:szCs w:val="24"/>
          <w:lang w:val="en-US"/>
        </w:rPr>
        <w:t>Renata Pharmaceuticals (Ireland) Limited</w:t>
      </w:r>
    </w:p>
    <w:p w14:paraId="1C19D391" w14:textId="77777777" w:rsidR="00323947" w:rsidRDefault="006D6DFA" w:rsidP="00FC01B2">
      <w:pPr>
        <w:ind w:left="851"/>
        <w:rPr>
          <w:sz w:val="24"/>
          <w:szCs w:val="24"/>
          <w:lang w:val="en-US"/>
        </w:rPr>
      </w:pPr>
      <w:r w:rsidRPr="006D6DFA">
        <w:rPr>
          <w:sz w:val="24"/>
          <w:szCs w:val="24"/>
          <w:lang w:val="en-US"/>
        </w:rPr>
        <w:t xml:space="preserve">12 Crowe Street </w:t>
      </w:r>
    </w:p>
    <w:p w14:paraId="0B6CFBDF" w14:textId="5E8C79F6" w:rsidR="006D6DFA" w:rsidRPr="006D6DFA" w:rsidRDefault="00323947" w:rsidP="00FC01B2">
      <w:pPr>
        <w:ind w:left="851"/>
        <w:rPr>
          <w:sz w:val="24"/>
          <w:szCs w:val="24"/>
          <w:lang w:val="en-US"/>
        </w:rPr>
      </w:pPr>
      <w:r w:rsidRPr="006D6DFA">
        <w:rPr>
          <w:sz w:val="24"/>
          <w:szCs w:val="24"/>
          <w:lang w:val="en-US"/>
        </w:rPr>
        <w:t>A91 NN29</w:t>
      </w:r>
      <w:r>
        <w:rPr>
          <w:sz w:val="24"/>
          <w:szCs w:val="24"/>
          <w:lang w:val="en-US"/>
        </w:rPr>
        <w:t xml:space="preserve"> </w:t>
      </w:r>
      <w:r w:rsidR="006D6DFA" w:rsidRPr="006D6DFA">
        <w:rPr>
          <w:sz w:val="24"/>
          <w:szCs w:val="24"/>
          <w:lang w:val="en-US"/>
        </w:rPr>
        <w:t>Dundalk</w:t>
      </w:r>
    </w:p>
    <w:p w14:paraId="6F0751D5" w14:textId="77777777" w:rsidR="006D6DFA" w:rsidRPr="006D6DFA" w:rsidRDefault="006D6DFA" w:rsidP="00FC01B2">
      <w:pPr>
        <w:ind w:left="851"/>
        <w:rPr>
          <w:sz w:val="24"/>
          <w:szCs w:val="24"/>
          <w:lang w:val="en-US"/>
        </w:rPr>
      </w:pPr>
      <w:r w:rsidRPr="006D6DFA">
        <w:rPr>
          <w:sz w:val="24"/>
          <w:szCs w:val="24"/>
          <w:lang w:val="en-US"/>
        </w:rPr>
        <w:t>Co. Louth</w:t>
      </w:r>
    </w:p>
    <w:p w14:paraId="06DB3E96" w14:textId="77777777" w:rsidR="006D6DFA" w:rsidRPr="006D6DFA" w:rsidRDefault="006D6DFA" w:rsidP="00FC01B2">
      <w:pPr>
        <w:ind w:left="851"/>
        <w:rPr>
          <w:sz w:val="24"/>
          <w:szCs w:val="24"/>
          <w:lang w:val="en-US"/>
        </w:rPr>
      </w:pPr>
      <w:r w:rsidRPr="006D6DFA">
        <w:rPr>
          <w:sz w:val="24"/>
          <w:szCs w:val="24"/>
          <w:lang w:val="en-US"/>
        </w:rPr>
        <w:t>Irland</w:t>
      </w:r>
    </w:p>
    <w:p w14:paraId="75BFE9F9" w14:textId="77777777" w:rsidR="009260DE" w:rsidRPr="006D6DFA" w:rsidRDefault="009260DE" w:rsidP="00FC01B2">
      <w:pPr>
        <w:ind w:left="851"/>
        <w:rPr>
          <w:sz w:val="24"/>
          <w:szCs w:val="24"/>
          <w:lang w:val="en-US"/>
        </w:rPr>
      </w:pPr>
    </w:p>
    <w:p w14:paraId="5E7FFBA7" w14:textId="77777777" w:rsidR="00641C65" w:rsidRPr="00342DCE" w:rsidRDefault="00641C65" w:rsidP="00FC01B2">
      <w:pPr>
        <w:ind w:left="851"/>
        <w:rPr>
          <w:sz w:val="24"/>
          <w:szCs w:val="24"/>
        </w:rPr>
      </w:pPr>
      <w:r w:rsidRPr="00342DCE">
        <w:rPr>
          <w:b/>
          <w:sz w:val="24"/>
          <w:szCs w:val="24"/>
        </w:rPr>
        <w:t>Repræsentant</w:t>
      </w:r>
    </w:p>
    <w:p w14:paraId="1D9BFFB2" w14:textId="77777777" w:rsidR="006D6DFA" w:rsidRPr="00342DCE" w:rsidRDefault="006D6DFA" w:rsidP="00FC01B2">
      <w:pPr>
        <w:ind w:left="851"/>
        <w:rPr>
          <w:sz w:val="24"/>
          <w:szCs w:val="24"/>
        </w:rPr>
      </w:pPr>
      <w:r w:rsidRPr="00342DCE">
        <w:rPr>
          <w:sz w:val="24"/>
          <w:szCs w:val="24"/>
        </w:rPr>
        <w:t>2care4 Generics ApS</w:t>
      </w:r>
    </w:p>
    <w:p w14:paraId="47DFB1A5" w14:textId="77777777" w:rsidR="00BA6B70" w:rsidRDefault="006D6DFA" w:rsidP="00FC01B2">
      <w:pPr>
        <w:ind w:left="851"/>
        <w:rPr>
          <w:sz w:val="24"/>
          <w:szCs w:val="24"/>
        </w:rPr>
      </w:pPr>
      <w:r w:rsidRPr="006D6DFA">
        <w:rPr>
          <w:sz w:val="24"/>
          <w:szCs w:val="24"/>
        </w:rPr>
        <w:t>Stenhuggervej 12</w:t>
      </w:r>
    </w:p>
    <w:p w14:paraId="04AD0385" w14:textId="0B258D78" w:rsidR="006D6DFA" w:rsidRPr="006D6DFA" w:rsidRDefault="006D6DFA" w:rsidP="00FC01B2">
      <w:pPr>
        <w:ind w:left="851"/>
        <w:rPr>
          <w:sz w:val="24"/>
          <w:szCs w:val="24"/>
        </w:rPr>
      </w:pPr>
      <w:r w:rsidRPr="006D6DFA">
        <w:rPr>
          <w:sz w:val="24"/>
          <w:szCs w:val="24"/>
        </w:rPr>
        <w:t>6710 Esbjerg</w:t>
      </w:r>
    </w:p>
    <w:p w14:paraId="0CC52AB1" w14:textId="77777777" w:rsidR="00641C65" w:rsidRPr="00641C65" w:rsidRDefault="00641C65" w:rsidP="009260DE">
      <w:pPr>
        <w:tabs>
          <w:tab w:val="left" w:pos="851"/>
        </w:tabs>
        <w:ind w:left="851"/>
        <w:rPr>
          <w:sz w:val="24"/>
          <w:szCs w:val="24"/>
        </w:rPr>
      </w:pPr>
    </w:p>
    <w:p w14:paraId="03038A2B"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39D83A23" w14:textId="1C8A5D4E" w:rsidR="009260DE" w:rsidRPr="00C84483" w:rsidRDefault="006D6DFA" w:rsidP="009260DE">
      <w:pPr>
        <w:tabs>
          <w:tab w:val="left" w:pos="851"/>
        </w:tabs>
        <w:ind w:left="851"/>
        <w:rPr>
          <w:sz w:val="24"/>
          <w:szCs w:val="24"/>
        </w:rPr>
      </w:pPr>
      <w:r>
        <w:rPr>
          <w:sz w:val="24"/>
          <w:szCs w:val="24"/>
        </w:rPr>
        <w:t>74733</w:t>
      </w:r>
    </w:p>
    <w:p w14:paraId="373B1221" w14:textId="77777777" w:rsidR="009260DE" w:rsidRPr="00C84483" w:rsidRDefault="009260DE" w:rsidP="009260DE">
      <w:pPr>
        <w:tabs>
          <w:tab w:val="left" w:pos="851"/>
        </w:tabs>
        <w:ind w:left="851"/>
        <w:jc w:val="both"/>
        <w:rPr>
          <w:sz w:val="24"/>
          <w:szCs w:val="24"/>
        </w:rPr>
      </w:pPr>
    </w:p>
    <w:p w14:paraId="70335C6B"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7D6D6C4E" w14:textId="5D72E634" w:rsidR="009260DE" w:rsidRPr="00C84483" w:rsidRDefault="003B55C8" w:rsidP="009260DE">
      <w:pPr>
        <w:tabs>
          <w:tab w:val="left" w:pos="851"/>
        </w:tabs>
        <w:ind w:left="851"/>
        <w:rPr>
          <w:sz w:val="24"/>
          <w:szCs w:val="24"/>
        </w:rPr>
      </w:pPr>
      <w:r>
        <w:rPr>
          <w:sz w:val="24"/>
          <w:szCs w:val="24"/>
        </w:rPr>
        <w:t>19. maj 2026</w:t>
      </w:r>
    </w:p>
    <w:p w14:paraId="69E0DADA" w14:textId="77777777" w:rsidR="009260DE" w:rsidRPr="00C84483" w:rsidRDefault="009260DE" w:rsidP="009260DE">
      <w:pPr>
        <w:tabs>
          <w:tab w:val="left" w:pos="851"/>
        </w:tabs>
        <w:ind w:left="851"/>
        <w:rPr>
          <w:sz w:val="24"/>
          <w:szCs w:val="24"/>
        </w:rPr>
      </w:pPr>
    </w:p>
    <w:p w14:paraId="7238DA66"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0A1F68E7" w14:textId="6D34330F" w:rsidR="009260DE" w:rsidRPr="00C84483" w:rsidRDefault="006D6DFA"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77E1" w14:textId="77777777" w:rsidR="00CF0984" w:rsidRDefault="00CF0984">
      <w:r>
        <w:separator/>
      </w:r>
    </w:p>
  </w:endnote>
  <w:endnote w:type="continuationSeparator" w:id="0">
    <w:p w14:paraId="577DE9DA" w14:textId="77777777" w:rsidR="00CF0984" w:rsidRDefault="00C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923F" w14:textId="77777777" w:rsidR="000259B9" w:rsidRDefault="000259B9">
    <w:pPr>
      <w:pStyle w:val="Sidefod"/>
      <w:pBdr>
        <w:bottom w:val="single" w:sz="6" w:space="1" w:color="auto"/>
      </w:pBdr>
    </w:pPr>
  </w:p>
  <w:p w14:paraId="2BB73D6D" w14:textId="77777777" w:rsidR="000259B9" w:rsidRDefault="000259B9" w:rsidP="00C42586">
    <w:pPr>
      <w:pStyle w:val="Sidefod"/>
      <w:tabs>
        <w:tab w:val="clear" w:pos="4819"/>
        <w:tab w:val="left" w:pos="8505"/>
      </w:tabs>
      <w:rPr>
        <w:i/>
        <w:sz w:val="18"/>
        <w:szCs w:val="18"/>
      </w:rPr>
    </w:pPr>
  </w:p>
  <w:p w14:paraId="2FBC3D77" w14:textId="7F9DB4BC"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4F666E">
      <w:rPr>
        <w:i/>
        <w:noProof/>
        <w:sz w:val="18"/>
        <w:szCs w:val="18"/>
      </w:rPr>
      <w:t>Naxtrin, filmovertrukne tabletter 2,5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79F89" w14:textId="77777777" w:rsidR="00CF0984" w:rsidRDefault="00CF0984">
      <w:r>
        <w:separator/>
      </w:r>
    </w:p>
  </w:footnote>
  <w:footnote w:type="continuationSeparator" w:id="0">
    <w:p w14:paraId="3BDDD76A" w14:textId="77777777" w:rsidR="00CF0984" w:rsidRDefault="00CF0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1754548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19804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8088119">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348042">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97959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84"/>
    <w:rsid w:val="000259B9"/>
    <w:rsid w:val="00041491"/>
    <w:rsid w:val="00050D16"/>
    <w:rsid w:val="00072DC2"/>
    <w:rsid w:val="000730CA"/>
    <w:rsid w:val="00074F2A"/>
    <w:rsid w:val="000A1CA8"/>
    <w:rsid w:val="000A466B"/>
    <w:rsid w:val="000B058C"/>
    <w:rsid w:val="000D68B0"/>
    <w:rsid w:val="000E4EE6"/>
    <w:rsid w:val="001454E2"/>
    <w:rsid w:val="00206CE8"/>
    <w:rsid w:val="0021526C"/>
    <w:rsid w:val="00283A2B"/>
    <w:rsid w:val="002B30AD"/>
    <w:rsid w:val="002C1EC0"/>
    <w:rsid w:val="002C2C01"/>
    <w:rsid w:val="0032342E"/>
    <w:rsid w:val="00323947"/>
    <w:rsid w:val="00342DCE"/>
    <w:rsid w:val="003A29AE"/>
    <w:rsid w:val="003A32D7"/>
    <w:rsid w:val="003B4074"/>
    <w:rsid w:val="003B55C8"/>
    <w:rsid w:val="003C769A"/>
    <w:rsid w:val="003D3A90"/>
    <w:rsid w:val="003F1838"/>
    <w:rsid w:val="004251C1"/>
    <w:rsid w:val="0045746C"/>
    <w:rsid w:val="0049104B"/>
    <w:rsid w:val="004E3B12"/>
    <w:rsid w:val="004F666E"/>
    <w:rsid w:val="00532310"/>
    <w:rsid w:val="00565F0F"/>
    <w:rsid w:val="00594A86"/>
    <w:rsid w:val="00596D86"/>
    <w:rsid w:val="00637F5A"/>
    <w:rsid w:val="00641C65"/>
    <w:rsid w:val="006560B1"/>
    <w:rsid w:val="006756DD"/>
    <w:rsid w:val="006D6DFA"/>
    <w:rsid w:val="0071241E"/>
    <w:rsid w:val="00737275"/>
    <w:rsid w:val="00740EEC"/>
    <w:rsid w:val="0074149D"/>
    <w:rsid w:val="0078011A"/>
    <w:rsid w:val="00782AF4"/>
    <w:rsid w:val="00790EE7"/>
    <w:rsid w:val="007B6649"/>
    <w:rsid w:val="0082576E"/>
    <w:rsid w:val="00862ED6"/>
    <w:rsid w:val="0089346F"/>
    <w:rsid w:val="00907F75"/>
    <w:rsid w:val="009260DE"/>
    <w:rsid w:val="0093258A"/>
    <w:rsid w:val="009C7BA3"/>
    <w:rsid w:val="009D1F5A"/>
    <w:rsid w:val="00A10294"/>
    <w:rsid w:val="00A34E5F"/>
    <w:rsid w:val="00B003BF"/>
    <w:rsid w:val="00B02DB3"/>
    <w:rsid w:val="00B373D7"/>
    <w:rsid w:val="00B55271"/>
    <w:rsid w:val="00B77A34"/>
    <w:rsid w:val="00BA6B70"/>
    <w:rsid w:val="00BD7931"/>
    <w:rsid w:val="00BF6243"/>
    <w:rsid w:val="00C36276"/>
    <w:rsid w:val="00C42586"/>
    <w:rsid w:val="00C45F6B"/>
    <w:rsid w:val="00C60CCD"/>
    <w:rsid w:val="00C84483"/>
    <w:rsid w:val="00C95551"/>
    <w:rsid w:val="00CB20D7"/>
    <w:rsid w:val="00CF0984"/>
    <w:rsid w:val="00D020B0"/>
    <w:rsid w:val="00D11748"/>
    <w:rsid w:val="00D237F6"/>
    <w:rsid w:val="00D34D98"/>
    <w:rsid w:val="00D366CF"/>
    <w:rsid w:val="00D93992"/>
    <w:rsid w:val="00E108AA"/>
    <w:rsid w:val="00E3749A"/>
    <w:rsid w:val="00E7437F"/>
    <w:rsid w:val="00E865B8"/>
    <w:rsid w:val="00EC0B9B"/>
    <w:rsid w:val="00ED5E9F"/>
    <w:rsid w:val="00F66D4F"/>
    <w:rsid w:val="00FA3049"/>
    <w:rsid w:val="00FB6D01"/>
    <w:rsid w:val="00FC01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EB54C"/>
  <w15:chartTrackingRefBased/>
  <w15:docId w15:val="{948C5D1F-6534-4A71-B88F-676D8857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0983">
      <w:bodyDiv w:val="1"/>
      <w:marLeft w:val="0"/>
      <w:marRight w:val="0"/>
      <w:marTop w:val="0"/>
      <w:marBottom w:val="0"/>
      <w:divBdr>
        <w:top w:val="none" w:sz="0" w:space="0" w:color="auto"/>
        <w:left w:val="none" w:sz="0" w:space="0" w:color="auto"/>
        <w:bottom w:val="none" w:sz="0" w:space="0" w:color="auto"/>
        <w:right w:val="none" w:sz="0" w:space="0" w:color="auto"/>
      </w:divBdr>
    </w:div>
    <w:div w:id="39550722">
      <w:bodyDiv w:val="1"/>
      <w:marLeft w:val="0"/>
      <w:marRight w:val="0"/>
      <w:marTop w:val="0"/>
      <w:marBottom w:val="0"/>
      <w:divBdr>
        <w:top w:val="none" w:sz="0" w:space="0" w:color="auto"/>
        <w:left w:val="none" w:sz="0" w:space="0" w:color="auto"/>
        <w:bottom w:val="none" w:sz="0" w:space="0" w:color="auto"/>
        <w:right w:val="none" w:sz="0" w:space="0" w:color="auto"/>
      </w:divBdr>
    </w:div>
    <w:div w:id="45110502">
      <w:bodyDiv w:val="1"/>
      <w:marLeft w:val="0"/>
      <w:marRight w:val="0"/>
      <w:marTop w:val="0"/>
      <w:marBottom w:val="0"/>
      <w:divBdr>
        <w:top w:val="none" w:sz="0" w:space="0" w:color="auto"/>
        <w:left w:val="none" w:sz="0" w:space="0" w:color="auto"/>
        <w:bottom w:val="none" w:sz="0" w:space="0" w:color="auto"/>
        <w:right w:val="none" w:sz="0" w:space="0" w:color="auto"/>
      </w:divBdr>
    </w:div>
    <w:div w:id="73742238">
      <w:bodyDiv w:val="1"/>
      <w:marLeft w:val="0"/>
      <w:marRight w:val="0"/>
      <w:marTop w:val="0"/>
      <w:marBottom w:val="0"/>
      <w:divBdr>
        <w:top w:val="none" w:sz="0" w:space="0" w:color="auto"/>
        <w:left w:val="none" w:sz="0" w:space="0" w:color="auto"/>
        <w:bottom w:val="none" w:sz="0" w:space="0" w:color="auto"/>
        <w:right w:val="none" w:sz="0" w:space="0" w:color="auto"/>
      </w:divBdr>
    </w:div>
    <w:div w:id="16463335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86545522">
      <w:bodyDiv w:val="1"/>
      <w:marLeft w:val="0"/>
      <w:marRight w:val="0"/>
      <w:marTop w:val="0"/>
      <w:marBottom w:val="0"/>
      <w:divBdr>
        <w:top w:val="none" w:sz="0" w:space="0" w:color="auto"/>
        <w:left w:val="none" w:sz="0" w:space="0" w:color="auto"/>
        <w:bottom w:val="none" w:sz="0" w:space="0" w:color="auto"/>
        <w:right w:val="none" w:sz="0" w:space="0" w:color="auto"/>
      </w:divBdr>
    </w:div>
    <w:div w:id="322899820">
      <w:bodyDiv w:val="1"/>
      <w:marLeft w:val="0"/>
      <w:marRight w:val="0"/>
      <w:marTop w:val="0"/>
      <w:marBottom w:val="0"/>
      <w:divBdr>
        <w:top w:val="none" w:sz="0" w:space="0" w:color="auto"/>
        <w:left w:val="none" w:sz="0" w:space="0" w:color="auto"/>
        <w:bottom w:val="none" w:sz="0" w:space="0" w:color="auto"/>
        <w:right w:val="none" w:sz="0" w:space="0" w:color="auto"/>
      </w:divBdr>
    </w:div>
    <w:div w:id="393086350">
      <w:bodyDiv w:val="1"/>
      <w:marLeft w:val="0"/>
      <w:marRight w:val="0"/>
      <w:marTop w:val="0"/>
      <w:marBottom w:val="0"/>
      <w:divBdr>
        <w:top w:val="none" w:sz="0" w:space="0" w:color="auto"/>
        <w:left w:val="none" w:sz="0" w:space="0" w:color="auto"/>
        <w:bottom w:val="none" w:sz="0" w:space="0" w:color="auto"/>
        <w:right w:val="none" w:sz="0" w:space="0" w:color="auto"/>
      </w:divBdr>
    </w:div>
    <w:div w:id="400638791">
      <w:bodyDiv w:val="1"/>
      <w:marLeft w:val="0"/>
      <w:marRight w:val="0"/>
      <w:marTop w:val="0"/>
      <w:marBottom w:val="0"/>
      <w:divBdr>
        <w:top w:val="none" w:sz="0" w:space="0" w:color="auto"/>
        <w:left w:val="none" w:sz="0" w:space="0" w:color="auto"/>
        <w:bottom w:val="none" w:sz="0" w:space="0" w:color="auto"/>
        <w:right w:val="none" w:sz="0" w:space="0" w:color="auto"/>
      </w:divBdr>
    </w:div>
    <w:div w:id="419449154">
      <w:bodyDiv w:val="1"/>
      <w:marLeft w:val="0"/>
      <w:marRight w:val="0"/>
      <w:marTop w:val="0"/>
      <w:marBottom w:val="0"/>
      <w:divBdr>
        <w:top w:val="none" w:sz="0" w:space="0" w:color="auto"/>
        <w:left w:val="none" w:sz="0" w:space="0" w:color="auto"/>
        <w:bottom w:val="none" w:sz="0" w:space="0" w:color="auto"/>
        <w:right w:val="none" w:sz="0" w:space="0" w:color="auto"/>
      </w:divBdr>
    </w:div>
    <w:div w:id="436221197">
      <w:bodyDiv w:val="1"/>
      <w:marLeft w:val="0"/>
      <w:marRight w:val="0"/>
      <w:marTop w:val="0"/>
      <w:marBottom w:val="0"/>
      <w:divBdr>
        <w:top w:val="none" w:sz="0" w:space="0" w:color="auto"/>
        <w:left w:val="none" w:sz="0" w:space="0" w:color="auto"/>
        <w:bottom w:val="none" w:sz="0" w:space="0" w:color="auto"/>
        <w:right w:val="none" w:sz="0" w:space="0" w:color="auto"/>
      </w:divBdr>
    </w:div>
    <w:div w:id="461339603">
      <w:bodyDiv w:val="1"/>
      <w:marLeft w:val="0"/>
      <w:marRight w:val="0"/>
      <w:marTop w:val="0"/>
      <w:marBottom w:val="0"/>
      <w:divBdr>
        <w:top w:val="none" w:sz="0" w:space="0" w:color="auto"/>
        <w:left w:val="none" w:sz="0" w:space="0" w:color="auto"/>
        <w:bottom w:val="none" w:sz="0" w:space="0" w:color="auto"/>
        <w:right w:val="none" w:sz="0" w:space="0" w:color="auto"/>
      </w:divBdr>
    </w:div>
    <w:div w:id="560363800">
      <w:bodyDiv w:val="1"/>
      <w:marLeft w:val="0"/>
      <w:marRight w:val="0"/>
      <w:marTop w:val="0"/>
      <w:marBottom w:val="0"/>
      <w:divBdr>
        <w:top w:val="none" w:sz="0" w:space="0" w:color="auto"/>
        <w:left w:val="none" w:sz="0" w:space="0" w:color="auto"/>
        <w:bottom w:val="none" w:sz="0" w:space="0" w:color="auto"/>
        <w:right w:val="none" w:sz="0" w:space="0" w:color="auto"/>
      </w:divBdr>
    </w:div>
    <w:div w:id="587275642">
      <w:bodyDiv w:val="1"/>
      <w:marLeft w:val="0"/>
      <w:marRight w:val="0"/>
      <w:marTop w:val="0"/>
      <w:marBottom w:val="0"/>
      <w:divBdr>
        <w:top w:val="none" w:sz="0" w:space="0" w:color="auto"/>
        <w:left w:val="none" w:sz="0" w:space="0" w:color="auto"/>
        <w:bottom w:val="none" w:sz="0" w:space="0" w:color="auto"/>
        <w:right w:val="none" w:sz="0" w:space="0" w:color="auto"/>
      </w:divBdr>
    </w:div>
    <w:div w:id="588277505">
      <w:bodyDiv w:val="1"/>
      <w:marLeft w:val="0"/>
      <w:marRight w:val="0"/>
      <w:marTop w:val="0"/>
      <w:marBottom w:val="0"/>
      <w:divBdr>
        <w:top w:val="none" w:sz="0" w:space="0" w:color="auto"/>
        <w:left w:val="none" w:sz="0" w:space="0" w:color="auto"/>
        <w:bottom w:val="none" w:sz="0" w:space="0" w:color="auto"/>
        <w:right w:val="none" w:sz="0" w:space="0" w:color="auto"/>
      </w:divBdr>
    </w:div>
    <w:div w:id="591551080">
      <w:bodyDiv w:val="1"/>
      <w:marLeft w:val="0"/>
      <w:marRight w:val="0"/>
      <w:marTop w:val="0"/>
      <w:marBottom w:val="0"/>
      <w:divBdr>
        <w:top w:val="none" w:sz="0" w:space="0" w:color="auto"/>
        <w:left w:val="none" w:sz="0" w:space="0" w:color="auto"/>
        <w:bottom w:val="none" w:sz="0" w:space="0" w:color="auto"/>
        <w:right w:val="none" w:sz="0" w:space="0" w:color="auto"/>
      </w:divBdr>
    </w:div>
    <w:div w:id="619141295">
      <w:bodyDiv w:val="1"/>
      <w:marLeft w:val="0"/>
      <w:marRight w:val="0"/>
      <w:marTop w:val="0"/>
      <w:marBottom w:val="0"/>
      <w:divBdr>
        <w:top w:val="none" w:sz="0" w:space="0" w:color="auto"/>
        <w:left w:val="none" w:sz="0" w:space="0" w:color="auto"/>
        <w:bottom w:val="none" w:sz="0" w:space="0" w:color="auto"/>
        <w:right w:val="none" w:sz="0" w:space="0" w:color="auto"/>
      </w:divBdr>
    </w:div>
    <w:div w:id="627055842">
      <w:bodyDiv w:val="1"/>
      <w:marLeft w:val="0"/>
      <w:marRight w:val="0"/>
      <w:marTop w:val="0"/>
      <w:marBottom w:val="0"/>
      <w:divBdr>
        <w:top w:val="none" w:sz="0" w:space="0" w:color="auto"/>
        <w:left w:val="none" w:sz="0" w:space="0" w:color="auto"/>
        <w:bottom w:val="none" w:sz="0" w:space="0" w:color="auto"/>
        <w:right w:val="none" w:sz="0" w:space="0" w:color="auto"/>
      </w:divBdr>
    </w:div>
    <w:div w:id="774131126">
      <w:bodyDiv w:val="1"/>
      <w:marLeft w:val="0"/>
      <w:marRight w:val="0"/>
      <w:marTop w:val="0"/>
      <w:marBottom w:val="0"/>
      <w:divBdr>
        <w:top w:val="none" w:sz="0" w:space="0" w:color="auto"/>
        <w:left w:val="none" w:sz="0" w:space="0" w:color="auto"/>
        <w:bottom w:val="none" w:sz="0" w:space="0" w:color="auto"/>
        <w:right w:val="none" w:sz="0" w:space="0" w:color="auto"/>
      </w:divBdr>
    </w:div>
    <w:div w:id="777068746">
      <w:bodyDiv w:val="1"/>
      <w:marLeft w:val="0"/>
      <w:marRight w:val="0"/>
      <w:marTop w:val="0"/>
      <w:marBottom w:val="0"/>
      <w:divBdr>
        <w:top w:val="none" w:sz="0" w:space="0" w:color="auto"/>
        <w:left w:val="none" w:sz="0" w:space="0" w:color="auto"/>
        <w:bottom w:val="none" w:sz="0" w:space="0" w:color="auto"/>
        <w:right w:val="none" w:sz="0" w:space="0" w:color="auto"/>
      </w:divBdr>
    </w:div>
    <w:div w:id="783692864">
      <w:bodyDiv w:val="1"/>
      <w:marLeft w:val="0"/>
      <w:marRight w:val="0"/>
      <w:marTop w:val="0"/>
      <w:marBottom w:val="0"/>
      <w:divBdr>
        <w:top w:val="none" w:sz="0" w:space="0" w:color="auto"/>
        <w:left w:val="none" w:sz="0" w:space="0" w:color="auto"/>
        <w:bottom w:val="none" w:sz="0" w:space="0" w:color="auto"/>
        <w:right w:val="none" w:sz="0" w:space="0" w:color="auto"/>
      </w:divBdr>
    </w:div>
    <w:div w:id="791828885">
      <w:bodyDiv w:val="1"/>
      <w:marLeft w:val="0"/>
      <w:marRight w:val="0"/>
      <w:marTop w:val="0"/>
      <w:marBottom w:val="0"/>
      <w:divBdr>
        <w:top w:val="none" w:sz="0" w:space="0" w:color="auto"/>
        <w:left w:val="none" w:sz="0" w:space="0" w:color="auto"/>
        <w:bottom w:val="none" w:sz="0" w:space="0" w:color="auto"/>
        <w:right w:val="none" w:sz="0" w:space="0" w:color="auto"/>
      </w:divBdr>
    </w:div>
    <w:div w:id="810438837">
      <w:bodyDiv w:val="1"/>
      <w:marLeft w:val="0"/>
      <w:marRight w:val="0"/>
      <w:marTop w:val="0"/>
      <w:marBottom w:val="0"/>
      <w:divBdr>
        <w:top w:val="none" w:sz="0" w:space="0" w:color="auto"/>
        <w:left w:val="none" w:sz="0" w:space="0" w:color="auto"/>
        <w:bottom w:val="none" w:sz="0" w:space="0" w:color="auto"/>
        <w:right w:val="none" w:sz="0" w:space="0" w:color="auto"/>
      </w:divBdr>
    </w:div>
    <w:div w:id="848563552">
      <w:bodyDiv w:val="1"/>
      <w:marLeft w:val="0"/>
      <w:marRight w:val="0"/>
      <w:marTop w:val="0"/>
      <w:marBottom w:val="0"/>
      <w:divBdr>
        <w:top w:val="none" w:sz="0" w:space="0" w:color="auto"/>
        <w:left w:val="none" w:sz="0" w:space="0" w:color="auto"/>
        <w:bottom w:val="none" w:sz="0" w:space="0" w:color="auto"/>
        <w:right w:val="none" w:sz="0" w:space="0" w:color="auto"/>
      </w:divBdr>
    </w:div>
    <w:div w:id="974943137">
      <w:bodyDiv w:val="1"/>
      <w:marLeft w:val="0"/>
      <w:marRight w:val="0"/>
      <w:marTop w:val="0"/>
      <w:marBottom w:val="0"/>
      <w:divBdr>
        <w:top w:val="none" w:sz="0" w:space="0" w:color="auto"/>
        <w:left w:val="none" w:sz="0" w:space="0" w:color="auto"/>
        <w:bottom w:val="none" w:sz="0" w:space="0" w:color="auto"/>
        <w:right w:val="none" w:sz="0" w:space="0" w:color="auto"/>
      </w:divBdr>
    </w:div>
    <w:div w:id="998923084">
      <w:bodyDiv w:val="1"/>
      <w:marLeft w:val="0"/>
      <w:marRight w:val="0"/>
      <w:marTop w:val="0"/>
      <w:marBottom w:val="0"/>
      <w:divBdr>
        <w:top w:val="none" w:sz="0" w:space="0" w:color="auto"/>
        <w:left w:val="none" w:sz="0" w:space="0" w:color="auto"/>
        <w:bottom w:val="none" w:sz="0" w:space="0" w:color="auto"/>
        <w:right w:val="none" w:sz="0" w:space="0" w:color="auto"/>
      </w:divBdr>
    </w:div>
    <w:div w:id="1016233691">
      <w:bodyDiv w:val="1"/>
      <w:marLeft w:val="0"/>
      <w:marRight w:val="0"/>
      <w:marTop w:val="0"/>
      <w:marBottom w:val="0"/>
      <w:divBdr>
        <w:top w:val="none" w:sz="0" w:space="0" w:color="auto"/>
        <w:left w:val="none" w:sz="0" w:space="0" w:color="auto"/>
        <w:bottom w:val="none" w:sz="0" w:space="0" w:color="auto"/>
        <w:right w:val="none" w:sz="0" w:space="0" w:color="auto"/>
      </w:divBdr>
    </w:div>
    <w:div w:id="1083646876">
      <w:bodyDiv w:val="1"/>
      <w:marLeft w:val="0"/>
      <w:marRight w:val="0"/>
      <w:marTop w:val="0"/>
      <w:marBottom w:val="0"/>
      <w:divBdr>
        <w:top w:val="none" w:sz="0" w:space="0" w:color="auto"/>
        <w:left w:val="none" w:sz="0" w:space="0" w:color="auto"/>
        <w:bottom w:val="none" w:sz="0" w:space="0" w:color="auto"/>
        <w:right w:val="none" w:sz="0" w:space="0" w:color="auto"/>
      </w:divBdr>
    </w:div>
    <w:div w:id="1144158557">
      <w:bodyDiv w:val="1"/>
      <w:marLeft w:val="0"/>
      <w:marRight w:val="0"/>
      <w:marTop w:val="0"/>
      <w:marBottom w:val="0"/>
      <w:divBdr>
        <w:top w:val="none" w:sz="0" w:space="0" w:color="auto"/>
        <w:left w:val="none" w:sz="0" w:space="0" w:color="auto"/>
        <w:bottom w:val="none" w:sz="0" w:space="0" w:color="auto"/>
        <w:right w:val="none" w:sz="0" w:space="0" w:color="auto"/>
      </w:divBdr>
    </w:div>
    <w:div w:id="1215119623">
      <w:bodyDiv w:val="1"/>
      <w:marLeft w:val="0"/>
      <w:marRight w:val="0"/>
      <w:marTop w:val="0"/>
      <w:marBottom w:val="0"/>
      <w:divBdr>
        <w:top w:val="none" w:sz="0" w:space="0" w:color="auto"/>
        <w:left w:val="none" w:sz="0" w:space="0" w:color="auto"/>
        <w:bottom w:val="none" w:sz="0" w:space="0" w:color="auto"/>
        <w:right w:val="none" w:sz="0" w:space="0" w:color="auto"/>
      </w:divBdr>
    </w:div>
    <w:div w:id="1269002068">
      <w:bodyDiv w:val="1"/>
      <w:marLeft w:val="0"/>
      <w:marRight w:val="0"/>
      <w:marTop w:val="0"/>
      <w:marBottom w:val="0"/>
      <w:divBdr>
        <w:top w:val="none" w:sz="0" w:space="0" w:color="auto"/>
        <w:left w:val="none" w:sz="0" w:space="0" w:color="auto"/>
        <w:bottom w:val="none" w:sz="0" w:space="0" w:color="auto"/>
        <w:right w:val="none" w:sz="0" w:space="0" w:color="auto"/>
      </w:divBdr>
    </w:div>
    <w:div w:id="1334213402">
      <w:bodyDiv w:val="1"/>
      <w:marLeft w:val="0"/>
      <w:marRight w:val="0"/>
      <w:marTop w:val="0"/>
      <w:marBottom w:val="0"/>
      <w:divBdr>
        <w:top w:val="none" w:sz="0" w:space="0" w:color="auto"/>
        <w:left w:val="none" w:sz="0" w:space="0" w:color="auto"/>
        <w:bottom w:val="none" w:sz="0" w:space="0" w:color="auto"/>
        <w:right w:val="none" w:sz="0" w:space="0" w:color="auto"/>
      </w:divBdr>
    </w:div>
    <w:div w:id="1342271743">
      <w:bodyDiv w:val="1"/>
      <w:marLeft w:val="0"/>
      <w:marRight w:val="0"/>
      <w:marTop w:val="0"/>
      <w:marBottom w:val="0"/>
      <w:divBdr>
        <w:top w:val="none" w:sz="0" w:space="0" w:color="auto"/>
        <w:left w:val="none" w:sz="0" w:space="0" w:color="auto"/>
        <w:bottom w:val="none" w:sz="0" w:space="0" w:color="auto"/>
        <w:right w:val="none" w:sz="0" w:space="0" w:color="auto"/>
      </w:divBdr>
    </w:div>
    <w:div w:id="1449353571">
      <w:bodyDiv w:val="1"/>
      <w:marLeft w:val="0"/>
      <w:marRight w:val="0"/>
      <w:marTop w:val="0"/>
      <w:marBottom w:val="0"/>
      <w:divBdr>
        <w:top w:val="none" w:sz="0" w:space="0" w:color="auto"/>
        <w:left w:val="none" w:sz="0" w:space="0" w:color="auto"/>
        <w:bottom w:val="none" w:sz="0" w:space="0" w:color="auto"/>
        <w:right w:val="none" w:sz="0" w:space="0" w:color="auto"/>
      </w:divBdr>
    </w:div>
    <w:div w:id="1462380233">
      <w:bodyDiv w:val="1"/>
      <w:marLeft w:val="0"/>
      <w:marRight w:val="0"/>
      <w:marTop w:val="0"/>
      <w:marBottom w:val="0"/>
      <w:divBdr>
        <w:top w:val="none" w:sz="0" w:space="0" w:color="auto"/>
        <w:left w:val="none" w:sz="0" w:space="0" w:color="auto"/>
        <w:bottom w:val="none" w:sz="0" w:space="0" w:color="auto"/>
        <w:right w:val="none" w:sz="0" w:space="0" w:color="auto"/>
      </w:divBdr>
    </w:div>
    <w:div w:id="1486581136">
      <w:bodyDiv w:val="1"/>
      <w:marLeft w:val="0"/>
      <w:marRight w:val="0"/>
      <w:marTop w:val="0"/>
      <w:marBottom w:val="0"/>
      <w:divBdr>
        <w:top w:val="none" w:sz="0" w:space="0" w:color="auto"/>
        <w:left w:val="none" w:sz="0" w:space="0" w:color="auto"/>
        <w:bottom w:val="none" w:sz="0" w:space="0" w:color="auto"/>
        <w:right w:val="none" w:sz="0" w:space="0" w:color="auto"/>
      </w:divBdr>
    </w:div>
    <w:div w:id="1597861806">
      <w:bodyDiv w:val="1"/>
      <w:marLeft w:val="0"/>
      <w:marRight w:val="0"/>
      <w:marTop w:val="0"/>
      <w:marBottom w:val="0"/>
      <w:divBdr>
        <w:top w:val="none" w:sz="0" w:space="0" w:color="auto"/>
        <w:left w:val="none" w:sz="0" w:space="0" w:color="auto"/>
        <w:bottom w:val="none" w:sz="0" w:space="0" w:color="auto"/>
        <w:right w:val="none" w:sz="0" w:space="0" w:color="auto"/>
      </w:divBdr>
    </w:div>
    <w:div w:id="1676807392">
      <w:bodyDiv w:val="1"/>
      <w:marLeft w:val="0"/>
      <w:marRight w:val="0"/>
      <w:marTop w:val="0"/>
      <w:marBottom w:val="0"/>
      <w:divBdr>
        <w:top w:val="none" w:sz="0" w:space="0" w:color="auto"/>
        <w:left w:val="none" w:sz="0" w:space="0" w:color="auto"/>
        <w:bottom w:val="none" w:sz="0" w:space="0" w:color="auto"/>
        <w:right w:val="none" w:sz="0" w:space="0" w:color="auto"/>
      </w:divBdr>
    </w:div>
    <w:div w:id="1732583704">
      <w:bodyDiv w:val="1"/>
      <w:marLeft w:val="0"/>
      <w:marRight w:val="0"/>
      <w:marTop w:val="0"/>
      <w:marBottom w:val="0"/>
      <w:divBdr>
        <w:top w:val="none" w:sz="0" w:space="0" w:color="auto"/>
        <w:left w:val="none" w:sz="0" w:space="0" w:color="auto"/>
        <w:bottom w:val="none" w:sz="0" w:space="0" w:color="auto"/>
        <w:right w:val="none" w:sz="0" w:space="0" w:color="auto"/>
      </w:divBdr>
    </w:div>
    <w:div w:id="1876963444">
      <w:bodyDiv w:val="1"/>
      <w:marLeft w:val="0"/>
      <w:marRight w:val="0"/>
      <w:marTop w:val="0"/>
      <w:marBottom w:val="0"/>
      <w:divBdr>
        <w:top w:val="none" w:sz="0" w:space="0" w:color="auto"/>
        <w:left w:val="none" w:sz="0" w:space="0" w:color="auto"/>
        <w:bottom w:val="none" w:sz="0" w:space="0" w:color="auto"/>
        <w:right w:val="none" w:sz="0" w:space="0" w:color="auto"/>
      </w:divBdr>
    </w:div>
    <w:div w:id="1917782238">
      <w:bodyDiv w:val="1"/>
      <w:marLeft w:val="0"/>
      <w:marRight w:val="0"/>
      <w:marTop w:val="0"/>
      <w:marBottom w:val="0"/>
      <w:divBdr>
        <w:top w:val="none" w:sz="0" w:space="0" w:color="auto"/>
        <w:left w:val="none" w:sz="0" w:space="0" w:color="auto"/>
        <w:bottom w:val="none" w:sz="0" w:space="0" w:color="auto"/>
        <w:right w:val="none" w:sz="0" w:space="0" w:color="auto"/>
      </w:divBdr>
    </w:div>
    <w:div w:id="2006467742">
      <w:bodyDiv w:val="1"/>
      <w:marLeft w:val="0"/>
      <w:marRight w:val="0"/>
      <w:marTop w:val="0"/>
      <w:marBottom w:val="0"/>
      <w:divBdr>
        <w:top w:val="none" w:sz="0" w:space="0" w:color="auto"/>
        <w:left w:val="none" w:sz="0" w:space="0" w:color="auto"/>
        <w:bottom w:val="none" w:sz="0" w:space="0" w:color="auto"/>
        <w:right w:val="none" w:sz="0" w:space="0" w:color="auto"/>
      </w:divBdr>
    </w:div>
    <w:div w:id="2057773350">
      <w:bodyDiv w:val="1"/>
      <w:marLeft w:val="0"/>
      <w:marRight w:val="0"/>
      <w:marTop w:val="0"/>
      <w:marBottom w:val="0"/>
      <w:divBdr>
        <w:top w:val="none" w:sz="0" w:space="0" w:color="auto"/>
        <w:left w:val="none" w:sz="0" w:space="0" w:color="auto"/>
        <w:bottom w:val="none" w:sz="0" w:space="0" w:color="auto"/>
        <w:right w:val="none" w:sz="0" w:space="0" w:color="auto"/>
      </w:divBdr>
    </w:div>
    <w:div w:id="21196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39</TotalTime>
  <Pages>9</Pages>
  <Words>2421</Words>
  <Characters>15887</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2025090682, MT</dc:description>
  <cp:lastModifiedBy>Gitte Jørgensen</cp:lastModifiedBy>
  <cp:revision>11</cp:revision>
  <cp:lastPrinted>2012-08-22T08:53:00Z</cp:lastPrinted>
  <dcterms:created xsi:type="dcterms:W3CDTF">2026-05-18T06:09:00Z</dcterms:created>
  <dcterms:modified xsi:type="dcterms:W3CDTF">2026-05-19T13:05:00Z</dcterms:modified>
</cp:coreProperties>
</file>