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C8FDF"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4542BE4D" wp14:editId="2C8B78A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8B83C1E" w14:textId="77777777" w:rsidR="009260DE" w:rsidRPr="00C84483" w:rsidRDefault="009260DE" w:rsidP="009260DE">
      <w:pPr>
        <w:pStyle w:val="Titel"/>
        <w:tabs>
          <w:tab w:val="right" w:pos="9356"/>
        </w:tabs>
        <w:jc w:val="left"/>
        <w:rPr>
          <w:b w:val="0"/>
          <w:szCs w:val="24"/>
          <w:lang w:eastAsia="en-US"/>
        </w:rPr>
      </w:pPr>
    </w:p>
    <w:p w14:paraId="4EE7507F" w14:textId="75064C91"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7C3F7A">
        <w:rPr>
          <w:szCs w:val="24"/>
        </w:rPr>
        <w:t>24. januar 2025</w:t>
      </w:r>
    </w:p>
    <w:p w14:paraId="1B07ECE2" w14:textId="77777777" w:rsidR="009260DE" w:rsidRPr="00C84483" w:rsidRDefault="009260DE" w:rsidP="009260DE">
      <w:pPr>
        <w:pStyle w:val="Titel"/>
        <w:tabs>
          <w:tab w:val="left" w:pos="8222"/>
        </w:tabs>
        <w:jc w:val="left"/>
        <w:rPr>
          <w:b w:val="0"/>
          <w:szCs w:val="24"/>
        </w:rPr>
      </w:pPr>
    </w:p>
    <w:p w14:paraId="0D88FB9A" w14:textId="2D37900A" w:rsidR="009260DE" w:rsidRDefault="009260DE" w:rsidP="009260DE">
      <w:pPr>
        <w:pStyle w:val="Titel"/>
        <w:jc w:val="left"/>
        <w:rPr>
          <w:b w:val="0"/>
          <w:szCs w:val="24"/>
        </w:rPr>
      </w:pPr>
    </w:p>
    <w:p w14:paraId="479D9F82" w14:textId="77777777" w:rsidR="004B5A83" w:rsidRPr="00C84483" w:rsidRDefault="004B5A83" w:rsidP="009260DE">
      <w:pPr>
        <w:pStyle w:val="Titel"/>
        <w:jc w:val="left"/>
        <w:rPr>
          <w:b w:val="0"/>
          <w:szCs w:val="24"/>
        </w:rPr>
      </w:pPr>
    </w:p>
    <w:p w14:paraId="5B28F7B2" w14:textId="77777777" w:rsidR="009260DE" w:rsidRPr="00C84483" w:rsidRDefault="009260DE" w:rsidP="009260DE">
      <w:pPr>
        <w:jc w:val="center"/>
        <w:rPr>
          <w:b/>
          <w:sz w:val="24"/>
          <w:szCs w:val="24"/>
        </w:rPr>
      </w:pPr>
      <w:r w:rsidRPr="00C84483">
        <w:rPr>
          <w:b/>
          <w:sz w:val="24"/>
          <w:szCs w:val="24"/>
        </w:rPr>
        <w:t>PRODUKTRESUMÉ</w:t>
      </w:r>
    </w:p>
    <w:p w14:paraId="4DB33CB5" w14:textId="77777777" w:rsidR="009260DE" w:rsidRPr="00C84483" w:rsidRDefault="009260DE" w:rsidP="009260DE">
      <w:pPr>
        <w:jc w:val="center"/>
        <w:rPr>
          <w:b/>
          <w:sz w:val="24"/>
          <w:szCs w:val="24"/>
        </w:rPr>
      </w:pPr>
    </w:p>
    <w:p w14:paraId="702CCBCF" w14:textId="77777777" w:rsidR="009260DE" w:rsidRDefault="009260DE" w:rsidP="009260DE">
      <w:pPr>
        <w:jc w:val="center"/>
        <w:rPr>
          <w:b/>
          <w:sz w:val="24"/>
          <w:szCs w:val="24"/>
        </w:rPr>
      </w:pPr>
      <w:r w:rsidRPr="00C84483">
        <w:rPr>
          <w:b/>
          <w:sz w:val="24"/>
          <w:szCs w:val="24"/>
        </w:rPr>
        <w:t>for</w:t>
      </w:r>
    </w:p>
    <w:p w14:paraId="0193BF29" w14:textId="77777777" w:rsidR="000B058C" w:rsidRPr="00C84483" w:rsidRDefault="000B058C" w:rsidP="009260DE">
      <w:pPr>
        <w:jc w:val="center"/>
        <w:rPr>
          <w:b/>
          <w:sz w:val="24"/>
          <w:szCs w:val="24"/>
        </w:rPr>
      </w:pPr>
    </w:p>
    <w:p w14:paraId="1C193E38" w14:textId="77777777" w:rsidR="009260DE" w:rsidRPr="00C84483" w:rsidRDefault="005248D7" w:rsidP="009260DE">
      <w:pPr>
        <w:jc w:val="center"/>
        <w:rPr>
          <w:b/>
          <w:sz w:val="24"/>
          <w:szCs w:val="24"/>
        </w:rPr>
      </w:pPr>
      <w:r>
        <w:rPr>
          <w:b/>
          <w:sz w:val="24"/>
          <w:szCs w:val="24"/>
        </w:rPr>
        <w:t>Neurisol, oral opløsning</w:t>
      </w:r>
    </w:p>
    <w:p w14:paraId="0F74B846" w14:textId="77777777" w:rsidR="009260DE" w:rsidRPr="00C84483" w:rsidRDefault="009260DE" w:rsidP="009260DE">
      <w:pPr>
        <w:jc w:val="both"/>
        <w:rPr>
          <w:sz w:val="24"/>
          <w:szCs w:val="24"/>
        </w:rPr>
      </w:pPr>
    </w:p>
    <w:p w14:paraId="0BCE10D0" w14:textId="77777777" w:rsidR="009260DE" w:rsidRPr="00C84483" w:rsidRDefault="009260DE" w:rsidP="009260DE">
      <w:pPr>
        <w:jc w:val="both"/>
        <w:rPr>
          <w:sz w:val="24"/>
          <w:szCs w:val="24"/>
        </w:rPr>
      </w:pPr>
    </w:p>
    <w:p w14:paraId="7B67C04E"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5649767E" w14:textId="511DB301" w:rsidR="009260DE" w:rsidRPr="00C84483" w:rsidRDefault="003D02C7" w:rsidP="009260DE">
      <w:pPr>
        <w:tabs>
          <w:tab w:val="left" w:pos="851"/>
        </w:tabs>
        <w:ind w:left="851"/>
        <w:rPr>
          <w:sz w:val="24"/>
          <w:szCs w:val="24"/>
        </w:rPr>
      </w:pPr>
      <w:r>
        <w:rPr>
          <w:sz w:val="24"/>
          <w:szCs w:val="24"/>
        </w:rPr>
        <w:t>33758</w:t>
      </w:r>
    </w:p>
    <w:p w14:paraId="5B53B5A2" w14:textId="77777777" w:rsidR="009260DE" w:rsidRPr="00C84483" w:rsidRDefault="009260DE" w:rsidP="009260DE">
      <w:pPr>
        <w:tabs>
          <w:tab w:val="left" w:pos="851"/>
        </w:tabs>
        <w:ind w:left="851"/>
        <w:rPr>
          <w:sz w:val="24"/>
          <w:szCs w:val="24"/>
        </w:rPr>
      </w:pPr>
    </w:p>
    <w:p w14:paraId="356BFD57"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0AE2C541" w14:textId="05E653A1" w:rsidR="009260DE" w:rsidRPr="00C84483" w:rsidRDefault="003D02C7" w:rsidP="009260DE">
      <w:pPr>
        <w:tabs>
          <w:tab w:val="left" w:pos="851"/>
        </w:tabs>
        <w:ind w:left="851"/>
        <w:rPr>
          <w:sz w:val="24"/>
          <w:szCs w:val="24"/>
        </w:rPr>
      </w:pPr>
      <w:r>
        <w:rPr>
          <w:sz w:val="24"/>
          <w:szCs w:val="24"/>
        </w:rPr>
        <w:t>Neurisol</w:t>
      </w:r>
    </w:p>
    <w:p w14:paraId="38B60F81" w14:textId="77777777" w:rsidR="009260DE" w:rsidRPr="00C84483" w:rsidRDefault="009260DE" w:rsidP="009260DE">
      <w:pPr>
        <w:tabs>
          <w:tab w:val="left" w:pos="851"/>
        </w:tabs>
        <w:ind w:left="851"/>
        <w:rPr>
          <w:sz w:val="24"/>
          <w:szCs w:val="24"/>
        </w:rPr>
      </w:pPr>
    </w:p>
    <w:p w14:paraId="3B7D86E1"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7A252D2A" w14:textId="77777777" w:rsidR="003D02C7" w:rsidRPr="003D02C7" w:rsidRDefault="003D02C7" w:rsidP="003D02C7">
      <w:pPr>
        <w:tabs>
          <w:tab w:val="left" w:pos="851"/>
        </w:tabs>
        <w:ind w:left="851"/>
        <w:rPr>
          <w:sz w:val="24"/>
          <w:szCs w:val="24"/>
        </w:rPr>
      </w:pPr>
      <w:r w:rsidRPr="003D02C7">
        <w:rPr>
          <w:sz w:val="24"/>
          <w:szCs w:val="24"/>
        </w:rPr>
        <w:t>Hver ml oral opløsning indeholder 50 mg gabapentin.</w:t>
      </w:r>
    </w:p>
    <w:p w14:paraId="7F428D3B" w14:textId="77777777" w:rsidR="003D02C7" w:rsidRPr="003D02C7" w:rsidRDefault="003D02C7" w:rsidP="003D02C7">
      <w:pPr>
        <w:tabs>
          <w:tab w:val="left" w:pos="851"/>
        </w:tabs>
        <w:ind w:left="851"/>
        <w:rPr>
          <w:sz w:val="24"/>
          <w:szCs w:val="24"/>
        </w:rPr>
      </w:pPr>
    </w:p>
    <w:p w14:paraId="3730FCB5" w14:textId="5AC37A57" w:rsidR="003D02C7" w:rsidRPr="003D02C7" w:rsidRDefault="003D02C7" w:rsidP="003D02C7">
      <w:pPr>
        <w:tabs>
          <w:tab w:val="left" w:pos="851"/>
        </w:tabs>
        <w:ind w:left="851"/>
        <w:rPr>
          <w:sz w:val="24"/>
          <w:szCs w:val="24"/>
          <w:u w:val="single"/>
        </w:rPr>
      </w:pPr>
      <w:r w:rsidRPr="003D02C7">
        <w:rPr>
          <w:sz w:val="24"/>
          <w:szCs w:val="24"/>
          <w:u w:val="single"/>
        </w:rPr>
        <w:t>Hjælpestoffer, som behandleren skal være opmærksom på</w:t>
      </w:r>
    </w:p>
    <w:p w14:paraId="6D5B715C" w14:textId="77777777" w:rsidR="003D02C7" w:rsidRPr="003D02C7" w:rsidRDefault="003D02C7" w:rsidP="003D02C7">
      <w:pPr>
        <w:tabs>
          <w:tab w:val="left" w:pos="851"/>
        </w:tabs>
        <w:ind w:left="851"/>
        <w:rPr>
          <w:sz w:val="24"/>
          <w:szCs w:val="24"/>
        </w:rPr>
      </w:pPr>
      <w:r w:rsidRPr="003D02C7">
        <w:rPr>
          <w:sz w:val="24"/>
          <w:szCs w:val="24"/>
        </w:rPr>
        <w:t>Hver ml oral opløsning indeholder 1 mg natriummethylparahydroxybenzoat, 0,1 mg natriumpropylparahydroxybenzoat, 43 mg propylenglycol og 0,08 mg benzylalkohol.</w:t>
      </w:r>
    </w:p>
    <w:p w14:paraId="6818CCCE" w14:textId="77777777" w:rsidR="003D02C7" w:rsidRPr="003D02C7" w:rsidRDefault="003D02C7" w:rsidP="003D02C7">
      <w:pPr>
        <w:tabs>
          <w:tab w:val="left" w:pos="851"/>
        </w:tabs>
        <w:ind w:left="851"/>
        <w:rPr>
          <w:sz w:val="24"/>
          <w:szCs w:val="24"/>
        </w:rPr>
      </w:pPr>
    </w:p>
    <w:p w14:paraId="1A75FABE" w14:textId="77777777" w:rsidR="003D02C7" w:rsidRPr="003D02C7" w:rsidRDefault="003D02C7" w:rsidP="003D02C7">
      <w:pPr>
        <w:tabs>
          <w:tab w:val="left" w:pos="851"/>
        </w:tabs>
        <w:ind w:left="851"/>
        <w:rPr>
          <w:sz w:val="24"/>
          <w:szCs w:val="24"/>
        </w:rPr>
      </w:pPr>
      <w:r w:rsidRPr="003D02C7">
        <w:rPr>
          <w:sz w:val="24"/>
          <w:szCs w:val="24"/>
        </w:rPr>
        <w:t>Alle hjælpestoffer er anført under pkt. 6.1.</w:t>
      </w:r>
    </w:p>
    <w:p w14:paraId="3EAE5258" w14:textId="77777777" w:rsidR="009260DE" w:rsidRPr="00C84483" w:rsidRDefault="009260DE" w:rsidP="009260DE">
      <w:pPr>
        <w:tabs>
          <w:tab w:val="left" w:pos="851"/>
        </w:tabs>
        <w:ind w:left="851"/>
        <w:rPr>
          <w:sz w:val="24"/>
          <w:szCs w:val="24"/>
        </w:rPr>
      </w:pPr>
    </w:p>
    <w:p w14:paraId="4099DB87"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5BF7766" w14:textId="168E2639" w:rsidR="009B5237" w:rsidRDefault="009B5237" w:rsidP="009B5237">
      <w:pPr>
        <w:tabs>
          <w:tab w:val="left" w:pos="851"/>
        </w:tabs>
        <w:ind w:left="851"/>
        <w:rPr>
          <w:sz w:val="24"/>
          <w:szCs w:val="24"/>
        </w:rPr>
      </w:pPr>
      <w:r w:rsidRPr="009B5237">
        <w:rPr>
          <w:sz w:val="24"/>
          <w:szCs w:val="24"/>
        </w:rPr>
        <w:t>Oral opløsning</w:t>
      </w:r>
    </w:p>
    <w:p w14:paraId="665D1DA4" w14:textId="77777777" w:rsidR="009B5237" w:rsidRPr="009B5237" w:rsidRDefault="009B5237" w:rsidP="009B5237">
      <w:pPr>
        <w:tabs>
          <w:tab w:val="left" w:pos="851"/>
        </w:tabs>
        <w:ind w:left="851"/>
        <w:rPr>
          <w:sz w:val="24"/>
          <w:szCs w:val="24"/>
        </w:rPr>
      </w:pPr>
    </w:p>
    <w:p w14:paraId="0D545C66" w14:textId="77777777" w:rsidR="009B5237" w:rsidRPr="009B5237" w:rsidRDefault="009B5237" w:rsidP="009B5237">
      <w:pPr>
        <w:tabs>
          <w:tab w:val="left" w:pos="851"/>
        </w:tabs>
        <w:ind w:left="851"/>
        <w:rPr>
          <w:sz w:val="24"/>
          <w:szCs w:val="24"/>
        </w:rPr>
      </w:pPr>
      <w:r w:rsidRPr="009B5237">
        <w:rPr>
          <w:sz w:val="24"/>
          <w:szCs w:val="24"/>
        </w:rPr>
        <w:t>Klar, farveløs opløsning med karakteristisk appelsinlugt.</w:t>
      </w:r>
    </w:p>
    <w:p w14:paraId="10C14825" w14:textId="77777777" w:rsidR="009260DE" w:rsidRPr="00C84483" w:rsidRDefault="009260DE" w:rsidP="009260DE">
      <w:pPr>
        <w:tabs>
          <w:tab w:val="left" w:pos="851"/>
        </w:tabs>
        <w:ind w:left="851"/>
        <w:rPr>
          <w:sz w:val="24"/>
          <w:szCs w:val="24"/>
        </w:rPr>
      </w:pPr>
    </w:p>
    <w:p w14:paraId="61F95B87" w14:textId="77777777" w:rsidR="009260DE" w:rsidRPr="00C84483" w:rsidRDefault="009260DE" w:rsidP="009260DE">
      <w:pPr>
        <w:tabs>
          <w:tab w:val="left" w:pos="851"/>
        </w:tabs>
        <w:ind w:left="851"/>
        <w:rPr>
          <w:sz w:val="24"/>
          <w:szCs w:val="24"/>
        </w:rPr>
      </w:pPr>
    </w:p>
    <w:p w14:paraId="36392AB4"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A27FB01" w14:textId="77777777" w:rsidR="009260DE" w:rsidRPr="00C84483" w:rsidRDefault="009260DE" w:rsidP="009260DE">
      <w:pPr>
        <w:tabs>
          <w:tab w:val="left" w:pos="851"/>
        </w:tabs>
        <w:ind w:left="851"/>
        <w:rPr>
          <w:b/>
          <w:sz w:val="24"/>
          <w:szCs w:val="24"/>
        </w:rPr>
      </w:pPr>
    </w:p>
    <w:p w14:paraId="7AD5375E"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5B48CC6C" w14:textId="77777777" w:rsidR="009B5237" w:rsidRDefault="009B5237" w:rsidP="009B5237">
      <w:pPr>
        <w:tabs>
          <w:tab w:val="left" w:pos="851"/>
        </w:tabs>
        <w:ind w:left="851"/>
        <w:rPr>
          <w:sz w:val="24"/>
          <w:szCs w:val="24"/>
          <w:u w:val="single"/>
        </w:rPr>
      </w:pPr>
    </w:p>
    <w:p w14:paraId="433104B8" w14:textId="1E486B4B" w:rsidR="009B5237" w:rsidRPr="009B5237" w:rsidRDefault="009B5237" w:rsidP="009B5237">
      <w:pPr>
        <w:tabs>
          <w:tab w:val="left" w:pos="851"/>
        </w:tabs>
        <w:ind w:left="851"/>
        <w:rPr>
          <w:sz w:val="24"/>
          <w:szCs w:val="24"/>
          <w:u w:val="single"/>
        </w:rPr>
      </w:pPr>
      <w:r w:rsidRPr="009B5237">
        <w:rPr>
          <w:sz w:val="24"/>
          <w:szCs w:val="24"/>
          <w:u w:val="single"/>
        </w:rPr>
        <w:t>Epilepsi</w:t>
      </w:r>
    </w:p>
    <w:p w14:paraId="4A8EF1D7" w14:textId="77777777" w:rsidR="009B5237" w:rsidRPr="009B5237" w:rsidRDefault="009B5237" w:rsidP="009B5237">
      <w:pPr>
        <w:tabs>
          <w:tab w:val="left" w:pos="851"/>
        </w:tabs>
        <w:ind w:left="851"/>
        <w:rPr>
          <w:sz w:val="24"/>
          <w:szCs w:val="24"/>
        </w:rPr>
      </w:pPr>
      <w:r w:rsidRPr="009B5237">
        <w:rPr>
          <w:sz w:val="24"/>
          <w:szCs w:val="24"/>
        </w:rPr>
        <w:t>Gabapentin er indiceret som supplerende behandling af partiel epilepsi, med eller uden sekundære, generaliserede anfald hos voksne og børn på 6 år og derover (se pkt. 5.1).</w:t>
      </w:r>
    </w:p>
    <w:p w14:paraId="68E0ADA1" w14:textId="77777777" w:rsidR="009B5237" w:rsidRPr="009B5237" w:rsidRDefault="009B5237" w:rsidP="009B5237">
      <w:pPr>
        <w:tabs>
          <w:tab w:val="left" w:pos="851"/>
        </w:tabs>
        <w:ind w:left="851"/>
        <w:rPr>
          <w:sz w:val="24"/>
          <w:szCs w:val="24"/>
        </w:rPr>
      </w:pPr>
    </w:p>
    <w:p w14:paraId="0E71E23E" w14:textId="77777777" w:rsidR="009B5237" w:rsidRPr="009B5237" w:rsidRDefault="009B5237" w:rsidP="009B5237">
      <w:pPr>
        <w:tabs>
          <w:tab w:val="left" w:pos="851"/>
        </w:tabs>
        <w:ind w:left="851"/>
        <w:rPr>
          <w:sz w:val="24"/>
          <w:szCs w:val="24"/>
        </w:rPr>
      </w:pPr>
      <w:r w:rsidRPr="009B5237">
        <w:rPr>
          <w:sz w:val="24"/>
          <w:szCs w:val="24"/>
        </w:rPr>
        <w:t>Gabapentin er som monoterapi indiceret til behandling af partiel epilepsi, med eller uden sekundære, generaliserede anfald hos voksne og unge på 12 år og derover.</w:t>
      </w:r>
    </w:p>
    <w:p w14:paraId="42011574" w14:textId="12D74393" w:rsidR="009B5237" w:rsidRDefault="009B5237">
      <w:pPr>
        <w:rPr>
          <w:sz w:val="24"/>
          <w:szCs w:val="24"/>
        </w:rPr>
      </w:pPr>
      <w:r>
        <w:rPr>
          <w:sz w:val="24"/>
          <w:szCs w:val="24"/>
        </w:rPr>
        <w:br w:type="page"/>
      </w:r>
    </w:p>
    <w:p w14:paraId="674806F0" w14:textId="77777777" w:rsidR="009B5237" w:rsidRPr="009B5237" w:rsidRDefault="009B5237" w:rsidP="009B5237">
      <w:pPr>
        <w:tabs>
          <w:tab w:val="left" w:pos="851"/>
        </w:tabs>
        <w:ind w:left="851"/>
        <w:rPr>
          <w:sz w:val="24"/>
          <w:szCs w:val="24"/>
        </w:rPr>
      </w:pPr>
    </w:p>
    <w:p w14:paraId="3EA0CE12" w14:textId="77777777" w:rsidR="009B5237" w:rsidRPr="009B5237" w:rsidRDefault="009B5237" w:rsidP="009B5237">
      <w:pPr>
        <w:tabs>
          <w:tab w:val="left" w:pos="851"/>
        </w:tabs>
        <w:ind w:left="851"/>
        <w:rPr>
          <w:sz w:val="24"/>
          <w:szCs w:val="24"/>
          <w:u w:val="single"/>
        </w:rPr>
      </w:pPr>
      <w:r w:rsidRPr="009B5237">
        <w:rPr>
          <w:sz w:val="24"/>
          <w:szCs w:val="24"/>
          <w:u w:val="single"/>
        </w:rPr>
        <w:t>Behandling af perifere neuropatiske smerter</w:t>
      </w:r>
    </w:p>
    <w:p w14:paraId="3A0E5498" w14:textId="77777777" w:rsidR="009B5237" w:rsidRPr="009B5237" w:rsidRDefault="009B5237" w:rsidP="009B5237">
      <w:pPr>
        <w:tabs>
          <w:tab w:val="left" w:pos="851"/>
        </w:tabs>
        <w:ind w:left="851"/>
        <w:rPr>
          <w:sz w:val="24"/>
          <w:szCs w:val="24"/>
        </w:rPr>
      </w:pPr>
      <w:r w:rsidRPr="009B5237">
        <w:rPr>
          <w:sz w:val="24"/>
          <w:szCs w:val="24"/>
        </w:rPr>
        <w:t>Gabapentin er indiceret til behandling af perifere neuropatiske smerter, som f.eks. smertefuld diabetisk neuropati og postherpetisk neuralgi hos voksne.</w:t>
      </w:r>
    </w:p>
    <w:p w14:paraId="5AD716DC" w14:textId="77777777" w:rsidR="009260DE" w:rsidRPr="00C84483" w:rsidRDefault="009260DE" w:rsidP="009260DE">
      <w:pPr>
        <w:tabs>
          <w:tab w:val="left" w:pos="851"/>
        </w:tabs>
        <w:ind w:left="851"/>
        <w:rPr>
          <w:sz w:val="24"/>
          <w:szCs w:val="24"/>
        </w:rPr>
      </w:pPr>
    </w:p>
    <w:p w14:paraId="0894CD97"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4040871F" w14:textId="77777777" w:rsidR="009B5237" w:rsidRPr="009B5237" w:rsidRDefault="009B5237" w:rsidP="009B5237">
      <w:pPr>
        <w:tabs>
          <w:tab w:val="left" w:pos="851"/>
        </w:tabs>
        <w:ind w:left="851"/>
        <w:rPr>
          <w:sz w:val="24"/>
          <w:szCs w:val="24"/>
        </w:rPr>
      </w:pPr>
    </w:p>
    <w:p w14:paraId="55F197C4" w14:textId="6F5B8DA0" w:rsidR="009B5237" w:rsidRDefault="009B5237" w:rsidP="009B5237">
      <w:pPr>
        <w:tabs>
          <w:tab w:val="left" w:pos="851"/>
        </w:tabs>
        <w:ind w:left="851"/>
        <w:rPr>
          <w:sz w:val="24"/>
          <w:szCs w:val="24"/>
        </w:rPr>
      </w:pPr>
      <w:r w:rsidRPr="00D343EF">
        <w:rPr>
          <w:b/>
          <w:sz w:val="24"/>
          <w:szCs w:val="24"/>
        </w:rPr>
        <w:t>Dosering</w:t>
      </w:r>
      <w:r w:rsidRPr="00D343EF">
        <w:rPr>
          <w:b/>
          <w:sz w:val="24"/>
          <w:szCs w:val="24"/>
        </w:rPr>
        <w:br/>
      </w:r>
      <w:r w:rsidRPr="009B5237">
        <w:rPr>
          <w:sz w:val="24"/>
          <w:szCs w:val="24"/>
        </w:rPr>
        <w:t xml:space="preserve">For alle indikationer er et titreringsskema til initiering af behandling beskrevet i tabel 1, som anbefales til voksne og unge i alderen 12 år og derover. Doseringsvejledning for børn under 12 år er anført i særskilt underafsnit senere i dette </w:t>
      </w:r>
      <w:r>
        <w:rPr>
          <w:sz w:val="24"/>
          <w:szCs w:val="24"/>
        </w:rPr>
        <w:t>punkt</w:t>
      </w:r>
      <w:r w:rsidRPr="009B5237">
        <w:rPr>
          <w:sz w:val="24"/>
          <w:szCs w:val="24"/>
        </w:rPr>
        <w:t xml:space="preserve">. </w:t>
      </w:r>
    </w:p>
    <w:p w14:paraId="45AEC953" w14:textId="77777777" w:rsidR="009B5237" w:rsidRPr="009B5237" w:rsidRDefault="009B5237" w:rsidP="009B5237">
      <w:pPr>
        <w:tabs>
          <w:tab w:val="left" w:pos="851"/>
        </w:tabs>
        <w:ind w:left="851"/>
        <w:rPr>
          <w:sz w:val="24"/>
          <w:szCs w:val="24"/>
        </w:rPr>
      </w:pPr>
    </w:p>
    <w:tbl>
      <w:tblPr>
        <w:tblStyle w:val="Tabel-Gitter"/>
        <w:tblW w:w="9355" w:type="dxa"/>
        <w:tblInd w:w="846" w:type="dxa"/>
        <w:tblLook w:val="04A0" w:firstRow="1" w:lastRow="0" w:firstColumn="1" w:lastColumn="0" w:noHBand="0" w:noVBand="1"/>
      </w:tblPr>
      <w:tblGrid>
        <w:gridCol w:w="3118"/>
        <w:gridCol w:w="3119"/>
        <w:gridCol w:w="3118"/>
      </w:tblGrid>
      <w:tr w:rsidR="009B5237" w:rsidRPr="009B5237" w14:paraId="4097FE0D" w14:textId="77777777" w:rsidTr="009B5237">
        <w:tc>
          <w:tcPr>
            <w:tcW w:w="9355" w:type="dxa"/>
            <w:gridSpan w:val="3"/>
            <w:tcBorders>
              <w:top w:val="single" w:sz="4" w:space="0" w:color="auto"/>
              <w:left w:val="single" w:sz="4" w:space="0" w:color="auto"/>
              <w:bottom w:val="single" w:sz="4" w:space="0" w:color="auto"/>
              <w:right w:val="single" w:sz="4" w:space="0" w:color="auto"/>
            </w:tcBorders>
            <w:hideMark/>
          </w:tcPr>
          <w:p w14:paraId="30582534" w14:textId="77777777" w:rsidR="009B5237" w:rsidRPr="009B5237" w:rsidRDefault="009B5237" w:rsidP="009B5237">
            <w:pPr>
              <w:ind w:left="33"/>
              <w:jc w:val="center"/>
              <w:rPr>
                <w:sz w:val="24"/>
                <w:szCs w:val="24"/>
              </w:rPr>
            </w:pPr>
            <w:r w:rsidRPr="009B5237">
              <w:rPr>
                <w:sz w:val="24"/>
                <w:szCs w:val="24"/>
              </w:rPr>
              <w:t>Tabel 1</w:t>
            </w:r>
          </w:p>
        </w:tc>
      </w:tr>
      <w:tr w:rsidR="009B5237" w:rsidRPr="009B5237" w14:paraId="13E2F640" w14:textId="77777777" w:rsidTr="009B5237">
        <w:tc>
          <w:tcPr>
            <w:tcW w:w="9355" w:type="dxa"/>
            <w:gridSpan w:val="3"/>
            <w:tcBorders>
              <w:top w:val="single" w:sz="4" w:space="0" w:color="auto"/>
              <w:left w:val="single" w:sz="4" w:space="0" w:color="auto"/>
              <w:bottom w:val="single" w:sz="4" w:space="0" w:color="auto"/>
              <w:right w:val="single" w:sz="4" w:space="0" w:color="auto"/>
            </w:tcBorders>
            <w:hideMark/>
          </w:tcPr>
          <w:p w14:paraId="21FA2179" w14:textId="77777777" w:rsidR="009B5237" w:rsidRPr="009B5237" w:rsidRDefault="009B5237" w:rsidP="009B5237">
            <w:pPr>
              <w:ind w:left="33"/>
              <w:jc w:val="center"/>
              <w:rPr>
                <w:sz w:val="24"/>
                <w:szCs w:val="24"/>
              </w:rPr>
            </w:pPr>
            <w:r w:rsidRPr="009B5237">
              <w:rPr>
                <w:sz w:val="24"/>
                <w:szCs w:val="24"/>
              </w:rPr>
              <w:t>DOSERINGSPLAN– INITIALTITRERING</w:t>
            </w:r>
          </w:p>
        </w:tc>
      </w:tr>
      <w:tr w:rsidR="009B5237" w:rsidRPr="009B5237" w14:paraId="6CDEE6D9" w14:textId="77777777" w:rsidTr="009B5237">
        <w:tc>
          <w:tcPr>
            <w:tcW w:w="3118" w:type="dxa"/>
            <w:tcBorders>
              <w:top w:val="single" w:sz="4" w:space="0" w:color="auto"/>
              <w:left w:val="single" w:sz="4" w:space="0" w:color="auto"/>
              <w:bottom w:val="single" w:sz="4" w:space="0" w:color="auto"/>
              <w:right w:val="single" w:sz="4" w:space="0" w:color="auto"/>
            </w:tcBorders>
            <w:hideMark/>
          </w:tcPr>
          <w:p w14:paraId="050DC02F" w14:textId="77777777" w:rsidR="009B5237" w:rsidRPr="009B5237" w:rsidRDefault="009B5237" w:rsidP="009B5237">
            <w:pPr>
              <w:ind w:left="33"/>
              <w:rPr>
                <w:sz w:val="24"/>
                <w:szCs w:val="24"/>
              </w:rPr>
            </w:pPr>
            <w:r w:rsidRPr="009B5237">
              <w:rPr>
                <w:sz w:val="24"/>
                <w:szCs w:val="24"/>
              </w:rPr>
              <w:t>Dag 1</w:t>
            </w:r>
          </w:p>
        </w:tc>
        <w:tc>
          <w:tcPr>
            <w:tcW w:w="3119" w:type="dxa"/>
            <w:tcBorders>
              <w:top w:val="single" w:sz="4" w:space="0" w:color="auto"/>
              <w:left w:val="single" w:sz="4" w:space="0" w:color="auto"/>
              <w:bottom w:val="single" w:sz="4" w:space="0" w:color="auto"/>
              <w:right w:val="single" w:sz="4" w:space="0" w:color="auto"/>
            </w:tcBorders>
            <w:hideMark/>
          </w:tcPr>
          <w:p w14:paraId="7B9270C3" w14:textId="77777777" w:rsidR="009B5237" w:rsidRPr="009B5237" w:rsidRDefault="009B5237" w:rsidP="009B5237">
            <w:pPr>
              <w:ind w:left="33"/>
              <w:rPr>
                <w:sz w:val="24"/>
                <w:szCs w:val="24"/>
              </w:rPr>
            </w:pPr>
            <w:r w:rsidRPr="009B5237">
              <w:rPr>
                <w:sz w:val="24"/>
                <w:szCs w:val="24"/>
              </w:rPr>
              <w:t>Dag 2</w:t>
            </w:r>
          </w:p>
        </w:tc>
        <w:tc>
          <w:tcPr>
            <w:tcW w:w="3118" w:type="dxa"/>
            <w:tcBorders>
              <w:top w:val="single" w:sz="4" w:space="0" w:color="auto"/>
              <w:left w:val="single" w:sz="4" w:space="0" w:color="auto"/>
              <w:bottom w:val="single" w:sz="4" w:space="0" w:color="auto"/>
              <w:right w:val="single" w:sz="4" w:space="0" w:color="auto"/>
            </w:tcBorders>
            <w:hideMark/>
          </w:tcPr>
          <w:p w14:paraId="3BFCD0B1" w14:textId="77777777" w:rsidR="009B5237" w:rsidRPr="009B5237" w:rsidRDefault="009B5237" w:rsidP="009B5237">
            <w:pPr>
              <w:ind w:left="33"/>
              <w:rPr>
                <w:sz w:val="24"/>
                <w:szCs w:val="24"/>
              </w:rPr>
            </w:pPr>
            <w:r w:rsidRPr="009B5237">
              <w:rPr>
                <w:sz w:val="24"/>
                <w:szCs w:val="24"/>
              </w:rPr>
              <w:t>Dag 3</w:t>
            </w:r>
          </w:p>
        </w:tc>
      </w:tr>
      <w:tr w:rsidR="009B5237" w:rsidRPr="009B5237" w14:paraId="52195A1D" w14:textId="77777777" w:rsidTr="009B5237">
        <w:tc>
          <w:tcPr>
            <w:tcW w:w="3118" w:type="dxa"/>
            <w:tcBorders>
              <w:top w:val="single" w:sz="4" w:space="0" w:color="auto"/>
              <w:left w:val="single" w:sz="4" w:space="0" w:color="auto"/>
              <w:bottom w:val="single" w:sz="4" w:space="0" w:color="auto"/>
              <w:right w:val="single" w:sz="4" w:space="0" w:color="auto"/>
            </w:tcBorders>
            <w:hideMark/>
          </w:tcPr>
          <w:p w14:paraId="3E4AF6C9" w14:textId="77777777" w:rsidR="009B5237" w:rsidRPr="009B5237" w:rsidRDefault="009B5237" w:rsidP="009B5237">
            <w:pPr>
              <w:ind w:left="33"/>
              <w:rPr>
                <w:sz w:val="24"/>
                <w:szCs w:val="24"/>
              </w:rPr>
            </w:pPr>
            <w:r w:rsidRPr="009B5237">
              <w:rPr>
                <w:sz w:val="24"/>
                <w:szCs w:val="24"/>
              </w:rPr>
              <w:t>300 mg (6 ml) 1 gang daglig</w:t>
            </w:r>
          </w:p>
        </w:tc>
        <w:tc>
          <w:tcPr>
            <w:tcW w:w="3119" w:type="dxa"/>
            <w:tcBorders>
              <w:top w:val="single" w:sz="4" w:space="0" w:color="auto"/>
              <w:left w:val="single" w:sz="4" w:space="0" w:color="auto"/>
              <w:bottom w:val="single" w:sz="4" w:space="0" w:color="auto"/>
              <w:right w:val="single" w:sz="4" w:space="0" w:color="auto"/>
            </w:tcBorders>
            <w:hideMark/>
          </w:tcPr>
          <w:p w14:paraId="5CEA62D8" w14:textId="77777777" w:rsidR="009B5237" w:rsidRPr="009B5237" w:rsidRDefault="009B5237" w:rsidP="009B5237">
            <w:pPr>
              <w:ind w:left="33"/>
              <w:rPr>
                <w:sz w:val="24"/>
                <w:szCs w:val="24"/>
              </w:rPr>
            </w:pPr>
            <w:r w:rsidRPr="009B5237">
              <w:rPr>
                <w:sz w:val="24"/>
                <w:szCs w:val="24"/>
              </w:rPr>
              <w:t>300 mg (6 ml) 2 gange daglig</w:t>
            </w:r>
          </w:p>
        </w:tc>
        <w:tc>
          <w:tcPr>
            <w:tcW w:w="3118" w:type="dxa"/>
            <w:tcBorders>
              <w:top w:val="single" w:sz="4" w:space="0" w:color="auto"/>
              <w:left w:val="single" w:sz="4" w:space="0" w:color="auto"/>
              <w:bottom w:val="single" w:sz="4" w:space="0" w:color="auto"/>
              <w:right w:val="single" w:sz="4" w:space="0" w:color="auto"/>
            </w:tcBorders>
            <w:hideMark/>
          </w:tcPr>
          <w:p w14:paraId="26DEF2E7" w14:textId="77777777" w:rsidR="009B5237" w:rsidRPr="009B5237" w:rsidRDefault="009B5237" w:rsidP="009B5237">
            <w:pPr>
              <w:ind w:left="33"/>
              <w:rPr>
                <w:sz w:val="24"/>
                <w:szCs w:val="24"/>
              </w:rPr>
            </w:pPr>
            <w:r w:rsidRPr="009B5237">
              <w:rPr>
                <w:sz w:val="24"/>
                <w:szCs w:val="24"/>
              </w:rPr>
              <w:t>300 mg (6 ml) 3 gange daglig</w:t>
            </w:r>
          </w:p>
        </w:tc>
      </w:tr>
    </w:tbl>
    <w:p w14:paraId="31A2EE57" w14:textId="77777777" w:rsidR="009B5237" w:rsidRPr="009B5237" w:rsidRDefault="009B5237" w:rsidP="009B5237">
      <w:pPr>
        <w:tabs>
          <w:tab w:val="left" w:pos="851"/>
        </w:tabs>
        <w:ind w:left="851"/>
        <w:rPr>
          <w:sz w:val="24"/>
          <w:szCs w:val="24"/>
        </w:rPr>
      </w:pPr>
    </w:p>
    <w:p w14:paraId="529E5758" w14:textId="77777777" w:rsidR="009B5237" w:rsidRPr="003E054D" w:rsidRDefault="009B5237" w:rsidP="009B5237">
      <w:pPr>
        <w:tabs>
          <w:tab w:val="left" w:pos="851"/>
        </w:tabs>
        <w:ind w:left="851"/>
        <w:rPr>
          <w:sz w:val="24"/>
          <w:szCs w:val="24"/>
          <w:u w:val="single"/>
        </w:rPr>
      </w:pPr>
      <w:r w:rsidRPr="003E054D">
        <w:rPr>
          <w:sz w:val="24"/>
          <w:szCs w:val="24"/>
          <w:u w:val="single"/>
        </w:rPr>
        <w:t>Seponering af gabapentin</w:t>
      </w:r>
    </w:p>
    <w:p w14:paraId="1F89BFB6" w14:textId="77777777" w:rsidR="009B5237" w:rsidRPr="009B5237" w:rsidRDefault="009B5237" w:rsidP="009B5237">
      <w:pPr>
        <w:tabs>
          <w:tab w:val="left" w:pos="851"/>
        </w:tabs>
        <w:ind w:left="851"/>
        <w:rPr>
          <w:sz w:val="24"/>
          <w:szCs w:val="24"/>
        </w:rPr>
      </w:pPr>
      <w:r w:rsidRPr="009B5237">
        <w:rPr>
          <w:sz w:val="24"/>
          <w:szCs w:val="24"/>
        </w:rPr>
        <w:t>Hvis det er nødvendigt at seponere gabapentin, anbefales det, i overensstemmelse med gældende klinisk praksis, at det sker gradvist over mindst 1 uge, uafhængigt af indikationen.</w:t>
      </w:r>
    </w:p>
    <w:p w14:paraId="028C5C72" w14:textId="77777777" w:rsidR="009B5237" w:rsidRPr="009B5237" w:rsidRDefault="009B5237" w:rsidP="009B5237">
      <w:pPr>
        <w:tabs>
          <w:tab w:val="left" w:pos="851"/>
        </w:tabs>
        <w:ind w:left="851"/>
        <w:rPr>
          <w:sz w:val="24"/>
          <w:szCs w:val="24"/>
        </w:rPr>
      </w:pPr>
    </w:p>
    <w:p w14:paraId="5DC34526" w14:textId="77777777" w:rsidR="009B5237" w:rsidRPr="003E054D" w:rsidRDefault="009B5237" w:rsidP="009B5237">
      <w:pPr>
        <w:tabs>
          <w:tab w:val="left" w:pos="851"/>
        </w:tabs>
        <w:ind w:left="851"/>
        <w:rPr>
          <w:sz w:val="24"/>
          <w:szCs w:val="24"/>
          <w:u w:val="single"/>
        </w:rPr>
      </w:pPr>
      <w:r w:rsidRPr="003E054D">
        <w:rPr>
          <w:sz w:val="24"/>
          <w:szCs w:val="24"/>
          <w:u w:val="single"/>
        </w:rPr>
        <w:t>Epilepsi</w:t>
      </w:r>
    </w:p>
    <w:p w14:paraId="2740A471" w14:textId="77777777" w:rsidR="009B5237" w:rsidRPr="009B5237" w:rsidRDefault="009B5237" w:rsidP="009B5237">
      <w:pPr>
        <w:tabs>
          <w:tab w:val="left" w:pos="851"/>
        </w:tabs>
        <w:ind w:left="851"/>
        <w:rPr>
          <w:sz w:val="24"/>
          <w:szCs w:val="24"/>
        </w:rPr>
      </w:pPr>
      <w:r w:rsidRPr="009B5237">
        <w:rPr>
          <w:sz w:val="24"/>
          <w:szCs w:val="24"/>
        </w:rPr>
        <w:t>Epilepsi kræver sædvanligvis langtidsbehandling. Dosis fastsættes af den behandlende læge i henhold til individuel toleranse og effekt.</w:t>
      </w:r>
    </w:p>
    <w:p w14:paraId="75F1412A" w14:textId="77777777" w:rsidR="009B5237" w:rsidRPr="009B5237" w:rsidRDefault="009B5237" w:rsidP="009B5237">
      <w:pPr>
        <w:tabs>
          <w:tab w:val="left" w:pos="851"/>
        </w:tabs>
        <w:ind w:left="851"/>
        <w:rPr>
          <w:sz w:val="24"/>
          <w:szCs w:val="24"/>
        </w:rPr>
      </w:pPr>
    </w:p>
    <w:p w14:paraId="435DD85A" w14:textId="77777777" w:rsidR="009B5237" w:rsidRPr="009B5237" w:rsidRDefault="009B5237" w:rsidP="009B5237">
      <w:pPr>
        <w:tabs>
          <w:tab w:val="left" w:pos="851"/>
        </w:tabs>
        <w:ind w:left="851"/>
        <w:rPr>
          <w:i/>
          <w:iCs/>
          <w:sz w:val="24"/>
          <w:szCs w:val="24"/>
        </w:rPr>
      </w:pPr>
      <w:r w:rsidRPr="009B5237">
        <w:rPr>
          <w:i/>
          <w:iCs/>
          <w:sz w:val="24"/>
          <w:szCs w:val="24"/>
        </w:rPr>
        <w:t>Voksne og unge</w:t>
      </w:r>
    </w:p>
    <w:p w14:paraId="0241C459" w14:textId="77777777" w:rsidR="009B5237" w:rsidRPr="009B5237" w:rsidRDefault="009B5237" w:rsidP="009B5237">
      <w:pPr>
        <w:tabs>
          <w:tab w:val="left" w:pos="851"/>
        </w:tabs>
        <w:ind w:left="851"/>
        <w:rPr>
          <w:sz w:val="24"/>
          <w:szCs w:val="24"/>
        </w:rPr>
      </w:pPr>
      <w:r w:rsidRPr="009B5237">
        <w:rPr>
          <w:sz w:val="24"/>
          <w:szCs w:val="24"/>
        </w:rPr>
        <w:t>I kliniske studie er det effektive dosisinterval 900 til 3600 mg/dag (18 til 72 ml). Behandlingen indledes med dosistitrering, som anført i tabel 1, eller en initialdosis på 300 mg (6 ml) 3 gange dagligt på Dag 1. På baggrund af patientens individuelle respons og toleranse, kan dosis derefter øges med en dosistilvækst på 300 mg/dag (6 ml) hver 2.-3. dag op til en maksimal dosis på 3600 mg/dag (72 ml). Hos nogle patienter kan det være nødvendigt med en langsommere titrering af gabapentindosis. Det skal tage mindst 1 uge at nå en dosis på 1800 mg/dag (36 ml), 2 uger at nå en dosis på 2400 mg/dag (48 ml), og i alt 3 uger at nå en dosis på 3600 mg/dag (72 ml). Doser på op til 4800 mg/dag (96 ml) var tolererede i åbne kliniske langtidsstudier. Den totale daglige dosis bør fordeles på 3 enkeltdoser. For at undgå gennembrudsanfald bør der ikke gå mere end 12 timer mellem doserne.</w:t>
      </w:r>
    </w:p>
    <w:p w14:paraId="30164108" w14:textId="77777777" w:rsidR="009B5237" w:rsidRPr="009B5237" w:rsidRDefault="009B5237" w:rsidP="009B5237">
      <w:pPr>
        <w:tabs>
          <w:tab w:val="left" w:pos="851"/>
        </w:tabs>
        <w:ind w:left="851"/>
        <w:rPr>
          <w:sz w:val="24"/>
          <w:szCs w:val="24"/>
        </w:rPr>
      </w:pPr>
    </w:p>
    <w:p w14:paraId="60C99A50" w14:textId="77777777" w:rsidR="009B5237" w:rsidRPr="009B5237" w:rsidRDefault="009B5237" w:rsidP="009B5237">
      <w:pPr>
        <w:tabs>
          <w:tab w:val="left" w:pos="851"/>
        </w:tabs>
        <w:ind w:left="851"/>
        <w:rPr>
          <w:i/>
          <w:iCs/>
          <w:sz w:val="24"/>
          <w:szCs w:val="24"/>
        </w:rPr>
      </w:pPr>
      <w:r w:rsidRPr="009B5237">
        <w:rPr>
          <w:i/>
          <w:iCs/>
          <w:sz w:val="24"/>
          <w:szCs w:val="24"/>
        </w:rPr>
        <w:t>Børn på 6 år og derover</w:t>
      </w:r>
    </w:p>
    <w:p w14:paraId="3131C7B4" w14:textId="77777777" w:rsidR="009B5237" w:rsidRPr="009B5237" w:rsidRDefault="009B5237" w:rsidP="009B5237">
      <w:pPr>
        <w:tabs>
          <w:tab w:val="left" w:pos="851"/>
        </w:tabs>
        <w:ind w:left="851"/>
        <w:rPr>
          <w:sz w:val="24"/>
          <w:szCs w:val="24"/>
        </w:rPr>
      </w:pPr>
      <w:r w:rsidRPr="009B5237">
        <w:rPr>
          <w:sz w:val="24"/>
          <w:szCs w:val="24"/>
        </w:rPr>
        <w:t>Initialdosis er 10 til 15 mg/kg/dag, og den effektive dosis opnås ved opadgående dosistitrering over en periode på ca. 3 dage. Den effektive dosis af gabapentin hos børn på 6 år og derover er 25 til 35 mg/kg/dag. Doser på op til 50 mg/kg/dag var veltolereret i et åbent klinisk langtidsstudie. Den totale daglige dosis bør fordeles på 3 enkeltdoser, og der bør ikke gå mere end 12 timer mellem doserne.</w:t>
      </w:r>
    </w:p>
    <w:p w14:paraId="5DC719A8" w14:textId="77777777" w:rsidR="009B5237" w:rsidRPr="009B5237" w:rsidRDefault="009B5237" w:rsidP="009B5237">
      <w:pPr>
        <w:tabs>
          <w:tab w:val="left" w:pos="851"/>
        </w:tabs>
        <w:ind w:left="851"/>
        <w:rPr>
          <w:sz w:val="24"/>
          <w:szCs w:val="24"/>
        </w:rPr>
      </w:pPr>
      <w:r w:rsidRPr="009B5237">
        <w:rPr>
          <w:sz w:val="24"/>
          <w:szCs w:val="24"/>
        </w:rPr>
        <w:t>Det er ikke nødvendigt at monitorere plasmaniveauerne for at fastsætte den optimale gabapentinbehandling. Derudover kan gabapentin anvendes sammen med andre antiepileptika uden at plasmaniveauet af gabapentin eller serumkoncentrationen af andre antiepileptika forandres.</w:t>
      </w:r>
    </w:p>
    <w:p w14:paraId="3A3036FF" w14:textId="0EC7371A" w:rsidR="003E054D" w:rsidRDefault="003E054D">
      <w:pPr>
        <w:rPr>
          <w:sz w:val="24"/>
          <w:szCs w:val="24"/>
        </w:rPr>
      </w:pPr>
      <w:r>
        <w:rPr>
          <w:sz w:val="24"/>
          <w:szCs w:val="24"/>
        </w:rPr>
        <w:br w:type="page"/>
      </w:r>
    </w:p>
    <w:p w14:paraId="0B998A52" w14:textId="77777777" w:rsidR="009B5237" w:rsidRPr="009B5237" w:rsidRDefault="009B5237" w:rsidP="009B5237">
      <w:pPr>
        <w:tabs>
          <w:tab w:val="left" w:pos="851"/>
        </w:tabs>
        <w:ind w:left="851"/>
        <w:rPr>
          <w:sz w:val="24"/>
          <w:szCs w:val="24"/>
        </w:rPr>
      </w:pPr>
    </w:p>
    <w:p w14:paraId="66BA9CDE" w14:textId="77777777" w:rsidR="009B5237" w:rsidRPr="009B5237" w:rsidRDefault="009B5237" w:rsidP="009B5237">
      <w:pPr>
        <w:tabs>
          <w:tab w:val="left" w:pos="851"/>
        </w:tabs>
        <w:ind w:left="851"/>
        <w:rPr>
          <w:i/>
          <w:iCs/>
          <w:sz w:val="24"/>
          <w:szCs w:val="24"/>
        </w:rPr>
      </w:pPr>
      <w:r w:rsidRPr="009B5237">
        <w:rPr>
          <w:i/>
          <w:iCs/>
          <w:sz w:val="24"/>
          <w:szCs w:val="24"/>
        </w:rPr>
        <w:t>Børn under 6 år</w:t>
      </w:r>
    </w:p>
    <w:p w14:paraId="2020CE63" w14:textId="77777777" w:rsidR="009B5237" w:rsidRPr="009B5237" w:rsidRDefault="009B5237" w:rsidP="009B5237">
      <w:pPr>
        <w:tabs>
          <w:tab w:val="left" w:pos="851"/>
        </w:tabs>
        <w:ind w:left="851"/>
        <w:rPr>
          <w:sz w:val="24"/>
          <w:szCs w:val="24"/>
        </w:rPr>
      </w:pPr>
      <w:r w:rsidRPr="009B5237">
        <w:rPr>
          <w:sz w:val="24"/>
          <w:szCs w:val="24"/>
          <w:lang w:val="fr-LU"/>
        </w:rPr>
        <w:t>Neurisol anbefales ikke til børn under 6 år.</w:t>
      </w:r>
    </w:p>
    <w:p w14:paraId="259A685C" w14:textId="77777777" w:rsidR="009B5237" w:rsidRPr="009B5237" w:rsidRDefault="009B5237" w:rsidP="009B5237">
      <w:pPr>
        <w:tabs>
          <w:tab w:val="left" w:pos="851"/>
        </w:tabs>
        <w:ind w:left="851"/>
        <w:rPr>
          <w:sz w:val="24"/>
          <w:szCs w:val="24"/>
        </w:rPr>
      </w:pPr>
    </w:p>
    <w:p w14:paraId="2FA25456" w14:textId="77777777" w:rsidR="009B5237" w:rsidRPr="009B5237" w:rsidRDefault="009B5237" w:rsidP="009B5237">
      <w:pPr>
        <w:tabs>
          <w:tab w:val="left" w:pos="851"/>
        </w:tabs>
        <w:ind w:left="851"/>
        <w:rPr>
          <w:sz w:val="24"/>
          <w:szCs w:val="24"/>
          <w:u w:val="single"/>
        </w:rPr>
      </w:pPr>
      <w:r w:rsidRPr="009B5237">
        <w:rPr>
          <w:sz w:val="24"/>
          <w:szCs w:val="24"/>
          <w:u w:val="single"/>
        </w:rPr>
        <w:t>Perifere neuropatiske smerter</w:t>
      </w:r>
    </w:p>
    <w:p w14:paraId="018A2297" w14:textId="77777777" w:rsidR="009B5237" w:rsidRPr="009B5237" w:rsidRDefault="009B5237" w:rsidP="009B5237">
      <w:pPr>
        <w:tabs>
          <w:tab w:val="left" w:pos="851"/>
        </w:tabs>
        <w:ind w:left="851"/>
        <w:rPr>
          <w:sz w:val="24"/>
          <w:szCs w:val="24"/>
        </w:rPr>
      </w:pPr>
    </w:p>
    <w:p w14:paraId="2B5DA8F0" w14:textId="77777777" w:rsidR="009B5237" w:rsidRPr="009B5237" w:rsidRDefault="009B5237" w:rsidP="009B5237">
      <w:pPr>
        <w:tabs>
          <w:tab w:val="left" w:pos="851"/>
        </w:tabs>
        <w:ind w:left="851"/>
        <w:rPr>
          <w:i/>
          <w:iCs/>
          <w:sz w:val="24"/>
          <w:szCs w:val="24"/>
        </w:rPr>
      </w:pPr>
      <w:r w:rsidRPr="009B5237">
        <w:rPr>
          <w:i/>
          <w:iCs/>
          <w:sz w:val="24"/>
          <w:szCs w:val="24"/>
        </w:rPr>
        <w:t>Voksne</w:t>
      </w:r>
    </w:p>
    <w:p w14:paraId="4326CDDD" w14:textId="77777777" w:rsidR="009B5237" w:rsidRPr="009B5237" w:rsidRDefault="009B5237" w:rsidP="009B5237">
      <w:pPr>
        <w:tabs>
          <w:tab w:val="left" w:pos="851"/>
        </w:tabs>
        <w:ind w:left="851"/>
        <w:rPr>
          <w:sz w:val="24"/>
          <w:szCs w:val="24"/>
        </w:rPr>
      </w:pPr>
      <w:r w:rsidRPr="009B5237">
        <w:rPr>
          <w:sz w:val="24"/>
          <w:szCs w:val="24"/>
        </w:rPr>
        <w:t>Behandlingen indledes med dosistitrering, som anført i tabel 1. Alternativt anbefales en initialdosis på 900 mg/dag (18 ml) fordelt på 3 lige store doser. På baggrund af patientens individuelle respons og toleranse, kan dosis derefter øges med en dosistilvækst på 300 mg/dag (6 ml) hver 2.-3. dag op til maksimal dosis på 3600 mg/dag (72 ml). Hos nogle patienter kan det være nødvendigt med en langsommere titrering af gabapentindosis. Det skal tage mindst 1 uge at nå en dosis på 1800 mg/dag (36 ml), 2 uger at nå en dosis på 2400 mg/dag (48 ml), og i alt 3 uger at nå en dosis på 3600 mg/dag (72 ml).</w:t>
      </w:r>
    </w:p>
    <w:p w14:paraId="42B471FC" w14:textId="77777777" w:rsidR="009B5237" w:rsidRPr="009B5237" w:rsidRDefault="009B5237" w:rsidP="009B5237">
      <w:pPr>
        <w:tabs>
          <w:tab w:val="left" w:pos="851"/>
        </w:tabs>
        <w:ind w:left="851"/>
        <w:rPr>
          <w:sz w:val="24"/>
          <w:szCs w:val="24"/>
        </w:rPr>
      </w:pPr>
    </w:p>
    <w:p w14:paraId="1F85B8D9" w14:textId="77777777" w:rsidR="009B5237" w:rsidRPr="009B5237" w:rsidRDefault="009B5237" w:rsidP="009B5237">
      <w:pPr>
        <w:tabs>
          <w:tab w:val="left" w:pos="851"/>
        </w:tabs>
        <w:ind w:left="851"/>
        <w:rPr>
          <w:sz w:val="24"/>
          <w:szCs w:val="24"/>
        </w:rPr>
      </w:pPr>
      <w:r w:rsidRPr="009B5237">
        <w:rPr>
          <w:sz w:val="24"/>
          <w:szCs w:val="24"/>
        </w:rPr>
        <w:t>Behandling af perifere neuropatiske smerter, som f.eks. smertefuld diabetisk neuropati og postherpetisk neuralgi, er ikke undersøgt i behandlingsperioder længere end 5 måneder i kliniske studier. Hvis en patient kræver en længere behandling end 5 måneder for behandling af perifere neuropatiske smerter, bør den behandlende læge vurdere patientens kliniske status og fastsætte behovet for yderligere behandling.</w:t>
      </w:r>
    </w:p>
    <w:p w14:paraId="681130AD" w14:textId="77777777" w:rsidR="009B5237" w:rsidRPr="009B5237" w:rsidRDefault="009B5237" w:rsidP="009B5237">
      <w:pPr>
        <w:tabs>
          <w:tab w:val="left" w:pos="851"/>
        </w:tabs>
        <w:ind w:left="851"/>
        <w:rPr>
          <w:sz w:val="24"/>
          <w:szCs w:val="24"/>
        </w:rPr>
      </w:pPr>
    </w:p>
    <w:p w14:paraId="76854080" w14:textId="77777777" w:rsidR="009B5237" w:rsidRPr="009B5237" w:rsidRDefault="009B5237" w:rsidP="009B5237">
      <w:pPr>
        <w:tabs>
          <w:tab w:val="left" w:pos="851"/>
        </w:tabs>
        <w:ind w:left="851"/>
        <w:rPr>
          <w:sz w:val="24"/>
          <w:szCs w:val="24"/>
          <w:u w:val="single"/>
        </w:rPr>
      </w:pPr>
      <w:r w:rsidRPr="009B5237">
        <w:rPr>
          <w:sz w:val="24"/>
          <w:szCs w:val="24"/>
          <w:u w:val="single"/>
        </w:rPr>
        <w:t>Vejledning for alle indikationer</w:t>
      </w:r>
    </w:p>
    <w:p w14:paraId="71085EAA" w14:textId="77777777" w:rsidR="009B5237" w:rsidRPr="009B5237" w:rsidRDefault="009B5237" w:rsidP="009B5237">
      <w:pPr>
        <w:tabs>
          <w:tab w:val="left" w:pos="851"/>
        </w:tabs>
        <w:ind w:left="851"/>
        <w:rPr>
          <w:sz w:val="24"/>
          <w:szCs w:val="24"/>
        </w:rPr>
      </w:pPr>
      <w:r w:rsidRPr="009B5237">
        <w:rPr>
          <w:sz w:val="24"/>
          <w:szCs w:val="24"/>
        </w:rPr>
        <w:t>Hos patienter med generelt dårlig helbredstilstand, f.eks. med lav legemsvægt, efter organtransplantation eller lignende, bør dosistitrering ske langsommere enten ved at anvende en lavere styrke eller længere interval mellem dosisstigningerne.</w:t>
      </w:r>
    </w:p>
    <w:p w14:paraId="69249CD0" w14:textId="77777777" w:rsidR="009B5237" w:rsidRPr="009B5237" w:rsidRDefault="009B5237" w:rsidP="009B5237">
      <w:pPr>
        <w:tabs>
          <w:tab w:val="left" w:pos="851"/>
        </w:tabs>
        <w:ind w:left="851"/>
        <w:rPr>
          <w:sz w:val="24"/>
          <w:szCs w:val="24"/>
        </w:rPr>
      </w:pPr>
    </w:p>
    <w:p w14:paraId="3CA0B78C" w14:textId="77777777" w:rsidR="009B5237" w:rsidRPr="009B5237" w:rsidRDefault="009B5237" w:rsidP="009B5237">
      <w:pPr>
        <w:tabs>
          <w:tab w:val="left" w:pos="851"/>
        </w:tabs>
        <w:ind w:left="851"/>
        <w:rPr>
          <w:sz w:val="24"/>
          <w:szCs w:val="24"/>
          <w:u w:val="single"/>
        </w:rPr>
      </w:pPr>
      <w:r w:rsidRPr="009B5237">
        <w:rPr>
          <w:sz w:val="24"/>
          <w:szCs w:val="24"/>
          <w:u w:val="single"/>
        </w:rPr>
        <w:t>Ældre (over 65 år)</w:t>
      </w:r>
    </w:p>
    <w:p w14:paraId="7CAE437B" w14:textId="77777777" w:rsidR="009B5237" w:rsidRPr="009B5237" w:rsidRDefault="009B5237" w:rsidP="009B5237">
      <w:pPr>
        <w:tabs>
          <w:tab w:val="left" w:pos="851"/>
        </w:tabs>
        <w:ind w:left="851"/>
        <w:rPr>
          <w:sz w:val="24"/>
          <w:szCs w:val="24"/>
        </w:rPr>
      </w:pPr>
      <w:r w:rsidRPr="009B5237">
        <w:rPr>
          <w:sz w:val="24"/>
          <w:szCs w:val="24"/>
        </w:rPr>
        <w:t>Dosisjustering hos ældre kan være nødvendig på grund af nedsat nyrefunktion (se tabel 2). Søvnighed, perifere ødemer og asteni kan forekomme hyppigere hos ældre patienter.</w:t>
      </w:r>
    </w:p>
    <w:p w14:paraId="445FCCC8" w14:textId="77777777" w:rsidR="009B5237" w:rsidRPr="009B5237" w:rsidRDefault="009B5237" w:rsidP="009B5237">
      <w:pPr>
        <w:tabs>
          <w:tab w:val="left" w:pos="851"/>
        </w:tabs>
        <w:ind w:left="851"/>
        <w:rPr>
          <w:sz w:val="24"/>
          <w:szCs w:val="24"/>
        </w:rPr>
      </w:pPr>
    </w:p>
    <w:p w14:paraId="2A3FDB51" w14:textId="77777777" w:rsidR="009B5237" w:rsidRPr="009B5237" w:rsidRDefault="009B5237" w:rsidP="009B5237">
      <w:pPr>
        <w:tabs>
          <w:tab w:val="left" w:pos="851"/>
        </w:tabs>
        <w:ind w:left="851"/>
        <w:rPr>
          <w:sz w:val="24"/>
          <w:szCs w:val="24"/>
          <w:u w:val="single"/>
        </w:rPr>
      </w:pPr>
      <w:r w:rsidRPr="009B5237">
        <w:rPr>
          <w:sz w:val="24"/>
          <w:szCs w:val="24"/>
          <w:u w:val="single"/>
        </w:rPr>
        <w:t>Nedsat nyrefunktion</w:t>
      </w:r>
    </w:p>
    <w:p w14:paraId="6ECD70EA" w14:textId="6CE5CB46" w:rsidR="009B5237" w:rsidRDefault="009B5237" w:rsidP="009B5237">
      <w:pPr>
        <w:tabs>
          <w:tab w:val="left" w:pos="851"/>
        </w:tabs>
        <w:ind w:left="851"/>
        <w:rPr>
          <w:sz w:val="24"/>
          <w:szCs w:val="24"/>
        </w:rPr>
      </w:pPr>
      <w:r w:rsidRPr="009B5237">
        <w:rPr>
          <w:sz w:val="24"/>
          <w:szCs w:val="24"/>
        </w:rPr>
        <w:t>Dosisjustering anbefales hos patienter med nedsat nyrefunktion som beskrevet i tabel 2 og/eller patienter, som er i hæmodialysebehandling. Neurisol 50 mg/ml oral opløsning kan anvendes hos patienter med nyreinsufficiens for at kunne følge dosisanbefalingerne.</w:t>
      </w:r>
    </w:p>
    <w:p w14:paraId="46B42900" w14:textId="0895C67C" w:rsidR="00D343EF" w:rsidRDefault="00D343EF" w:rsidP="009B5237">
      <w:pPr>
        <w:tabs>
          <w:tab w:val="left" w:pos="851"/>
        </w:tabs>
        <w:ind w:left="851"/>
        <w:rPr>
          <w:sz w:val="24"/>
          <w:szCs w:val="24"/>
        </w:rPr>
      </w:pPr>
    </w:p>
    <w:tbl>
      <w:tblPr>
        <w:tblStyle w:val="Tabel-Gitter"/>
        <w:tblW w:w="8925" w:type="dxa"/>
        <w:tblInd w:w="846" w:type="dxa"/>
        <w:tblLook w:val="04A0" w:firstRow="1" w:lastRow="0" w:firstColumn="1" w:lastColumn="0" w:noHBand="0" w:noVBand="1"/>
      </w:tblPr>
      <w:tblGrid>
        <w:gridCol w:w="4111"/>
        <w:gridCol w:w="4814"/>
      </w:tblGrid>
      <w:tr w:rsidR="00D343EF" w14:paraId="63C25D3F" w14:textId="77777777" w:rsidTr="00D343EF">
        <w:tc>
          <w:tcPr>
            <w:tcW w:w="8925" w:type="dxa"/>
            <w:gridSpan w:val="2"/>
            <w:tcBorders>
              <w:top w:val="single" w:sz="4" w:space="0" w:color="auto"/>
              <w:left w:val="single" w:sz="4" w:space="0" w:color="auto"/>
              <w:bottom w:val="single" w:sz="4" w:space="0" w:color="auto"/>
              <w:right w:val="single" w:sz="4" w:space="0" w:color="auto"/>
            </w:tcBorders>
            <w:hideMark/>
          </w:tcPr>
          <w:p w14:paraId="6243F2B1" w14:textId="77777777" w:rsidR="00D343EF" w:rsidRDefault="00D343EF">
            <w:pPr>
              <w:jc w:val="center"/>
              <w:rPr>
                <w:kern w:val="2"/>
                <w:sz w:val="22"/>
                <w:szCs w:val="22"/>
                <w:lang w:eastAsia="fr-LU"/>
                <w14:ligatures w14:val="standardContextual"/>
              </w:rPr>
            </w:pPr>
            <w:r>
              <w:rPr>
                <w:kern w:val="2"/>
                <w:sz w:val="22"/>
                <w:szCs w:val="22"/>
                <w14:ligatures w14:val="standardContextual"/>
              </w:rPr>
              <w:t>Tabel 2</w:t>
            </w:r>
          </w:p>
        </w:tc>
      </w:tr>
      <w:tr w:rsidR="00D343EF" w14:paraId="771CD141" w14:textId="77777777" w:rsidTr="00D343EF">
        <w:tc>
          <w:tcPr>
            <w:tcW w:w="8925" w:type="dxa"/>
            <w:gridSpan w:val="2"/>
            <w:tcBorders>
              <w:top w:val="single" w:sz="4" w:space="0" w:color="auto"/>
              <w:left w:val="single" w:sz="4" w:space="0" w:color="auto"/>
              <w:bottom w:val="single" w:sz="4" w:space="0" w:color="auto"/>
              <w:right w:val="single" w:sz="4" w:space="0" w:color="auto"/>
            </w:tcBorders>
            <w:hideMark/>
          </w:tcPr>
          <w:p w14:paraId="328017C6" w14:textId="77777777" w:rsidR="00D343EF" w:rsidRDefault="00D343EF">
            <w:pPr>
              <w:jc w:val="center"/>
              <w:rPr>
                <w:kern w:val="2"/>
                <w:sz w:val="22"/>
                <w:szCs w:val="22"/>
                <w14:ligatures w14:val="standardContextual"/>
              </w:rPr>
            </w:pPr>
            <w:r>
              <w:rPr>
                <w:kern w:val="2"/>
                <w:sz w:val="22"/>
                <w:szCs w:val="22"/>
                <w14:ligatures w14:val="standardContextual"/>
              </w:rPr>
              <w:t xml:space="preserve">DOSERING AF GABAPENTIN HOS VOKSNE BASERET PÅ NYREFUNKTIONEN  </w:t>
            </w:r>
          </w:p>
        </w:tc>
      </w:tr>
      <w:tr w:rsidR="00D343EF" w14:paraId="0D048D59" w14:textId="77777777" w:rsidTr="00D343EF">
        <w:tc>
          <w:tcPr>
            <w:tcW w:w="4111" w:type="dxa"/>
            <w:tcBorders>
              <w:top w:val="single" w:sz="4" w:space="0" w:color="auto"/>
              <w:left w:val="single" w:sz="4" w:space="0" w:color="auto"/>
              <w:bottom w:val="single" w:sz="4" w:space="0" w:color="auto"/>
              <w:right w:val="single" w:sz="4" w:space="0" w:color="auto"/>
            </w:tcBorders>
            <w:hideMark/>
          </w:tcPr>
          <w:p w14:paraId="2794B203" w14:textId="77777777" w:rsidR="00D343EF" w:rsidRDefault="00D343EF">
            <w:pPr>
              <w:jc w:val="center"/>
              <w:rPr>
                <w:kern w:val="2"/>
                <w:sz w:val="22"/>
                <w:szCs w:val="22"/>
                <w14:ligatures w14:val="standardContextual"/>
              </w:rPr>
            </w:pPr>
            <w:r>
              <w:rPr>
                <w:kern w:val="2"/>
                <w:sz w:val="22"/>
                <w:szCs w:val="22"/>
                <w14:ligatures w14:val="standardContextual"/>
              </w:rPr>
              <w:t>Kreatininclearance (ml/min)</w:t>
            </w:r>
          </w:p>
        </w:tc>
        <w:tc>
          <w:tcPr>
            <w:tcW w:w="4814" w:type="dxa"/>
            <w:tcBorders>
              <w:top w:val="single" w:sz="4" w:space="0" w:color="auto"/>
              <w:left w:val="single" w:sz="4" w:space="0" w:color="auto"/>
              <w:bottom w:val="single" w:sz="4" w:space="0" w:color="auto"/>
              <w:right w:val="single" w:sz="4" w:space="0" w:color="auto"/>
            </w:tcBorders>
            <w:hideMark/>
          </w:tcPr>
          <w:p w14:paraId="0E7DD943" w14:textId="77777777" w:rsidR="00D343EF" w:rsidRDefault="00D343EF">
            <w:pPr>
              <w:jc w:val="center"/>
              <w:rPr>
                <w:kern w:val="2"/>
                <w:sz w:val="22"/>
                <w:szCs w:val="22"/>
                <w:lang w:val="sv-SE"/>
                <w14:ligatures w14:val="standardContextual"/>
              </w:rPr>
            </w:pPr>
            <w:r>
              <w:rPr>
                <w:kern w:val="2"/>
                <w:sz w:val="22"/>
                <w:szCs w:val="22"/>
                <w:lang w:val="sv-SE"/>
                <w14:ligatures w14:val="standardContextual"/>
              </w:rPr>
              <w:t>Total daglig dosis</w:t>
            </w:r>
            <w:r>
              <w:rPr>
                <w:kern w:val="2"/>
                <w:sz w:val="22"/>
                <w:szCs w:val="22"/>
                <w:vertAlign w:val="superscript"/>
                <w:lang w:val="sv-SE"/>
                <w14:ligatures w14:val="standardContextual"/>
              </w:rPr>
              <w:t>a</w:t>
            </w:r>
            <w:r>
              <w:rPr>
                <w:kern w:val="2"/>
                <w:sz w:val="22"/>
                <w:szCs w:val="22"/>
                <w:lang w:val="sv-SE"/>
                <w14:ligatures w14:val="standardContextual"/>
              </w:rPr>
              <w:t xml:space="preserve"> (mg/dag)</w:t>
            </w:r>
          </w:p>
        </w:tc>
      </w:tr>
      <w:tr w:rsidR="00D343EF" w14:paraId="077782E3" w14:textId="77777777" w:rsidTr="00D343EF">
        <w:tc>
          <w:tcPr>
            <w:tcW w:w="4111" w:type="dxa"/>
            <w:tcBorders>
              <w:top w:val="single" w:sz="4" w:space="0" w:color="auto"/>
              <w:left w:val="single" w:sz="4" w:space="0" w:color="auto"/>
              <w:bottom w:val="single" w:sz="4" w:space="0" w:color="auto"/>
              <w:right w:val="single" w:sz="4" w:space="0" w:color="auto"/>
            </w:tcBorders>
            <w:hideMark/>
          </w:tcPr>
          <w:p w14:paraId="02AF570B" w14:textId="77777777" w:rsidR="00D343EF" w:rsidRDefault="00D343EF">
            <w:pPr>
              <w:jc w:val="center"/>
              <w:rPr>
                <w:kern w:val="2"/>
                <w:sz w:val="22"/>
                <w:szCs w:val="22"/>
                <w14:ligatures w14:val="standardContextual"/>
              </w:rPr>
            </w:pPr>
            <w:r>
              <w:rPr>
                <w:kern w:val="2"/>
                <w14:ligatures w14:val="standardContextual"/>
              </w:rPr>
              <w:t>≥80</w:t>
            </w:r>
          </w:p>
        </w:tc>
        <w:tc>
          <w:tcPr>
            <w:tcW w:w="4814" w:type="dxa"/>
            <w:tcBorders>
              <w:top w:val="single" w:sz="4" w:space="0" w:color="auto"/>
              <w:left w:val="single" w:sz="4" w:space="0" w:color="auto"/>
              <w:bottom w:val="single" w:sz="4" w:space="0" w:color="auto"/>
              <w:right w:val="single" w:sz="4" w:space="0" w:color="auto"/>
            </w:tcBorders>
            <w:hideMark/>
          </w:tcPr>
          <w:p w14:paraId="1BAAEDF5" w14:textId="77777777" w:rsidR="00D343EF" w:rsidRDefault="00D343EF">
            <w:pPr>
              <w:jc w:val="center"/>
              <w:rPr>
                <w:kern w:val="2"/>
                <w:sz w:val="22"/>
                <w:szCs w:val="22"/>
                <w14:ligatures w14:val="standardContextual"/>
              </w:rPr>
            </w:pPr>
            <w:r>
              <w:rPr>
                <w:kern w:val="2"/>
                <w14:ligatures w14:val="standardContextual"/>
              </w:rPr>
              <w:t>900-3600 (18 to 72 ml)</w:t>
            </w:r>
          </w:p>
        </w:tc>
      </w:tr>
      <w:tr w:rsidR="00D343EF" w14:paraId="20AA5FD1" w14:textId="77777777" w:rsidTr="00D343EF">
        <w:tc>
          <w:tcPr>
            <w:tcW w:w="4111" w:type="dxa"/>
            <w:tcBorders>
              <w:top w:val="single" w:sz="4" w:space="0" w:color="auto"/>
              <w:left w:val="single" w:sz="4" w:space="0" w:color="auto"/>
              <w:bottom w:val="single" w:sz="4" w:space="0" w:color="auto"/>
              <w:right w:val="single" w:sz="4" w:space="0" w:color="auto"/>
            </w:tcBorders>
            <w:hideMark/>
          </w:tcPr>
          <w:p w14:paraId="0EE4EF65" w14:textId="77777777" w:rsidR="00D343EF" w:rsidRDefault="00D343EF">
            <w:pPr>
              <w:jc w:val="center"/>
              <w:rPr>
                <w:kern w:val="2"/>
                <w:sz w:val="22"/>
                <w:szCs w:val="22"/>
                <w14:ligatures w14:val="standardContextual"/>
              </w:rPr>
            </w:pPr>
            <w:r>
              <w:rPr>
                <w:kern w:val="2"/>
                <w14:ligatures w14:val="standardContextual"/>
              </w:rPr>
              <w:t>50-79</w:t>
            </w:r>
          </w:p>
        </w:tc>
        <w:tc>
          <w:tcPr>
            <w:tcW w:w="4814" w:type="dxa"/>
            <w:tcBorders>
              <w:top w:val="single" w:sz="4" w:space="0" w:color="auto"/>
              <w:left w:val="single" w:sz="4" w:space="0" w:color="auto"/>
              <w:bottom w:val="single" w:sz="4" w:space="0" w:color="auto"/>
              <w:right w:val="single" w:sz="4" w:space="0" w:color="auto"/>
            </w:tcBorders>
            <w:hideMark/>
          </w:tcPr>
          <w:p w14:paraId="7FC0C09E" w14:textId="77777777" w:rsidR="00D343EF" w:rsidRDefault="00D343EF">
            <w:pPr>
              <w:jc w:val="center"/>
              <w:rPr>
                <w:kern w:val="2"/>
                <w:sz w:val="22"/>
                <w:szCs w:val="22"/>
                <w14:ligatures w14:val="standardContextual"/>
              </w:rPr>
            </w:pPr>
            <w:r>
              <w:rPr>
                <w:kern w:val="2"/>
                <w14:ligatures w14:val="standardContextual"/>
              </w:rPr>
              <w:t>600-1800 (12 to 36 ml)</w:t>
            </w:r>
          </w:p>
        </w:tc>
      </w:tr>
      <w:tr w:rsidR="00D343EF" w14:paraId="3C7C7431" w14:textId="77777777" w:rsidTr="00D343EF">
        <w:tc>
          <w:tcPr>
            <w:tcW w:w="4111" w:type="dxa"/>
            <w:tcBorders>
              <w:top w:val="single" w:sz="4" w:space="0" w:color="auto"/>
              <w:left w:val="single" w:sz="4" w:space="0" w:color="auto"/>
              <w:bottom w:val="single" w:sz="4" w:space="0" w:color="auto"/>
              <w:right w:val="single" w:sz="4" w:space="0" w:color="auto"/>
            </w:tcBorders>
            <w:hideMark/>
          </w:tcPr>
          <w:p w14:paraId="432A967D" w14:textId="77777777" w:rsidR="00D343EF" w:rsidRDefault="00D343EF">
            <w:pPr>
              <w:jc w:val="center"/>
              <w:rPr>
                <w:kern w:val="2"/>
                <w:sz w:val="22"/>
                <w:szCs w:val="22"/>
                <w14:ligatures w14:val="standardContextual"/>
              </w:rPr>
            </w:pPr>
            <w:r>
              <w:rPr>
                <w:kern w:val="2"/>
                <w14:ligatures w14:val="standardContextual"/>
              </w:rPr>
              <w:t>30-49</w:t>
            </w:r>
          </w:p>
        </w:tc>
        <w:tc>
          <w:tcPr>
            <w:tcW w:w="4814" w:type="dxa"/>
            <w:tcBorders>
              <w:top w:val="single" w:sz="4" w:space="0" w:color="auto"/>
              <w:left w:val="single" w:sz="4" w:space="0" w:color="auto"/>
              <w:bottom w:val="single" w:sz="4" w:space="0" w:color="auto"/>
              <w:right w:val="single" w:sz="4" w:space="0" w:color="auto"/>
            </w:tcBorders>
            <w:hideMark/>
          </w:tcPr>
          <w:p w14:paraId="53DC10C7" w14:textId="77777777" w:rsidR="00D343EF" w:rsidRDefault="00D343EF">
            <w:pPr>
              <w:jc w:val="center"/>
              <w:rPr>
                <w:kern w:val="2"/>
                <w:sz w:val="22"/>
                <w:szCs w:val="22"/>
                <w14:ligatures w14:val="standardContextual"/>
              </w:rPr>
            </w:pPr>
            <w:r>
              <w:rPr>
                <w:kern w:val="2"/>
                <w14:ligatures w14:val="standardContextual"/>
              </w:rPr>
              <w:t>300-900 (6 to 18 ml)</w:t>
            </w:r>
          </w:p>
        </w:tc>
      </w:tr>
      <w:tr w:rsidR="00D343EF" w14:paraId="500302C5" w14:textId="77777777" w:rsidTr="00D343EF">
        <w:tc>
          <w:tcPr>
            <w:tcW w:w="4111" w:type="dxa"/>
            <w:tcBorders>
              <w:top w:val="single" w:sz="4" w:space="0" w:color="auto"/>
              <w:left w:val="single" w:sz="4" w:space="0" w:color="auto"/>
              <w:bottom w:val="single" w:sz="4" w:space="0" w:color="auto"/>
              <w:right w:val="single" w:sz="4" w:space="0" w:color="auto"/>
            </w:tcBorders>
            <w:hideMark/>
          </w:tcPr>
          <w:p w14:paraId="0D8243BC" w14:textId="77777777" w:rsidR="00D343EF" w:rsidRDefault="00D343EF">
            <w:pPr>
              <w:jc w:val="center"/>
              <w:rPr>
                <w:kern w:val="2"/>
                <w:sz w:val="22"/>
                <w:szCs w:val="22"/>
                <w14:ligatures w14:val="standardContextual"/>
              </w:rPr>
            </w:pPr>
            <w:r>
              <w:rPr>
                <w:kern w:val="2"/>
                <w14:ligatures w14:val="standardContextual"/>
              </w:rPr>
              <w:t>15-29</w:t>
            </w:r>
          </w:p>
        </w:tc>
        <w:tc>
          <w:tcPr>
            <w:tcW w:w="4814" w:type="dxa"/>
            <w:tcBorders>
              <w:top w:val="single" w:sz="4" w:space="0" w:color="auto"/>
              <w:left w:val="single" w:sz="4" w:space="0" w:color="auto"/>
              <w:bottom w:val="single" w:sz="4" w:space="0" w:color="auto"/>
              <w:right w:val="single" w:sz="4" w:space="0" w:color="auto"/>
            </w:tcBorders>
            <w:hideMark/>
          </w:tcPr>
          <w:p w14:paraId="596D4528" w14:textId="77777777" w:rsidR="00D343EF" w:rsidRDefault="00D343EF">
            <w:pPr>
              <w:jc w:val="center"/>
              <w:rPr>
                <w:kern w:val="2"/>
                <w:sz w:val="22"/>
                <w:szCs w:val="22"/>
                <w14:ligatures w14:val="standardContextual"/>
              </w:rPr>
            </w:pPr>
            <w:r>
              <w:rPr>
                <w:kern w:val="2"/>
                <w14:ligatures w14:val="standardContextual"/>
              </w:rPr>
              <w:t>150-600 (3 to 12 ml)</w:t>
            </w:r>
          </w:p>
        </w:tc>
      </w:tr>
      <w:tr w:rsidR="00D343EF" w14:paraId="57E93731" w14:textId="77777777" w:rsidTr="00D343EF">
        <w:trPr>
          <w:trHeight w:val="70"/>
        </w:trPr>
        <w:tc>
          <w:tcPr>
            <w:tcW w:w="4111" w:type="dxa"/>
            <w:tcBorders>
              <w:top w:val="single" w:sz="4" w:space="0" w:color="auto"/>
              <w:left w:val="single" w:sz="4" w:space="0" w:color="auto"/>
              <w:bottom w:val="single" w:sz="4" w:space="0" w:color="auto"/>
              <w:right w:val="single" w:sz="4" w:space="0" w:color="auto"/>
            </w:tcBorders>
            <w:hideMark/>
          </w:tcPr>
          <w:p w14:paraId="1E8E2758" w14:textId="77777777" w:rsidR="00D343EF" w:rsidRDefault="00D343EF">
            <w:pPr>
              <w:jc w:val="center"/>
              <w:rPr>
                <w:kern w:val="2"/>
                <w:sz w:val="22"/>
                <w:szCs w:val="22"/>
                <w14:ligatures w14:val="standardContextual"/>
              </w:rPr>
            </w:pPr>
            <w:r>
              <w:rPr>
                <w:kern w:val="2"/>
                <w14:ligatures w14:val="standardContextual"/>
              </w:rPr>
              <w:t>&lt;15</w:t>
            </w:r>
            <w:r>
              <w:rPr>
                <w:kern w:val="2"/>
                <w:vertAlign w:val="superscript"/>
                <w14:ligatures w14:val="standardContextual"/>
              </w:rPr>
              <w:t>b</w:t>
            </w:r>
          </w:p>
        </w:tc>
        <w:tc>
          <w:tcPr>
            <w:tcW w:w="4814" w:type="dxa"/>
            <w:tcBorders>
              <w:top w:val="single" w:sz="4" w:space="0" w:color="auto"/>
              <w:left w:val="single" w:sz="4" w:space="0" w:color="auto"/>
              <w:bottom w:val="single" w:sz="4" w:space="0" w:color="auto"/>
              <w:right w:val="single" w:sz="4" w:space="0" w:color="auto"/>
            </w:tcBorders>
            <w:hideMark/>
          </w:tcPr>
          <w:p w14:paraId="4E882466" w14:textId="77777777" w:rsidR="00D343EF" w:rsidRDefault="00D343EF">
            <w:pPr>
              <w:jc w:val="center"/>
              <w:rPr>
                <w:kern w:val="2"/>
                <w:sz w:val="22"/>
                <w:szCs w:val="22"/>
                <w14:ligatures w14:val="standardContextual"/>
              </w:rPr>
            </w:pPr>
            <w:r>
              <w:rPr>
                <w:kern w:val="2"/>
                <w14:ligatures w14:val="standardContextual"/>
              </w:rPr>
              <w:t>150-300 (3 to 6 ml)</w:t>
            </w:r>
          </w:p>
        </w:tc>
      </w:tr>
    </w:tbl>
    <w:p w14:paraId="38D6CC9F" w14:textId="77777777" w:rsidR="009B5237" w:rsidRPr="009B5237" w:rsidRDefault="009B5237" w:rsidP="009B5237">
      <w:pPr>
        <w:tabs>
          <w:tab w:val="left" w:pos="851"/>
        </w:tabs>
        <w:ind w:left="851"/>
        <w:rPr>
          <w:sz w:val="24"/>
          <w:szCs w:val="24"/>
        </w:rPr>
      </w:pPr>
    </w:p>
    <w:p w14:paraId="2374BDC4" w14:textId="77777777" w:rsidR="009B5237" w:rsidRPr="00D343EF" w:rsidRDefault="009B5237" w:rsidP="009B5237">
      <w:pPr>
        <w:tabs>
          <w:tab w:val="left" w:pos="851"/>
        </w:tabs>
        <w:ind w:left="851"/>
        <w:rPr>
          <w:sz w:val="22"/>
          <w:szCs w:val="22"/>
        </w:rPr>
      </w:pPr>
      <w:r w:rsidRPr="00D343EF">
        <w:rPr>
          <w:sz w:val="22"/>
          <w:szCs w:val="22"/>
          <w:vertAlign w:val="superscript"/>
        </w:rPr>
        <w:t>a</w:t>
      </w:r>
      <w:r w:rsidRPr="00D343EF">
        <w:rPr>
          <w:sz w:val="22"/>
          <w:szCs w:val="22"/>
        </w:rPr>
        <w:t>Den totale daglige dosis bør fordeles på 3 doser. Nedsat dosis anbefales hos patienter med nedsat nyrefunktion (kreatininclearance &lt; 79 ml/min).</w:t>
      </w:r>
    </w:p>
    <w:p w14:paraId="50A0BF0D" w14:textId="77777777" w:rsidR="009B5237" w:rsidRPr="00D343EF" w:rsidRDefault="009B5237" w:rsidP="009B5237">
      <w:pPr>
        <w:tabs>
          <w:tab w:val="left" w:pos="851"/>
        </w:tabs>
        <w:ind w:left="851"/>
        <w:rPr>
          <w:sz w:val="22"/>
          <w:szCs w:val="22"/>
        </w:rPr>
      </w:pPr>
      <w:r w:rsidRPr="00D343EF">
        <w:rPr>
          <w:sz w:val="22"/>
          <w:szCs w:val="22"/>
          <w:vertAlign w:val="superscript"/>
        </w:rPr>
        <w:t>b</w:t>
      </w:r>
      <w:r w:rsidRPr="00D343EF">
        <w:rPr>
          <w:sz w:val="22"/>
          <w:szCs w:val="22"/>
        </w:rPr>
        <w:t>Hos patienter med kreatininclearance &lt;15 ml/min, bør den daglige dosis nedsættes i forhold til kreatininclearance (f.eks. bør patienter med kreatininclearance på 7,5 ml/min have halv så stor daglig dosis, som patienter med kreatininclearance på 15 ml/min).</w:t>
      </w:r>
    </w:p>
    <w:p w14:paraId="41CE2E10" w14:textId="780EFF1A" w:rsidR="00D343EF" w:rsidRDefault="00D343EF">
      <w:pPr>
        <w:rPr>
          <w:sz w:val="24"/>
          <w:szCs w:val="24"/>
        </w:rPr>
      </w:pPr>
      <w:r>
        <w:rPr>
          <w:sz w:val="24"/>
          <w:szCs w:val="24"/>
        </w:rPr>
        <w:br w:type="page"/>
      </w:r>
    </w:p>
    <w:p w14:paraId="725D76F6" w14:textId="77777777" w:rsidR="009B5237" w:rsidRPr="009B5237" w:rsidRDefault="009B5237" w:rsidP="009B5237">
      <w:pPr>
        <w:tabs>
          <w:tab w:val="left" w:pos="851"/>
        </w:tabs>
        <w:ind w:left="851"/>
        <w:rPr>
          <w:sz w:val="24"/>
          <w:szCs w:val="24"/>
        </w:rPr>
      </w:pPr>
    </w:p>
    <w:p w14:paraId="1DC9FB93" w14:textId="77777777" w:rsidR="009B5237" w:rsidRPr="009B5237" w:rsidRDefault="009B5237" w:rsidP="009B5237">
      <w:pPr>
        <w:tabs>
          <w:tab w:val="left" w:pos="851"/>
        </w:tabs>
        <w:ind w:left="851"/>
        <w:rPr>
          <w:sz w:val="24"/>
          <w:szCs w:val="24"/>
          <w:u w:val="single"/>
        </w:rPr>
      </w:pPr>
      <w:r w:rsidRPr="009B5237">
        <w:rPr>
          <w:sz w:val="24"/>
          <w:szCs w:val="24"/>
          <w:u w:val="single"/>
        </w:rPr>
        <w:t>Patienter i hæmodialysebehandling</w:t>
      </w:r>
    </w:p>
    <w:p w14:paraId="68C4EF1F" w14:textId="77777777" w:rsidR="009B5237" w:rsidRPr="009B5237" w:rsidRDefault="009B5237" w:rsidP="009B5237">
      <w:pPr>
        <w:tabs>
          <w:tab w:val="left" w:pos="851"/>
        </w:tabs>
        <w:ind w:left="851"/>
        <w:rPr>
          <w:sz w:val="24"/>
          <w:szCs w:val="24"/>
        </w:rPr>
      </w:pPr>
      <w:r w:rsidRPr="009B5237">
        <w:rPr>
          <w:sz w:val="24"/>
          <w:szCs w:val="24"/>
        </w:rPr>
        <w:t>Anuripatienter, der er i hæmodialysebehandling, og som ikke tidligere har været i behandling med gabapentin, anbefales en initialt en støddosis på 300 til 400 mg (6 til 8 ml) gabapentin, derefter 200 til 300 mg (4 til 6 ml) gabapentin efter hver 4 timers hæmodialyse. På dage, hvor patienten ikke er i hæmodialysebehandling, bør gabapentin ikke anvendes.</w:t>
      </w:r>
    </w:p>
    <w:p w14:paraId="6616655B" w14:textId="77777777" w:rsidR="009B5237" w:rsidRPr="009B5237" w:rsidRDefault="009B5237" w:rsidP="009B5237">
      <w:pPr>
        <w:tabs>
          <w:tab w:val="left" w:pos="851"/>
        </w:tabs>
        <w:ind w:left="851"/>
        <w:rPr>
          <w:sz w:val="24"/>
          <w:szCs w:val="24"/>
        </w:rPr>
      </w:pPr>
    </w:p>
    <w:p w14:paraId="043B3FE2" w14:textId="0C1587A1" w:rsidR="009B5237" w:rsidRPr="009B5237" w:rsidRDefault="009B5237" w:rsidP="009B5237">
      <w:pPr>
        <w:tabs>
          <w:tab w:val="left" w:pos="851"/>
        </w:tabs>
        <w:ind w:left="851"/>
        <w:rPr>
          <w:sz w:val="24"/>
          <w:szCs w:val="24"/>
        </w:rPr>
      </w:pPr>
      <w:r w:rsidRPr="009B5237">
        <w:rPr>
          <w:sz w:val="24"/>
          <w:szCs w:val="24"/>
        </w:rPr>
        <w:t>F</w:t>
      </w:r>
      <w:r w:rsidR="004B5A83">
        <w:rPr>
          <w:sz w:val="24"/>
          <w:szCs w:val="24"/>
        </w:rPr>
        <w:t>o</w:t>
      </w:r>
      <w:r w:rsidRPr="009B5237">
        <w:rPr>
          <w:sz w:val="24"/>
          <w:szCs w:val="24"/>
        </w:rPr>
        <w:t>r patienter med nedsat nyrefunktion, der er i hæmodialysebehandling, bør vedligeholdelses-dosis af gabapentin baseres på dosisanbefalingerne i tabel 2. I tillæg til vedligeholdelses-dosis anbefales en dosis på yderligere 200 til 300 mg (4 til 6 ml) efter hver 4 timers hæmodialyse.</w:t>
      </w:r>
    </w:p>
    <w:p w14:paraId="700E8330" w14:textId="77777777" w:rsidR="009B5237" w:rsidRPr="009B5237" w:rsidRDefault="009B5237" w:rsidP="009B5237">
      <w:pPr>
        <w:tabs>
          <w:tab w:val="left" w:pos="851"/>
        </w:tabs>
        <w:ind w:left="851"/>
        <w:rPr>
          <w:sz w:val="24"/>
          <w:szCs w:val="24"/>
        </w:rPr>
      </w:pPr>
    </w:p>
    <w:p w14:paraId="77CBAA37" w14:textId="77777777" w:rsidR="009B5237" w:rsidRPr="00D343EF" w:rsidRDefault="009B5237" w:rsidP="009B5237">
      <w:pPr>
        <w:tabs>
          <w:tab w:val="left" w:pos="851"/>
        </w:tabs>
        <w:ind w:left="851"/>
        <w:rPr>
          <w:b/>
          <w:sz w:val="24"/>
          <w:szCs w:val="24"/>
        </w:rPr>
      </w:pPr>
      <w:r w:rsidRPr="00D343EF">
        <w:rPr>
          <w:b/>
          <w:sz w:val="24"/>
          <w:szCs w:val="24"/>
        </w:rPr>
        <w:t>Administration</w:t>
      </w:r>
    </w:p>
    <w:p w14:paraId="5B4E01D4" w14:textId="77777777" w:rsidR="009B5237" w:rsidRPr="009B5237" w:rsidRDefault="009B5237" w:rsidP="009B5237">
      <w:pPr>
        <w:tabs>
          <w:tab w:val="left" w:pos="851"/>
        </w:tabs>
        <w:ind w:left="851"/>
        <w:rPr>
          <w:sz w:val="24"/>
          <w:szCs w:val="24"/>
        </w:rPr>
      </w:pPr>
      <w:r w:rsidRPr="009B5237">
        <w:rPr>
          <w:sz w:val="24"/>
          <w:szCs w:val="24"/>
        </w:rPr>
        <w:t>Oral anvendelse.</w:t>
      </w:r>
    </w:p>
    <w:p w14:paraId="5AA919F9" w14:textId="77777777" w:rsidR="009B5237" w:rsidRPr="009B5237" w:rsidRDefault="009B5237" w:rsidP="009B5237">
      <w:pPr>
        <w:tabs>
          <w:tab w:val="left" w:pos="851"/>
        </w:tabs>
        <w:ind w:left="851"/>
        <w:rPr>
          <w:sz w:val="24"/>
          <w:szCs w:val="24"/>
        </w:rPr>
      </w:pPr>
      <w:r w:rsidRPr="009B5237">
        <w:rPr>
          <w:sz w:val="24"/>
          <w:szCs w:val="24"/>
        </w:rPr>
        <w:t>Gabapentin kan indtages med eller uden mad.</w:t>
      </w:r>
    </w:p>
    <w:p w14:paraId="24565E3E" w14:textId="77777777" w:rsidR="009B5237" w:rsidRPr="009B5237" w:rsidRDefault="009B5237" w:rsidP="009B5237">
      <w:pPr>
        <w:tabs>
          <w:tab w:val="left" w:pos="851"/>
        </w:tabs>
        <w:ind w:left="851"/>
        <w:rPr>
          <w:sz w:val="24"/>
          <w:szCs w:val="24"/>
        </w:rPr>
      </w:pPr>
      <w:r w:rsidRPr="009B5237">
        <w:rPr>
          <w:sz w:val="24"/>
          <w:szCs w:val="24"/>
        </w:rPr>
        <w:t>For doser, der ikke er praktisk mulige med dette lægemiddel, er andre lægemiddelformer og produkter tilgængelige.</w:t>
      </w:r>
    </w:p>
    <w:p w14:paraId="206A42DF" w14:textId="77777777" w:rsidR="009B5237" w:rsidRPr="009B5237" w:rsidRDefault="009B5237" w:rsidP="009B5237">
      <w:pPr>
        <w:tabs>
          <w:tab w:val="left" w:pos="851"/>
        </w:tabs>
        <w:ind w:left="851"/>
        <w:rPr>
          <w:sz w:val="24"/>
          <w:szCs w:val="24"/>
        </w:rPr>
      </w:pPr>
    </w:p>
    <w:p w14:paraId="27943064" w14:textId="77777777" w:rsidR="009B5237" w:rsidRPr="009B5237" w:rsidRDefault="009B5237" w:rsidP="009B5237">
      <w:pPr>
        <w:tabs>
          <w:tab w:val="left" w:pos="851"/>
        </w:tabs>
        <w:ind w:left="851"/>
        <w:rPr>
          <w:sz w:val="24"/>
          <w:szCs w:val="24"/>
          <w:u w:val="single"/>
        </w:rPr>
      </w:pPr>
      <w:r w:rsidRPr="009B5237">
        <w:rPr>
          <w:sz w:val="24"/>
          <w:szCs w:val="24"/>
          <w:u w:val="single"/>
        </w:rPr>
        <w:t>Note</w:t>
      </w:r>
    </w:p>
    <w:p w14:paraId="5F310323" w14:textId="06A9B894" w:rsidR="009B5237" w:rsidRPr="009B5237" w:rsidRDefault="009B5237" w:rsidP="00D343EF">
      <w:pPr>
        <w:tabs>
          <w:tab w:val="left" w:pos="851"/>
        </w:tabs>
        <w:ind w:left="851"/>
        <w:rPr>
          <w:sz w:val="24"/>
          <w:szCs w:val="24"/>
        </w:rPr>
      </w:pPr>
      <w:r w:rsidRPr="009B5237">
        <w:rPr>
          <w:sz w:val="24"/>
          <w:szCs w:val="24"/>
        </w:rPr>
        <w:t>Om nødvendigt kan Neurisol administreres via intragastriske ernæringssonder (nasogastrisk (NG) eller perkutan endoskopisk gastrostomi (PEG) sonder). Sonderne skal skylles to gange med 10 ml vand umiddelbart efter administration. For yderligere information se pkt. 6.6.</w:t>
      </w:r>
    </w:p>
    <w:p w14:paraId="4391A526" w14:textId="77777777" w:rsidR="009260DE" w:rsidRPr="00C84483" w:rsidRDefault="009260DE" w:rsidP="009260DE">
      <w:pPr>
        <w:tabs>
          <w:tab w:val="left" w:pos="851"/>
        </w:tabs>
        <w:ind w:left="851"/>
        <w:rPr>
          <w:sz w:val="24"/>
          <w:szCs w:val="24"/>
        </w:rPr>
      </w:pPr>
    </w:p>
    <w:p w14:paraId="45798C87"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6093A501" w14:textId="77777777" w:rsidR="00B640C8" w:rsidRPr="00B640C8" w:rsidRDefault="00B640C8" w:rsidP="00B640C8">
      <w:pPr>
        <w:tabs>
          <w:tab w:val="left" w:pos="851"/>
        </w:tabs>
        <w:ind w:left="851"/>
        <w:rPr>
          <w:sz w:val="24"/>
          <w:szCs w:val="24"/>
        </w:rPr>
      </w:pPr>
      <w:r w:rsidRPr="00B640C8">
        <w:rPr>
          <w:sz w:val="24"/>
          <w:szCs w:val="24"/>
        </w:rPr>
        <w:t>Overfølsomhed over for det aktive stof eller over for et eller flere af hjælpestofferne anført i pkt. 6.1.</w:t>
      </w:r>
    </w:p>
    <w:p w14:paraId="1DA7EC3F" w14:textId="77777777" w:rsidR="009260DE" w:rsidRPr="00C84483" w:rsidRDefault="009260DE" w:rsidP="009260DE">
      <w:pPr>
        <w:tabs>
          <w:tab w:val="left" w:pos="851"/>
        </w:tabs>
        <w:ind w:left="851"/>
        <w:rPr>
          <w:sz w:val="24"/>
          <w:szCs w:val="24"/>
        </w:rPr>
      </w:pPr>
    </w:p>
    <w:p w14:paraId="4E1EFDCF"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29170CE8" w14:textId="77777777" w:rsidR="00060746" w:rsidRPr="00060746" w:rsidRDefault="00060746" w:rsidP="00060746">
      <w:pPr>
        <w:tabs>
          <w:tab w:val="left" w:pos="851"/>
        </w:tabs>
        <w:ind w:left="851"/>
        <w:rPr>
          <w:sz w:val="24"/>
          <w:szCs w:val="24"/>
        </w:rPr>
      </w:pPr>
    </w:p>
    <w:p w14:paraId="7456DBEC" w14:textId="77777777" w:rsidR="00060746" w:rsidRPr="00060746" w:rsidRDefault="00060746" w:rsidP="00060746">
      <w:pPr>
        <w:tabs>
          <w:tab w:val="left" w:pos="851"/>
        </w:tabs>
        <w:ind w:left="851"/>
        <w:rPr>
          <w:sz w:val="24"/>
          <w:szCs w:val="24"/>
          <w:u w:val="single"/>
        </w:rPr>
      </w:pPr>
      <w:r w:rsidRPr="00060746">
        <w:rPr>
          <w:sz w:val="24"/>
          <w:szCs w:val="24"/>
          <w:u w:val="single"/>
        </w:rPr>
        <w:t>Svære kutane bivirkninger (SCAR’er)</w:t>
      </w:r>
    </w:p>
    <w:p w14:paraId="433FDD0D" w14:textId="77777777" w:rsidR="00060746" w:rsidRPr="00060746" w:rsidRDefault="00060746" w:rsidP="00060746">
      <w:pPr>
        <w:tabs>
          <w:tab w:val="left" w:pos="851"/>
        </w:tabs>
        <w:ind w:left="851"/>
        <w:rPr>
          <w:sz w:val="24"/>
          <w:szCs w:val="24"/>
        </w:rPr>
      </w:pPr>
      <w:r w:rsidRPr="00060746">
        <w:rPr>
          <w:sz w:val="24"/>
          <w:szCs w:val="24"/>
        </w:rPr>
        <w:t>Svære kutane bivirkninger (SCAR), herunder Stevens-Johnsons syndrom (SJS), toksisk epidermal nekrolyse (TEN) og lægemiddelfremkaldt udslæt med eosinofili og systemiske symptomer (DRESS), som kan være livstruende eller fatale, er blevet rapporteret i forbindelse med behandling med gabepentin. Ved ordinering bør patienterne gøres opmærksomme på tegn og symptomer og monitoreres nøje for hudreaktioner. Hvis der opstår tegn og symptomer på sådanne reaktioner, bør gabepentin straks seponeres, og en alternativ behandling bør overvejes (efter skønnet behov).</w:t>
      </w:r>
    </w:p>
    <w:p w14:paraId="0410205B" w14:textId="77777777" w:rsidR="00060746" w:rsidRPr="00060746" w:rsidRDefault="00060746" w:rsidP="00060746">
      <w:pPr>
        <w:tabs>
          <w:tab w:val="left" w:pos="851"/>
        </w:tabs>
        <w:ind w:left="851"/>
        <w:rPr>
          <w:sz w:val="24"/>
          <w:szCs w:val="24"/>
        </w:rPr>
      </w:pPr>
    </w:p>
    <w:p w14:paraId="79B5F45C" w14:textId="77777777" w:rsidR="00060746" w:rsidRPr="00060746" w:rsidRDefault="00060746" w:rsidP="00060746">
      <w:pPr>
        <w:tabs>
          <w:tab w:val="left" w:pos="851"/>
        </w:tabs>
        <w:ind w:left="851"/>
        <w:rPr>
          <w:sz w:val="24"/>
          <w:szCs w:val="24"/>
        </w:rPr>
      </w:pPr>
      <w:r w:rsidRPr="00060746">
        <w:rPr>
          <w:sz w:val="24"/>
          <w:szCs w:val="24"/>
        </w:rPr>
        <w:t>Hvis patienten har udviklet en alvorlig reaktion såsom SJS, TEN eller DRESS med anvendelse af gabapentin, må behandling med gabapentin ikke genstartes på noget tidspunkt hos denne patient.</w:t>
      </w:r>
    </w:p>
    <w:p w14:paraId="546C5B31" w14:textId="77777777" w:rsidR="00060746" w:rsidRPr="00060746" w:rsidRDefault="00060746" w:rsidP="00060746">
      <w:pPr>
        <w:tabs>
          <w:tab w:val="left" w:pos="851"/>
        </w:tabs>
        <w:ind w:left="851"/>
        <w:rPr>
          <w:sz w:val="24"/>
          <w:szCs w:val="24"/>
        </w:rPr>
      </w:pPr>
    </w:p>
    <w:p w14:paraId="5BF344AF" w14:textId="77777777" w:rsidR="00060746" w:rsidRPr="00060746" w:rsidRDefault="00060746" w:rsidP="00060746">
      <w:pPr>
        <w:tabs>
          <w:tab w:val="left" w:pos="851"/>
        </w:tabs>
        <w:ind w:left="851"/>
        <w:rPr>
          <w:sz w:val="24"/>
          <w:szCs w:val="24"/>
          <w:u w:val="single"/>
        </w:rPr>
      </w:pPr>
      <w:r w:rsidRPr="00060746">
        <w:rPr>
          <w:sz w:val="24"/>
          <w:szCs w:val="24"/>
          <w:u w:val="single"/>
        </w:rPr>
        <w:t>Anafylaksi</w:t>
      </w:r>
    </w:p>
    <w:p w14:paraId="1E9EDE45" w14:textId="77777777" w:rsidR="00060746" w:rsidRPr="00060746" w:rsidRDefault="00060746" w:rsidP="00060746">
      <w:pPr>
        <w:tabs>
          <w:tab w:val="left" w:pos="851"/>
        </w:tabs>
        <w:ind w:left="851"/>
        <w:rPr>
          <w:sz w:val="24"/>
          <w:szCs w:val="24"/>
        </w:rPr>
      </w:pPr>
      <w:r w:rsidRPr="00060746">
        <w:rPr>
          <w:sz w:val="24"/>
          <w:szCs w:val="24"/>
        </w:rPr>
        <w:t>Gabapentin kan medføre anafylaksi. De rapporterede tilfælde omfattede symptomer som vejrtrækningsbesvær, opsvulmede læber, hals og tunge samt hypotension, som kræver akut lægebehandling. Patienter bør instrueres i at seponere gabapentin og straks søge læge, hvis de får symptomer på anafylaksi (se pkt. 4.8).</w:t>
      </w:r>
    </w:p>
    <w:p w14:paraId="4FC1B7BC" w14:textId="2D005166" w:rsidR="00060746" w:rsidRDefault="00060746">
      <w:pPr>
        <w:rPr>
          <w:sz w:val="24"/>
          <w:szCs w:val="24"/>
        </w:rPr>
      </w:pPr>
      <w:r>
        <w:rPr>
          <w:sz w:val="24"/>
          <w:szCs w:val="24"/>
        </w:rPr>
        <w:br w:type="page"/>
      </w:r>
    </w:p>
    <w:p w14:paraId="003F90A6" w14:textId="77777777" w:rsidR="00060746" w:rsidRPr="00060746" w:rsidRDefault="00060746" w:rsidP="00060746">
      <w:pPr>
        <w:tabs>
          <w:tab w:val="left" w:pos="851"/>
        </w:tabs>
        <w:ind w:left="851"/>
        <w:rPr>
          <w:sz w:val="24"/>
          <w:szCs w:val="24"/>
        </w:rPr>
      </w:pPr>
    </w:p>
    <w:p w14:paraId="55B289C0" w14:textId="77777777" w:rsidR="00060746" w:rsidRPr="00060746" w:rsidRDefault="00060746" w:rsidP="00060746">
      <w:pPr>
        <w:tabs>
          <w:tab w:val="left" w:pos="851"/>
        </w:tabs>
        <w:ind w:left="851"/>
        <w:rPr>
          <w:sz w:val="24"/>
          <w:szCs w:val="24"/>
          <w:u w:val="single"/>
        </w:rPr>
      </w:pPr>
      <w:r w:rsidRPr="00060746">
        <w:rPr>
          <w:sz w:val="24"/>
          <w:szCs w:val="24"/>
          <w:u w:val="single"/>
        </w:rPr>
        <w:t>Selvmordstanker og -adfærd</w:t>
      </w:r>
    </w:p>
    <w:p w14:paraId="3D5B7E84" w14:textId="77777777" w:rsidR="00060746" w:rsidRPr="00060746" w:rsidRDefault="00060746" w:rsidP="00060746">
      <w:pPr>
        <w:tabs>
          <w:tab w:val="left" w:pos="851"/>
        </w:tabs>
        <w:ind w:left="851"/>
        <w:rPr>
          <w:sz w:val="24"/>
          <w:szCs w:val="24"/>
        </w:rPr>
      </w:pPr>
      <w:r w:rsidRPr="00060746">
        <w:rPr>
          <w:sz w:val="24"/>
          <w:szCs w:val="24"/>
        </w:rPr>
        <w:t xml:space="preserve">Selvmordstanker og -adfærd er rapporteret hos patienter i behandling med antiepileptika ved flere forskellige indikationer. En metaanalyse af randomiserede, placebokontrollerede studier med antiepileptika har også vist en let forøget risiko for selvmordstanker og -adfærd. Mekanismen bag denne risiko er ikke kendt. Tilfælde af selvmordstanker og -adfærd er blevet observeret hos patienter i behandling med gabapentin efter markedsføring (se pkt. 4.8).  </w:t>
      </w:r>
    </w:p>
    <w:p w14:paraId="7A1159C7" w14:textId="77777777" w:rsidR="00060746" w:rsidRPr="00060746" w:rsidRDefault="00060746" w:rsidP="00060746">
      <w:pPr>
        <w:tabs>
          <w:tab w:val="left" w:pos="851"/>
        </w:tabs>
        <w:ind w:left="851"/>
        <w:rPr>
          <w:sz w:val="24"/>
          <w:szCs w:val="24"/>
        </w:rPr>
      </w:pPr>
    </w:p>
    <w:p w14:paraId="06AE209B" w14:textId="77777777" w:rsidR="00060746" w:rsidRPr="00060746" w:rsidRDefault="00060746" w:rsidP="00060746">
      <w:pPr>
        <w:tabs>
          <w:tab w:val="left" w:pos="851"/>
        </w:tabs>
        <w:ind w:left="851"/>
        <w:rPr>
          <w:sz w:val="24"/>
          <w:szCs w:val="24"/>
        </w:rPr>
      </w:pPr>
      <w:r w:rsidRPr="00060746">
        <w:rPr>
          <w:sz w:val="24"/>
          <w:szCs w:val="24"/>
        </w:rPr>
        <w:t>Patienter (og deres omsorgspersoner) bør tilrådes straks at søge læge, hvis der opstår tegn på selvmordstanker og -adfærd. Derfor bør patienterne overvåges for, om de får tegn på selvmordstanker og -adfærd, og passende behandling bør overvejes. Seponering af gabapentin behandling bør overvejes i tilfælde af selvmordstanker og -adfærd.</w:t>
      </w:r>
    </w:p>
    <w:p w14:paraId="612590C8" w14:textId="77777777" w:rsidR="00060746" w:rsidRPr="00060746" w:rsidRDefault="00060746" w:rsidP="00060746">
      <w:pPr>
        <w:tabs>
          <w:tab w:val="left" w:pos="851"/>
        </w:tabs>
        <w:ind w:left="851"/>
        <w:rPr>
          <w:sz w:val="24"/>
          <w:szCs w:val="24"/>
        </w:rPr>
      </w:pPr>
    </w:p>
    <w:p w14:paraId="79302484" w14:textId="77777777" w:rsidR="00060746" w:rsidRPr="00060746" w:rsidRDefault="00060746" w:rsidP="00060746">
      <w:pPr>
        <w:tabs>
          <w:tab w:val="left" w:pos="851"/>
        </w:tabs>
        <w:ind w:left="851"/>
        <w:rPr>
          <w:sz w:val="24"/>
          <w:szCs w:val="24"/>
          <w:u w:val="single"/>
        </w:rPr>
      </w:pPr>
      <w:r w:rsidRPr="00060746">
        <w:rPr>
          <w:sz w:val="24"/>
          <w:szCs w:val="24"/>
          <w:u w:val="single"/>
        </w:rPr>
        <w:t>Akut pancreatitis</w:t>
      </w:r>
    </w:p>
    <w:p w14:paraId="46F5D051" w14:textId="77777777" w:rsidR="00060746" w:rsidRPr="00060746" w:rsidRDefault="00060746" w:rsidP="00060746">
      <w:pPr>
        <w:tabs>
          <w:tab w:val="left" w:pos="851"/>
        </w:tabs>
        <w:ind w:left="851"/>
        <w:rPr>
          <w:sz w:val="24"/>
          <w:szCs w:val="24"/>
        </w:rPr>
      </w:pPr>
      <w:r w:rsidRPr="00060746">
        <w:rPr>
          <w:sz w:val="24"/>
          <w:szCs w:val="24"/>
        </w:rPr>
        <w:t>Hvis en patient udvikler akut pancreatitis under behandling med gabapentin, bør seponering af gabapentin overvejes (se pkt. 4.8).</w:t>
      </w:r>
    </w:p>
    <w:p w14:paraId="5F4590B6" w14:textId="77777777" w:rsidR="00060746" w:rsidRPr="00060746" w:rsidRDefault="00060746" w:rsidP="00060746">
      <w:pPr>
        <w:tabs>
          <w:tab w:val="left" w:pos="851"/>
        </w:tabs>
        <w:ind w:left="851"/>
        <w:rPr>
          <w:sz w:val="24"/>
          <w:szCs w:val="24"/>
        </w:rPr>
      </w:pPr>
    </w:p>
    <w:p w14:paraId="0ACD756E" w14:textId="77777777" w:rsidR="00060746" w:rsidRPr="00060746" w:rsidRDefault="00060746" w:rsidP="00060746">
      <w:pPr>
        <w:tabs>
          <w:tab w:val="left" w:pos="851"/>
        </w:tabs>
        <w:ind w:left="851"/>
        <w:rPr>
          <w:sz w:val="24"/>
          <w:szCs w:val="24"/>
          <w:u w:val="single"/>
        </w:rPr>
      </w:pPr>
      <w:r w:rsidRPr="00060746">
        <w:rPr>
          <w:sz w:val="24"/>
          <w:szCs w:val="24"/>
          <w:u w:val="single"/>
        </w:rPr>
        <w:t>Anfald</w:t>
      </w:r>
    </w:p>
    <w:p w14:paraId="071EB23D" w14:textId="77777777" w:rsidR="00060746" w:rsidRPr="00060746" w:rsidRDefault="00060746" w:rsidP="00060746">
      <w:pPr>
        <w:tabs>
          <w:tab w:val="left" w:pos="851"/>
        </w:tabs>
        <w:ind w:left="851"/>
        <w:rPr>
          <w:sz w:val="24"/>
          <w:szCs w:val="24"/>
        </w:rPr>
      </w:pPr>
      <w:r w:rsidRPr="00060746">
        <w:rPr>
          <w:sz w:val="24"/>
          <w:szCs w:val="24"/>
        </w:rPr>
        <w:t>Selvom der ikke er evidens for rebound anfald med gabapentin, kan pludselig ophør af antiepileptika-behandling hos patienter med epilepsi føre til status epilepticus (se pkt. 4.2).</w:t>
      </w:r>
    </w:p>
    <w:p w14:paraId="3FA88742" w14:textId="77777777" w:rsidR="00060746" w:rsidRPr="00060746" w:rsidRDefault="00060746" w:rsidP="00060746">
      <w:pPr>
        <w:tabs>
          <w:tab w:val="left" w:pos="851"/>
        </w:tabs>
        <w:ind w:left="851"/>
        <w:rPr>
          <w:sz w:val="24"/>
          <w:szCs w:val="24"/>
        </w:rPr>
      </w:pPr>
    </w:p>
    <w:p w14:paraId="3F59B230" w14:textId="77777777" w:rsidR="00060746" w:rsidRPr="00060746" w:rsidRDefault="00060746" w:rsidP="00060746">
      <w:pPr>
        <w:tabs>
          <w:tab w:val="left" w:pos="851"/>
        </w:tabs>
        <w:ind w:left="851"/>
        <w:rPr>
          <w:sz w:val="24"/>
          <w:szCs w:val="24"/>
        </w:rPr>
      </w:pPr>
      <w:r w:rsidRPr="00060746">
        <w:rPr>
          <w:sz w:val="24"/>
          <w:szCs w:val="24"/>
        </w:rPr>
        <w:t>Som for andre antiepileptika kan visse patienter opleve en stigning i antallet af anfald, eller der opstår nye typer af anfald med gabapentin.</w:t>
      </w:r>
    </w:p>
    <w:p w14:paraId="6F15B2A7" w14:textId="77777777" w:rsidR="00060746" w:rsidRPr="00060746" w:rsidRDefault="00060746" w:rsidP="00060746">
      <w:pPr>
        <w:tabs>
          <w:tab w:val="left" w:pos="851"/>
        </w:tabs>
        <w:ind w:left="851"/>
        <w:rPr>
          <w:sz w:val="24"/>
          <w:szCs w:val="24"/>
        </w:rPr>
      </w:pPr>
    </w:p>
    <w:p w14:paraId="2E739AFE" w14:textId="77777777" w:rsidR="00060746" w:rsidRPr="00060746" w:rsidRDefault="00060746" w:rsidP="00060746">
      <w:pPr>
        <w:tabs>
          <w:tab w:val="left" w:pos="851"/>
        </w:tabs>
        <w:ind w:left="851"/>
        <w:rPr>
          <w:sz w:val="24"/>
          <w:szCs w:val="24"/>
        </w:rPr>
      </w:pPr>
      <w:r w:rsidRPr="00060746">
        <w:rPr>
          <w:sz w:val="24"/>
          <w:szCs w:val="24"/>
        </w:rPr>
        <w:t>Som for andre antiepileptika vil forsøg på seponering af andre samtidige antiepileptika hos refraktære patienter, der behandles med mere end et antiepileptikum for at opnå gabapentin monoterapi, have en lav succesrate.</w:t>
      </w:r>
    </w:p>
    <w:p w14:paraId="240DD286" w14:textId="77777777" w:rsidR="00060746" w:rsidRPr="00060746" w:rsidRDefault="00060746" w:rsidP="00060746">
      <w:pPr>
        <w:tabs>
          <w:tab w:val="left" w:pos="851"/>
        </w:tabs>
        <w:ind w:left="851"/>
        <w:rPr>
          <w:sz w:val="24"/>
          <w:szCs w:val="24"/>
        </w:rPr>
      </w:pPr>
    </w:p>
    <w:p w14:paraId="415226C3" w14:textId="77777777" w:rsidR="00060746" w:rsidRPr="00060746" w:rsidRDefault="00060746" w:rsidP="00060746">
      <w:pPr>
        <w:tabs>
          <w:tab w:val="left" w:pos="851"/>
        </w:tabs>
        <w:ind w:left="851"/>
        <w:rPr>
          <w:sz w:val="24"/>
          <w:szCs w:val="24"/>
        </w:rPr>
      </w:pPr>
      <w:r w:rsidRPr="00060746">
        <w:rPr>
          <w:sz w:val="24"/>
          <w:szCs w:val="24"/>
        </w:rPr>
        <w:t>Gabapentin betragtes ikke som effektivt i behandlingen af generaliserede anfald som f.eks. absencer og kan forværre disse anfald hos nogle patienter. Derfor bør gabapentin anvendes med forsigtighed hos patienter med blandede anfaldslidelser, hvori der indgår absencer.</w:t>
      </w:r>
    </w:p>
    <w:p w14:paraId="07A5D6A4" w14:textId="77777777" w:rsidR="00060746" w:rsidRPr="00060746" w:rsidRDefault="00060746" w:rsidP="00060746">
      <w:pPr>
        <w:tabs>
          <w:tab w:val="left" w:pos="851"/>
        </w:tabs>
        <w:ind w:left="851"/>
        <w:rPr>
          <w:sz w:val="24"/>
          <w:szCs w:val="24"/>
        </w:rPr>
      </w:pPr>
    </w:p>
    <w:p w14:paraId="00281637" w14:textId="77777777" w:rsidR="00060746" w:rsidRPr="00060746" w:rsidRDefault="00060746" w:rsidP="00060746">
      <w:pPr>
        <w:tabs>
          <w:tab w:val="left" w:pos="851"/>
        </w:tabs>
        <w:ind w:left="851"/>
        <w:rPr>
          <w:sz w:val="24"/>
          <w:szCs w:val="24"/>
        </w:rPr>
      </w:pPr>
      <w:r w:rsidRPr="00060746">
        <w:rPr>
          <w:sz w:val="24"/>
          <w:szCs w:val="24"/>
        </w:rPr>
        <w:t>Behandling med gabapentin kan være forbundet med svimmelhed og døsighed, hvilket kan øge risikoen for forekomst af utilsigtet skade (faldulykker). Efter markedsføring er der set tilfælde af forvirring, bevidsthedstab samt nedsat mental funktion. Patienter skal derfor rådgives om at udvise forsigtighed, indtil de er bekendt med den potentielle effekt af medicinen.</w:t>
      </w:r>
    </w:p>
    <w:p w14:paraId="1CE8FE25" w14:textId="77777777" w:rsidR="00060746" w:rsidRPr="00060746" w:rsidRDefault="00060746" w:rsidP="00060746">
      <w:pPr>
        <w:tabs>
          <w:tab w:val="left" w:pos="851"/>
        </w:tabs>
        <w:ind w:left="851"/>
        <w:rPr>
          <w:sz w:val="24"/>
          <w:szCs w:val="24"/>
        </w:rPr>
      </w:pPr>
    </w:p>
    <w:p w14:paraId="316A93D5" w14:textId="77777777" w:rsidR="00060746" w:rsidRPr="00060746" w:rsidRDefault="00060746" w:rsidP="00060746">
      <w:pPr>
        <w:tabs>
          <w:tab w:val="left" w:pos="851"/>
        </w:tabs>
        <w:ind w:left="851"/>
        <w:rPr>
          <w:sz w:val="24"/>
          <w:szCs w:val="24"/>
          <w:u w:val="single"/>
        </w:rPr>
      </w:pPr>
      <w:r w:rsidRPr="00060746">
        <w:rPr>
          <w:sz w:val="24"/>
          <w:szCs w:val="24"/>
          <w:u w:val="single"/>
        </w:rPr>
        <w:t>Samtidig behandling med opioider og andre CNS-depressiva</w:t>
      </w:r>
    </w:p>
    <w:p w14:paraId="60B611B1" w14:textId="77777777" w:rsidR="00060746" w:rsidRPr="00060746" w:rsidRDefault="00060746" w:rsidP="00060746">
      <w:pPr>
        <w:tabs>
          <w:tab w:val="left" w:pos="851"/>
        </w:tabs>
        <w:ind w:left="851"/>
        <w:rPr>
          <w:sz w:val="24"/>
          <w:szCs w:val="24"/>
        </w:rPr>
      </w:pPr>
      <w:r w:rsidRPr="00060746">
        <w:rPr>
          <w:sz w:val="24"/>
          <w:szCs w:val="24"/>
        </w:rPr>
        <w:t>Patienter som kræver samtidig behandling med CNS-depressiva, herunder opioider, skal monitoreres for symptomer på CNS-depression, som f.eks. søvnighed, sedation og respirationsbesvær. Patienter, som bruger gabapentin og morphin samtidig, kan have forhøjede gabapentinkoncentrationer. Dosen af gabapentin eller samtidig behandling med CNS-depressiva, herunder opioider, skal reduceres passende (se pkt. 4.5).</w:t>
      </w:r>
    </w:p>
    <w:p w14:paraId="43D19FCC" w14:textId="77777777" w:rsidR="00060746" w:rsidRPr="00060746" w:rsidRDefault="00060746" w:rsidP="00060746">
      <w:pPr>
        <w:tabs>
          <w:tab w:val="left" w:pos="851"/>
        </w:tabs>
        <w:ind w:left="851"/>
        <w:rPr>
          <w:sz w:val="24"/>
          <w:szCs w:val="24"/>
        </w:rPr>
      </w:pPr>
    </w:p>
    <w:p w14:paraId="5BEC2F8C" w14:textId="77777777" w:rsidR="00060746" w:rsidRPr="00060746" w:rsidRDefault="00060746" w:rsidP="00060746">
      <w:pPr>
        <w:tabs>
          <w:tab w:val="left" w:pos="851"/>
        </w:tabs>
        <w:ind w:left="851"/>
        <w:rPr>
          <w:sz w:val="24"/>
          <w:szCs w:val="24"/>
        </w:rPr>
      </w:pPr>
      <w:r w:rsidRPr="00060746">
        <w:rPr>
          <w:sz w:val="24"/>
          <w:szCs w:val="24"/>
        </w:rPr>
        <w:t xml:space="preserve">Det tilrådes at udvise forsigtighed, når der ordineres gabapentin samtidigt med opioider, på grund af risikoen for CNS-depression. I en populationsbaseret, observations-, og inkorporeret case-kontrol undersøgelse af opioidbrugere blev samtidig ordination af opioider og gabapentin forbundet med en forøget risiko for opioidrelaterede dødsfald, </w:t>
      </w:r>
      <w:r w:rsidRPr="00060746">
        <w:rPr>
          <w:sz w:val="24"/>
          <w:szCs w:val="24"/>
        </w:rPr>
        <w:lastRenderedPageBreak/>
        <w:t>sammenlignet med ordination af opioid alene (justeret oddsratio [aOR], 1,49 [95% CI, 1,18 til 1,88, p&lt;0,001]).</w:t>
      </w:r>
    </w:p>
    <w:p w14:paraId="0EE8F0EB" w14:textId="77777777" w:rsidR="00060746" w:rsidRPr="00060746" w:rsidRDefault="00060746" w:rsidP="00060746">
      <w:pPr>
        <w:tabs>
          <w:tab w:val="left" w:pos="851"/>
        </w:tabs>
        <w:ind w:left="851"/>
        <w:rPr>
          <w:sz w:val="24"/>
          <w:szCs w:val="24"/>
        </w:rPr>
      </w:pPr>
    </w:p>
    <w:p w14:paraId="196F1FCB" w14:textId="77777777" w:rsidR="00060746" w:rsidRPr="00060746" w:rsidRDefault="00060746" w:rsidP="00060746">
      <w:pPr>
        <w:tabs>
          <w:tab w:val="left" w:pos="851"/>
        </w:tabs>
        <w:ind w:left="851"/>
        <w:rPr>
          <w:sz w:val="24"/>
          <w:szCs w:val="24"/>
          <w:u w:val="single"/>
        </w:rPr>
      </w:pPr>
      <w:r w:rsidRPr="00060746">
        <w:rPr>
          <w:sz w:val="24"/>
          <w:szCs w:val="24"/>
          <w:u w:val="single"/>
        </w:rPr>
        <w:t>Respirationsdepression</w:t>
      </w:r>
    </w:p>
    <w:p w14:paraId="57237FF8" w14:textId="77777777" w:rsidR="00060746" w:rsidRPr="00060746" w:rsidRDefault="00060746" w:rsidP="00060746">
      <w:pPr>
        <w:tabs>
          <w:tab w:val="left" w:pos="851"/>
        </w:tabs>
        <w:ind w:left="851"/>
        <w:rPr>
          <w:sz w:val="24"/>
          <w:szCs w:val="24"/>
        </w:rPr>
      </w:pPr>
      <w:r w:rsidRPr="00060746">
        <w:rPr>
          <w:sz w:val="24"/>
          <w:szCs w:val="24"/>
        </w:rPr>
        <w:t>Gabapentin har været forbundet med svær respirationsdepression. Patienter med kompromitteret respirationsfunktion, luftvejssygdom eller neurologisk sygdom, nedsat nyrefunktion, sideløbende brug af CNS-depressiva samt ældre kan have forhøjet risiko for denne alvorlige bivirkning. Dosisjustering kan være nødvendig hos sådanne patienter.</w:t>
      </w:r>
    </w:p>
    <w:p w14:paraId="07F1230A" w14:textId="77777777" w:rsidR="00060746" w:rsidRPr="00060746" w:rsidRDefault="00060746" w:rsidP="00060746">
      <w:pPr>
        <w:tabs>
          <w:tab w:val="left" w:pos="851"/>
        </w:tabs>
        <w:ind w:left="851"/>
        <w:rPr>
          <w:sz w:val="24"/>
          <w:szCs w:val="24"/>
        </w:rPr>
      </w:pPr>
    </w:p>
    <w:p w14:paraId="48D9F739" w14:textId="77777777" w:rsidR="00060746" w:rsidRPr="00060746" w:rsidRDefault="00060746" w:rsidP="00060746">
      <w:pPr>
        <w:tabs>
          <w:tab w:val="left" w:pos="851"/>
        </w:tabs>
        <w:ind w:left="851"/>
        <w:rPr>
          <w:sz w:val="24"/>
          <w:szCs w:val="24"/>
          <w:u w:val="single"/>
        </w:rPr>
      </w:pPr>
      <w:r w:rsidRPr="00060746">
        <w:rPr>
          <w:sz w:val="24"/>
          <w:szCs w:val="24"/>
          <w:u w:val="single"/>
        </w:rPr>
        <w:t>Ældre (over 65 år)</w:t>
      </w:r>
    </w:p>
    <w:p w14:paraId="6CEE0F36" w14:textId="77777777" w:rsidR="00060746" w:rsidRPr="00060746" w:rsidRDefault="00060746" w:rsidP="00060746">
      <w:pPr>
        <w:tabs>
          <w:tab w:val="left" w:pos="851"/>
        </w:tabs>
        <w:ind w:left="851"/>
        <w:rPr>
          <w:sz w:val="24"/>
          <w:szCs w:val="24"/>
        </w:rPr>
      </w:pPr>
      <w:r w:rsidRPr="00060746">
        <w:rPr>
          <w:sz w:val="24"/>
          <w:szCs w:val="24"/>
        </w:rPr>
        <w:t>Gabapentin er ikke undersøgt systematisk til behandling af patienter på 65 år eller derover. I en dobbelt-blind undersøgelse hos patienter med neuropatiske smerter forekom søvnighed, perifert ødem og asteni hos en større procentdel af patienterne på 65 år eller derover end hos yngre patienter. Bortset fra disse fund, tyder kliniske studier hos denne aldersgruppe ikke på en bivirkningsprofil, der er forskellig fra den, der er set hos yngre patienter.</w:t>
      </w:r>
    </w:p>
    <w:p w14:paraId="03CA6BBA" w14:textId="77777777" w:rsidR="00060746" w:rsidRPr="00060746" w:rsidRDefault="00060746" w:rsidP="00060746">
      <w:pPr>
        <w:tabs>
          <w:tab w:val="left" w:pos="851"/>
        </w:tabs>
        <w:ind w:left="851"/>
        <w:rPr>
          <w:sz w:val="24"/>
          <w:szCs w:val="24"/>
        </w:rPr>
      </w:pPr>
    </w:p>
    <w:p w14:paraId="079381A3" w14:textId="77777777" w:rsidR="00060746" w:rsidRPr="00060746" w:rsidRDefault="00060746" w:rsidP="00060746">
      <w:pPr>
        <w:tabs>
          <w:tab w:val="left" w:pos="851"/>
        </w:tabs>
        <w:ind w:left="851"/>
        <w:rPr>
          <w:sz w:val="24"/>
          <w:szCs w:val="24"/>
          <w:u w:val="single"/>
        </w:rPr>
      </w:pPr>
      <w:r w:rsidRPr="00060746">
        <w:rPr>
          <w:sz w:val="24"/>
          <w:szCs w:val="24"/>
          <w:u w:val="single"/>
        </w:rPr>
        <w:t>Pædiatriske patienter</w:t>
      </w:r>
    </w:p>
    <w:p w14:paraId="40E0ED22" w14:textId="77777777" w:rsidR="00060746" w:rsidRPr="00060746" w:rsidRDefault="00060746" w:rsidP="00060746">
      <w:pPr>
        <w:tabs>
          <w:tab w:val="left" w:pos="851"/>
        </w:tabs>
        <w:ind w:left="851"/>
        <w:rPr>
          <w:sz w:val="24"/>
          <w:szCs w:val="24"/>
        </w:rPr>
      </w:pPr>
      <w:r w:rsidRPr="00060746">
        <w:rPr>
          <w:sz w:val="24"/>
          <w:szCs w:val="24"/>
        </w:rPr>
        <w:t xml:space="preserve">Effekten af langstidsbehandling (mere end 36 uger) med gabapentin på indlæring, intelligens og udvikling hos børn og unge er ikke tilstrækkeligt undersøgt. Fordelen af forlænget behandling skal derfor opvejes mod den mulige risiko ved en sådan behandling. </w:t>
      </w:r>
    </w:p>
    <w:p w14:paraId="0FF5FD8F" w14:textId="77777777" w:rsidR="00060746" w:rsidRPr="00060746" w:rsidRDefault="00060746" w:rsidP="00060746">
      <w:pPr>
        <w:tabs>
          <w:tab w:val="left" w:pos="851"/>
        </w:tabs>
        <w:ind w:left="851"/>
        <w:rPr>
          <w:sz w:val="24"/>
          <w:szCs w:val="24"/>
        </w:rPr>
      </w:pPr>
    </w:p>
    <w:p w14:paraId="6B0D0002" w14:textId="77777777" w:rsidR="00060746" w:rsidRPr="00060746" w:rsidRDefault="00060746" w:rsidP="00060746">
      <w:pPr>
        <w:tabs>
          <w:tab w:val="left" w:pos="851"/>
        </w:tabs>
        <w:ind w:left="851"/>
        <w:rPr>
          <w:sz w:val="24"/>
          <w:szCs w:val="24"/>
          <w:u w:val="single"/>
        </w:rPr>
      </w:pPr>
      <w:r w:rsidRPr="00060746">
        <w:rPr>
          <w:sz w:val="24"/>
          <w:szCs w:val="24"/>
          <w:u w:val="single"/>
        </w:rPr>
        <w:t>Forkert brug, potentiale for misbrug og afhængighed</w:t>
      </w:r>
    </w:p>
    <w:p w14:paraId="6CC63B3E" w14:textId="77777777" w:rsidR="00060746" w:rsidRPr="00060746" w:rsidRDefault="00060746" w:rsidP="00060746">
      <w:pPr>
        <w:tabs>
          <w:tab w:val="left" w:pos="851"/>
        </w:tabs>
        <w:ind w:left="851"/>
        <w:rPr>
          <w:sz w:val="24"/>
          <w:szCs w:val="24"/>
        </w:rPr>
      </w:pPr>
      <w:r w:rsidRPr="00060746">
        <w:rPr>
          <w:sz w:val="24"/>
          <w:szCs w:val="24"/>
        </w:rPr>
        <w:t>Gabapentin kan medføre stofafhængighed, hvilket kan forekomme ved terapeutiske doser. Tilfælde af misbrug og forkert brug er blevet rapporteret. Patienter, der tidligere har haft et misbrug, kan have en højere risiko for forkert brug, misbrug og afhængighed af gabapentin, og gabapentin skal anvendes med forsigtighed hos sådanne patienter. Før gabapentin ordineres, skal patientens risiko for forkert brug, misbrug eller afhængighed evalueres omhyggeligt.</w:t>
      </w:r>
    </w:p>
    <w:p w14:paraId="0BDBB6BB" w14:textId="77777777" w:rsidR="00060746" w:rsidRPr="00060746" w:rsidRDefault="00060746" w:rsidP="00060746">
      <w:pPr>
        <w:tabs>
          <w:tab w:val="left" w:pos="851"/>
        </w:tabs>
        <w:ind w:left="851"/>
        <w:rPr>
          <w:sz w:val="24"/>
          <w:szCs w:val="24"/>
        </w:rPr>
      </w:pPr>
    </w:p>
    <w:p w14:paraId="06FDEB7E" w14:textId="77777777" w:rsidR="00060746" w:rsidRPr="00060746" w:rsidRDefault="00060746" w:rsidP="00060746">
      <w:pPr>
        <w:tabs>
          <w:tab w:val="left" w:pos="851"/>
        </w:tabs>
        <w:ind w:left="851"/>
        <w:rPr>
          <w:sz w:val="24"/>
          <w:szCs w:val="24"/>
        </w:rPr>
      </w:pPr>
      <w:r w:rsidRPr="00060746">
        <w:rPr>
          <w:sz w:val="24"/>
          <w:szCs w:val="24"/>
        </w:rPr>
        <w:t xml:space="preserve">Patienter, der behandles med gabapentin, skal overvåges for tegn og symptomer på forkert brug, misbrug eller afhængighed såsom udvikling af toleranse, dosisøgning og stofsøgende adfærd.  </w:t>
      </w:r>
    </w:p>
    <w:p w14:paraId="56400628" w14:textId="77777777" w:rsidR="00060746" w:rsidRPr="00060746" w:rsidRDefault="00060746" w:rsidP="00060746">
      <w:pPr>
        <w:tabs>
          <w:tab w:val="left" w:pos="851"/>
        </w:tabs>
        <w:ind w:left="851"/>
        <w:rPr>
          <w:sz w:val="24"/>
          <w:szCs w:val="24"/>
        </w:rPr>
      </w:pPr>
    </w:p>
    <w:p w14:paraId="71390E03" w14:textId="77777777" w:rsidR="00060746" w:rsidRPr="00060746" w:rsidRDefault="00060746" w:rsidP="00060746">
      <w:pPr>
        <w:tabs>
          <w:tab w:val="left" w:pos="851"/>
        </w:tabs>
        <w:ind w:left="851"/>
        <w:rPr>
          <w:sz w:val="24"/>
          <w:szCs w:val="24"/>
          <w:u w:val="single"/>
        </w:rPr>
      </w:pPr>
      <w:r w:rsidRPr="00060746">
        <w:rPr>
          <w:sz w:val="24"/>
          <w:szCs w:val="24"/>
          <w:u w:val="single"/>
        </w:rPr>
        <w:t>Seponeringssymptomer</w:t>
      </w:r>
    </w:p>
    <w:p w14:paraId="34DB6EFE" w14:textId="77777777" w:rsidR="00060746" w:rsidRPr="00060746" w:rsidRDefault="00060746" w:rsidP="00060746">
      <w:pPr>
        <w:tabs>
          <w:tab w:val="left" w:pos="851"/>
        </w:tabs>
        <w:ind w:left="851"/>
        <w:rPr>
          <w:sz w:val="24"/>
          <w:szCs w:val="24"/>
        </w:rPr>
      </w:pPr>
      <w:r w:rsidRPr="00060746">
        <w:rPr>
          <w:sz w:val="24"/>
          <w:szCs w:val="24"/>
        </w:rPr>
        <w:t>Efter seponering af korttidsbehandling og langtidsbehandling med gabapentin er der set seponeringssymptomer. Seponeringssymptomer kan forekomme kort tid efter seponering, som regel inden for 48 timer. De hyppigst rapporterede symptomer omfatter angst, søvnløshed, kvalme, smerter, svedtendens, tremor, hovedpine, depression, at føle sig unormal, svimmelhed og utilpashed. Forekomsten af abstinenssymptomer efter seponering af gabapentin kan indikere lægemiddelafhængighed (se pkt. 4.8). Patienten bør informeres om dette ved behandlingens start. Hvis gabapentin seponeres, anbefales det, at dette sket gradvist over mindst 1 uge uden hensyn til indikationen (se pkt. 4.2).</w:t>
      </w:r>
    </w:p>
    <w:p w14:paraId="613DE14F" w14:textId="77777777" w:rsidR="00060746" w:rsidRPr="00060746" w:rsidRDefault="00060746" w:rsidP="00060746">
      <w:pPr>
        <w:tabs>
          <w:tab w:val="left" w:pos="851"/>
        </w:tabs>
        <w:ind w:left="851"/>
        <w:rPr>
          <w:sz w:val="24"/>
          <w:szCs w:val="24"/>
        </w:rPr>
      </w:pPr>
    </w:p>
    <w:p w14:paraId="1DF98824" w14:textId="77777777" w:rsidR="00060746" w:rsidRPr="00060746" w:rsidRDefault="00060746" w:rsidP="00060746">
      <w:pPr>
        <w:tabs>
          <w:tab w:val="left" w:pos="851"/>
        </w:tabs>
        <w:ind w:left="851"/>
        <w:rPr>
          <w:sz w:val="24"/>
          <w:szCs w:val="24"/>
          <w:u w:val="single"/>
        </w:rPr>
      </w:pPr>
      <w:r w:rsidRPr="00060746">
        <w:rPr>
          <w:sz w:val="24"/>
          <w:szCs w:val="24"/>
          <w:u w:val="single"/>
        </w:rPr>
        <w:t>Laboratorieundersøgelser</w:t>
      </w:r>
    </w:p>
    <w:p w14:paraId="08E88AE6" w14:textId="77777777" w:rsidR="00060746" w:rsidRPr="00060746" w:rsidRDefault="00060746" w:rsidP="00060746">
      <w:pPr>
        <w:tabs>
          <w:tab w:val="left" w:pos="851"/>
        </w:tabs>
        <w:ind w:left="851"/>
        <w:rPr>
          <w:sz w:val="24"/>
          <w:szCs w:val="24"/>
        </w:rPr>
      </w:pPr>
      <w:r w:rsidRPr="00060746">
        <w:rPr>
          <w:sz w:val="24"/>
          <w:szCs w:val="24"/>
        </w:rPr>
        <w:t>Falsk positive resultater kan opnås ved den semikvantitative bestemmelse af det totale urinprotein ved dipstick-test. Det anbefales at verificere et sådant testresultat ved at anvende metoder, der er baseret på et andet analytisk princip som f.eks. Biuret-metoden, turbidimetri eller farvestofbindingsmetoder eller at anvende disse alternative metoder fra starten.</w:t>
      </w:r>
    </w:p>
    <w:p w14:paraId="5C254769" w14:textId="77777777" w:rsidR="00060746" w:rsidRPr="00060746" w:rsidRDefault="00060746" w:rsidP="00060746">
      <w:pPr>
        <w:tabs>
          <w:tab w:val="left" w:pos="851"/>
        </w:tabs>
        <w:ind w:left="851"/>
        <w:rPr>
          <w:sz w:val="24"/>
          <w:szCs w:val="24"/>
        </w:rPr>
      </w:pPr>
    </w:p>
    <w:p w14:paraId="1D316748" w14:textId="77777777" w:rsidR="00060746" w:rsidRPr="00060746" w:rsidRDefault="00060746" w:rsidP="00060746">
      <w:pPr>
        <w:tabs>
          <w:tab w:val="left" w:pos="851"/>
        </w:tabs>
        <w:ind w:left="851"/>
        <w:rPr>
          <w:sz w:val="24"/>
          <w:szCs w:val="24"/>
          <w:u w:val="single"/>
        </w:rPr>
      </w:pPr>
      <w:r w:rsidRPr="00060746">
        <w:rPr>
          <w:sz w:val="24"/>
          <w:szCs w:val="24"/>
          <w:u w:val="single"/>
        </w:rPr>
        <w:lastRenderedPageBreak/>
        <w:t>Hjælpestoffer med kendt virkning</w:t>
      </w:r>
    </w:p>
    <w:p w14:paraId="1893BB96" w14:textId="0B0AA017" w:rsidR="00060746" w:rsidRDefault="00060746" w:rsidP="00060746">
      <w:pPr>
        <w:tabs>
          <w:tab w:val="left" w:pos="851"/>
        </w:tabs>
        <w:ind w:left="851"/>
        <w:rPr>
          <w:b/>
          <w:bCs/>
          <w:sz w:val="24"/>
          <w:szCs w:val="24"/>
        </w:rPr>
      </w:pPr>
    </w:p>
    <w:p w14:paraId="31AC3D4A" w14:textId="3EB6741F" w:rsidR="00060746" w:rsidRPr="00060746" w:rsidRDefault="00060746" w:rsidP="00060746">
      <w:pPr>
        <w:tabs>
          <w:tab w:val="left" w:pos="851"/>
        </w:tabs>
        <w:ind w:left="851"/>
        <w:rPr>
          <w:bCs/>
          <w:i/>
          <w:sz w:val="24"/>
          <w:szCs w:val="24"/>
        </w:rPr>
      </w:pPr>
      <w:r>
        <w:rPr>
          <w:bCs/>
          <w:i/>
          <w:sz w:val="24"/>
          <w:szCs w:val="24"/>
        </w:rPr>
        <w:t>N</w:t>
      </w:r>
      <w:r w:rsidRPr="00060746">
        <w:rPr>
          <w:bCs/>
          <w:i/>
          <w:sz w:val="24"/>
          <w:szCs w:val="24"/>
        </w:rPr>
        <w:t>atriummethylparahydroxybenzoat og natriumpropylparahydroxybenzoat</w:t>
      </w:r>
    </w:p>
    <w:p w14:paraId="0B53EA5C" w14:textId="070E03E7" w:rsidR="00060746" w:rsidRPr="00060746" w:rsidRDefault="00060746" w:rsidP="00060746">
      <w:pPr>
        <w:tabs>
          <w:tab w:val="left" w:pos="851"/>
        </w:tabs>
        <w:ind w:left="851"/>
        <w:rPr>
          <w:bCs/>
          <w:sz w:val="24"/>
          <w:szCs w:val="24"/>
        </w:rPr>
      </w:pPr>
      <w:r w:rsidRPr="00060746">
        <w:rPr>
          <w:bCs/>
          <w:sz w:val="24"/>
          <w:szCs w:val="24"/>
        </w:rPr>
        <w:t>Dette lægemiddel indeholder natriummethylparahydroxybenzoat og natriumpropylparahydroxybenzoat, som kan give allergiske reaktioner (kan optræde efter</w:t>
      </w:r>
    </w:p>
    <w:p w14:paraId="2D527D8D" w14:textId="77777777" w:rsidR="00060746" w:rsidRPr="00060746" w:rsidRDefault="00060746" w:rsidP="00060746">
      <w:pPr>
        <w:tabs>
          <w:tab w:val="left" w:pos="851"/>
        </w:tabs>
        <w:ind w:left="851"/>
        <w:rPr>
          <w:bCs/>
          <w:sz w:val="24"/>
          <w:szCs w:val="24"/>
        </w:rPr>
      </w:pPr>
      <w:r w:rsidRPr="00060746">
        <w:rPr>
          <w:bCs/>
          <w:sz w:val="24"/>
          <w:szCs w:val="24"/>
        </w:rPr>
        <w:t>behandlingen).</w:t>
      </w:r>
    </w:p>
    <w:p w14:paraId="50A7518E" w14:textId="77777777" w:rsidR="00060746" w:rsidRPr="00060746" w:rsidRDefault="00060746" w:rsidP="00060746">
      <w:pPr>
        <w:tabs>
          <w:tab w:val="left" w:pos="851"/>
        </w:tabs>
        <w:ind w:left="851"/>
        <w:rPr>
          <w:sz w:val="24"/>
          <w:szCs w:val="24"/>
        </w:rPr>
      </w:pPr>
    </w:p>
    <w:p w14:paraId="5CF9ADF4" w14:textId="77777777" w:rsidR="00060746" w:rsidRPr="00060746" w:rsidRDefault="00060746" w:rsidP="00060746">
      <w:pPr>
        <w:tabs>
          <w:tab w:val="left" w:pos="851"/>
        </w:tabs>
        <w:ind w:left="851"/>
        <w:rPr>
          <w:i/>
          <w:sz w:val="24"/>
          <w:szCs w:val="24"/>
        </w:rPr>
      </w:pPr>
      <w:r w:rsidRPr="00060746">
        <w:rPr>
          <w:bCs/>
          <w:i/>
          <w:sz w:val="24"/>
          <w:szCs w:val="24"/>
        </w:rPr>
        <w:t>Propylenglycol</w:t>
      </w:r>
    </w:p>
    <w:p w14:paraId="3DF08B6E" w14:textId="41546028" w:rsidR="00060746" w:rsidRPr="00060746" w:rsidRDefault="00060746" w:rsidP="00060746">
      <w:pPr>
        <w:tabs>
          <w:tab w:val="left" w:pos="851"/>
        </w:tabs>
        <w:ind w:left="851"/>
        <w:rPr>
          <w:sz w:val="24"/>
          <w:szCs w:val="24"/>
        </w:rPr>
      </w:pPr>
      <w:r w:rsidRPr="00060746">
        <w:rPr>
          <w:sz w:val="24"/>
          <w:szCs w:val="24"/>
        </w:rPr>
        <w:t>Dette lægemiddel indeholder 43 mg propylenglycol pr. 1 ml oral opløsning.</w:t>
      </w:r>
    </w:p>
    <w:p w14:paraId="5021C271" w14:textId="77777777" w:rsidR="00060746" w:rsidRPr="00060746" w:rsidRDefault="00060746" w:rsidP="00060746">
      <w:pPr>
        <w:tabs>
          <w:tab w:val="left" w:pos="851"/>
        </w:tabs>
        <w:ind w:left="851"/>
        <w:rPr>
          <w:sz w:val="24"/>
          <w:szCs w:val="24"/>
        </w:rPr>
      </w:pPr>
      <w:r w:rsidRPr="00060746">
        <w:rPr>
          <w:sz w:val="24"/>
          <w:szCs w:val="24"/>
        </w:rPr>
        <w:t>Selvom propylenglycol ikke har påvist reproduktionstoksicitet eller skadelige virkninger på dyr eller mennesker, kan det optages i fosteret og er blevet fundet i brystmælken. Som følge heraf bør administration af propylenglycol til gravide eller ammende kvinder overvejes fra sag til sag.</w:t>
      </w:r>
    </w:p>
    <w:p w14:paraId="3A2D4DD4" w14:textId="77777777" w:rsidR="00060746" w:rsidRPr="00060746" w:rsidRDefault="00060746" w:rsidP="00060746">
      <w:pPr>
        <w:tabs>
          <w:tab w:val="left" w:pos="851"/>
        </w:tabs>
        <w:ind w:left="851"/>
        <w:rPr>
          <w:sz w:val="24"/>
          <w:szCs w:val="24"/>
        </w:rPr>
      </w:pPr>
      <w:r w:rsidRPr="00060746">
        <w:rPr>
          <w:sz w:val="24"/>
          <w:szCs w:val="24"/>
        </w:rPr>
        <w:t>Monitorering er påkrævet hos patienter med nedsat nyre- eller leverfunktion, fordi der er rapporteret adskillige bivirkninger, der skyldes propylenglycol, såsom renal dysfunktion (akut tubulær nekrose), akut nyresvigt og nedsat nyreleverfunktion.</w:t>
      </w:r>
    </w:p>
    <w:p w14:paraId="770FA39E" w14:textId="77777777" w:rsidR="00060746" w:rsidRPr="00060746" w:rsidRDefault="00060746" w:rsidP="00060746">
      <w:pPr>
        <w:tabs>
          <w:tab w:val="left" w:pos="851"/>
        </w:tabs>
        <w:ind w:left="851"/>
        <w:rPr>
          <w:sz w:val="24"/>
          <w:szCs w:val="24"/>
        </w:rPr>
      </w:pPr>
      <w:r w:rsidRPr="00060746">
        <w:rPr>
          <w:sz w:val="24"/>
          <w:szCs w:val="24"/>
        </w:rPr>
        <w:t>Samtidig administration med substrater til alkoholdehydrogenase, såsom ethanol, kan fremkalde alvorlige bivirkninger hos nyfødte.</w:t>
      </w:r>
    </w:p>
    <w:p w14:paraId="2E04C9ED" w14:textId="77777777" w:rsidR="00060746" w:rsidRPr="00060746" w:rsidRDefault="00060746" w:rsidP="00060746">
      <w:pPr>
        <w:tabs>
          <w:tab w:val="left" w:pos="851"/>
        </w:tabs>
        <w:ind w:left="851"/>
        <w:rPr>
          <w:sz w:val="24"/>
          <w:szCs w:val="24"/>
        </w:rPr>
      </w:pPr>
    </w:p>
    <w:p w14:paraId="0B72DCB6" w14:textId="77777777" w:rsidR="00060746" w:rsidRPr="00060746" w:rsidRDefault="00060746" w:rsidP="00060746">
      <w:pPr>
        <w:tabs>
          <w:tab w:val="left" w:pos="851"/>
        </w:tabs>
        <w:ind w:left="851"/>
        <w:rPr>
          <w:i/>
          <w:sz w:val="24"/>
          <w:szCs w:val="24"/>
        </w:rPr>
      </w:pPr>
      <w:r w:rsidRPr="00060746">
        <w:rPr>
          <w:bCs/>
          <w:i/>
          <w:sz w:val="24"/>
          <w:szCs w:val="24"/>
        </w:rPr>
        <w:t>Benzylalkohol</w:t>
      </w:r>
    </w:p>
    <w:p w14:paraId="08C367BC" w14:textId="5EF5816B" w:rsidR="00060746" w:rsidRPr="00060746" w:rsidRDefault="00060746" w:rsidP="00060746">
      <w:pPr>
        <w:tabs>
          <w:tab w:val="left" w:pos="851"/>
        </w:tabs>
        <w:ind w:left="851"/>
        <w:rPr>
          <w:sz w:val="24"/>
          <w:szCs w:val="24"/>
        </w:rPr>
      </w:pPr>
      <w:r w:rsidRPr="00060746">
        <w:rPr>
          <w:sz w:val="24"/>
          <w:szCs w:val="24"/>
        </w:rPr>
        <w:t xml:space="preserve">Dette lægemiddel indeholder 0,08 mg benzylalkohol pr. 1 ml oral opløsning. </w:t>
      </w:r>
    </w:p>
    <w:p w14:paraId="4B6F5A95" w14:textId="77777777" w:rsidR="00060746" w:rsidRPr="00060746" w:rsidRDefault="00060746" w:rsidP="00060746">
      <w:pPr>
        <w:tabs>
          <w:tab w:val="left" w:pos="851"/>
        </w:tabs>
        <w:ind w:left="851"/>
        <w:rPr>
          <w:sz w:val="24"/>
          <w:szCs w:val="24"/>
        </w:rPr>
      </w:pPr>
      <w:r w:rsidRPr="00060746">
        <w:rPr>
          <w:sz w:val="24"/>
          <w:szCs w:val="24"/>
        </w:rPr>
        <w:t xml:space="preserve">Benzylalkohol kan medføre allergiske reaktioner. </w:t>
      </w:r>
    </w:p>
    <w:p w14:paraId="09F2E451" w14:textId="77777777" w:rsidR="00060746" w:rsidRPr="00060746" w:rsidRDefault="00060746" w:rsidP="00060746">
      <w:pPr>
        <w:tabs>
          <w:tab w:val="left" w:pos="851"/>
        </w:tabs>
        <w:ind w:left="851"/>
        <w:rPr>
          <w:sz w:val="24"/>
          <w:szCs w:val="24"/>
        </w:rPr>
      </w:pPr>
      <w:r w:rsidRPr="00060746">
        <w:rPr>
          <w:sz w:val="24"/>
          <w:szCs w:val="24"/>
        </w:rPr>
        <w:t xml:space="preserve">Benzylalkohol er forbundet med risiko for alvorlige bivirkninger inklusive åndedrætsbesvær (kaldet ”gasping syndrome”) hos små børn. </w:t>
      </w:r>
    </w:p>
    <w:p w14:paraId="462DB744" w14:textId="77777777" w:rsidR="00060746" w:rsidRPr="00060746" w:rsidRDefault="00060746" w:rsidP="00060746">
      <w:pPr>
        <w:tabs>
          <w:tab w:val="left" w:pos="851"/>
        </w:tabs>
        <w:ind w:left="851"/>
        <w:rPr>
          <w:sz w:val="24"/>
          <w:szCs w:val="24"/>
        </w:rPr>
      </w:pPr>
      <w:r w:rsidRPr="00060746">
        <w:rPr>
          <w:sz w:val="24"/>
          <w:szCs w:val="24"/>
        </w:rPr>
        <w:t>Store mængder bør anvendes med forsigtighed og kun hvis nødvendigt, især hos personer med nedsat lever eller nedsat nyrefunktion og under graviditet og amning på grund af risikoen for ophobning og toksicitet (metabolisk acidose).</w:t>
      </w:r>
    </w:p>
    <w:p w14:paraId="62DC7C40" w14:textId="0DB448CC" w:rsidR="00060746" w:rsidRDefault="00060746" w:rsidP="00060746">
      <w:pPr>
        <w:tabs>
          <w:tab w:val="left" w:pos="851"/>
        </w:tabs>
        <w:ind w:left="851"/>
        <w:rPr>
          <w:sz w:val="24"/>
          <w:szCs w:val="24"/>
        </w:rPr>
      </w:pPr>
    </w:p>
    <w:p w14:paraId="58595FCC" w14:textId="1674023B" w:rsidR="007C3F7A" w:rsidRPr="007C3F7A" w:rsidRDefault="007C3F7A" w:rsidP="00060746">
      <w:pPr>
        <w:tabs>
          <w:tab w:val="left" w:pos="851"/>
        </w:tabs>
        <w:ind w:left="851"/>
        <w:rPr>
          <w:i/>
          <w:sz w:val="24"/>
          <w:szCs w:val="24"/>
        </w:rPr>
      </w:pPr>
      <w:r w:rsidRPr="007C3F7A">
        <w:rPr>
          <w:i/>
          <w:sz w:val="24"/>
          <w:szCs w:val="24"/>
        </w:rPr>
        <w:t>Natrium</w:t>
      </w:r>
    </w:p>
    <w:p w14:paraId="3F978734" w14:textId="77777777" w:rsidR="00060746" w:rsidRPr="00060746" w:rsidRDefault="00060746" w:rsidP="00060746">
      <w:pPr>
        <w:tabs>
          <w:tab w:val="left" w:pos="851"/>
        </w:tabs>
        <w:ind w:left="851"/>
        <w:rPr>
          <w:sz w:val="24"/>
          <w:szCs w:val="24"/>
        </w:rPr>
      </w:pPr>
      <w:r w:rsidRPr="00060746">
        <w:rPr>
          <w:sz w:val="24"/>
          <w:szCs w:val="24"/>
        </w:rPr>
        <w:t>Dette lægemiddel indeholder mindre end 1 mmol (23 mg) natrium pr. 24 ml oral opløsning, dvs. det er i det væsentlige natriumfrit.</w:t>
      </w:r>
    </w:p>
    <w:p w14:paraId="7832EDEC" w14:textId="77777777" w:rsidR="009260DE" w:rsidRPr="00C84483" w:rsidRDefault="009260DE" w:rsidP="009260DE">
      <w:pPr>
        <w:tabs>
          <w:tab w:val="left" w:pos="851"/>
        </w:tabs>
        <w:ind w:left="851"/>
        <w:rPr>
          <w:sz w:val="24"/>
          <w:szCs w:val="24"/>
        </w:rPr>
      </w:pPr>
    </w:p>
    <w:p w14:paraId="54DE651A"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5E3F394F" w14:textId="77777777" w:rsidR="001A5873" w:rsidRPr="001A5873" w:rsidRDefault="001A5873" w:rsidP="001A5873">
      <w:pPr>
        <w:tabs>
          <w:tab w:val="left" w:pos="851"/>
        </w:tabs>
        <w:ind w:left="851"/>
        <w:rPr>
          <w:sz w:val="24"/>
          <w:szCs w:val="24"/>
        </w:rPr>
      </w:pPr>
      <w:r w:rsidRPr="001A5873">
        <w:rPr>
          <w:sz w:val="24"/>
          <w:szCs w:val="24"/>
        </w:rPr>
        <w:t>Respirationsbesvær, sedation og død associeret med gabapentin er blevet rapporteret spontant og i litteraturen ved samtidig administration af CNS depressiva, heunder opioider. I nogle af disse rapporter er forfatterne bekymret over kombinationen af gabapentin og opioider specielt hos skrøbelige patienter, ældre, patienter med alvorlige underliggende respiratoriske sygdomme, ved polyfarmaci samt hos personer med stofmisbrug.</w:t>
      </w:r>
    </w:p>
    <w:p w14:paraId="3A8681DD" w14:textId="77777777" w:rsidR="001A5873" w:rsidRPr="001A5873" w:rsidRDefault="001A5873" w:rsidP="001A5873">
      <w:pPr>
        <w:tabs>
          <w:tab w:val="left" w:pos="851"/>
        </w:tabs>
        <w:ind w:left="851"/>
        <w:rPr>
          <w:sz w:val="24"/>
          <w:szCs w:val="24"/>
        </w:rPr>
      </w:pPr>
    </w:p>
    <w:p w14:paraId="5530CB62" w14:textId="77777777" w:rsidR="001A5873" w:rsidRPr="001A5873" w:rsidRDefault="001A5873" w:rsidP="001A5873">
      <w:pPr>
        <w:tabs>
          <w:tab w:val="left" w:pos="851"/>
        </w:tabs>
        <w:ind w:left="851"/>
        <w:rPr>
          <w:sz w:val="24"/>
          <w:szCs w:val="24"/>
        </w:rPr>
      </w:pPr>
      <w:r w:rsidRPr="001A5873">
        <w:rPr>
          <w:sz w:val="24"/>
          <w:szCs w:val="24"/>
        </w:rPr>
        <w:t>I et klinisk studie med raske frivillige (N=12), der fik 60 mg morphin depotkapsler 2 timer før en 600 mg gabapentin kapsel, steg det gennemsnitlige AUC for gabapentin med 44% sammenlignet med gabapentin uden morphin. Derfor bør patienter, der kræver samtidig behandling med opioider omhyggeligt observeres for tegn på CNS-depression, som f.eks. søvnighed, sedation og åndedrætsbesvær og dosis af gabapentin eller opioid bør reduceres på passende vis.</w:t>
      </w:r>
    </w:p>
    <w:p w14:paraId="4BF74F1C" w14:textId="77777777" w:rsidR="001A5873" w:rsidRPr="001A5873" w:rsidRDefault="001A5873" w:rsidP="001A5873">
      <w:pPr>
        <w:tabs>
          <w:tab w:val="left" w:pos="851"/>
        </w:tabs>
        <w:ind w:left="851"/>
        <w:rPr>
          <w:sz w:val="24"/>
          <w:szCs w:val="24"/>
        </w:rPr>
      </w:pPr>
    </w:p>
    <w:p w14:paraId="69A2BD36" w14:textId="77777777" w:rsidR="001A5873" w:rsidRPr="001A5873" w:rsidRDefault="001A5873" w:rsidP="001A5873">
      <w:pPr>
        <w:tabs>
          <w:tab w:val="left" w:pos="851"/>
        </w:tabs>
        <w:ind w:left="851"/>
        <w:rPr>
          <w:sz w:val="24"/>
          <w:szCs w:val="24"/>
        </w:rPr>
      </w:pPr>
      <w:r w:rsidRPr="001A5873">
        <w:rPr>
          <w:sz w:val="24"/>
          <w:szCs w:val="24"/>
        </w:rPr>
        <w:t>Der er ikke set interaktion mellem gabapentin og phenobarbital, phenytoin, valproat eller carbamazepin.</w:t>
      </w:r>
    </w:p>
    <w:p w14:paraId="2341AADE" w14:textId="77777777" w:rsidR="001A5873" w:rsidRPr="001A5873" w:rsidRDefault="001A5873" w:rsidP="001A5873">
      <w:pPr>
        <w:tabs>
          <w:tab w:val="left" w:pos="851"/>
        </w:tabs>
        <w:ind w:left="851"/>
        <w:rPr>
          <w:sz w:val="24"/>
          <w:szCs w:val="24"/>
        </w:rPr>
      </w:pPr>
    </w:p>
    <w:p w14:paraId="2944CFDB" w14:textId="77777777" w:rsidR="001A5873" w:rsidRPr="001A5873" w:rsidRDefault="001A5873" w:rsidP="001A5873">
      <w:pPr>
        <w:tabs>
          <w:tab w:val="left" w:pos="851"/>
        </w:tabs>
        <w:ind w:left="851"/>
        <w:rPr>
          <w:sz w:val="24"/>
          <w:szCs w:val="24"/>
        </w:rPr>
      </w:pPr>
      <w:r w:rsidRPr="001A5873">
        <w:rPr>
          <w:sz w:val="24"/>
          <w:szCs w:val="24"/>
        </w:rPr>
        <w:t xml:space="preserve">Gabapentins </w:t>
      </w:r>
      <w:r w:rsidRPr="001A5873">
        <w:rPr>
          <w:i/>
          <w:sz w:val="24"/>
          <w:szCs w:val="24"/>
        </w:rPr>
        <w:t>steady-state</w:t>
      </w:r>
      <w:r w:rsidRPr="001A5873">
        <w:rPr>
          <w:sz w:val="24"/>
          <w:szCs w:val="24"/>
        </w:rPr>
        <w:t xml:space="preserve"> farmakokinetik hos patienter med epilepsi i behandling med disse antiepileptika afviger ikke fra farmakokinetikken hos raske personer.</w:t>
      </w:r>
    </w:p>
    <w:p w14:paraId="4FE6C9CB" w14:textId="77777777" w:rsidR="001A5873" w:rsidRPr="001A5873" w:rsidRDefault="001A5873" w:rsidP="001A5873">
      <w:pPr>
        <w:tabs>
          <w:tab w:val="left" w:pos="851"/>
        </w:tabs>
        <w:ind w:left="851"/>
        <w:rPr>
          <w:sz w:val="24"/>
          <w:szCs w:val="24"/>
        </w:rPr>
      </w:pPr>
    </w:p>
    <w:p w14:paraId="63D8444A" w14:textId="77777777" w:rsidR="001A5873" w:rsidRPr="001A5873" w:rsidRDefault="001A5873" w:rsidP="001A5873">
      <w:pPr>
        <w:tabs>
          <w:tab w:val="left" w:pos="851"/>
        </w:tabs>
        <w:ind w:left="851"/>
        <w:rPr>
          <w:sz w:val="24"/>
          <w:szCs w:val="24"/>
        </w:rPr>
      </w:pPr>
      <w:r w:rsidRPr="001A5873">
        <w:rPr>
          <w:sz w:val="24"/>
          <w:szCs w:val="24"/>
        </w:rPr>
        <w:t xml:space="preserve">Samtidig administration af gabapentin og orale kontraceptiva, der indeholder norethindron og/eller ethinyl østradiol, påvirker ikke disse stoffers </w:t>
      </w:r>
      <w:r w:rsidRPr="001A5873">
        <w:rPr>
          <w:i/>
          <w:sz w:val="24"/>
          <w:szCs w:val="24"/>
        </w:rPr>
        <w:t>steady-state</w:t>
      </w:r>
      <w:r w:rsidRPr="001A5873">
        <w:rPr>
          <w:sz w:val="24"/>
          <w:szCs w:val="24"/>
        </w:rPr>
        <w:t xml:space="preserve"> farmakokinetik.</w:t>
      </w:r>
    </w:p>
    <w:p w14:paraId="7AC0B906" w14:textId="77777777" w:rsidR="001A5873" w:rsidRPr="001A5873" w:rsidRDefault="001A5873" w:rsidP="001A5873">
      <w:pPr>
        <w:tabs>
          <w:tab w:val="left" w:pos="851"/>
        </w:tabs>
        <w:ind w:left="851"/>
        <w:rPr>
          <w:sz w:val="24"/>
          <w:szCs w:val="24"/>
        </w:rPr>
      </w:pPr>
    </w:p>
    <w:p w14:paraId="4E871BD5" w14:textId="77777777" w:rsidR="001A5873" w:rsidRPr="001A5873" w:rsidRDefault="001A5873" w:rsidP="001A5873">
      <w:pPr>
        <w:tabs>
          <w:tab w:val="left" w:pos="851"/>
        </w:tabs>
        <w:ind w:left="851"/>
        <w:rPr>
          <w:sz w:val="24"/>
          <w:szCs w:val="24"/>
        </w:rPr>
      </w:pPr>
      <w:r w:rsidRPr="001A5873">
        <w:rPr>
          <w:sz w:val="24"/>
          <w:szCs w:val="24"/>
        </w:rPr>
        <w:t>Samtidig administration af gabapentin og antacida, der indeholder aluminium og magnesium, nedsætter gabapentins biotilgængelighed med op til 24%. Det anbefales, at gabapentin indtages ca. 2 timer efter administration af antacida.</w:t>
      </w:r>
    </w:p>
    <w:p w14:paraId="30438F93" w14:textId="77777777" w:rsidR="001A5873" w:rsidRPr="001A5873" w:rsidRDefault="001A5873" w:rsidP="001A5873">
      <w:pPr>
        <w:tabs>
          <w:tab w:val="left" w:pos="851"/>
        </w:tabs>
        <w:ind w:left="851"/>
        <w:rPr>
          <w:sz w:val="24"/>
          <w:szCs w:val="24"/>
        </w:rPr>
      </w:pPr>
    </w:p>
    <w:p w14:paraId="2AE7C209" w14:textId="77777777" w:rsidR="001A5873" w:rsidRPr="001A5873" w:rsidRDefault="001A5873" w:rsidP="001A5873">
      <w:pPr>
        <w:tabs>
          <w:tab w:val="left" w:pos="851"/>
        </w:tabs>
        <w:ind w:left="851"/>
        <w:rPr>
          <w:sz w:val="24"/>
          <w:szCs w:val="24"/>
        </w:rPr>
      </w:pPr>
      <w:r w:rsidRPr="001A5873">
        <w:rPr>
          <w:sz w:val="24"/>
          <w:szCs w:val="24"/>
        </w:rPr>
        <w:t>Den renale udskillelse af gabapentin påvirkes ikke af probenecid.</w:t>
      </w:r>
    </w:p>
    <w:p w14:paraId="180B9FA0" w14:textId="77777777" w:rsidR="001A5873" w:rsidRPr="001A5873" w:rsidRDefault="001A5873" w:rsidP="001A5873">
      <w:pPr>
        <w:tabs>
          <w:tab w:val="left" w:pos="851"/>
        </w:tabs>
        <w:ind w:left="851"/>
        <w:rPr>
          <w:sz w:val="24"/>
          <w:szCs w:val="24"/>
        </w:rPr>
      </w:pPr>
    </w:p>
    <w:p w14:paraId="10F77420" w14:textId="77777777" w:rsidR="001A5873" w:rsidRPr="001A5873" w:rsidRDefault="001A5873" w:rsidP="001A5873">
      <w:pPr>
        <w:tabs>
          <w:tab w:val="left" w:pos="851"/>
        </w:tabs>
        <w:ind w:left="851"/>
        <w:rPr>
          <w:sz w:val="24"/>
          <w:szCs w:val="24"/>
        </w:rPr>
      </w:pPr>
      <w:r w:rsidRPr="001A5873">
        <w:rPr>
          <w:sz w:val="24"/>
          <w:szCs w:val="24"/>
        </w:rPr>
        <w:t>Et mindre fald i den renale udskillelse af gabapentin, som er set ved anvendelse sammen med cimetidin, ventes ikke at have klinisk betydning.</w:t>
      </w:r>
    </w:p>
    <w:p w14:paraId="1DEB8D35" w14:textId="77777777" w:rsidR="009260DE" w:rsidRPr="00C84483" w:rsidRDefault="009260DE" w:rsidP="009260DE">
      <w:pPr>
        <w:tabs>
          <w:tab w:val="left" w:pos="851"/>
        </w:tabs>
        <w:ind w:left="851"/>
        <w:rPr>
          <w:sz w:val="24"/>
          <w:szCs w:val="24"/>
        </w:rPr>
      </w:pPr>
    </w:p>
    <w:p w14:paraId="7094E7EB"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27C91D34" w14:textId="77777777" w:rsidR="001A5873" w:rsidRDefault="001A5873" w:rsidP="001A5873">
      <w:pPr>
        <w:tabs>
          <w:tab w:val="left" w:pos="851"/>
        </w:tabs>
        <w:ind w:left="851"/>
        <w:rPr>
          <w:sz w:val="24"/>
          <w:szCs w:val="24"/>
          <w:u w:val="single"/>
        </w:rPr>
      </w:pPr>
    </w:p>
    <w:p w14:paraId="2A8CF61D" w14:textId="4765CF28" w:rsidR="001A5873" w:rsidRPr="001A5873" w:rsidRDefault="001A5873" w:rsidP="001A5873">
      <w:pPr>
        <w:tabs>
          <w:tab w:val="left" w:pos="851"/>
        </w:tabs>
        <w:ind w:left="851"/>
        <w:rPr>
          <w:sz w:val="24"/>
          <w:szCs w:val="24"/>
          <w:u w:val="single"/>
        </w:rPr>
      </w:pPr>
      <w:r w:rsidRPr="001A5873">
        <w:rPr>
          <w:sz w:val="24"/>
          <w:szCs w:val="24"/>
          <w:u w:val="single"/>
        </w:rPr>
        <w:t>Graviditet</w:t>
      </w:r>
    </w:p>
    <w:p w14:paraId="7CCA6E6E" w14:textId="77777777" w:rsidR="001A5873" w:rsidRPr="001A5873" w:rsidRDefault="001A5873" w:rsidP="001A5873">
      <w:pPr>
        <w:tabs>
          <w:tab w:val="left" w:pos="851"/>
        </w:tabs>
        <w:ind w:left="851"/>
        <w:rPr>
          <w:sz w:val="24"/>
          <w:szCs w:val="24"/>
          <w:u w:val="single"/>
        </w:rPr>
      </w:pPr>
    </w:p>
    <w:p w14:paraId="7CFB5F21" w14:textId="77777777" w:rsidR="001A5873" w:rsidRPr="001A5873" w:rsidRDefault="001A5873" w:rsidP="001A5873">
      <w:pPr>
        <w:tabs>
          <w:tab w:val="left" w:pos="851"/>
        </w:tabs>
        <w:ind w:left="851"/>
        <w:rPr>
          <w:i/>
          <w:iCs/>
          <w:sz w:val="24"/>
          <w:szCs w:val="24"/>
        </w:rPr>
      </w:pPr>
      <w:r w:rsidRPr="001A5873">
        <w:rPr>
          <w:i/>
          <w:iCs/>
          <w:sz w:val="24"/>
          <w:szCs w:val="24"/>
        </w:rPr>
        <w:t>Risiko forbundet med epilepsi og antiepileptiske lægemidler generelt</w:t>
      </w:r>
    </w:p>
    <w:p w14:paraId="527D67DA" w14:textId="77777777" w:rsidR="001A5873" w:rsidRPr="001A5873" w:rsidRDefault="001A5873" w:rsidP="001A5873">
      <w:pPr>
        <w:tabs>
          <w:tab w:val="left" w:pos="851"/>
        </w:tabs>
        <w:ind w:left="851"/>
        <w:rPr>
          <w:sz w:val="24"/>
          <w:szCs w:val="24"/>
        </w:rPr>
      </w:pPr>
      <w:r w:rsidRPr="001A5873">
        <w:rPr>
          <w:sz w:val="24"/>
          <w:szCs w:val="24"/>
        </w:rPr>
        <w:t>Der bør ydes specialistrådgivning angående potentielle risici for et foster forårsaget af både krampeanfald og antiepileptisk behandling til kvinder i den fødedygtige alder og specielt til kvinder der planlægger graviditet samt til gravide kvinder. Nødvendigheden af antiepileptisk behandling bør revurderes, når en kvinde planlægger at blive gravid. Hos kvinder med epilepsi bør antiepileptisk behandling ikke seponeres pludseligt, da dette kan føre til gennembrudsanfald, der kan få alvorlige konsekvenser for både moder og barn.   Monoterapi foretrækkes når det er muligt, da behandling med flere antiepileptiske lægemidler kan være associeret med en højere risiko for medfødte misdannelser end monoterapi, afhængigt af hvilke antiepileptiske lægemidler som anvendes.</w:t>
      </w:r>
    </w:p>
    <w:p w14:paraId="30060192" w14:textId="77777777" w:rsidR="001A5873" w:rsidRPr="001A5873" w:rsidRDefault="001A5873" w:rsidP="001A5873">
      <w:pPr>
        <w:tabs>
          <w:tab w:val="left" w:pos="851"/>
        </w:tabs>
        <w:ind w:left="851"/>
        <w:rPr>
          <w:sz w:val="24"/>
          <w:szCs w:val="24"/>
        </w:rPr>
      </w:pPr>
    </w:p>
    <w:p w14:paraId="7176FCAD" w14:textId="77777777" w:rsidR="001A5873" w:rsidRPr="001A5873" w:rsidRDefault="001A5873" w:rsidP="001A5873">
      <w:pPr>
        <w:tabs>
          <w:tab w:val="left" w:pos="851"/>
        </w:tabs>
        <w:ind w:left="851"/>
        <w:rPr>
          <w:i/>
          <w:iCs/>
          <w:sz w:val="24"/>
          <w:szCs w:val="24"/>
        </w:rPr>
      </w:pPr>
      <w:r w:rsidRPr="001A5873">
        <w:rPr>
          <w:i/>
          <w:iCs/>
          <w:sz w:val="24"/>
          <w:szCs w:val="24"/>
        </w:rPr>
        <w:t>Risiko relateret til gabapentin</w:t>
      </w:r>
    </w:p>
    <w:p w14:paraId="7CC8735A" w14:textId="77777777" w:rsidR="001A5873" w:rsidRPr="001A5873" w:rsidRDefault="001A5873" w:rsidP="001A5873">
      <w:pPr>
        <w:tabs>
          <w:tab w:val="left" w:pos="851"/>
        </w:tabs>
        <w:ind w:left="851"/>
        <w:rPr>
          <w:sz w:val="24"/>
          <w:szCs w:val="24"/>
        </w:rPr>
      </w:pPr>
      <w:r w:rsidRPr="001A5873">
        <w:rPr>
          <w:sz w:val="24"/>
          <w:szCs w:val="24"/>
        </w:rPr>
        <w:t>Gabapentin passerer den humane placenta.</w:t>
      </w:r>
    </w:p>
    <w:p w14:paraId="30FE434D" w14:textId="77777777" w:rsidR="001A5873" w:rsidRPr="001A5873" w:rsidRDefault="001A5873" w:rsidP="001A5873">
      <w:pPr>
        <w:tabs>
          <w:tab w:val="left" w:pos="851"/>
        </w:tabs>
        <w:ind w:left="851"/>
        <w:rPr>
          <w:sz w:val="24"/>
          <w:szCs w:val="24"/>
        </w:rPr>
      </w:pPr>
    </w:p>
    <w:p w14:paraId="2568A157" w14:textId="77777777" w:rsidR="001A5873" w:rsidRPr="001A5873" w:rsidRDefault="001A5873" w:rsidP="001A5873">
      <w:pPr>
        <w:tabs>
          <w:tab w:val="left" w:pos="851"/>
        </w:tabs>
        <w:ind w:left="851"/>
        <w:rPr>
          <w:sz w:val="24"/>
          <w:szCs w:val="24"/>
        </w:rPr>
      </w:pPr>
      <w:r w:rsidRPr="001A5873">
        <w:rPr>
          <w:sz w:val="24"/>
          <w:szCs w:val="24"/>
        </w:rPr>
        <w:t>Data fra et nordisk observationsstudie med mere end 1700 graviditeter eksponeret for gabapentin i det første trimester viste ingen højere risici for væsentlige medfødte misdannelser hos børnene der blev eksponeret for gabapentin sammenlignet med børn der ikke blev eksponeret, og sammenlignet med børn eksponeret for pregabalin, lamotrigin og pregabalin eller lamotrigin. Tilsvarende, var der ingen øget risiko observeret for lidelser vedrørende udvikling af nervesystemet hos børn eksponeret for gabapentin under graviditet.</w:t>
      </w:r>
    </w:p>
    <w:p w14:paraId="3A023B35" w14:textId="77777777" w:rsidR="001A5873" w:rsidRPr="001A5873" w:rsidRDefault="001A5873" w:rsidP="001A5873">
      <w:pPr>
        <w:tabs>
          <w:tab w:val="left" w:pos="851"/>
        </w:tabs>
        <w:ind w:left="851"/>
        <w:rPr>
          <w:sz w:val="24"/>
          <w:szCs w:val="24"/>
        </w:rPr>
      </w:pPr>
    </w:p>
    <w:p w14:paraId="02A6275D" w14:textId="77777777" w:rsidR="001A5873" w:rsidRPr="001A5873" w:rsidRDefault="001A5873" w:rsidP="001A5873">
      <w:pPr>
        <w:tabs>
          <w:tab w:val="left" w:pos="851"/>
        </w:tabs>
        <w:ind w:left="851"/>
        <w:rPr>
          <w:sz w:val="24"/>
          <w:szCs w:val="24"/>
        </w:rPr>
      </w:pPr>
      <w:r w:rsidRPr="001A5873">
        <w:rPr>
          <w:sz w:val="24"/>
          <w:szCs w:val="24"/>
        </w:rPr>
        <w:t>Der var begrænset evidens for højere risici for lav fødselsvægt og præmatur fødsel, men ikke for dødfødsel, lille størrelse i forhold til gestationsalder, lav Apgar-score efter 5 minutter og mikrocefali hos nyfødte af kvinder eksponeret for gabapentin.</w:t>
      </w:r>
    </w:p>
    <w:p w14:paraId="3B40DCB9" w14:textId="77777777" w:rsidR="001A5873" w:rsidRPr="001A5873" w:rsidRDefault="001A5873" w:rsidP="001A5873">
      <w:pPr>
        <w:tabs>
          <w:tab w:val="left" w:pos="851"/>
        </w:tabs>
        <w:ind w:left="851"/>
        <w:rPr>
          <w:sz w:val="24"/>
          <w:szCs w:val="24"/>
        </w:rPr>
      </w:pPr>
    </w:p>
    <w:p w14:paraId="4260790E" w14:textId="77777777" w:rsidR="001A5873" w:rsidRPr="001A5873" w:rsidRDefault="001A5873" w:rsidP="001A5873">
      <w:pPr>
        <w:tabs>
          <w:tab w:val="left" w:pos="851"/>
        </w:tabs>
        <w:ind w:left="851"/>
        <w:rPr>
          <w:sz w:val="24"/>
          <w:szCs w:val="24"/>
        </w:rPr>
      </w:pPr>
      <w:r w:rsidRPr="001A5873">
        <w:rPr>
          <w:sz w:val="24"/>
          <w:szCs w:val="24"/>
        </w:rPr>
        <w:t>Dyrestudier har påvist reproduktionstoksicitet (se pkt. 5.3).</w:t>
      </w:r>
    </w:p>
    <w:p w14:paraId="0A10E262" w14:textId="77777777" w:rsidR="001A5873" w:rsidRPr="001A5873" w:rsidRDefault="001A5873" w:rsidP="001A5873">
      <w:pPr>
        <w:tabs>
          <w:tab w:val="left" w:pos="851"/>
        </w:tabs>
        <w:ind w:left="851"/>
        <w:rPr>
          <w:sz w:val="24"/>
          <w:szCs w:val="24"/>
        </w:rPr>
      </w:pPr>
    </w:p>
    <w:p w14:paraId="44C98A57" w14:textId="77777777" w:rsidR="001A5873" w:rsidRPr="001A5873" w:rsidRDefault="001A5873" w:rsidP="001A5873">
      <w:pPr>
        <w:tabs>
          <w:tab w:val="left" w:pos="851"/>
        </w:tabs>
        <w:ind w:left="851"/>
        <w:rPr>
          <w:sz w:val="24"/>
          <w:szCs w:val="24"/>
        </w:rPr>
      </w:pPr>
      <w:r w:rsidRPr="001A5873">
        <w:rPr>
          <w:sz w:val="24"/>
          <w:szCs w:val="24"/>
        </w:rPr>
        <w:t>Gabapentin kan anvendes under første trimester af graviditet, hvis det er klinisk nødvendigt.</w:t>
      </w:r>
    </w:p>
    <w:p w14:paraId="02CD030D" w14:textId="77777777" w:rsidR="001A5873" w:rsidRPr="001A5873" w:rsidRDefault="001A5873" w:rsidP="001A5873">
      <w:pPr>
        <w:tabs>
          <w:tab w:val="left" w:pos="851"/>
        </w:tabs>
        <w:ind w:left="851"/>
        <w:rPr>
          <w:sz w:val="24"/>
          <w:szCs w:val="24"/>
        </w:rPr>
      </w:pPr>
    </w:p>
    <w:p w14:paraId="0DFABC3A" w14:textId="77777777" w:rsidR="001A5873" w:rsidRPr="001A5873" w:rsidRDefault="001A5873" w:rsidP="001A5873">
      <w:pPr>
        <w:tabs>
          <w:tab w:val="left" w:pos="851"/>
        </w:tabs>
        <w:ind w:left="851"/>
        <w:rPr>
          <w:sz w:val="24"/>
          <w:szCs w:val="24"/>
        </w:rPr>
      </w:pPr>
      <w:r w:rsidRPr="001A5873">
        <w:rPr>
          <w:sz w:val="24"/>
          <w:szCs w:val="24"/>
        </w:rPr>
        <w:t xml:space="preserve">Neonatalt abstinenssyndrom er blevet rapporteret hos nyfødte, som er blevet eksponeret for gabapentin </w:t>
      </w:r>
      <w:r w:rsidRPr="001A5873">
        <w:rPr>
          <w:i/>
          <w:sz w:val="24"/>
          <w:szCs w:val="24"/>
        </w:rPr>
        <w:t>in utero</w:t>
      </w:r>
      <w:r w:rsidRPr="001A5873">
        <w:rPr>
          <w:sz w:val="24"/>
          <w:szCs w:val="24"/>
        </w:rPr>
        <w:t>. Samtidig eksponering for gabapentin og opioider under graviditeten kan øge risikoen for neonatalt abstinenssyndrom. Nyfødte skal overvåges omhyggeligt.</w:t>
      </w:r>
    </w:p>
    <w:p w14:paraId="6713C0E1" w14:textId="77777777" w:rsidR="001A5873" w:rsidRPr="001A5873" w:rsidRDefault="001A5873" w:rsidP="001A5873">
      <w:pPr>
        <w:tabs>
          <w:tab w:val="left" w:pos="851"/>
        </w:tabs>
        <w:ind w:left="851"/>
        <w:rPr>
          <w:sz w:val="24"/>
          <w:szCs w:val="24"/>
        </w:rPr>
      </w:pPr>
    </w:p>
    <w:p w14:paraId="7BDB7756" w14:textId="77777777" w:rsidR="001A5873" w:rsidRPr="001A5873" w:rsidRDefault="001A5873" w:rsidP="001A5873">
      <w:pPr>
        <w:tabs>
          <w:tab w:val="left" w:pos="851"/>
        </w:tabs>
        <w:ind w:left="851"/>
        <w:rPr>
          <w:sz w:val="24"/>
          <w:szCs w:val="24"/>
          <w:u w:val="single"/>
        </w:rPr>
      </w:pPr>
      <w:r w:rsidRPr="001A5873">
        <w:rPr>
          <w:sz w:val="24"/>
          <w:szCs w:val="24"/>
          <w:u w:val="single"/>
        </w:rPr>
        <w:t>Amning</w:t>
      </w:r>
    </w:p>
    <w:p w14:paraId="2D7E2B42" w14:textId="77777777" w:rsidR="001A5873" w:rsidRPr="001A5873" w:rsidRDefault="001A5873" w:rsidP="001A5873">
      <w:pPr>
        <w:tabs>
          <w:tab w:val="left" w:pos="851"/>
        </w:tabs>
        <w:ind w:left="851"/>
        <w:rPr>
          <w:sz w:val="24"/>
          <w:szCs w:val="24"/>
        </w:rPr>
      </w:pPr>
      <w:r w:rsidRPr="001A5873">
        <w:rPr>
          <w:sz w:val="24"/>
          <w:szCs w:val="24"/>
        </w:rPr>
        <w:t>Gabapentin udskilles i modermælk. Da effekten på det ammede barn ikke kendes tilrådes forsigtighed, når gabapentin anvendes til ammende mødre. Gabapentin bør kun anvendes af ammende, hvis fordelene klart opvejer risiciene for barnet.</w:t>
      </w:r>
    </w:p>
    <w:p w14:paraId="5C4E571F" w14:textId="77777777" w:rsidR="001A5873" w:rsidRPr="001A5873" w:rsidRDefault="001A5873" w:rsidP="001A5873">
      <w:pPr>
        <w:tabs>
          <w:tab w:val="left" w:pos="851"/>
        </w:tabs>
        <w:ind w:left="851"/>
        <w:rPr>
          <w:sz w:val="24"/>
          <w:szCs w:val="24"/>
        </w:rPr>
      </w:pPr>
    </w:p>
    <w:p w14:paraId="4471196D" w14:textId="77777777" w:rsidR="001A5873" w:rsidRPr="001A5873" w:rsidRDefault="001A5873" w:rsidP="001A5873">
      <w:pPr>
        <w:tabs>
          <w:tab w:val="left" w:pos="851"/>
        </w:tabs>
        <w:ind w:left="851"/>
        <w:rPr>
          <w:sz w:val="24"/>
          <w:szCs w:val="24"/>
          <w:u w:val="single"/>
        </w:rPr>
      </w:pPr>
      <w:r w:rsidRPr="001A5873">
        <w:rPr>
          <w:sz w:val="24"/>
          <w:szCs w:val="24"/>
          <w:u w:val="single"/>
        </w:rPr>
        <w:t>Fertilitet</w:t>
      </w:r>
    </w:p>
    <w:p w14:paraId="41E94A48" w14:textId="77777777" w:rsidR="001A5873" w:rsidRPr="001A5873" w:rsidRDefault="001A5873" w:rsidP="001A5873">
      <w:pPr>
        <w:tabs>
          <w:tab w:val="left" w:pos="851"/>
        </w:tabs>
        <w:ind w:left="851"/>
        <w:rPr>
          <w:sz w:val="24"/>
          <w:szCs w:val="24"/>
        </w:rPr>
      </w:pPr>
      <w:r w:rsidRPr="001A5873">
        <w:rPr>
          <w:sz w:val="24"/>
          <w:szCs w:val="24"/>
        </w:rPr>
        <w:t>Dyrestudier viste ingen effekt på fertiliteten (se pkt. 5.3).</w:t>
      </w:r>
    </w:p>
    <w:p w14:paraId="4D56F4FA" w14:textId="77777777" w:rsidR="009260DE" w:rsidRPr="00C84483" w:rsidRDefault="009260DE" w:rsidP="009260DE">
      <w:pPr>
        <w:tabs>
          <w:tab w:val="left" w:pos="851"/>
        </w:tabs>
        <w:ind w:left="851"/>
        <w:rPr>
          <w:sz w:val="24"/>
          <w:szCs w:val="24"/>
        </w:rPr>
      </w:pPr>
    </w:p>
    <w:p w14:paraId="1C010393"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06563B54" w14:textId="77777777" w:rsidR="003C2BF1" w:rsidRPr="003C2BF1" w:rsidRDefault="003C2BF1" w:rsidP="003C2BF1">
      <w:pPr>
        <w:tabs>
          <w:tab w:val="left" w:pos="851"/>
        </w:tabs>
        <w:ind w:left="851"/>
        <w:rPr>
          <w:sz w:val="24"/>
          <w:szCs w:val="24"/>
        </w:rPr>
      </w:pPr>
      <w:r w:rsidRPr="003C2BF1">
        <w:rPr>
          <w:sz w:val="24"/>
          <w:szCs w:val="24"/>
        </w:rPr>
        <w:t>Mærkning.</w:t>
      </w:r>
    </w:p>
    <w:p w14:paraId="352EC98D" w14:textId="77777777" w:rsidR="003C2BF1" w:rsidRPr="003C2BF1" w:rsidRDefault="003C2BF1" w:rsidP="003C2BF1">
      <w:pPr>
        <w:tabs>
          <w:tab w:val="left" w:pos="851"/>
        </w:tabs>
        <w:ind w:left="851"/>
        <w:rPr>
          <w:sz w:val="24"/>
          <w:szCs w:val="24"/>
        </w:rPr>
      </w:pPr>
      <w:r w:rsidRPr="003C2BF1">
        <w:rPr>
          <w:sz w:val="24"/>
          <w:szCs w:val="24"/>
        </w:rPr>
        <w:t>Gabapentin påvirker i mindre eller moderat grad evnen til at føre motorkøretøj eller betjene maskiner. Gabapentin virker på centralnervesystemet, og kan fremkalde døsighed, svimmelhed eller andre lignende symptomer. Selv, hvis disse kun er milde eller moderate, kan disse bivirkninger potentielt være farlig for patienter, der fører motorkøretøj eller betjener maskiner. Der bør tages højde herfor, særligt i forbindelse med behandlingsstart eller ved dosisøgning.</w:t>
      </w:r>
    </w:p>
    <w:p w14:paraId="1708BACF" w14:textId="77777777" w:rsidR="009260DE" w:rsidRPr="00C84483" w:rsidRDefault="009260DE" w:rsidP="009260DE">
      <w:pPr>
        <w:tabs>
          <w:tab w:val="left" w:pos="851"/>
        </w:tabs>
        <w:ind w:left="851"/>
        <w:rPr>
          <w:sz w:val="24"/>
          <w:szCs w:val="24"/>
        </w:rPr>
      </w:pPr>
    </w:p>
    <w:p w14:paraId="44F36340"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466700DB" w14:textId="019CE08C" w:rsidR="003C2BF1" w:rsidRPr="003C2BF1" w:rsidRDefault="003C2BF1" w:rsidP="003C2BF1">
      <w:pPr>
        <w:ind w:left="851"/>
        <w:rPr>
          <w:sz w:val="24"/>
          <w:szCs w:val="24"/>
        </w:rPr>
      </w:pPr>
      <w:r w:rsidRPr="003C2BF1">
        <w:rPr>
          <w:sz w:val="24"/>
          <w:szCs w:val="24"/>
        </w:rPr>
        <w:t xml:space="preserve">Bivirkninger, der er set i kliniske studier af epilepsi (tillægsbehandling og monoterapi) og neuropatiske smerter, er anført i en samlet liste nedenfor anført efter organklasse og hyppighed: </w:t>
      </w:r>
      <w:r>
        <w:rPr>
          <w:sz w:val="24"/>
          <w:szCs w:val="24"/>
        </w:rPr>
        <w:t>M</w:t>
      </w:r>
      <w:r w:rsidRPr="003C2BF1">
        <w:rPr>
          <w:sz w:val="24"/>
          <w:szCs w:val="24"/>
        </w:rPr>
        <w:t xml:space="preserve">eget almindelig (≥1/10), almindelig (≥1/100 til &lt;1/10), ikke almindelig (≥1/1000 til &lt;1/100), sjælden (≥1/10.000 til &lt;1/1000), meget sjælden (&lt;1/10.000). Hvis en bivirkning er set med forskellig hyppighed i kliniske studier, er den anført med den højeste hyppighed. </w:t>
      </w:r>
    </w:p>
    <w:p w14:paraId="78989B6F" w14:textId="77777777" w:rsidR="003C2BF1" w:rsidRPr="003C2BF1" w:rsidRDefault="003C2BF1" w:rsidP="003C2BF1">
      <w:pPr>
        <w:ind w:left="851"/>
        <w:rPr>
          <w:sz w:val="24"/>
          <w:szCs w:val="24"/>
        </w:rPr>
      </w:pPr>
    </w:p>
    <w:p w14:paraId="118FF547" w14:textId="77777777" w:rsidR="003C2BF1" w:rsidRPr="003C2BF1" w:rsidRDefault="003C2BF1" w:rsidP="003C2BF1">
      <w:pPr>
        <w:ind w:left="851"/>
        <w:rPr>
          <w:sz w:val="24"/>
          <w:szCs w:val="24"/>
        </w:rPr>
      </w:pPr>
      <w:r w:rsidRPr="003C2BF1">
        <w:rPr>
          <w:sz w:val="24"/>
          <w:szCs w:val="24"/>
        </w:rPr>
        <w:t>Yderligere bivirkninger, der er rapporteret efter markedsføring, er anført nedenfor med hyppigheden Ikke kendt (kan ikke estimeres ud fra forhåndenværende data) i kursiv.</w:t>
      </w:r>
    </w:p>
    <w:p w14:paraId="5AC15352" w14:textId="77777777" w:rsidR="003C2BF1" w:rsidRPr="003C2BF1" w:rsidRDefault="003C2BF1" w:rsidP="004B5A83">
      <w:pPr>
        <w:ind w:left="851"/>
        <w:rPr>
          <w:sz w:val="24"/>
          <w:szCs w:val="24"/>
        </w:rPr>
      </w:pPr>
    </w:p>
    <w:p w14:paraId="1C217F45" w14:textId="08AD74EE" w:rsidR="003C2BF1" w:rsidRDefault="004B5A83" w:rsidP="004B5A83">
      <w:pPr>
        <w:ind w:left="851"/>
        <w:rPr>
          <w:sz w:val="24"/>
          <w:szCs w:val="24"/>
        </w:rPr>
      </w:pPr>
      <w:r w:rsidRPr="004B5A83">
        <w:rPr>
          <w:sz w:val="24"/>
          <w:szCs w:val="24"/>
        </w:rPr>
        <w:t>Inden for hver gruppe af bivirkninger med samme hyppighed er bivirkningerne anført efter faldende alvorlighed.</w:t>
      </w:r>
    </w:p>
    <w:p w14:paraId="016B8DB4" w14:textId="77777777" w:rsidR="004B5A83" w:rsidRDefault="004B5A83" w:rsidP="004B5A83">
      <w:pPr>
        <w:ind w:left="851"/>
        <w:rPr>
          <w:sz w:val="22"/>
          <w:szCs w:val="22"/>
        </w:rPr>
      </w:pPr>
    </w:p>
    <w:tbl>
      <w:tblPr>
        <w:tblStyle w:val="Tabel-Gitter"/>
        <w:tblW w:w="8925" w:type="dxa"/>
        <w:tblInd w:w="846" w:type="dxa"/>
        <w:tblLook w:val="04A0" w:firstRow="1" w:lastRow="0" w:firstColumn="1" w:lastColumn="0" w:noHBand="0" w:noVBand="1"/>
      </w:tblPr>
      <w:tblGrid>
        <w:gridCol w:w="4111"/>
        <w:gridCol w:w="4814"/>
      </w:tblGrid>
      <w:tr w:rsidR="003C2BF1" w14:paraId="38B6190F" w14:textId="77777777" w:rsidTr="003C2BF1">
        <w:tc>
          <w:tcPr>
            <w:tcW w:w="4111" w:type="dxa"/>
            <w:tcBorders>
              <w:top w:val="single" w:sz="4" w:space="0" w:color="auto"/>
              <w:left w:val="single" w:sz="4" w:space="0" w:color="auto"/>
              <w:bottom w:val="single" w:sz="4" w:space="0" w:color="auto"/>
              <w:right w:val="single" w:sz="4" w:space="0" w:color="auto"/>
            </w:tcBorders>
            <w:hideMark/>
          </w:tcPr>
          <w:p w14:paraId="4C1C2F91" w14:textId="77777777" w:rsidR="003C2BF1" w:rsidRDefault="003C2BF1">
            <w:pPr>
              <w:rPr>
                <w:b/>
                <w:bCs/>
                <w:kern w:val="2"/>
                <w:sz w:val="22"/>
                <w:szCs w:val="22"/>
                <w14:ligatures w14:val="standardContextual"/>
              </w:rPr>
            </w:pPr>
            <w:r>
              <w:rPr>
                <w:b/>
                <w:bCs/>
                <w:kern w:val="2"/>
                <w:sz w:val="22"/>
                <w:szCs w:val="22"/>
                <w14:ligatures w14:val="standardContextual"/>
              </w:rPr>
              <w:t>Systemorganklasse</w:t>
            </w:r>
          </w:p>
        </w:tc>
        <w:tc>
          <w:tcPr>
            <w:tcW w:w="4814" w:type="dxa"/>
            <w:tcBorders>
              <w:top w:val="single" w:sz="4" w:space="0" w:color="auto"/>
              <w:left w:val="single" w:sz="4" w:space="0" w:color="auto"/>
              <w:bottom w:val="single" w:sz="4" w:space="0" w:color="auto"/>
              <w:right w:val="single" w:sz="4" w:space="0" w:color="auto"/>
            </w:tcBorders>
            <w:hideMark/>
          </w:tcPr>
          <w:p w14:paraId="70599BAC" w14:textId="77777777" w:rsidR="003C2BF1" w:rsidRDefault="003C2BF1">
            <w:pPr>
              <w:rPr>
                <w:b/>
                <w:bCs/>
                <w:kern w:val="2"/>
                <w:sz w:val="22"/>
                <w:szCs w:val="22"/>
                <w14:ligatures w14:val="standardContextual"/>
              </w:rPr>
            </w:pPr>
            <w:r>
              <w:rPr>
                <w:b/>
                <w:bCs/>
                <w:kern w:val="2"/>
                <w:sz w:val="22"/>
                <w:szCs w:val="22"/>
                <w14:ligatures w14:val="standardContextual"/>
              </w:rPr>
              <w:t>Bivirkninger</w:t>
            </w:r>
          </w:p>
        </w:tc>
      </w:tr>
      <w:tr w:rsidR="003C2BF1" w14:paraId="4B7F2124" w14:textId="77777777" w:rsidTr="003C2BF1">
        <w:tc>
          <w:tcPr>
            <w:tcW w:w="8925" w:type="dxa"/>
            <w:gridSpan w:val="2"/>
            <w:tcBorders>
              <w:top w:val="single" w:sz="4" w:space="0" w:color="auto"/>
              <w:left w:val="single" w:sz="4" w:space="0" w:color="auto"/>
              <w:bottom w:val="single" w:sz="4" w:space="0" w:color="auto"/>
              <w:right w:val="single" w:sz="4" w:space="0" w:color="auto"/>
            </w:tcBorders>
            <w:hideMark/>
          </w:tcPr>
          <w:p w14:paraId="3CEC2CCA" w14:textId="77777777" w:rsidR="003C2BF1" w:rsidRDefault="003C2BF1">
            <w:pPr>
              <w:rPr>
                <w:b/>
                <w:bCs/>
                <w:kern w:val="2"/>
                <w:sz w:val="22"/>
                <w:szCs w:val="22"/>
                <w:highlight w:val="yellow"/>
                <w14:ligatures w14:val="standardContextual"/>
              </w:rPr>
            </w:pPr>
            <w:r>
              <w:rPr>
                <w:b/>
                <w:bCs/>
                <w:kern w:val="2"/>
                <w:sz w:val="22"/>
                <w:szCs w:val="22"/>
                <w14:ligatures w14:val="standardContextual"/>
              </w:rPr>
              <w:t>Infektioner og parasitære sygdomme</w:t>
            </w:r>
          </w:p>
        </w:tc>
      </w:tr>
      <w:tr w:rsidR="003C2BF1" w14:paraId="3D750BBC" w14:textId="77777777" w:rsidTr="003C2BF1">
        <w:tc>
          <w:tcPr>
            <w:tcW w:w="4111" w:type="dxa"/>
            <w:tcBorders>
              <w:top w:val="single" w:sz="4" w:space="0" w:color="auto"/>
              <w:left w:val="single" w:sz="4" w:space="0" w:color="auto"/>
              <w:bottom w:val="single" w:sz="4" w:space="0" w:color="auto"/>
              <w:right w:val="single" w:sz="4" w:space="0" w:color="auto"/>
            </w:tcBorders>
            <w:hideMark/>
          </w:tcPr>
          <w:p w14:paraId="67274129" w14:textId="77777777" w:rsidR="003C2BF1" w:rsidRDefault="003C2BF1">
            <w:pPr>
              <w:rPr>
                <w:kern w:val="2"/>
                <w:sz w:val="22"/>
                <w:szCs w:val="22"/>
                <w14:ligatures w14:val="standardContextual"/>
              </w:rPr>
            </w:pPr>
            <w:r>
              <w:rPr>
                <w:kern w:val="2"/>
                <w:sz w:val="22"/>
                <w:szCs w:val="22"/>
                <w14:ligatures w14:val="standardContextual"/>
              </w:rPr>
              <w:t>Meget almindelig</w:t>
            </w:r>
          </w:p>
        </w:tc>
        <w:tc>
          <w:tcPr>
            <w:tcW w:w="4814" w:type="dxa"/>
            <w:tcBorders>
              <w:top w:val="single" w:sz="4" w:space="0" w:color="auto"/>
              <w:left w:val="single" w:sz="4" w:space="0" w:color="auto"/>
              <w:bottom w:val="single" w:sz="4" w:space="0" w:color="auto"/>
              <w:right w:val="single" w:sz="4" w:space="0" w:color="auto"/>
            </w:tcBorders>
            <w:hideMark/>
          </w:tcPr>
          <w:p w14:paraId="67FBAEFD" w14:textId="77777777" w:rsidR="003C2BF1" w:rsidRDefault="003C2BF1">
            <w:pPr>
              <w:rPr>
                <w:kern w:val="2"/>
                <w:sz w:val="22"/>
                <w:szCs w:val="22"/>
                <w14:ligatures w14:val="standardContextual"/>
              </w:rPr>
            </w:pPr>
            <w:r>
              <w:rPr>
                <w:kern w:val="2"/>
                <w:sz w:val="22"/>
                <w:szCs w:val="22"/>
                <w14:ligatures w14:val="standardContextual"/>
              </w:rPr>
              <w:t>viral infektion</w:t>
            </w:r>
          </w:p>
        </w:tc>
      </w:tr>
      <w:tr w:rsidR="003C2BF1" w14:paraId="5D5F4D03" w14:textId="77777777" w:rsidTr="003C2BF1">
        <w:tc>
          <w:tcPr>
            <w:tcW w:w="4111" w:type="dxa"/>
            <w:tcBorders>
              <w:top w:val="single" w:sz="4" w:space="0" w:color="auto"/>
              <w:left w:val="single" w:sz="4" w:space="0" w:color="auto"/>
              <w:bottom w:val="single" w:sz="4" w:space="0" w:color="auto"/>
              <w:right w:val="single" w:sz="4" w:space="0" w:color="auto"/>
            </w:tcBorders>
            <w:hideMark/>
          </w:tcPr>
          <w:p w14:paraId="4E4FED62" w14:textId="77777777" w:rsidR="003C2BF1" w:rsidRDefault="003C2BF1">
            <w:pPr>
              <w:rPr>
                <w:kern w:val="2"/>
                <w:sz w:val="22"/>
                <w:szCs w:val="22"/>
                <w14:ligatures w14:val="standardContextual"/>
              </w:rPr>
            </w:pPr>
            <w:r>
              <w:rPr>
                <w:kern w:val="2"/>
                <w:sz w:val="22"/>
                <w:szCs w:val="22"/>
                <w14:ligatures w14:val="standardContextual"/>
              </w:rPr>
              <w:t>Almindelig</w:t>
            </w:r>
          </w:p>
        </w:tc>
        <w:tc>
          <w:tcPr>
            <w:tcW w:w="4814" w:type="dxa"/>
            <w:tcBorders>
              <w:top w:val="single" w:sz="4" w:space="0" w:color="auto"/>
              <w:left w:val="single" w:sz="4" w:space="0" w:color="auto"/>
              <w:bottom w:val="single" w:sz="4" w:space="0" w:color="auto"/>
              <w:right w:val="single" w:sz="4" w:space="0" w:color="auto"/>
            </w:tcBorders>
            <w:hideMark/>
          </w:tcPr>
          <w:p w14:paraId="6B52AA61" w14:textId="77777777" w:rsidR="003C2BF1" w:rsidRDefault="003C2BF1">
            <w:pPr>
              <w:rPr>
                <w:kern w:val="2"/>
                <w:sz w:val="22"/>
                <w:szCs w:val="22"/>
                <w:lang w:val="sv-SE"/>
                <w14:ligatures w14:val="standardContextual"/>
              </w:rPr>
            </w:pPr>
            <w:r>
              <w:rPr>
                <w:kern w:val="2"/>
                <w:sz w:val="22"/>
                <w:szCs w:val="22"/>
                <w:lang w:val="sv-SE"/>
                <w14:ligatures w14:val="standardContextual"/>
              </w:rPr>
              <w:t>pneumoni, luftvejsinfektion, urinvejsinfektion, infektion, otitis media</w:t>
            </w:r>
          </w:p>
        </w:tc>
      </w:tr>
      <w:tr w:rsidR="003C2BF1" w14:paraId="0A6EE54E" w14:textId="77777777" w:rsidTr="003C2BF1">
        <w:tc>
          <w:tcPr>
            <w:tcW w:w="8925" w:type="dxa"/>
            <w:gridSpan w:val="2"/>
            <w:tcBorders>
              <w:top w:val="single" w:sz="4" w:space="0" w:color="auto"/>
              <w:left w:val="single" w:sz="4" w:space="0" w:color="auto"/>
              <w:bottom w:val="single" w:sz="4" w:space="0" w:color="auto"/>
              <w:right w:val="single" w:sz="4" w:space="0" w:color="auto"/>
            </w:tcBorders>
            <w:hideMark/>
          </w:tcPr>
          <w:p w14:paraId="2C1A5D02" w14:textId="77777777" w:rsidR="003C2BF1" w:rsidRDefault="003C2BF1">
            <w:pPr>
              <w:rPr>
                <w:b/>
                <w:bCs/>
                <w:kern w:val="2"/>
                <w:sz w:val="22"/>
                <w:szCs w:val="22"/>
                <w:highlight w:val="yellow"/>
                <w:lang w:val="en-US"/>
                <w14:ligatures w14:val="standardContextual"/>
              </w:rPr>
            </w:pPr>
            <w:r>
              <w:rPr>
                <w:b/>
                <w:bCs/>
                <w:kern w:val="2"/>
                <w:sz w:val="22"/>
                <w:szCs w:val="22"/>
                <w:lang w:val="en-US"/>
                <w14:ligatures w14:val="standardContextual"/>
              </w:rPr>
              <w:t>Blod og lymfesystem</w:t>
            </w:r>
          </w:p>
        </w:tc>
      </w:tr>
      <w:tr w:rsidR="003C2BF1" w14:paraId="322D45A8" w14:textId="77777777" w:rsidTr="003C2BF1">
        <w:tc>
          <w:tcPr>
            <w:tcW w:w="4111" w:type="dxa"/>
            <w:tcBorders>
              <w:top w:val="single" w:sz="4" w:space="0" w:color="auto"/>
              <w:left w:val="single" w:sz="4" w:space="0" w:color="auto"/>
              <w:bottom w:val="single" w:sz="4" w:space="0" w:color="auto"/>
              <w:right w:val="single" w:sz="4" w:space="0" w:color="auto"/>
            </w:tcBorders>
            <w:hideMark/>
          </w:tcPr>
          <w:p w14:paraId="5B5F9110" w14:textId="77777777" w:rsidR="003C2BF1" w:rsidRDefault="003C2BF1">
            <w:pPr>
              <w:rPr>
                <w:kern w:val="2"/>
                <w:sz w:val="22"/>
                <w:szCs w:val="22"/>
                <w:lang w:val="en-US"/>
                <w14:ligatures w14:val="standardContextual"/>
              </w:rPr>
            </w:pPr>
            <w:r>
              <w:rPr>
                <w:kern w:val="2"/>
                <w:sz w:val="22"/>
                <w:szCs w:val="22"/>
                <w:lang w:val="en-US"/>
                <w14:ligatures w14:val="standardContextual"/>
              </w:rPr>
              <w:t>Almindelig</w:t>
            </w:r>
          </w:p>
        </w:tc>
        <w:tc>
          <w:tcPr>
            <w:tcW w:w="4814" w:type="dxa"/>
            <w:tcBorders>
              <w:top w:val="single" w:sz="4" w:space="0" w:color="auto"/>
              <w:left w:val="single" w:sz="4" w:space="0" w:color="auto"/>
              <w:bottom w:val="single" w:sz="4" w:space="0" w:color="auto"/>
              <w:right w:val="single" w:sz="4" w:space="0" w:color="auto"/>
            </w:tcBorders>
            <w:hideMark/>
          </w:tcPr>
          <w:p w14:paraId="7C4D07B3" w14:textId="77777777" w:rsidR="003C2BF1" w:rsidRDefault="003C2BF1">
            <w:pPr>
              <w:rPr>
                <w:kern w:val="2"/>
                <w:sz w:val="22"/>
                <w:szCs w:val="22"/>
                <w:lang w:val="en-US"/>
                <w14:ligatures w14:val="standardContextual"/>
              </w:rPr>
            </w:pPr>
            <w:r>
              <w:rPr>
                <w:kern w:val="2"/>
                <w:sz w:val="22"/>
                <w:szCs w:val="22"/>
                <w:lang w:val="en-US"/>
                <w14:ligatures w14:val="standardContextual"/>
              </w:rPr>
              <w:t>leukopeni</w:t>
            </w:r>
          </w:p>
        </w:tc>
      </w:tr>
      <w:tr w:rsidR="003C2BF1" w14:paraId="65CED222" w14:textId="77777777" w:rsidTr="003C2BF1">
        <w:tc>
          <w:tcPr>
            <w:tcW w:w="4111" w:type="dxa"/>
            <w:tcBorders>
              <w:top w:val="single" w:sz="4" w:space="0" w:color="auto"/>
              <w:left w:val="single" w:sz="4" w:space="0" w:color="auto"/>
              <w:bottom w:val="single" w:sz="4" w:space="0" w:color="auto"/>
              <w:right w:val="single" w:sz="4" w:space="0" w:color="auto"/>
            </w:tcBorders>
            <w:hideMark/>
          </w:tcPr>
          <w:p w14:paraId="0DD5F99A" w14:textId="77777777" w:rsidR="003C2BF1" w:rsidRDefault="003C2BF1">
            <w:pPr>
              <w:rPr>
                <w:kern w:val="2"/>
                <w:sz w:val="22"/>
                <w:szCs w:val="22"/>
                <w:lang w:val="en-US"/>
                <w14:ligatures w14:val="standardContextual"/>
              </w:rPr>
            </w:pPr>
            <w:r>
              <w:rPr>
                <w:kern w:val="2"/>
                <w:sz w:val="22"/>
                <w:szCs w:val="22"/>
                <w:lang w:val="en-US"/>
                <w14:ligatures w14:val="standardContextual"/>
              </w:rPr>
              <w:t>Ikke kendt</w:t>
            </w:r>
          </w:p>
        </w:tc>
        <w:tc>
          <w:tcPr>
            <w:tcW w:w="4814" w:type="dxa"/>
            <w:tcBorders>
              <w:top w:val="single" w:sz="4" w:space="0" w:color="auto"/>
              <w:left w:val="single" w:sz="4" w:space="0" w:color="auto"/>
              <w:bottom w:val="single" w:sz="4" w:space="0" w:color="auto"/>
              <w:right w:val="single" w:sz="4" w:space="0" w:color="auto"/>
            </w:tcBorders>
            <w:hideMark/>
          </w:tcPr>
          <w:p w14:paraId="64D54BEE" w14:textId="77777777" w:rsidR="003C2BF1" w:rsidRDefault="003C2BF1">
            <w:pPr>
              <w:rPr>
                <w:i/>
                <w:iCs/>
                <w:kern w:val="2"/>
                <w:sz w:val="22"/>
                <w:szCs w:val="22"/>
                <w:lang w:val="en-US"/>
                <w14:ligatures w14:val="standardContextual"/>
              </w:rPr>
            </w:pPr>
            <w:r>
              <w:rPr>
                <w:i/>
                <w:iCs/>
                <w:kern w:val="2"/>
                <w:sz w:val="22"/>
                <w:szCs w:val="22"/>
                <w:lang w:val="en-US"/>
                <w14:ligatures w14:val="standardContextual"/>
              </w:rPr>
              <w:t>thrombocytopeni</w:t>
            </w:r>
          </w:p>
        </w:tc>
      </w:tr>
      <w:tr w:rsidR="003C2BF1" w14:paraId="6D44A3AE" w14:textId="77777777" w:rsidTr="003C2BF1">
        <w:tc>
          <w:tcPr>
            <w:tcW w:w="8925" w:type="dxa"/>
            <w:gridSpan w:val="2"/>
            <w:tcBorders>
              <w:top w:val="single" w:sz="4" w:space="0" w:color="auto"/>
              <w:left w:val="single" w:sz="4" w:space="0" w:color="auto"/>
              <w:bottom w:val="single" w:sz="4" w:space="0" w:color="auto"/>
              <w:right w:val="single" w:sz="4" w:space="0" w:color="auto"/>
            </w:tcBorders>
            <w:hideMark/>
          </w:tcPr>
          <w:p w14:paraId="4A60590A" w14:textId="77777777" w:rsidR="003C2BF1" w:rsidRDefault="003C2BF1">
            <w:pPr>
              <w:rPr>
                <w:kern w:val="2"/>
                <w:sz w:val="22"/>
                <w:szCs w:val="22"/>
                <w:highlight w:val="yellow"/>
                <w:lang w:val="en-US"/>
                <w14:ligatures w14:val="standardContextual"/>
              </w:rPr>
            </w:pPr>
            <w:r>
              <w:rPr>
                <w:b/>
                <w:bCs/>
                <w:kern w:val="2"/>
                <w:sz w:val="22"/>
                <w:szCs w:val="22"/>
                <w:lang w:val="en-US"/>
                <w14:ligatures w14:val="standardContextual"/>
              </w:rPr>
              <w:t>Immunsystemet</w:t>
            </w:r>
          </w:p>
        </w:tc>
      </w:tr>
      <w:tr w:rsidR="003C2BF1" w14:paraId="3FA6CE95" w14:textId="77777777" w:rsidTr="003C2BF1">
        <w:tc>
          <w:tcPr>
            <w:tcW w:w="4111" w:type="dxa"/>
            <w:tcBorders>
              <w:top w:val="single" w:sz="4" w:space="0" w:color="auto"/>
              <w:left w:val="single" w:sz="4" w:space="0" w:color="auto"/>
              <w:bottom w:val="single" w:sz="4" w:space="0" w:color="auto"/>
              <w:right w:val="single" w:sz="4" w:space="0" w:color="auto"/>
            </w:tcBorders>
            <w:hideMark/>
          </w:tcPr>
          <w:p w14:paraId="7D483C40" w14:textId="77777777" w:rsidR="003C2BF1" w:rsidRDefault="003C2BF1">
            <w:pPr>
              <w:rPr>
                <w:kern w:val="2"/>
                <w:sz w:val="22"/>
                <w:szCs w:val="22"/>
                <w:lang w:val="en-US"/>
                <w14:ligatures w14:val="standardContextual"/>
              </w:rPr>
            </w:pPr>
            <w:r>
              <w:rPr>
                <w:kern w:val="2"/>
                <w:sz w:val="22"/>
                <w:szCs w:val="22"/>
                <w:lang w:val="en-US"/>
                <w14:ligatures w14:val="standardContextual"/>
              </w:rPr>
              <w:t>Ikke almindelig</w:t>
            </w:r>
          </w:p>
        </w:tc>
        <w:tc>
          <w:tcPr>
            <w:tcW w:w="4814" w:type="dxa"/>
            <w:tcBorders>
              <w:top w:val="single" w:sz="4" w:space="0" w:color="auto"/>
              <w:left w:val="single" w:sz="4" w:space="0" w:color="auto"/>
              <w:bottom w:val="single" w:sz="4" w:space="0" w:color="auto"/>
              <w:right w:val="single" w:sz="4" w:space="0" w:color="auto"/>
            </w:tcBorders>
            <w:hideMark/>
          </w:tcPr>
          <w:p w14:paraId="573C4EC5" w14:textId="77777777" w:rsidR="003C2BF1" w:rsidRDefault="003C2BF1">
            <w:pPr>
              <w:rPr>
                <w:kern w:val="2"/>
                <w:sz w:val="22"/>
                <w:szCs w:val="22"/>
                <w14:ligatures w14:val="standardContextual"/>
              </w:rPr>
            </w:pPr>
            <w:r>
              <w:rPr>
                <w:kern w:val="2"/>
                <w:sz w:val="22"/>
                <w:szCs w:val="22"/>
                <w14:ligatures w14:val="standardContextual"/>
              </w:rPr>
              <w:t>allergiske reaktioner (f.eks. urticaria)</w:t>
            </w:r>
          </w:p>
        </w:tc>
      </w:tr>
      <w:tr w:rsidR="003C2BF1" w14:paraId="0B094AD7" w14:textId="77777777" w:rsidTr="003C2BF1">
        <w:tc>
          <w:tcPr>
            <w:tcW w:w="4111" w:type="dxa"/>
            <w:tcBorders>
              <w:top w:val="single" w:sz="4" w:space="0" w:color="auto"/>
              <w:left w:val="single" w:sz="4" w:space="0" w:color="auto"/>
              <w:bottom w:val="single" w:sz="4" w:space="0" w:color="auto"/>
              <w:right w:val="single" w:sz="4" w:space="0" w:color="auto"/>
            </w:tcBorders>
            <w:hideMark/>
          </w:tcPr>
          <w:p w14:paraId="7D4FFCFF" w14:textId="77777777" w:rsidR="003C2BF1" w:rsidRDefault="003C2BF1">
            <w:pPr>
              <w:rPr>
                <w:kern w:val="2"/>
                <w:sz w:val="22"/>
                <w:szCs w:val="22"/>
                <w:lang w:val="en-US"/>
                <w14:ligatures w14:val="standardContextual"/>
              </w:rPr>
            </w:pPr>
            <w:r>
              <w:rPr>
                <w:kern w:val="2"/>
                <w:sz w:val="22"/>
                <w:szCs w:val="22"/>
                <w:lang w:val="en-US"/>
                <w14:ligatures w14:val="standardContextual"/>
              </w:rPr>
              <w:t>Ikke kendt</w:t>
            </w:r>
          </w:p>
        </w:tc>
        <w:tc>
          <w:tcPr>
            <w:tcW w:w="4814" w:type="dxa"/>
            <w:tcBorders>
              <w:top w:val="single" w:sz="4" w:space="0" w:color="auto"/>
              <w:left w:val="single" w:sz="4" w:space="0" w:color="auto"/>
              <w:bottom w:val="single" w:sz="4" w:space="0" w:color="auto"/>
              <w:right w:val="single" w:sz="4" w:space="0" w:color="auto"/>
            </w:tcBorders>
            <w:hideMark/>
          </w:tcPr>
          <w:p w14:paraId="00A9BECC" w14:textId="77777777" w:rsidR="003C2BF1" w:rsidRDefault="003C2BF1">
            <w:pPr>
              <w:rPr>
                <w:i/>
                <w:iCs/>
                <w:kern w:val="2"/>
                <w:sz w:val="22"/>
                <w:szCs w:val="22"/>
                <w14:ligatures w14:val="standardContextual"/>
              </w:rPr>
            </w:pPr>
            <w:r>
              <w:rPr>
                <w:i/>
                <w:iCs/>
                <w:kern w:val="2"/>
                <w:sz w:val="22"/>
                <w:szCs w:val="22"/>
                <w14:ligatures w14:val="standardContextual"/>
              </w:rPr>
              <w:t>overfølsomhedssyndrom (en systemisk reaktion med en variabel tilstand som kan inkludere feber, udslæt, hepatitis, lymfadenopati, eosinofili, og nogle gange andre symptomer), anafylaksi (se pkt. 4.4).</w:t>
            </w:r>
          </w:p>
        </w:tc>
      </w:tr>
      <w:tr w:rsidR="003C2BF1" w14:paraId="61188C3E" w14:textId="77777777" w:rsidTr="003C2BF1">
        <w:tc>
          <w:tcPr>
            <w:tcW w:w="8925" w:type="dxa"/>
            <w:gridSpan w:val="2"/>
            <w:tcBorders>
              <w:top w:val="single" w:sz="4" w:space="0" w:color="auto"/>
              <w:left w:val="single" w:sz="4" w:space="0" w:color="auto"/>
              <w:bottom w:val="single" w:sz="4" w:space="0" w:color="auto"/>
              <w:right w:val="single" w:sz="4" w:space="0" w:color="auto"/>
            </w:tcBorders>
            <w:hideMark/>
          </w:tcPr>
          <w:p w14:paraId="7E88CC74" w14:textId="77777777" w:rsidR="003C2BF1" w:rsidRDefault="003C2BF1">
            <w:pPr>
              <w:rPr>
                <w:b/>
                <w:bCs/>
                <w:kern w:val="2"/>
                <w:sz w:val="22"/>
                <w:szCs w:val="22"/>
                <w:highlight w:val="yellow"/>
                <w:lang w:val="en-US"/>
                <w14:ligatures w14:val="standardContextual"/>
              </w:rPr>
            </w:pPr>
            <w:r>
              <w:rPr>
                <w:b/>
                <w:bCs/>
                <w:kern w:val="2"/>
                <w:sz w:val="22"/>
                <w:szCs w:val="22"/>
                <w:lang w:val="en-US"/>
                <w14:ligatures w14:val="standardContextual"/>
              </w:rPr>
              <w:t xml:space="preserve">Metabolisme og ernæring  </w:t>
            </w:r>
          </w:p>
        </w:tc>
      </w:tr>
      <w:tr w:rsidR="003C2BF1" w14:paraId="6A1A2FC4" w14:textId="77777777" w:rsidTr="003C2BF1">
        <w:tc>
          <w:tcPr>
            <w:tcW w:w="4111" w:type="dxa"/>
            <w:tcBorders>
              <w:top w:val="single" w:sz="4" w:space="0" w:color="auto"/>
              <w:left w:val="single" w:sz="4" w:space="0" w:color="auto"/>
              <w:bottom w:val="single" w:sz="4" w:space="0" w:color="auto"/>
              <w:right w:val="single" w:sz="4" w:space="0" w:color="auto"/>
            </w:tcBorders>
            <w:hideMark/>
          </w:tcPr>
          <w:p w14:paraId="05C8FFC4" w14:textId="77777777" w:rsidR="003C2BF1" w:rsidRDefault="003C2BF1">
            <w:pPr>
              <w:rPr>
                <w:kern w:val="2"/>
                <w:sz w:val="22"/>
                <w:szCs w:val="22"/>
                <w:lang w:val="en-US"/>
                <w14:ligatures w14:val="standardContextual"/>
              </w:rPr>
            </w:pPr>
            <w:r>
              <w:rPr>
                <w:kern w:val="2"/>
                <w:sz w:val="22"/>
                <w:szCs w:val="22"/>
                <w:lang w:val="en-US"/>
                <w14:ligatures w14:val="standardContextual"/>
              </w:rPr>
              <w:t>Almindelig</w:t>
            </w:r>
          </w:p>
        </w:tc>
        <w:tc>
          <w:tcPr>
            <w:tcW w:w="4814" w:type="dxa"/>
            <w:tcBorders>
              <w:top w:val="single" w:sz="4" w:space="0" w:color="auto"/>
              <w:left w:val="single" w:sz="4" w:space="0" w:color="auto"/>
              <w:bottom w:val="single" w:sz="4" w:space="0" w:color="auto"/>
              <w:right w:val="single" w:sz="4" w:space="0" w:color="auto"/>
            </w:tcBorders>
            <w:hideMark/>
          </w:tcPr>
          <w:p w14:paraId="0B08C27F" w14:textId="77777777" w:rsidR="003C2BF1" w:rsidRDefault="003C2BF1">
            <w:pPr>
              <w:rPr>
                <w:kern w:val="2"/>
                <w:sz w:val="22"/>
                <w:szCs w:val="22"/>
                <w:lang w:val="en-US"/>
                <w14:ligatures w14:val="standardContextual"/>
              </w:rPr>
            </w:pPr>
            <w:r>
              <w:rPr>
                <w:kern w:val="2"/>
                <w:sz w:val="22"/>
                <w:szCs w:val="22"/>
                <w:lang w:val="en-US"/>
                <w14:ligatures w14:val="standardContextual"/>
              </w:rPr>
              <w:t>appetitløshed, øget appetit</w:t>
            </w:r>
          </w:p>
        </w:tc>
      </w:tr>
      <w:tr w:rsidR="003C2BF1" w14:paraId="6DB97FD9" w14:textId="77777777" w:rsidTr="003C2BF1">
        <w:tc>
          <w:tcPr>
            <w:tcW w:w="4111" w:type="dxa"/>
            <w:tcBorders>
              <w:top w:val="single" w:sz="4" w:space="0" w:color="auto"/>
              <w:left w:val="single" w:sz="4" w:space="0" w:color="auto"/>
              <w:bottom w:val="single" w:sz="4" w:space="0" w:color="auto"/>
              <w:right w:val="single" w:sz="4" w:space="0" w:color="auto"/>
            </w:tcBorders>
            <w:hideMark/>
          </w:tcPr>
          <w:p w14:paraId="09A763CC" w14:textId="77777777" w:rsidR="003C2BF1" w:rsidRDefault="003C2BF1">
            <w:pPr>
              <w:rPr>
                <w:kern w:val="2"/>
                <w:sz w:val="22"/>
                <w:szCs w:val="22"/>
                <w:lang w:val="en-US"/>
                <w14:ligatures w14:val="standardContextual"/>
              </w:rPr>
            </w:pPr>
            <w:r>
              <w:rPr>
                <w:kern w:val="2"/>
                <w:sz w:val="22"/>
                <w:szCs w:val="22"/>
                <w:lang w:val="en-US"/>
                <w14:ligatures w14:val="standardContextual"/>
              </w:rPr>
              <w:t>Ikke almindelig</w:t>
            </w:r>
          </w:p>
        </w:tc>
        <w:tc>
          <w:tcPr>
            <w:tcW w:w="4814" w:type="dxa"/>
            <w:tcBorders>
              <w:top w:val="single" w:sz="4" w:space="0" w:color="auto"/>
              <w:left w:val="single" w:sz="4" w:space="0" w:color="auto"/>
              <w:bottom w:val="single" w:sz="4" w:space="0" w:color="auto"/>
              <w:right w:val="single" w:sz="4" w:space="0" w:color="auto"/>
            </w:tcBorders>
            <w:hideMark/>
          </w:tcPr>
          <w:p w14:paraId="75AC4AAB" w14:textId="77777777" w:rsidR="003C2BF1" w:rsidRDefault="003C2BF1">
            <w:pPr>
              <w:rPr>
                <w:kern w:val="2"/>
                <w:sz w:val="22"/>
                <w:szCs w:val="22"/>
                <w14:ligatures w14:val="standardContextual"/>
              </w:rPr>
            </w:pPr>
            <w:r>
              <w:rPr>
                <w:kern w:val="2"/>
                <w:sz w:val="22"/>
                <w:szCs w:val="22"/>
                <w14:ligatures w14:val="standardContextual"/>
              </w:rPr>
              <w:t>hyperglycæmi (oftest set hos patienter med diabetes)</w:t>
            </w:r>
          </w:p>
        </w:tc>
      </w:tr>
      <w:tr w:rsidR="003C2BF1" w14:paraId="26BFFC2F" w14:textId="77777777" w:rsidTr="003C2BF1">
        <w:tc>
          <w:tcPr>
            <w:tcW w:w="4111" w:type="dxa"/>
            <w:tcBorders>
              <w:top w:val="single" w:sz="4" w:space="0" w:color="auto"/>
              <w:left w:val="single" w:sz="4" w:space="0" w:color="auto"/>
              <w:bottom w:val="single" w:sz="4" w:space="0" w:color="auto"/>
              <w:right w:val="single" w:sz="4" w:space="0" w:color="auto"/>
            </w:tcBorders>
            <w:hideMark/>
          </w:tcPr>
          <w:p w14:paraId="006AA03F" w14:textId="77777777" w:rsidR="003C2BF1" w:rsidRDefault="003C2BF1">
            <w:pPr>
              <w:rPr>
                <w:kern w:val="2"/>
                <w:sz w:val="22"/>
                <w:szCs w:val="22"/>
                <w:lang w:val="en-US"/>
                <w14:ligatures w14:val="standardContextual"/>
              </w:rPr>
            </w:pPr>
            <w:r>
              <w:rPr>
                <w:kern w:val="2"/>
                <w:sz w:val="22"/>
                <w:szCs w:val="22"/>
                <w:lang w:val="en-US"/>
                <w14:ligatures w14:val="standardContextual"/>
              </w:rPr>
              <w:t>Sjælden</w:t>
            </w:r>
          </w:p>
        </w:tc>
        <w:tc>
          <w:tcPr>
            <w:tcW w:w="4814" w:type="dxa"/>
            <w:tcBorders>
              <w:top w:val="single" w:sz="4" w:space="0" w:color="auto"/>
              <w:left w:val="single" w:sz="4" w:space="0" w:color="auto"/>
              <w:bottom w:val="single" w:sz="4" w:space="0" w:color="auto"/>
              <w:right w:val="single" w:sz="4" w:space="0" w:color="auto"/>
            </w:tcBorders>
            <w:hideMark/>
          </w:tcPr>
          <w:p w14:paraId="15924078" w14:textId="77777777" w:rsidR="003C2BF1" w:rsidRDefault="003C2BF1">
            <w:pPr>
              <w:rPr>
                <w:kern w:val="2"/>
                <w:sz w:val="22"/>
                <w:szCs w:val="22"/>
                <w14:ligatures w14:val="standardContextual"/>
              </w:rPr>
            </w:pPr>
            <w:r>
              <w:rPr>
                <w:kern w:val="2"/>
                <w:sz w:val="22"/>
                <w:szCs w:val="22"/>
                <w14:ligatures w14:val="standardContextual"/>
              </w:rPr>
              <w:t>hypoglycæmi (oftest set hos patienter med diabetes)</w:t>
            </w:r>
          </w:p>
        </w:tc>
      </w:tr>
      <w:tr w:rsidR="003C2BF1" w14:paraId="4EEC48A7" w14:textId="77777777" w:rsidTr="003C2BF1">
        <w:tc>
          <w:tcPr>
            <w:tcW w:w="4111" w:type="dxa"/>
            <w:tcBorders>
              <w:top w:val="single" w:sz="4" w:space="0" w:color="auto"/>
              <w:left w:val="single" w:sz="4" w:space="0" w:color="auto"/>
              <w:bottom w:val="single" w:sz="4" w:space="0" w:color="auto"/>
              <w:right w:val="single" w:sz="4" w:space="0" w:color="auto"/>
            </w:tcBorders>
            <w:hideMark/>
          </w:tcPr>
          <w:p w14:paraId="2E3A6C15" w14:textId="77777777" w:rsidR="003C2BF1" w:rsidRDefault="003C2BF1">
            <w:pPr>
              <w:rPr>
                <w:kern w:val="2"/>
                <w:sz w:val="22"/>
                <w:szCs w:val="22"/>
                <w:lang w:val="en-US"/>
                <w14:ligatures w14:val="standardContextual"/>
              </w:rPr>
            </w:pPr>
            <w:r>
              <w:rPr>
                <w:kern w:val="2"/>
                <w:sz w:val="22"/>
                <w:szCs w:val="22"/>
                <w:lang w:val="en-US"/>
                <w14:ligatures w14:val="standardContextual"/>
              </w:rPr>
              <w:t>Ikke kendt</w:t>
            </w:r>
          </w:p>
        </w:tc>
        <w:tc>
          <w:tcPr>
            <w:tcW w:w="4814" w:type="dxa"/>
            <w:tcBorders>
              <w:top w:val="single" w:sz="4" w:space="0" w:color="auto"/>
              <w:left w:val="single" w:sz="4" w:space="0" w:color="auto"/>
              <w:bottom w:val="single" w:sz="4" w:space="0" w:color="auto"/>
              <w:right w:val="single" w:sz="4" w:space="0" w:color="auto"/>
            </w:tcBorders>
            <w:hideMark/>
          </w:tcPr>
          <w:p w14:paraId="12512B06" w14:textId="77777777" w:rsidR="003C2BF1" w:rsidRDefault="003C2BF1">
            <w:pPr>
              <w:rPr>
                <w:i/>
                <w:iCs/>
                <w:kern w:val="2"/>
                <w:sz w:val="22"/>
                <w:szCs w:val="22"/>
                <w:lang w:val="en-US"/>
                <w14:ligatures w14:val="standardContextual"/>
              </w:rPr>
            </w:pPr>
            <w:r>
              <w:rPr>
                <w:i/>
                <w:iCs/>
                <w:kern w:val="2"/>
                <w:sz w:val="22"/>
                <w:szCs w:val="22"/>
                <w:lang w:val="en-US"/>
                <w14:ligatures w14:val="standardContextual"/>
              </w:rPr>
              <w:t>hyponatriæmi</w:t>
            </w:r>
          </w:p>
        </w:tc>
      </w:tr>
      <w:tr w:rsidR="003C2BF1" w14:paraId="38326066" w14:textId="77777777" w:rsidTr="003C2BF1">
        <w:tc>
          <w:tcPr>
            <w:tcW w:w="8925" w:type="dxa"/>
            <w:gridSpan w:val="2"/>
            <w:tcBorders>
              <w:top w:val="single" w:sz="4" w:space="0" w:color="auto"/>
              <w:left w:val="single" w:sz="4" w:space="0" w:color="auto"/>
              <w:bottom w:val="single" w:sz="4" w:space="0" w:color="auto"/>
              <w:right w:val="single" w:sz="4" w:space="0" w:color="auto"/>
            </w:tcBorders>
            <w:hideMark/>
          </w:tcPr>
          <w:p w14:paraId="59AC0B17" w14:textId="77777777" w:rsidR="003C2BF1" w:rsidRDefault="003C2BF1">
            <w:pPr>
              <w:rPr>
                <w:kern w:val="2"/>
                <w:sz w:val="22"/>
                <w:szCs w:val="22"/>
                <w:highlight w:val="yellow"/>
                <w:lang w:val="en-US"/>
                <w14:ligatures w14:val="standardContextual"/>
              </w:rPr>
            </w:pPr>
            <w:r>
              <w:rPr>
                <w:b/>
                <w:bCs/>
                <w:kern w:val="2"/>
                <w:sz w:val="22"/>
                <w:szCs w:val="22"/>
                <w:lang w:val="en-US"/>
                <w14:ligatures w14:val="standardContextual"/>
              </w:rPr>
              <w:lastRenderedPageBreak/>
              <w:t>Psykiske forstyrrelser</w:t>
            </w:r>
          </w:p>
        </w:tc>
      </w:tr>
      <w:tr w:rsidR="003C2BF1" w14:paraId="317A6CF6" w14:textId="77777777" w:rsidTr="003C2BF1">
        <w:tc>
          <w:tcPr>
            <w:tcW w:w="4111" w:type="dxa"/>
            <w:tcBorders>
              <w:top w:val="single" w:sz="4" w:space="0" w:color="auto"/>
              <w:left w:val="single" w:sz="4" w:space="0" w:color="auto"/>
              <w:bottom w:val="single" w:sz="4" w:space="0" w:color="auto"/>
              <w:right w:val="single" w:sz="4" w:space="0" w:color="auto"/>
            </w:tcBorders>
            <w:hideMark/>
          </w:tcPr>
          <w:p w14:paraId="7FA90A3C" w14:textId="77777777" w:rsidR="003C2BF1" w:rsidRDefault="003C2BF1">
            <w:pPr>
              <w:rPr>
                <w:kern w:val="2"/>
                <w:sz w:val="22"/>
                <w:szCs w:val="22"/>
                <w:lang w:val="en-US"/>
                <w14:ligatures w14:val="standardContextual"/>
              </w:rPr>
            </w:pPr>
            <w:r>
              <w:rPr>
                <w:kern w:val="2"/>
                <w:sz w:val="22"/>
                <w:szCs w:val="22"/>
                <w:lang w:val="en-US"/>
                <w14:ligatures w14:val="standardContextual"/>
              </w:rPr>
              <w:t xml:space="preserve">Almindelig </w:t>
            </w:r>
          </w:p>
        </w:tc>
        <w:tc>
          <w:tcPr>
            <w:tcW w:w="4814" w:type="dxa"/>
            <w:tcBorders>
              <w:top w:val="single" w:sz="4" w:space="0" w:color="auto"/>
              <w:left w:val="single" w:sz="4" w:space="0" w:color="auto"/>
              <w:bottom w:val="single" w:sz="4" w:space="0" w:color="auto"/>
              <w:right w:val="single" w:sz="4" w:space="0" w:color="auto"/>
            </w:tcBorders>
            <w:hideMark/>
          </w:tcPr>
          <w:p w14:paraId="12FA9031" w14:textId="77777777" w:rsidR="003C2BF1" w:rsidRDefault="003C2BF1">
            <w:pPr>
              <w:rPr>
                <w:kern w:val="2"/>
                <w:sz w:val="22"/>
                <w:szCs w:val="22"/>
                <w14:ligatures w14:val="standardContextual"/>
              </w:rPr>
            </w:pPr>
            <w:r>
              <w:rPr>
                <w:kern w:val="2"/>
                <w:sz w:val="22"/>
                <w:szCs w:val="22"/>
                <w14:ligatures w14:val="standardContextual"/>
              </w:rPr>
              <w:t>fjendtlighed, konfusion og følelsesmæssig labilitet, depression, angst, nervøsitet, abnorm tankegang</w:t>
            </w:r>
          </w:p>
        </w:tc>
      </w:tr>
      <w:tr w:rsidR="003C2BF1" w14:paraId="7EBF6BD6" w14:textId="77777777" w:rsidTr="003C2BF1">
        <w:tc>
          <w:tcPr>
            <w:tcW w:w="4111" w:type="dxa"/>
            <w:tcBorders>
              <w:top w:val="single" w:sz="4" w:space="0" w:color="auto"/>
              <w:left w:val="single" w:sz="4" w:space="0" w:color="auto"/>
              <w:bottom w:val="single" w:sz="4" w:space="0" w:color="auto"/>
              <w:right w:val="single" w:sz="4" w:space="0" w:color="auto"/>
            </w:tcBorders>
            <w:hideMark/>
          </w:tcPr>
          <w:p w14:paraId="40B2E5F2" w14:textId="77777777" w:rsidR="003C2BF1" w:rsidRDefault="003C2BF1">
            <w:pPr>
              <w:rPr>
                <w:kern w:val="2"/>
                <w:sz w:val="22"/>
                <w:szCs w:val="22"/>
                <w:lang w:val="en-US"/>
                <w14:ligatures w14:val="standardContextual"/>
              </w:rPr>
            </w:pPr>
            <w:r>
              <w:rPr>
                <w:kern w:val="2"/>
                <w:sz w:val="22"/>
                <w:szCs w:val="22"/>
                <w:lang w:val="en-US"/>
                <w14:ligatures w14:val="standardContextual"/>
              </w:rPr>
              <w:t>Ikke almindelig</w:t>
            </w:r>
          </w:p>
        </w:tc>
        <w:tc>
          <w:tcPr>
            <w:tcW w:w="4814" w:type="dxa"/>
            <w:tcBorders>
              <w:top w:val="single" w:sz="4" w:space="0" w:color="auto"/>
              <w:left w:val="single" w:sz="4" w:space="0" w:color="auto"/>
              <w:bottom w:val="single" w:sz="4" w:space="0" w:color="auto"/>
              <w:right w:val="single" w:sz="4" w:space="0" w:color="auto"/>
            </w:tcBorders>
            <w:hideMark/>
          </w:tcPr>
          <w:p w14:paraId="2A2C40D1" w14:textId="77777777" w:rsidR="003C2BF1" w:rsidRDefault="003C2BF1">
            <w:pPr>
              <w:rPr>
                <w:kern w:val="2"/>
                <w:sz w:val="22"/>
                <w:szCs w:val="22"/>
                <w:lang w:val="en-US"/>
                <w14:ligatures w14:val="standardContextual"/>
              </w:rPr>
            </w:pPr>
            <w:r>
              <w:rPr>
                <w:kern w:val="2"/>
                <w:sz w:val="22"/>
                <w:szCs w:val="22"/>
                <w:lang w:val="en-US"/>
                <w14:ligatures w14:val="standardContextual"/>
              </w:rPr>
              <w:t>agitation</w:t>
            </w:r>
          </w:p>
        </w:tc>
      </w:tr>
      <w:tr w:rsidR="003C2BF1" w14:paraId="61F6A680" w14:textId="77777777" w:rsidTr="003C2BF1">
        <w:tc>
          <w:tcPr>
            <w:tcW w:w="4111" w:type="dxa"/>
            <w:tcBorders>
              <w:top w:val="single" w:sz="4" w:space="0" w:color="auto"/>
              <w:left w:val="single" w:sz="4" w:space="0" w:color="auto"/>
              <w:bottom w:val="single" w:sz="4" w:space="0" w:color="auto"/>
              <w:right w:val="single" w:sz="4" w:space="0" w:color="auto"/>
            </w:tcBorders>
            <w:hideMark/>
          </w:tcPr>
          <w:p w14:paraId="1098EFC0" w14:textId="77777777" w:rsidR="003C2BF1" w:rsidRDefault="003C2BF1">
            <w:pPr>
              <w:rPr>
                <w:kern w:val="2"/>
                <w:sz w:val="22"/>
                <w:szCs w:val="22"/>
                <w:lang w:val="en-US"/>
                <w14:ligatures w14:val="standardContextual"/>
              </w:rPr>
            </w:pPr>
            <w:r>
              <w:rPr>
                <w:kern w:val="2"/>
                <w:sz w:val="22"/>
                <w:szCs w:val="22"/>
                <w:lang w:val="en-US"/>
                <w14:ligatures w14:val="standardContextual"/>
              </w:rPr>
              <w:t>Ikke kendt</w:t>
            </w:r>
          </w:p>
        </w:tc>
        <w:tc>
          <w:tcPr>
            <w:tcW w:w="4814" w:type="dxa"/>
            <w:tcBorders>
              <w:top w:val="single" w:sz="4" w:space="0" w:color="auto"/>
              <w:left w:val="single" w:sz="4" w:space="0" w:color="auto"/>
              <w:bottom w:val="single" w:sz="4" w:space="0" w:color="auto"/>
              <w:right w:val="single" w:sz="4" w:space="0" w:color="auto"/>
            </w:tcBorders>
            <w:hideMark/>
          </w:tcPr>
          <w:p w14:paraId="563247BB" w14:textId="77777777" w:rsidR="003C2BF1" w:rsidRDefault="003C2BF1">
            <w:pPr>
              <w:rPr>
                <w:i/>
                <w:iCs/>
                <w:kern w:val="2"/>
                <w:sz w:val="22"/>
                <w:szCs w:val="22"/>
                <w:lang w:val="en-US"/>
                <w14:ligatures w14:val="standardContextual"/>
              </w:rPr>
            </w:pPr>
            <w:r>
              <w:rPr>
                <w:i/>
                <w:iCs/>
                <w:kern w:val="2"/>
                <w:sz w:val="22"/>
                <w:szCs w:val="22"/>
                <w:lang w:val="en-US"/>
                <w14:ligatures w14:val="standardContextual"/>
              </w:rPr>
              <w:t>selvmordstanker, hallucinationer, stofafhængighed</w:t>
            </w:r>
          </w:p>
        </w:tc>
      </w:tr>
      <w:tr w:rsidR="003C2BF1" w14:paraId="16A13C92" w14:textId="77777777" w:rsidTr="003C2BF1">
        <w:tc>
          <w:tcPr>
            <w:tcW w:w="8925" w:type="dxa"/>
            <w:gridSpan w:val="2"/>
            <w:tcBorders>
              <w:top w:val="single" w:sz="4" w:space="0" w:color="auto"/>
              <w:left w:val="single" w:sz="4" w:space="0" w:color="auto"/>
              <w:bottom w:val="single" w:sz="4" w:space="0" w:color="auto"/>
              <w:right w:val="single" w:sz="4" w:space="0" w:color="auto"/>
            </w:tcBorders>
            <w:hideMark/>
          </w:tcPr>
          <w:p w14:paraId="4E5E66F9" w14:textId="77777777" w:rsidR="003C2BF1" w:rsidRDefault="003C2BF1">
            <w:pPr>
              <w:rPr>
                <w:b/>
                <w:bCs/>
                <w:kern w:val="2"/>
                <w:sz w:val="22"/>
                <w:szCs w:val="22"/>
                <w:highlight w:val="yellow"/>
                <w:lang w:val="en-US"/>
                <w14:ligatures w14:val="standardContextual"/>
              </w:rPr>
            </w:pPr>
            <w:r>
              <w:rPr>
                <w:b/>
                <w:bCs/>
                <w:kern w:val="2"/>
                <w:sz w:val="22"/>
                <w:szCs w:val="22"/>
                <w:lang w:val="en-US"/>
                <w14:ligatures w14:val="standardContextual"/>
              </w:rPr>
              <w:t>Nervesystemet</w:t>
            </w:r>
          </w:p>
        </w:tc>
      </w:tr>
      <w:tr w:rsidR="003C2BF1" w14:paraId="6DF090A4" w14:textId="77777777" w:rsidTr="003C2BF1">
        <w:tc>
          <w:tcPr>
            <w:tcW w:w="4111" w:type="dxa"/>
            <w:tcBorders>
              <w:top w:val="single" w:sz="4" w:space="0" w:color="auto"/>
              <w:left w:val="single" w:sz="4" w:space="0" w:color="auto"/>
              <w:bottom w:val="single" w:sz="4" w:space="0" w:color="auto"/>
              <w:right w:val="single" w:sz="4" w:space="0" w:color="auto"/>
            </w:tcBorders>
            <w:hideMark/>
          </w:tcPr>
          <w:p w14:paraId="429D65E9" w14:textId="77777777" w:rsidR="003C2BF1" w:rsidRDefault="003C2BF1">
            <w:pPr>
              <w:rPr>
                <w:kern w:val="2"/>
                <w:sz w:val="22"/>
                <w:szCs w:val="22"/>
                <w:lang w:val="en-US"/>
                <w14:ligatures w14:val="standardContextual"/>
              </w:rPr>
            </w:pPr>
            <w:r>
              <w:rPr>
                <w:kern w:val="2"/>
                <w:sz w:val="22"/>
                <w:szCs w:val="22"/>
                <w:lang w:val="en-US"/>
                <w14:ligatures w14:val="standardContextual"/>
              </w:rPr>
              <w:t>Meget almindelig</w:t>
            </w:r>
          </w:p>
        </w:tc>
        <w:tc>
          <w:tcPr>
            <w:tcW w:w="4814" w:type="dxa"/>
            <w:tcBorders>
              <w:top w:val="single" w:sz="4" w:space="0" w:color="auto"/>
              <w:left w:val="single" w:sz="4" w:space="0" w:color="auto"/>
              <w:bottom w:val="single" w:sz="4" w:space="0" w:color="auto"/>
              <w:right w:val="single" w:sz="4" w:space="0" w:color="auto"/>
            </w:tcBorders>
            <w:hideMark/>
          </w:tcPr>
          <w:p w14:paraId="2B5B7051" w14:textId="77777777" w:rsidR="003C2BF1" w:rsidRDefault="003C2BF1">
            <w:pPr>
              <w:rPr>
                <w:kern w:val="2"/>
                <w:sz w:val="22"/>
                <w:szCs w:val="22"/>
                <w:lang w:val="en-US"/>
                <w14:ligatures w14:val="standardContextual"/>
              </w:rPr>
            </w:pPr>
            <w:r>
              <w:rPr>
                <w:kern w:val="2"/>
                <w:sz w:val="22"/>
                <w:szCs w:val="22"/>
                <w:lang w:val="en-US"/>
                <w14:ligatures w14:val="standardContextual"/>
              </w:rPr>
              <w:t>søvnighed, svimmelhed, ataksi</w:t>
            </w:r>
          </w:p>
        </w:tc>
      </w:tr>
      <w:tr w:rsidR="003C2BF1" w14:paraId="166A1079" w14:textId="77777777" w:rsidTr="003C2BF1">
        <w:tc>
          <w:tcPr>
            <w:tcW w:w="4111" w:type="dxa"/>
            <w:tcBorders>
              <w:top w:val="single" w:sz="4" w:space="0" w:color="auto"/>
              <w:left w:val="single" w:sz="4" w:space="0" w:color="auto"/>
              <w:bottom w:val="single" w:sz="4" w:space="0" w:color="auto"/>
              <w:right w:val="single" w:sz="4" w:space="0" w:color="auto"/>
            </w:tcBorders>
            <w:hideMark/>
          </w:tcPr>
          <w:p w14:paraId="40E9CCC7" w14:textId="77777777" w:rsidR="003C2BF1" w:rsidRDefault="003C2BF1">
            <w:pPr>
              <w:rPr>
                <w:kern w:val="2"/>
                <w:sz w:val="22"/>
                <w:szCs w:val="22"/>
                <w:lang w:val="en-US"/>
                <w14:ligatures w14:val="standardContextual"/>
              </w:rPr>
            </w:pPr>
            <w:r>
              <w:rPr>
                <w:kern w:val="2"/>
                <w:sz w:val="22"/>
                <w:szCs w:val="22"/>
                <w:lang w:val="en-US"/>
                <w14:ligatures w14:val="standardContextual"/>
              </w:rPr>
              <w:t>Almindelig</w:t>
            </w:r>
          </w:p>
        </w:tc>
        <w:tc>
          <w:tcPr>
            <w:tcW w:w="4814" w:type="dxa"/>
            <w:tcBorders>
              <w:top w:val="single" w:sz="4" w:space="0" w:color="auto"/>
              <w:left w:val="single" w:sz="4" w:space="0" w:color="auto"/>
              <w:bottom w:val="single" w:sz="4" w:space="0" w:color="auto"/>
              <w:right w:val="single" w:sz="4" w:space="0" w:color="auto"/>
            </w:tcBorders>
            <w:hideMark/>
          </w:tcPr>
          <w:p w14:paraId="6461C907" w14:textId="77777777" w:rsidR="003C2BF1" w:rsidRDefault="003C2BF1">
            <w:pPr>
              <w:rPr>
                <w:kern w:val="2"/>
                <w:sz w:val="22"/>
                <w:szCs w:val="22"/>
                <w14:ligatures w14:val="standardContextual"/>
              </w:rPr>
            </w:pPr>
            <w:r>
              <w:rPr>
                <w:kern w:val="2"/>
                <w:sz w:val="22"/>
                <w:szCs w:val="22"/>
                <w14:ligatures w14:val="standardContextual"/>
              </w:rPr>
              <w:t>krampeanfald, hyperkinesi, dysartri, amnesi, tremor, søvnløshed, hovedpine, berøringsfølelse som f.eks. paræstesi, hypæstesi, unormal koordination, nystagmus, forstærkede, nedsatte eller fraværende reflekser</w:t>
            </w:r>
          </w:p>
        </w:tc>
      </w:tr>
      <w:tr w:rsidR="003C2BF1" w14:paraId="007878E3" w14:textId="77777777" w:rsidTr="003C2BF1">
        <w:tc>
          <w:tcPr>
            <w:tcW w:w="4111" w:type="dxa"/>
            <w:tcBorders>
              <w:top w:val="single" w:sz="4" w:space="0" w:color="auto"/>
              <w:left w:val="single" w:sz="4" w:space="0" w:color="auto"/>
              <w:bottom w:val="single" w:sz="4" w:space="0" w:color="auto"/>
              <w:right w:val="single" w:sz="4" w:space="0" w:color="auto"/>
            </w:tcBorders>
            <w:hideMark/>
          </w:tcPr>
          <w:p w14:paraId="7E06C041" w14:textId="77777777" w:rsidR="003C2BF1" w:rsidRDefault="003C2BF1">
            <w:pPr>
              <w:rPr>
                <w:kern w:val="2"/>
                <w:sz w:val="22"/>
                <w:szCs w:val="22"/>
                <w:lang w:val="en-US"/>
                <w14:ligatures w14:val="standardContextual"/>
              </w:rPr>
            </w:pPr>
            <w:r>
              <w:rPr>
                <w:kern w:val="2"/>
                <w:sz w:val="22"/>
                <w:szCs w:val="22"/>
                <w:lang w:val="en-US"/>
                <w14:ligatures w14:val="standardContextual"/>
              </w:rPr>
              <w:t>Ikke almindelig</w:t>
            </w:r>
          </w:p>
        </w:tc>
        <w:tc>
          <w:tcPr>
            <w:tcW w:w="4814" w:type="dxa"/>
            <w:tcBorders>
              <w:top w:val="single" w:sz="4" w:space="0" w:color="auto"/>
              <w:left w:val="single" w:sz="4" w:space="0" w:color="auto"/>
              <w:bottom w:val="single" w:sz="4" w:space="0" w:color="auto"/>
              <w:right w:val="single" w:sz="4" w:space="0" w:color="auto"/>
            </w:tcBorders>
            <w:hideMark/>
          </w:tcPr>
          <w:p w14:paraId="640A76B2" w14:textId="77777777" w:rsidR="003C2BF1" w:rsidRDefault="003C2BF1">
            <w:pPr>
              <w:rPr>
                <w:kern w:val="2"/>
                <w:sz w:val="22"/>
                <w:szCs w:val="22"/>
                <w:lang w:val="en-US"/>
                <w14:ligatures w14:val="standardContextual"/>
              </w:rPr>
            </w:pPr>
            <w:r>
              <w:rPr>
                <w:kern w:val="2"/>
                <w:sz w:val="22"/>
                <w:szCs w:val="22"/>
                <w:lang w:val="en-US"/>
                <w14:ligatures w14:val="standardContextual"/>
              </w:rPr>
              <w:t>hypokinesi, mental svækkelse</w:t>
            </w:r>
          </w:p>
        </w:tc>
      </w:tr>
      <w:tr w:rsidR="003C2BF1" w14:paraId="4A743CC6" w14:textId="77777777" w:rsidTr="003C2BF1">
        <w:tc>
          <w:tcPr>
            <w:tcW w:w="4111" w:type="dxa"/>
            <w:tcBorders>
              <w:top w:val="single" w:sz="4" w:space="0" w:color="auto"/>
              <w:left w:val="single" w:sz="4" w:space="0" w:color="auto"/>
              <w:bottom w:val="single" w:sz="4" w:space="0" w:color="auto"/>
              <w:right w:val="single" w:sz="4" w:space="0" w:color="auto"/>
            </w:tcBorders>
            <w:hideMark/>
          </w:tcPr>
          <w:p w14:paraId="28C2575C" w14:textId="77777777" w:rsidR="003C2BF1" w:rsidRDefault="003C2BF1">
            <w:pPr>
              <w:rPr>
                <w:kern w:val="2"/>
                <w:sz w:val="22"/>
                <w:szCs w:val="22"/>
                <w:lang w:val="en-US"/>
                <w14:ligatures w14:val="standardContextual"/>
              </w:rPr>
            </w:pPr>
            <w:r>
              <w:rPr>
                <w:kern w:val="2"/>
                <w:sz w:val="22"/>
                <w:szCs w:val="22"/>
                <w:lang w:val="en-US"/>
                <w14:ligatures w14:val="standardContextual"/>
              </w:rPr>
              <w:t>Sjælden</w:t>
            </w:r>
          </w:p>
        </w:tc>
        <w:tc>
          <w:tcPr>
            <w:tcW w:w="4814" w:type="dxa"/>
            <w:tcBorders>
              <w:top w:val="single" w:sz="4" w:space="0" w:color="auto"/>
              <w:left w:val="single" w:sz="4" w:space="0" w:color="auto"/>
              <w:bottom w:val="single" w:sz="4" w:space="0" w:color="auto"/>
              <w:right w:val="single" w:sz="4" w:space="0" w:color="auto"/>
            </w:tcBorders>
            <w:hideMark/>
          </w:tcPr>
          <w:p w14:paraId="429E356C" w14:textId="77777777" w:rsidR="003C2BF1" w:rsidRDefault="003C2BF1">
            <w:pPr>
              <w:rPr>
                <w:kern w:val="2"/>
                <w:sz w:val="22"/>
                <w:szCs w:val="22"/>
                <w:lang w:val="en-US"/>
                <w14:ligatures w14:val="standardContextual"/>
              </w:rPr>
            </w:pPr>
            <w:r>
              <w:rPr>
                <w:kern w:val="2"/>
                <w:sz w:val="22"/>
                <w:szCs w:val="22"/>
                <w:lang w:val="en-US"/>
                <w14:ligatures w14:val="standardContextual"/>
              </w:rPr>
              <w:t>bevidsthedstab</w:t>
            </w:r>
          </w:p>
        </w:tc>
      </w:tr>
      <w:tr w:rsidR="003C2BF1" w14:paraId="556DB509" w14:textId="77777777" w:rsidTr="003C2BF1">
        <w:tc>
          <w:tcPr>
            <w:tcW w:w="4111" w:type="dxa"/>
            <w:tcBorders>
              <w:top w:val="single" w:sz="4" w:space="0" w:color="auto"/>
              <w:left w:val="single" w:sz="4" w:space="0" w:color="auto"/>
              <w:bottom w:val="single" w:sz="4" w:space="0" w:color="auto"/>
              <w:right w:val="single" w:sz="4" w:space="0" w:color="auto"/>
            </w:tcBorders>
            <w:hideMark/>
          </w:tcPr>
          <w:p w14:paraId="684C537D" w14:textId="77777777" w:rsidR="003C2BF1" w:rsidRDefault="003C2BF1">
            <w:pPr>
              <w:rPr>
                <w:kern w:val="2"/>
                <w:sz w:val="22"/>
                <w:szCs w:val="22"/>
                <w:lang w:val="en-US"/>
                <w14:ligatures w14:val="standardContextual"/>
              </w:rPr>
            </w:pPr>
            <w:r>
              <w:rPr>
                <w:kern w:val="2"/>
                <w:sz w:val="22"/>
                <w:szCs w:val="22"/>
                <w:lang w:val="en-US"/>
                <w14:ligatures w14:val="standardContextual"/>
              </w:rPr>
              <w:t>Ikke kendt</w:t>
            </w:r>
          </w:p>
        </w:tc>
        <w:tc>
          <w:tcPr>
            <w:tcW w:w="4814" w:type="dxa"/>
            <w:tcBorders>
              <w:top w:val="single" w:sz="4" w:space="0" w:color="auto"/>
              <w:left w:val="single" w:sz="4" w:space="0" w:color="auto"/>
              <w:bottom w:val="single" w:sz="4" w:space="0" w:color="auto"/>
              <w:right w:val="single" w:sz="4" w:space="0" w:color="auto"/>
            </w:tcBorders>
            <w:hideMark/>
          </w:tcPr>
          <w:p w14:paraId="532BE143" w14:textId="77777777" w:rsidR="003C2BF1" w:rsidRDefault="003C2BF1">
            <w:pPr>
              <w:rPr>
                <w:i/>
                <w:iCs/>
                <w:kern w:val="2"/>
                <w:sz w:val="22"/>
                <w:szCs w:val="22"/>
                <w14:ligatures w14:val="standardContextual"/>
              </w:rPr>
            </w:pPr>
            <w:r>
              <w:rPr>
                <w:i/>
                <w:iCs/>
                <w:kern w:val="2"/>
                <w:sz w:val="22"/>
                <w:szCs w:val="22"/>
                <w14:ligatures w14:val="standardContextual"/>
              </w:rPr>
              <w:t>andre forstyrrelser i bevægeapparatet (f.eks. choreoatetose, dyskinesi, dystoni)</w:t>
            </w:r>
          </w:p>
        </w:tc>
      </w:tr>
      <w:tr w:rsidR="003C2BF1" w14:paraId="271CAD05" w14:textId="77777777" w:rsidTr="003C2BF1">
        <w:tc>
          <w:tcPr>
            <w:tcW w:w="8925" w:type="dxa"/>
            <w:gridSpan w:val="2"/>
            <w:tcBorders>
              <w:top w:val="single" w:sz="4" w:space="0" w:color="auto"/>
              <w:left w:val="single" w:sz="4" w:space="0" w:color="auto"/>
              <w:bottom w:val="single" w:sz="4" w:space="0" w:color="auto"/>
              <w:right w:val="single" w:sz="4" w:space="0" w:color="auto"/>
            </w:tcBorders>
            <w:hideMark/>
          </w:tcPr>
          <w:p w14:paraId="6CC6F11C" w14:textId="77777777" w:rsidR="003C2BF1" w:rsidRDefault="003C2BF1">
            <w:pPr>
              <w:rPr>
                <w:b/>
                <w:bCs/>
                <w:kern w:val="2"/>
                <w:sz w:val="22"/>
                <w:szCs w:val="22"/>
                <w:highlight w:val="yellow"/>
                <w:lang w:val="en-US"/>
                <w14:ligatures w14:val="standardContextual"/>
              </w:rPr>
            </w:pPr>
            <w:r>
              <w:rPr>
                <w:b/>
                <w:bCs/>
                <w:kern w:val="2"/>
                <w:sz w:val="22"/>
                <w:szCs w:val="22"/>
                <w:lang w:val="en-US"/>
                <w14:ligatures w14:val="standardContextual"/>
              </w:rPr>
              <w:t>Øjne</w:t>
            </w:r>
          </w:p>
        </w:tc>
      </w:tr>
      <w:tr w:rsidR="003C2BF1" w14:paraId="7FE40A93" w14:textId="77777777" w:rsidTr="003C2BF1">
        <w:tc>
          <w:tcPr>
            <w:tcW w:w="4111" w:type="dxa"/>
            <w:tcBorders>
              <w:top w:val="single" w:sz="4" w:space="0" w:color="auto"/>
              <w:left w:val="single" w:sz="4" w:space="0" w:color="auto"/>
              <w:bottom w:val="single" w:sz="4" w:space="0" w:color="auto"/>
              <w:right w:val="single" w:sz="4" w:space="0" w:color="auto"/>
            </w:tcBorders>
            <w:hideMark/>
          </w:tcPr>
          <w:p w14:paraId="12265762" w14:textId="77777777" w:rsidR="003C2BF1" w:rsidRDefault="003C2BF1">
            <w:pPr>
              <w:rPr>
                <w:kern w:val="2"/>
                <w:sz w:val="22"/>
                <w:szCs w:val="22"/>
                <w:lang w:val="en-US"/>
                <w14:ligatures w14:val="standardContextual"/>
              </w:rPr>
            </w:pPr>
            <w:r>
              <w:rPr>
                <w:kern w:val="2"/>
                <w:sz w:val="22"/>
                <w:szCs w:val="22"/>
                <w:lang w:val="en-US"/>
                <w14:ligatures w14:val="standardContextual"/>
              </w:rPr>
              <w:t>Almindelig</w:t>
            </w:r>
          </w:p>
        </w:tc>
        <w:tc>
          <w:tcPr>
            <w:tcW w:w="4814" w:type="dxa"/>
            <w:tcBorders>
              <w:top w:val="single" w:sz="4" w:space="0" w:color="auto"/>
              <w:left w:val="single" w:sz="4" w:space="0" w:color="auto"/>
              <w:bottom w:val="single" w:sz="4" w:space="0" w:color="auto"/>
              <w:right w:val="single" w:sz="4" w:space="0" w:color="auto"/>
            </w:tcBorders>
            <w:hideMark/>
          </w:tcPr>
          <w:p w14:paraId="63F317C7" w14:textId="77777777" w:rsidR="003C2BF1" w:rsidRDefault="003C2BF1">
            <w:pPr>
              <w:rPr>
                <w:kern w:val="2"/>
                <w:sz w:val="22"/>
                <w:szCs w:val="22"/>
                <w14:ligatures w14:val="standardContextual"/>
              </w:rPr>
            </w:pPr>
            <w:r>
              <w:rPr>
                <w:kern w:val="2"/>
                <w:sz w:val="22"/>
                <w:szCs w:val="22"/>
                <w14:ligatures w14:val="standardContextual"/>
              </w:rPr>
              <w:t>synsforstyrrelser, som f.eks. amblyopi, diplopi</w:t>
            </w:r>
          </w:p>
        </w:tc>
      </w:tr>
      <w:tr w:rsidR="003C2BF1" w14:paraId="6627478A" w14:textId="77777777" w:rsidTr="003C2BF1">
        <w:tc>
          <w:tcPr>
            <w:tcW w:w="8925" w:type="dxa"/>
            <w:gridSpan w:val="2"/>
            <w:tcBorders>
              <w:top w:val="single" w:sz="4" w:space="0" w:color="auto"/>
              <w:left w:val="single" w:sz="4" w:space="0" w:color="auto"/>
              <w:bottom w:val="single" w:sz="4" w:space="0" w:color="auto"/>
              <w:right w:val="single" w:sz="4" w:space="0" w:color="auto"/>
            </w:tcBorders>
            <w:hideMark/>
          </w:tcPr>
          <w:p w14:paraId="6A76AF12" w14:textId="77777777" w:rsidR="003C2BF1" w:rsidRDefault="003C2BF1">
            <w:pPr>
              <w:rPr>
                <w:b/>
                <w:bCs/>
                <w:kern w:val="2"/>
                <w:sz w:val="22"/>
                <w:szCs w:val="22"/>
                <w:lang w:val="en-US"/>
                <w14:ligatures w14:val="standardContextual"/>
              </w:rPr>
            </w:pPr>
            <w:r>
              <w:rPr>
                <w:b/>
                <w:bCs/>
                <w:kern w:val="2"/>
                <w:sz w:val="22"/>
                <w:szCs w:val="22"/>
                <w:lang w:val="en-US"/>
                <w14:ligatures w14:val="standardContextual"/>
              </w:rPr>
              <w:t xml:space="preserve">Øre og labyrint  </w:t>
            </w:r>
          </w:p>
        </w:tc>
      </w:tr>
      <w:tr w:rsidR="003C2BF1" w14:paraId="362F8D2E" w14:textId="77777777" w:rsidTr="003C2BF1">
        <w:tc>
          <w:tcPr>
            <w:tcW w:w="4111" w:type="dxa"/>
            <w:tcBorders>
              <w:top w:val="single" w:sz="4" w:space="0" w:color="auto"/>
              <w:left w:val="single" w:sz="4" w:space="0" w:color="auto"/>
              <w:bottom w:val="single" w:sz="4" w:space="0" w:color="auto"/>
              <w:right w:val="single" w:sz="4" w:space="0" w:color="auto"/>
            </w:tcBorders>
            <w:hideMark/>
          </w:tcPr>
          <w:p w14:paraId="0BF05898" w14:textId="77777777" w:rsidR="003C2BF1" w:rsidRDefault="003C2BF1">
            <w:pPr>
              <w:rPr>
                <w:kern w:val="2"/>
                <w:sz w:val="22"/>
                <w:szCs w:val="22"/>
                <w:lang w:val="en-US"/>
                <w14:ligatures w14:val="standardContextual"/>
              </w:rPr>
            </w:pPr>
            <w:r>
              <w:rPr>
                <w:kern w:val="2"/>
                <w:sz w:val="22"/>
                <w:szCs w:val="22"/>
                <w:lang w:val="en-US"/>
                <w14:ligatures w14:val="standardContextual"/>
              </w:rPr>
              <w:t>Almindelig</w:t>
            </w:r>
          </w:p>
        </w:tc>
        <w:tc>
          <w:tcPr>
            <w:tcW w:w="4814" w:type="dxa"/>
            <w:tcBorders>
              <w:top w:val="single" w:sz="4" w:space="0" w:color="auto"/>
              <w:left w:val="single" w:sz="4" w:space="0" w:color="auto"/>
              <w:bottom w:val="single" w:sz="4" w:space="0" w:color="auto"/>
              <w:right w:val="single" w:sz="4" w:space="0" w:color="auto"/>
            </w:tcBorders>
            <w:hideMark/>
          </w:tcPr>
          <w:p w14:paraId="1E83826F" w14:textId="77777777" w:rsidR="003C2BF1" w:rsidRDefault="003C2BF1">
            <w:pPr>
              <w:rPr>
                <w:kern w:val="2"/>
                <w:sz w:val="22"/>
                <w:szCs w:val="22"/>
                <w:lang w:val="en-US"/>
                <w14:ligatures w14:val="standardContextual"/>
              </w:rPr>
            </w:pPr>
            <w:r>
              <w:rPr>
                <w:kern w:val="2"/>
                <w:sz w:val="22"/>
                <w:szCs w:val="22"/>
                <w:lang w:val="en-US"/>
                <w14:ligatures w14:val="standardContextual"/>
              </w:rPr>
              <w:t>vertigo</w:t>
            </w:r>
          </w:p>
        </w:tc>
      </w:tr>
      <w:tr w:rsidR="003C2BF1" w14:paraId="3BFB3B82" w14:textId="77777777" w:rsidTr="003C2BF1">
        <w:tc>
          <w:tcPr>
            <w:tcW w:w="4111" w:type="dxa"/>
            <w:tcBorders>
              <w:top w:val="single" w:sz="4" w:space="0" w:color="auto"/>
              <w:left w:val="single" w:sz="4" w:space="0" w:color="auto"/>
              <w:bottom w:val="single" w:sz="4" w:space="0" w:color="auto"/>
              <w:right w:val="single" w:sz="4" w:space="0" w:color="auto"/>
            </w:tcBorders>
            <w:hideMark/>
          </w:tcPr>
          <w:p w14:paraId="5947E1AB" w14:textId="77777777" w:rsidR="003C2BF1" w:rsidRDefault="003C2BF1">
            <w:pPr>
              <w:rPr>
                <w:kern w:val="2"/>
                <w:sz w:val="22"/>
                <w:szCs w:val="22"/>
                <w:lang w:val="en-US"/>
                <w14:ligatures w14:val="standardContextual"/>
              </w:rPr>
            </w:pPr>
            <w:r>
              <w:rPr>
                <w:kern w:val="2"/>
                <w:sz w:val="22"/>
                <w:szCs w:val="22"/>
                <w:lang w:val="en-US"/>
                <w14:ligatures w14:val="standardContextual"/>
              </w:rPr>
              <w:t>Ikke kendt</w:t>
            </w:r>
          </w:p>
        </w:tc>
        <w:tc>
          <w:tcPr>
            <w:tcW w:w="4814" w:type="dxa"/>
            <w:tcBorders>
              <w:top w:val="single" w:sz="4" w:space="0" w:color="auto"/>
              <w:left w:val="single" w:sz="4" w:space="0" w:color="auto"/>
              <w:bottom w:val="single" w:sz="4" w:space="0" w:color="auto"/>
              <w:right w:val="single" w:sz="4" w:space="0" w:color="auto"/>
            </w:tcBorders>
            <w:hideMark/>
          </w:tcPr>
          <w:p w14:paraId="35A953A9" w14:textId="77777777" w:rsidR="003C2BF1" w:rsidRDefault="003C2BF1">
            <w:pPr>
              <w:rPr>
                <w:i/>
                <w:iCs/>
                <w:kern w:val="2"/>
                <w:sz w:val="22"/>
                <w:szCs w:val="22"/>
                <w:lang w:val="en-US"/>
                <w14:ligatures w14:val="standardContextual"/>
              </w:rPr>
            </w:pPr>
            <w:r>
              <w:rPr>
                <w:i/>
                <w:iCs/>
                <w:kern w:val="2"/>
                <w:sz w:val="22"/>
                <w:szCs w:val="22"/>
                <w:lang w:val="en-US"/>
                <w14:ligatures w14:val="standardContextual"/>
              </w:rPr>
              <w:t>tinnitus</w:t>
            </w:r>
          </w:p>
        </w:tc>
      </w:tr>
      <w:tr w:rsidR="003C2BF1" w14:paraId="59597C10" w14:textId="77777777" w:rsidTr="003C2BF1">
        <w:tc>
          <w:tcPr>
            <w:tcW w:w="8925" w:type="dxa"/>
            <w:gridSpan w:val="2"/>
            <w:tcBorders>
              <w:top w:val="single" w:sz="4" w:space="0" w:color="auto"/>
              <w:left w:val="single" w:sz="4" w:space="0" w:color="auto"/>
              <w:bottom w:val="single" w:sz="4" w:space="0" w:color="auto"/>
              <w:right w:val="single" w:sz="4" w:space="0" w:color="auto"/>
            </w:tcBorders>
            <w:hideMark/>
          </w:tcPr>
          <w:p w14:paraId="3026BE26" w14:textId="77777777" w:rsidR="003C2BF1" w:rsidRDefault="003C2BF1">
            <w:pPr>
              <w:rPr>
                <w:b/>
                <w:bCs/>
                <w:kern w:val="2"/>
                <w:sz w:val="22"/>
                <w:szCs w:val="22"/>
                <w:highlight w:val="yellow"/>
                <w:lang w:val="en-US"/>
                <w14:ligatures w14:val="standardContextual"/>
              </w:rPr>
            </w:pPr>
            <w:r>
              <w:rPr>
                <w:b/>
                <w:bCs/>
                <w:kern w:val="2"/>
                <w:sz w:val="22"/>
                <w:szCs w:val="22"/>
                <w:lang w:val="en-US"/>
                <w14:ligatures w14:val="standardContextual"/>
              </w:rPr>
              <w:t>Hjerte</w:t>
            </w:r>
          </w:p>
        </w:tc>
      </w:tr>
      <w:tr w:rsidR="003C2BF1" w14:paraId="1FDAC16E" w14:textId="77777777" w:rsidTr="003C2BF1">
        <w:tc>
          <w:tcPr>
            <w:tcW w:w="4111" w:type="dxa"/>
            <w:tcBorders>
              <w:top w:val="single" w:sz="4" w:space="0" w:color="auto"/>
              <w:left w:val="single" w:sz="4" w:space="0" w:color="auto"/>
              <w:bottom w:val="single" w:sz="4" w:space="0" w:color="auto"/>
              <w:right w:val="single" w:sz="4" w:space="0" w:color="auto"/>
            </w:tcBorders>
            <w:hideMark/>
          </w:tcPr>
          <w:p w14:paraId="58F95DDC" w14:textId="77777777" w:rsidR="003C2BF1" w:rsidRDefault="003C2BF1">
            <w:pPr>
              <w:rPr>
                <w:kern w:val="2"/>
                <w:sz w:val="22"/>
                <w:szCs w:val="22"/>
                <w:lang w:val="en-US"/>
                <w14:ligatures w14:val="standardContextual"/>
              </w:rPr>
            </w:pPr>
            <w:r>
              <w:rPr>
                <w:kern w:val="2"/>
                <w:sz w:val="22"/>
                <w:szCs w:val="22"/>
                <w:lang w:val="en-US"/>
                <w14:ligatures w14:val="standardContextual"/>
              </w:rPr>
              <w:t>Ikke almindelig</w:t>
            </w:r>
          </w:p>
        </w:tc>
        <w:tc>
          <w:tcPr>
            <w:tcW w:w="4814" w:type="dxa"/>
            <w:tcBorders>
              <w:top w:val="single" w:sz="4" w:space="0" w:color="auto"/>
              <w:left w:val="single" w:sz="4" w:space="0" w:color="auto"/>
              <w:bottom w:val="single" w:sz="4" w:space="0" w:color="auto"/>
              <w:right w:val="single" w:sz="4" w:space="0" w:color="auto"/>
            </w:tcBorders>
            <w:hideMark/>
          </w:tcPr>
          <w:p w14:paraId="719297E9" w14:textId="77777777" w:rsidR="003C2BF1" w:rsidRDefault="003C2BF1">
            <w:pPr>
              <w:rPr>
                <w:kern w:val="2"/>
                <w:sz w:val="22"/>
                <w:szCs w:val="22"/>
                <w:lang w:val="en-US"/>
                <w14:ligatures w14:val="standardContextual"/>
              </w:rPr>
            </w:pPr>
            <w:r>
              <w:rPr>
                <w:kern w:val="2"/>
                <w:sz w:val="22"/>
                <w:szCs w:val="22"/>
                <w:lang w:val="en-US"/>
                <w14:ligatures w14:val="standardContextual"/>
              </w:rPr>
              <w:t>palpitationer</w:t>
            </w:r>
          </w:p>
        </w:tc>
      </w:tr>
      <w:tr w:rsidR="003C2BF1" w14:paraId="4C57B1B4" w14:textId="77777777" w:rsidTr="003C2BF1">
        <w:tc>
          <w:tcPr>
            <w:tcW w:w="8925" w:type="dxa"/>
            <w:gridSpan w:val="2"/>
            <w:tcBorders>
              <w:top w:val="single" w:sz="4" w:space="0" w:color="auto"/>
              <w:left w:val="single" w:sz="4" w:space="0" w:color="auto"/>
              <w:bottom w:val="single" w:sz="4" w:space="0" w:color="auto"/>
              <w:right w:val="single" w:sz="4" w:space="0" w:color="auto"/>
            </w:tcBorders>
            <w:hideMark/>
          </w:tcPr>
          <w:p w14:paraId="263B4F23" w14:textId="77777777" w:rsidR="003C2BF1" w:rsidRDefault="003C2BF1">
            <w:pPr>
              <w:rPr>
                <w:b/>
                <w:bCs/>
                <w:kern w:val="2"/>
                <w:sz w:val="22"/>
                <w:szCs w:val="22"/>
                <w:highlight w:val="yellow"/>
                <w:lang w:val="en-US"/>
                <w14:ligatures w14:val="standardContextual"/>
              </w:rPr>
            </w:pPr>
            <w:r>
              <w:rPr>
                <w:b/>
                <w:bCs/>
                <w:kern w:val="2"/>
                <w:sz w:val="22"/>
                <w:szCs w:val="22"/>
                <w:lang w:val="en-US"/>
                <w14:ligatures w14:val="standardContextual"/>
              </w:rPr>
              <w:t>Vaskulære sygdomme</w:t>
            </w:r>
          </w:p>
        </w:tc>
      </w:tr>
      <w:tr w:rsidR="003C2BF1" w14:paraId="671D0F6B" w14:textId="77777777" w:rsidTr="003C2BF1">
        <w:tc>
          <w:tcPr>
            <w:tcW w:w="4111" w:type="dxa"/>
            <w:tcBorders>
              <w:top w:val="single" w:sz="4" w:space="0" w:color="auto"/>
              <w:left w:val="single" w:sz="4" w:space="0" w:color="auto"/>
              <w:bottom w:val="single" w:sz="4" w:space="0" w:color="auto"/>
              <w:right w:val="single" w:sz="4" w:space="0" w:color="auto"/>
            </w:tcBorders>
            <w:hideMark/>
          </w:tcPr>
          <w:p w14:paraId="5B4924E0" w14:textId="77777777" w:rsidR="003C2BF1" w:rsidRDefault="003C2BF1">
            <w:pPr>
              <w:rPr>
                <w:kern w:val="2"/>
                <w:sz w:val="22"/>
                <w:szCs w:val="22"/>
                <w:lang w:val="en-US"/>
                <w14:ligatures w14:val="standardContextual"/>
              </w:rPr>
            </w:pPr>
            <w:r>
              <w:rPr>
                <w:kern w:val="2"/>
                <w:sz w:val="22"/>
                <w:szCs w:val="22"/>
                <w:lang w:val="en-US"/>
                <w14:ligatures w14:val="standardContextual"/>
              </w:rPr>
              <w:t>Almindelig</w:t>
            </w:r>
          </w:p>
        </w:tc>
        <w:tc>
          <w:tcPr>
            <w:tcW w:w="4814" w:type="dxa"/>
            <w:tcBorders>
              <w:top w:val="single" w:sz="4" w:space="0" w:color="auto"/>
              <w:left w:val="single" w:sz="4" w:space="0" w:color="auto"/>
              <w:bottom w:val="single" w:sz="4" w:space="0" w:color="auto"/>
              <w:right w:val="single" w:sz="4" w:space="0" w:color="auto"/>
            </w:tcBorders>
            <w:hideMark/>
          </w:tcPr>
          <w:p w14:paraId="20188117" w14:textId="77777777" w:rsidR="003C2BF1" w:rsidRDefault="003C2BF1">
            <w:pPr>
              <w:rPr>
                <w:kern w:val="2"/>
                <w:sz w:val="22"/>
                <w:szCs w:val="22"/>
                <w:lang w:val="en-US"/>
                <w14:ligatures w14:val="standardContextual"/>
              </w:rPr>
            </w:pPr>
            <w:r>
              <w:rPr>
                <w:kern w:val="2"/>
                <w:sz w:val="22"/>
                <w:szCs w:val="22"/>
                <w:lang w:val="en-US"/>
                <w14:ligatures w14:val="standardContextual"/>
              </w:rPr>
              <w:t>hypertension, vasodilatation</w:t>
            </w:r>
          </w:p>
        </w:tc>
      </w:tr>
      <w:tr w:rsidR="003C2BF1" w14:paraId="5AD384BE" w14:textId="77777777" w:rsidTr="003C2BF1">
        <w:tc>
          <w:tcPr>
            <w:tcW w:w="8925" w:type="dxa"/>
            <w:gridSpan w:val="2"/>
            <w:tcBorders>
              <w:top w:val="single" w:sz="4" w:space="0" w:color="auto"/>
              <w:left w:val="single" w:sz="4" w:space="0" w:color="auto"/>
              <w:bottom w:val="single" w:sz="4" w:space="0" w:color="auto"/>
              <w:right w:val="single" w:sz="4" w:space="0" w:color="auto"/>
            </w:tcBorders>
            <w:hideMark/>
          </w:tcPr>
          <w:p w14:paraId="60E56153" w14:textId="77777777" w:rsidR="003C2BF1" w:rsidRDefault="003C2BF1">
            <w:pPr>
              <w:rPr>
                <w:b/>
                <w:bCs/>
                <w:kern w:val="2"/>
                <w:sz w:val="22"/>
                <w:szCs w:val="22"/>
                <w:highlight w:val="yellow"/>
                <w:lang w:val="en-US"/>
                <w14:ligatures w14:val="standardContextual"/>
              </w:rPr>
            </w:pPr>
            <w:r>
              <w:rPr>
                <w:b/>
                <w:bCs/>
                <w:kern w:val="2"/>
                <w:sz w:val="22"/>
                <w:szCs w:val="22"/>
                <w:lang w:val="en-US"/>
                <w14:ligatures w14:val="standardContextual"/>
              </w:rPr>
              <w:t xml:space="preserve">Luftveje, thorax og mediastinum  </w:t>
            </w:r>
          </w:p>
        </w:tc>
      </w:tr>
      <w:tr w:rsidR="003C2BF1" w14:paraId="262DE88E" w14:textId="77777777" w:rsidTr="003C2BF1">
        <w:tc>
          <w:tcPr>
            <w:tcW w:w="4111" w:type="dxa"/>
            <w:tcBorders>
              <w:top w:val="single" w:sz="4" w:space="0" w:color="auto"/>
              <w:left w:val="single" w:sz="4" w:space="0" w:color="auto"/>
              <w:bottom w:val="single" w:sz="4" w:space="0" w:color="auto"/>
              <w:right w:val="single" w:sz="4" w:space="0" w:color="auto"/>
            </w:tcBorders>
            <w:hideMark/>
          </w:tcPr>
          <w:p w14:paraId="7F9853D2" w14:textId="77777777" w:rsidR="003C2BF1" w:rsidRDefault="003C2BF1">
            <w:pPr>
              <w:rPr>
                <w:kern w:val="2"/>
                <w:sz w:val="22"/>
                <w:szCs w:val="22"/>
                <w:lang w:val="en-US"/>
                <w14:ligatures w14:val="standardContextual"/>
              </w:rPr>
            </w:pPr>
            <w:r>
              <w:rPr>
                <w:kern w:val="2"/>
                <w:sz w:val="22"/>
                <w:szCs w:val="22"/>
                <w:lang w:val="en-US"/>
                <w14:ligatures w14:val="standardContextual"/>
              </w:rPr>
              <w:t>Almindelig</w:t>
            </w:r>
          </w:p>
        </w:tc>
        <w:tc>
          <w:tcPr>
            <w:tcW w:w="4814" w:type="dxa"/>
            <w:tcBorders>
              <w:top w:val="single" w:sz="4" w:space="0" w:color="auto"/>
              <w:left w:val="single" w:sz="4" w:space="0" w:color="auto"/>
              <w:bottom w:val="single" w:sz="4" w:space="0" w:color="auto"/>
              <w:right w:val="single" w:sz="4" w:space="0" w:color="auto"/>
            </w:tcBorders>
            <w:hideMark/>
          </w:tcPr>
          <w:p w14:paraId="11D4A796" w14:textId="77777777" w:rsidR="003C2BF1" w:rsidRDefault="003C2BF1">
            <w:pPr>
              <w:rPr>
                <w:kern w:val="2"/>
                <w:sz w:val="22"/>
                <w:szCs w:val="22"/>
                <w14:ligatures w14:val="standardContextual"/>
              </w:rPr>
            </w:pPr>
            <w:r>
              <w:rPr>
                <w:kern w:val="2"/>
                <w:sz w:val="22"/>
                <w:szCs w:val="22"/>
                <w14:ligatures w14:val="standardContextual"/>
              </w:rPr>
              <w:t>dyspnø, bronkitis, pharyngitis, hoste, rhinitis</w:t>
            </w:r>
          </w:p>
        </w:tc>
      </w:tr>
      <w:tr w:rsidR="003C2BF1" w14:paraId="08FD629F" w14:textId="77777777" w:rsidTr="003C2BF1">
        <w:tc>
          <w:tcPr>
            <w:tcW w:w="4111" w:type="dxa"/>
            <w:tcBorders>
              <w:top w:val="single" w:sz="4" w:space="0" w:color="auto"/>
              <w:left w:val="single" w:sz="4" w:space="0" w:color="auto"/>
              <w:bottom w:val="single" w:sz="4" w:space="0" w:color="auto"/>
              <w:right w:val="single" w:sz="4" w:space="0" w:color="auto"/>
            </w:tcBorders>
            <w:hideMark/>
          </w:tcPr>
          <w:p w14:paraId="4A3F58DE" w14:textId="77777777" w:rsidR="003C2BF1" w:rsidRDefault="003C2BF1">
            <w:pPr>
              <w:rPr>
                <w:kern w:val="2"/>
                <w:sz w:val="22"/>
                <w:szCs w:val="22"/>
                <w:lang w:val="en-US"/>
                <w14:ligatures w14:val="standardContextual"/>
              </w:rPr>
            </w:pPr>
            <w:r>
              <w:rPr>
                <w:kern w:val="2"/>
                <w:sz w:val="22"/>
                <w:szCs w:val="22"/>
                <w:lang w:val="en-US"/>
                <w14:ligatures w14:val="standardContextual"/>
              </w:rPr>
              <w:t>Sjælden</w:t>
            </w:r>
          </w:p>
        </w:tc>
        <w:tc>
          <w:tcPr>
            <w:tcW w:w="4814" w:type="dxa"/>
            <w:tcBorders>
              <w:top w:val="single" w:sz="4" w:space="0" w:color="auto"/>
              <w:left w:val="single" w:sz="4" w:space="0" w:color="auto"/>
              <w:bottom w:val="single" w:sz="4" w:space="0" w:color="auto"/>
              <w:right w:val="single" w:sz="4" w:space="0" w:color="auto"/>
            </w:tcBorders>
            <w:hideMark/>
          </w:tcPr>
          <w:p w14:paraId="7B4108D9" w14:textId="77777777" w:rsidR="003C2BF1" w:rsidRDefault="003C2BF1">
            <w:pPr>
              <w:rPr>
                <w:kern w:val="2"/>
                <w:sz w:val="22"/>
                <w:szCs w:val="22"/>
                <w:lang w:val="en-US"/>
                <w14:ligatures w14:val="standardContextual"/>
              </w:rPr>
            </w:pPr>
            <w:r>
              <w:rPr>
                <w:kern w:val="2"/>
                <w:sz w:val="22"/>
                <w:szCs w:val="22"/>
                <w:lang w:val="en-US"/>
                <w14:ligatures w14:val="standardContextual"/>
              </w:rPr>
              <w:t>respirationsdepression</w:t>
            </w:r>
          </w:p>
        </w:tc>
      </w:tr>
      <w:tr w:rsidR="003C2BF1" w14:paraId="24CA4F24" w14:textId="77777777" w:rsidTr="003C2BF1">
        <w:tc>
          <w:tcPr>
            <w:tcW w:w="8925" w:type="dxa"/>
            <w:gridSpan w:val="2"/>
            <w:tcBorders>
              <w:top w:val="single" w:sz="4" w:space="0" w:color="auto"/>
              <w:left w:val="single" w:sz="4" w:space="0" w:color="auto"/>
              <w:bottom w:val="single" w:sz="4" w:space="0" w:color="auto"/>
              <w:right w:val="single" w:sz="4" w:space="0" w:color="auto"/>
            </w:tcBorders>
            <w:hideMark/>
          </w:tcPr>
          <w:p w14:paraId="7BBD35EA" w14:textId="77777777" w:rsidR="003C2BF1" w:rsidRDefault="003C2BF1">
            <w:pPr>
              <w:rPr>
                <w:kern w:val="2"/>
                <w:sz w:val="22"/>
                <w:szCs w:val="22"/>
                <w:highlight w:val="yellow"/>
                <w:lang w:val="en-US"/>
                <w14:ligatures w14:val="standardContextual"/>
              </w:rPr>
            </w:pPr>
            <w:r>
              <w:rPr>
                <w:b/>
                <w:bCs/>
                <w:kern w:val="2"/>
                <w:sz w:val="22"/>
                <w:szCs w:val="22"/>
                <w:lang w:val="en-US"/>
                <w14:ligatures w14:val="standardContextual"/>
              </w:rPr>
              <w:t xml:space="preserve">Mave-tarm-kanalen   </w:t>
            </w:r>
          </w:p>
        </w:tc>
      </w:tr>
      <w:tr w:rsidR="003C2BF1" w14:paraId="3E310220" w14:textId="77777777" w:rsidTr="003C2BF1">
        <w:tc>
          <w:tcPr>
            <w:tcW w:w="4111" w:type="dxa"/>
            <w:tcBorders>
              <w:top w:val="single" w:sz="4" w:space="0" w:color="auto"/>
              <w:left w:val="single" w:sz="4" w:space="0" w:color="auto"/>
              <w:bottom w:val="single" w:sz="4" w:space="0" w:color="auto"/>
              <w:right w:val="single" w:sz="4" w:space="0" w:color="auto"/>
            </w:tcBorders>
            <w:hideMark/>
          </w:tcPr>
          <w:p w14:paraId="004AD8BF" w14:textId="77777777" w:rsidR="003C2BF1" w:rsidRDefault="003C2BF1">
            <w:pPr>
              <w:tabs>
                <w:tab w:val="left" w:pos="1730"/>
              </w:tabs>
              <w:rPr>
                <w:kern w:val="2"/>
                <w:sz w:val="22"/>
                <w:szCs w:val="22"/>
                <w:lang w:val="en-US"/>
                <w14:ligatures w14:val="standardContextual"/>
              </w:rPr>
            </w:pPr>
            <w:r>
              <w:rPr>
                <w:kern w:val="2"/>
                <w:sz w:val="22"/>
                <w:szCs w:val="22"/>
                <w:lang w:val="en-US"/>
                <w14:ligatures w14:val="standardContextual"/>
              </w:rPr>
              <w:t>Almindelig</w:t>
            </w:r>
          </w:p>
        </w:tc>
        <w:tc>
          <w:tcPr>
            <w:tcW w:w="4814" w:type="dxa"/>
            <w:tcBorders>
              <w:top w:val="single" w:sz="4" w:space="0" w:color="auto"/>
              <w:left w:val="single" w:sz="4" w:space="0" w:color="auto"/>
              <w:bottom w:val="single" w:sz="4" w:space="0" w:color="auto"/>
              <w:right w:val="single" w:sz="4" w:space="0" w:color="auto"/>
            </w:tcBorders>
            <w:hideMark/>
          </w:tcPr>
          <w:p w14:paraId="5269C17F" w14:textId="77777777" w:rsidR="003C2BF1" w:rsidRDefault="003C2BF1">
            <w:pPr>
              <w:rPr>
                <w:kern w:val="2"/>
                <w:sz w:val="22"/>
                <w:szCs w:val="22"/>
                <w14:ligatures w14:val="standardContextual"/>
              </w:rPr>
            </w:pPr>
            <w:r>
              <w:rPr>
                <w:kern w:val="2"/>
                <w:sz w:val="22"/>
                <w:szCs w:val="22"/>
                <w14:ligatures w14:val="standardContextual"/>
              </w:rPr>
              <w:t>opkastning, kvalme, tandmisdannelser, gingivitis, diarré, abdominalsmerter, dyspepsi, obstipation, tørhed i mund eller hals, flatulens</w:t>
            </w:r>
          </w:p>
        </w:tc>
      </w:tr>
      <w:tr w:rsidR="003C2BF1" w14:paraId="73B81A14" w14:textId="77777777" w:rsidTr="003C2BF1">
        <w:trPr>
          <w:trHeight w:val="53"/>
        </w:trPr>
        <w:tc>
          <w:tcPr>
            <w:tcW w:w="4111" w:type="dxa"/>
            <w:tcBorders>
              <w:top w:val="single" w:sz="4" w:space="0" w:color="auto"/>
              <w:left w:val="single" w:sz="4" w:space="0" w:color="auto"/>
              <w:bottom w:val="single" w:sz="4" w:space="0" w:color="auto"/>
              <w:right w:val="single" w:sz="4" w:space="0" w:color="auto"/>
            </w:tcBorders>
            <w:hideMark/>
          </w:tcPr>
          <w:p w14:paraId="792B5772" w14:textId="77777777" w:rsidR="003C2BF1" w:rsidRDefault="003C2BF1">
            <w:pPr>
              <w:rPr>
                <w:kern w:val="2"/>
                <w:sz w:val="22"/>
                <w:szCs w:val="22"/>
                <w:lang w:val="en-US"/>
                <w14:ligatures w14:val="standardContextual"/>
              </w:rPr>
            </w:pPr>
            <w:r>
              <w:rPr>
                <w:kern w:val="2"/>
                <w:sz w:val="22"/>
                <w:szCs w:val="22"/>
                <w:lang w:val="en-US"/>
                <w14:ligatures w14:val="standardContextual"/>
              </w:rPr>
              <w:t>Ikke almindelig</w:t>
            </w:r>
          </w:p>
        </w:tc>
        <w:tc>
          <w:tcPr>
            <w:tcW w:w="4814" w:type="dxa"/>
            <w:tcBorders>
              <w:top w:val="single" w:sz="4" w:space="0" w:color="auto"/>
              <w:left w:val="single" w:sz="4" w:space="0" w:color="auto"/>
              <w:bottom w:val="single" w:sz="4" w:space="0" w:color="auto"/>
              <w:right w:val="single" w:sz="4" w:space="0" w:color="auto"/>
            </w:tcBorders>
            <w:hideMark/>
          </w:tcPr>
          <w:p w14:paraId="0EC697BE" w14:textId="77777777" w:rsidR="003C2BF1" w:rsidRDefault="003C2BF1">
            <w:pPr>
              <w:rPr>
                <w:kern w:val="2"/>
                <w:sz w:val="22"/>
                <w:szCs w:val="22"/>
                <w:lang w:val="en-US"/>
                <w14:ligatures w14:val="standardContextual"/>
              </w:rPr>
            </w:pPr>
            <w:r>
              <w:rPr>
                <w:kern w:val="2"/>
                <w:sz w:val="22"/>
                <w:szCs w:val="22"/>
                <w:lang w:val="en-US"/>
                <w14:ligatures w14:val="standardContextual"/>
              </w:rPr>
              <w:t>dysfagi</w:t>
            </w:r>
          </w:p>
        </w:tc>
      </w:tr>
      <w:tr w:rsidR="003C2BF1" w14:paraId="3F14D334" w14:textId="77777777" w:rsidTr="003C2BF1">
        <w:trPr>
          <w:trHeight w:val="53"/>
        </w:trPr>
        <w:tc>
          <w:tcPr>
            <w:tcW w:w="4111" w:type="dxa"/>
            <w:tcBorders>
              <w:top w:val="single" w:sz="4" w:space="0" w:color="auto"/>
              <w:left w:val="single" w:sz="4" w:space="0" w:color="auto"/>
              <w:bottom w:val="single" w:sz="4" w:space="0" w:color="auto"/>
              <w:right w:val="single" w:sz="4" w:space="0" w:color="auto"/>
            </w:tcBorders>
            <w:hideMark/>
          </w:tcPr>
          <w:p w14:paraId="78CD6B19" w14:textId="77777777" w:rsidR="003C2BF1" w:rsidRDefault="003C2BF1">
            <w:pPr>
              <w:rPr>
                <w:kern w:val="2"/>
                <w:sz w:val="22"/>
                <w:szCs w:val="22"/>
                <w:lang w:val="en-US"/>
                <w14:ligatures w14:val="standardContextual"/>
              </w:rPr>
            </w:pPr>
            <w:r>
              <w:rPr>
                <w:kern w:val="2"/>
                <w:sz w:val="22"/>
                <w:szCs w:val="22"/>
                <w:lang w:val="en-US"/>
                <w14:ligatures w14:val="standardContextual"/>
              </w:rPr>
              <w:t>Ikke kendt</w:t>
            </w:r>
          </w:p>
        </w:tc>
        <w:tc>
          <w:tcPr>
            <w:tcW w:w="4814" w:type="dxa"/>
            <w:tcBorders>
              <w:top w:val="single" w:sz="4" w:space="0" w:color="auto"/>
              <w:left w:val="single" w:sz="4" w:space="0" w:color="auto"/>
              <w:bottom w:val="single" w:sz="4" w:space="0" w:color="auto"/>
              <w:right w:val="single" w:sz="4" w:space="0" w:color="auto"/>
            </w:tcBorders>
            <w:hideMark/>
          </w:tcPr>
          <w:p w14:paraId="7B928568" w14:textId="77777777" w:rsidR="003C2BF1" w:rsidRDefault="003C2BF1">
            <w:pPr>
              <w:rPr>
                <w:i/>
                <w:iCs/>
                <w:kern w:val="2"/>
                <w:sz w:val="22"/>
                <w:szCs w:val="22"/>
                <w:lang w:val="en-US"/>
                <w14:ligatures w14:val="standardContextual"/>
              </w:rPr>
            </w:pPr>
            <w:r>
              <w:rPr>
                <w:i/>
                <w:iCs/>
                <w:kern w:val="2"/>
                <w:sz w:val="22"/>
                <w:szCs w:val="22"/>
                <w:lang w:val="en-US"/>
                <w14:ligatures w14:val="standardContextual"/>
              </w:rPr>
              <w:t>pankreatitis</w:t>
            </w:r>
          </w:p>
        </w:tc>
      </w:tr>
      <w:tr w:rsidR="003C2BF1" w14:paraId="552FA178" w14:textId="77777777" w:rsidTr="003C2BF1">
        <w:trPr>
          <w:trHeight w:val="53"/>
        </w:trPr>
        <w:tc>
          <w:tcPr>
            <w:tcW w:w="8925" w:type="dxa"/>
            <w:gridSpan w:val="2"/>
            <w:tcBorders>
              <w:top w:val="single" w:sz="4" w:space="0" w:color="auto"/>
              <w:left w:val="single" w:sz="4" w:space="0" w:color="auto"/>
              <w:bottom w:val="single" w:sz="4" w:space="0" w:color="auto"/>
              <w:right w:val="single" w:sz="4" w:space="0" w:color="auto"/>
            </w:tcBorders>
            <w:hideMark/>
          </w:tcPr>
          <w:p w14:paraId="1CF74570" w14:textId="77777777" w:rsidR="003C2BF1" w:rsidRDefault="003C2BF1">
            <w:pPr>
              <w:rPr>
                <w:kern w:val="2"/>
                <w:sz w:val="22"/>
                <w:szCs w:val="22"/>
                <w:highlight w:val="yellow"/>
                <w:lang w:val="en-US"/>
                <w14:ligatures w14:val="standardContextual"/>
              </w:rPr>
            </w:pPr>
            <w:r>
              <w:rPr>
                <w:b/>
                <w:bCs/>
                <w:kern w:val="2"/>
                <w:sz w:val="22"/>
                <w:szCs w:val="22"/>
                <w:lang w:val="en-US"/>
                <w14:ligatures w14:val="standardContextual"/>
              </w:rPr>
              <w:t>Lever og galdeveje</w:t>
            </w:r>
          </w:p>
        </w:tc>
      </w:tr>
      <w:tr w:rsidR="003C2BF1" w14:paraId="75CAB45E" w14:textId="77777777" w:rsidTr="003C2BF1">
        <w:trPr>
          <w:trHeight w:val="53"/>
        </w:trPr>
        <w:tc>
          <w:tcPr>
            <w:tcW w:w="4111" w:type="dxa"/>
            <w:tcBorders>
              <w:top w:val="single" w:sz="4" w:space="0" w:color="auto"/>
              <w:left w:val="single" w:sz="4" w:space="0" w:color="auto"/>
              <w:bottom w:val="single" w:sz="4" w:space="0" w:color="auto"/>
              <w:right w:val="single" w:sz="4" w:space="0" w:color="auto"/>
            </w:tcBorders>
            <w:hideMark/>
          </w:tcPr>
          <w:p w14:paraId="1F5252E2" w14:textId="77777777" w:rsidR="003C2BF1" w:rsidRDefault="003C2BF1">
            <w:pPr>
              <w:rPr>
                <w:kern w:val="2"/>
                <w:sz w:val="22"/>
                <w:szCs w:val="22"/>
                <w:lang w:val="en-US"/>
                <w14:ligatures w14:val="standardContextual"/>
              </w:rPr>
            </w:pPr>
            <w:r>
              <w:rPr>
                <w:kern w:val="2"/>
                <w:sz w:val="22"/>
                <w:szCs w:val="22"/>
                <w:lang w:val="en-US"/>
                <w14:ligatures w14:val="standardContextual"/>
              </w:rPr>
              <w:t>Ikke kendt</w:t>
            </w:r>
          </w:p>
        </w:tc>
        <w:tc>
          <w:tcPr>
            <w:tcW w:w="4814" w:type="dxa"/>
            <w:tcBorders>
              <w:top w:val="single" w:sz="4" w:space="0" w:color="auto"/>
              <w:left w:val="single" w:sz="4" w:space="0" w:color="auto"/>
              <w:bottom w:val="single" w:sz="4" w:space="0" w:color="auto"/>
              <w:right w:val="single" w:sz="4" w:space="0" w:color="auto"/>
            </w:tcBorders>
            <w:hideMark/>
          </w:tcPr>
          <w:p w14:paraId="34427D39" w14:textId="77777777" w:rsidR="003C2BF1" w:rsidRDefault="003C2BF1">
            <w:pPr>
              <w:tabs>
                <w:tab w:val="left" w:pos="3149"/>
              </w:tabs>
              <w:rPr>
                <w:i/>
                <w:iCs/>
                <w:kern w:val="2"/>
                <w:sz w:val="22"/>
                <w:szCs w:val="22"/>
                <w:lang w:val="en-US"/>
                <w14:ligatures w14:val="standardContextual"/>
              </w:rPr>
            </w:pPr>
            <w:r>
              <w:rPr>
                <w:i/>
                <w:iCs/>
                <w:kern w:val="2"/>
                <w:sz w:val="22"/>
                <w:szCs w:val="22"/>
                <w:lang w:val="en-US"/>
                <w14:ligatures w14:val="standardContextual"/>
              </w:rPr>
              <w:t>hepatitis, icterus</w:t>
            </w:r>
          </w:p>
        </w:tc>
      </w:tr>
      <w:tr w:rsidR="003C2BF1" w14:paraId="66D950AE" w14:textId="77777777" w:rsidTr="003C2BF1">
        <w:trPr>
          <w:trHeight w:val="53"/>
        </w:trPr>
        <w:tc>
          <w:tcPr>
            <w:tcW w:w="8925" w:type="dxa"/>
            <w:gridSpan w:val="2"/>
            <w:tcBorders>
              <w:top w:val="single" w:sz="4" w:space="0" w:color="auto"/>
              <w:left w:val="single" w:sz="4" w:space="0" w:color="auto"/>
              <w:bottom w:val="single" w:sz="4" w:space="0" w:color="auto"/>
              <w:right w:val="single" w:sz="4" w:space="0" w:color="auto"/>
            </w:tcBorders>
            <w:hideMark/>
          </w:tcPr>
          <w:p w14:paraId="7C7670FB" w14:textId="77777777" w:rsidR="003C2BF1" w:rsidRDefault="003C2BF1">
            <w:pPr>
              <w:rPr>
                <w:kern w:val="2"/>
                <w:sz w:val="22"/>
                <w:szCs w:val="22"/>
                <w:lang w:val="en-US"/>
                <w14:ligatures w14:val="standardContextual"/>
              </w:rPr>
            </w:pPr>
            <w:r>
              <w:rPr>
                <w:b/>
                <w:bCs/>
                <w:kern w:val="2"/>
                <w:sz w:val="22"/>
                <w:szCs w:val="22"/>
                <w:lang w:val="en-US"/>
                <w14:ligatures w14:val="standardContextual"/>
              </w:rPr>
              <w:t>Hud og subkutane væv</w:t>
            </w:r>
          </w:p>
        </w:tc>
      </w:tr>
      <w:tr w:rsidR="003C2BF1" w14:paraId="08DE495A" w14:textId="77777777" w:rsidTr="003C2BF1">
        <w:trPr>
          <w:trHeight w:val="53"/>
        </w:trPr>
        <w:tc>
          <w:tcPr>
            <w:tcW w:w="4111" w:type="dxa"/>
            <w:tcBorders>
              <w:top w:val="single" w:sz="4" w:space="0" w:color="auto"/>
              <w:left w:val="single" w:sz="4" w:space="0" w:color="auto"/>
              <w:bottom w:val="single" w:sz="4" w:space="0" w:color="auto"/>
              <w:right w:val="single" w:sz="4" w:space="0" w:color="auto"/>
            </w:tcBorders>
            <w:hideMark/>
          </w:tcPr>
          <w:p w14:paraId="39F91B06" w14:textId="77777777" w:rsidR="003C2BF1" w:rsidRDefault="003C2BF1">
            <w:pPr>
              <w:rPr>
                <w:kern w:val="2"/>
                <w:sz w:val="22"/>
                <w:szCs w:val="22"/>
                <w:lang w:val="en-US"/>
                <w14:ligatures w14:val="standardContextual"/>
              </w:rPr>
            </w:pPr>
            <w:r>
              <w:rPr>
                <w:kern w:val="2"/>
                <w:sz w:val="22"/>
                <w:szCs w:val="22"/>
                <w:lang w:val="en-US"/>
                <w14:ligatures w14:val="standardContextual"/>
              </w:rPr>
              <w:t>Almindelig</w:t>
            </w:r>
          </w:p>
        </w:tc>
        <w:tc>
          <w:tcPr>
            <w:tcW w:w="4814" w:type="dxa"/>
            <w:tcBorders>
              <w:top w:val="single" w:sz="4" w:space="0" w:color="auto"/>
              <w:left w:val="single" w:sz="4" w:space="0" w:color="auto"/>
              <w:bottom w:val="single" w:sz="4" w:space="0" w:color="auto"/>
              <w:right w:val="single" w:sz="4" w:space="0" w:color="auto"/>
            </w:tcBorders>
            <w:hideMark/>
          </w:tcPr>
          <w:p w14:paraId="248E79AB" w14:textId="77777777" w:rsidR="003C2BF1" w:rsidRDefault="003C2BF1">
            <w:pPr>
              <w:rPr>
                <w:kern w:val="2"/>
                <w:sz w:val="22"/>
                <w:szCs w:val="22"/>
                <w14:ligatures w14:val="standardContextual"/>
              </w:rPr>
            </w:pPr>
            <w:r>
              <w:rPr>
                <w:kern w:val="2"/>
                <w:sz w:val="22"/>
                <w:szCs w:val="22"/>
                <w14:ligatures w14:val="standardContextual"/>
              </w:rPr>
              <w:t>ansigtsødem, purpura, oftest beskrevet som blå mærker, som skyldes et fysisk traume, udslæt, kløe, akne</w:t>
            </w:r>
          </w:p>
        </w:tc>
      </w:tr>
      <w:tr w:rsidR="003C2BF1" w14:paraId="4E52509E" w14:textId="77777777" w:rsidTr="003C2BF1">
        <w:trPr>
          <w:trHeight w:val="53"/>
        </w:trPr>
        <w:tc>
          <w:tcPr>
            <w:tcW w:w="4111" w:type="dxa"/>
            <w:tcBorders>
              <w:top w:val="single" w:sz="4" w:space="0" w:color="auto"/>
              <w:left w:val="single" w:sz="4" w:space="0" w:color="auto"/>
              <w:bottom w:val="single" w:sz="4" w:space="0" w:color="auto"/>
              <w:right w:val="single" w:sz="4" w:space="0" w:color="auto"/>
            </w:tcBorders>
            <w:hideMark/>
          </w:tcPr>
          <w:p w14:paraId="52B0A5F6" w14:textId="77777777" w:rsidR="003C2BF1" w:rsidRDefault="003C2BF1">
            <w:pPr>
              <w:rPr>
                <w:kern w:val="2"/>
                <w:sz w:val="22"/>
                <w:szCs w:val="22"/>
                <w:lang w:val="en-US"/>
                <w14:ligatures w14:val="standardContextual"/>
              </w:rPr>
            </w:pPr>
            <w:r>
              <w:rPr>
                <w:kern w:val="2"/>
                <w:sz w:val="22"/>
                <w:szCs w:val="22"/>
                <w:lang w:val="en-US"/>
                <w14:ligatures w14:val="standardContextual"/>
              </w:rPr>
              <w:t>Ikke kendt</w:t>
            </w:r>
          </w:p>
        </w:tc>
        <w:tc>
          <w:tcPr>
            <w:tcW w:w="4814" w:type="dxa"/>
            <w:tcBorders>
              <w:top w:val="single" w:sz="4" w:space="0" w:color="auto"/>
              <w:left w:val="single" w:sz="4" w:space="0" w:color="auto"/>
              <w:bottom w:val="single" w:sz="4" w:space="0" w:color="auto"/>
              <w:right w:val="single" w:sz="4" w:space="0" w:color="auto"/>
            </w:tcBorders>
            <w:hideMark/>
          </w:tcPr>
          <w:p w14:paraId="5DDBA4E8" w14:textId="77777777" w:rsidR="003C2BF1" w:rsidRDefault="003C2BF1">
            <w:pPr>
              <w:rPr>
                <w:i/>
                <w:iCs/>
                <w:kern w:val="2"/>
                <w:sz w:val="22"/>
                <w:szCs w:val="22"/>
                <w14:ligatures w14:val="standardContextual"/>
              </w:rPr>
            </w:pPr>
            <w:r>
              <w:rPr>
                <w:i/>
                <w:iCs/>
                <w:kern w:val="2"/>
                <w:sz w:val="22"/>
                <w:szCs w:val="22"/>
                <w14:ligatures w14:val="standardContextual"/>
              </w:rPr>
              <w:t>Stevens-Johnsons syndrom, toksisk epidermal nekrolyse, lægemiddelfremkaldt udslæt med eosinofili og systemiske symptomer (se pkt. 4.4), erythema multiforme, angioødem, alopeci</w:t>
            </w:r>
          </w:p>
        </w:tc>
      </w:tr>
      <w:tr w:rsidR="003C2BF1" w14:paraId="557223B6" w14:textId="77777777" w:rsidTr="003C2BF1">
        <w:trPr>
          <w:trHeight w:val="74"/>
        </w:trPr>
        <w:tc>
          <w:tcPr>
            <w:tcW w:w="8925" w:type="dxa"/>
            <w:gridSpan w:val="2"/>
            <w:tcBorders>
              <w:top w:val="single" w:sz="4" w:space="0" w:color="auto"/>
              <w:left w:val="single" w:sz="4" w:space="0" w:color="auto"/>
              <w:bottom w:val="single" w:sz="4" w:space="0" w:color="auto"/>
              <w:right w:val="single" w:sz="4" w:space="0" w:color="auto"/>
            </w:tcBorders>
            <w:hideMark/>
          </w:tcPr>
          <w:p w14:paraId="46EB8C4C" w14:textId="77777777" w:rsidR="003C2BF1" w:rsidRDefault="003C2BF1">
            <w:pPr>
              <w:rPr>
                <w:b/>
                <w:bCs/>
                <w:kern w:val="2"/>
                <w:sz w:val="22"/>
                <w:szCs w:val="22"/>
                <w:highlight w:val="yellow"/>
                <w14:ligatures w14:val="standardContextual"/>
              </w:rPr>
            </w:pPr>
            <w:r>
              <w:rPr>
                <w:b/>
                <w:bCs/>
                <w:kern w:val="2"/>
                <w:sz w:val="22"/>
                <w:szCs w:val="22"/>
                <w14:ligatures w14:val="standardContextual"/>
              </w:rPr>
              <w:t>Knogler, led, muskler og bindevæv</w:t>
            </w:r>
          </w:p>
        </w:tc>
      </w:tr>
      <w:tr w:rsidR="003C2BF1" w14:paraId="46E97EA0" w14:textId="77777777" w:rsidTr="003C2BF1">
        <w:trPr>
          <w:trHeight w:val="53"/>
        </w:trPr>
        <w:tc>
          <w:tcPr>
            <w:tcW w:w="4111" w:type="dxa"/>
            <w:tcBorders>
              <w:top w:val="single" w:sz="4" w:space="0" w:color="auto"/>
              <w:left w:val="single" w:sz="4" w:space="0" w:color="auto"/>
              <w:bottom w:val="single" w:sz="4" w:space="0" w:color="auto"/>
              <w:right w:val="single" w:sz="4" w:space="0" w:color="auto"/>
            </w:tcBorders>
            <w:hideMark/>
          </w:tcPr>
          <w:p w14:paraId="16D0F0BC" w14:textId="77777777" w:rsidR="003C2BF1" w:rsidRDefault="003C2BF1">
            <w:pPr>
              <w:rPr>
                <w:kern w:val="2"/>
                <w:sz w:val="22"/>
                <w:szCs w:val="22"/>
                <w:lang w:val="en-US"/>
                <w14:ligatures w14:val="standardContextual"/>
              </w:rPr>
            </w:pPr>
            <w:r>
              <w:rPr>
                <w:kern w:val="2"/>
                <w:sz w:val="22"/>
                <w:szCs w:val="22"/>
                <w:lang w:val="en-US"/>
                <w14:ligatures w14:val="standardContextual"/>
              </w:rPr>
              <w:t>Almindelig</w:t>
            </w:r>
          </w:p>
        </w:tc>
        <w:tc>
          <w:tcPr>
            <w:tcW w:w="4814" w:type="dxa"/>
            <w:tcBorders>
              <w:top w:val="single" w:sz="4" w:space="0" w:color="auto"/>
              <w:left w:val="single" w:sz="4" w:space="0" w:color="auto"/>
              <w:bottom w:val="single" w:sz="4" w:space="0" w:color="auto"/>
              <w:right w:val="single" w:sz="4" w:space="0" w:color="auto"/>
            </w:tcBorders>
            <w:hideMark/>
          </w:tcPr>
          <w:p w14:paraId="68B01A2F" w14:textId="77777777" w:rsidR="003C2BF1" w:rsidRDefault="003C2BF1">
            <w:pPr>
              <w:rPr>
                <w:kern w:val="2"/>
                <w:sz w:val="22"/>
                <w:szCs w:val="22"/>
                <w:lang w:val="en-US"/>
                <w14:ligatures w14:val="standardContextual"/>
              </w:rPr>
            </w:pPr>
            <w:r>
              <w:rPr>
                <w:kern w:val="2"/>
                <w:sz w:val="22"/>
                <w:szCs w:val="22"/>
                <w:lang w:val="en-US"/>
                <w14:ligatures w14:val="standardContextual"/>
              </w:rPr>
              <w:t>arthralgi, myalgi, rygsmerter, muskeltrækninger</w:t>
            </w:r>
          </w:p>
        </w:tc>
      </w:tr>
      <w:tr w:rsidR="003C2BF1" w14:paraId="737EC9A2" w14:textId="77777777" w:rsidTr="003C2BF1">
        <w:trPr>
          <w:trHeight w:val="53"/>
        </w:trPr>
        <w:tc>
          <w:tcPr>
            <w:tcW w:w="4111" w:type="dxa"/>
            <w:tcBorders>
              <w:top w:val="single" w:sz="4" w:space="0" w:color="auto"/>
              <w:left w:val="single" w:sz="4" w:space="0" w:color="auto"/>
              <w:bottom w:val="single" w:sz="4" w:space="0" w:color="auto"/>
              <w:right w:val="single" w:sz="4" w:space="0" w:color="auto"/>
            </w:tcBorders>
            <w:hideMark/>
          </w:tcPr>
          <w:p w14:paraId="06AB9C24" w14:textId="77777777" w:rsidR="003C2BF1" w:rsidRDefault="003C2BF1">
            <w:pPr>
              <w:rPr>
                <w:kern w:val="2"/>
                <w:sz w:val="22"/>
                <w:szCs w:val="22"/>
                <w:lang w:val="en-US"/>
                <w14:ligatures w14:val="standardContextual"/>
              </w:rPr>
            </w:pPr>
            <w:r>
              <w:rPr>
                <w:kern w:val="2"/>
                <w:sz w:val="22"/>
                <w:szCs w:val="22"/>
                <w:lang w:val="en-US"/>
                <w14:ligatures w14:val="standardContextual"/>
              </w:rPr>
              <w:t>Ikke kendt</w:t>
            </w:r>
          </w:p>
        </w:tc>
        <w:tc>
          <w:tcPr>
            <w:tcW w:w="4814" w:type="dxa"/>
            <w:tcBorders>
              <w:top w:val="single" w:sz="4" w:space="0" w:color="auto"/>
              <w:left w:val="single" w:sz="4" w:space="0" w:color="auto"/>
              <w:bottom w:val="single" w:sz="4" w:space="0" w:color="auto"/>
              <w:right w:val="single" w:sz="4" w:space="0" w:color="auto"/>
            </w:tcBorders>
            <w:hideMark/>
          </w:tcPr>
          <w:p w14:paraId="0091C6A8" w14:textId="77777777" w:rsidR="003C2BF1" w:rsidRDefault="003C2BF1">
            <w:pPr>
              <w:rPr>
                <w:i/>
                <w:iCs/>
                <w:kern w:val="2"/>
                <w:sz w:val="22"/>
                <w:szCs w:val="22"/>
                <w:lang w:val="en-US"/>
                <w14:ligatures w14:val="standardContextual"/>
              </w:rPr>
            </w:pPr>
            <w:r>
              <w:rPr>
                <w:i/>
                <w:iCs/>
                <w:kern w:val="2"/>
                <w:sz w:val="22"/>
                <w:szCs w:val="22"/>
                <w:lang w:val="en-US"/>
                <w14:ligatures w14:val="standardContextual"/>
              </w:rPr>
              <w:t>rabdomyolyse, myoclonus</w:t>
            </w:r>
          </w:p>
        </w:tc>
      </w:tr>
      <w:tr w:rsidR="003C2BF1" w14:paraId="218002EB" w14:textId="77777777" w:rsidTr="003C2BF1">
        <w:trPr>
          <w:trHeight w:val="53"/>
        </w:trPr>
        <w:tc>
          <w:tcPr>
            <w:tcW w:w="4111" w:type="dxa"/>
            <w:tcBorders>
              <w:top w:val="single" w:sz="4" w:space="0" w:color="auto"/>
              <w:left w:val="single" w:sz="4" w:space="0" w:color="auto"/>
              <w:bottom w:val="single" w:sz="4" w:space="0" w:color="auto"/>
              <w:right w:val="single" w:sz="4" w:space="0" w:color="auto"/>
            </w:tcBorders>
            <w:hideMark/>
          </w:tcPr>
          <w:p w14:paraId="620A4B4E" w14:textId="77777777" w:rsidR="003C2BF1" w:rsidRDefault="003C2BF1">
            <w:pPr>
              <w:rPr>
                <w:b/>
                <w:bCs/>
                <w:kern w:val="2"/>
                <w:sz w:val="22"/>
                <w:szCs w:val="22"/>
                <w:highlight w:val="yellow"/>
                <w:lang w:val="en-US"/>
                <w14:ligatures w14:val="standardContextual"/>
              </w:rPr>
            </w:pPr>
            <w:r>
              <w:rPr>
                <w:b/>
                <w:bCs/>
                <w:kern w:val="2"/>
                <w:sz w:val="22"/>
                <w:szCs w:val="22"/>
                <w:lang w:val="en-US"/>
                <w14:ligatures w14:val="standardContextual"/>
              </w:rPr>
              <w:t>Nyrer og urinveje</w:t>
            </w:r>
          </w:p>
        </w:tc>
        <w:tc>
          <w:tcPr>
            <w:tcW w:w="4814" w:type="dxa"/>
            <w:tcBorders>
              <w:top w:val="single" w:sz="4" w:space="0" w:color="auto"/>
              <w:left w:val="single" w:sz="4" w:space="0" w:color="auto"/>
              <w:bottom w:val="single" w:sz="4" w:space="0" w:color="auto"/>
              <w:right w:val="single" w:sz="4" w:space="0" w:color="auto"/>
            </w:tcBorders>
          </w:tcPr>
          <w:p w14:paraId="3FF7D3AA" w14:textId="77777777" w:rsidR="003C2BF1" w:rsidRDefault="003C2BF1">
            <w:pPr>
              <w:rPr>
                <w:kern w:val="2"/>
                <w:sz w:val="22"/>
                <w:szCs w:val="22"/>
                <w:lang w:val="en-US"/>
                <w14:ligatures w14:val="standardContextual"/>
              </w:rPr>
            </w:pPr>
          </w:p>
        </w:tc>
      </w:tr>
      <w:tr w:rsidR="003C2BF1" w14:paraId="1FA66F19" w14:textId="77777777" w:rsidTr="003C2BF1">
        <w:trPr>
          <w:trHeight w:val="53"/>
        </w:trPr>
        <w:tc>
          <w:tcPr>
            <w:tcW w:w="4111" w:type="dxa"/>
            <w:tcBorders>
              <w:top w:val="single" w:sz="4" w:space="0" w:color="auto"/>
              <w:left w:val="single" w:sz="4" w:space="0" w:color="auto"/>
              <w:bottom w:val="single" w:sz="4" w:space="0" w:color="auto"/>
              <w:right w:val="single" w:sz="4" w:space="0" w:color="auto"/>
            </w:tcBorders>
            <w:hideMark/>
          </w:tcPr>
          <w:p w14:paraId="46FCA2E6" w14:textId="77777777" w:rsidR="003C2BF1" w:rsidRDefault="003C2BF1">
            <w:pPr>
              <w:rPr>
                <w:kern w:val="2"/>
                <w:sz w:val="22"/>
                <w:szCs w:val="22"/>
                <w:lang w:val="en-US"/>
                <w14:ligatures w14:val="standardContextual"/>
              </w:rPr>
            </w:pPr>
            <w:r>
              <w:rPr>
                <w:kern w:val="2"/>
                <w:sz w:val="22"/>
                <w:szCs w:val="22"/>
                <w:lang w:val="en-US"/>
                <w14:ligatures w14:val="standardContextual"/>
              </w:rPr>
              <w:t>Ikke kendt</w:t>
            </w:r>
          </w:p>
        </w:tc>
        <w:tc>
          <w:tcPr>
            <w:tcW w:w="4814" w:type="dxa"/>
            <w:tcBorders>
              <w:top w:val="single" w:sz="4" w:space="0" w:color="auto"/>
              <w:left w:val="single" w:sz="4" w:space="0" w:color="auto"/>
              <w:bottom w:val="single" w:sz="4" w:space="0" w:color="auto"/>
              <w:right w:val="single" w:sz="4" w:space="0" w:color="auto"/>
            </w:tcBorders>
            <w:hideMark/>
          </w:tcPr>
          <w:p w14:paraId="65022DDD" w14:textId="77777777" w:rsidR="003C2BF1" w:rsidRDefault="003C2BF1">
            <w:pPr>
              <w:rPr>
                <w:i/>
                <w:iCs/>
                <w:kern w:val="2"/>
                <w:sz w:val="22"/>
                <w:szCs w:val="22"/>
                <w:lang w:val="en-US"/>
                <w14:ligatures w14:val="standardContextual"/>
              </w:rPr>
            </w:pPr>
            <w:r>
              <w:rPr>
                <w:i/>
                <w:iCs/>
                <w:kern w:val="2"/>
                <w:sz w:val="22"/>
                <w:szCs w:val="22"/>
                <w:lang w:val="en-US"/>
                <w14:ligatures w14:val="standardContextual"/>
              </w:rPr>
              <w:t>akut nyresvigt, inkontinens</w:t>
            </w:r>
          </w:p>
        </w:tc>
      </w:tr>
      <w:tr w:rsidR="003C2BF1" w14:paraId="6E345343" w14:textId="77777777" w:rsidTr="003C2BF1">
        <w:trPr>
          <w:trHeight w:val="53"/>
        </w:trPr>
        <w:tc>
          <w:tcPr>
            <w:tcW w:w="8925" w:type="dxa"/>
            <w:gridSpan w:val="2"/>
            <w:tcBorders>
              <w:top w:val="single" w:sz="4" w:space="0" w:color="auto"/>
              <w:left w:val="single" w:sz="4" w:space="0" w:color="auto"/>
              <w:bottom w:val="single" w:sz="4" w:space="0" w:color="auto"/>
              <w:right w:val="single" w:sz="4" w:space="0" w:color="auto"/>
            </w:tcBorders>
            <w:hideMark/>
          </w:tcPr>
          <w:p w14:paraId="4F00D691" w14:textId="77777777" w:rsidR="003C2BF1" w:rsidRDefault="003C2BF1">
            <w:pPr>
              <w:rPr>
                <w:b/>
                <w:bCs/>
                <w:kern w:val="2"/>
                <w:sz w:val="22"/>
                <w:szCs w:val="22"/>
                <w:highlight w:val="yellow"/>
                <w14:ligatures w14:val="standardContextual"/>
              </w:rPr>
            </w:pPr>
            <w:r>
              <w:rPr>
                <w:b/>
                <w:bCs/>
                <w:kern w:val="2"/>
                <w:sz w:val="22"/>
                <w:szCs w:val="22"/>
                <w14:ligatures w14:val="standardContextual"/>
              </w:rPr>
              <w:t xml:space="preserve">Det reproduktive system og mammae   </w:t>
            </w:r>
          </w:p>
        </w:tc>
      </w:tr>
      <w:tr w:rsidR="003C2BF1" w14:paraId="31711A35" w14:textId="77777777" w:rsidTr="003C2BF1">
        <w:trPr>
          <w:trHeight w:val="53"/>
        </w:trPr>
        <w:tc>
          <w:tcPr>
            <w:tcW w:w="4111" w:type="dxa"/>
            <w:tcBorders>
              <w:top w:val="single" w:sz="4" w:space="0" w:color="auto"/>
              <w:left w:val="single" w:sz="4" w:space="0" w:color="auto"/>
              <w:bottom w:val="single" w:sz="4" w:space="0" w:color="auto"/>
              <w:right w:val="single" w:sz="4" w:space="0" w:color="auto"/>
            </w:tcBorders>
            <w:hideMark/>
          </w:tcPr>
          <w:p w14:paraId="686B2254" w14:textId="77777777" w:rsidR="003C2BF1" w:rsidRDefault="003C2BF1">
            <w:pPr>
              <w:rPr>
                <w:kern w:val="2"/>
                <w:sz w:val="22"/>
                <w:szCs w:val="22"/>
                <w:lang w:val="en-US"/>
                <w14:ligatures w14:val="standardContextual"/>
              </w:rPr>
            </w:pPr>
            <w:r>
              <w:rPr>
                <w:kern w:val="2"/>
                <w:sz w:val="22"/>
                <w:szCs w:val="22"/>
                <w:lang w:val="en-US"/>
                <w14:ligatures w14:val="standardContextual"/>
              </w:rPr>
              <w:t>Almindelig</w:t>
            </w:r>
          </w:p>
        </w:tc>
        <w:tc>
          <w:tcPr>
            <w:tcW w:w="4814" w:type="dxa"/>
            <w:tcBorders>
              <w:top w:val="single" w:sz="4" w:space="0" w:color="auto"/>
              <w:left w:val="single" w:sz="4" w:space="0" w:color="auto"/>
              <w:bottom w:val="single" w:sz="4" w:space="0" w:color="auto"/>
              <w:right w:val="single" w:sz="4" w:space="0" w:color="auto"/>
            </w:tcBorders>
            <w:hideMark/>
          </w:tcPr>
          <w:p w14:paraId="7110ED6B" w14:textId="77777777" w:rsidR="003C2BF1" w:rsidRDefault="003C2BF1">
            <w:pPr>
              <w:rPr>
                <w:kern w:val="2"/>
                <w:sz w:val="22"/>
                <w:szCs w:val="22"/>
                <w:lang w:val="en-US"/>
                <w14:ligatures w14:val="standardContextual"/>
              </w:rPr>
            </w:pPr>
            <w:r>
              <w:rPr>
                <w:kern w:val="2"/>
                <w:sz w:val="22"/>
                <w:szCs w:val="22"/>
                <w:lang w:val="en-US"/>
                <w14:ligatures w14:val="standardContextual"/>
              </w:rPr>
              <w:t>impotens</w:t>
            </w:r>
          </w:p>
        </w:tc>
      </w:tr>
      <w:tr w:rsidR="003C2BF1" w14:paraId="2BEAAC77" w14:textId="77777777" w:rsidTr="003C2BF1">
        <w:trPr>
          <w:trHeight w:val="53"/>
        </w:trPr>
        <w:tc>
          <w:tcPr>
            <w:tcW w:w="4111" w:type="dxa"/>
            <w:tcBorders>
              <w:top w:val="single" w:sz="4" w:space="0" w:color="auto"/>
              <w:left w:val="single" w:sz="4" w:space="0" w:color="auto"/>
              <w:bottom w:val="single" w:sz="4" w:space="0" w:color="auto"/>
              <w:right w:val="single" w:sz="4" w:space="0" w:color="auto"/>
            </w:tcBorders>
            <w:hideMark/>
          </w:tcPr>
          <w:p w14:paraId="5B07324D" w14:textId="77777777" w:rsidR="003C2BF1" w:rsidRDefault="003C2BF1">
            <w:pPr>
              <w:rPr>
                <w:kern w:val="2"/>
                <w:sz w:val="22"/>
                <w:szCs w:val="22"/>
                <w:lang w:val="en-US"/>
                <w14:ligatures w14:val="standardContextual"/>
              </w:rPr>
            </w:pPr>
            <w:r>
              <w:rPr>
                <w:kern w:val="2"/>
                <w:sz w:val="22"/>
                <w:szCs w:val="22"/>
                <w:lang w:val="en-US"/>
                <w14:ligatures w14:val="standardContextual"/>
              </w:rPr>
              <w:t>Ikke kendt</w:t>
            </w:r>
          </w:p>
        </w:tc>
        <w:tc>
          <w:tcPr>
            <w:tcW w:w="4814" w:type="dxa"/>
            <w:tcBorders>
              <w:top w:val="single" w:sz="4" w:space="0" w:color="auto"/>
              <w:left w:val="single" w:sz="4" w:space="0" w:color="auto"/>
              <w:bottom w:val="single" w:sz="4" w:space="0" w:color="auto"/>
              <w:right w:val="single" w:sz="4" w:space="0" w:color="auto"/>
            </w:tcBorders>
            <w:hideMark/>
          </w:tcPr>
          <w:p w14:paraId="3E21A604" w14:textId="77777777" w:rsidR="003C2BF1" w:rsidRDefault="003C2BF1">
            <w:pPr>
              <w:rPr>
                <w:i/>
                <w:iCs/>
                <w:kern w:val="2"/>
                <w:sz w:val="22"/>
                <w:szCs w:val="22"/>
                <w14:ligatures w14:val="standardContextual"/>
              </w:rPr>
            </w:pPr>
            <w:r>
              <w:rPr>
                <w:i/>
                <w:iCs/>
                <w:kern w:val="2"/>
                <w:sz w:val="22"/>
                <w:szCs w:val="22"/>
                <w14:ligatures w14:val="standardContextual"/>
              </w:rPr>
              <w:t>mammahypertrofi, gynækomasti, seksual dysfunktion (inklusive ændring i libido, ejakulationsforstyrrelser og anorgasme)</w:t>
            </w:r>
          </w:p>
        </w:tc>
      </w:tr>
      <w:tr w:rsidR="003C2BF1" w14:paraId="0F58B229" w14:textId="77777777" w:rsidTr="003C2BF1">
        <w:trPr>
          <w:trHeight w:val="53"/>
        </w:trPr>
        <w:tc>
          <w:tcPr>
            <w:tcW w:w="8925" w:type="dxa"/>
            <w:gridSpan w:val="2"/>
            <w:tcBorders>
              <w:top w:val="single" w:sz="4" w:space="0" w:color="auto"/>
              <w:left w:val="single" w:sz="4" w:space="0" w:color="auto"/>
              <w:bottom w:val="single" w:sz="4" w:space="0" w:color="auto"/>
              <w:right w:val="single" w:sz="4" w:space="0" w:color="auto"/>
            </w:tcBorders>
            <w:hideMark/>
          </w:tcPr>
          <w:p w14:paraId="64E70FDE" w14:textId="77777777" w:rsidR="003C2BF1" w:rsidRDefault="003C2BF1">
            <w:pPr>
              <w:rPr>
                <w:b/>
                <w:bCs/>
                <w:kern w:val="2"/>
                <w:sz w:val="22"/>
                <w:szCs w:val="22"/>
                <w:highlight w:val="yellow"/>
                <w14:ligatures w14:val="standardContextual"/>
              </w:rPr>
            </w:pPr>
            <w:r>
              <w:rPr>
                <w:b/>
                <w:bCs/>
                <w:kern w:val="2"/>
                <w:sz w:val="22"/>
                <w:szCs w:val="22"/>
                <w14:ligatures w14:val="standardContextual"/>
              </w:rPr>
              <w:lastRenderedPageBreak/>
              <w:t>Almene symptomer og reaktioner på administrationsstedet</w:t>
            </w:r>
          </w:p>
        </w:tc>
      </w:tr>
      <w:tr w:rsidR="003C2BF1" w14:paraId="38915373" w14:textId="77777777" w:rsidTr="003C2BF1">
        <w:trPr>
          <w:trHeight w:val="53"/>
        </w:trPr>
        <w:tc>
          <w:tcPr>
            <w:tcW w:w="4111" w:type="dxa"/>
            <w:tcBorders>
              <w:top w:val="single" w:sz="4" w:space="0" w:color="auto"/>
              <w:left w:val="single" w:sz="4" w:space="0" w:color="auto"/>
              <w:bottom w:val="single" w:sz="4" w:space="0" w:color="auto"/>
              <w:right w:val="single" w:sz="4" w:space="0" w:color="auto"/>
            </w:tcBorders>
            <w:hideMark/>
          </w:tcPr>
          <w:p w14:paraId="58B781B2" w14:textId="77777777" w:rsidR="003C2BF1" w:rsidRDefault="003C2BF1">
            <w:pPr>
              <w:rPr>
                <w:kern w:val="2"/>
                <w:sz w:val="22"/>
                <w:szCs w:val="22"/>
                <w:lang w:val="en-US"/>
                <w14:ligatures w14:val="standardContextual"/>
              </w:rPr>
            </w:pPr>
            <w:r>
              <w:rPr>
                <w:kern w:val="2"/>
                <w:sz w:val="22"/>
                <w:szCs w:val="22"/>
                <w:lang w:val="en-US"/>
                <w14:ligatures w14:val="standardContextual"/>
              </w:rPr>
              <w:t>Meget almindelig</w:t>
            </w:r>
          </w:p>
        </w:tc>
        <w:tc>
          <w:tcPr>
            <w:tcW w:w="4814" w:type="dxa"/>
            <w:tcBorders>
              <w:top w:val="single" w:sz="4" w:space="0" w:color="auto"/>
              <w:left w:val="single" w:sz="4" w:space="0" w:color="auto"/>
              <w:bottom w:val="single" w:sz="4" w:space="0" w:color="auto"/>
              <w:right w:val="single" w:sz="4" w:space="0" w:color="auto"/>
            </w:tcBorders>
            <w:hideMark/>
          </w:tcPr>
          <w:p w14:paraId="12F7695A" w14:textId="77777777" w:rsidR="003C2BF1" w:rsidRDefault="003C2BF1">
            <w:pPr>
              <w:rPr>
                <w:kern w:val="2"/>
                <w:sz w:val="22"/>
                <w:szCs w:val="22"/>
                <w:lang w:val="en-US"/>
                <w14:ligatures w14:val="standardContextual"/>
              </w:rPr>
            </w:pPr>
            <w:r>
              <w:rPr>
                <w:kern w:val="2"/>
                <w:sz w:val="22"/>
                <w:szCs w:val="22"/>
                <w:lang w:val="en-US"/>
                <w14:ligatures w14:val="standardContextual"/>
              </w:rPr>
              <w:t>træthed, feber</w:t>
            </w:r>
          </w:p>
        </w:tc>
      </w:tr>
      <w:tr w:rsidR="003C2BF1" w14:paraId="72F710CB" w14:textId="77777777" w:rsidTr="003C2BF1">
        <w:trPr>
          <w:trHeight w:val="53"/>
        </w:trPr>
        <w:tc>
          <w:tcPr>
            <w:tcW w:w="4111" w:type="dxa"/>
            <w:tcBorders>
              <w:top w:val="single" w:sz="4" w:space="0" w:color="auto"/>
              <w:left w:val="single" w:sz="4" w:space="0" w:color="auto"/>
              <w:bottom w:val="single" w:sz="4" w:space="0" w:color="auto"/>
              <w:right w:val="single" w:sz="4" w:space="0" w:color="auto"/>
            </w:tcBorders>
            <w:hideMark/>
          </w:tcPr>
          <w:p w14:paraId="3A3B2DA2" w14:textId="77777777" w:rsidR="003C2BF1" w:rsidRDefault="003C2BF1">
            <w:pPr>
              <w:rPr>
                <w:kern w:val="2"/>
                <w:sz w:val="22"/>
                <w:szCs w:val="22"/>
                <w:lang w:val="en-US"/>
                <w14:ligatures w14:val="standardContextual"/>
              </w:rPr>
            </w:pPr>
            <w:r>
              <w:rPr>
                <w:kern w:val="2"/>
                <w:sz w:val="22"/>
                <w:szCs w:val="22"/>
                <w:lang w:val="en-US"/>
                <w14:ligatures w14:val="standardContextual"/>
              </w:rPr>
              <w:t>Almindelig</w:t>
            </w:r>
          </w:p>
        </w:tc>
        <w:tc>
          <w:tcPr>
            <w:tcW w:w="4814" w:type="dxa"/>
            <w:tcBorders>
              <w:top w:val="single" w:sz="4" w:space="0" w:color="auto"/>
              <w:left w:val="single" w:sz="4" w:space="0" w:color="auto"/>
              <w:bottom w:val="single" w:sz="4" w:space="0" w:color="auto"/>
              <w:right w:val="single" w:sz="4" w:space="0" w:color="auto"/>
            </w:tcBorders>
            <w:hideMark/>
          </w:tcPr>
          <w:p w14:paraId="0B5264F0" w14:textId="77777777" w:rsidR="003C2BF1" w:rsidRDefault="003C2BF1">
            <w:pPr>
              <w:rPr>
                <w:kern w:val="2"/>
                <w:sz w:val="22"/>
                <w:szCs w:val="22"/>
                <w14:ligatures w14:val="standardContextual"/>
              </w:rPr>
            </w:pPr>
            <w:r>
              <w:rPr>
                <w:kern w:val="2"/>
                <w:sz w:val="22"/>
                <w:szCs w:val="22"/>
                <w14:ligatures w14:val="standardContextual"/>
              </w:rPr>
              <w:t>perifert ødem, gangforstyrrelser, asteni, smerter, utilpashed, influenzalignende symptomer</w:t>
            </w:r>
          </w:p>
        </w:tc>
      </w:tr>
      <w:tr w:rsidR="003C2BF1" w14:paraId="0836D5FE" w14:textId="77777777" w:rsidTr="003C2BF1">
        <w:trPr>
          <w:trHeight w:val="53"/>
        </w:trPr>
        <w:tc>
          <w:tcPr>
            <w:tcW w:w="4111" w:type="dxa"/>
            <w:tcBorders>
              <w:top w:val="single" w:sz="4" w:space="0" w:color="auto"/>
              <w:left w:val="single" w:sz="4" w:space="0" w:color="auto"/>
              <w:bottom w:val="single" w:sz="4" w:space="0" w:color="auto"/>
              <w:right w:val="single" w:sz="4" w:space="0" w:color="auto"/>
            </w:tcBorders>
            <w:hideMark/>
          </w:tcPr>
          <w:p w14:paraId="0B4C3223" w14:textId="77777777" w:rsidR="003C2BF1" w:rsidRDefault="003C2BF1">
            <w:pPr>
              <w:rPr>
                <w:kern w:val="2"/>
                <w:sz w:val="22"/>
                <w:szCs w:val="22"/>
                <w:lang w:val="en-US"/>
                <w14:ligatures w14:val="standardContextual"/>
              </w:rPr>
            </w:pPr>
            <w:r>
              <w:rPr>
                <w:kern w:val="2"/>
                <w:sz w:val="22"/>
                <w:szCs w:val="22"/>
                <w:lang w:val="en-US"/>
                <w14:ligatures w14:val="standardContextual"/>
              </w:rPr>
              <w:t>Ikke almindelig</w:t>
            </w:r>
          </w:p>
        </w:tc>
        <w:tc>
          <w:tcPr>
            <w:tcW w:w="4814" w:type="dxa"/>
            <w:tcBorders>
              <w:top w:val="single" w:sz="4" w:space="0" w:color="auto"/>
              <w:left w:val="single" w:sz="4" w:space="0" w:color="auto"/>
              <w:bottom w:val="single" w:sz="4" w:space="0" w:color="auto"/>
              <w:right w:val="single" w:sz="4" w:space="0" w:color="auto"/>
            </w:tcBorders>
            <w:hideMark/>
          </w:tcPr>
          <w:p w14:paraId="052C1BE5" w14:textId="77777777" w:rsidR="003C2BF1" w:rsidRDefault="003C2BF1">
            <w:pPr>
              <w:rPr>
                <w:kern w:val="2"/>
                <w:sz w:val="22"/>
                <w:szCs w:val="22"/>
                <w:lang w:val="en-US"/>
                <w14:ligatures w14:val="standardContextual"/>
              </w:rPr>
            </w:pPr>
            <w:r>
              <w:rPr>
                <w:kern w:val="2"/>
                <w:sz w:val="22"/>
                <w:szCs w:val="22"/>
                <w:lang w:val="en-US"/>
                <w14:ligatures w14:val="standardContextual"/>
              </w:rPr>
              <w:t>generaliseret ødem</w:t>
            </w:r>
          </w:p>
        </w:tc>
      </w:tr>
      <w:tr w:rsidR="003C2BF1" w14:paraId="34CBAC3A" w14:textId="77777777" w:rsidTr="003C2BF1">
        <w:trPr>
          <w:trHeight w:val="53"/>
        </w:trPr>
        <w:tc>
          <w:tcPr>
            <w:tcW w:w="4111" w:type="dxa"/>
            <w:tcBorders>
              <w:top w:val="single" w:sz="4" w:space="0" w:color="auto"/>
              <w:left w:val="single" w:sz="4" w:space="0" w:color="auto"/>
              <w:bottom w:val="single" w:sz="4" w:space="0" w:color="auto"/>
              <w:right w:val="single" w:sz="4" w:space="0" w:color="auto"/>
            </w:tcBorders>
            <w:hideMark/>
          </w:tcPr>
          <w:p w14:paraId="3ABC34C9" w14:textId="77777777" w:rsidR="003C2BF1" w:rsidRDefault="003C2BF1">
            <w:pPr>
              <w:rPr>
                <w:kern w:val="2"/>
                <w:sz w:val="22"/>
                <w:szCs w:val="22"/>
                <w:lang w:val="en-US"/>
                <w14:ligatures w14:val="standardContextual"/>
              </w:rPr>
            </w:pPr>
            <w:r>
              <w:rPr>
                <w:kern w:val="2"/>
                <w:sz w:val="22"/>
                <w:szCs w:val="22"/>
                <w:lang w:val="en-US"/>
                <w14:ligatures w14:val="standardContextual"/>
              </w:rPr>
              <w:t>Ikke kendt</w:t>
            </w:r>
          </w:p>
        </w:tc>
        <w:tc>
          <w:tcPr>
            <w:tcW w:w="4814" w:type="dxa"/>
            <w:tcBorders>
              <w:top w:val="single" w:sz="4" w:space="0" w:color="auto"/>
              <w:left w:val="single" w:sz="4" w:space="0" w:color="auto"/>
              <w:bottom w:val="single" w:sz="4" w:space="0" w:color="auto"/>
              <w:right w:val="single" w:sz="4" w:space="0" w:color="auto"/>
            </w:tcBorders>
            <w:hideMark/>
          </w:tcPr>
          <w:p w14:paraId="6141CFBF" w14:textId="77777777" w:rsidR="003C2BF1" w:rsidRDefault="003C2BF1">
            <w:pPr>
              <w:rPr>
                <w:i/>
                <w:iCs/>
                <w:kern w:val="2"/>
                <w:sz w:val="22"/>
                <w:szCs w:val="22"/>
                <w14:ligatures w14:val="standardContextual"/>
              </w:rPr>
            </w:pPr>
            <w:r>
              <w:rPr>
                <w:i/>
                <w:iCs/>
                <w:kern w:val="2"/>
                <w:sz w:val="22"/>
                <w:szCs w:val="22"/>
                <w14:ligatures w14:val="standardContextual"/>
              </w:rPr>
              <w:t>seponeringssymptomer*, brystsmerter. Der er set pludselig uforklarlig død, hvor årsagssammenhængen til behandling med gabapentin ikke er fastlagt.</w:t>
            </w:r>
          </w:p>
        </w:tc>
      </w:tr>
      <w:tr w:rsidR="003C2BF1" w14:paraId="492B986A" w14:textId="77777777" w:rsidTr="003C2BF1">
        <w:trPr>
          <w:trHeight w:val="53"/>
        </w:trPr>
        <w:tc>
          <w:tcPr>
            <w:tcW w:w="8925" w:type="dxa"/>
            <w:gridSpan w:val="2"/>
            <w:tcBorders>
              <w:top w:val="single" w:sz="4" w:space="0" w:color="auto"/>
              <w:left w:val="single" w:sz="4" w:space="0" w:color="auto"/>
              <w:bottom w:val="single" w:sz="4" w:space="0" w:color="auto"/>
              <w:right w:val="single" w:sz="4" w:space="0" w:color="auto"/>
            </w:tcBorders>
            <w:hideMark/>
          </w:tcPr>
          <w:p w14:paraId="049AFEBF" w14:textId="77777777" w:rsidR="003C2BF1" w:rsidRDefault="003C2BF1">
            <w:pPr>
              <w:rPr>
                <w:kern w:val="2"/>
                <w:sz w:val="22"/>
                <w:szCs w:val="22"/>
                <w:lang w:val="en-US"/>
                <w14:ligatures w14:val="standardContextual"/>
              </w:rPr>
            </w:pPr>
            <w:r>
              <w:rPr>
                <w:b/>
                <w:bCs/>
                <w:kern w:val="2"/>
                <w:sz w:val="22"/>
                <w:szCs w:val="22"/>
                <w:lang w:val="en-US"/>
                <w14:ligatures w14:val="standardContextual"/>
              </w:rPr>
              <w:t>Undersøgelser</w:t>
            </w:r>
          </w:p>
        </w:tc>
      </w:tr>
      <w:tr w:rsidR="003C2BF1" w14:paraId="19D0FEB4" w14:textId="77777777" w:rsidTr="003C2BF1">
        <w:trPr>
          <w:trHeight w:val="254"/>
        </w:trPr>
        <w:tc>
          <w:tcPr>
            <w:tcW w:w="4111" w:type="dxa"/>
            <w:tcBorders>
              <w:top w:val="single" w:sz="4" w:space="0" w:color="auto"/>
              <w:left w:val="single" w:sz="4" w:space="0" w:color="auto"/>
              <w:bottom w:val="single" w:sz="4" w:space="0" w:color="auto"/>
              <w:right w:val="single" w:sz="4" w:space="0" w:color="auto"/>
            </w:tcBorders>
            <w:hideMark/>
          </w:tcPr>
          <w:p w14:paraId="2882E8BC" w14:textId="77777777" w:rsidR="003C2BF1" w:rsidRDefault="003C2BF1">
            <w:pPr>
              <w:rPr>
                <w:kern w:val="2"/>
                <w:sz w:val="22"/>
                <w:szCs w:val="22"/>
                <w:lang w:val="en-US"/>
                <w14:ligatures w14:val="standardContextual"/>
              </w:rPr>
            </w:pPr>
            <w:r>
              <w:rPr>
                <w:kern w:val="2"/>
                <w:sz w:val="22"/>
                <w:szCs w:val="22"/>
                <w:lang w:val="en-US"/>
                <w14:ligatures w14:val="standardContextual"/>
              </w:rPr>
              <w:t>Almindelig</w:t>
            </w:r>
          </w:p>
        </w:tc>
        <w:tc>
          <w:tcPr>
            <w:tcW w:w="4814" w:type="dxa"/>
            <w:tcBorders>
              <w:top w:val="single" w:sz="4" w:space="0" w:color="auto"/>
              <w:left w:val="single" w:sz="4" w:space="0" w:color="auto"/>
              <w:bottom w:val="single" w:sz="4" w:space="0" w:color="auto"/>
              <w:right w:val="single" w:sz="4" w:space="0" w:color="auto"/>
            </w:tcBorders>
            <w:hideMark/>
          </w:tcPr>
          <w:p w14:paraId="4127400D" w14:textId="77777777" w:rsidR="003C2BF1" w:rsidRDefault="003C2BF1">
            <w:pPr>
              <w:rPr>
                <w:kern w:val="2"/>
                <w:sz w:val="22"/>
                <w:szCs w:val="22"/>
                <w14:ligatures w14:val="standardContextual"/>
              </w:rPr>
            </w:pPr>
            <w:r>
              <w:rPr>
                <w:kern w:val="2"/>
                <w:sz w:val="22"/>
                <w:szCs w:val="22"/>
                <w14:ligatures w14:val="standardContextual"/>
              </w:rPr>
              <w:t>nedsat antal hvide blodlegemer, vægtøgning</w:t>
            </w:r>
          </w:p>
        </w:tc>
      </w:tr>
      <w:tr w:rsidR="003C2BF1" w14:paraId="619D04E7" w14:textId="77777777" w:rsidTr="003C2BF1">
        <w:trPr>
          <w:trHeight w:val="53"/>
        </w:trPr>
        <w:tc>
          <w:tcPr>
            <w:tcW w:w="4111" w:type="dxa"/>
            <w:tcBorders>
              <w:top w:val="single" w:sz="4" w:space="0" w:color="auto"/>
              <w:left w:val="single" w:sz="4" w:space="0" w:color="auto"/>
              <w:bottom w:val="single" w:sz="4" w:space="0" w:color="auto"/>
              <w:right w:val="single" w:sz="4" w:space="0" w:color="auto"/>
            </w:tcBorders>
            <w:hideMark/>
          </w:tcPr>
          <w:p w14:paraId="01C7F9EA" w14:textId="77777777" w:rsidR="003C2BF1" w:rsidRDefault="003C2BF1">
            <w:pPr>
              <w:rPr>
                <w:kern w:val="2"/>
                <w:sz w:val="22"/>
                <w:szCs w:val="22"/>
                <w:lang w:val="en-US"/>
                <w14:ligatures w14:val="standardContextual"/>
              </w:rPr>
            </w:pPr>
            <w:r>
              <w:rPr>
                <w:kern w:val="2"/>
                <w:sz w:val="22"/>
                <w:szCs w:val="22"/>
                <w:lang w:val="en-US"/>
                <w14:ligatures w14:val="standardContextual"/>
              </w:rPr>
              <w:t>Ikke almindelig</w:t>
            </w:r>
          </w:p>
        </w:tc>
        <w:tc>
          <w:tcPr>
            <w:tcW w:w="4814" w:type="dxa"/>
            <w:tcBorders>
              <w:top w:val="single" w:sz="4" w:space="0" w:color="auto"/>
              <w:left w:val="single" w:sz="4" w:space="0" w:color="auto"/>
              <w:bottom w:val="single" w:sz="4" w:space="0" w:color="auto"/>
              <w:right w:val="single" w:sz="4" w:space="0" w:color="auto"/>
            </w:tcBorders>
            <w:hideMark/>
          </w:tcPr>
          <w:p w14:paraId="6FCB3429" w14:textId="77777777" w:rsidR="003C2BF1" w:rsidRDefault="003C2BF1">
            <w:pPr>
              <w:rPr>
                <w:kern w:val="2"/>
                <w:sz w:val="22"/>
                <w:szCs w:val="22"/>
                <w14:ligatures w14:val="standardContextual"/>
              </w:rPr>
            </w:pPr>
            <w:r>
              <w:rPr>
                <w:kern w:val="2"/>
                <w:sz w:val="22"/>
                <w:szCs w:val="22"/>
                <w14:ligatures w14:val="standardContextual"/>
              </w:rPr>
              <w:t>forhøjede levertal ASAT, ALAT og bilirubin</w:t>
            </w:r>
          </w:p>
        </w:tc>
      </w:tr>
      <w:tr w:rsidR="003C2BF1" w14:paraId="1EB4622B" w14:textId="77777777" w:rsidTr="003C2BF1">
        <w:trPr>
          <w:trHeight w:val="53"/>
        </w:trPr>
        <w:tc>
          <w:tcPr>
            <w:tcW w:w="4111" w:type="dxa"/>
            <w:tcBorders>
              <w:top w:val="single" w:sz="4" w:space="0" w:color="auto"/>
              <w:left w:val="single" w:sz="4" w:space="0" w:color="auto"/>
              <w:bottom w:val="single" w:sz="4" w:space="0" w:color="auto"/>
              <w:right w:val="single" w:sz="4" w:space="0" w:color="auto"/>
            </w:tcBorders>
            <w:hideMark/>
          </w:tcPr>
          <w:p w14:paraId="5FD1F3FF" w14:textId="77777777" w:rsidR="003C2BF1" w:rsidRDefault="003C2BF1">
            <w:pPr>
              <w:rPr>
                <w:kern w:val="2"/>
                <w:sz w:val="22"/>
                <w:szCs w:val="22"/>
                <w:lang w:val="en-US"/>
                <w14:ligatures w14:val="standardContextual"/>
              </w:rPr>
            </w:pPr>
            <w:r>
              <w:rPr>
                <w:kern w:val="2"/>
                <w:sz w:val="22"/>
                <w:szCs w:val="22"/>
                <w:lang w:val="en-US"/>
                <w14:ligatures w14:val="standardContextual"/>
              </w:rPr>
              <w:t>Ikke kendt</w:t>
            </w:r>
          </w:p>
        </w:tc>
        <w:tc>
          <w:tcPr>
            <w:tcW w:w="4814" w:type="dxa"/>
            <w:tcBorders>
              <w:top w:val="single" w:sz="4" w:space="0" w:color="auto"/>
              <w:left w:val="single" w:sz="4" w:space="0" w:color="auto"/>
              <w:bottom w:val="single" w:sz="4" w:space="0" w:color="auto"/>
              <w:right w:val="single" w:sz="4" w:space="0" w:color="auto"/>
            </w:tcBorders>
            <w:hideMark/>
          </w:tcPr>
          <w:p w14:paraId="148A74ED" w14:textId="77777777" w:rsidR="003C2BF1" w:rsidRDefault="003C2BF1">
            <w:pPr>
              <w:rPr>
                <w:i/>
                <w:iCs/>
                <w:kern w:val="2"/>
                <w:sz w:val="22"/>
                <w:szCs w:val="22"/>
                <w:lang w:val="en-US"/>
                <w14:ligatures w14:val="standardContextual"/>
              </w:rPr>
            </w:pPr>
            <w:r>
              <w:rPr>
                <w:i/>
                <w:iCs/>
                <w:kern w:val="2"/>
                <w:sz w:val="22"/>
                <w:szCs w:val="22"/>
                <w:lang w:val="en-US"/>
                <w14:ligatures w14:val="standardContextual"/>
              </w:rPr>
              <w:t>øget serum-kreatininfosfokinase</w:t>
            </w:r>
          </w:p>
        </w:tc>
      </w:tr>
      <w:tr w:rsidR="003C2BF1" w14:paraId="32ED60AC" w14:textId="77777777" w:rsidTr="003C2BF1">
        <w:trPr>
          <w:trHeight w:val="53"/>
        </w:trPr>
        <w:tc>
          <w:tcPr>
            <w:tcW w:w="8925" w:type="dxa"/>
            <w:gridSpan w:val="2"/>
            <w:tcBorders>
              <w:top w:val="single" w:sz="4" w:space="0" w:color="auto"/>
              <w:left w:val="single" w:sz="4" w:space="0" w:color="auto"/>
              <w:bottom w:val="single" w:sz="4" w:space="0" w:color="auto"/>
              <w:right w:val="single" w:sz="4" w:space="0" w:color="auto"/>
            </w:tcBorders>
            <w:hideMark/>
          </w:tcPr>
          <w:p w14:paraId="0926DCB2" w14:textId="77777777" w:rsidR="003C2BF1" w:rsidRDefault="003C2BF1">
            <w:pPr>
              <w:rPr>
                <w:b/>
                <w:bCs/>
                <w:kern w:val="2"/>
                <w:sz w:val="22"/>
                <w:szCs w:val="22"/>
                <w:lang w:val="en-US"/>
                <w14:ligatures w14:val="standardContextual"/>
              </w:rPr>
            </w:pPr>
            <w:r>
              <w:rPr>
                <w:b/>
                <w:bCs/>
                <w:kern w:val="2"/>
                <w:sz w:val="22"/>
                <w:szCs w:val="22"/>
                <w:lang w:val="en-US"/>
                <w14:ligatures w14:val="standardContextual"/>
              </w:rPr>
              <w:t>Traumer, forgiftninger og behandlingskomplikationer</w:t>
            </w:r>
          </w:p>
        </w:tc>
      </w:tr>
      <w:tr w:rsidR="003C2BF1" w14:paraId="31A5AFDD" w14:textId="77777777" w:rsidTr="003C2BF1">
        <w:trPr>
          <w:trHeight w:val="53"/>
        </w:trPr>
        <w:tc>
          <w:tcPr>
            <w:tcW w:w="4111" w:type="dxa"/>
            <w:tcBorders>
              <w:top w:val="single" w:sz="4" w:space="0" w:color="auto"/>
              <w:left w:val="single" w:sz="4" w:space="0" w:color="auto"/>
              <w:bottom w:val="single" w:sz="4" w:space="0" w:color="auto"/>
              <w:right w:val="single" w:sz="4" w:space="0" w:color="auto"/>
            </w:tcBorders>
            <w:hideMark/>
          </w:tcPr>
          <w:p w14:paraId="57A26F50" w14:textId="77777777" w:rsidR="003C2BF1" w:rsidRDefault="003C2BF1">
            <w:pPr>
              <w:rPr>
                <w:kern w:val="2"/>
                <w:sz w:val="22"/>
                <w:szCs w:val="22"/>
                <w:lang w:val="en-US"/>
                <w14:ligatures w14:val="standardContextual"/>
              </w:rPr>
            </w:pPr>
            <w:r>
              <w:rPr>
                <w:kern w:val="2"/>
                <w:sz w:val="22"/>
                <w:szCs w:val="22"/>
                <w:lang w:val="en-US"/>
                <w14:ligatures w14:val="standardContextual"/>
              </w:rPr>
              <w:t>Almindelig</w:t>
            </w:r>
          </w:p>
        </w:tc>
        <w:tc>
          <w:tcPr>
            <w:tcW w:w="4814" w:type="dxa"/>
            <w:tcBorders>
              <w:top w:val="single" w:sz="4" w:space="0" w:color="auto"/>
              <w:left w:val="single" w:sz="4" w:space="0" w:color="auto"/>
              <w:bottom w:val="single" w:sz="4" w:space="0" w:color="auto"/>
              <w:right w:val="single" w:sz="4" w:space="0" w:color="auto"/>
            </w:tcBorders>
            <w:hideMark/>
          </w:tcPr>
          <w:p w14:paraId="0D953F2F" w14:textId="77777777" w:rsidR="003C2BF1" w:rsidRDefault="003C2BF1">
            <w:pPr>
              <w:rPr>
                <w:kern w:val="2"/>
                <w:sz w:val="22"/>
                <w:szCs w:val="22"/>
                <w:lang w:val="en-US"/>
                <w14:ligatures w14:val="standardContextual"/>
              </w:rPr>
            </w:pPr>
            <w:r>
              <w:rPr>
                <w:kern w:val="2"/>
                <w:sz w:val="22"/>
                <w:szCs w:val="22"/>
                <w:lang w:val="en-US"/>
                <w14:ligatures w14:val="standardContextual"/>
              </w:rPr>
              <w:t>hændeligt uheld, fraktur, abrasio</w:t>
            </w:r>
          </w:p>
        </w:tc>
      </w:tr>
      <w:tr w:rsidR="003C2BF1" w14:paraId="6DC66214" w14:textId="77777777" w:rsidTr="003C2BF1">
        <w:trPr>
          <w:trHeight w:val="53"/>
        </w:trPr>
        <w:tc>
          <w:tcPr>
            <w:tcW w:w="4111" w:type="dxa"/>
            <w:tcBorders>
              <w:top w:val="single" w:sz="4" w:space="0" w:color="auto"/>
              <w:left w:val="single" w:sz="4" w:space="0" w:color="auto"/>
              <w:bottom w:val="single" w:sz="4" w:space="0" w:color="auto"/>
              <w:right w:val="single" w:sz="4" w:space="0" w:color="auto"/>
            </w:tcBorders>
            <w:hideMark/>
          </w:tcPr>
          <w:p w14:paraId="3C587732" w14:textId="77777777" w:rsidR="003C2BF1" w:rsidRDefault="003C2BF1">
            <w:pPr>
              <w:rPr>
                <w:kern w:val="2"/>
                <w:sz w:val="22"/>
                <w:szCs w:val="22"/>
                <w:lang w:val="en-US"/>
                <w14:ligatures w14:val="standardContextual"/>
              </w:rPr>
            </w:pPr>
            <w:r>
              <w:rPr>
                <w:kern w:val="2"/>
                <w:sz w:val="22"/>
                <w:szCs w:val="22"/>
                <w:lang w:val="en-US"/>
                <w14:ligatures w14:val="standardContextual"/>
              </w:rPr>
              <w:t>Ikke almindelig</w:t>
            </w:r>
          </w:p>
        </w:tc>
        <w:tc>
          <w:tcPr>
            <w:tcW w:w="4814" w:type="dxa"/>
            <w:tcBorders>
              <w:top w:val="single" w:sz="4" w:space="0" w:color="auto"/>
              <w:left w:val="single" w:sz="4" w:space="0" w:color="auto"/>
              <w:bottom w:val="single" w:sz="4" w:space="0" w:color="auto"/>
              <w:right w:val="single" w:sz="4" w:space="0" w:color="auto"/>
            </w:tcBorders>
            <w:hideMark/>
          </w:tcPr>
          <w:p w14:paraId="28E17EB3" w14:textId="77777777" w:rsidR="003C2BF1" w:rsidRDefault="003C2BF1">
            <w:pPr>
              <w:rPr>
                <w:kern w:val="2"/>
                <w:sz w:val="22"/>
                <w:szCs w:val="22"/>
                <w:lang w:val="en-US"/>
                <w14:ligatures w14:val="standardContextual"/>
              </w:rPr>
            </w:pPr>
            <w:r>
              <w:rPr>
                <w:kern w:val="2"/>
                <w:sz w:val="22"/>
                <w:szCs w:val="22"/>
                <w:lang w:val="en-US"/>
                <w14:ligatures w14:val="standardContextual"/>
              </w:rPr>
              <w:t>fald</w:t>
            </w:r>
          </w:p>
        </w:tc>
      </w:tr>
    </w:tbl>
    <w:p w14:paraId="6EAD9D49" w14:textId="77777777" w:rsidR="003C2BF1" w:rsidRDefault="003C2BF1" w:rsidP="003C2BF1">
      <w:pPr>
        <w:rPr>
          <w:sz w:val="22"/>
          <w:szCs w:val="22"/>
          <w:lang w:val="en-US" w:eastAsia="fr-LU"/>
        </w:rPr>
      </w:pPr>
    </w:p>
    <w:p w14:paraId="1577FBD3" w14:textId="77777777" w:rsidR="003C2BF1" w:rsidRPr="003C2BF1" w:rsidRDefault="003C2BF1" w:rsidP="003C2BF1">
      <w:pPr>
        <w:ind w:left="851"/>
        <w:rPr>
          <w:sz w:val="20"/>
        </w:rPr>
      </w:pPr>
      <w:r w:rsidRPr="003C2BF1">
        <w:rPr>
          <w:sz w:val="20"/>
        </w:rPr>
        <w:t>*Efter seponering af korttidsbehandling og langtidsbehandling med gabapentin er der set seponeringssymptomer. Seponeringssymptomer kan forekomme kort tid efter seponering, som regel inden for 48 timer. De hyppigst rapporterede symptomer omfatter angst, søvnløshed, kvalme, smerter, svedtendens, tremor, hovedpine, depression, at føle sig unormal, svimmelhed og utilpashed (se pkt. 4.4). Forekomsten af seponeringssymptomer efter seponering af gabapentin kan være tegn på stofafhængighed (se pkt. 4.8).</w:t>
      </w:r>
    </w:p>
    <w:p w14:paraId="37047C55" w14:textId="77777777" w:rsidR="003C2BF1" w:rsidRPr="003C2BF1" w:rsidRDefault="003C2BF1" w:rsidP="003C2BF1">
      <w:pPr>
        <w:ind w:left="851"/>
        <w:rPr>
          <w:sz w:val="20"/>
        </w:rPr>
      </w:pPr>
      <w:r w:rsidRPr="003C2BF1">
        <w:rPr>
          <w:sz w:val="20"/>
        </w:rPr>
        <w:t>Patienten bør informeres om dette ved behandlingens start. Hvis gabapentin seponeres, anbefales det, at dette sket gradvist over mindst 1 uge uden hensyn til indikationen (se pkt. 4.2).</w:t>
      </w:r>
    </w:p>
    <w:p w14:paraId="4222A8F0" w14:textId="77777777" w:rsidR="003C2BF1" w:rsidRPr="003C2BF1" w:rsidRDefault="003C2BF1" w:rsidP="003C2BF1">
      <w:pPr>
        <w:ind w:left="851"/>
        <w:rPr>
          <w:sz w:val="24"/>
          <w:szCs w:val="24"/>
        </w:rPr>
      </w:pPr>
    </w:p>
    <w:p w14:paraId="46B7D3C8" w14:textId="77777777" w:rsidR="003C2BF1" w:rsidRPr="003C2BF1" w:rsidRDefault="003C2BF1" w:rsidP="003C2BF1">
      <w:pPr>
        <w:ind w:left="851"/>
        <w:rPr>
          <w:sz w:val="24"/>
          <w:szCs w:val="24"/>
        </w:rPr>
      </w:pPr>
      <w:r w:rsidRPr="003C2BF1">
        <w:rPr>
          <w:sz w:val="24"/>
          <w:szCs w:val="24"/>
        </w:rPr>
        <w:t>Der er set tilfælde af akut pancreatitis under behandling med gabapentin. Årsagssammenhængen er uklar (se pkt. 4.4).</w:t>
      </w:r>
    </w:p>
    <w:p w14:paraId="15447C45" w14:textId="77777777" w:rsidR="003C2BF1" w:rsidRPr="003C2BF1" w:rsidRDefault="003C2BF1" w:rsidP="003C2BF1">
      <w:pPr>
        <w:ind w:left="851"/>
        <w:rPr>
          <w:sz w:val="24"/>
          <w:szCs w:val="24"/>
        </w:rPr>
      </w:pPr>
    </w:p>
    <w:p w14:paraId="7F602A05" w14:textId="77777777" w:rsidR="003C2BF1" w:rsidRPr="003C2BF1" w:rsidRDefault="003C2BF1" w:rsidP="003C2BF1">
      <w:pPr>
        <w:ind w:left="851"/>
        <w:rPr>
          <w:sz w:val="24"/>
          <w:szCs w:val="24"/>
        </w:rPr>
      </w:pPr>
      <w:r w:rsidRPr="003C2BF1">
        <w:rPr>
          <w:sz w:val="24"/>
          <w:szCs w:val="24"/>
        </w:rPr>
        <w:t>Der er rapporteret tilfælde af myopati med forhøjede kreatinkinase-niveauer hos patienter i hæmodialysebehandling pga. nyresvigt i slutstadiet.</w:t>
      </w:r>
    </w:p>
    <w:p w14:paraId="2739028C" w14:textId="77777777" w:rsidR="003C2BF1" w:rsidRPr="003C2BF1" w:rsidRDefault="003C2BF1" w:rsidP="003C2BF1">
      <w:pPr>
        <w:ind w:left="851"/>
        <w:rPr>
          <w:sz w:val="24"/>
          <w:szCs w:val="24"/>
        </w:rPr>
      </w:pPr>
    </w:p>
    <w:p w14:paraId="51236ABB" w14:textId="1627F18F" w:rsidR="003C2BF1" w:rsidRPr="003C2BF1" w:rsidRDefault="003C2BF1" w:rsidP="003C2BF1">
      <w:pPr>
        <w:ind w:left="851"/>
        <w:rPr>
          <w:sz w:val="24"/>
          <w:szCs w:val="24"/>
        </w:rPr>
      </w:pPr>
      <w:r w:rsidRPr="003C2BF1">
        <w:rPr>
          <w:sz w:val="24"/>
          <w:szCs w:val="24"/>
        </w:rPr>
        <w:t>Der er kun set luftvejsinfektioner, otitis media, krampeanfald og bronkitis i kliniske studier</w:t>
      </w:r>
      <w:r w:rsidR="004B5A83">
        <w:rPr>
          <w:sz w:val="24"/>
          <w:szCs w:val="24"/>
        </w:rPr>
        <w:t xml:space="preserve"> </w:t>
      </w:r>
      <w:r w:rsidRPr="003C2BF1">
        <w:rPr>
          <w:sz w:val="24"/>
          <w:szCs w:val="24"/>
        </w:rPr>
        <w:t>hos børn. Derudover er aggressiv opførsel og hyperkinesi rapporteret som almindelig i kliniske studier hos børn.</w:t>
      </w:r>
    </w:p>
    <w:p w14:paraId="56C278C6" w14:textId="77777777" w:rsidR="003C2BF1" w:rsidRPr="003C2BF1" w:rsidRDefault="003C2BF1" w:rsidP="003C2BF1">
      <w:pPr>
        <w:ind w:left="851"/>
        <w:rPr>
          <w:sz w:val="24"/>
          <w:szCs w:val="24"/>
        </w:rPr>
      </w:pPr>
    </w:p>
    <w:p w14:paraId="7DA032E5" w14:textId="77777777" w:rsidR="003C2BF1" w:rsidRPr="003C2BF1" w:rsidRDefault="003C2BF1" w:rsidP="003C2BF1">
      <w:pPr>
        <w:autoSpaceDE w:val="0"/>
        <w:autoSpaceDN w:val="0"/>
        <w:adjustRightInd w:val="0"/>
        <w:ind w:left="851"/>
        <w:rPr>
          <w:sz w:val="24"/>
          <w:szCs w:val="24"/>
          <w:u w:val="single"/>
        </w:rPr>
      </w:pPr>
      <w:r w:rsidRPr="003C2BF1">
        <w:rPr>
          <w:noProof/>
          <w:sz w:val="24"/>
          <w:szCs w:val="24"/>
          <w:u w:val="single"/>
        </w:rPr>
        <w:t>Indberetning af formodede bivirkninger</w:t>
      </w:r>
    </w:p>
    <w:p w14:paraId="05CD7BC6" w14:textId="77777777" w:rsidR="003C2BF1" w:rsidRPr="003C2BF1" w:rsidRDefault="003C2BF1" w:rsidP="003C2BF1">
      <w:pPr>
        <w:tabs>
          <w:tab w:val="left" w:pos="567"/>
        </w:tabs>
        <w:autoSpaceDE w:val="0"/>
        <w:autoSpaceDN w:val="0"/>
        <w:adjustRightInd w:val="0"/>
        <w:ind w:left="851"/>
        <w:rPr>
          <w:noProof/>
          <w:sz w:val="24"/>
          <w:szCs w:val="24"/>
        </w:rPr>
      </w:pPr>
      <w:r w:rsidRPr="003C2BF1">
        <w:rPr>
          <w:noProof/>
          <w:sz w:val="24"/>
          <w:szCs w:val="24"/>
        </w:rPr>
        <w:t>Når lægemidlet er godkendt, er indberetning af formodede bivirkninger vigtig.</w:t>
      </w:r>
      <w:r w:rsidRPr="003C2BF1">
        <w:rPr>
          <w:sz w:val="24"/>
          <w:szCs w:val="24"/>
        </w:rPr>
        <w:t xml:space="preserve"> </w:t>
      </w:r>
      <w:r w:rsidRPr="003C2BF1">
        <w:rPr>
          <w:noProof/>
          <w:sz w:val="24"/>
          <w:szCs w:val="24"/>
        </w:rPr>
        <w:t>Det muliggør løbende overvågning af benefit/risk-forholdet for lægemidlet.</w:t>
      </w:r>
      <w:r w:rsidRPr="003C2BF1">
        <w:rPr>
          <w:sz w:val="24"/>
          <w:szCs w:val="24"/>
        </w:rPr>
        <w:t xml:space="preserve"> </w:t>
      </w:r>
      <w:r w:rsidRPr="003C2BF1">
        <w:rPr>
          <w:noProof/>
          <w:sz w:val="24"/>
          <w:szCs w:val="24"/>
        </w:rPr>
        <w:t>Sundhedspersoner anmodes om at indberette alle formodede bivirkninger via:</w:t>
      </w:r>
    </w:p>
    <w:p w14:paraId="371202B8" w14:textId="77777777" w:rsidR="003C2BF1" w:rsidRPr="003C2BF1" w:rsidRDefault="003C2BF1" w:rsidP="003C2BF1">
      <w:pPr>
        <w:ind w:left="851"/>
        <w:rPr>
          <w:color w:val="008000"/>
          <w:sz w:val="24"/>
          <w:szCs w:val="24"/>
        </w:rPr>
      </w:pPr>
    </w:p>
    <w:p w14:paraId="48FF11A1" w14:textId="77777777" w:rsidR="003C2BF1" w:rsidRPr="003C2BF1" w:rsidRDefault="003C2BF1" w:rsidP="003C2BF1">
      <w:pPr>
        <w:ind w:left="851"/>
        <w:rPr>
          <w:sz w:val="24"/>
          <w:szCs w:val="24"/>
        </w:rPr>
      </w:pPr>
      <w:r w:rsidRPr="003C2BF1">
        <w:rPr>
          <w:sz w:val="24"/>
          <w:szCs w:val="24"/>
        </w:rPr>
        <w:t>Lægemiddelstyrelsen</w:t>
      </w:r>
    </w:p>
    <w:p w14:paraId="7C541D95" w14:textId="77777777" w:rsidR="003C2BF1" w:rsidRPr="003C2BF1" w:rsidRDefault="003C2BF1" w:rsidP="003C2BF1">
      <w:pPr>
        <w:ind w:left="851"/>
        <w:rPr>
          <w:sz w:val="24"/>
          <w:szCs w:val="24"/>
        </w:rPr>
      </w:pPr>
      <w:r w:rsidRPr="003C2BF1">
        <w:rPr>
          <w:sz w:val="24"/>
          <w:szCs w:val="24"/>
        </w:rPr>
        <w:t>Axel Heides Gade 1</w:t>
      </w:r>
    </w:p>
    <w:p w14:paraId="41FFE400" w14:textId="77777777" w:rsidR="003C2BF1" w:rsidRPr="003C2BF1" w:rsidRDefault="003C2BF1" w:rsidP="003C2BF1">
      <w:pPr>
        <w:ind w:left="851"/>
        <w:rPr>
          <w:sz w:val="24"/>
          <w:szCs w:val="24"/>
        </w:rPr>
      </w:pPr>
      <w:r w:rsidRPr="003C2BF1">
        <w:rPr>
          <w:sz w:val="24"/>
          <w:szCs w:val="24"/>
        </w:rPr>
        <w:t>DK-2300 København S</w:t>
      </w:r>
    </w:p>
    <w:p w14:paraId="10DAAC0B" w14:textId="77777777" w:rsidR="003C2BF1" w:rsidRPr="003C2BF1" w:rsidRDefault="003C2BF1" w:rsidP="003C2BF1">
      <w:pPr>
        <w:ind w:left="851"/>
        <w:rPr>
          <w:sz w:val="24"/>
          <w:szCs w:val="24"/>
        </w:rPr>
      </w:pPr>
      <w:r w:rsidRPr="003C2BF1">
        <w:rPr>
          <w:sz w:val="24"/>
          <w:szCs w:val="24"/>
        </w:rPr>
        <w:t>Websted: www.meldenbivirkning.dk</w:t>
      </w:r>
    </w:p>
    <w:p w14:paraId="794693D7" w14:textId="77777777" w:rsidR="009260DE" w:rsidRPr="003C2BF1" w:rsidRDefault="009260DE" w:rsidP="003C2BF1">
      <w:pPr>
        <w:tabs>
          <w:tab w:val="left" w:pos="851"/>
        </w:tabs>
        <w:ind w:left="851"/>
        <w:rPr>
          <w:sz w:val="24"/>
          <w:szCs w:val="24"/>
        </w:rPr>
      </w:pPr>
    </w:p>
    <w:p w14:paraId="23A29B7D"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730E0E0F" w14:textId="77777777" w:rsidR="00F72181" w:rsidRDefault="00F72181" w:rsidP="00F72181">
      <w:pPr>
        <w:tabs>
          <w:tab w:val="left" w:pos="851"/>
        </w:tabs>
        <w:ind w:left="851"/>
        <w:rPr>
          <w:sz w:val="24"/>
          <w:szCs w:val="24"/>
        </w:rPr>
      </w:pPr>
      <w:r w:rsidRPr="00F72181">
        <w:rPr>
          <w:sz w:val="24"/>
          <w:szCs w:val="24"/>
        </w:rPr>
        <w:t>Akut livstruende toksicitet er ikke observeret med gabapentin ved overdosering på op til</w:t>
      </w:r>
    </w:p>
    <w:p w14:paraId="26DCCE1E" w14:textId="7D3E50B4" w:rsidR="00F72181" w:rsidRPr="00F72181" w:rsidRDefault="00F72181" w:rsidP="00F72181">
      <w:pPr>
        <w:tabs>
          <w:tab w:val="left" w:pos="851"/>
        </w:tabs>
        <w:ind w:left="851"/>
        <w:rPr>
          <w:sz w:val="24"/>
          <w:szCs w:val="24"/>
        </w:rPr>
      </w:pPr>
      <w:r w:rsidRPr="00F72181">
        <w:rPr>
          <w:sz w:val="24"/>
          <w:szCs w:val="24"/>
        </w:rPr>
        <w:t>49 g. Symptomer ved overdosering er svimmelhed, dobbeltsyn, talebesvær, døsighed, bevidsthedstab, letargi og mild diarré. Alle patienter er fuldt restituerede efter understøttende behandling. Nedsat absorption af gabapentin ved høje doser kan begrænse absorptionen ved overdosering og dermed mindske den opnåede toksicitet.</w:t>
      </w:r>
    </w:p>
    <w:p w14:paraId="7FDC236B" w14:textId="77777777" w:rsidR="00F72181" w:rsidRPr="00F72181" w:rsidRDefault="00F72181" w:rsidP="00F72181">
      <w:pPr>
        <w:tabs>
          <w:tab w:val="left" w:pos="851"/>
        </w:tabs>
        <w:ind w:left="851"/>
        <w:rPr>
          <w:sz w:val="24"/>
          <w:szCs w:val="24"/>
        </w:rPr>
      </w:pPr>
    </w:p>
    <w:p w14:paraId="3B47CDDC" w14:textId="77777777" w:rsidR="00F72181" w:rsidRPr="00F72181" w:rsidRDefault="00F72181" w:rsidP="00F72181">
      <w:pPr>
        <w:tabs>
          <w:tab w:val="left" w:pos="851"/>
        </w:tabs>
        <w:ind w:left="851"/>
        <w:rPr>
          <w:sz w:val="24"/>
          <w:szCs w:val="24"/>
        </w:rPr>
      </w:pPr>
      <w:r w:rsidRPr="00F72181">
        <w:rPr>
          <w:sz w:val="24"/>
          <w:szCs w:val="24"/>
        </w:rPr>
        <w:lastRenderedPageBreak/>
        <w:t>Overdoser med gabapentin, især hvis det tages i kombination med andre CNS-depressive lægemidler, kan resultere i koma.</w:t>
      </w:r>
    </w:p>
    <w:p w14:paraId="4CB152DA" w14:textId="77777777" w:rsidR="00F72181" w:rsidRPr="00F72181" w:rsidRDefault="00F72181" w:rsidP="00F72181">
      <w:pPr>
        <w:tabs>
          <w:tab w:val="left" w:pos="851"/>
        </w:tabs>
        <w:ind w:left="851"/>
        <w:rPr>
          <w:sz w:val="24"/>
          <w:szCs w:val="24"/>
        </w:rPr>
      </w:pPr>
    </w:p>
    <w:p w14:paraId="49C45E8B" w14:textId="77777777" w:rsidR="00F72181" w:rsidRPr="00F72181" w:rsidRDefault="00F72181" w:rsidP="00F72181">
      <w:pPr>
        <w:tabs>
          <w:tab w:val="left" w:pos="851"/>
        </w:tabs>
        <w:ind w:left="851"/>
        <w:rPr>
          <w:sz w:val="24"/>
          <w:szCs w:val="24"/>
        </w:rPr>
      </w:pPr>
      <w:r w:rsidRPr="00F72181">
        <w:rPr>
          <w:sz w:val="24"/>
          <w:szCs w:val="24"/>
        </w:rPr>
        <w:t>Selvom gabapentin kan elimineres ved hæmodialyse, er dette erfaringsmæssigt normalt ikke nødvendigt. Hos patienter med svært nedsat nyrefunktion kan hæmodialyse dog være indiceret.</w:t>
      </w:r>
    </w:p>
    <w:p w14:paraId="0D6BE32D" w14:textId="77777777" w:rsidR="00F72181" w:rsidRPr="00F72181" w:rsidRDefault="00F72181" w:rsidP="00F72181">
      <w:pPr>
        <w:tabs>
          <w:tab w:val="left" w:pos="851"/>
        </w:tabs>
        <w:ind w:left="851"/>
        <w:rPr>
          <w:sz w:val="24"/>
          <w:szCs w:val="24"/>
        </w:rPr>
      </w:pPr>
    </w:p>
    <w:p w14:paraId="7EF6DF4E" w14:textId="77777777" w:rsidR="00F72181" w:rsidRPr="00F72181" w:rsidRDefault="00F72181" w:rsidP="00F72181">
      <w:pPr>
        <w:tabs>
          <w:tab w:val="left" w:pos="851"/>
        </w:tabs>
        <w:ind w:left="851"/>
        <w:rPr>
          <w:sz w:val="24"/>
          <w:szCs w:val="24"/>
        </w:rPr>
      </w:pPr>
      <w:r w:rsidRPr="00F72181">
        <w:rPr>
          <w:sz w:val="24"/>
          <w:szCs w:val="24"/>
        </w:rPr>
        <w:t>En oral letaldosis af gabapentin er ikke identificeret hos mus og rotter ved doser på op til 8000 mg/kg. Tegn på akut toksicitet hos dyr omfatter ataksi, vejrtrækningsbesvær, ptose, hypoaktivitet eller ekscitation.</w:t>
      </w:r>
    </w:p>
    <w:p w14:paraId="4F0ADC7A" w14:textId="77777777" w:rsidR="009260DE" w:rsidRPr="00C84483" w:rsidRDefault="009260DE" w:rsidP="009260DE">
      <w:pPr>
        <w:tabs>
          <w:tab w:val="left" w:pos="851"/>
        </w:tabs>
        <w:ind w:left="851"/>
        <w:rPr>
          <w:sz w:val="24"/>
          <w:szCs w:val="24"/>
        </w:rPr>
      </w:pPr>
    </w:p>
    <w:p w14:paraId="6EB915CD"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4D863F60" w14:textId="6D76AB28" w:rsidR="009260DE" w:rsidRPr="00C84483" w:rsidRDefault="00F72181" w:rsidP="009260DE">
      <w:pPr>
        <w:tabs>
          <w:tab w:val="left" w:pos="851"/>
        </w:tabs>
        <w:ind w:left="851"/>
        <w:rPr>
          <w:sz w:val="24"/>
          <w:szCs w:val="24"/>
        </w:rPr>
      </w:pPr>
      <w:r>
        <w:rPr>
          <w:sz w:val="24"/>
          <w:szCs w:val="24"/>
        </w:rPr>
        <w:t>B</w:t>
      </w:r>
    </w:p>
    <w:p w14:paraId="323A20EA" w14:textId="77777777" w:rsidR="009260DE" w:rsidRPr="00C84483" w:rsidRDefault="009260DE" w:rsidP="009260DE">
      <w:pPr>
        <w:tabs>
          <w:tab w:val="left" w:pos="851"/>
        </w:tabs>
        <w:ind w:left="851"/>
        <w:rPr>
          <w:sz w:val="24"/>
          <w:szCs w:val="24"/>
        </w:rPr>
      </w:pPr>
    </w:p>
    <w:p w14:paraId="7B0D7F14" w14:textId="77777777" w:rsidR="009260DE" w:rsidRPr="00C84483" w:rsidRDefault="009260DE" w:rsidP="009260DE">
      <w:pPr>
        <w:tabs>
          <w:tab w:val="left" w:pos="851"/>
        </w:tabs>
        <w:ind w:left="851"/>
        <w:rPr>
          <w:sz w:val="24"/>
          <w:szCs w:val="24"/>
        </w:rPr>
      </w:pPr>
    </w:p>
    <w:p w14:paraId="4FD12CCF"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6B0D57F" w14:textId="77777777" w:rsidR="009260DE" w:rsidRPr="00C84483" w:rsidRDefault="009260DE" w:rsidP="009260DE">
      <w:pPr>
        <w:tabs>
          <w:tab w:val="left" w:pos="851"/>
        </w:tabs>
        <w:ind w:left="851"/>
        <w:rPr>
          <w:sz w:val="24"/>
          <w:szCs w:val="24"/>
        </w:rPr>
      </w:pPr>
    </w:p>
    <w:p w14:paraId="68FB29DF"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39FD0FFB" w14:textId="79445484" w:rsidR="00F72181" w:rsidRPr="00F836A3" w:rsidRDefault="00F72181" w:rsidP="00F836A3">
      <w:pPr>
        <w:suppressAutoHyphens/>
        <w:ind w:left="851"/>
        <w:rPr>
          <w:sz w:val="24"/>
          <w:szCs w:val="24"/>
        </w:rPr>
      </w:pPr>
      <w:r w:rsidRPr="00F836A3">
        <w:rPr>
          <w:sz w:val="24"/>
          <w:szCs w:val="24"/>
        </w:rPr>
        <w:t>Farmakoterapeutisk klassifikation: Gabapentinoider, ATC-kode: N02BF01</w:t>
      </w:r>
      <w:r w:rsidR="00F836A3">
        <w:rPr>
          <w:sz w:val="24"/>
          <w:szCs w:val="24"/>
        </w:rPr>
        <w:t>.</w:t>
      </w:r>
    </w:p>
    <w:p w14:paraId="3C5AECA5" w14:textId="77777777" w:rsidR="00F72181" w:rsidRPr="00F836A3" w:rsidRDefault="00F72181" w:rsidP="00F836A3">
      <w:pPr>
        <w:suppressAutoHyphens/>
        <w:ind w:left="851"/>
        <w:rPr>
          <w:b/>
          <w:sz w:val="24"/>
          <w:szCs w:val="24"/>
        </w:rPr>
      </w:pPr>
    </w:p>
    <w:p w14:paraId="07355554" w14:textId="77777777" w:rsidR="00F72181" w:rsidRPr="00F836A3" w:rsidRDefault="00F72181" w:rsidP="00F836A3">
      <w:pPr>
        <w:suppressAutoHyphens/>
        <w:ind w:left="851"/>
        <w:rPr>
          <w:sz w:val="24"/>
          <w:szCs w:val="24"/>
          <w:u w:val="single"/>
        </w:rPr>
      </w:pPr>
      <w:r w:rsidRPr="00F836A3">
        <w:rPr>
          <w:sz w:val="24"/>
          <w:szCs w:val="24"/>
          <w:u w:val="single"/>
        </w:rPr>
        <w:t>Virkningsmekanisme</w:t>
      </w:r>
    </w:p>
    <w:p w14:paraId="241733C3" w14:textId="77777777" w:rsidR="00F72181" w:rsidRPr="00F836A3" w:rsidRDefault="00F72181" w:rsidP="00F836A3">
      <w:pPr>
        <w:suppressAutoHyphens/>
        <w:ind w:left="851"/>
        <w:rPr>
          <w:sz w:val="24"/>
          <w:szCs w:val="24"/>
        </w:rPr>
      </w:pPr>
      <w:r w:rsidRPr="00F836A3">
        <w:rPr>
          <w:sz w:val="24"/>
          <w:szCs w:val="24"/>
        </w:rPr>
        <w:t>Gabapentin trænger hurtigt ind i hjernen og forhindrer anfald i et utal af epilepsi dyremodeller. Gabapentin har ingen affinitet til hverken GABA</w:t>
      </w:r>
      <w:r w:rsidRPr="00F836A3">
        <w:rPr>
          <w:sz w:val="24"/>
          <w:szCs w:val="24"/>
          <w:vertAlign w:val="subscript"/>
        </w:rPr>
        <w:t>A</w:t>
      </w:r>
      <w:r w:rsidRPr="00F836A3">
        <w:rPr>
          <w:sz w:val="24"/>
          <w:szCs w:val="24"/>
        </w:rPr>
        <w:t xml:space="preserve"> eller GABA</w:t>
      </w:r>
      <w:r w:rsidRPr="00F836A3">
        <w:rPr>
          <w:sz w:val="24"/>
          <w:szCs w:val="24"/>
          <w:vertAlign w:val="subscript"/>
        </w:rPr>
        <w:t>B</w:t>
      </w:r>
      <w:r w:rsidRPr="00F836A3">
        <w:rPr>
          <w:sz w:val="24"/>
          <w:szCs w:val="24"/>
        </w:rPr>
        <w:t xml:space="preserve"> receptorer eller ændrer metabolismen af GABA. Gabapentin binder ikke til andre neurotransmitter-receptorer i hjernen og interagere ikke med natriumkanalerne. Gabapentin binder med høj affinitet til α2δ (alpha-2-delta) subenheden i spændingsafhængige kalciumkanaler. Det er denne bindingen til α2δ subenhed, der menes at være årsagen til gabapentins effekt mod anfald hos dyr. En bred ”panel screening” har ikke indikeret en anden mekanisme end α2δ.</w:t>
      </w:r>
    </w:p>
    <w:p w14:paraId="292974D1" w14:textId="77777777" w:rsidR="00F72181" w:rsidRPr="00F836A3" w:rsidRDefault="00F72181" w:rsidP="00F836A3">
      <w:pPr>
        <w:suppressAutoHyphens/>
        <w:ind w:left="851"/>
        <w:rPr>
          <w:sz w:val="24"/>
          <w:szCs w:val="24"/>
          <w:u w:val="single"/>
        </w:rPr>
      </w:pPr>
    </w:p>
    <w:p w14:paraId="36733983" w14:textId="77777777" w:rsidR="00F72181" w:rsidRPr="00F836A3" w:rsidRDefault="00F72181" w:rsidP="00F836A3">
      <w:pPr>
        <w:suppressAutoHyphens/>
        <w:ind w:left="851"/>
        <w:rPr>
          <w:sz w:val="24"/>
          <w:szCs w:val="24"/>
        </w:rPr>
      </w:pPr>
      <w:r w:rsidRPr="00F836A3">
        <w:rPr>
          <w:sz w:val="24"/>
          <w:szCs w:val="24"/>
        </w:rPr>
        <w:t>Dokumentation fra flere prækliniske modeller viser at gabapentins farmakologiske aktivitet kan muligvis blive medieret via en binding til α2δ gennem en reduktion i frigivelse af excitatoriske neurotransmittere i regioner af centralnervesystemet. Denne aktivitet kan ligge til grund for gabapentins effekt mod kramper. Relevansen af disse antikonvulsive virkninger af gabapention hos mennesker er endnu ikke etableret.</w:t>
      </w:r>
    </w:p>
    <w:p w14:paraId="7D722A48" w14:textId="77777777" w:rsidR="00F72181" w:rsidRPr="00F836A3" w:rsidRDefault="00F72181" w:rsidP="00F836A3">
      <w:pPr>
        <w:suppressAutoHyphens/>
        <w:ind w:left="851"/>
        <w:rPr>
          <w:sz w:val="24"/>
          <w:szCs w:val="24"/>
          <w:u w:val="single"/>
        </w:rPr>
      </w:pPr>
    </w:p>
    <w:p w14:paraId="1FCD083D" w14:textId="77777777" w:rsidR="00F72181" w:rsidRPr="00F836A3" w:rsidRDefault="00F72181" w:rsidP="00F836A3">
      <w:pPr>
        <w:suppressAutoHyphens/>
        <w:ind w:left="851"/>
        <w:rPr>
          <w:sz w:val="24"/>
          <w:szCs w:val="24"/>
        </w:rPr>
      </w:pPr>
      <w:r w:rsidRPr="00F836A3">
        <w:rPr>
          <w:sz w:val="24"/>
          <w:szCs w:val="24"/>
        </w:rPr>
        <w:t>Gabapentin har også vist effect i flere prækliniske smerte dyremodeller. Den specifikke effekt af bindingen af gabapentin til α2δ subenheden er foreslået at give forskellige virkninger som kan være ansvarlige for den analgetiske effekt i dyrestudier. Den analgetiske effekt af gabapentin kan foregå i rygmarven såvel som i hjernen gennem interaktion med de descenderende smertehæmmende baner i centralnervesystemet. Relevansen af disse prækliniske egenskaber i forhold til den kliniske effekt hos mennesker kendes ikke.</w:t>
      </w:r>
    </w:p>
    <w:p w14:paraId="17C1DE36" w14:textId="77777777" w:rsidR="00F72181" w:rsidRPr="00F836A3" w:rsidRDefault="00F72181" w:rsidP="00F836A3">
      <w:pPr>
        <w:suppressAutoHyphens/>
        <w:ind w:left="851"/>
        <w:rPr>
          <w:sz w:val="24"/>
          <w:szCs w:val="24"/>
          <w:u w:val="single"/>
        </w:rPr>
      </w:pPr>
    </w:p>
    <w:p w14:paraId="03766D20" w14:textId="77777777" w:rsidR="00F72181" w:rsidRPr="00F836A3" w:rsidRDefault="00F72181" w:rsidP="00F836A3">
      <w:pPr>
        <w:suppressAutoHyphens/>
        <w:ind w:left="851"/>
        <w:rPr>
          <w:sz w:val="24"/>
          <w:szCs w:val="24"/>
          <w:u w:val="single"/>
        </w:rPr>
      </w:pPr>
      <w:r w:rsidRPr="00F836A3">
        <w:rPr>
          <w:sz w:val="24"/>
          <w:szCs w:val="24"/>
          <w:u w:val="single"/>
        </w:rPr>
        <w:t>Klinisk virkning og sikkerhed</w:t>
      </w:r>
    </w:p>
    <w:p w14:paraId="71451E3E" w14:textId="156AB326" w:rsidR="00E32710" w:rsidRDefault="00F72181" w:rsidP="00F836A3">
      <w:pPr>
        <w:suppressAutoHyphens/>
        <w:ind w:left="851"/>
        <w:rPr>
          <w:sz w:val="24"/>
          <w:szCs w:val="24"/>
        </w:rPr>
      </w:pPr>
      <w:r w:rsidRPr="00F836A3">
        <w:rPr>
          <w:sz w:val="24"/>
          <w:szCs w:val="24"/>
        </w:rPr>
        <w:t>Et klinisk studie</w:t>
      </w:r>
      <w:r w:rsidR="004B5A83">
        <w:rPr>
          <w:sz w:val="24"/>
          <w:szCs w:val="24"/>
        </w:rPr>
        <w:t xml:space="preserve"> </w:t>
      </w:r>
      <w:r w:rsidRPr="00F836A3">
        <w:rPr>
          <w:sz w:val="24"/>
          <w:szCs w:val="24"/>
        </w:rPr>
        <w:t xml:space="preserve">med supplerende behandling af partiel epilepsi hos børn i alderen 3 til 12 år, viser en numerisk, men ikke statistisk signifikant forskel i 50%-responderraten til fordel for gabapentingruppen sammenlignet med placebo. Derudover afslører </w:t>
      </w:r>
      <w:r w:rsidRPr="00F836A3">
        <w:rPr>
          <w:i/>
          <w:sz w:val="24"/>
          <w:szCs w:val="24"/>
        </w:rPr>
        <w:t>post-hoc</w:t>
      </w:r>
      <w:r w:rsidRPr="00F836A3">
        <w:rPr>
          <w:sz w:val="24"/>
          <w:szCs w:val="24"/>
        </w:rPr>
        <w:t>-analyser af responderrater efter alder ikke en statistisk effekt efter alder, hverken som vedvarende eller dikotomisk variabel (aldersgruppe 3-5 år og 6-12 år). Data fra denne ekstra post-hoc-analyse er opsummeret i tabellen nedenfor:</w:t>
      </w:r>
    </w:p>
    <w:p w14:paraId="3CE49326" w14:textId="77777777" w:rsidR="00E32710" w:rsidRDefault="00E32710">
      <w:pPr>
        <w:rPr>
          <w:sz w:val="24"/>
          <w:szCs w:val="24"/>
        </w:rPr>
      </w:pPr>
      <w:r>
        <w:rPr>
          <w:sz w:val="24"/>
          <w:szCs w:val="24"/>
        </w:rPr>
        <w:br w:type="page"/>
      </w:r>
    </w:p>
    <w:p w14:paraId="03A62484" w14:textId="77777777" w:rsidR="00F72181" w:rsidRDefault="00F72181" w:rsidP="00F72181">
      <w:pPr>
        <w:suppressAutoHyphens/>
        <w:rPr>
          <w:sz w:val="22"/>
          <w:szCs w:val="22"/>
        </w:rPr>
      </w:pPr>
    </w:p>
    <w:tbl>
      <w:tblPr>
        <w:tblStyle w:val="Tabel-Gitter"/>
        <w:tblW w:w="0" w:type="auto"/>
        <w:tblLook w:val="04A0" w:firstRow="1" w:lastRow="0" w:firstColumn="1" w:lastColumn="0" w:noHBand="0" w:noVBand="1"/>
      </w:tblPr>
      <w:tblGrid>
        <w:gridCol w:w="2407"/>
        <w:gridCol w:w="2407"/>
        <w:gridCol w:w="2407"/>
        <w:gridCol w:w="2407"/>
      </w:tblGrid>
      <w:tr w:rsidR="00F72181" w14:paraId="2B3AB4BD" w14:textId="77777777" w:rsidTr="00F72181">
        <w:tc>
          <w:tcPr>
            <w:tcW w:w="9628" w:type="dxa"/>
            <w:gridSpan w:val="4"/>
            <w:tcBorders>
              <w:top w:val="single" w:sz="4" w:space="0" w:color="auto"/>
              <w:left w:val="single" w:sz="4" w:space="0" w:color="auto"/>
              <w:bottom w:val="single" w:sz="4" w:space="0" w:color="auto"/>
              <w:right w:val="single" w:sz="4" w:space="0" w:color="auto"/>
            </w:tcBorders>
            <w:hideMark/>
          </w:tcPr>
          <w:p w14:paraId="17D39653" w14:textId="77777777" w:rsidR="00F72181" w:rsidRDefault="00F72181">
            <w:pPr>
              <w:suppressAutoHyphens/>
              <w:rPr>
                <w:kern w:val="2"/>
                <w:sz w:val="22"/>
                <w:szCs w:val="22"/>
                <w14:ligatures w14:val="standardContextual"/>
              </w:rPr>
            </w:pPr>
            <w:r>
              <w:rPr>
                <w:kern w:val="2"/>
                <w:sz w:val="22"/>
                <w:szCs w:val="22"/>
                <w14:ligatures w14:val="standardContextual"/>
              </w:rPr>
              <w:t>Respons (≥ 50% forbedring) ved behandling og alder MITT* population</w:t>
            </w:r>
          </w:p>
        </w:tc>
      </w:tr>
      <w:tr w:rsidR="00F72181" w14:paraId="4BA07833" w14:textId="77777777" w:rsidTr="00F72181">
        <w:tc>
          <w:tcPr>
            <w:tcW w:w="2407" w:type="dxa"/>
            <w:tcBorders>
              <w:top w:val="single" w:sz="4" w:space="0" w:color="auto"/>
              <w:left w:val="single" w:sz="4" w:space="0" w:color="auto"/>
              <w:bottom w:val="single" w:sz="4" w:space="0" w:color="auto"/>
              <w:right w:val="single" w:sz="4" w:space="0" w:color="auto"/>
            </w:tcBorders>
            <w:hideMark/>
          </w:tcPr>
          <w:p w14:paraId="06346E30" w14:textId="77777777" w:rsidR="00F72181" w:rsidRDefault="00F72181">
            <w:pPr>
              <w:suppressAutoHyphens/>
              <w:jc w:val="center"/>
              <w:rPr>
                <w:kern w:val="2"/>
                <w:sz w:val="22"/>
                <w:szCs w:val="22"/>
                <w14:ligatures w14:val="standardContextual"/>
              </w:rPr>
            </w:pPr>
            <w:r>
              <w:rPr>
                <w:kern w:val="2"/>
                <w:sz w:val="22"/>
                <w:szCs w:val="22"/>
                <w14:ligatures w14:val="standardContextual"/>
              </w:rPr>
              <w:t>Alder</w:t>
            </w:r>
          </w:p>
        </w:tc>
        <w:tc>
          <w:tcPr>
            <w:tcW w:w="2407" w:type="dxa"/>
            <w:tcBorders>
              <w:top w:val="single" w:sz="4" w:space="0" w:color="auto"/>
              <w:left w:val="single" w:sz="4" w:space="0" w:color="auto"/>
              <w:bottom w:val="single" w:sz="4" w:space="0" w:color="auto"/>
              <w:right w:val="single" w:sz="4" w:space="0" w:color="auto"/>
            </w:tcBorders>
            <w:hideMark/>
          </w:tcPr>
          <w:p w14:paraId="2473CB68" w14:textId="77777777" w:rsidR="00F72181" w:rsidRDefault="00F72181">
            <w:pPr>
              <w:suppressAutoHyphens/>
              <w:jc w:val="center"/>
              <w:rPr>
                <w:kern w:val="2"/>
                <w:sz w:val="22"/>
                <w:szCs w:val="22"/>
                <w14:ligatures w14:val="standardContextual"/>
              </w:rPr>
            </w:pPr>
            <w:r>
              <w:rPr>
                <w:kern w:val="2"/>
                <w:sz w:val="22"/>
                <w:szCs w:val="22"/>
                <w14:ligatures w14:val="standardContextual"/>
              </w:rPr>
              <w:t>Placebo</w:t>
            </w:r>
          </w:p>
        </w:tc>
        <w:tc>
          <w:tcPr>
            <w:tcW w:w="2407" w:type="dxa"/>
            <w:tcBorders>
              <w:top w:val="single" w:sz="4" w:space="0" w:color="auto"/>
              <w:left w:val="single" w:sz="4" w:space="0" w:color="auto"/>
              <w:bottom w:val="single" w:sz="4" w:space="0" w:color="auto"/>
              <w:right w:val="single" w:sz="4" w:space="0" w:color="auto"/>
            </w:tcBorders>
            <w:hideMark/>
          </w:tcPr>
          <w:p w14:paraId="094F0F74" w14:textId="77777777" w:rsidR="00F72181" w:rsidRDefault="00F72181">
            <w:pPr>
              <w:suppressAutoHyphens/>
              <w:jc w:val="center"/>
              <w:rPr>
                <w:kern w:val="2"/>
                <w:sz w:val="22"/>
                <w:szCs w:val="22"/>
                <w14:ligatures w14:val="standardContextual"/>
              </w:rPr>
            </w:pPr>
            <w:r>
              <w:rPr>
                <w:kern w:val="2"/>
                <w:sz w:val="22"/>
                <w:szCs w:val="22"/>
                <w14:ligatures w14:val="standardContextual"/>
              </w:rPr>
              <w:t>Gabapentin</w:t>
            </w:r>
          </w:p>
        </w:tc>
        <w:tc>
          <w:tcPr>
            <w:tcW w:w="2407" w:type="dxa"/>
            <w:tcBorders>
              <w:top w:val="single" w:sz="4" w:space="0" w:color="auto"/>
              <w:left w:val="single" w:sz="4" w:space="0" w:color="auto"/>
              <w:bottom w:val="single" w:sz="4" w:space="0" w:color="auto"/>
              <w:right w:val="single" w:sz="4" w:space="0" w:color="auto"/>
            </w:tcBorders>
            <w:hideMark/>
          </w:tcPr>
          <w:p w14:paraId="3910913C" w14:textId="77777777" w:rsidR="00F72181" w:rsidRDefault="00F72181">
            <w:pPr>
              <w:suppressAutoHyphens/>
              <w:jc w:val="center"/>
              <w:rPr>
                <w:kern w:val="2"/>
                <w:sz w:val="22"/>
                <w:szCs w:val="22"/>
                <w14:ligatures w14:val="standardContextual"/>
              </w:rPr>
            </w:pPr>
            <w:r>
              <w:rPr>
                <w:kern w:val="2"/>
                <w:sz w:val="22"/>
                <w:szCs w:val="22"/>
                <w14:ligatures w14:val="standardContextual"/>
              </w:rPr>
              <w:t>P-value</w:t>
            </w:r>
          </w:p>
        </w:tc>
      </w:tr>
      <w:tr w:rsidR="00F72181" w14:paraId="59D91170" w14:textId="77777777" w:rsidTr="00F72181">
        <w:tc>
          <w:tcPr>
            <w:tcW w:w="2407" w:type="dxa"/>
            <w:tcBorders>
              <w:top w:val="single" w:sz="4" w:space="0" w:color="auto"/>
              <w:left w:val="single" w:sz="4" w:space="0" w:color="auto"/>
              <w:bottom w:val="single" w:sz="4" w:space="0" w:color="auto"/>
              <w:right w:val="single" w:sz="4" w:space="0" w:color="auto"/>
            </w:tcBorders>
            <w:hideMark/>
          </w:tcPr>
          <w:p w14:paraId="6630085A" w14:textId="77777777" w:rsidR="00F72181" w:rsidRDefault="00F72181">
            <w:pPr>
              <w:suppressAutoHyphens/>
              <w:jc w:val="center"/>
              <w:rPr>
                <w:kern w:val="2"/>
                <w:sz w:val="22"/>
                <w:szCs w:val="22"/>
                <w14:ligatures w14:val="standardContextual"/>
              </w:rPr>
            </w:pPr>
            <w:r>
              <w:rPr>
                <w:kern w:val="2"/>
                <w:sz w:val="22"/>
                <w:szCs w:val="22"/>
                <w14:ligatures w14:val="standardContextual"/>
              </w:rPr>
              <w:t>&lt;6 år</w:t>
            </w:r>
          </w:p>
        </w:tc>
        <w:tc>
          <w:tcPr>
            <w:tcW w:w="2407" w:type="dxa"/>
            <w:tcBorders>
              <w:top w:val="single" w:sz="4" w:space="0" w:color="auto"/>
              <w:left w:val="single" w:sz="4" w:space="0" w:color="auto"/>
              <w:bottom w:val="single" w:sz="4" w:space="0" w:color="auto"/>
              <w:right w:val="single" w:sz="4" w:space="0" w:color="auto"/>
            </w:tcBorders>
            <w:hideMark/>
          </w:tcPr>
          <w:p w14:paraId="5BBD5E01" w14:textId="77777777" w:rsidR="00F72181" w:rsidRDefault="00F72181">
            <w:pPr>
              <w:suppressAutoHyphens/>
              <w:jc w:val="center"/>
              <w:rPr>
                <w:kern w:val="2"/>
                <w:sz w:val="22"/>
                <w:szCs w:val="22"/>
                <w14:ligatures w14:val="standardContextual"/>
              </w:rPr>
            </w:pPr>
            <w:r>
              <w:rPr>
                <w:kern w:val="2"/>
                <w:sz w:val="22"/>
                <w:szCs w:val="22"/>
                <w14:ligatures w14:val="standardContextual"/>
              </w:rPr>
              <w:t>4/21 (19,0%)</w:t>
            </w:r>
          </w:p>
        </w:tc>
        <w:tc>
          <w:tcPr>
            <w:tcW w:w="2407" w:type="dxa"/>
            <w:tcBorders>
              <w:top w:val="single" w:sz="4" w:space="0" w:color="auto"/>
              <w:left w:val="single" w:sz="4" w:space="0" w:color="auto"/>
              <w:bottom w:val="single" w:sz="4" w:space="0" w:color="auto"/>
              <w:right w:val="single" w:sz="4" w:space="0" w:color="auto"/>
            </w:tcBorders>
            <w:hideMark/>
          </w:tcPr>
          <w:p w14:paraId="0ACC2921" w14:textId="77777777" w:rsidR="00F72181" w:rsidRDefault="00F72181">
            <w:pPr>
              <w:suppressAutoHyphens/>
              <w:jc w:val="center"/>
              <w:rPr>
                <w:kern w:val="2"/>
                <w:sz w:val="22"/>
                <w:szCs w:val="22"/>
                <w14:ligatures w14:val="standardContextual"/>
              </w:rPr>
            </w:pPr>
            <w:r>
              <w:rPr>
                <w:kern w:val="2"/>
                <w:sz w:val="22"/>
                <w:szCs w:val="22"/>
                <w14:ligatures w14:val="standardContextual"/>
              </w:rPr>
              <w:t>4/17 (23,5%)</w:t>
            </w:r>
          </w:p>
        </w:tc>
        <w:tc>
          <w:tcPr>
            <w:tcW w:w="2407" w:type="dxa"/>
            <w:tcBorders>
              <w:top w:val="single" w:sz="4" w:space="0" w:color="auto"/>
              <w:left w:val="single" w:sz="4" w:space="0" w:color="auto"/>
              <w:bottom w:val="single" w:sz="4" w:space="0" w:color="auto"/>
              <w:right w:val="single" w:sz="4" w:space="0" w:color="auto"/>
            </w:tcBorders>
            <w:hideMark/>
          </w:tcPr>
          <w:p w14:paraId="55528585" w14:textId="77777777" w:rsidR="00F72181" w:rsidRDefault="00F72181">
            <w:pPr>
              <w:suppressAutoHyphens/>
              <w:jc w:val="center"/>
              <w:rPr>
                <w:kern w:val="2"/>
                <w:sz w:val="22"/>
                <w:szCs w:val="22"/>
                <w14:ligatures w14:val="standardContextual"/>
              </w:rPr>
            </w:pPr>
            <w:r>
              <w:rPr>
                <w:kern w:val="2"/>
                <w:sz w:val="22"/>
                <w:szCs w:val="22"/>
                <w14:ligatures w14:val="standardContextual"/>
              </w:rPr>
              <w:t>0,7362</w:t>
            </w:r>
          </w:p>
        </w:tc>
      </w:tr>
      <w:tr w:rsidR="00F72181" w14:paraId="7669879A" w14:textId="77777777" w:rsidTr="00F72181">
        <w:tc>
          <w:tcPr>
            <w:tcW w:w="2407" w:type="dxa"/>
            <w:tcBorders>
              <w:top w:val="single" w:sz="4" w:space="0" w:color="auto"/>
              <w:left w:val="single" w:sz="4" w:space="0" w:color="auto"/>
              <w:bottom w:val="single" w:sz="4" w:space="0" w:color="auto"/>
              <w:right w:val="single" w:sz="4" w:space="0" w:color="auto"/>
            </w:tcBorders>
            <w:hideMark/>
          </w:tcPr>
          <w:p w14:paraId="777ED285" w14:textId="77777777" w:rsidR="00F72181" w:rsidRDefault="00F72181">
            <w:pPr>
              <w:suppressAutoHyphens/>
              <w:jc w:val="center"/>
              <w:rPr>
                <w:kern w:val="2"/>
                <w:sz w:val="22"/>
                <w:szCs w:val="22"/>
                <w14:ligatures w14:val="standardContextual"/>
              </w:rPr>
            </w:pPr>
            <w:r>
              <w:rPr>
                <w:kern w:val="2"/>
                <w:sz w:val="22"/>
                <w:szCs w:val="22"/>
                <w14:ligatures w14:val="standardContextual"/>
              </w:rPr>
              <w:t>6-12 år</w:t>
            </w:r>
          </w:p>
        </w:tc>
        <w:tc>
          <w:tcPr>
            <w:tcW w:w="2407" w:type="dxa"/>
            <w:tcBorders>
              <w:top w:val="single" w:sz="4" w:space="0" w:color="auto"/>
              <w:left w:val="single" w:sz="4" w:space="0" w:color="auto"/>
              <w:bottom w:val="single" w:sz="4" w:space="0" w:color="auto"/>
              <w:right w:val="single" w:sz="4" w:space="0" w:color="auto"/>
            </w:tcBorders>
            <w:hideMark/>
          </w:tcPr>
          <w:p w14:paraId="575F3A8A" w14:textId="77777777" w:rsidR="00F72181" w:rsidRDefault="00F72181">
            <w:pPr>
              <w:suppressAutoHyphens/>
              <w:jc w:val="center"/>
              <w:rPr>
                <w:kern w:val="2"/>
                <w:sz w:val="22"/>
                <w:szCs w:val="22"/>
                <w14:ligatures w14:val="standardContextual"/>
              </w:rPr>
            </w:pPr>
            <w:r>
              <w:rPr>
                <w:kern w:val="2"/>
                <w:sz w:val="22"/>
                <w:szCs w:val="22"/>
                <w14:ligatures w14:val="standardContextual"/>
              </w:rPr>
              <w:t>17/99 (17,2%)</w:t>
            </w:r>
          </w:p>
        </w:tc>
        <w:tc>
          <w:tcPr>
            <w:tcW w:w="2407" w:type="dxa"/>
            <w:tcBorders>
              <w:top w:val="single" w:sz="4" w:space="0" w:color="auto"/>
              <w:left w:val="single" w:sz="4" w:space="0" w:color="auto"/>
              <w:bottom w:val="single" w:sz="4" w:space="0" w:color="auto"/>
              <w:right w:val="single" w:sz="4" w:space="0" w:color="auto"/>
            </w:tcBorders>
            <w:hideMark/>
          </w:tcPr>
          <w:p w14:paraId="7B55B4A5" w14:textId="77777777" w:rsidR="00F72181" w:rsidRDefault="00F72181">
            <w:pPr>
              <w:suppressAutoHyphens/>
              <w:jc w:val="center"/>
              <w:rPr>
                <w:kern w:val="2"/>
                <w:sz w:val="22"/>
                <w:szCs w:val="22"/>
                <w14:ligatures w14:val="standardContextual"/>
              </w:rPr>
            </w:pPr>
            <w:r>
              <w:rPr>
                <w:kern w:val="2"/>
                <w:sz w:val="22"/>
                <w:szCs w:val="22"/>
                <w14:ligatures w14:val="standardContextual"/>
              </w:rPr>
              <w:t>20/96 (20,8%)</w:t>
            </w:r>
          </w:p>
        </w:tc>
        <w:tc>
          <w:tcPr>
            <w:tcW w:w="2407" w:type="dxa"/>
            <w:tcBorders>
              <w:top w:val="single" w:sz="4" w:space="0" w:color="auto"/>
              <w:left w:val="single" w:sz="4" w:space="0" w:color="auto"/>
              <w:bottom w:val="single" w:sz="4" w:space="0" w:color="auto"/>
              <w:right w:val="single" w:sz="4" w:space="0" w:color="auto"/>
            </w:tcBorders>
            <w:hideMark/>
          </w:tcPr>
          <w:p w14:paraId="22000917" w14:textId="77777777" w:rsidR="00F72181" w:rsidRDefault="00F72181">
            <w:pPr>
              <w:suppressAutoHyphens/>
              <w:jc w:val="center"/>
              <w:rPr>
                <w:kern w:val="2"/>
                <w:sz w:val="22"/>
                <w:szCs w:val="22"/>
                <w14:ligatures w14:val="standardContextual"/>
              </w:rPr>
            </w:pPr>
            <w:r>
              <w:rPr>
                <w:kern w:val="2"/>
                <w:sz w:val="22"/>
                <w:szCs w:val="22"/>
                <w14:ligatures w14:val="standardContextual"/>
              </w:rPr>
              <w:t>0,5144</w:t>
            </w:r>
          </w:p>
        </w:tc>
      </w:tr>
    </w:tbl>
    <w:p w14:paraId="49840D64" w14:textId="77777777" w:rsidR="00F72181" w:rsidRDefault="00F72181" w:rsidP="00F72181">
      <w:pPr>
        <w:suppressAutoHyphens/>
        <w:rPr>
          <w:sz w:val="22"/>
          <w:szCs w:val="22"/>
          <w:u w:val="single"/>
          <w:lang w:eastAsia="fr-LU"/>
        </w:rPr>
      </w:pPr>
    </w:p>
    <w:p w14:paraId="6A028546" w14:textId="77777777" w:rsidR="00F72181" w:rsidRPr="00F836A3" w:rsidRDefault="00F72181" w:rsidP="00F72181">
      <w:pPr>
        <w:suppressAutoHyphens/>
        <w:rPr>
          <w:noProof/>
          <w:sz w:val="20"/>
        </w:rPr>
      </w:pPr>
      <w:r w:rsidRPr="00F836A3">
        <w:rPr>
          <w:noProof/>
          <w:sz w:val="20"/>
        </w:rPr>
        <w:t>* ”</w:t>
      </w:r>
      <w:r w:rsidRPr="00F836A3">
        <w:rPr>
          <w:i/>
          <w:noProof/>
          <w:sz w:val="20"/>
        </w:rPr>
        <w:t>Modified intent to treat</w:t>
      </w:r>
      <w:r w:rsidRPr="00F836A3">
        <w:rPr>
          <w:noProof/>
          <w:sz w:val="20"/>
        </w:rPr>
        <w:t xml:space="preserve">”-populationen er defineret som alle patienter, der er randomiseret til studiemedicin, og som også har evaluerbar dagbog over anfald tilgængelig i alle 28 dage under både </w:t>
      </w:r>
      <w:r w:rsidRPr="00F836A3">
        <w:rPr>
          <w:i/>
          <w:noProof/>
          <w:sz w:val="20"/>
        </w:rPr>
        <w:t>baseline</w:t>
      </w:r>
      <w:r w:rsidRPr="00F836A3">
        <w:rPr>
          <w:noProof/>
          <w:sz w:val="20"/>
        </w:rPr>
        <w:t xml:space="preserve"> og dobbelt-blind-faserne.</w:t>
      </w:r>
    </w:p>
    <w:p w14:paraId="7DBFC75C" w14:textId="77777777" w:rsidR="00F72181" w:rsidRDefault="00F72181" w:rsidP="00F72181">
      <w:pPr>
        <w:suppressAutoHyphens/>
        <w:ind w:left="567" w:hanging="567"/>
        <w:rPr>
          <w:b/>
          <w:sz w:val="22"/>
          <w:szCs w:val="22"/>
        </w:rPr>
      </w:pPr>
    </w:p>
    <w:p w14:paraId="4A99E68E"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28223CB3" w14:textId="77777777" w:rsidR="002D449B" w:rsidRDefault="002D449B" w:rsidP="002D449B">
      <w:pPr>
        <w:ind w:left="851"/>
        <w:rPr>
          <w:sz w:val="24"/>
          <w:szCs w:val="24"/>
          <w:u w:val="single"/>
        </w:rPr>
      </w:pPr>
    </w:p>
    <w:p w14:paraId="4D83BEBD" w14:textId="67259717" w:rsidR="002D449B" w:rsidRPr="002D449B" w:rsidRDefault="002D449B" w:rsidP="002D449B">
      <w:pPr>
        <w:ind w:left="851"/>
        <w:rPr>
          <w:sz w:val="24"/>
          <w:szCs w:val="24"/>
          <w:u w:val="single"/>
          <w:lang w:eastAsia="fr-LU"/>
        </w:rPr>
      </w:pPr>
      <w:r w:rsidRPr="002D449B">
        <w:rPr>
          <w:sz w:val="24"/>
          <w:szCs w:val="24"/>
          <w:u w:val="single"/>
        </w:rPr>
        <w:t>Absorption</w:t>
      </w:r>
    </w:p>
    <w:p w14:paraId="52392F34" w14:textId="77777777" w:rsidR="002D449B" w:rsidRPr="002D449B" w:rsidRDefault="002D449B" w:rsidP="002D449B">
      <w:pPr>
        <w:ind w:left="851"/>
        <w:rPr>
          <w:sz w:val="24"/>
          <w:szCs w:val="24"/>
        </w:rPr>
      </w:pPr>
      <w:r w:rsidRPr="002D449B">
        <w:rPr>
          <w:sz w:val="24"/>
          <w:szCs w:val="24"/>
        </w:rPr>
        <w:t>Gabapentins maksimale plasmakoncentration opnås inden for 2-3 timer efter oral administration. Gabapentins biotilgængelighed (fraktion af absorberet dosis) falder, når dosis stiger. Absolut biotilgængelighed af en 300 mg kapsel er ca. 60%. Fødeindtagelse, herunder diæt med højt fedtindhold, har ingen klinisk betydende virkning på gabapentins farmakokinetik.</w:t>
      </w:r>
    </w:p>
    <w:p w14:paraId="76D4AFDC" w14:textId="77777777" w:rsidR="002D449B" w:rsidRPr="002D449B" w:rsidRDefault="002D449B" w:rsidP="002D449B">
      <w:pPr>
        <w:ind w:left="851"/>
        <w:rPr>
          <w:sz w:val="24"/>
          <w:szCs w:val="24"/>
          <w:u w:val="single"/>
        </w:rPr>
      </w:pPr>
    </w:p>
    <w:p w14:paraId="586B802F" w14:textId="396780A0" w:rsidR="002D449B" w:rsidRPr="002D449B" w:rsidRDefault="002D449B" w:rsidP="002D449B">
      <w:pPr>
        <w:ind w:left="851"/>
        <w:rPr>
          <w:sz w:val="24"/>
          <w:szCs w:val="24"/>
        </w:rPr>
      </w:pPr>
      <w:r w:rsidRPr="002D449B">
        <w:rPr>
          <w:sz w:val="24"/>
          <w:szCs w:val="24"/>
        </w:rPr>
        <w:t>Gabapentins farmakokinetik påvirkes ikke af gentagen indgift. Selvom gabapentins plasmakoncentration i kliniske studier</w:t>
      </w:r>
      <w:r w:rsidR="004B5A83">
        <w:rPr>
          <w:sz w:val="24"/>
          <w:szCs w:val="24"/>
        </w:rPr>
        <w:t xml:space="preserve"> </w:t>
      </w:r>
      <w:r w:rsidRPr="002D449B">
        <w:rPr>
          <w:sz w:val="24"/>
          <w:szCs w:val="24"/>
        </w:rPr>
        <w:t>generelt var mellem 2 µg/ml og 20 µg/ml, er disse koncentrationer ikke prædikative for sikkerhed eller effekt. Farmakokinetiske parametre er anført i Tabel 3.</w:t>
      </w:r>
    </w:p>
    <w:p w14:paraId="2F216F41" w14:textId="77777777" w:rsidR="002D449B" w:rsidRDefault="002D449B" w:rsidP="002D449B">
      <w:pPr>
        <w:rPr>
          <w:sz w:val="22"/>
          <w:szCs w:val="22"/>
        </w:rPr>
      </w:pPr>
    </w:p>
    <w:tbl>
      <w:tblPr>
        <w:tblStyle w:val="Tabel-Gitter"/>
        <w:tblW w:w="0" w:type="auto"/>
        <w:tblLook w:val="04A0" w:firstRow="1" w:lastRow="0" w:firstColumn="1" w:lastColumn="0" w:noHBand="0" w:noVBand="1"/>
      </w:tblPr>
      <w:tblGrid>
        <w:gridCol w:w="1830"/>
        <w:gridCol w:w="1328"/>
        <w:gridCol w:w="1270"/>
        <w:gridCol w:w="1328"/>
        <w:gridCol w:w="1272"/>
        <w:gridCol w:w="1328"/>
        <w:gridCol w:w="1272"/>
      </w:tblGrid>
      <w:tr w:rsidR="002D449B" w14:paraId="4D189F83" w14:textId="77777777" w:rsidTr="002D449B">
        <w:tc>
          <w:tcPr>
            <w:tcW w:w="9628" w:type="dxa"/>
            <w:gridSpan w:val="7"/>
            <w:tcBorders>
              <w:top w:val="single" w:sz="4" w:space="0" w:color="auto"/>
              <w:left w:val="single" w:sz="4" w:space="0" w:color="auto"/>
              <w:bottom w:val="single" w:sz="4" w:space="0" w:color="auto"/>
              <w:right w:val="single" w:sz="4" w:space="0" w:color="auto"/>
            </w:tcBorders>
            <w:hideMark/>
          </w:tcPr>
          <w:p w14:paraId="30B5E4D5" w14:textId="77777777" w:rsidR="002D449B" w:rsidRDefault="002D449B">
            <w:pPr>
              <w:rPr>
                <w:b/>
                <w:bCs/>
                <w:kern w:val="2"/>
                <w:sz w:val="22"/>
                <w:szCs w:val="22"/>
                <w14:ligatures w14:val="standardContextual"/>
              </w:rPr>
            </w:pPr>
            <w:r>
              <w:rPr>
                <w:b/>
                <w:bCs/>
                <w:kern w:val="2"/>
                <w:sz w:val="22"/>
                <w:szCs w:val="22"/>
                <w14:ligatures w14:val="standardContextual"/>
              </w:rPr>
              <w:t>Tabel 3</w:t>
            </w:r>
          </w:p>
        </w:tc>
      </w:tr>
      <w:tr w:rsidR="002D449B" w14:paraId="0D8E4ABB" w14:textId="77777777" w:rsidTr="002D449B">
        <w:tc>
          <w:tcPr>
            <w:tcW w:w="9628" w:type="dxa"/>
            <w:gridSpan w:val="7"/>
            <w:tcBorders>
              <w:top w:val="single" w:sz="4" w:space="0" w:color="auto"/>
              <w:left w:val="single" w:sz="4" w:space="0" w:color="auto"/>
              <w:bottom w:val="single" w:sz="4" w:space="0" w:color="auto"/>
              <w:right w:val="single" w:sz="4" w:space="0" w:color="auto"/>
            </w:tcBorders>
          </w:tcPr>
          <w:p w14:paraId="44AC4027" w14:textId="77777777" w:rsidR="002D449B" w:rsidRDefault="002D449B">
            <w:pPr>
              <w:rPr>
                <w:b/>
                <w:bCs/>
                <w:kern w:val="2"/>
                <w:sz w:val="22"/>
                <w:szCs w:val="22"/>
                <w14:ligatures w14:val="standardContextual"/>
              </w:rPr>
            </w:pPr>
            <w:r>
              <w:rPr>
                <w:b/>
                <w:bCs/>
                <w:kern w:val="2"/>
                <w:sz w:val="22"/>
                <w:szCs w:val="22"/>
                <w14:ligatures w14:val="standardContextual"/>
              </w:rPr>
              <w:t xml:space="preserve">RESUMÉ AF GENNEMSTILIG GABAPENTIN (%CV) </w:t>
            </w:r>
            <w:r>
              <w:rPr>
                <w:b/>
                <w:bCs/>
                <w:i/>
                <w:kern w:val="2"/>
                <w:sz w:val="22"/>
                <w:szCs w:val="22"/>
                <w14:ligatures w14:val="standardContextual"/>
              </w:rPr>
              <w:t>STEADY-STATE</w:t>
            </w:r>
            <w:r>
              <w:rPr>
                <w:b/>
                <w:bCs/>
                <w:kern w:val="2"/>
                <w:sz w:val="22"/>
                <w:szCs w:val="22"/>
                <w14:ligatures w14:val="standardContextual"/>
              </w:rPr>
              <w:t xml:space="preserve"> FARMAKOKINETISKE PARAMETRE EFTER ADMINISTRATION HVER 8. TIME</w:t>
            </w:r>
          </w:p>
          <w:p w14:paraId="1F25F0A9" w14:textId="77777777" w:rsidR="002D449B" w:rsidRDefault="002D449B">
            <w:pPr>
              <w:rPr>
                <w:b/>
                <w:bCs/>
                <w:kern w:val="2"/>
                <w:sz w:val="22"/>
                <w:szCs w:val="22"/>
                <w14:ligatures w14:val="standardContextual"/>
              </w:rPr>
            </w:pPr>
          </w:p>
        </w:tc>
      </w:tr>
      <w:tr w:rsidR="002D449B" w14:paraId="46192677" w14:textId="77777777" w:rsidTr="002D449B">
        <w:tc>
          <w:tcPr>
            <w:tcW w:w="1808" w:type="dxa"/>
            <w:tcBorders>
              <w:top w:val="single" w:sz="4" w:space="0" w:color="auto"/>
              <w:left w:val="single" w:sz="4" w:space="0" w:color="auto"/>
              <w:bottom w:val="single" w:sz="4" w:space="0" w:color="auto"/>
              <w:right w:val="single" w:sz="4" w:space="0" w:color="auto"/>
            </w:tcBorders>
            <w:vAlign w:val="bottom"/>
            <w:hideMark/>
          </w:tcPr>
          <w:p w14:paraId="26D5986A" w14:textId="77777777" w:rsidR="002D449B" w:rsidRDefault="002D449B">
            <w:pPr>
              <w:rPr>
                <w:b/>
                <w:bCs/>
                <w:kern w:val="2"/>
                <w:sz w:val="22"/>
                <w:szCs w:val="22"/>
                <w14:ligatures w14:val="standardContextual"/>
              </w:rPr>
            </w:pPr>
            <w:r>
              <w:rPr>
                <w:b/>
                <w:bCs/>
                <w:kern w:val="2"/>
                <w:sz w:val="22"/>
                <w:szCs w:val="22"/>
                <w:bdr w:val="none" w:sz="0" w:space="0" w:color="auto" w:frame="1"/>
                <w14:ligatures w14:val="standardContextual"/>
              </w:rPr>
              <w:t>Farmakokinetisk parameter</w:t>
            </w:r>
          </w:p>
        </w:tc>
        <w:tc>
          <w:tcPr>
            <w:tcW w:w="2605" w:type="dxa"/>
            <w:gridSpan w:val="2"/>
            <w:tcBorders>
              <w:top w:val="single" w:sz="4" w:space="0" w:color="auto"/>
              <w:left w:val="single" w:sz="4" w:space="0" w:color="auto"/>
              <w:bottom w:val="single" w:sz="4" w:space="0" w:color="auto"/>
              <w:right w:val="single" w:sz="4" w:space="0" w:color="auto"/>
            </w:tcBorders>
            <w:vAlign w:val="bottom"/>
            <w:hideMark/>
          </w:tcPr>
          <w:p w14:paraId="6B44E1FD" w14:textId="77777777" w:rsidR="002D449B" w:rsidRDefault="002D449B">
            <w:pPr>
              <w:textAlignment w:val="baseline"/>
              <w:rPr>
                <w:b/>
                <w:bCs/>
                <w:kern w:val="2"/>
                <w:sz w:val="20"/>
                <w:lang w:val="fr-LU"/>
                <w14:ligatures w14:val="standardContextual"/>
              </w:rPr>
            </w:pPr>
            <w:r>
              <w:rPr>
                <w:b/>
                <w:bCs/>
                <w:kern w:val="2"/>
                <w:sz w:val="22"/>
                <w:szCs w:val="22"/>
                <w:bdr w:val="none" w:sz="0" w:space="0" w:color="auto" w:frame="1"/>
                <w14:ligatures w14:val="standardContextual"/>
              </w:rPr>
              <w:t>300 mg</w:t>
            </w:r>
          </w:p>
          <w:p w14:paraId="4C9E8BB0" w14:textId="77777777" w:rsidR="002D449B" w:rsidRDefault="002D449B">
            <w:pPr>
              <w:rPr>
                <w:b/>
                <w:bCs/>
                <w:kern w:val="2"/>
                <w:sz w:val="22"/>
                <w:szCs w:val="22"/>
                <w14:ligatures w14:val="standardContextual"/>
              </w:rPr>
            </w:pPr>
            <w:r>
              <w:rPr>
                <w:b/>
                <w:bCs/>
                <w:kern w:val="2"/>
                <w:sz w:val="22"/>
                <w:szCs w:val="22"/>
                <w:bdr w:val="none" w:sz="0" w:space="0" w:color="auto" w:frame="1"/>
                <w14:ligatures w14:val="standardContextual"/>
              </w:rPr>
              <w:t>(N = 7)</w:t>
            </w:r>
          </w:p>
        </w:tc>
        <w:tc>
          <w:tcPr>
            <w:tcW w:w="2607" w:type="dxa"/>
            <w:gridSpan w:val="2"/>
            <w:tcBorders>
              <w:top w:val="single" w:sz="4" w:space="0" w:color="auto"/>
              <w:left w:val="single" w:sz="4" w:space="0" w:color="auto"/>
              <w:bottom w:val="single" w:sz="4" w:space="0" w:color="auto"/>
              <w:right w:val="single" w:sz="4" w:space="0" w:color="auto"/>
            </w:tcBorders>
            <w:vAlign w:val="bottom"/>
            <w:hideMark/>
          </w:tcPr>
          <w:p w14:paraId="7961C49D" w14:textId="77777777" w:rsidR="002D449B" w:rsidRDefault="002D449B">
            <w:pPr>
              <w:textAlignment w:val="baseline"/>
              <w:rPr>
                <w:b/>
                <w:bCs/>
                <w:kern w:val="2"/>
                <w:sz w:val="20"/>
                <w:lang w:val="fr-LU"/>
                <w14:ligatures w14:val="standardContextual"/>
              </w:rPr>
            </w:pPr>
            <w:r>
              <w:rPr>
                <w:b/>
                <w:bCs/>
                <w:kern w:val="2"/>
                <w:sz w:val="22"/>
                <w:szCs w:val="22"/>
                <w:bdr w:val="none" w:sz="0" w:space="0" w:color="auto" w:frame="1"/>
                <w14:ligatures w14:val="standardContextual"/>
              </w:rPr>
              <w:t>400 mg</w:t>
            </w:r>
          </w:p>
          <w:p w14:paraId="36C0A788" w14:textId="77777777" w:rsidR="002D449B" w:rsidRDefault="002D449B">
            <w:pPr>
              <w:rPr>
                <w:b/>
                <w:bCs/>
                <w:kern w:val="2"/>
                <w:sz w:val="22"/>
                <w:szCs w:val="22"/>
                <w14:ligatures w14:val="standardContextual"/>
              </w:rPr>
            </w:pPr>
            <w:r>
              <w:rPr>
                <w:b/>
                <w:bCs/>
                <w:kern w:val="2"/>
                <w:sz w:val="22"/>
                <w:szCs w:val="22"/>
                <w:bdr w:val="none" w:sz="0" w:space="0" w:color="auto" w:frame="1"/>
                <w14:ligatures w14:val="standardContextual"/>
              </w:rPr>
              <w:t>(N = 14)</w:t>
            </w:r>
          </w:p>
        </w:tc>
        <w:tc>
          <w:tcPr>
            <w:tcW w:w="2608" w:type="dxa"/>
            <w:gridSpan w:val="2"/>
            <w:tcBorders>
              <w:top w:val="single" w:sz="4" w:space="0" w:color="auto"/>
              <w:left w:val="single" w:sz="4" w:space="0" w:color="auto"/>
              <w:bottom w:val="single" w:sz="4" w:space="0" w:color="auto"/>
              <w:right w:val="single" w:sz="4" w:space="0" w:color="auto"/>
            </w:tcBorders>
            <w:vAlign w:val="bottom"/>
            <w:hideMark/>
          </w:tcPr>
          <w:p w14:paraId="17E7E6D9" w14:textId="77777777" w:rsidR="002D449B" w:rsidRDefault="002D449B">
            <w:pPr>
              <w:textAlignment w:val="baseline"/>
              <w:rPr>
                <w:b/>
                <w:bCs/>
                <w:kern w:val="2"/>
                <w:sz w:val="20"/>
                <w:lang w:val="fr-LU"/>
                <w14:ligatures w14:val="standardContextual"/>
              </w:rPr>
            </w:pPr>
            <w:r>
              <w:rPr>
                <w:b/>
                <w:bCs/>
                <w:kern w:val="2"/>
                <w:sz w:val="22"/>
                <w:szCs w:val="22"/>
                <w:bdr w:val="none" w:sz="0" w:space="0" w:color="auto" w:frame="1"/>
                <w14:ligatures w14:val="standardContextual"/>
              </w:rPr>
              <w:t>800 mg</w:t>
            </w:r>
          </w:p>
          <w:p w14:paraId="368FCF86" w14:textId="77777777" w:rsidR="002D449B" w:rsidRDefault="002D449B">
            <w:pPr>
              <w:rPr>
                <w:b/>
                <w:bCs/>
                <w:kern w:val="2"/>
                <w:sz w:val="22"/>
                <w:szCs w:val="22"/>
                <w14:ligatures w14:val="standardContextual"/>
              </w:rPr>
            </w:pPr>
            <w:r>
              <w:rPr>
                <w:b/>
                <w:bCs/>
                <w:kern w:val="2"/>
                <w:sz w:val="22"/>
                <w:szCs w:val="22"/>
                <w:bdr w:val="none" w:sz="0" w:space="0" w:color="auto" w:frame="1"/>
                <w14:ligatures w14:val="standardContextual"/>
              </w:rPr>
              <w:t>(N=14)</w:t>
            </w:r>
          </w:p>
        </w:tc>
      </w:tr>
      <w:tr w:rsidR="002D449B" w14:paraId="4F95DE69" w14:textId="77777777" w:rsidTr="002D449B">
        <w:tc>
          <w:tcPr>
            <w:tcW w:w="1808" w:type="dxa"/>
            <w:tcBorders>
              <w:top w:val="single" w:sz="4" w:space="0" w:color="auto"/>
              <w:left w:val="single" w:sz="4" w:space="0" w:color="auto"/>
              <w:bottom w:val="single" w:sz="4" w:space="0" w:color="auto"/>
              <w:right w:val="single" w:sz="4" w:space="0" w:color="auto"/>
            </w:tcBorders>
          </w:tcPr>
          <w:p w14:paraId="4DE57474" w14:textId="77777777" w:rsidR="002D449B" w:rsidRDefault="002D449B">
            <w:pPr>
              <w:rPr>
                <w:kern w:val="2"/>
                <w:sz w:val="22"/>
                <w:szCs w:val="22"/>
                <w14:ligatures w14:val="standardContextual"/>
              </w:rPr>
            </w:pPr>
          </w:p>
        </w:tc>
        <w:tc>
          <w:tcPr>
            <w:tcW w:w="1307" w:type="dxa"/>
            <w:tcBorders>
              <w:top w:val="single" w:sz="4" w:space="0" w:color="auto"/>
              <w:left w:val="single" w:sz="4" w:space="0" w:color="auto"/>
              <w:bottom w:val="single" w:sz="4" w:space="0" w:color="auto"/>
              <w:right w:val="single" w:sz="4" w:space="0" w:color="auto"/>
            </w:tcBorders>
            <w:hideMark/>
          </w:tcPr>
          <w:p w14:paraId="76B15C15" w14:textId="77777777" w:rsidR="002D449B" w:rsidRDefault="002D449B">
            <w:pPr>
              <w:rPr>
                <w:kern w:val="2"/>
                <w:sz w:val="22"/>
                <w:szCs w:val="22"/>
                <w14:ligatures w14:val="standardContextual"/>
              </w:rPr>
            </w:pPr>
            <w:r>
              <w:rPr>
                <w:kern w:val="2"/>
                <w14:ligatures w14:val="standardContextual"/>
              </w:rPr>
              <w:t>Gennemsnit</w:t>
            </w:r>
          </w:p>
        </w:tc>
        <w:tc>
          <w:tcPr>
            <w:tcW w:w="1298" w:type="dxa"/>
            <w:tcBorders>
              <w:top w:val="single" w:sz="4" w:space="0" w:color="auto"/>
              <w:left w:val="single" w:sz="4" w:space="0" w:color="auto"/>
              <w:bottom w:val="single" w:sz="4" w:space="0" w:color="auto"/>
              <w:right w:val="single" w:sz="4" w:space="0" w:color="auto"/>
            </w:tcBorders>
            <w:hideMark/>
          </w:tcPr>
          <w:p w14:paraId="0D267895" w14:textId="77777777" w:rsidR="002D449B" w:rsidRDefault="002D449B">
            <w:pPr>
              <w:rPr>
                <w:kern w:val="2"/>
                <w:sz w:val="22"/>
                <w:szCs w:val="22"/>
                <w14:ligatures w14:val="standardContextual"/>
              </w:rPr>
            </w:pPr>
            <w:r>
              <w:rPr>
                <w:kern w:val="2"/>
                <w14:ligatures w14:val="standardContextual"/>
              </w:rPr>
              <w:t>%CV</w:t>
            </w:r>
          </w:p>
        </w:tc>
        <w:tc>
          <w:tcPr>
            <w:tcW w:w="1308" w:type="dxa"/>
            <w:tcBorders>
              <w:top w:val="single" w:sz="4" w:space="0" w:color="auto"/>
              <w:left w:val="single" w:sz="4" w:space="0" w:color="auto"/>
              <w:bottom w:val="single" w:sz="4" w:space="0" w:color="auto"/>
              <w:right w:val="single" w:sz="4" w:space="0" w:color="auto"/>
            </w:tcBorders>
            <w:hideMark/>
          </w:tcPr>
          <w:p w14:paraId="17ECB5C9" w14:textId="77777777" w:rsidR="002D449B" w:rsidRDefault="002D449B">
            <w:pPr>
              <w:rPr>
                <w:kern w:val="2"/>
                <w:sz w:val="22"/>
                <w:szCs w:val="22"/>
                <w14:ligatures w14:val="standardContextual"/>
              </w:rPr>
            </w:pPr>
            <w:r>
              <w:rPr>
                <w:kern w:val="2"/>
                <w14:ligatures w14:val="standardContextual"/>
              </w:rPr>
              <w:t>Gennemsnit</w:t>
            </w:r>
          </w:p>
        </w:tc>
        <w:tc>
          <w:tcPr>
            <w:tcW w:w="1299" w:type="dxa"/>
            <w:tcBorders>
              <w:top w:val="single" w:sz="4" w:space="0" w:color="auto"/>
              <w:left w:val="single" w:sz="4" w:space="0" w:color="auto"/>
              <w:bottom w:val="single" w:sz="4" w:space="0" w:color="auto"/>
              <w:right w:val="single" w:sz="4" w:space="0" w:color="auto"/>
            </w:tcBorders>
            <w:hideMark/>
          </w:tcPr>
          <w:p w14:paraId="6F06A8B3" w14:textId="77777777" w:rsidR="002D449B" w:rsidRDefault="002D449B">
            <w:pPr>
              <w:rPr>
                <w:kern w:val="2"/>
                <w:sz w:val="22"/>
                <w:szCs w:val="22"/>
                <w14:ligatures w14:val="standardContextual"/>
              </w:rPr>
            </w:pPr>
            <w:r>
              <w:rPr>
                <w:kern w:val="2"/>
                <w14:ligatures w14:val="standardContextual"/>
              </w:rPr>
              <w:t>%CV</w:t>
            </w:r>
          </w:p>
        </w:tc>
        <w:tc>
          <w:tcPr>
            <w:tcW w:w="1309" w:type="dxa"/>
            <w:tcBorders>
              <w:top w:val="single" w:sz="4" w:space="0" w:color="auto"/>
              <w:left w:val="single" w:sz="4" w:space="0" w:color="auto"/>
              <w:bottom w:val="single" w:sz="4" w:space="0" w:color="auto"/>
              <w:right w:val="single" w:sz="4" w:space="0" w:color="auto"/>
            </w:tcBorders>
            <w:hideMark/>
          </w:tcPr>
          <w:p w14:paraId="6D82BC35" w14:textId="77777777" w:rsidR="002D449B" w:rsidRDefault="002D449B">
            <w:pPr>
              <w:rPr>
                <w:kern w:val="2"/>
                <w:sz w:val="22"/>
                <w:szCs w:val="22"/>
                <w14:ligatures w14:val="standardContextual"/>
              </w:rPr>
            </w:pPr>
            <w:r>
              <w:rPr>
                <w:kern w:val="2"/>
                <w14:ligatures w14:val="standardContextual"/>
              </w:rPr>
              <w:t>Gennemsnit</w:t>
            </w:r>
          </w:p>
        </w:tc>
        <w:tc>
          <w:tcPr>
            <w:tcW w:w="1299" w:type="dxa"/>
            <w:tcBorders>
              <w:top w:val="single" w:sz="4" w:space="0" w:color="auto"/>
              <w:left w:val="single" w:sz="4" w:space="0" w:color="auto"/>
              <w:bottom w:val="single" w:sz="4" w:space="0" w:color="auto"/>
              <w:right w:val="single" w:sz="4" w:space="0" w:color="auto"/>
            </w:tcBorders>
            <w:hideMark/>
          </w:tcPr>
          <w:p w14:paraId="4B7B2DB9" w14:textId="77777777" w:rsidR="002D449B" w:rsidRDefault="002D449B">
            <w:pPr>
              <w:rPr>
                <w:kern w:val="2"/>
                <w:sz w:val="22"/>
                <w:szCs w:val="22"/>
                <w14:ligatures w14:val="standardContextual"/>
              </w:rPr>
            </w:pPr>
            <w:r>
              <w:rPr>
                <w:kern w:val="2"/>
                <w14:ligatures w14:val="standardContextual"/>
              </w:rPr>
              <w:t>%CV</w:t>
            </w:r>
          </w:p>
        </w:tc>
      </w:tr>
      <w:tr w:rsidR="002D449B" w14:paraId="39E0A781" w14:textId="77777777" w:rsidTr="002D449B">
        <w:tc>
          <w:tcPr>
            <w:tcW w:w="1808" w:type="dxa"/>
            <w:tcBorders>
              <w:top w:val="single" w:sz="4" w:space="0" w:color="auto"/>
              <w:left w:val="single" w:sz="4" w:space="0" w:color="auto"/>
              <w:bottom w:val="single" w:sz="4" w:space="0" w:color="auto"/>
              <w:right w:val="single" w:sz="4" w:space="0" w:color="auto"/>
            </w:tcBorders>
            <w:hideMark/>
          </w:tcPr>
          <w:p w14:paraId="43823192" w14:textId="77777777" w:rsidR="002D449B" w:rsidRDefault="002D449B">
            <w:pPr>
              <w:rPr>
                <w:kern w:val="2"/>
                <w:sz w:val="22"/>
                <w:szCs w:val="22"/>
                <w14:ligatures w14:val="standardContextual"/>
              </w:rPr>
            </w:pPr>
            <w:r>
              <w:rPr>
                <w:spacing w:val="-3"/>
                <w:kern w:val="2"/>
                <w:sz w:val="22"/>
                <w:szCs w:val="22"/>
                <w:lang w:val="pt-BR"/>
                <w14:ligatures w14:val="standardContextual"/>
              </w:rPr>
              <w:t>C</w:t>
            </w:r>
            <w:r>
              <w:rPr>
                <w:spacing w:val="-3"/>
                <w:kern w:val="2"/>
                <w:sz w:val="22"/>
                <w:szCs w:val="22"/>
                <w:vertAlign w:val="subscript"/>
                <w:lang w:val="pt-BR"/>
                <w14:ligatures w14:val="standardContextual"/>
              </w:rPr>
              <w:t>max</w:t>
            </w:r>
            <w:r>
              <w:rPr>
                <w:spacing w:val="-3"/>
                <w:kern w:val="2"/>
                <w:sz w:val="22"/>
                <w:szCs w:val="22"/>
                <w:lang w:val="pt-BR"/>
                <w14:ligatures w14:val="standardContextual"/>
              </w:rPr>
              <w:t xml:space="preserve"> (</w:t>
            </w:r>
            <w:r>
              <w:rPr>
                <w:spacing w:val="-3"/>
                <w:kern w:val="2"/>
                <w:sz w:val="22"/>
                <w:szCs w:val="22"/>
                <w14:ligatures w14:val="standardContextual"/>
              </w:rPr>
              <w:sym w:font="Symbol" w:char="F06D"/>
            </w:r>
            <w:r>
              <w:rPr>
                <w:spacing w:val="-3"/>
                <w:kern w:val="2"/>
                <w:sz w:val="22"/>
                <w:szCs w:val="22"/>
                <w:lang w:val="pt-BR"/>
                <w14:ligatures w14:val="standardContextual"/>
              </w:rPr>
              <w:t>g/ml)</w:t>
            </w:r>
          </w:p>
        </w:tc>
        <w:tc>
          <w:tcPr>
            <w:tcW w:w="1307" w:type="dxa"/>
            <w:tcBorders>
              <w:top w:val="single" w:sz="4" w:space="0" w:color="auto"/>
              <w:left w:val="single" w:sz="4" w:space="0" w:color="auto"/>
              <w:bottom w:val="single" w:sz="4" w:space="0" w:color="auto"/>
              <w:right w:val="single" w:sz="4" w:space="0" w:color="auto"/>
            </w:tcBorders>
            <w:hideMark/>
          </w:tcPr>
          <w:p w14:paraId="74B47631" w14:textId="77777777" w:rsidR="002D449B" w:rsidRDefault="002D449B">
            <w:pPr>
              <w:rPr>
                <w:kern w:val="2"/>
                <w:sz w:val="22"/>
                <w:szCs w:val="22"/>
                <w14:ligatures w14:val="standardContextual"/>
              </w:rPr>
            </w:pPr>
            <w:r>
              <w:rPr>
                <w:spacing w:val="-3"/>
                <w:kern w:val="2"/>
                <w:sz w:val="22"/>
                <w:szCs w:val="22"/>
                <w:lang w:val="de-DE"/>
                <w14:ligatures w14:val="standardContextual"/>
              </w:rPr>
              <w:t>4,02</w:t>
            </w:r>
          </w:p>
        </w:tc>
        <w:tc>
          <w:tcPr>
            <w:tcW w:w="1298" w:type="dxa"/>
            <w:tcBorders>
              <w:top w:val="single" w:sz="4" w:space="0" w:color="auto"/>
              <w:left w:val="single" w:sz="4" w:space="0" w:color="auto"/>
              <w:bottom w:val="single" w:sz="4" w:space="0" w:color="auto"/>
              <w:right w:val="single" w:sz="4" w:space="0" w:color="auto"/>
            </w:tcBorders>
            <w:hideMark/>
          </w:tcPr>
          <w:p w14:paraId="4A2732EE" w14:textId="77777777" w:rsidR="002D449B" w:rsidRDefault="002D449B">
            <w:pPr>
              <w:rPr>
                <w:kern w:val="2"/>
                <w:sz w:val="22"/>
                <w:szCs w:val="22"/>
                <w14:ligatures w14:val="standardContextual"/>
              </w:rPr>
            </w:pPr>
            <w:r>
              <w:rPr>
                <w:spacing w:val="-3"/>
                <w:kern w:val="2"/>
                <w:sz w:val="22"/>
                <w:szCs w:val="22"/>
                <w:lang w:val="de-DE"/>
                <w14:ligatures w14:val="standardContextual"/>
              </w:rPr>
              <w:t>(24)</w:t>
            </w:r>
          </w:p>
        </w:tc>
        <w:tc>
          <w:tcPr>
            <w:tcW w:w="1308" w:type="dxa"/>
            <w:tcBorders>
              <w:top w:val="single" w:sz="4" w:space="0" w:color="auto"/>
              <w:left w:val="single" w:sz="4" w:space="0" w:color="auto"/>
              <w:bottom w:val="single" w:sz="4" w:space="0" w:color="auto"/>
              <w:right w:val="single" w:sz="4" w:space="0" w:color="auto"/>
            </w:tcBorders>
            <w:hideMark/>
          </w:tcPr>
          <w:p w14:paraId="5CD9BB7C" w14:textId="77777777" w:rsidR="002D449B" w:rsidRDefault="002D449B">
            <w:pPr>
              <w:rPr>
                <w:kern w:val="2"/>
                <w:sz w:val="22"/>
                <w:szCs w:val="22"/>
                <w14:ligatures w14:val="standardContextual"/>
              </w:rPr>
            </w:pPr>
            <w:r>
              <w:rPr>
                <w:spacing w:val="-3"/>
                <w:kern w:val="2"/>
                <w:sz w:val="22"/>
                <w:szCs w:val="22"/>
                <w:lang w:val="de-DE"/>
                <w14:ligatures w14:val="standardContextual"/>
              </w:rPr>
              <w:t>5,74</w:t>
            </w:r>
          </w:p>
        </w:tc>
        <w:tc>
          <w:tcPr>
            <w:tcW w:w="1299" w:type="dxa"/>
            <w:tcBorders>
              <w:top w:val="single" w:sz="4" w:space="0" w:color="auto"/>
              <w:left w:val="single" w:sz="4" w:space="0" w:color="auto"/>
              <w:bottom w:val="single" w:sz="4" w:space="0" w:color="auto"/>
              <w:right w:val="single" w:sz="4" w:space="0" w:color="auto"/>
            </w:tcBorders>
            <w:hideMark/>
          </w:tcPr>
          <w:p w14:paraId="27FA7AE3" w14:textId="77777777" w:rsidR="002D449B" w:rsidRDefault="002D449B">
            <w:pPr>
              <w:rPr>
                <w:kern w:val="2"/>
                <w:sz w:val="22"/>
                <w:szCs w:val="22"/>
                <w14:ligatures w14:val="standardContextual"/>
              </w:rPr>
            </w:pPr>
            <w:r>
              <w:rPr>
                <w:spacing w:val="-3"/>
                <w:kern w:val="2"/>
                <w:sz w:val="22"/>
                <w:szCs w:val="22"/>
                <w:lang w:val="de-DE"/>
                <w14:ligatures w14:val="standardContextual"/>
              </w:rPr>
              <w:t>(38)</w:t>
            </w:r>
          </w:p>
        </w:tc>
        <w:tc>
          <w:tcPr>
            <w:tcW w:w="1309" w:type="dxa"/>
            <w:tcBorders>
              <w:top w:val="single" w:sz="4" w:space="0" w:color="auto"/>
              <w:left w:val="single" w:sz="4" w:space="0" w:color="auto"/>
              <w:bottom w:val="single" w:sz="4" w:space="0" w:color="auto"/>
              <w:right w:val="single" w:sz="4" w:space="0" w:color="auto"/>
            </w:tcBorders>
            <w:hideMark/>
          </w:tcPr>
          <w:p w14:paraId="4F490D16" w14:textId="77777777" w:rsidR="002D449B" w:rsidRDefault="002D449B">
            <w:pPr>
              <w:rPr>
                <w:kern w:val="2"/>
                <w:sz w:val="22"/>
                <w:szCs w:val="22"/>
                <w14:ligatures w14:val="standardContextual"/>
              </w:rPr>
            </w:pPr>
            <w:r>
              <w:rPr>
                <w:spacing w:val="-3"/>
                <w:kern w:val="2"/>
                <w:sz w:val="22"/>
                <w:szCs w:val="22"/>
                <w:lang w:val="de-DE"/>
                <w14:ligatures w14:val="standardContextual"/>
              </w:rPr>
              <w:t>8,71</w:t>
            </w:r>
          </w:p>
        </w:tc>
        <w:tc>
          <w:tcPr>
            <w:tcW w:w="1299" w:type="dxa"/>
            <w:tcBorders>
              <w:top w:val="single" w:sz="4" w:space="0" w:color="auto"/>
              <w:left w:val="single" w:sz="4" w:space="0" w:color="auto"/>
              <w:bottom w:val="single" w:sz="4" w:space="0" w:color="auto"/>
              <w:right w:val="single" w:sz="4" w:space="0" w:color="auto"/>
            </w:tcBorders>
            <w:hideMark/>
          </w:tcPr>
          <w:p w14:paraId="4087EECB" w14:textId="77777777" w:rsidR="002D449B" w:rsidRDefault="002D449B">
            <w:pPr>
              <w:rPr>
                <w:kern w:val="2"/>
                <w:sz w:val="22"/>
                <w:szCs w:val="22"/>
                <w14:ligatures w14:val="standardContextual"/>
              </w:rPr>
            </w:pPr>
            <w:r>
              <w:rPr>
                <w:spacing w:val="-3"/>
                <w:kern w:val="2"/>
                <w:sz w:val="22"/>
                <w:szCs w:val="22"/>
                <w:lang w:val="de-DE"/>
                <w14:ligatures w14:val="standardContextual"/>
              </w:rPr>
              <w:t>(29)</w:t>
            </w:r>
          </w:p>
        </w:tc>
      </w:tr>
      <w:tr w:rsidR="002D449B" w14:paraId="1AF2FEDA" w14:textId="77777777" w:rsidTr="002D449B">
        <w:tc>
          <w:tcPr>
            <w:tcW w:w="1808" w:type="dxa"/>
            <w:tcBorders>
              <w:top w:val="single" w:sz="4" w:space="0" w:color="auto"/>
              <w:left w:val="single" w:sz="4" w:space="0" w:color="auto"/>
              <w:bottom w:val="single" w:sz="4" w:space="0" w:color="auto"/>
              <w:right w:val="single" w:sz="4" w:space="0" w:color="auto"/>
            </w:tcBorders>
            <w:hideMark/>
          </w:tcPr>
          <w:p w14:paraId="7A86DDD2" w14:textId="77777777" w:rsidR="002D449B" w:rsidRDefault="002D449B">
            <w:pPr>
              <w:rPr>
                <w:kern w:val="2"/>
                <w:sz w:val="22"/>
                <w:szCs w:val="22"/>
                <w14:ligatures w14:val="standardContextual"/>
              </w:rPr>
            </w:pPr>
            <w:r>
              <w:rPr>
                <w:spacing w:val="-3"/>
                <w:kern w:val="2"/>
                <w:sz w:val="22"/>
                <w:szCs w:val="22"/>
                <w:lang w:val="de-DE"/>
                <w14:ligatures w14:val="standardContextual"/>
              </w:rPr>
              <w:t>t</w:t>
            </w:r>
            <w:r>
              <w:rPr>
                <w:spacing w:val="-3"/>
                <w:kern w:val="2"/>
                <w:sz w:val="22"/>
                <w:szCs w:val="22"/>
                <w:vertAlign w:val="subscript"/>
                <w:lang w:val="de-DE"/>
                <w14:ligatures w14:val="standardContextual"/>
              </w:rPr>
              <w:t>max</w:t>
            </w:r>
            <w:r>
              <w:rPr>
                <w:spacing w:val="-3"/>
                <w:kern w:val="2"/>
                <w:sz w:val="22"/>
                <w:szCs w:val="22"/>
                <w:lang w:val="de-DE"/>
                <w14:ligatures w14:val="standardContextual"/>
              </w:rPr>
              <w:t xml:space="preserve"> (time)</w:t>
            </w:r>
          </w:p>
        </w:tc>
        <w:tc>
          <w:tcPr>
            <w:tcW w:w="1307" w:type="dxa"/>
            <w:tcBorders>
              <w:top w:val="single" w:sz="4" w:space="0" w:color="auto"/>
              <w:left w:val="single" w:sz="4" w:space="0" w:color="auto"/>
              <w:bottom w:val="single" w:sz="4" w:space="0" w:color="auto"/>
              <w:right w:val="single" w:sz="4" w:space="0" w:color="auto"/>
            </w:tcBorders>
            <w:hideMark/>
          </w:tcPr>
          <w:p w14:paraId="22F8B8F4" w14:textId="77777777" w:rsidR="002D449B" w:rsidRDefault="002D449B">
            <w:pPr>
              <w:rPr>
                <w:kern w:val="2"/>
                <w:sz w:val="22"/>
                <w:szCs w:val="22"/>
                <w14:ligatures w14:val="standardContextual"/>
              </w:rPr>
            </w:pPr>
            <w:r>
              <w:rPr>
                <w:spacing w:val="-3"/>
                <w:kern w:val="2"/>
                <w:sz w:val="22"/>
                <w:szCs w:val="22"/>
                <w:lang w:val="de-DE"/>
                <w14:ligatures w14:val="standardContextual"/>
              </w:rPr>
              <w:t>2,7</w:t>
            </w:r>
          </w:p>
        </w:tc>
        <w:tc>
          <w:tcPr>
            <w:tcW w:w="1298" w:type="dxa"/>
            <w:tcBorders>
              <w:top w:val="single" w:sz="4" w:space="0" w:color="auto"/>
              <w:left w:val="single" w:sz="4" w:space="0" w:color="auto"/>
              <w:bottom w:val="single" w:sz="4" w:space="0" w:color="auto"/>
              <w:right w:val="single" w:sz="4" w:space="0" w:color="auto"/>
            </w:tcBorders>
            <w:hideMark/>
          </w:tcPr>
          <w:p w14:paraId="3ADC1F44" w14:textId="77777777" w:rsidR="002D449B" w:rsidRDefault="002D449B">
            <w:pPr>
              <w:rPr>
                <w:kern w:val="2"/>
                <w:sz w:val="22"/>
                <w:szCs w:val="22"/>
                <w14:ligatures w14:val="standardContextual"/>
              </w:rPr>
            </w:pPr>
            <w:r>
              <w:rPr>
                <w:spacing w:val="-3"/>
                <w:kern w:val="2"/>
                <w:sz w:val="22"/>
                <w:szCs w:val="22"/>
                <w:lang w:val="de-DE"/>
                <w14:ligatures w14:val="standardContextual"/>
              </w:rPr>
              <w:t>(18)</w:t>
            </w:r>
          </w:p>
        </w:tc>
        <w:tc>
          <w:tcPr>
            <w:tcW w:w="1308" w:type="dxa"/>
            <w:tcBorders>
              <w:top w:val="single" w:sz="4" w:space="0" w:color="auto"/>
              <w:left w:val="single" w:sz="4" w:space="0" w:color="auto"/>
              <w:bottom w:val="single" w:sz="4" w:space="0" w:color="auto"/>
              <w:right w:val="single" w:sz="4" w:space="0" w:color="auto"/>
            </w:tcBorders>
            <w:hideMark/>
          </w:tcPr>
          <w:p w14:paraId="29A83724" w14:textId="77777777" w:rsidR="002D449B" w:rsidRDefault="002D449B">
            <w:pPr>
              <w:rPr>
                <w:kern w:val="2"/>
                <w:sz w:val="22"/>
                <w:szCs w:val="22"/>
                <w14:ligatures w14:val="standardContextual"/>
              </w:rPr>
            </w:pPr>
            <w:r>
              <w:rPr>
                <w:spacing w:val="-3"/>
                <w:kern w:val="2"/>
                <w:sz w:val="22"/>
                <w:szCs w:val="22"/>
                <w:lang w:val="de-DE"/>
                <w14:ligatures w14:val="standardContextual"/>
              </w:rPr>
              <w:t>2,1</w:t>
            </w:r>
          </w:p>
        </w:tc>
        <w:tc>
          <w:tcPr>
            <w:tcW w:w="1299" w:type="dxa"/>
            <w:tcBorders>
              <w:top w:val="single" w:sz="4" w:space="0" w:color="auto"/>
              <w:left w:val="single" w:sz="4" w:space="0" w:color="auto"/>
              <w:bottom w:val="single" w:sz="4" w:space="0" w:color="auto"/>
              <w:right w:val="single" w:sz="4" w:space="0" w:color="auto"/>
            </w:tcBorders>
            <w:hideMark/>
          </w:tcPr>
          <w:p w14:paraId="355825D6" w14:textId="77777777" w:rsidR="002D449B" w:rsidRDefault="002D449B">
            <w:pPr>
              <w:rPr>
                <w:kern w:val="2"/>
                <w:sz w:val="22"/>
                <w:szCs w:val="22"/>
                <w14:ligatures w14:val="standardContextual"/>
              </w:rPr>
            </w:pPr>
            <w:r>
              <w:rPr>
                <w:spacing w:val="-3"/>
                <w:kern w:val="2"/>
                <w:sz w:val="22"/>
                <w:szCs w:val="22"/>
                <w:lang w:val="de-DE"/>
                <w14:ligatures w14:val="standardContextual"/>
              </w:rPr>
              <w:t>(54)</w:t>
            </w:r>
          </w:p>
        </w:tc>
        <w:tc>
          <w:tcPr>
            <w:tcW w:w="1309" w:type="dxa"/>
            <w:tcBorders>
              <w:top w:val="single" w:sz="4" w:space="0" w:color="auto"/>
              <w:left w:val="single" w:sz="4" w:space="0" w:color="auto"/>
              <w:bottom w:val="single" w:sz="4" w:space="0" w:color="auto"/>
              <w:right w:val="single" w:sz="4" w:space="0" w:color="auto"/>
            </w:tcBorders>
            <w:hideMark/>
          </w:tcPr>
          <w:p w14:paraId="11B060B5" w14:textId="77777777" w:rsidR="002D449B" w:rsidRDefault="002D449B">
            <w:pPr>
              <w:rPr>
                <w:kern w:val="2"/>
                <w:sz w:val="22"/>
                <w:szCs w:val="22"/>
                <w14:ligatures w14:val="standardContextual"/>
              </w:rPr>
            </w:pPr>
            <w:r>
              <w:rPr>
                <w:spacing w:val="-3"/>
                <w:kern w:val="2"/>
                <w:sz w:val="22"/>
                <w:szCs w:val="22"/>
                <w:lang w:val="de-DE"/>
                <w14:ligatures w14:val="standardContextual"/>
              </w:rPr>
              <w:t>1,6</w:t>
            </w:r>
          </w:p>
        </w:tc>
        <w:tc>
          <w:tcPr>
            <w:tcW w:w="1299" w:type="dxa"/>
            <w:tcBorders>
              <w:top w:val="single" w:sz="4" w:space="0" w:color="auto"/>
              <w:left w:val="single" w:sz="4" w:space="0" w:color="auto"/>
              <w:bottom w:val="single" w:sz="4" w:space="0" w:color="auto"/>
              <w:right w:val="single" w:sz="4" w:space="0" w:color="auto"/>
            </w:tcBorders>
            <w:hideMark/>
          </w:tcPr>
          <w:p w14:paraId="367AAAB0" w14:textId="77777777" w:rsidR="002D449B" w:rsidRDefault="002D449B">
            <w:pPr>
              <w:rPr>
                <w:kern w:val="2"/>
                <w:sz w:val="22"/>
                <w:szCs w:val="22"/>
                <w14:ligatures w14:val="standardContextual"/>
              </w:rPr>
            </w:pPr>
            <w:r>
              <w:rPr>
                <w:spacing w:val="-3"/>
                <w:kern w:val="2"/>
                <w:sz w:val="22"/>
                <w:szCs w:val="22"/>
                <w:lang w:val="de-DE"/>
                <w14:ligatures w14:val="standardContextual"/>
              </w:rPr>
              <w:t>(76)</w:t>
            </w:r>
          </w:p>
        </w:tc>
      </w:tr>
      <w:tr w:rsidR="002D449B" w14:paraId="6C6DC1FD" w14:textId="77777777" w:rsidTr="002D449B">
        <w:tc>
          <w:tcPr>
            <w:tcW w:w="1808" w:type="dxa"/>
            <w:tcBorders>
              <w:top w:val="single" w:sz="4" w:space="0" w:color="auto"/>
              <w:left w:val="single" w:sz="4" w:space="0" w:color="auto"/>
              <w:bottom w:val="single" w:sz="4" w:space="0" w:color="auto"/>
              <w:right w:val="single" w:sz="4" w:space="0" w:color="auto"/>
            </w:tcBorders>
            <w:hideMark/>
          </w:tcPr>
          <w:p w14:paraId="7727ADA9" w14:textId="77777777" w:rsidR="002D449B" w:rsidRDefault="002D449B">
            <w:pPr>
              <w:rPr>
                <w:kern w:val="2"/>
                <w:sz w:val="22"/>
                <w:szCs w:val="22"/>
                <w14:ligatures w14:val="standardContextual"/>
              </w:rPr>
            </w:pPr>
            <w:r>
              <w:rPr>
                <w:spacing w:val="-3"/>
                <w:kern w:val="2"/>
                <w:sz w:val="22"/>
                <w:szCs w:val="22"/>
                <w:lang w:val="de-DE"/>
                <w14:ligatures w14:val="standardContextual"/>
              </w:rPr>
              <w:t>T½ (time)</w:t>
            </w:r>
          </w:p>
        </w:tc>
        <w:tc>
          <w:tcPr>
            <w:tcW w:w="1307" w:type="dxa"/>
            <w:tcBorders>
              <w:top w:val="single" w:sz="4" w:space="0" w:color="auto"/>
              <w:left w:val="single" w:sz="4" w:space="0" w:color="auto"/>
              <w:bottom w:val="single" w:sz="4" w:space="0" w:color="auto"/>
              <w:right w:val="single" w:sz="4" w:space="0" w:color="auto"/>
            </w:tcBorders>
            <w:hideMark/>
          </w:tcPr>
          <w:p w14:paraId="483E1CA3" w14:textId="77777777" w:rsidR="002D449B" w:rsidRDefault="002D449B">
            <w:pPr>
              <w:rPr>
                <w:kern w:val="2"/>
                <w:sz w:val="22"/>
                <w:szCs w:val="22"/>
                <w14:ligatures w14:val="standardContextual"/>
              </w:rPr>
            </w:pPr>
            <w:r>
              <w:rPr>
                <w:spacing w:val="-3"/>
                <w:kern w:val="2"/>
                <w:sz w:val="22"/>
                <w:szCs w:val="22"/>
                <w:lang w:val="de-DE"/>
                <w14:ligatures w14:val="standardContextual"/>
              </w:rPr>
              <w:t>5,2</w:t>
            </w:r>
          </w:p>
        </w:tc>
        <w:tc>
          <w:tcPr>
            <w:tcW w:w="1298" w:type="dxa"/>
            <w:tcBorders>
              <w:top w:val="single" w:sz="4" w:space="0" w:color="auto"/>
              <w:left w:val="single" w:sz="4" w:space="0" w:color="auto"/>
              <w:bottom w:val="single" w:sz="4" w:space="0" w:color="auto"/>
              <w:right w:val="single" w:sz="4" w:space="0" w:color="auto"/>
            </w:tcBorders>
            <w:hideMark/>
          </w:tcPr>
          <w:p w14:paraId="11DD76F4" w14:textId="77777777" w:rsidR="002D449B" w:rsidRDefault="002D449B">
            <w:pPr>
              <w:rPr>
                <w:kern w:val="2"/>
                <w:sz w:val="22"/>
                <w:szCs w:val="22"/>
                <w14:ligatures w14:val="standardContextual"/>
              </w:rPr>
            </w:pPr>
            <w:r>
              <w:rPr>
                <w:spacing w:val="-3"/>
                <w:kern w:val="2"/>
                <w:sz w:val="22"/>
                <w:szCs w:val="22"/>
                <w:lang w:val="de-DE"/>
                <w14:ligatures w14:val="standardContextual"/>
              </w:rPr>
              <w:t>(12)</w:t>
            </w:r>
          </w:p>
        </w:tc>
        <w:tc>
          <w:tcPr>
            <w:tcW w:w="1308" w:type="dxa"/>
            <w:tcBorders>
              <w:top w:val="single" w:sz="4" w:space="0" w:color="auto"/>
              <w:left w:val="single" w:sz="4" w:space="0" w:color="auto"/>
              <w:bottom w:val="single" w:sz="4" w:space="0" w:color="auto"/>
              <w:right w:val="single" w:sz="4" w:space="0" w:color="auto"/>
            </w:tcBorders>
            <w:hideMark/>
          </w:tcPr>
          <w:p w14:paraId="78292B08" w14:textId="77777777" w:rsidR="002D449B" w:rsidRDefault="002D449B">
            <w:pPr>
              <w:rPr>
                <w:kern w:val="2"/>
                <w:sz w:val="22"/>
                <w:szCs w:val="22"/>
                <w14:ligatures w14:val="standardContextual"/>
              </w:rPr>
            </w:pPr>
            <w:r>
              <w:rPr>
                <w:spacing w:val="-3"/>
                <w:kern w:val="2"/>
                <w:sz w:val="22"/>
                <w:szCs w:val="22"/>
                <w:lang w:val="de-DE"/>
                <w14:ligatures w14:val="standardContextual"/>
              </w:rPr>
              <w:t>10,8</w:t>
            </w:r>
          </w:p>
        </w:tc>
        <w:tc>
          <w:tcPr>
            <w:tcW w:w="1299" w:type="dxa"/>
            <w:tcBorders>
              <w:top w:val="single" w:sz="4" w:space="0" w:color="auto"/>
              <w:left w:val="single" w:sz="4" w:space="0" w:color="auto"/>
              <w:bottom w:val="single" w:sz="4" w:space="0" w:color="auto"/>
              <w:right w:val="single" w:sz="4" w:space="0" w:color="auto"/>
            </w:tcBorders>
            <w:hideMark/>
          </w:tcPr>
          <w:p w14:paraId="5E64BB2E" w14:textId="77777777" w:rsidR="002D449B" w:rsidRDefault="002D449B">
            <w:pPr>
              <w:rPr>
                <w:kern w:val="2"/>
                <w:sz w:val="22"/>
                <w:szCs w:val="22"/>
                <w14:ligatures w14:val="standardContextual"/>
              </w:rPr>
            </w:pPr>
            <w:r>
              <w:rPr>
                <w:spacing w:val="-3"/>
                <w:kern w:val="2"/>
                <w:sz w:val="22"/>
                <w:szCs w:val="22"/>
                <w:lang w:val="de-DE"/>
                <w14:ligatures w14:val="standardContextual"/>
              </w:rPr>
              <w:t>(89)</w:t>
            </w:r>
          </w:p>
        </w:tc>
        <w:tc>
          <w:tcPr>
            <w:tcW w:w="1309" w:type="dxa"/>
            <w:tcBorders>
              <w:top w:val="single" w:sz="4" w:space="0" w:color="auto"/>
              <w:left w:val="single" w:sz="4" w:space="0" w:color="auto"/>
              <w:bottom w:val="single" w:sz="4" w:space="0" w:color="auto"/>
              <w:right w:val="single" w:sz="4" w:space="0" w:color="auto"/>
            </w:tcBorders>
            <w:hideMark/>
          </w:tcPr>
          <w:p w14:paraId="596DB57E" w14:textId="77777777" w:rsidR="002D449B" w:rsidRDefault="002D449B">
            <w:pPr>
              <w:rPr>
                <w:kern w:val="2"/>
                <w:sz w:val="22"/>
                <w:szCs w:val="22"/>
                <w14:ligatures w14:val="standardContextual"/>
              </w:rPr>
            </w:pPr>
            <w:r>
              <w:rPr>
                <w:spacing w:val="-3"/>
                <w:kern w:val="2"/>
                <w:sz w:val="22"/>
                <w:szCs w:val="22"/>
                <w:lang w:val="de-DE"/>
                <w14:ligatures w14:val="standardContextual"/>
              </w:rPr>
              <w:t>10,6</w:t>
            </w:r>
          </w:p>
        </w:tc>
        <w:tc>
          <w:tcPr>
            <w:tcW w:w="1299" w:type="dxa"/>
            <w:tcBorders>
              <w:top w:val="single" w:sz="4" w:space="0" w:color="auto"/>
              <w:left w:val="single" w:sz="4" w:space="0" w:color="auto"/>
              <w:bottom w:val="single" w:sz="4" w:space="0" w:color="auto"/>
              <w:right w:val="single" w:sz="4" w:space="0" w:color="auto"/>
            </w:tcBorders>
            <w:hideMark/>
          </w:tcPr>
          <w:p w14:paraId="60D87E2F" w14:textId="77777777" w:rsidR="002D449B" w:rsidRDefault="002D449B">
            <w:pPr>
              <w:rPr>
                <w:kern w:val="2"/>
                <w:sz w:val="22"/>
                <w:szCs w:val="22"/>
                <w14:ligatures w14:val="standardContextual"/>
              </w:rPr>
            </w:pPr>
            <w:r>
              <w:rPr>
                <w:spacing w:val="-3"/>
                <w:kern w:val="2"/>
                <w:sz w:val="22"/>
                <w:szCs w:val="22"/>
                <w:lang w:val="de-DE"/>
                <w14:ligatures w14:val="standardContextual"/>
              </w:rPr>
              <w:t>(41)</w:t>
            </w:r>
          </w:p>
        </w:tc>
      </w:tr>
      <w:tr w:rsidR="002D449B" w14:paraId="31CCFBD5" w14:textId="77777777" w:rsidTr="002D449B">
        <w:tc>
          <w:tcPr>
            <w:tcW w:w="1808" w:type="dxa"/>
            <w:tcBorders>
              <w:top w:val="single" w:sz="4" w:space="0" w:color="auto"/>
              <w:left w:val="single" w:sz="4" w:space="0" w:color="auto"/>
              <w:bottom w:val="single" w:sz="4" w:space="0" w:color="auto"/>
              <w:right w:val="single" w:sz="4" w:space="0" w:color="auto"/>
            </w:tcBorders>
            <w:hideMark/>
          </w:tcPr>
          <w:p w14:paraId="49B7FCD9" w14:textId="77777777" w:rsidR="002D449B" w:rsidRDefault="002D449B">
            <w:pPr>
              <w:rPr>
                <w:kern w:val="2"/>
                <w:sz w:val="22"/>
                <w:szCs w:val="22"/>
                <w14:ligatures w14:val="standardContextual"/>
              </w:rPr>
            </w:pPr>
            <w:r>
              <w:rPr>
                <w:spacing w:val="-3"/>
                <w:kern w:val="2"/>
                <w:sz w:val="22"/>
                <w:szCs w:val="22"/>
                <w:lang w:val="de-DE"/>
                <w14:ligatures w14:val="standardContextual"/>
              </w:rPr>
              <w:t>AUC (0-</w:t>
            </w:r>
            <w:r>
              <w:rPr>
                <w:spacing w:val="-3"/>
                <w:kern w:val="2"/>
                <w:sz w:val="22"/>
                <w:szCs w:val="22"/>
                <w14:ligatures w14:val="standardContextual"/>
              </w:rPr>
              <w:t>8</w:t>
            </w:r>
            <w:r>
              <w:rPr>
                <w:spacing w:val="-3"/>
                <w:kern w:val="2"/>
                <w:sz w:val="22"/>
                <w:szCs w:val="22"/>
                <w:lang w:val="de-DE"/>
                <w14:ligatures w14:val="standardContextual"/>
              </w:rPr>
              <w:t xml:space="preserve">) </w:t>
            </w:r>
            <w:r>
              <w:rPr>
                <w:spacing w:val="-3"/>
                <w:kern w:val="2"/>
                <w:sz w:val="22"/>
                <w:szCs w:val="22"/>
                <w14:ligatures w14:val="standardContextual"/>
              </w:rPr>
              <w:sym w:font="Symbol" w:char="F06D"/>
            </w:r>
            <w:r>
              <w:rPr>
                <w:spacing w:val="-3"/>
                <w:kern w:val="2"/>
                <w:sz w:val="22"/>
                <w:szCs w:val="22"/>
                <w:lang w:val="de-DE"/>
                <w14:ligatures w14:val="standardContextual"/>
              </w:rPr>
              <w:t>g</w:t>
            </w:r>
            <w:r>
              <w:rPr>
                <w:spacing w:val="-3"/>
                <w:kern w:val="2"/>
                <w:sz w:val="22"/>
                <w:szCs w:val="22"/>
                <w14:ligatures w14:val="standardContextual"/>
              </w:rPr>
              <w:t>·</w:t>
            </w:r>
            <w:r>
              <w:rPr>
                <w:spacing w:val="-3"/>
                <w:kern w:val="2"/>
                <w:sz w:val="22"/>
                <w:szCs w:val="22"/>
                <w:lang w:val="de-DE"/>
                <w14:ligatures w14:val="standardContextual"/>
              </w:rPr>
              <w:t>time/ml)</w:t>
            </w:r>
          </w:p>
        </w:tc>
        <w:tc>
          <w:tcPr>
            <w:tcW w:w="1307" w:type="dxa"/>
            <w:tcBorders>
              <w:top w:val="single" w:sz="4" w:space="0" w:color="auto"/>
              <w:left w:val="single" w:sz="4" w:space="0" w:color="auto"/>
              <w:bottom w:val="single" w:sz="4" w:space="0" w:color="auto"/>
              <w:right w:val="single" w:sz="4" w:space="0" w:color="auto"/>
            </w:tcBorders>
            <w:hideMark/>
          </w:tcPr>
          <w:p w14:paraId="326BE713" w14:textId="77777777" w:rsidR="002D449B" w:rsidRDefault="002D449B">
            <w:pPr>
              <w:rPr>
                <w:kern w:val="2"/>
                <w:sz w:val="22"/>
                <w:szCs w:val="22"/>
                <w14:ligatures w14:val="standardContextual"/>
              </w:rPr>
            </w:pPr>
            <w:r>
              <w:rPr>
                <w:spacing w:val="-3"/>
                <w:kern w:val="2"/>
                <w:sz w:val="22"/>
                <w:szCs w:val="22"/>
                <w:lang w:val="pl-PL"/>
                <w14:ligatures w14:val="standardContextual"/>
              </w:rPr>
              <w:t>24,8</w:t>
            </w:r>
          </w:p>
        </w:tc>
        <w:tc>
          <w:tcPr>
            <w:tcW w:w="1298" w:type="dxa"/>
            <w:tcBorders>
              <w:top w:val="single" w:sz="4" w:space="0" w:color="auto"/>
              <w:left w:val="single" w:sz="4" w:space="0" w:color="auto"/>
              <w:bottom w:val="single" w:sz="4" w:space="0" w:color="auto"/>
              <w:right w:val="single" w:sz="4" w:space="0" w:color="auto"/>
            </w:tcBorders>
            <w:hideMark/>
          </w:tcPr>
          <w:p w14:paraId="708CA05C" w14:textId="77777777" w:rsidR="002D449B" w:rsidRDefault="002D449B">
            <w:pPr>
              <w:rPr>
                <w:kern w:val="2"/>
                <w:sz w:val="22"/>
                <w:szCs w:val="22"/>
                <w14:ligatures w14:val="standardContextual"/>
              </w:rPr>
            </w:pPr>
            <w:r>
              <w:rPr>
                <w:spacing w:val="-3"/>
                <w:kern w:val="2"/>
                <w:sz w:val="22"/>
                <w:szCs w:val="22"/>
                <w:lang w:val="pl-PL"/>
                <w14:ligatures w14:val="standardContextual"/>
              </w:rPr>
              <w:t>(24)</w:t>
            </w:r>
          </w:p>
        </w:tc>
        <w:tc>
          <w:tcPr>
            <w:tcW w:w="1308" w:type="dxa"/>
            <w:tcBorders>
              <w:top w:val="single" w:sz="4" w:space="0" w:color="auto"/>
              <w:left w:val="single" w:sz="4" w:space="0" w:color="auto"/>
              <w:bottom w:val="single" w:sz="4" w:space="0" w:color="auto"/>
              <w:right w:val="single" w:sz="4" w:space="0" w:color="auto"/>
            </w:tcBorders>
            <w:hideMark/>
          </w:tcPr>
          <w:p w14:paraId="5DF0EF2B" w14:textId="77777777" w:rsidR="002D449B" w:rsidRDefault="002D449B">
            <w:pPr>
              <w:rPr>
                <w:kern w:val="2"/>
                <w:sz w:val="22"/>
                <w:szCs w:val="22"/>
                <w14:ligatures w14:val="standardContextual"/>
              </w:rPr>
            </w:pPr>
            <w:r>
              <w:rPr>
                <w:spacing w:val="-3"/>
                <w:kern w:val="2"/>
                <w:sz w:val="22"/>
                <w:szCs w:val="22"/>
                <w:lang w:val="pl-PL"/>
                <w14:ligatures w14:val="standardContextual"/>
              </w:rPr>
              <w:t>34,5</w:t>
            </w:r>
          </w:p>
        </w:tc>
        <w:tc>
          <w:tcPr>
            <w:tcW w:w="1299" w:type="dxa"/>
            <w:tcBorders>
              <w:top w:val="single" w:sz="4" w:space="0" w:color="auto"/>
              <w:left w:val="single" w:sz="4" w:space="0" w:color="auto"/>
              <w:bottom w:val="single" w:sz="4" w:space="0" w:color="auto"/>
              <w:right w:val="single" w:sz="4" w:space="0" w:color="auto"/>
            </w:tcBorders>
            <w:hideMark/>
          </w:tcPr>
          <w:p w14:paraId="7F14274C" w14:textId="77777777" w:rsidR="002D449B" w:rsidRDefault="002D449B">
            <w:pPr>
              <w:rPr>
                <w:kern w:val="2"/>
                <w:sz w:val="22"/>
                <w:szCs w:val="22"/>
                <w14:ligatures w14:val="standardContextual"/>
              </w:rPr>
            </w:pPr>
            <w:r>
              <w:rPr>
                <w:spacing w:val="-3"/>
                <w:kern w:val="2"/>
                <w:sz w:val="22"/>
                <w:szCs w:val="22"/>
                <w:lang w:val="pl-PL"/>
                <w14:ligatures w14:val="standardContextual"/>
              </w:rPr>
              <w:t>(34)</w:t>
            </w:r>
          </w:p>
        </w:tc>
        <w:tc>
          <w:tcPr>
            <w:tcW w:w="1309" w:type="dxa"/>
            <w:tcBorders>
              <w:top w:val="single" w:sz="4" w:space="0" w:color="auto"/>
              <w:left w:val="single" w:sz="4" w:space="0" w:color="auto"/>
              <w:bottom w:val="single" w:sz="4" w:space="0" w:color="auto"/>
              <w:right w:val="single" w:sz="4" w:space="0" w:color="auto"/>
            </w:tcBorders>
            <w:hideMark/>
          </w:tcPr>
          <w:p w14:paraId="43349747" w14:textId="77777777" w:rsidR="002D449B" w:rsidRDefault="002D449B">
            <w:pPr>
              <w:rPr>
                <w:kern w:val="2"/>
                <w:sz w:val="22"/>
                <w:szCs w:val="22"/>
                <w14:ligatures w14:val="standardContextual"/>
              </w:rPr>
            </w:pPr>
            <w:r>
              <w:rPr>
                <w:spacing w:val="-3"/>
                <w:kern w:val="2"/>
                <w:sz w:val="22"/>
                <w:szCs w:val="22"/>
                <w:lang w:val="pl-PL"/>
                <w14:ligatures w14:val="standardContextual"/>
              </w:rPr>
              <w:t>51,4</w:t>
            </w:r>
          </w:p>
        </w:tc>
        <w:tc>
          <w:tcPr>
            <w:tcW w:w="1299" w:type="dxa"/>
            <w:tcBorders>
              <w:top w:val="single" w:sz="4" w:space="0" w:color="auto"/>
              <w:left w:val="single" w:sz="4" w:space="0" w:color="auto"/>
              <w:bottom w:val="single" w:sz="4" w:space="0" w:color="auto"/>
              <w:right w:val="single" w:sz="4" w:space="0" w:color="auto"/>
            </w:tcBorders>
            <w:hideMark/>
          </w:tcPr>
          <w:p w14:paraId="539C649F" w14:textId="77777777" w:rsidR="002D449B" w:rsidRDefault="002D449B">
            <w:pPr>
              <w:rPr>
                <w:kern w:val="2"/>
                <w:sz w:val="22"/>
                <w:szCs w:val="22"/>
                <w14:ligatures w14:val="standardContextual"/>
              </w:rPr>
            </w:pPr>
            <w:r>
              <w:rPr>
                <w:spacing w:val="-3"/>
                <w:kern w:val="2"/>
                <w:sz w:val="22"/>
                <w:szCs w:val="22"/>
                <w:lang w:val="pl-PL"/>
                <w14:ligatures w14:val="standardContextual"/>
              </w:rPr>
              <w:t>(27)</w:t>
            </w:r>
          </w:p>
        </w:tc>
      </w:tr>
      <w:tr w:rsidR="002D449B" w14:paraId="19EB97D8" w14:textId="77777777" w:rsidTr="002D449B">
        <w:tc>
          <w:tcPr>
            <w:tcW w:w="1808" w:type="dxa"/>
            <w:tcBorders>
              <w:top w:val="single" w:sz="4" w:space="0" w:color="auto"/>
              <w:left w:val="single" w:sz="4" w:space="0" w:color="auto"/>
              <w:bottom w:val="single" w:sz="4" w:space="0" w:color="auto"/>
              <w:right w:val="single" w:sz="4" w:space="0" w:color="auto"/>
            </w:tcBorders>
            <w:hideMark/>
          </w:tcPr>
          <w:p w14:paraId="1FE5EC94" w14:textId="77777777" w:rsidR="002D449B" w:rsidRDefault="002D449B">
            <w:pPr>
              <w:rPr>
                <w:kern w:val="2"/>
                <w:sz w:val="22"/>
                <w:szCs w:val="22"/>
                <w14:ligatures w14:val="standardContextual"/>
              </w:rPr>
            </w:pPr>
            <w:r>
              <w:rPr>
                <w:spacing w:val="-3"/>
                <w:kern w:val="2"/>
                <w:sz w:val="22"/>
                <w:szCs w:val="22"/>
                <w:lang w:val="pl-PL"/>
                <w14:ligatures w14:val="standardContextual"/>
              </w:rPr>
              <w:t>Ae% (%)</w:t>
            </w:r>
          </w:p>
        </w:tc>
        <w:tc>
          <w:tcPr>
            <w:tcW w:w="1307" w:type="dxa"/>
            <w:tcBorders>
              <w:top w:val="single" w:sz="4" w:space="0" w:color="auto"/>
              <w:left w:val="single" w:sz="4" w:space="0" w:color="auto"/>
              <w:bottom w:val="single" w:sz="4" w:space="0" w:color="auto"/>
              <w:right w:val="single" w:sz="4" w:space="0" w:color="auto"/>
            </w:tcBorders>
            <w:hideMark/>
          </w:tcPr>
          <w:p w14:paraId="52B1A735" w14:textId="77777777" w:rsidR="002D449B" w:rsidRDefault="002D449B">
            <w:pPr>
              <w:rPr>
                <w:kern w:val="2"/>
                <w:sz w:val="22"/>
                <w:szCs w:val="22"/>
                <w14:ligatures w14:val="standardContextual"/>
              </w:rPr>
            </w:pPr>
            <w:r>
              <w:rPr>
                <w:spacing w:val="-3"/>
                <w:kern w:val="2"/>
                <w:sz w:val="22"/>
                <w:szCs w:val="22"/>
                <w:lang w:val="pl-PL"/>
                <w14:ligatures w14:val="standardContextual"/>
              </w:rPr>
              <w:t>NA</w:t>
            </w:r>
          </w:p>
        </w:tc>
        <w:tc>
          <w:tcPr>
            <w:tcW w:w="1298" w:type="dxa"/>
            <w:tcBorders>
              <w:top w:val="single" w:sz="4" w:space="0" w:color="auto"/>
              <w:left w:val="single" w:sz="4" w:space="0" w:color="auto"/>
              <w:bottom w:val="single" w:sz="4" w:space="0" w:color="auto"/>
              <w:right w:val="single" w:sz="4" w:space="0" w:color="auto"/>
            </w:tcBorders>
            <w:hideMark/>
          </w:tcPr>
          <w:p w14:paraId="04687400" w14:textId="77777777" w:rsidR="002D449B" w:rsidRDefault="002D449B">
            <w:pPr>
              <w:rPr>
                <w:kern w:val="2"/>
                <w:sz w:val="22"/>
                <w:szCs w:val="22"/>
                <w14:ligatures w14:val="standardContextual"/>
              </w:rPr>
            </w:pPr>
            <w:r>
              <w:rPr>
                <w:spacing w:val="-3"/>
                <w:kern w:val="2"/>
                <w:sz w:val="22"/>
                <w:szCs w:val="22"/>
                <w:lang w:val="pl-PL"/>
                <w14:ligatures w14:val="standardContextual"/>
              </w:rPr>
              <w:t>NA</w:t>
            </w:r>
          </w:p>
        </w:tc>
        <w:tc>
          <w:tcPr>
            <w:tcW w:w="1308" w:type="dxa"/>
            <w:tcBorders>
              <w:top w:val="single" w:sz="4" w:space="0" w:color="auto"/>
              <w:left w:val="single" w:sz="4" w:space="0" w:color="auto"/>
              <w:bottom w:val="single" w:sz="4" w:space="0" w:color="auto"/>
              <w:right w:val="single" w:sz="4" w:space="0" w:color="auto"/>
            </w:tcBorders>
            <w:hideMark/>
          </w:tcPr>
          <w:p w14:paraId="3636CC03" w14:textId="77777777" w:rsidR="002D449B" w:rsidRDefault="002D449B">
            <w:pPr>
              <w:rPr>
                <w:kern w:val="2"/>
                <w:sz w:val="22"/>
                <w:szCs w:val="22"/>
                <w14:ligatures w14:val="standardContextual"/>
              </w:rPr>
            </w:pPr>
            <w:r>
              <w:rPr>
                <w:spacing w:val="-3"/>
                <w:kern w:val="2"/>
                <w:sz w:val="22"/>
                <w:szCs w:val="22"/>
                <w14:ligatures w14:val="standardContextual"/>
              </w:rPr>
              <w:t>47,2</w:t>
            </w:r>
          </w:p>
        </w:tc>
        <w:tc>
          <w:tcPr>
            <w:tcW w:w="1299" w:type="dxa"/>
            <w:tcBorders>
              <w:top w:val="single" w:sz="4" w:space="0" w:color="auto"/>
              <w:left w:val="single" w:sz="4" w:space="0" w:color="auto"/>
              <w:bottom w:val="single" w:sz="4" w:space="0" w:color="auto"/>
              <w:right w:val="single" w:sz="4" w:space="0" w:color="auto"/>
            </w:tcBorders>
            <w:hideMark/>
          </w:tcPr>
          <w:p w14:paraId="6F3D68C7" w14:textId="77777777" w:rsidR="002D449B" w:rsidRDefault="002D449B">
            <w:pPr>
              <w:rPr>
                <w:kern w:val="2"/>
                <w:sz w:val="22"/>
                <w:szCs w:val="22"/>
                <w14:ligatures w14:val="standardContextual"/>
              </w:rPr>
            </w:pPr>
            <w:r>
              <w:rPr>
                <w:spacing w:val="-3"/>
                <w:kern w:val="2"/>
                <w:sz w:val="22"/>
                <w:szCs w:val="22"/>
                <w14:ligatures w14:val="standardContextual"/>
              </w:rPr>
              <w:t>(25)</w:t>
            </w:r>
          </w:p>
        </w:tc>
        <w:tc>
          <w:tcPr>
            <w:tcW w:w="1309" w:type="dxa"/>
            <w:tcBorders>
              <w:top w:val="single" w:sz="4" w:space="0" w:color="auto"/>
              <w:left w:val="single" w:sz="4" w:space="0" w:color="auto"/>
              <w:bottom w:val="single" w:sz="4" w:space="0" w:color="auto"/>
              <w:right w:val="single" w:sz="4" w:space="0" w:color="auto"/>
            </w:tcBorders>
            <w:hideMark/>
          </w:tcPr>
          <w:p w14:paraId="21E98465" w14:textId="77777777" w:rsidR="002D449B" w:rsidRDefault="002D449B">
            <w:pPr>
              <w:rPr>
                <w:kern w:val="2"/>
                <w:sz w:val="22"/>
                <w:szCs w:val="22"/>
                <w14:ligatures w14:val="standardContextual"/>
              </w:rPr>
            </w:pPr>
            <w:r>
              <w:rPr>
                <w:spacing w:val="-3"/>
                <w:kern w:val="2"/>
                <w:sz w:val="22"/>
                <w:szCs w:val="22"/>
                <w14:ligatures w14:val="standardContextual"/>
              </w:rPr>
              <w:t>34,4</w:t>
            </w:r>
          </w:p>
        </w:tc>
        <w:tc>
          <w:tcPr>
            <w:tcW w:w="1299" w:type="dxa"/>
            <w:tcBorders>
              <w:top w:val="single" w:sz="4" w:space="0" w:color="auto"/>
              <w:left w:val="single" w:sz="4" w:space="0" w:color="auto"/>
              <w:bottom w:val="single" w:sz="4" w:space="0" w:color="auto"/>
              <w:right w:val="single" w:sz="4" w:space="0" w:color="auto"/>
            </w:tcBorders>
            <w:hideMark/>
          </w:tcPr>
          <w:p w14:paraId="1688D1F6" w14:textId="77777777" w:rsidR="002D449B" w:rsidRDefault="002D449B">
            <w:pPr>
              <w:rPr>
                <w:kern w:val="2"/>
                <w:sz w:val="22"/>
                <w:szCs w:val="22"/>
                <w14:ligatures w14:val="standardContextual"/>
              </w:rPr>
            </w:pPr>
            <w:r>
              <w:rPr>
                <w:spacing w:val="-3"/>
                <w:kern w:val="2"/>
                <w:sz w:val="22"/>
                <w:szCs w:val="22"/>
                <w14:ligatures w14:val="standardContextual"/>
              </w:rPr>
              <w:t>(37)</w:t>
            </w:r>
          </w:p>
        </w:tc>
      </w:tr>
      <w:tr w:rsidR="002D449B" w14:paraId="68596C4F" w14:textId="77777777" w:rsidTr="002D449B">
        <w:tc>
          <w:tcPr>
            <w:tcW w:w="9628" w:type="dxa"/>
            <w:gridSpan w:val="7"/>
            <w:tcBorders>
              <w:top w:val="single" w:sz="4" w:space="0" w:color="auto"/>
              <w:left w:val="single" w:sz="4" w:space="0" w:color="auto"/>
              <w:bottom w:val="single" w:sz="4" w:space="0" w:color="auto"/>
              <w:right w:val="single" w:sz="4" w:space="0" w:color="auto"/>
            </w:tcBorders>
            <w:hideMark/>
          </w:tcPr>
          <w:p w14:paraId="7E2D0C43" w14:textId="77777777" w:rsidR="002D449B" w:rsidRDefault="002D449B">
            <w:pPr>
              <w:rPr>
                <w:spacing w:val="-3"/>
                <w:kern w:val="2"/>
                <w:sz w:val="22"/>
                <w:szCs w:val="22"/>
                <w:lang w:val="fr-LU"/>
                <w14:ligatures w14:val="standardContextual"/>
              </w:rPr>
            </w:pPr>
            <w:r>
              <w:rPr>
                <w:spacing w:val="-3"/>
                <w:kern w:val="2"/>
                <w:sz w:val="22"/>
                <w:szCs w:val="22"/>
                <w:lang w:val="pt-BR"/>
                <w14:ligatures w14:val="standardContextual"/>
              </w:rPr>
              <w:t>C</w:t>
            </w:r>
            <w:r>
              <w:rPr>
                <w:spacing w:val="-3"/>
                <w:kern w:val="2"/>
                <w:sz w:val="22"/>
                <w:szCs w:val="22"/>
                <w:vertAlign w:val="subscript"/>
                <w:lang w:val="pt-BR"/>
                <w14:ligatures w14:val="standardContextual"/>
              </w:rPr>
              <w:t>max</w:t>
            </w:r>
            <w:r>
              <w:rPr>
                <w:spacing w:val="-3"/>
                <w:kern w:val="2"/>
                <w:sz w:val="22"/>
                <w:szCs w:val="22"/>
                <w14:ligatures w14:val="standardContextual"/>
              </w:rPr>
              <w:t xml:space="preserve"> = Maksimalt </w:t>
            </w:r>
            <w:r>
              <w:rPr>
                <w:i/>
                <w:spacing w:val="-3"/>
                <w:kern w:val="2"/>
                <w:sz w:val="22"/>
                <w:szCs w:val="22"/>
                <w14:ligatures w14:val="standardContextual"/>
              </w:rPr>
              <w:t>steady-state</w:t>
            </w:r>
            <w:r>
              <w:rPr>
                <w:spacing w:val="-3"/>
                <w:kern w:val="2"/>
                <w:sz w:val="22"/>
                <w:szCs w:val="22"/>
                <w14:ligatures w14:val="standardContextual"/>
              </w:rPr>
              <w:t xml:space="preserve"> plasmakoncentration </w:t>
            </w:r>
          </w:p>
          <w:p w14:paraId="213C5B88" w14:textId="77777777" w:rsidR="002D449B" w:rsidRDefault="002D449B">
            <w:pPr>
              <w:rPr>
                <w:spacing w:val="-3"/>
                <w:kern w:val="2"/>
                <w:sz w:val="22"/>
                <w:szCs w:val="22"/>
                <w:vertAlign w:val="subscript"/>
                <w:lang w:val="pt-BR"/>
                <w14:ligatures w14:val="standardContextual"/>
              </w:rPr>
            </w:pPr>
            <w:r>
              <w:rPr>
                <w:spacing w:val="-3"/>
                <w:kern w:val="2"/>
                <w:sz w:val="22"/>
                <w:szCs w:val="22"/>
                <w14:ligatures w14:val="standardContextual"/>
              </w:rPr>
              <w:t>t</w:t>
            </w:r>
            <w:r>
              <w:rPr>
                <w:spacing w:val="-3"/>
                <w:kern w:val="2"/>
                <w:sz w:val="22"/>
                <w:szCs w:val="22"/>
                <w:vertAlign w:val="subscript"/>
                <w14:ligatures w14:val="standardContextual"/>
              </w:rPr>
              <w:t>max</w:t>
            </w:r>
            <w:r>
              <w:rPr>
                <w:spacing w:val="-3"/>
                <w:kern w:val="2"/>
                <w:sz w:val="22"/>
                <w:szCs w:val="22"/>
                <w14:ligatures w14:val="standardContextual"/>
              </w:rPr>
              <w:t xml:space="preserve"> = Tid for </w:t>
            </w:r>
            <w:r>
              <w:rPr>
                <w:spacing w:val="-3"/>
                <w:kern w:val="2"/>
                <w:sz w:val="22"/>
                <w:szCs w:val="22"/>
                <w:lang w:val="pt-BR"/>
                <w14:ligatures w14:val="standardContextual"/>
              </w:rPr>
              <w:t>C</w:t>
            </w:r>
            <w:r>
              <w:rPr>
                <w:spacing w:val="-3"/>
                <w:kern w:val="2"/>
                <w:sz w:val="22"/>
                <w:szCs w:val="22"/>
                <w:vertAlign w:val="subscript"/>
                <w:lang w:val="pt-BR"/>
                <w14:ligatures w14:val="standardContextual"/>
              </w:rPr>
              <w:t>max</w:t>
            </w:r>
          </w:p>
          <w:p w14:paraId="2390272E" w14:textId="77777777" w:rsidR="002D449B" w:rsidRDefault="002D449B">
            <w:pPr>
              <w:rPr>
                <w:spacing w:val="-3"/>
                <w:kern w:val="2"/>
                <w:sz w:val="22"/>
                <w:szCs w:val="22"/>
                <w:lang w:val="fr-LU"/>
                <w14:ligatures w14:val="standardContextual"/>
              </w:rPr>
            </w:pPr>
            <w:r>
              <w:rPr>
                <w:spacing w:val="-3"/>
                <w:kern w:val="2"/>
                <w:sz w:val="22"/>
                <w:szCs w:val="22"/>
                <w14:ligatures w14:val="standardContextual"/>
              </w:rPr>
              <w:t>T½ = Eliminationshalveringstid</w:t>
            </w:r>
          </w:p>
          <w:p w14:paraId="6C3BE115" w14:textId="77777777" w:rsidR="002D449B" w:rsidRDefault="002D449B">
            <w:pPr>
              <w:rPr>
                <w:spacing w:val="-3"/>
                <w:kern w:val="2"/>
                <w:sz w:val="22"/>
                <w:szCs w:val="22"/>
                <w14:ligatures w14:val="standardContextual"/>
              </w:rPr>
            </w:pPr>
            <w:r>
              <w:rPr>
                <w:spacing w:val="-3"/>
                <w:kern w:val="2"/>
                <w:sz w:val="22"/>
                <w:szCs w:val="22"/>
                <w14:ligatures w14:val="standardContextual"/>
              </w:rPr>
              <w:t xml:space="preserve">AUC(0-8) = </w:t>
            </w:r>
            <w:r>
              <w:rPr>
                <w:i/>
                <w:spacing w:val="-3"/>
                <w:kern w:val="2"/>
                <w:sz w:val="22"/>
                <w:szCs w:val="22"/>
                <w14:ligatures w14:val="standardContextual"/>
              </w:rPr>
              <w:t>Steady-state</w:t>
            </w:r>
            <w:r>
              <w:rPr>
                <w:spacing w:val="-3"/>
                <w:kern w:val="2"/>
                <w:sz w:val="22"/>
                <w:szCs w:val="22"/>
                <w14:ligatures w14:val="standardContextual"/>
              </w:rPr>
              <w:t xml:space="preserve"> arealet under plasmakoncentrations-tidskurven fra tid 0-8 timer efter indgift af dosis</w:t>
            </w:r>
          </w:p>
          <w:p w14:paraId="5036C682" w14:textId="77777777" w:rsidR="002D449B" w:rsidRDefault="002D449B">
            <w:pPr>
              <w:rPr>
                <w:spacing w:val="-3"/>
                <w:kern w:val="2"/>
                <w:sz w:val="22"/>
                <w:szCs w:val="22"/>
                <w14:ligatures w14:val="standardContextual"/>
              </w:rPr>
            </w:pPr>
            <w:r>
              <w:rPr>
                <w:spacing w:val="-3"/>
                <w:kern w:val="2"/>
                <w:sz w:val="22"/>
                <w:szCs w:val="22"/>
                <w14:ligatures w14:val="standardContextual"/>
              </w:rPr>
              <w:t>Ae% = Procent af dosis udskilt uforandret i urinen fra tid 0-8 timer efter dosis</w:t>
            </w:r>
          </w:p>
          <w:p w14:paraId="606A4802" w14:textId="77777777" w:rsidR="002D449B" w:rsidRDefault="002D449B">
            <w:pPr>
              <w:tabs>
                <w:tab w:val="left" w:pos="2224"/>
              </w:tabs>
              <w:rPr>
                <w:kern w:val="2"/>
                <w:sz w:val="22"/>
                <w:szCs w:val="22"/>
                <w14:ligatures w14:val="standardContextual"/>
              </w:rPr>
            </w:pPr>
            <w:r>
              <w:rPr>
                <w:spacing w:val="-3"/>
                <w:kern w:val="2"/>
                <w:sz w:val="22"/>
                <w:szCs w:val="22"/>
                <w14:ligatures w14:val="standardContextual"/>
              </w:rPr>
              <w:t>NA = Ikke tilgængelig</w:t>
            </w:r>
          </w:p>
        </w:tc>
      </w:tr>
    </w:tbl>
    <w:p w14:paraId="499D0F01" w14:textId="77777777" w:rsidR="002D449B" w:rsidRPr="002D449B" w:rsidRDefault="002D449B" w:rsidP="002D449B">
      <w:pPr>
        <w:rPr>
          <w:sz w:val="24"/>
          <w:szCs w:val="24"/>
          <w:u w:val="single"/>
          <w:lang w:eastAsia="fr-LU"/>
        </w:rPr>
      </w:pPr>
    </w:p>
    <w:p w14:paraId="29558051" w14:textId="77777777" w:rsidR="002D449B" w:rsidRPr="002D449B" w:rsidRDefault="002D449B" w:rsidP="002D449B">
      <w:pPr>
        <w:ind w:left="851"/>
        <w:rPr>
          <w:noProof/>
          <w:sz w:val="24"/>
          <w:szCs w:val="24"/>
          <w:u w:val="single"/>
        </w:rPr>
      </w:pPr>
      <w:r w:rsidRPr="002D449B">
        <w:rPr>
          <w:noProof/>
          <w:sz w:val="24"/>
          <w:szCs w:val="24"/>
          <w:u w:val="single"/>
        </w:rPr>
        <w:t>Fordeling</w:t>
      </w:r>
    </w:p>
    <w:p w14:paraId="50286CEE" w14:textId="77777777" w:rsidR="002D449B" w:rsidRPr="002D449B" w:rsidRDefault="002D449B" w:rsidP="002D449B">
      <w:pPr>
        <w:ind w:left="851"/>
        <w:rPr>
          <w:sz w:val="24"/>
          <w:szCs w:val="24"/>
        </w:rPr>
      </w:pPr>
      <w:r w:rsidRPr="002D449B">
        <w:rPr>
          <w:noProof/>
          <w:sz w:val="24"/>
          <w:szCs w:val="24"/>
        </w:rPr>
        <w:t xml:space="preserve">Gabapentin bindes ikke til plasmaproteiner, og har et fordelingsvolumen på 57,7 liter. Hos patienter med epilepsi er gabapentinkoncentrationen i cerebrospinalvæsken ca. 20% af den tilsvarende laveste plasmakoncentration ved </w:t>
      </w:r>
      <w:r w:rsidRPr="002D449B">
        <w:rPr>
          <w:i/>
          <w:noProof/>
          <w:sz w:val="24"/>
          <w:szCs w:val="24"/>
        </w:rPr>
        <w:t>steady-state</w:t>
      </w:r>
      <w:r w:rsidRPr="002D449B">
        <w:rPr>
          <w:noProof/>
          <w:sz w:val="24"/>
          <w:szCs w:val="24"/>
        </w:rPr>
        <w:t>. Gabapentin findes i modermælk hos ammende kvinder.</w:t>
      </w:r>
    </w:p>
    <w:p w14:paraId="39E7C792" w14:textId="77777777" w:rsidR="002D449B" w:rsidRPr="002D449B" w:rsidRDefault="002D449B" w:rsidP="002D449B">
      <w:pPr>
        <w:ind w:left="851"/>
        <w:rPr>
          <w:sz w:val="24"/>
          <w:szCs w:val="24"/>
          <w:u w:val="single"/>
        </w:rPr>
      </w:pPr>
    </w:p>
    <w:p w14:paraId="0BDFEF1A" w14:textId="77777777" w:rsidR="002D449B" w:rsidRPr="002D449B" w:rsidRDefault="002D449B" w:rsidP="002D449B">
      <w:pPr>
        <w:ind w:left="851"/>
        <w:rPr>
          <w:sz w:val="24"/>
          <w:szCs w:val="24"/>
          <w:u w:val="single"/>
        </w:rPr>
      </w:pPr>
      <w:r w:rsidRPr="002D449B">
        <w:rPr>
          <w:sz w:val="24"/>
          <w:szCs w:val="24"/>
          <w:u w:val="single"/>
        </w:rPr>
        <w:t>Biotransformation</w:t>
      </w:r>
    </w:p>
    <w:p w14:paraId="28E481BA" w14:textId="77777777" w:rsidR="002D449B" w:rsidRPr="002D449B" w:rsidRDefault="002D449B" w:rsidP="002D449B">
      <w:pPr>
        <w:ind w:left="851"/>
        <w:rPr>
          <w:sz w:val="24"/>
          <w:szCs w:val="24"/>
        </w:rPr>
      </w:pPr>
      <w:r w:rsidRPr="002D449B">
        <w:rPr>
          <w:sz w:val="24"/>
          <w:szCs w:val="24"/>
        </w:rPr>
        <w:t xml:space="preserve">Der er ingen evidens for metabolisk omsætning hos mennesker. Gabapentin inducerer ikke </w:t>
      </w:r>
      <w:r w:rsidRPr="002D449B">
        <w:rPr>
          <w:i/>
          <w:sz w:val="24"/>
          <w:szCs w:val="24"/>
        </w:rPr>
        <w:t>hepatic mixed function</w:t>
      </w:r>
      <w:r w:rsidRPr="002D449B">
        <w:rPr>
          <w:sz w:val="24"/>
          <w:szCs w:val="24"/>
        </w:rPr>
        <w:t xml:space="preserve"> oxidase-enzymer ansvarlig for lægemiddelmetabolisme.</w:t>
      </w:r>
    </w:p>
    <w:p w14:paraId="615188C5" w14:textId="77777777" w:rsidR="002D449B" w:rsidRPr="002D449B" w:rsidRDefault="002D449B" w:rsidP="002D449B">
      <w:pPr>
        <w:ind w:left="851"/>
        <w:rPr>
          <w:sz w:val="24"/>
          <w:szCs w:val="24"/>
          <w:u w:val="single"/>
        </w:rPr>
      </w:pPr>
    </w:p>
    <w:p w14:paraId="0FF8E35B" w14:textId="77777777" w:rsidR="002D449B" w:rsidRPr="002D449B" w:rsidRDefault="002D449B" w:rsidP="002D449B">
      <w:pPr>
        <w:ind w:left="851"/>
        <w:rPr>
          <w:sz w:val="24"/>
          <w:szCs w:val="24"/>
          <w:u w:val="single"/>
        </w:rPr>
      </w:pPr>
      <w:r w:rsidRPr="002D449B">
        <w:rPr>
          <w:sz w:val="24"/>
          <w:szCs w:val="24"/>
          <w:u w:val="single"/>
        </w:rPr>
        <w:lastRenderedPageBreak/>
        <w:t>Elimination</w:t>
      </w:r>
    </w:p>
    <w:p w14:paraId="5A36E237" w14:textId="77777777" w:rsidR="002D449B" w:rsidRPr="002D449B" w:rsidRDefault="002D449B" w:rsidP="002D449B">
      <w:pPr>
        <w:ind w:left="851"/>
        <w:rPr>
          <w:sz w:val="24"/>
          <w:szCs w:val="24"/>
        </w:rPr>
      </w:pPr>
      <w:r w:rsidRPr="002D449B">
        <w:rPr>
          <w:sz w:val="24"/>
          <w:szCs w:val="24"/>
        </w:rPr>
        <w:t>Gabapentin udskilles udelukkende uomdannet gennem nyrerne. Gabapentins halveringstid er dosisuafhængig og er gennemsnitlig 5 til 7 timer.</w:t>
      </w:r>
    </w:p>
    <w:p w14:paraId="06912EC0" w14:textId="77777777" w:rsidR="002D449B" w:rsidRPr="002D449B" w:rsidRDefault="002D449B" w:rsidP="002D449B">
      <w:pPr>
        <w:ind w:left="851"/>
        <w:rPr>
          <w:sz w:val="24"/>
          <w:szCs w:val="24"/>
        </w:rPr>
      </w:pPr>
    </w:p>
    <w:p w14:paraId="0ABB3C44" w14:textId="77777777" w:rsidR="002D449B" w:rsidRPr="002D449B" w:rsidRDefault="002D449B" w:rsidP="002D449B">
      <w:pPr>
        <w:ind w:left="851"/>
        <w:rPr>
          <w:sz w:val="24"/>
          <w:szCs w:val="24"/>
        </w:rPr>
      </w:pPr>
      <w:r w:rsidRPr="002D449B">
        <w:rPr>
          <w:sz w:val="24"/>
          <w:szCs w:val="24"/>
        </w:rPr>
        <w:t>Hos ældre patienter samt patienter med nedsat nyrefunktion er gabapentins plasmaclearance nedsat. Gabapentins eliminationshastighedskonstant, plasmaclearance og renal clearance er direkte proportionel med kreatininclearance.</w:t>
      </w:r>
    </w:p>
    <w:p w14:paraId="4C03BF3D" w14:textId="77777777" w:rsidR="002D449B" w:rsidRPr="002D449B" w:rsidRDefault="002D449B" w:rsidP="002D449B">
      <w:pPr>
        <w:ind w:left="851"/>
        <w:rPr>
          <w:sz w:val="24"/>
          <w:szCs w:val="24"/>
        </w:rPr>
      </w:pPr>
    </w:p>
    <w:p w14:paraId="46CC6C63" w14:textId="77777777" w:rsidR="002D449B" w:rsidRPr="002D449B" w:rsidRDefault="002D449B" w:rsidP="002D449B">
      <w:pPr>
        <w:ind w:left="851"/>
        <w:rPr>
          <w:sz w:val="24"/>
          <w:szCs w:val="24"/>
        </w:rPr>
      </w:pPr>
      <w:r w:rsidRPr="002D449B">
        <w:rPr>
          <w:sz w:val="24"/>
          <w:szCs w:val="24"/>
        </w:rPr>
        <w:t>Gabapentin fjernes fra plasma ved hæmodialyse. Dosisjustering anbefales hos patienter med nedsat nyrefunktion eller hos patienter i behandling med hæmodialyse (se pkt. 4.2).</w:t>
      </w:r>
    </w:p>
    <w:p w14:paraId="2B66FB04" w14:textId="77777777" w:rsidR="002D449B" w:rsidRPr="002D449B" w:rsidRDefault="002D449B" w:rsidP="002D449B">
      <w:pPr>
        <w:ind w:left="851"/>
        <w:rPr>
          <w:sz w:val="24"/>
          <w:szCs w:val="24"/>
        </w:rPr>
      </w:pPr>
    </w:p>
    <w:p w14:paraId="28B89542" w14:textId="77777777" w:rsidR="002D449B" w:rsidRPr="002D449B" w:rsidRDefault="002D449B" w:rsidP="002D449B">
      <w:pPr>
        <w:ind w:left="851"/>
        <w:rPr>
          <w:sz w:val="24"/>
          <w:szCs w:val="24"/>
        </w:rPr>
      </w:pPr>
      <w:r w:rsidRPr="002D449B">
        <w:rPr>
          <w:sz w:val="24"/>
          <w:szCs w:val="24"/>
        </w:rPr>
        <w:t>Gabapentins farmakokinetik hos børn er fastsat hos 50 raske forsøgspersoner i alderen 1 måned til 12 år. Gabapentins plasmakoncentration hos børn &gt;5 år er den samme som hos voksne, når dosis er beregnet i mg/kg. I et farmakokinetisk studie med 24 raske børn i alderen 1 til 48 måneder, blev der set en ca.</w:t>
      </w:r>
    </w:p>
    <w:p w14:paraId="4C42BF6C" w14:textId="77777777" w:rsidR="002D449B" w:rsidRPr="002D449B" w:rsidRDefault="002D449B" w:rsidP="002D449B">
      <w:pPr>
        <w:ind w:left="851"/>
        <w:rPr>
          <w:sz w:val="24"/>
          <w:szCs w:val="24"/>
        </w:rPr>
      </w:pPr>
      <w:r w:rsidRPr="002D449B">
        <w:rPr>
          <w:sz w:val="24"/>
          <w:szCs w:val="24"/>
        </w:rPr>
        <w:t>30 % lavere eksponering (AUC), en lavere C</w:t>
      </w:r>
      <w:r w:rsidRPr="002D449B">
        <w:rPr>
          <w:sz w:val="24"/>
          <w:szCs w:val="24"/>
          <w:vertAlign w:val="subscript"/>
        </w:rPr>
        <w:t>max</w:t>
      </w:r>
      <w:r w:rsidRPr="002D449B">
        <w:rPr>
          <w:sz w:val="24"/>
          <w:szCs w:val="24"/>
        </w:rPr>
        <w:t xml:space="preserve"> og en højere clearance pr. kg legemsvægt sammenlignet med tilgængelige rapporterede data for børn over 5 år.</w:t>
      </w:r>
    </w:p>
    <w:p w14:paraId="37B65FC9" w14:textId="77777777" w:rsidR="002D449B" w:rsidRPr="002D449B" w:rsidRDefault="002D449B" w:rsidP="002D449B">
      <w:pPr>
        <w:ind w:left="851"/>
        <w:rPr>
          <w:sz w:val="24"/>
          <w:szCs w:val="24"/>
          <w:u w:val="single"/>
        </w:rPr>
      </w:pPr>
    </w:p>
    <w:p w14:paraId="6A857BC8" w14:textId="77777777" w:rsidR="002D449B" w:rsidRPr="002D449B" w:rsidRDefault="002D449B" w:rsidP="002D449B">
      <w:pPr>
        <w:ind w:left="851"/>
        <w:rPr>
          <w:sz w:val="24"/>
          <w:szCs w:val="24"/>
          <w:u w:val="single"/>
        </w:rPr>
      </w:pPr>
      <w:r w:rsidRPr="002D449B">
        <w:rPr>
          <w:sz w:val="24"/>
          <w:szCs w:val="24"/>
          <w:u w:val="single"/>
        </w:rPr>
        <w:t>Linearitet/non-linearitet</w:t>
      </w:r>
    </w:p>
    <w:p w14:paraId="1DEA98BA" w14:textId="77777777" w:rsidR="002D449B" w:rsidRPr="002D449B" w:rsidRDefault="002D449B" w:rsidP="002D449B">
      <w:pPr>
        <w:ind w:left="851"/>
        <w:rPr>
          <w:sz w:val="24"/>
          <w:szCs w:val="24"/>
        </w:rPr>
      </w:pPr>
      <w:r w:rsidRPr="002D449B">
        <w:rPr>
          <w:sz w:val="24"/>
          <w:szCs w:val="24"/>
        </w:rPr>
        <w:t xml:space="preserve">Gabapentins biotilgængelighed (fraktion af absorberet dosis) falder, når dosis stiger, hvilket overfører non-linearitet til farmakokinetiske parametre, som omfatter biotilgængeligheds-parameter (F), som f.eks. Ae%, CL/F, Vd/F. Eliminationsfarmakokinetik (farmakokinetiske parametre, som ikke omfatter F, som f.eks. CLr og T½) beskrives bedst ved lineær farmakokinetik. Gabapentins </w:t>
      </w:r>
      <w:r w:rsidRPr="002D449B">
        <w:rPr>
          <w:i/>
          <w:sz w:val="24"/>
          <w:szCs w:val="24"/>
        </w:rPr>
        <w:t>steady-state</w:t>
      </w:r>
      <w:r w:rsidRPr="002D449B">
        <w:rPr>
          <w:sz w:val="24"/>
          <w:szCs w:val="24"/>
        </w:rPr>
        <w:t xml:space="preserve"> plasmakoncentrationer kan forudsiges ud fra en enkeltdosis.</w:t>
      </w:r>
    </w:p>
    <w:p w14:paraId="554300CB" w14:textId="77777777" w:rsidR="009260DE" w:rsidRPr="002D449B" w:rsidRDefault="009260DE" w:rsidP="002D449B">
      <w:pPr>
        <w:tabs>
          <w:tab w:val="left" w:pos="851"/>
        </w:tabs>
        <w:ind w:left="851"/>
        <w:rPr>
          <w:sz w:val="24"/>
          <w:szCs w:val="24"/>
        </w:rPr>
      </w:pPr>
    </w:p>
    <w:p w14:paraId="06823EEC"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0B49EFEA" w14:textId="77777777" w:rsidR="0020341F" w:rsidRDefault="0020341F" w:rsidP="0020341F">
      <w:pPr>
        <w:tabs>
          <w:tab w:val="left" w:pos="851"/>
        </w:tabs>
        <w:ind w:left="851"/>
        <w:rPr>
          <w:sz w:val="24"/>
          <w:szCs w:val="24"/>
          <w:u w:val="single"/>
        </w:rPr>
      </w:pPr>
    </w:p>
    <w:p w14:paraId="42338A99" w14:textId="099098FE" w:rsidR="0020341F" w:rsidRPr="0020341F" w:rsidRDefault="0020341F" w:rsidP="0020341F">
      <w:pPr>
        <w:tabs>
          <w:tab w:val="left" w:pos="851"/>
        </w:tabs>
        <w:ind w:left="851"/>
        <w:rPr>
          <w:sz w:val="24"/>
          <w:szCs w:val="24"/>
          <w:u w:val="single"/>
        </w:rPr>
      </w:pPr>
      <w:r w:rsidRPr="0020341F">
        <w:rPr>
          <w:sz w:val="24"/>
          <w:szCs w:val="24"/>
          <w:u w:val="single"/>
        </w:rPr>
        <w:t>Karcinogenicitet</w:t>
      </w:r>
    </w:p>
    <w:p w14:paraId="4E58E85F" w14:textId="77777777" w:rsidR="0020341F" w:rsidRPr="0020341F" w:rsidRDefault="0020341F" w:rsidP="0020341F">
      <w:pPr>
        <w:tabs>
          <w:tab w:val="left" w:pos="851"/>
        </w:tabs>
        <w:ind w:left="851"/>
        <w:rPr>
          <w:sz w:val="24"/>
          <w:szCs w:val="24"/>
        </w:rPr>
      </w:pPr>
      <w:r w:rsidRPr="0020341F">
        <w:rPr>
          <w:sz w:val="24"/>
          <w:szCs w:val="24"/>
        </w:rPr>
        <w:t>Gabapentin blev givet i foderet til mus i doser på 200, 600 og 2000 mg/kg/dag og til rotter i doser på 250, 1000 og 2000 mg/kg/dag i 2 år. Hos hanrotter, der fik den højeste dosis, fandt man en statistisk signifikant stigning i forekomsten af acinære celletumorer i pankreas. Hos rotter, der fik 2000 mg/kg/dag, var den maksimale plasmakoncentration 10 gange højere end plasmakoncentrationen hos mennesker, der fik 3600 mg/dag. Acinære celletumorer i pankreas hos hanrotter har en lav malignitetsgrad, har ingen indflydelse på overlevelsestiden, metastaserer ikke, eller angriber ikke det omgivende væv og er sammenlignelig med tilsvarende tumorer, som er fundet hos kontrolgruppen. Det er uklart om disse acinære celletumorer i pankreas hos hanrotter har relevans for den karcinogene risiko hos mennesker.</w:t>
      </w:r>
    </w:p>
    <w:p w14:paraId="43D767B8" w14:textId="77777777" w:rsidR="0020341F" w:rsidRPr="0020341F" w:rsidRDefault="0020341F" w:rsidP="0020341F">
      <w:pPr>
        <w:tabs>
          <w:tab w:val="left" w:pos="851"/>
        </w:tabs>
        <w:ind w:left="851"/>
        <w:rPr>
          <w:sz w:val="24"/>
          <w:szCs w:val="24"/>
        </w:rPr>
      </w:pPr>
    </w:p>
    <w:p w14:paraId="39B2C434" w14:textId="77777777" w:rsidR="0020341F" w:rsidRPr="0020341F" w:rsidRDefault="0020341F" w:rsidP="0020341F">
      <w:pPr>
        <w:tabs>
          <w:tab w:val="left" w:pos="851"/>
        </w:tabs>
        <w:ind w:left="851"/>
        <w:rPr>
          <w:sz w:val="24"/>
          <w:szCs w:val="24"/>
          <w:u w:val="single"/>
        </w:rPr>
      </w:pPr>
      <w:r w:rsidRPr="0020341F">
        <w:rPr>
          <w:sz w:val="24"/>
          <w:szCs w:val="24"/>
          <w:u w:val="single"/>
        </w:rPr>
        <w:t>Mutagenicitet</w:t>
      </w:r>
    </w:p>
    <w:p w14:paraId="1A1DC7E0" w14:textId="77777777" w:rsidR="0020341F" w:rsidRPr="0020341F" w:rsidRDefault="0020341F" w:rsidP="0020341F">
      <w:pPr>
        <w:tabs>
          <w:tab w:val="left" w:pos="851"/>
        </w:tabs>
        <w:ind w:left="851"/>
        <w:rPr>
          <w:sz w:val="24"/>
          <w:szCs w:val="24"/>
        </w:rPr>
      </w:pPr>
      <w:r w:rsidRPr="0020341F">
        <w:rPr>
          <w:sz w:val="24"/>
          <w:szCs w:val="24"/>
        </w:rPr>
        <w:t xml:space="preserve">Gabapentin viser ikke genotoksisk potentiale. Det er ikke mutagent </w:t>
      </w:r>
      <w:r w:rsidRPr="0020341F">
        <w:rPr>
          <w:i/>
          <w:iCs/>
          <w:sz w:val="24"/>
          <w:szCs w:val="24"/>
        </w:rPr>
        <w:t>in vitro</w:t>
      </w:r>
      <w:r w:rsidRPr="0020341F">
        <w:rPr>
          <w:sz w:val="24"/>
          <w:szCs w:val="24"/>
        </w:rPr>
        <w:t xml:space="preserve"> ved standardanalyser med bakterie- eller pattedyrsceller. Gabapentin har ikke fremkaldt strukturelle kromosom-abberationer i pattedyrsceller </w:t>
      </w:r>
      <w:r w:rsidRPr="0020341F">
        <w:rPr>
          <w:i/>
          <w:iCs/>
          <w:sz w:val="24"/>
          <w:szCs w:val="24"/>
        </w:rPr>
        <w:t>in vitro</w:t>
      </w:r>
      <w:r w:rsidRPr="0020341F">
        <w:rPr>
          <w:sz w:val="24"/>
          <w:szCs w:val="24"/>
        </w:rPr>
        <w:t xml:space="preserve"> eller</w:t>
      </w:r>
      <w:r w:rsidRPr="0020341F">
        <w:rPr>
          <w:i/>
          <w:iCs/>
          <w:sz w:val="24"/>
          <w:szCs w:val="24"/>
        </w:rPr>
        <w:t xml:space="preserve"> in vivo</w:t>
      </w:r>
      <w:r w:rsidRPr="0020341F">
        <w:rPr>
          <w:sz w:val="24"/>
          <w:szCs w:val="24"/>
        </w:rPr>
        <w:t xml:space="preserve"> og har ikke fremkaldt mikronucleusdannelse i knoglemarven hos hamstere.</w:t>
      </w:r>
    </w:p>
    <w:p w14:paraId="03898CB5" w14:textId="77777777" w:rsidR="0020341F" w:rsidRPr="0020341F" w:rsidRDefault="0020341F" w:rsidP="0020341F">
      <w:pPr>
        <w:tabs>
          <w:tab w:val="left" w:pos="851"/>
        </w:tabs>
        <w:ind w:left="851"/>
        <w:rPr>
          <w:sz w:val="24"/>
          <w:szCs w:val="24"/>
        </w:rPr>
      </w:pPr>
    </w:p>
    <w:p w14:paraId="4EE7B54C" w14:textId="77777777" w:rsidR="0020341F" w:rsidRPr="0020341F" w:rsidRDefault="0020341F" w:rsidP="0020341F">
      <w:pPr>
        <w:tabs>
          <w:tab w:val="left" w:pos="851"/>
        </w:tabs>
        <w:ind w:left="851"/>
        <w:rPr>
          <w:sz w:val="24"/>
          <w:szCs w:val="24"/>
          <w:u w:val="single"/>
        </w:rPr>
      </w:pPr>
      <w:r w:rsidRPr="0020341F">
        <w:rPr>
          <w:sz w:val="24"/>
          <w:szCs w:val="24"/>
          <w:u w:val="single"/>
        </w:rPr>
        <w:t xml:space="preserve">Forringelse af fertilitet </w:t>
      </w:r>
    </w:p>
    <w:p w14:paraId="2A2311A2" w14:textId="77777777" w:rsidR="0020341F" w:rsidRPr="0020341F" w:rsidRDefault="0020341F" w:rsidP="0020341F">
      <w:pPr>
        <w:tabs>
          <w:tab w:val="left" w:pos="851"/>
        </w:tabs>
        <w:ind w:left="851"/>
        <w:rPr>
          <w:sz w:val="24"/>
          <w:szCs w:val="24"/>
        </w:rPr>
      </w:pPr>
      <w:r w:rsidRPr="0020341F">
        <w:rPr>
          <w:sz w:val="24"/>
          <w:szCs w:val="24"/>
        </w:rPr>
        <w:t>Der er ikke set påvirkning af fertilitet eller reproduktion hos rotter ved doser op til 2000 mg/kg (ca. 5 gange den maksimale daglige dosis til mennesker omregnet til mg/m</w:t>
      </w:r>
      <w:r w:rsidRPr="0020341F">
        <w:rPr>
          <w:sz w:val="24"/>
          <w:szCs w:val="24"/>
          <w:vertAlign w:val="superscript"/>
        </w:rPr>
        <w:t>2</w:t>
      </w:r>
      <w:r w:rsidRPr="0020341F">
        <w:rPr>
          <w:sz w:val="24"/>
          <w:szCs w:val="24"/>
        </w:rPr>
        <w:t xml:space="preserve"> på basis af kroppens overfladeareal).</w:t>
      </w:r>
    </w:p>
    <w:p w14:paraId="1E683258" w14:textId="77777777" w:rsidR="0020341F" w:rsidRPr="0020341F" w:rsidRDefault="0020341F" w:rsidP="0020341F">
      <w:pPr>
        <w:tabs>
          <w:tab w:val="left" w:pos="851"/>
        </w:tabs>
        <w:ind w:left="851"/>
        <w:rPr>
          <w:sz w:val="24"/>
          <w:szCs w:val="24"/>
        </w:rPr>
      </w:pPr>
    </w:p>
    <w:p w14:paraId="1E60202E" w14:textId="77777777" w:rsidR="0020341F" w:rsidRPr="0020341F" w:rsidRDefault="0020341F" w:rsidP="0020341F">
      <w:pPr>
        <w:tabs>
          <w:tab w:val="left" w:pos="851"/>
        </w:tabs>
        <w:ind w:left="851"/>
        <w:rPr>
          <w:sz w:val="24"/>
          <w:szCs w:val="24"/>
          <w:u w:val="single"/>
        </w:rPr>
      </w:pPr>
      <w:r w:rsidRPr="0020341F">
        <w:rPr>
          <w:sz w:val="24"/>
          <w:szCs w:val="24"/>
          <w:u w:val="single"/>
        </w:rPr>
        <w:lastRenderedPageBreak/>
        <w:t>Teratogenicitet</w:t>
      </w:r>
    </w:p>
    <w:p w14:paraId="68BF3FC1" w14:textId="77777777" w:rsidR="0020341F" w:rsidRPr="0020341F" w:rsidRDefault="0020341F" w:rsidP="0020341F">
      <w:pPr>
        <w:tabs>
          <w:tab w:val="left" w:pos="851"/>
        </w:tabs>
        <w:ind w:left="851"/>
        <w:rPr>
          <w:sz w:val="24"/>
          <w:szCs w:val="24"/>
        </w:rPr>
      </w:pPr>
      <w:r w:rsidRPr="0020341F">
        <w:rPr>
          <w:sz w:val="24"/>
          <w:szCs w:val="24"/>
        </w:rPr>
        <w:t xml:space="preserve">Gabapentin øger ikke forekomsten af misdannelser, sammenlignet med kontrolgruppen, hos afkom af mus, rotter eller kaniner ved doser op til henholdsvis 50, 30 og 25 gange den daglige dosis til mennesker på 3600 mg (henholdsvis 4, 5 og 8 </w:t>
      </w:r>
      <w:r w:rsidRPr="0020341F">
        <w:rPr>
          <w:sz w:val="24"/>
          <w:szCs w:val="24"/>
          <w:lang w:val="fr-LU"/>
        </w:rPr>
        <w:t>gange den humane daglige dosis på basis af mg/m</w:t>
      </w:r>
      <w:r w:rsidRPr="0020341F">
        <w:rPr>
          <w:sz w:val="24"/>
          <w:szCs w:val="24"/>
          <w:vertAlign w:val="superscript"/>
          <w:lang w:val="fr-LU"/>
        </w:rPr>
        <w:t>2</w:t>
      </w:r>
      <w:r w:rsidRPr="0020341F">
        <w:rPr>
          <w:sz w:val="24"/>
          <w:szCs w:val="24"/>
        </w:rPr>
        <w:t>).</w:t>
      </w:r>
    </w:p>
    <w:p w14:paraId="0BFDAE0D" w14:textId="77777777" w:rsidR="0020341F" w:rsidRPr="0020341F" w:rsidRDefault="0020341F" w:rsidP="0020341F">
      <w:pPr>
        <w:tabs>
          <w:tab w:val="left" w:pos="851"/>
        </w:tabs>
        <w:ind w:left="851"/>
        <w:rPr>
          <w:sz w:val="24"/>
          <w:szCs w:val="24"/>
        </w:rPr>
      </w:pPr>
    </w:p>
    <w:p w14:paraId="1E0AE185" w14:textId="77777777" w:rsidR="0020341F" w:rsidRPr="0020341F" w:rsidRDefault="0020341F" w:rsidP="0020341F">
      <w:pPr>
        <w:tabs>
          <w:tab w:val="left" w:pos="851"/>
        </w:tabs>
        <w:ind w:left="851"/>
        <w:rPr>
          <w:sz w:val="24"/>
          <w:szCs w:val="24"/>
        </w:rPr>
      </w:pPr>
      <w:r w:rsidRPr="0020341F">
        <w:rPr>
          <w:sz w:val="24"/>
          <w:szCs w:val="24"/>
        </w:rPr>
        <w:t xml:space="preserve">Gabapentin medfører forsinket ossifikation i kraniet, ryghvirvler, forbens- og bagbensknogler hos gnavere, hvilket indikerer føtal vækstretardering. Disse virkninger ses, når drægtige mus bliver givet orale doser på 1000 eller 3000 mg/kg/dag under organogenesen og hos rotter, der får 2000 mg/kg før og under parring samt i drægtighedsperioden. Disse doser svarer til ca. 1 til 5 gange </w:t>
      </w:r>
      <w:r w:rsidRPr="0020341F">
        <w:rPr>
          <w:sz w:val="24"/>
          <w:szCs w:val="24"/>
          <w:lang w:val="fr-LU"/>
        </w:rPr>
        <w:t>den humane dosis på 3600 mg på et mg/m</w:t>
      </w:r>
      <w:r w:rsidRPr="0020341F">
        <w:rPr>
          <w:sz w:val="24"/>
          <w:szCs w:val="24"/>
          <w:vertAlign w:val="superscript"/>
          <w:lang w:val="fr-LU"/>
        </w:rPr>
        <w:t>2</w:t>
      </w:r>
      <w:r w:rsidRPr="0020341F">
        <w:rPr>
          <w:sz w:val="24"/>
          <w:szCs w:val="24"/>
          <w:lang w:val="fr-LU"/>
        </w:rPr>
        <w:t xml:space="preserve"> basis.</w:t>
      </w:r>
    </w:p>
    <w:p w14:paraId="227A7905" w14:textId="77777777" w:rsidR="0020341F" w:rsidRPr="0020341F" w:rsidRDefault="0020341F" w:rsidP="0020341F">
      <w:pPr>
        <w:tabs>
          <w:tab w:val="left" w:pos="851"/>
        </w:tabs>
        <w:ind w:left="851"/>
        <w:rPr>
          <w:sz w:val="24"/>
          <w:szCs w:val="24"/>
        </w:rPr>
      </w:pPr>
    </w:p>
    <w:p w14:paraId="4F817627" w14:textId="77777777" w:rsidR="0020341F" w:rsidRPr="0020341F" w:rsidRDefault="0020341F" w:rsidP="0020341F">
      <w:pPr>
        <w:tabs>
          <w:tab w:val="left" w:pos="851"/>
        </w:tabs>
        <w:ind w:left="851"/>
        <w:rPr>
          <w:sz w:val="24"/>
          <w:szCs w:val="24"/>
        </w:rPr>
      </w:pPr>
      <w:r w:rsidRPr="0020341F">
        <w:rPr>
          <w:sz w:val="24"/>
          <w:szCs w:val="24"/>
        </w:rPr>
        <w:t>Der ses ingen effekt hos drægtige mus ved doser på 500 mg/kg/dag (ca. halvdelen af den daglige humane dosis på et mg/m</w:t>
      </w:r>
      <w:r w:rsidRPr="0020341F">
        <w:rPr>
          <w:sz w:val="24"/>
          <w:szCs w:val="24"/>
          <w:vertAlign w:val="superscript"/>
        </w:rPr>
        <w:t>2</w:t>
      </w:r>
      <w:r w:rsidRPr="0020341F">
        <w:rPr>
          <w:sz w:val="24"/>
          <w:szCs w:val="24"/>
        </w:rPr>
        <w:t xml:space="preserve"> basis).</w:t>
      </w:r>
    </w:p>
    <w:p w14:paraId="349E9EFE" w14:textId="77777777" w:rsidR="0020341F" w:rsidRPr="0020341F" w:rsidRDefault="0020341F" w:rsidP="0020341F">
      <w:pPr>
        <w:tabs>
          <w:tab w:val="left" w:pos="851"/>
        </w:tabs>
        <w:ind w:left="851"/>
        <w:rPr>
          <w:sz w:val="24"/>
          <w:szCs w:val="24"/>
        </w:rPr>
      </w:pPr>
    </w:p>
    <w:p w14:paraId="44465489" w14:textId="77777777" w:rsidR="0020341F" w:rsidRPr="0020341F" w:rsidRDefault="0020341F" w:rsidP="0020341F">
      <w:pPr>
        <w:tabs>
          <w:tab w:val="left" w:pos="851"/>
        </w:tabs>
        <w:ind w:left="851"/>
        <w:rPr>
          <w:sz w:val="24"/>
          <w:szCs w:val="24"/>
        </w:rPr>
      </w:pPr>
      <w:r w:rsidRPr="0020341F">
        <w:rPr>
          <w:sz w:val="24"/>
          <w:szCs w:val="24"/>
        </w:rPr>
        <w:t>Øget forekomst af hydroureter og/eller hydronefrose ses hos rotter, der får 2000 mg/kg/dag i en undersøgelse af fertilitet og generel reproduktion, 1500 mg/kg/dag i et teratologistudie og 500, 1000 og 2000 mg/kg/dag i et perinatal- og postnatalstudie. Betydningen af disse fund kendes ikke, men de er forbundet med forsinket udvikling. Disse doser svarer til ca. 1 til 5 gange den humane dosis på 3600 mg på et mg/m</w:t>
      </w:r>
      <w:r w:rsidRPr="0020341F">
        <w:rPr>
          <w:sz w:val="24"/>
          <w:szCs w:val="24"/>
          <w:vertAlign w:val="superscript"/>
        </w:rPr>
        <w:t xml:space="preserve">2 </w:t>
      </w:r>
      <w:r w:rsidRPr="0020341F">
        <w:rPr>
          <w:sz w:val="24"/>
          <w:szCs w:val="24"/>
        </w:rPr>
        <w:t>basis.</w:t>
      </w:r>
    </w:p>
    <w:p w14:paraId="5925D293" w14:textId="77777777" w:rsidR="0020341F" w:rsidRPr="0020341F" w:rsidRDefault="0020341F" w:rsidP="0020341F">
      <w:pPr>
        <w:tabs>
          <w:tab w:val="left" w:pos="851"/>
        </w:tabs>
        <w:ind w:left="851"/>
        <w:rPr>
          <w:sz w:val="24"/>
          <w:szCs w:val="24"/>
        </w:rPr>
      </w:pPr>
    </w:p>
    <w:p w14:paraId="1B0C4432" w14:textId="77777777" w:rsidR="0020341F" w:rsidRPr="0020341F" w:rsidRDefault="0020341F" w:rsidP="0020341F">
      <w:pPr>
        <w:tabs>
          <w:tab w:val="left" w:pos="851"/>
        </w:tabs>
        <w:ind w:left="851"/>
        <w:rPr>
          <w:sz w:val="24"/>
          <w:szCs w:val="24"/>
        </w:rPr>
      </w:pPr>
      <w:r w:rsidRPr="0020341F">
        <w:rPr>
          <w:sz w:val="24"/>
          <w:szCs w:val="24"/>
        </w:rPr>
        <w:t>I et teratologistudie på kaniner ses en øget forekomst af aborter efter implantation hos drægtige kaniner, der fik 60, 300 og 1500 mg/kg/dag under organogenesen. Disse doser svarer til ca. 0,3 til 8 gange den daglige humane dosis på 3600 mg på et mg/m</w:t>
      </w:r>
      <w:r w:rsidRPr="0020341F">
        <w:rPr>
          <w:sz w:val="24"/>
          <w:szCs w:val="24"/>
          <w:vertAlign w:val="superscript"/>
        </w:rPr>
        <w:t>2</w:t>
      </w:r>
      <w:r w:rsidRPr="0020341F">
        <w:rPr>
          <w:sz w:val="24"/>
          <w:szCs w:val="24"/>
        </w:rPr>
        <w:t xml:space="preserve"> basis. Sikkerhedsmarginerne er utilstrækkelige til at udelukke, at der er risiko for disse virkninger hos mennesker.</w:t>
      </w:r>
    </w:p>
    <w:p w14:paraId="21EC1D61" w14:textId="77777777" w:rsidR="009260DE" w:rsidRPr="00C84483" w:rsidRDefault="009260DE" w:rsidP="009260DE">
      <w:pPr>
        <w:tabs>
          <w:tab w:val="left" w:pos="851"/>
        </w:tabs>
        <w:ind w:left="851"/>
        <w:rPr>
          <w:sz w:val="24"/>
          <w:szCs w:val="24"/>
        </w:rPr>
      </w:pPr>
    </w:p>
    <w:p w14:paraId="7A2FE57B" w14:textId="77777777" w:rsidR="009260DE" w:rsidRPr="00C84483" w:rsidRDefault="009260DE" w:rsidP="009260DE">
      <w:pPr>
        <w:tabs>
          <w:tab w:val="left" w:pos="851"/>
        </w:tabs>
        <w:ind w:left="851"/>
        <w:rPr>
          <w:sz w:val="24"/>
          <w:szCs w:val="24"/>
        </w:rPr>
      </w:pPr>
    </w:p>
    <w:p w14:paraId="1A839852"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45774659" w14:textId="77777777" w:rsidR="009260DE" w:rsidRPr="00BA09F1" w:rsidRDefault="009260DE" w:rsidP="009260DE">
      <w:pPr>
        <w:tabs>
          <w:tab w:val="left" w:pos="851"/>
        </w:tabs>
        <w:ind w:left="851"/>
        <w:rPr>
          <w:sz w:val="24"/>
          <w:szCs w:val="24"/>
        </w:rPr>
      </w:pPr>
    </w:p>
    <w:p w14:paraId="0BD2A5E4"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1726ACC6" w14:textId="77777777" w:rsidR="00735CBF" w:rsidRPr="00735CBF" w:rsidRDefault="00735CBF" w:rsidP="00735CBF">
      <w:pPr>
        <w:tabs>
          <w:tab w:val="left" w:pos="851"/>
        </w:tabs>
        <w:ind w:left="851"/>
        <w:rPr>
          <w:sz w:val="24"/>
          <w:szCs w:val="24"/>
        </w:rPr>
      </w:pPr>
      <w:r w:rsidRPr="00735CBF">
        <w:rPr>
          <w:sz w:val="24"/>
          <w:szCs w:val="24"/>
        </w:rPr>
        <w:t>Natriummethylparahydroxybenzoat (E219)</w:t>
      </w:r>
    </w:p>
    <w:p w14:paraId="41BEF75B" w14:textId="77777777" w:rsidR="00735CBF" w:rsidRPr="007C3F7A" w:rsidRDefault="00735CBF" w:rsidP="00735CBF">
      <w:pPr>
        <w:tabs>
          <w:tab w:val="left" w:pos="851"/>
        </w:tabs>
        <w:ind w:left="851"/>
        <w:rPr>
          <w:sz w:val="24"/>
          <w:szCs w:val="24"/>
          <w:lang w:val="en-US"/>
        </w:rPr>
      </w:pPr>
      <w:r w:rsidRPr="007C3F7A">
        <w:rPr>
          <w:sz w:val="24"/>
          <w:szCs w:val="24"/>
          <w:lang w:val="en-US"/>
        </w:rPr>
        <w:t>Natriumpropylparahydroxybenzoat (E217)</w:t>
      </w:r>
    </w:p>
    <w:p w14:paraId="56242637" w14:textId="77777777" w:rsidR="00735CBF" w:rsidRPr="007C3F7A" w:rsidRDefault="00735CBF" w:rsidP="00735CBF">
      <w:pPr>
        <w:tabs>
          <w:tab w:val="left" w:pos="851"/>
        </w:tabs>
        <w:ind w:left="851"/>
        <w:rPr>
          <w:sz w:val="24"/>
          <w:szCs w:val="24"/>
          <w:lang w:val="en-US"/>
        </w:rPr>
      </w:pPr>
      <w:r w:rsidRPr="007C3F7A">
        <w:rPr>
          <w:sz w:val="24"/>
          <w:szCs w:val="24"/>
          <w:lang w:val="en-US"/>
        </w:rPr>
        <w:t>Propylenglycol (E1520)</w:t>
      </w:r>
    </w:p>
    <w:p w14:paraId="43DAE2BF" w14:textId="77777777" w:rsidR="00735CBF" w:rsidRPr="007C3F7A" w:rsidRDefault="00735CBF" w:rsidP="00735CBF">
      <w:pPr>
        <w:tabs>
          <w:tab w:val="left" w:pos="851"/>
        </w:tabs>
        <w:ind w:left="851"/>
        <w:rPr>
          <w:sz w:val="24"/>
          <w:szCs w:val="24"/>
          <w:lang w:val="en-US"/>
        </w:rPr>
      </w:pPr>
      <w:r w:rsidRPr="007C3F7A">
        <w:rPr>
          <w:sz w:val="24"/>
          <w:szCs w:val="24"/>
          <w:lang w:val="en-US"/>
        </w:rPr>
        <w:t>Carmellosenatrium (E466)</w:t>
      </w:r>
    </w:p>
    <w:p w14:paraId="3F39A043" w14:textId="77777777" w:rsidR="00735CBF" w:rsidRPr="00735CBF" w:rsidRDefault="00735CBF" w:rsidP="00735CBF">
      <w:pPr>
        <w:tabs>
          <w:tab w:val="left" w:pos="851"/>
        </w:tabs>
        <w:ind w:left="851"/>
        <w:rPr>
          <w:sz w:val="24"/>
          <w:szCs w:val="24"/>
        </w:rPr>
      </w:pPr>
      <w:r w:rsidRPr="00735CBF">
        <w:rPr>
          <w:sz w:val="24"/>
          <w:szCs w:val="24"/>
        </w:rPr>
        <w:t>Acesulfamkalium (E950)</w:t>
      </w:r>
    </w:p>
    <w:p w14:paraId="20C6133E" w14:textId="77777777" w:rsidR="00735CBF" w:rsidRPr="00735CBF" w:rsidRDefault="00735CBF" w:rsidP="00735CBF">
      <w:pPr>
        <w:tabs>
          <w:tab w:val="left" w:pos="851"/>
        </w:tabs>
        <w:ind w:left="851"/>
        <w:rPr>
          <w:sz w:val="24"/>
          <w:szCs w:val="24"/>
        </w:rPr>
      </w:pPr>
      <w:r w:rsidRPr="00735CBF">
        <w:rPr>
          <w:sz w:val="24"/>
          <w:szCs w:val="24"/>
        </w:rPr>
        <w:t>Appelsinsmag (indeholdende propylenglycol og benzylalkohol)</w:t>
      </w:r>
    </w:p>
    <w:p w14:paraId="69DCF063" w14:textId="77777777" w:rsidR="00735CBF" w:rsidRPr="00735CBF" w:rsidRDefault="00735CBF" w:rsidP="00735CBF">
      <w:pPr>
        <w:tabs>
          <w:tab w:val="left" w:pos="851"/>
        </w:tabs>
        <w:ind w:left="851"/>
        <w:rPr>
          <w:sz w:val="24"/>
          <w:szCs w:val="24"/>
        </w:rPr>
      </w:pPr>
      <w:r w:rsidRPr="00735CBF">
        <w:rPr>
          <w:sz w:val="24"/>
          <w:szCs w:val="24"/>
        </w:rPr>
        <w:t>Saltsyre, koncentreret (til pH-justering)</w:t>
      </w:r>
    </w:p>
    <w:p w14:paraId="5BFEEF03" w14:textId="77777777" w:rsidR="00735CBF" w:rsidRPr="00735CBF" w:rsidRDefault="00735CBF" w:rsidP="00735CBF">
      <w:pPr>
        <w:tabs>
          <w:tab w:val="left" w:pos="851"/>
        </w:tabs>
        <w:ind w:left="851"/>
        <w:rPr>
          <w:sz w:val="24"/>
          <w:szCs w:val="24"/>
        </w:rPr>
      </w:pPr>
      <w:r w:rsidRPr="00735CBF">
        <w:rPr>
          <w:sz w:val="24"/>
          <w:szCs w:val="24"/>
        </w:rPr>
        <w:t>Vand, renset</w:t>
      </w:r>
    </w:p>
    <w:p w14:paraId="5A21D428" w14:textId="77777777" w:rsidR="009260DE" w:rsidRPr="00C84483" w:rsidRDefault="009260DE" w:rsidP="009260DE">
      <w:pPr>
        <w:tabs>
          <w:tab w:val="left" w:pos="851"/>
        </w:tabs>
        <w:ind w:left="851"/>
        <w:rPr>
          <w:sz w:val="24"/>
          <w:szCs w:val="24"/>
        </w:rPr>
      </w:pPr>
    </w:p>
    <w:p w14:paraId="5ED4F758"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50A8DF59" w14:textId="77777777" w:rsidR="00735CBF" w:rsidRPr="00735CBF" w:rsidRDefault="00735CBF" w:rsidP="00735CBF">
      <w:pPr>
        <w:tabs>
          <w:tab w:val="left" w:pos="851"/>
        </w:tabs>
        <w:ind w:left="851"/>
        <w:rPr>
          <w:sz w:val="24"/>
          <w:szCs w:val="24"/>
        </w:rPr>
      </w:pPr>
      <w:r w:rsidRPr="00735CBF">
        <w:rPr>
          <w:sz w:val="24"/>
          <w:szCs w:val="24"/>
        </w:rPr>
        <w:t>Ikke relevant.</w:t>
      </w:r>
    </w:p>
    <w:p w14:paraId="4A8D9F1A" w14:textId="77777777" w:rsidR="009260DE" w:rsidRPr="00C84483" w:rsidRDefault="009260DE" w:rsidP="009260DE">
      <w:pPr>
        <w:tabs>
          <w:tab w:val="left" w:pos="851"/>
        </w:tabs>
        <w:ind w:left="851"/>
        <w:rPr>
          <w:sz w:val="24"/>
          <w:szCs w:val="24"/>
        </w:rPr>
      </w:pPr>
    </w:p>
    <w:p w14:paraId="361D8A74"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E9ABBEC" w14:textId="3BF205BE" w:rsidR="00735CBF" w:rsidRDefault="00735CBF" w:rsidP="00735CBF">
      <w:pPr>
        <w:tabs>
          <w:tab w:val="left" w:pos="851"/>
        </w:tabs>
        <w:ind w:left="851"/>
        <w:rPr>
          <w:sz w:val="24"/>
          <w:szCs w:val="24"/>
        </w:rPr>
      </w:pPr>
      <w:r w:rsidRPr="00735CBF">
        <w:rPr>
          <w:sz w:val="24"/>
          <w:szCs w:val="24"/>
        </w:rPr>
        <w:t>3 år.</w:t>
      </w:r>
    </w:p>
    <w:p w14:paraId="4ED32416" w14:textId="77777777" w:rsidR="00735CBF" w:rsidRPr="00735CBF" w:rsidRDefault="00735CBF" w:rsidP="00735CBF">
      <w:pPr>
        <w:tabs>
          <w:tab w:val="left" w:pos="851"/>
        </w:tabs>
        <w:ind w:left="851"/>
        <w:rPr>
          <w:sz w:val="24"/>
          <w:szCs w:val="24"/>
        </w:rPr>
      </w:pPr>
    </w:p>
    <w:p w14:paraId="4849E29C" w14:textId="77777777" w:rsidR="00735CBF" w:rsidRPr="00735CBF" w:rsidRDefault="00735CBF" w:rsidP="00735CBF">
      <w:pPr>
        <w:tabs>
          <w:tab w:val="left" w:pos="851"/>
        </w:tabs>
        <w:ind w:left="851"/>
        <w:rPr>
          <w:sz w:val="24"/>
          <w:szCs w:val="24"/>
          <w:u w:val="single"/>
        </w:rPr>
      </w:pPr>
      <w:r w:rsidRPr="00735CBF">
        <w:rPr>
          <w:sz w:val="24"/>
          <w:szCs w:val="24"/>
          <w:u w:val="single"/>
        </w:rPr>
        <w:t>Efter første åbning</w:t>
      </w:r>
    </w:p>
    <w:p w14:paraId="6127F7BE" w14:textId="48754D51" w:rsidR="00735CBF" w:rsidRPr="00735CBF" w:rsidRDefault="00735CBF" w:rsidP="00735CBF">
      <w:pPr>
        <w:tabs>
          <w:tab w:val="left" w:pos="851"/>
        </w:tabs>
        <w:ind w:left="851"/>
        <w:rPr>
          <w:sz w:val="24"/>
          <w:szCs w:val="24"/>
        </w:rPr>
      </w:pPr>
      <w:r w:rsidRPr="00735CBF">
        <w:rPr>
          <w:sz w:val="24"/>
          <w:szCs w:val="24"/>
        </w:rPr>
        <w:t>Brug</w:t>
      </w:r>
      <w:r>
        <w:rPr>
          <w:sz w:val="24"/>
          <w:szCs w:val="24"/>
        </w:rPr>
        <w:t>es</w:t>
      </w:r>
      <w:r w:rsidRPr="00735CBF">
        <w:rPr>
          <w:sz w:val="24"/>
          <w:szCs w:val="24"/>
        </w:rPr>
        <w:t xml:space="preserve"> inden</w:t>
      </w:r>
      <w:r>
        <w:rPr>
          <w:sz w:val="24"/>
          <w:szCs w:val="24"/>
        </w:rPr>
        <w:t xml:space="preserve"> </w:t>
      </w:r>
      <w:r w:rsidRPr="00735CBF">
        <w:rPr>
          <w:sz w:val="24"/>
          <w:szCs w:val="24"/>
        </w:rPr>
        <w:t>for 1 måned efter første åbning.</w:t>
      </w:r>
    </w:p>
    <w:p w14:paraId="31A1D346" w14:textId="7B8657F0" w:rsidR="007C3F7A" w:rsidRDefault="007C3F7A">
      <w:pPr>
        <w:rPr>
          <w:sz w:val="24"/>
          <w:szCs w:val="24"/>
        </w:rPr>
      </w:pPr>
      <w:r>
        <w:rPr>
          <w:sz w:val="24"/>
          <w:szCs w:val="24"/>
        </w:rPr>
        <w:br w:type="page"/>
      </w:r>
    </w:p>
    <w:p w14:paraId="6BE88F77" w14:textId="77777777" w:rsidR="009260DE" w:rsidRPr="00C84483" w:rsidRDefault="009260DE" w:rsidP="009260DE">
      <w:pPr>
        <w:tabs>
          <w:tab w:val="left" w:pos="851"/>
        </w:tabs>
        <w:ind w:left="851"/>
        <w:rPr>
          <w:sz w:val="24"/>
          <w:szCs w:val="24"/>
        </w:rPr>
      </w:pPr>
    </w:p>
    <w:p w14:paraId="2832F521"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203D3AF" w14:textId="7229F590" w:rsidR="00735CBF" w:rsidRPr="00735CBF" w:rsidRDefault="00735CBF" w:rsidP="00735CBF">
      <w:pPr>
        <w:tabs>
          <w:tab w:val="left" w:pos="851"/>
        </w:tabs>
        <w:ind w:left="851"/>
        <w:rPr>
          <w:sz w:val="24"/>
          <w:szCs w:val="24"/>
        </w:rPr>
      </w:pPr>
      <w:r w:rsidRPr="00735CBF">
        <w:rPr>
          <w:sz w:val="24"/>
          <w:szCs w:val="24"/>
        </w:rPr>
        <w:t>Opbevares i køleskab (2 °C</w:t>
      </w:r>
      <w:r>
        <w:rPr>
          <w:sz w:val="24"/>
          <w:szCs w:val="24"/>
        </w:rPr>
        <w:t>-</w:t>
      </w:r>
      <w:r w:rsidRPr="00735CBF">
        <w:rPr>
          <w:sz w:val="24"/>
          <w:szCs w:val="24"/>
        </w:rPr>
        <w:t>8 °C).</w:t>
      </w:r>
    </w:p>
    <w:p w14:paraId="27DCA9EE" w14:textId="4EBE91D8" w:rsidR="00735CBF" w:rsidRDefault="00735CBF" w:rsidP="00735CBF">
      <w:pPr>
        <w:tabs>
          <w:tab w:val="left" w:pos="851"/>
        </w:tabs>
        <w:ind w:left="851"/>
        <w:rPr>
          <w:sz w:val="24"/>
          <w:szCs w:val="24"/>
        </w:rPr>
      </w:pPr>
    </w:p>
    <w:p w14:paraId="6B72C12C" w14:textId="77777777" w:rsidR="00735CBF" w:rsidRPr="00735CBF" w:rsidRDefault="00735CBF" w:rsidP="00735CBF">
      <w:pPr>
        <w:tabs>
          <w:tab w:val="left" w:pos="851"/>
        </w:tabs>
        <w:ind w:left="851"/>
        <w:rPr>
          <w:sz w:val="24"/>
          <w:szCs w:val="24"/>
          <w:u w:val="single"/>
        </w:rPr>
      </w:pPr>
      <w:r w:rsidRPr="00735CBF">
        <w:rPr>
          <w:sz w:val="24"/>
          <w:szCs w:val="24"/>
          <w:u w:val="single"/>
        </w:rPr>
        <w:t>Efter første åbning</w:t>
      </w:r>
    </w:p>
    <w:p w14:paraId="576FE2A1" w14:textId="77777777" w:rsidR="00735CBF" w:rsidRPr="00735CBF" w:rsidRDefault="00735CBF" w:rsidP="00735CBF">
      <w:pPr>
        <w:tabs>
          <w:tab w:val="left" w:pos="851"/>
        </w:tabs>
        <w:ind w:left="851"/>
        <w:rPr>
          <w:sz w:val="24"/>
          <w:szCs w:val="24"/>
        </w:rPr>
      </w:pPr>
      <w:r w:rsidRPr="00735CBF">
        <w:rPr>
          <w:sz w:val="24"/>
          <w:szCs w:val="24"/>
        </w:rPr>
        <w:t>Må ikke opbevares ved temperaturer over 25 °C efter første åbning.</w:t>
      </w:r>
    </w:p>
    <w:p w14:paraId="0C83AB64" w14:textId="77777777" w:rsidR="009260DE" w:rsidRPr="00C84483" w:rsidRDefault="009260DE" w:rsidP="009260DE">
      <w:pPr>
        <w:tabs>
          <w:tab w:val="left" w:pos="851"/>
        </w:tabs>
        <w:ind w:left="851"/>
        <w:rPr>
          <w:sz w:val="24"/>
          <w:szCs w:val="24"/>
        </w:rPr>
      </w:pPr>
    </w:p>
    <w:p w14:paraId="3252E236"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E2F8E74" w14:textId="77777777" w:rsidR="00735CBF" w:rsidRPr="00735CBF" w:rsidRDefault="00735CBF" w:rsidP="00735CBF">
      <w:pPr>
        <w:tabs>
          <w:tab w:val="left" w:pos="851"/>
        </w:tabs>
        <w:ind w:left="851"/>
        <w:rPr>
          <w:sz w:val="24"/>
          <w:szCs w:val="24"/>
        </w:rPr>
      </w:pPr>
      <w:r w:rsidRPr="00735CBF">
        <w:rPr>
          <w:sz w:val="24"/>
          <w:szCs w:val="24"/>
        </w:rPr>
        <w:t>Ravfarvet, type III glasflaske med børnesikret og forseglet skruelåg.</w:t>
      </w:r>
    </w:p>
    <w:p w14:paraId="5178ABB1" w14:textId="77777777" w:rsidR="00735CBF" w:rsidRPr="00735CBF" w:rsidRDefault="00735CBF" w:rsidP="00735CBF">
      <w:pPr>
        <w:tabs>
          <w:tab w:val="left" w:pos="851"/>
        </w:tabs>
        <w:ind w:left="851"/>
        <w:rPr>
          <w:sz w:val="24"/>
          <w:szCs w:val="24"/>
        </w:rPr>
      </w:pPr>
    </w:p>
    <w:p w14:paraId="1D5F7DF2" w14:textId="77777777" w:rsidR="00735CBF" w:rsidRPr="00735CBF" w:rsidRDefault="00735CBF" w:rsidP="00735CBF">
      <w:pPr>
        <w:tabs>
          <w:tab w:val="left" w:pos="851"/>
        </w:tabs>
        <w:ind w:left="851"/>
        <w:rPr>
          <w:sz w:val="24"/>
          <w:szCs w:val="24"/>
        </w:rPr>
      </w:pPr>
      <w:r w:rsidRPr="00735CBF">
        <w:rPr>
          <w:sz w:val="24"/>
          <w:szCs w:val="24"/>
        </w:rPr>
        <w:t>En 10 ml gradueret LDPE oral sprøjte med mellemgradueringer på 0,5 ml og en "press-in" LDPE sprøjte/flaskeadapter er også inkluderet i æsken.</w:t>
      </w:r>
    </w:p>
    <w:p w14:paraId="736F5BD1" w14:textId="77777777" w:rsidR="00735CBF" w:rsidRPr="00735CBF" w:rsidRDefault="00735CBF" w:rsidP="00735CBF">
      <w:pPr>
        <w:tabs>
          <w:tab w:val="left" w:pos="851"/>
        </w:tabs>
        <w:ind w:left="851"/>
        <w:rPr>
          <w:sz w:val="24"/>
          <w:szCs w:val="24"/>
        </w:rPr>
      </w:pPr>
    </w:p>
    <w:p w14:paraId="4EFB9AF5" w14:textId="77777777" w:rsidR="00582EB7" w:rsidRDefault="00735CBF" w:rsidP="00735CBF">
      <w:pPr>
        <w:tabs>
          <w:tab w:val="left" w:pos="851"/>
        </w:tabs>
        <w:ind w:left="851"/>
        <w:rPr>
          <w:sz w:val="24"/>
          <w:szCs w:val="24"/>
        </w:rPr>
      </w:pPr>
      <w:r w:rsidRPr="00735CBF">
        <w:rPr>
          <w:sz w:val="24"/>
          <w:szCs w:val="24"/>
        </w:rPr>
        <w:t>Pakningsstørrelse</w:t>
      </w:r>
      <w:r w:rsidR="00582EB7">
        <w:rPr>
          <w:sz w:val="24"/>
          <w:szCs w:val="24"/>
        </w:rPr>
        <w:t>r:</w:t>
      </w:r>
      <w:r w:rsidRPr="00735CBF">
        <w:rPr>
          <w:sz w:val="24"/>
          <w:szCs w:val="24"/>
        </w:rPr>
        <w:t xml:space="preserve"> 150 ml</w:t>
      </w:r>
      <w:r w:rsidR="00582EB7">
        <w:rPr>
          <w:sz w:val="24"/>
          <w:szCs w:val="24"/>
        </w:rPr>
        <w:t>.</w:t>
      </w:r>
    </w:p>
    <w:p w14:paraId="0236C55C" w14:textId="77777777" w:rsidR="00582EB7" w:rsidRDefault="00582EB7" w:rsidP="00735CBF">
      <w:pPr>
        <w:tabs>
          <w:tab w:val="left" w:pos="851"/>
        </w:tabs>
        <w:ind w:left="851"/>
        <w:rPr>
          <w:sz w:val="24"/>
          <w:szCs w:val="24"/>
        </w:rPr>
      </w:pPr>
    </w:p>
    <w:p w14:paraId="122255E4" w14:textId="788CC8C3" w:rsidR="00735CBF" w:rsidRPr="00735CBF" w:rsidRDefault="00582EB7" w:rsidP="00735CBF">
      <w:pPr>
        <w:tabs>
          <w:tab w:val="left" w:pos="851"/>
        </w:tabs>
        <w:ind w:left="851"/>
        <w:rPr>
          <w:sz w:val="24"/>
          <w:szCs w:val="24"/>
        </w:rPr>
      </w:pPr>
      <w:r>
        <w:rPr>
          <w:sz w:val="24"/>
          <w:szCs w:val="24"/>
        </w:rPr>
        <w:t>Ikke alle pakningsstørrelser er nødvendigvis markedsført</w:t>
      </w:r>
      <w:r w:rsidR="00735CBF" w:rsidRPr="00735CBF">
        <w:rPr>
          <w:sz w:val="24"/>
          <w:szCs w:val="24"/>
        </w:rPr>
        <w:t>.</w:t>
      </w:r>
    </w:p>
    <w:p w14:paraId="5E76244C" w14:textId="77777777" w:rsidR="009260DE" w:rsidRPr="00C84483" w:rsidRDefault="009260DE" w:rsidP="009260DE">
      <w:pPr>
        <w:tabs>
          <w:tab w:val="left" w:pos="851"/>
        </w:tabs>
        <w:ind w:left="851"/>
        <w:rPr>
          <w:sz w:val="24"/>
          <w:szCs w:val="24"/>
        </w:rPr>
      </w:pPr>
    </w:p>
    <w:p w14:paraId="755B5A23"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09DBDDB6" w14:textId="77777777" w:rsidR="00E71FC4" w:rsidRPr="00E71FC4" w:rsidRDefault="00E71FC4" w:rsidP="00E71FC4">
      <w:pPr>
        <w:tabs>
          <w:tab w:val="left" w:pos="851"/>
        </w:tabs>
        <w:ind w:left="851"/>
        <w:rPr>
          <w:sz w:val="24"/>
          <w:szCs w:val="24"/>
        </w:rPr>
      </w:pPr>
    </w:p>
    <w:p w14:paraId="52D54032" w14:textId="77777777" w:rsidR="00E71FC4" w:rsidRPr="00E71FC4" w:rsidRDefault="00E71FC4" w:rsidP="00E71FC4">
      <w:pPr>
        <w:tabs>
          <w:tab w:val="left" w:pos="851"/>
        </w:tabs>
        <w:ind w:left="851"/>
        <w:rPr>
          <w:sz w:val="24"/>
          <w:szCs w:val="24"/>
          <w:u w:val="single"/>
        </w:rPr>
      </w:pPr>
      <w:r w:rsidRPr="00E71FC4">
        <w:rPr>
          <w:sz w:val="24"/>
          <w:szCs w:val="24"/>
          <w:u w:val="single"/>
        </w:rPr>
        <w:t>Instruktioner for administration via nasogastriske (NG) eller perkutane endoskopiske gastrostomi (PEG) sonder.</w:t>
      </w:r>
    </w:p>
    <w:p w14:paraId="5A0C9707" w14:textId="77777777" w:rsidR="00E71FC4" w:rsidRPr="00E71FC4" w:rsidRDefault="00E71FC4" w:rsidP="00E71FC4">
      <w:pPr>
        <w:numPr>
          <w:ilvl w:val="0"/>
          <w:numId w:val="6"/>
        </w:numPr>
        <w:tabs>
          <w:tab w:val="left" w:pos="851"/>
        </w:tabs>
        <w:ind w:left="1134" w:hanging="283"/>
        <w:rPr>
          <w:sz w:val="24"/>
          <w:szCs w:val="24"/>
        </w:rPr>
      </w:pPr>
      <w:r w:rsidRPr="00E71FC4">
        <w:rPr>
          <w:sz w:val="24"/>
          <w:szCs w:val="24"/>
        </w:rPr>
        <w:t xml:space="preserve">Sørg for, at den enterale ernæringssonde er fri for forhindringer, før du administrerer dette lægemiddel. </w:t>
      </w:r>
    </w:p>
    <w:p w14:paraId="300AD1B8" w14:textId="77777777" w:rsidR="00E71FC4" w:rsidRPr="00E71FC4" w:rsidRDefault="00E71FC4" w:rsidP="00E71FC4">
      <w:pPr>
        <w:numPr>
          <w:ilvl w:val="0"/>
          <w:numId w:val="6"/>
        </w:numPr>
        <w:tabs>
          <w:tab w:val="left" w:pos="851"/>
        </w:tabs>
        <w:ind w:left="1134" w:hanging="283"/>
        <w:rPr>
          <w:sz w:val="24"/>
          <w:szCs w:val="24"/>
        </w:rPr>
      </w:pPr>
      <w:r w:rsidRPr="00E71FC4">
        <w:rPr>
          <w:sz w:val="24"/>
          <w:szCs w:val="24"/>
        </w:rPr>
        <w:t xml:space="preserve">Skyl sonden med 10 ml kogt afkølet vand. </w:t>
      </w:r>
    </w:p>
    <w:p w14:paraId="2A1C4215" w14:textId="77777777" w:rsidR="00E71FC4" w:rsidRPr="00E71FC4" w:rsidRDefault="00E71FC4" w:rsidP="00E71FC4">
      <w:pPr>
        <w:numPr>
          <w:ilvl w:val="0"/>
          <w:numId w:val="6"/>
        </w:numPr>
        <w:tabs>
          <w:tab w:val="left" w:pos="851"/>
        </w:tabs>
        <w:ind w:left="1134" w:hanging="283"/>
        <w:rPr>
          <w:sz w:val="24"/>
          <w:szCs w:val="24"/>
        </w:rPr>
      </w:pPr>
      <w:r w:rsidRPr="00E71FC4">
        <w:rPr>
          <w:sz w:val="24"/>
          <w:szCs w:val="24"/>
        </w:rPr>
        <w:t xml:space="preserve">Den nødvendige dosis af Neurisol oral opløsning indgives i sonden ved hjælp af egnet måleudstyr. </w:t>
      </w:r>
    </w:p>
    <w:p w14:paraId="191FE8FD" w14:textId="77777777" w:rsidR="00E71FC4" w:rsidRPr="00E71FC4" w:rsidRDefault="00E71FC4" w:rsidP="00E71FC4">
      <w:pPr>
        <w:numPr>
          <w:ilvl w:val="0"/>
          <w:numId w:val="6"/>
        </w:numPr>
        <w:tabs>
          <w:tab w:val="left" w:pos="851"/>
        </w:tabs>
        <w:ind w:left="1134" w:hanging="283"/>
        <w:rPr>
          <w:sz w:val="24"/>
          <w:szCs w:val="24"/>
        </w:rPr>
      </w:pPr>
      <w:r w:rsidRPr="00E71FC4">
        <w:rPr>
          <w:sz w:val="24"/>
          <w:szCs w:val="24"/>
        </w:rPr>
        <w:t>Skyl straks sonden igen to gange med 10 ml kogt afkølet vand.</w:t>
      </w:r>
    </w:p>
    <w:p w14:paraId="7839DEB7" w14:textId="77777777" w:rsidR="00E71FC4" w:rsidRPr="00E71FC4" w:rsidRDefault="00E71FC4" w:rsidP="00E71FC4">
      <w:pPr>
        <w:tabs>
          <w:tab w:val="left" w:pos="851"/>
        </w:tabs>
        <w:ind w:left="851"/>
        <w:rPr>
          <w:sz w:val="24"/>
          <w:szCs w:val="24"/>
        </w:rPr>
      </w:pPr>
    </w:p>
    <w:p w14:paraId="5F220425" w14:textId="77777777" w:rsidR="00E71FC4" w:rsidRPr="00E71FC4" w:rsidRDefault="00E71FC4" w:rsidP="00E71FC4">
      <w:pPr>
        <w:tabs>
          <w:tab w:val="left" w:pos="851"/>
        </w:tabs>
        <w:ind w:left="851"/>
        <w:rPr>
          <w:sz w:val="24"/>
          <w:szCs w:val="24"/>
        </w:rPr>
      </w:pPr>
      <w:r w:rsidRPr="00E71FC4">
        <w:rPr>
          <w:sz w:val="24"/>
          <w:szCs w:val="24"/>
        </w:rPr>
        <w:t>Bemærk, at der ikke er udført undersøgelser ved hjælp af en luftskylningsprocedure. For at sikre, at patienten modtager den korrekte dosis, anbefales det, at der kun anvendes vandskylning.</w:t>
      </w:r>
    </w:p>
    <w:p w14:paraId="3705EE69" w14:textId="77777777" w:rsidR="00E71FC4" w:rsidRPr="00E71FC4" w:rsidRDefault="00E71FC4" w:rsidP="00E71FC4">
      <w:pPr>
        <w:tabs>
          <w:tab w:val="left" w:pos="851"/>
        </w:tabs>
        <w:ind w:left="851"/>
        <w:rPr>
          <w:sz w:val="24"/>
          <w:szCs w:val="24"/>
        </w:rPr>
      </w:pPr>
    </w:p>
    <w:p w14:paraId="79980C5B" w14:textId="77777777" w:rsidR="00E71FC4" w:rsidRPr="00E71FC4" w:rsidRDefault="00E71FC4" w:rsidP="00E71FC4">
      <w:pPr>
        <w:tabs>
          <w:tab w:val="left" w:pos="851"/>
        </w:tabs>
        <w:ind w:left="851"/>
        <w:rPr>
          <w:sz w:val="24"/>
          <w:szCs w:val="24"/>
        </w:rPr>
      </w:pPr>
      <w:r w:rsidRPr="00E71FC4">
        <w:rPr>
          <w:sz w:val="24"/>
          <w:szCs w:val="24"/>
        </w:rPr>
        <w:t>Ingen særlige forholdsregler ved bortskaffelse.</w:t>
      </w:r>
    </w:p>
    <w:p w14:paraId="615E62A2" w14:textId="77777777" w:rsidR="009260DE" w:rsidRPr="00C84483" w:rsidRDefault="009260DE" w:rsidP="000730CA">
      <w:pPr>
        <w:tabs>
          <w:tab w:val="left" w:pos="851"/>
        </w:tabs>
        <w:ind w:left="851"/>
        <w:rPr>
          <w:sz w:val="24"/>
          <w:szCs w:val="24"/>
        </w:rPr>
      </w:pPr>
    </w:p>
    <w:p w14:paraId="7CFAC21B"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1A5FA8C1" w14:textId="77777777" w:rsidR="00E71FC4" w:rsidRPr="00E71FC4" w:rsidRDefault="00E71FC4" w:rsidP="00E71FC4">
      <w:pPr>
        <w:tabs>
          <w:tab w:val="left" w:pos="851"/>
        </w:tabs>
        <w:ind w:left="851"/>
        <w:rPr>
          <w:sz w:val="24"/>
          <w:szCs w:val="24"/>
        </w:rPr>
      </w:pPr>
      <w:r w:rsidRPr="00E71FC4">
        <w:rPr>
          <w:sz w:val="24"/>
          <w:szCs w:val="24"/>
        </w:rPr>
        <w:t>Oresund Pharma ApS</w:t>
      </w:r>
    </w:p>
    <w:p w14:paraId="62D9C123" w14:textId="77777777" w:rsidR="00E71FC4" w:rsidRPr="00E71FC4" w:rsidRDefault="00E71FC4" w:rsidP="00E71FC4">
      <w:pPr>
        <w:tabs>
          <w:tab w:val="left" w:pos="851"/>
        </w:tabs>
        <w:ind w:left="851"/>
        <w:rPr>
          <w:sz w:val="24"/>
          <w:szCs w:val="24"/>
        </w:rPr>
      </w:pPr>
      <w:r w:rsidRPr="00E71FC4">
        <w:rPr>
          <w:sz w:val="24"/>
          <w:szCs w:val="24"/>
        </w:rPr>
        <w:t xml:space="preserve">Orient Plads 1 </w:t>
      </w:r>
    </w:p>
    <w:p w14:paraId="56D3516D" w14:textId="77777777" w:rsidR="00E71FC4" w:rsidRPr="00E71FC4" w:rsidRDefault="00E71FC4" w:rsidP="00E71FC4">
      <w:pPr>
        <w:tabs>
          <w:tab w:val="left" w:pos="851"/>
        </w:tabs>
        <w:ind w:left="851"/>
        <w:rPr>
          <w:sz w:val="24"/>
          <w:szCs w:val="24"/>
        </w:rPr>
      </w:pPr>
      <w:r w:rsidRPr="00E71FC4">
        <w:rPr>
          <w:sz w:val="24"/>
          <w:szCs w:val="24"/>
        </w:rPr>
        <w:t>2150 Nordhavn</w:t>
      </w:r>
    </w:p>
    <w:p w14:paraId="76CFC218" w14:textId="77777777" w:rsidR="009260DE" w:rsidRDefault="009260DE" w:rsidP="009260DE">
      <w:pPr>
        <w:tabs>
          <w:tab w:val="left" w:pos="851"/>
        </w:tabs>
        <w:ind w:left="851"/>
        <w:rPr>
          <w:sz w:val="24"/>
          <w:szCs w:val="24"/>
        </w:rPr>
      </w:pPr>
    </w:p>
    <w:p w14:paraId="419B3A31"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7B143F37" w14:textId="2C0AEBDE" w:rsidR="009260DE" w:rsidRPr="00C84483" w:rsidRDefault="00E71FC4" w:rsidP="009260DE">
      <w:pPr>
        <w:tabs>
          <w:tab w:val="left" w:pos="851"/>
        </w:tabs>
        <w:ind w:left="851"/>
        <w:rPr>
          <w:sz w:val="24"/>
          <w:szCs w:val="24"/>
        </w:rPr>
      </w:pPr>
      <w:r>
        <w:rPr>
          <w:sz w:val="24"/>
          <w:szCs w:val="24"/>
        </w:rPr>
        <w:t>70844</w:t>
      </w:r>
    </w:p>
    <w:p w14:paraId="52CA23E1" w14:textId="77777777" w:rsidR="009260DE" w:rsidRPr="00C84483" w:rsidRDefault="009260DE" w:rsidP="009260DE">
      <w:pPr>
        <w:tabs>
          <w:tab w:val="left" w:pos="851"/>
        </w:tabs>
        <w:ind w:left="851"/>
        <w:jc w:val="both"/>
        <w:rPr>
          <w:sz w:val="24"/>
          <w:szCs w:val="24"/>
        </w:rPr>
      </w:pPr>
    </w:p>
    <w:p w14:paraId="2FCF552B"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400311B6" w14:textId="6EDB938E" w:rsidR="009260DE" w:rsidRPr="00C84483" w:rsidRDefault="007C3F7A" w:rsidP="009260DE">
      <w:pPr>
        <w:tabs>
          <w:tab w:val="left" w:pos="851"/>
        </w:tabs>
        <w:ind w:left="851"/>
        <w:rPr>
          <w:sz w:val="24"/>
          <w:szCs w:val="24"/>
        </w:rPr>
      </w:pPr>
      <w:r>
        <w:rPr>
          <w:sz w:val="24"/>
          <w:szCs w:val="24"/>
        </w:rPr>
        <w:t>24. januar 2025</w:t>
      </w:r>
    </w:p>
    <w:p w14:paraId="50CB4AB5" w14:textId="77777777" w:rsidR="009260DE" w:rsidRPr="00C84483" w:rsidRDefault="009260DE" w:rsidP="009260DE">
      <w:pPr>
        <w:tabs>
          <w:tab w:val="left" w:pos="851"/>
        </w:tabs>
        <w:ind w:left="851"/>
        <w:rPr>
          <w:sz w:val="24"/>
          <w:szCs w:val="24"/>
        </w:rPr>
      </w:pPr>
    </w:p>
    <w:p w14:paraId="21FDE88F"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24CF7185" w14:textId="79128E0B" w:rsidR="009260DE" w:rsidRPr="00C84483" w:rsidRDefault="00E71FC4"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7D6E1" w14:textId="77777777" w:rsidR="00F72181" w:rsidRDefault="00F72181">
      <w:r>
        <w:separator/>
      </w:r>
    </w:p>
  </w:endnote>
  <w:endnote w:type="continuationSeparator" w:id="0">
    <w:p w14:paraId="78939481" w14:textId="77777777" w:rsidR="00F72181" w:rsidRDefault="00F7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C8293" w14:textId="77777777" w:rsidR="00F72181" w:rsidRDefault="00F72181">
    <w:pPr>
      <w:pStyle w:val="Sidefod"/>
      <w:pBdr>
        <w:bottom w:val="single" w:sz="6" w:space="1" w:color="auto"/>
      </w:pBdr>
    </w:pPr>
  </w:p>
  <w:p w14:paraId="252A1014" w14:textId="77777777" w:rsidR="00F72181" w:rsidRDefault="00F72181" w:rsidP="00C42586">
    <w:pPr>
      <w:pStyle w:val="Sidefod"/>
      <w:tabs>
        <w:tab w:val="clear" w:pos="4819"/>
        <w:tab w:val="left" w:pos="8505"/>
      </w:tabs>
      <w:rPr>
        <w:i/>
        <w:sz w:val="18"/>
        <w:szCs w:val="18"/>
      </w:rPr>
    </w:pPr>
  </w:p>
  <w:p w14:paraId="59B79E77" w14:textId="6E21B5CD" w:rsidR="00F72181" w:rsidRPr="00B373D7" w:rsidRDefault="00F7218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Neurisol, oral opløsning 50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FCF1D" w14:textId="77777777" w:rsidR="00F72181" w:rsidRDefault="00F72181">
      <w:r>
        <w:separator/>
      </w:r>
    </w:p>
  </w:footnote>
  <w:footnote w:type="continuationSeparator" w:id="0">
    <w:p w14:paraId="1788A54A" w14:textId="77777777" w:rsidR="00F72181" w:rsidRDefault="00F72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68879E5"/>
    <w:multiLevelType w:val="hybridMultilevel"/>
    <w:tmpl w:val="F014E3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D7"/>
    <w:rsid w:val="000259B9"/>
    <w:rsid w:val="00041491"/>
    <w:rsid w:val="00050D16"/>
    <w:rsid w:val="00051C8B"/>
    <w:rsid w:val="00060746"/>
    <w:rsid w:val="000730CA"/>
    <w:rsid w:val="00074F2A"/>
    <w:rsid w:val="000A1CA8"/>
    <w:rsid w:val="000A466B"/>
    <w:rsid w:val="000B058C"/>
    <w:rsid w:val="000D68B0"/>
    <w:rsid w:val="000E4EE6"/>
    <w:rsid w:val="001454E2"/>
    <w:rsid w:val="001A5873"/>
    <w:rsid w:val="0020341F"/>
    <w:rsid w:val="00206CE8"/>
    <w:rsid w:val="0021526C"/>
    <w:rsid w:val="00283A2B"/>
    <w:rsid w:val="002B30AD"/>
    <w:rsid w:val="002C1EC0"/>
    <w:rsid w:val="002C2C01"/>
    <w:rsid w:val="002D449B"/>
    <w:rsid w:val="003A29AE"/>
    <w:rsid w:val="003A32D7"/>
    <w:rsid w:val="003B4074"/>
    <w:rsid w:val="003C2BF1"/>
    <w:rsid w:val="003C769A"/>
    <w:rsid w:val="003D02C7"/>
    <w:rsid w:val="003D3A90"/>
    <w:rsid w:val="003E054D"/>
    <w:rsid w:val="003F1838"/>
    <w:rsid w:val="004251C1"/>
    <w:rsid w:val="0045746C"/>
    <w:rsid w:val="0049104B"/>
    <w:rsid w:val="004B5A83"/>
    <w:rsid w:val="004E3B12"/>
    <w:rsid w:val="005248D7"/>
    <w:rsid w:val="00532310"/>
    <w:rsid w:val="00565F0F"/>
    <w:rsid w:val="00582EB7"/>
    <w:rsid w:val="00594A86"/>
    <w:rsid w:val="00596D86"/>
    <w:rsid w:val="00637F5A"/>
    <w:rsid w:val="00641C65"/>
    <w:rsid w:val="006560B1"/>
    <w:rsid w:val="006756DD"/>
    <w:rsid w:val="0071241E"/>
    <w:rsid w:val="00735CBF"/>
    <w:rsid w:val="00737275"/>
    <w:rsid w:val="00740EEC"/>
    <w:rsid w:val="0078011A"/>
    <w:rsid w:val="00782AF4"/>
    <w:rsid w:val="00790EE7"/>
    <w:rsid w:val="007B6649"/>
    <w:rsid w:val="007C3F7A"/>
    <w:rsid w:val="007E56A6"/>
    <w:rsid w:val="0082576E"/>
    <w:rsid w:val="0089346F"/>
    <w:rsid w:val="00907F75"/>
    <w:rsid w:val="009260DE"/>
    <w:rsid w:val="0093258A"/>
    <w:rsid w:val="009B5237"/>
    <w:rsid w:val="009C7BA3"/>
    <w:rsid w:val="009D1F5A"/>
    <w:rsid w:val="00A10294"/>
    <w:rsid w:val="00B003BF"/>
    <w:rsid w:val="00B373D7"/>
    <w:rsid w:val="00B55271"/>
    <w:rsid w:val="00B640C8"/>
    <w:rsid w:val="00BD7931"/>
    <w:rsid w:val="00BF6243"/>
    <w:rsid w:val="00C36276"/>
    <w:rsid w:val="00C42586"/>
    <w:rsid w:val="00C45F6B"/>
    <w:rsid w:val="00C60CCD"/>
    <w:rsid w:val="00C84483"/>
    <w:rsid w:val="00C95551"/>
    <w:rsid w:val="00CB20D7"/>
    <w:rsid w:val="00D020B0"/>
    <w:rsid w:val="00D11748"/>
    <w:rsid w:val="00D237F6"/>
    <w:rsid w:val="00D343EF"/>
    <w:rsid w:val="00D34D98"/>
    <w:rsid w:val="00D366CF"/>
    <w:rsid w:val="00D93992"/>
    <w:rsid w:val="00E108AA"/>
    <w:rsid w:val="00E32710"/>
    <w:rsid w:val="00E3749A"/>
    <w:rsid w:val="00E71FC4"/>
    <w:rsid w:val="00E7437F"/>
    <w:rsid w:val="00E865B8"/>
    <w:rsid w:val="00EC0B9B"/>
    <w:rsid w:val="00ED5E9F"/>
    <w:rsid w:val="00F66D4F"/>
    <w:rsid w:val="00F72181"/>
    <w:rsid w:val="00F836A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CB205"/>
  <w15:chartTrackingRefBased/>
  <w15:docId w15:val="{AF02D10D-83E1-4507-9AFC-E654522E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39"/>
    <w:rsid w:val="009B5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145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8834594">
      <w:bodyDiv w:val="1"/>
      <w:marLeft w:val="0"/>
      <w:marRight w:val="0"/>
      <w:marTop w:val="0"/>
      <w:marBottom w:val="0"/>
      <w:divBdr>
        <w:top w:val="none" w:sz="0" w:space="0" w:color="auto"/>
        <w:left w:val="none" w:sz="0" w:space="0" w:color="auto"/>
        <w:bottom w:val="none" w:sz="0" w:space="0" w:color="auto"/>
        <w:right w:val="none" w:sz="0" w:space="0" w:color="auto"/>
      </w:divBdr>
    </w:div>
    <w:div w:id="202064289">
      <w:bodyDiv w:val="1"/>
      <w:marLeft w:val="0"/>
      <w:marRight w:val="0"/>
      <w:marTop w:val="0"/>
      <w:marBottom w:val="0"/>
      <w:divBdr>
        <w:top w:val="none" w:sz="0" w:space="0" w:color="auto"/>
        <w:left w:val="none" w:sz="0" w:space="0" w:color="auto"/>
        <w:bottom w:val="none" w:sz="0" w:space="0" w:color="auto"/>
        <w:right w:val="none" w:sz="0" w:space="0" w:color="auto"/>
      </w:divBdr>
    </w:div>
    <w:div w:id="232131325">
      <w:bodyDiv w:val="1"/>
      <w:marLeft w:val="0"/>
      <w:marRight w:val="0"/>
      <w:marTop w:val="0"/>
      <w:marBottom w:val="0"/>
      <w:divBdr>
        <w:top w:val="none" w:sz="0" w:space="0" w:color="auto"/>
        <w:left w:val="none" w:sz="0" w:space="0" w:color="auto"/>
        <w:bottom w:val="none" w:sz="0" w:space="0" w:color="auto"/>
        <w:right w:val="none" w:sz="0" w:space="0" w:color="auto"/>
      </w:divBdr>
    </w:div>
    <w:div w:id="468324362">
      <w:bodyDiv w:val="1"/>
      <w:marLeft w:val="0"/>
      <w:marRight w:val="0"/>
      <w:marTop w:val="0"/>
      <w:marBottom w:val="0"/>
      <w:divBdr>
        <w:top w:val="none" w:sz="0" w:space="0" w:color="auto"/>
        <w:left w:val="none" w:sz="0" w:space="0" w:color="auto"/>
        <w:bottom w:val="none" w:sz="0" w:space="0" w:color="auto"/>
        <w:right w:val="none" w:sz="0" w:space="0" w:color="auto"/>
      </w:divBdr>
    </w:div>
    <w:div w:id="468715439">
      <w:bodyDiv w:val="1"/>
      <w:marLeft w:val="0"/>
      <w:marRight w:val="0"/>
      <w:marTop w:val="0"/>
      <w:marBottom w:val="0"/>
      <w:divBdr>
        <w:top w:val="none" w:sz="0" w:space="0" w:color="auto"/>
        <w:left w:val="none" w:sz="0" w:space="0" w:color="auto"/>
        <w:bottom w:val="none" w:sz="0" w:space="0" w:color="auto"/>
        <w:right w:val="none" w:sz="0" w:space="0" w:color="auto"/>
      </w:divBdr>
    </w:div>
    <w:div w:id="559555747">
      <w:bodyDiv w:val="1"/>
      <w:marLeft w:val="0"/>
      <w:marRight w:val="0"/>
      <w:marTop w:val="0"/>
      <w:marBottom w:val="0"/>
      <w:divBdr>
        <w:top w:val="none" w:sz="0" w:space="0" w:color="auto"/>
        <w:left w:val="none" w:sz="0" w:space="0" w:color="auto"/>
        <w:bottom w:val="none" w:sz="0" w:space="0" w:color="auto"/>
        <w:right w:val="none" w:sz="0" w:space="0" w:color="auto"/>
      </w:divBdr>
    </w:div>
    <w:div w:id="603078472">
      <w:bodyDiv w:val="1"/>
      <w:marLeft w:val="0"/>
      <w:marRight w:val="0"/>
      <w:marTop w:val="0"/>
      <w:marBottom w:val="0"/>
      <w:divBdr>
        <w:top w:val="none" w:sz="0" w:space="0" w:color="auto"/>
        <w:left w:val="none" w:sz="0" w:space="0" w:color="auto"/>
        <w:bottom w:val="none" w:sz="0" w:space="0" w:color="auto"/>
        <w:right w:val="none" w:sz="0" w:space="0" w:color="auto"/>
      </w:divBdr>
    </w:div>
    <w:div w:id="642004139">
      <w:bodyDiv w:val="1"/>
      <w:marLeft w:val="0"/>
      <w:marRight w:val="0"/>
      <w:marTop w:val="0"/>
      <w:marBottom w:val="0"/>
      <w:divBdr>
        <w:top w:val="none" w:sz="0" w:space="0" w:color="auto"/>
        <w:left w:val="none" w:sz="0" w:space="0" w:color="auto"/>
        <w:bottom w:val="none" w:sz="0" w:space="0" w:color="auto"/>
        <w:right w:val="none" w:sz="0" w:space="0" w:color="auto"/>
      </w:divBdr>
    </w:div>
    <w:div w:id="664670310">
      <w:bodyDiv w:val="1"/>
      <w:marLeft w:val="0"/>
      <w:marRight w:val="0"/>
      <w:marTop w:val="0"/>
      <w:marBottom w:val="0"/>
      <w:divBdr>
        <w:top w:val="none" w:sz="0" w:space="0" w:color="auto"/>
        <w:left w:val="none" w:sz="0" w:space="0" w:color="auto"/>
        <w:bottom w:val="none" w:sz="0" w:space="0" w:color="auto"/>
        <w:right w:val="none" w:sz="0" w:space="0" w:color="auto"/>
      </w:divBdr>
    </w:div>
    <w:div w:id="716469962">
      <w:bodyDiv w:val="1"/>
      <w:marLeft w:val="0"/>
      <w:marRight w:val="0"/>
      <w:marTop w:val="0"/>
      <w:marBottom w:val="0"/>
      <w:divBdr>
        <w:top w:val="none" w:sz="0" w:space="0" w:color="auto"/>
        <w:left w:val="none" w:sz="0" w:space="0" w:color="auto"/>
        <w:bottom w:val="none" w:sz="0" w:space="0" w:color="auto"/>
        <w:right w:val="none" w:sz="0" w:space="0" w:color="auto"/>
      </w:divBdr>
    </w:div>
    <w:div w:id="796799168">
      <w:bodyDiv w:val="1"/>
      <w:marLeft w:val="0"/>
      <w:marRight w:val="0"/>
      <w:marTop w:val="0"/>
      <w:marBottom w:val="0"/>
      <w:divBdr>
        <w:top w:val="none" w:sz="0" w:space="0" w:color="auto"/>
        <w:left w:val="none" w:sz="0" w:space="0" w:color="auto"/>
        <w:bottom w:val="none" w:sz="0" w:space="0" w:color="auto"/>
        <w:right w:val="none" w:sz="0" w:space="0" w:color="auto"/>
      </w:divBdr>
    </w:div>
    <w:div w:id="855583706">
      <w:bodyDiv w:val="1"/>
      <w:marLeft w:val="0"/>
      <w:marRight w:val="0"/>
      <w:marTop w:val="0"/>
      <w:marBottom w:val="0"/>
      <w:divBdr>
        <w:top w:val="none" w:sz="0" w:space="0" w:color="auto"/>
        <w:left w:val="none" w:sz="0" w:space="0" w:color="auto"/>
        <w:bottom w:val="none" w:sz="0" w:space="0" w:color="auto"/>
        <w:right w:val="none" w:sz="0" w:space="0" w:color="auto"/>
      </w:divBdr>
    </w:div>
    <w:div w:id="916133684">
      <w:bodyDiv w:val="1"/>
      <w:marLeft w:val="0"/>
      <w:marRight w:val="0"/>
      <w:marTop w:val="0"/>
      <w:marBottom w:val="0"/>
      <w:divBdr>
        <w:top w:val="none" w:sz="0" w:space="0" w:color="auto"/>
        <w:left w:val="none" w:sz="0" w:space="0" w:color="auto"/>
        <w:bottom w:val="none" w:sz="0" w:space="0" w:color="auto"/>
        <w:right w:val="none" w:sz="0" w:space="0" w:color="auto"/>
      </w:divBdr>
    </w:div>
    <w:div w:id="941763613">
      <w:bodyDiv w:val="1"/>
      <w:marLeft w:val="0"/>
      <w:marRight w:val="0"/>
      <w:marTop w:val="0"/>
      <w:marBottom w:val="0"/>
      <w:divBdr>
        <w:top w:val="none" w:sz="0" w:space="0" w:color="auto"/>
        <w:left w:val="none" w:sz="0" w:space="0" w:color="auto"/>
        <w:bottom w:val="none" w:sz="0" w:space="0" w:color="auto"/>
        <w:right w:val="none" w:sz="0" w:space="0" w:color="auto"/>
      </w:divBdr>
    </w:div>
    <w:div w:id="952829539">
      <w:bodyDiv w:val="1"/>
      <w:marLeft w:val="0"/>
      <w:marRight w:val="0"/>
      <w:marTop w:val="0"/>
      <w:marBottom w:val="0"/>
      <w:divBdr>
        <w:top w:val="none" w:sz="0" w:space="0" w:color="auto"/>
        <w:left w:val="none" w:sz="0" w:space="0" w:color="auto"/>
        <w:bottom w:val="none" w:sz="0" w:space="0" w:color="auto"/>
        <w:right w:val="none" w:sz="0" w:space="0" w:color="auto"/>
      </w:divBdr>
    </w:div>
    <w:div w:id="1049769666">
      <w:bodyDiv w:val="1"/>
      <w:marLeft w:val="0"/>
      <w:marRight w:val="0"/>
      <w:marTop w:val="0"/>
      <w:marBottom w:val="0"/>
      <w:divBdr>
        <w:top w:val="none" w:sz="0" w:space="0" w:color="auto"/>
        <w:left w:val="none" w:sz="0" w:space="0" w:color="auto"/>
        <w:bottom w:val="none" w:sz="0" w:space="0" w:color="auto"/>
        <w:right w:val="none" w:sz="0" w:space="0" w:color="auto"/>
      </w:divBdr>
    </w:div>
    <w:div w:id="1062946374">
      <w:bodyDiv w:val="1"/>
      <w:marLeft w:val="0"/>
      <w:marRight w:val="0"/>
      <w:marTop w:val="0"/>
      <w:marBottom w:val="0"/>
      <w:divBdr>
        <w:top w:val="none" w:sz="0" w:space="0" w:color="auto"/>
        <w:left w:val="none" w:sz="0" w:space="0" w:color="auto"/>
        <w:bottom w:val="none" w:sz="0" w:space="0" w:color="auto"/>
        <w:right w:val="none" w:sz="0" w:space="0" w:color="auto"/>
      </w:divBdr>
    </w:div>
    <w:div w:id="1153333958">
      <w:bodyDiv w:val="1"/>
      <w:marLeft w:val="0"/>
      <w:marRight w:val="0"/>
      <w:marTop w:val="0"/>
      <w:marBottom w:val="0"/>
      <w:divBdr>
        <w:top w:val="none" w:sz="0" w:space="0" w:color="auto"/>
        <w:left w:val="none" w:sz="0" w:space="0" w:color="auto"/>
        <w:bottom w:val="none" w:sz="0" w:space="0" w:color="auto"/>
        <w:right w:val="none" w:sz="0" w:space="0" w:color="auto"/>
      </w:divBdr>
    </w:div>
    <w:div w:id="1161505899">
      <w:bodyDiv w:val="1"/>
      <w:marLeft w:val="0"/>
      <w:marRight w:val="0"/>
      <w:marTop w:val="0"/>
      <w:marBottom w:val="0"/>
      <w:divBdr>
        <w:top w:val="none" w:sz="0" w:space="0" w:color="auto"/>
        <w:left w:val="none" w:sz="0" w:space="0" w:color="auto"/>
        <w:bottom w:val="none" w:sz="0" w:space="0" w:color="auto"/>
        <w:right w:val="none" w:sz="0" w:space="0" w:color="auto"/>
      </w:divBdr>
    </w:div>
    <w:div w:id="1186213878">
      <w:bodyDiv w:val="1"/>
      <w:marLeft w:val="0"/>
      <w:marRight w:val="0"/>
      <w:marTop w:val="0"/>
      <w:marBottom w:val="0"/>
      <w:divBdr>
        <w:top w:val="none" w:sz="0" w:space="0" w:color="auto"/>
        <w:left w:val="none" w:sz="0" w:space="0" w:color="auto"/>
        <w:bottom w:val="none" w:sz="0" w:space="0" w:color="auto"/>
        <w:right w:val="none" w:sz="0" w:space="0" w:color="auto"/>
      </w:divBdr>
    </w:div>
    <w:div w:id="1325165397">
      <w:bodyDiv w:val="1"/>
      <w:marLeft w:val="0"/>
      <w:marRight w:val="0"/>
      <w:marTop w:val="0"/>
      <w:marBottom w:val="0"/>
      <w:divBdr>
        <w:top w:val="none" w:sz="0" w:space="0" w:color="auto"/>
        <w:left w:val="none" w:sz="0" w:space="0" w:color="auto"/>
        <w:bottom w:val="none" w:sz="0" w:space="0" w:color="auto"/>
        <w:right w:val="none" w:sz="0" w:space="0" w:color="auto"/>
      </w:divBdr>
    </w:div>
    <w:div w:id="1329988604">
      <w:bodyDiv w:val="1"/>
      <w:marLeft w:val="0"/>
      <w:marRight w:val="0"/>
      <w:marTop w:val="0"/>
      <w:marBottom w:val="0"/>
      <w:divBdr>
        <w:top w:val="none" w:sz="0" w:space="0" w:color="auto"/>
        <w:left w:val="none" w:sz="0" w:space="0" w:color="auto"/>
        <w:bottom w:val="none" w:sz="0" w:space="0" w:color="auto"/>
        <w:right w:val="none" w:sz="0" w:space="0" w:color="auto"/>
      </w:divBdr>
    </w:div>
    <w:div w:id="1367176236">
      <w:bodyDiv w:val="1"/>
      <w:marLeft w:val="0"/>
      <w:marRight w:val="0"/>
      <w:marTop w:val="0"/>
      <w:marBottom w:val="0"/>
      <w:divBdr>
        <w:top w:val="none" w:sz="0" w:space="0" w:color="auto"/>
        <w:left w:val="none" w:sz="0" w:space="0" w:color="auto"/>
        <w:bottom w:val="none" w:sz="0" w:space="0" w:color="auto"/>
        <w:right w:val="none" w:sz="0" w:space="0" w:color="auto"/>
      </w:divBdr>
    </w:div>
    <w:div w:id="1392844112">
      <w:bodyDiv w:val="1"/>
      <w:marLeft w:val="0"/>
      <w:marRight w:val="0"/>
      <w:marTop w:val="0"/>
      <w:marBottom w:val="0"/>
      <w:divBdr>
        <w:top w:val="none" w:sz="0" w:space="0" w:color="auto"/>
        <w:left w:val="none" w:sz="0" w:space="0" w:color="auto"/>
        <w:bottom w:val="none" w:sz="0" w:space="0" w:color="auto"/>
        <w:right w:val="none" w:sz="0" w:space="0" w:color="auto"/>
      </w:divBdr>
    </w:div>
    <w:div w:id="1423991901">
      <w:bodyDiv w:val="1"/>
      <w:marLeft w:val="0"/>
      <w:marRight w:val="0"/>
      <w:marTop w:val="0"/>
      <w:marBottom w:val="0"/>
      <w:divBdr>
        <w:top w:val="none" w:sz="0" w:space="0" w:color="auto"/>
        <w:left w:val="none" w:sz="0" w:space="0" w:color="auto"/>
        <w:bottom w:val="none" w:sz="0" w:space="0" w:color="auto"/>
        <w:right w:val="none" w:sz="0" w:space="0" w:color="auto"/>
      </w:divBdr>
    </w:div>
    <w:div w:id="1428844822">
      <w:bodyDiv w:val="1"/>
      <w:marLeft w:val="0"/>
      <w:marRight w:val="0"/>
      <w:marTop w:val="0"/>
      <w:marBottom w:val="0"/>
      <w:divBdr>
        <w:top w:val="none" w:sz="0" w:space="0" w:color="auto"/>
        <w:left w:val="none" w:sz="0" w:space="0" w:color="auto"/>
        <w:bottom w:val="none" w:sz="0" w:space="0" w:color="auto"/>
        <w:right w:val="none" w:sz="0" w:space="0" w:color="auto"/>
      </w:divBdr>
    </w:div>
    <w:div w:id="1459761275">
      <w:bodyDiv w:val="1"/>
      <w:marLeft w:val="0"/>
      <w:marRight w:val="0"/>
      <w:marTop w:val="0"/>
      <w:marBottom w:val="0"/>
      <w:divBdr>
        <w:top w:val="none" w:sz="0" w:space="0" w:color="auto"/>
        <w:left w:val="none" w:sz="0" w:space="0" w:color="auto"/>
        <w:bottom w:val="none" w:sz="0" w:space="0" w:color="auto"/>
        <w:right w:val="none" w:sz="0" w:space="0" w:color="auto"/>
      </w:divBdr>
    </w:div>
    <w:div w:id="1463034783">
      <w:bodyDiv w:val="1"/>
      <w:marLeft w:val="0"/>
      <w:marRight w:val="0"/>
      <w:marTop w:val="0"/>
      <w:marBottom w:val="0"/>
      <w:divBdr>
        <w:top w:val="none" w:sz="0" w:space="0" w:color="auto"/>
        <w:left w:val="none" w:sz="0" w:space="0" w:color="auto"/>
        <w:bottom w:val="none" w:sz="0" w:space="0" w:color="auto"/>
        <w:right w:val="none" w:sz="0" w:space="0" w:color="auto"/>
      </w:divBdr>
    </w:div>
    <w:div w:id="1481536068">
      <w:bodyDiv w:val="1"/>
      <w:marLeft w:val="0"/>
      <w:marRight w:val="0"/>
      <w:marTop w:val="0"/>
      <w:marBottom w:val="0"/>
      <w:divBdr>
        <w:top w:val="none" w:sz="0" w:space="0" w:color="auto"/>
        <w:left w:val="none" w:sz="0" w:space="0" w:color="auto"/>
        <w:bottom w:val="none" w:sz="0" w:space="0" w:color="auto"/>
        <w:right w:val="none" w:sz="0" w:space="0" w:color="auto"/>
      </w:divBdr>
    </w:div>
    <w:div w:id="1542281110">
      <w:bodyDiv w:val="1"/>
      <w:marLeft w:val="0"/>
      <w:marRight w:val="0"/>
      <w:marTop w:val="0"/>
      <w:marBottom w:val="0"/>
      <w:divBdr>
        <w:top w:val="none" w:sz="0" w:space="0" w:color="auto"/>
        <w:left w:val="none" w:sz="0" w:space="0" w:color="auto"/>
        <w:bottom w:val="none" w:sz="0" w:space="0" w:color="auto"/>
        <w:right w:val="none" w:sz="0" w:space="0" w:color="auto"/>
      </w:divBdr>
    </w:div>
    <w:div w:id="1544126171">
      <w:bodyDiv w:val="1"/>
      <w:marLeft w:val="0"/>
      <w:marRight w:val="0"/>
      <w:marTop w:val="0"/>
      <w:marBottom w:val="0"/>
      <w:divBdr>
        <w:top w:val="none" w:sz="0" w:space="0" w:color="auto"/>
        <w:left w:val="none" w:sz="0" w:space="0" w:color="auto"/>
        <w:bottom w:val="none" w:sz="0" w:space="0" w:color="auto"/>
        <w:right w:val="none" w:sz="0" w:space="0" w:color="auto"/>
      </w:divBdr>
    </w:div>
    <w:div w:id="1646622081">
      <w:bodyDiv w:val="1"/>
      <w:marLeft w:val="0"/>
      <w:marRight w:val="0"/>
      <w:marTop w:val="0"/>
      <w:marBottom w:val="0"/>
      <w:divBdr>
        <w:top w:val="none" w:sz="0" w:space="0" w:color="auto"/>
        <w:left w:val="none" w:sz="0" w:space="0" w:color="auto"/>
        <w:bottom w:val="none" w:sz="0" w:space="0" w:color="auto"/>
        <w:right w:val="none" w:sz="0" w:space="0" w:color="auto"/>
      </w:divBdr>
    </w:div>
    <w:div w:id="1649095197">
      <w:bodyDiv w:val="1"/>
      <w:marLeft w:val="0"/>
      <w:marRight w:val="0"/>
      <w:marTop w:val="0"/>
      <w:marBottom w:val="0"/>
      <w:divBdr>
        <w:top w:val="none" w:sz="0" w:space="0" w:color="auto"/>
        <w:left w:val="none" w:sz="0" w:space="0" w:color="auto"/>
        <w:bottom w:val="none" w:sz="0" w:space="0" w:color="auto"/>
        <w:right w:val="none" w:sz="0" w:space="0" w:color="auto"/>
      </w:divBdr>
    </w:div>
    <w:div w:id="1671181289">
      <w:bodyDiv w:val="1"/>
      <w:marLeft w:val="0"/>
      <w:marRight w:val="0"/>
      <w:marTop w:val="0"/>
      <w:marBottom w:val="0"/>
      <w:divBdr>
        <w:top w:val="none" w:sz="0" w:space="0" w:color="auto"/>
        <w:left w:val="none" w:sz="0" w:space="0" w:color="auto"/>
        <w:bottom w:val="none" w:sz="0" w:space="0" w:color="auto"/>
        <w:right w:val="none" w:sz="0" w:space="0" w:color="auto"/>
      </w:divBdr>
    </w:div>
    <w:div w:id="1712029635">
      <w:bodyDiv w:val="1"/>
      <w:marLeft w:val="0"/>
      <w:marRight w:val="0"/>
      <w:marTop w:val="0"/>
      <w:marBottom w:val="0"/>
      <w:divBdr>
        <w:top w:val="none" w:sz="0" w:space="0" w:color="auto"/>
        <w:left w:val="none" w:sz="0" w:space="0" w:color="auto"/>
        <w:bottom w:val="none" w:sz="0" w:space="0" w:color="auto"/>
        <w:right w:val="none" w:sz="0" w:space="0" w:color="auto"/>
      </w:divBdr>
    </w:div>
    <w:div w:id="1742019395">
      <w:bodyDiv w:val="1"/>
      <w:marLeft w:val="0"/>
      <w:marRight w:val="0"/>
      <w:marTop w:val="0"/>
      <w:marBottom w:val="0"/>
      <w:divBdr>
        <w:top w:val="none" w:sz="0" w:space="0" w:color="auto"/>
        <w:left w:val="none" w:sz="0" w:space="0" w:color="auto"/>
        <w:bottom w:val="none" w:sz="0" w:space="0" w:color="auto"/>
        <w:right w:val="none" w:sz="0" w:space="0" w:color="auto"/>
      </w:divBdr>
    </w:div>
    <w:div w:id="1745104998">
      <w:bodyDiv w:val="1"/>
      <w:marLeft w:val="0"/>
      <w:marRight w:val="0"/>
      <w:marTop w:val="0"/>
      <w:marBottom w:val="0"/>
      <w:divBdr>
        <w:top w:val="none" w:sz="0" w:space="0" w:color="auto"/>
        <w:left w:val="none" w:sz="0" w:space="0" w:color="auto"/>
        <w:bottom w:val="none" w:sz="0" w:space="0" w:color="auto"/>
        <w:right w:val="none" w:sz="0" w:space="0" w:color="auto"/>
      </w:divBdr>
    </w:div>
    <w:div w:id="2080244580">
      <w:bodyDiv w:val="1"/>
      <w:marLeft w:val="0"/>
      <w:marRight w:val="0"/>
      <w:marTop w:val="0"/>
      <w:marBottom w:val="0"/>
      <w:divBdr>
        <w:top w:val="none" w:sz="0" w:space="0" w:color="auto"/>
        <w:left w:val="none" w:sz="0" w:space="0" w:color="auto"/>
        <w:bottom w:val="none" w:sz="0" w:space="0" w:color="auto"/>
        <w:right w:val="none" w:sz="0" w:space="0" w:color="auto"/>
      </w:divBdr>
    </w:div>
    <w:div w:id="21130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110</TotalTime>
  <Pages>16</Pages>
  <Words>5266</Words>
  <Characters>33578</Characters>
  <Application>Microsoft Office Word</Application>
  <DocSecurity>0</DocSecurity>
  <Lines>279</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2023120687 mt. Efterflg smårettelser (tastefejl mv.)</dc:description>
  <cp:lastModifiedBy>Hanne Thy Iversen</cp:lastModifiedBy>
  <cp:revision>18</cp:revision>
  <cp:lastPrinted>2012-08-22T08:53:00Z</cp:lastPrinted>
  <dcterms:created xsi:type="dcterms:W3CDTF">2025-01-24T10:49:00Z</dcterms:created>
  <dcterms:modified xsi:type="dcterms:W3CDTF">2025-01-27T12:01:00Z</dcterms:modified>
</cp:coreProperties>
</file>