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62958" w14:textId="77777777" w:rsidR="004A3BF4" w:rsidRPr="0063448B" w:rsidRDefault="00056601" w:rsidP="004A3BF4">
      <w:pPr>
        <w:rPr>
          <w:sz w:val="24"/>
          <w:szCs w:val="24"/>
          <w:lang w:val="en-GB"/>
        </w:rPr>
      </w:pPr>
      <w:r w:rsidRPr="0063448B">
        <w:rPr>
          <w:noProof/>
          <w:sz w:val="24"/>
          <w:szCs w:val="24"/>
          <w:lang w:val="en-GB"/>
        </w:rPr>
        <w:drawing>
          <wp:inline distT="0" distB="0" distL="0" distR="0" wp14:anchorId="67DE008F" wp14:editId="4AC867B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D7CF16F" w14:textId="77777777" w:rsidR="006B3847" w:rsidRPr="0063448B" w:rsidRDefault="006B3847" w:rsidP="006B3847">
      <w:pPr>
        <w:rPr>
          <w:sz w:val="24"/>
          <w:szCs w:val="24"/>
          <w:lang w:val="en-GB"/>
        </w:rPr>
      </w:pPr>
    </w:p>
    <w:p w14:paraId="2D46E859" w14:textId="64B1A170" w:rsidR="006B3847" w:rsidRPr="0063448B" w:rsidRDefault="006B3847" w:rsidP="006B3847">
      <w:pPr>
        <w:tabs>
          <w:tab w:val="right" w:pos="9356"/>
        </w:tabs>
        <w:rPr>
          <w:b/>
          <w:sz w:val="24"/>
          <w:szCs w:val="24"/>
          <w:lang w:val="en-GB"/>
        </w:rPr>
      </w:pPr>
      <w:r w:rsidRPr="0063448B">
        <w:rPr>
          <w:b/>
          <w:sz w:val="24"/>
          <w:szCs w:val="24"/>
          <w:lang w:val="en-GB"/>
        </w:rPr>
        <w:tab/>
      </w:r>
      <w:r w:rsidR="00393F9C">
        <w:rPr>
          <w:b/>
          <w:sz w:val="24"/>
          <w:szCs w:val="24"/>
          <w:lang w:val="en-GB"/>
        </w:rPr>
        <w:t>12 July 2024</w:t>
      </w:r>
    </w:p>
    <w:p w14:paraId="144C5A94" w14:textId="77777777" w:rsidR="006B3847" w:rsidRPr="0063448B" w:rsidRDefault="006B3847" w:rsidP="006B3847">
      <w:pPr>
        <w:rPr>
          <w:sz w:val="24"/>
          <w:szCs w:val="24"/>
          <w:lang w:val="en-GB"/>
        </w:rPr>
      </w:pPr>
    </w:p>
    <w:p w14:paraId="503B94BD" w14:textId="77777777" w:rsidR="007C5D2A" w:rsidRPr="0063448B" w:rsidRDefault="007C5D2A" w:rsidP="007C5D2A">
      <w:pPr>
        <w:rPr>
          <w:sz w:val="24"/>
          <w:szCs w:val="24"/>
          <w:lang w:val="en-GB"/>
        </w:rPr>
      </w:pPr>
    </w:p>
    <w:p w14:paraId="18C6009D" w14:textId="77777777" w:rsidR="007C5D2A" w:rsidRPr="0063448B" w:rsidRDefault="007C5D2A" w:rsidP="007C5D2A">
      <w:pPr>
        <w:rPr>
          <w:sz w:val="24"/>
          <w:szCs w:val="24"/>
          <w:lang w:val="en-GB"/>
        </w:rPr>
      </w:pPr>
    </w:p>
    <w:p w14:paraId="7F12345D" w14:textId="77777777" w:rsidR="007C5D2A" w:rsidRPr="0063448B" w:rsidRDefault="007C5D2A" w:rsidP="007C5D2A">
      <w:pPr>
        <w:jc w:val="center"/>
        <w:rPr>
          <w:b/>
          <w:sz w:val="24"/>
          <w:szCs w:val="24"/>
          <w:lang w:val="en-GB"/>
        </w:rPr>
      </w:pPr>
      <w:bookmarkStart w:id="0" w:name="_Hlk49158549"/>
      <w:r w:rsidRPr="0063448B">
        <w:rPr>
          <w:b/>
          <w:sz w:val="24"/>
          <w:szCs w:val="24"/>
          <w:lang w:val="en-GB"/>
        </w:rPr>
        <w:t>SUMMARY OF PRODUCT CHARACTERISTICS</w:t>
      </w:r>
    </w:p>
    <w:bookmarkEnd w:id="0"/>
    <w:p w14:paraId="786FCFDD" w14:textId="77777777" w:rsidR="007C5D2A" w:rsidRPr="0063448B" w:rsidRDefault="007C5D2A" w:rsidP="007C5D2A">
      <w:pPr>
        <w:jc w:val="center"/>
        <w:rPr>
          <w:sz w:val="24"/>
          <w:szCs w:val="24"/>
          <w:lang w:val="en-GB"/>
        </w:rPr>
      </w:pPr>
    </w:p>
    <w:p w14:paraId="748649B1" w14:textId="77777777" w:rsidR="007C5D2A" w:rsidRPr="0063448B" w:rsidRDefault="007C5D2A" w:rsidP="007C5D2A">
      <w:pPr>
        <w:jc w:val="center"/>
        <w:rPr>
          <w:b/>
          <w:sz w:val="24"/>
          <w:szCs w:val="24"/>
          <w:lang w:val="en-GB"/>
        </w:rPr>
      </w:pPr>
      <w:r w:rsidRPr="0063448B">
        <w:rPr>
          <w:b/>
          <w:sz w:val="24"/>
          <w:szCs w:val="24"/>
          <w:lang w:val="en-GB"/>
        </w:rPr>
        <w:t>for</w:t>
      </w:r>
    </w:p>
    <w:p w14:paraId="5EC6079B" w14:textId="77777777" w:rsidR="007C5D2A" w:rsidRPr="0063448B" w:rsidRDefault="007C5D2A" w:rsidP="007C5D2A">
      <w:pPr>
        <w:jc w:val="center"/>
        <w:rPr>
          <w:sz w:val="24"/>
          <w:szCs w:val="24"/>
          <w:lang w:val="en-GB"/>
        </w:rPr>
      </w:pPr>
    </w:p>
    <w:p w14:paraId="6E1EAC55" w14:textId="571650CD" w:rsidR="007C5D2A" w:rsidRPr="0063448B" w:rsidRDefault="003A108F" w:rsidP="007C5D2A">
      <w:pPr>
        <w:jc w:val="center"/>
        <w:rPr>
          <w:b/>
          <w:sz w:val="24"/>
          <w:szCs w:val="24"/>
          <w:lang w:val="en-GB"/>
        </w:rPr>
      </w:pPr>
      <w:proofErr w:type="spellStart"/>
      <w:r w:rsidRPr="0063448B">
        <w:rPr>
          <w:b/>
          <w:sz w:val="24"/>
          <w:szCs w:val="24"/>
          <w:lang w:val="en-GB"/>
        </w:rPr>
        <w:t>Nezodia</w:t>
      </w:r>
      <w:proofErr w:type="spellEnd"/>
      <w:r w:rsidRPr="0063448B">
        <w:rPr>
          <w:b/>
          <w:sz w:val="24"/>
          <w:szCs w:val="24"/>
          <w:lang w:val="en-GB"/>
        </w:rPr>
        <w:t>, film-coated tablets</w:t>
      </w:r>
    </w:p>
    <w:p w14:paraId="29C62FB8" w14:textId="77777777" w:rsidR="007C5D2A" w:rsidRPr="0063448B" w:rsidRDefault="007C5D2A" w:rsidP="007C5D2A">
      <w:pPr>
        <w:jc w:val="both"/>
        <w:rPr>
          <w:sz w:val="24"/>
          <w:szCs w:val="24"/>
          <w:lang w:val="en-GB"/>
        </w:rPr>
      </w:pPr>
    </w:p>
    <w:p w14:paraId="33215C9E" w14:textId="77777777" w:rsidR="0042292D" w:rsidRPr="0063448B" w:rsidRDefault="0042292D" w:rsidP="007C5D2A">
      <w:pPr>
        <w:jc w:val="both"/>
        <w:rPr>
          <w:sz w:val="24"/>
          <w:szCs w:val="24"/>
          <w:lang w:val="en-GB"/>
        </w:rPr>
      </w:pPr>
    </w:p>
    <w:p w14:paraId="21EAEAC6" w14:textId="77777777" w:rsidR="008F2F8C" w:rsidRPr="0063448B" w:rsidRDefault="008F2F8C" w:rsidP="008F2F8C">
      <w:pPr>
        <w:tabs>
          <w:tab w:val="left" w:pos="8222"/>
        </w:tabs>
        <w:ind w:left="851" w:hanging="851"/>
        <w:rPr>
          <w:b/>
          <w:sz w:val="24"/>
          <w:szCs w:val="24"/>
          <w:lang w:val="en-GB"/>
        </w:rPr>
      </w:pPr>
      <w:r w:rsidRPr="0063448B">
        <w:rPr>
          <w:b/>
          <w:sz w:val="24"/>
          <w:szCs w:val="24"/>
          <w:lang w:val="en-GB"/>
        </w:rPr>
        <w:t>0.</w:t>
      </w:r>
      <w:r w:rsidRPr="0063448B">
        <w:rPr>
          <w:b/>
          <w:sz w:val="24"/>
          <w:szCs w:val="24"/>
          <w:lang w:val="en-GB"/>
        </w:rPr>
        <w:tab/>
      </w:r>
      <w:proofErr w:type="gramStart"/>
      <w:r w:rsidRPr="0063448B">
        <w:rPr>
          <w:b/>
          <w:sz w:val="24"/>
          <w:szCs w:val="24"/>
          <w:lang w:val="en-GB"/>
        </w:rPr>
        <w:t>D.SP.NO</w:t>
      </w:r>
      <w:proofErr w:type="gramEnd"/>
      <w:r w:rsidRPr="0063448B">
        <w:rPr>
          <w:b/>
          <w:sz w:val="24"/>
          <w:szCs w:val="24"/>
          <w:lang w:val="en-GB"/>
        </w:rPr>
        <w:t>.</w:t>
      </w:r>
    </w:p>
    <w:p w14:paraId="4C3D6B72" w14:textId="42A8253C" w:rsidR="008F2F8C" w:rsidRPr="0063448B" w:rsidRDefault="003A108F" w:rsidP="008F2F8C">
      <w:pPr>
        <w:tabs>
          <w:tab w:val="left" w:pos="8222"/>
        </w:tabs>
        <w:ind w:left="851"/>
        <w:rPr>
          <w:sz w:val="24"/>
          <w:szCs w:val="24"/>
          <w:lang w:val="en-GB"/>
        </w:rPr>
      </w:pPr>
      <w:r w:rsidRPr="0063448B">
        <w:rPr>
          <w:sz w:val="24"/>
          <w:szCs w:val="24"/>
          <w:lang w:val="en-GB"/>
        </w:rPr>
        <w:t>33287</w:t>
      </w:r>
    </w:p>
    <w:p w14:paraId="6B4FD31F" w14:textId="77777777" w:rsidR="007C5D2A" w:rsidRPr="0063448B" w:rsidRDefault="007C5D2A" w:rsidP="007C5D2A">
      <w:pPr>
        <w:tabs>
          <w:tab w:val="left" w:pos="851"/>
        </w:tabs>
        <w:jc w:val="both"/>
        <w:rPr>
          <w:sz w:val="24"/>
          <w:szCs w:val="24"/>
          <w:lang w:val="en-GB"/>
        </w:rPr>
      </w:pPr>
    </w:p>
    <w:p w14:paraId="70633CE0" w14:textId="77777777" w:rsidR="007C5D2A" w:rsidRPr="0063448B" w:rsidRDefault="009925C9" w:rsidP="007C5D2A">
      <w:pPr>
        <w:tabs>
          <w:tab w:val="left" w:pos="851"/>
        </w:tabs>
        <w:ind w:left="851" w:hanging="851"/>
        <w:rPr>
          <w:sz w:val="24"/>
          <w:szCs w:val="24"/>
          <w:lang w:val="en-GB"/>
        </w:rPr>
      </w:pPr>
      <w:r w:rsidRPr="0063448B">
        <w:rPr>
          <w:b/>
          <w:sz w:val="24"/>
          <w:szCs w:val="24"/>
          <w:lang w:val="en-GB"/>
        </w:rPr>
        <w:t>1.</w:t>
      </w:r>
      <w:r w:rsidR="007C5D2A" w:rsidRPr="0063448B">
        <w:rPr>
          <w:b/>
          <w:sz w:val="24"/>
          <w:szCs w:val="24"/>
          <w:lang w:val="en-GB"/>
        </w:rPr>
        <w:tab/>
        <w:t>NAME OF THE MEDICINAL PRODUCT</w:t>
      </w:r>
    </w:p>
    <w:p w14:paraId="2A235DE1" w14:textId="7932DE97" w:rsidR="007C5D2A" w:rsidRPr="0063448B" w:rsidRDefault="003A108F" w:rsidP="004A3BF4">
      <w:pPr>
        <w:tabs>
          <w:tab w:val="left" w:pos="851"/>
        </w:tabs>
        <w:ind w:left="851"/>
        <w:rPr>
          <w:sz w:val="24"/>
          <w:szCs w:val="24"/>
          <w:lang w:val="en-GB"/>
        </w:rPr>
      </w:pPr>
      <w:proofErr w:type="spellStart"/>
      <w:r w:rsidRPr="0063448B">
        <w:rPr>
          <w:sz w:val="24"/>
          <w:szCs w:val="24"/>
          <w:lang w:val="en-GB"/>
        </w:rPr>
        <w:t>Nezodia</w:t>
      </w:r>
      <w:proofErr w:type="spellEnd"/>
    </w:p>
    <w:p w14:paraId="29D547FF" w14:textId="77777777" w:rsidR="007C5D2A" w:rsidRPr="0063448B" w:rsidRDefault="007C5D2A" w:rsidP="004A3BF4">
      <w:pPr>
        <w:tabs>
          <w:tab w:val="left" w:pos="851"/>
        </w:tabs>
        <w:ind w:left="851"/>
        <w:rPr>
          <w:sz w:val="24"/>
          <w:szCs w:val="24"/>
          <w:lang w:val="en-GB"/>
        </w:rPr>
      </w:pPr>
    </w:p>
    <w:p w14:paraId="7637D182" w14:textId="77777777" w:rsidR="007C5D2A" w:rsidRPr="0063448B" w:rsidRDefault="009925C9" w:rsidP="007C5D2A">
      <w:pPr>
        <w:ind w:left="851" w:hanging="851"/>
        <w:rPr>
          <w:b/>
          <w:sz w:val="24"/>
          <w:szCs w:val="24"/>
          <w:lang w:val="en-GB"/>
        </w:rPr>
      </w:pPr>
      <w:r w:rsidRPr="0063448B">
        <w:rPr>
          <w:b/>
          <w:sz w:val="24"/>
          <w:szCs w:val="24"/>
          <w:lang w:val="en-GB"/>
        </w:rPr>
        <w:t>2.</w:t>
      </w:r>
      <w:r w:rsidR="007C5D2A" w:rsidRPr="0063448B">
        <w:rPr>
          <w:b/>
          <w:sz w:val="24"/>
          <w:szCs w:val="24"/>
          <w:lang w:val="en-GB"/>
        </w:rPr>
        <w:tab/>
        <w:t>QUALITATIVE AND QUANTITATIVE COMPOSITION</w:t>
      </w:r>
    </w:p>
    <w:p w14:paraId="11931661" w14:textId="77777777" w:rsidR="003A108F" w:rsidRPr="0063448B" w:rsidRDefault="003A108F" w:rsidP="003A108F">
      <w:pPr>
        <w:ind w:left="851"/>
        <w:rPr>
          <w:noProof/>
          <w:sz w:val="24"/>
          <w:szCs w:val="24"/>
          <w:lang w:val="en-US"/>
        </w:rPr>
      </w:pPr>
      <w:r w:rsidRPr="0063448B">
        <w:rPr>
          <w:noProof/>
          <w:sz w:val="24"/>
          <w:szCs w:val="24"/>
          <w:lang w:val="en-US"/>
        </w:rPr>
        <w:t>Each tablet contains 5 mg of linagliptin.</w:t>
      </w:r>
    </w:p>
    <w:p w14:paraId="52CE51CB" w14:textId="77777777" w:rsidR="003A108F" w:rsidRPr="0063448B" w:rsidRDefault="003A108F" w:rsidP="003A108F">
      <w:pPr>
        <w:ind w:left="851"/>
        <w:rPr>
          <w:sz w:val="24"/>
          <w:szCs w:val="24"/>
          <w:lang w:val="en-US"/>
        </w:rPr>
      </w:pPr>
    </w:p>
    <w:p w14:paraId="5024A852" w14:textId="77777777" w:rsidR="003A108F" w:rsidRPr="0063448B" w:rsidRDefault="003A108F" w:rsidP="003A108F">
      <w:pPr>
        <w:ind w:left="851"/>
        <w:rPr>
          <w:sz w:val="24"/>
          <w:szCs w:val="24"/>
          <w:lang w:val="en-US"/>
        </w:rPr>
      </w:pPr>
      <w:r w:rsidRPr="0063448B">
        <w:rPr>
          <w:sz w:val="24"/>
          <w:szCs w:val="24"/>
          <w:lang w:val="en-US"/>
        </w:rPr>
        <w:t>For the full list of excipients, see section 6.1.</w:t>
      </w:r>
    </w:p>
    <w:p w14:paraId="3C29EE48" w14:textId="77777777" w:rsidR="007C5D2A" w:rsidRPr="0063448B" w:rsidRDefault="007C5D2A" w:rsidP="004A3BF4">
      <w:pPr>
        <w:tabs>
          <w:tab w:val="left" w:pos="851"/>
        </w:tabs>
        <w:ind w:left="851"/>
        <w:rPr>
          <w:sz w:val="24"/>
          <w:szCs w:val="24"/>
          <w:lang w:val="en-US"/>
        </w:rPr>
      </w:pPr>
    </w:p>
    <w:p w14:paraId="2FA709E3" w14:textId="77777777" w:rsidR="007C5D2A" w:rsidRPr="0063448B" w:rsidRDefault="007C5D2A" w:rsidP="007C5D2A">
      <w:pPr>
        <w:tabs>
          <w:tab w:val="left" w:pos="851"/>
        </w:tabs>
        <w:ind w:left="851" w:hanging="851"/>
        <w:rPr>
          <w:b/>
          <w:sz w:val="24"/>
          <w:szCs w:val="24"/>
          <w:lang w:val="en-GB"/>
        </w:rPr>
      </w:pPr>
      <w:r w:rsidRPr="0063448B">
        <w:rPr>
          <w:b/>
          <w:sz w:val="24"/>
          <w:szCs w:val="24"/>
          <w:lang w:val="en-GB"/>
        </w:rPr>
        <w:t>3.</w:t>
      </w:r>
      <w:r w:rsidRPr="0063448B">
        <w:rPr>
          <w:b/>
          <w:sz w:val="24"/>
          <w:szCs w:val="24"/>
          <w:lang w:val="en-GB"/>
        </w:rPr>
        <w:tab/>
        <w:t>PHARMACEUTICAL FORM</w:t>
      </w:r>
    </w:p>
    <w:p w14:paraId="13CE587B" w14:textId="4B40B30B" w:rsidR="003A108F" w:rsidRPr="0063448B" w:rsidRDefault="003A108F" w:rsidP="003A108F">
      <w:pPr>
        <w:ind w:left="851"/>
        <w:rPr>
          <w:sz w:val="24"/>
          <w:szCs w:val="24"/>
          <w:lang w:val="en-US"/>
        </w:rPr>
      </w:pPr>
      <w:r w:rsidRPr="0063448B">
        <w:rPr>
          <w:sz w:val="24"/>
          <w:szCs w:val="24"/>
          <w:lang w:val="en-US"/>
        </w:rPr>
        <w:t>Film-coated tablet</w:t>
      </w:r>
      <w:r w:rsidR="0063448B">
        <w:rPr>
          <w:sz w:val="24"/>
          <w:szCs w:val="24"/>
          <w:lang w:val="en-US"/>
        </w:rPr>
        <w:t>s</w:t>
      </w:r>
      <w:r w:rsidRPr="0063448B">
        <w:rPr>
          <w:sz w:val="24"/>
          <w:szCs w:val="24"/>
          <w:lang w:val="en-US"/>
        </w:rPr>
        <w:t xml:space="preserve"> (tablet</w:t>
      </w:r>
      <w:r w:rsidR="0063448B">
        <w:rPr>
          <w:sz w:val="24"/>
          <w:szCs w:val="24"/>
          <w:lang w:val="en-US"/>
        </w:rPr>
        <w:t>s</w:t>
      </w:r>
      <w:r w:rsidRPr="0063448B">
        <w:rPr>
          <w:sz w:val="24"/>
          <w:szCs w:val="24"/>
          <w:lang w:val="en-US"/>
        </w:rPr>
        <w:t>)</w:t>
      </w:r>
    </w:p>
    <w:p w14:paraId="6E251C68" w14:textId="77777777" w:rsidR="003A108F" w:rsidRPr="0063448B" w:rsidRDefault="003A108F" w:rsidP="003A108F">
      <w:pPr>
        <w:ind w:left="851"/>
        <w:rPr>
          <w:sz w:val="24"/>
          <w:szCs w:val="24"/>
          <w:lang w:val="en-US"/>
        </w:rPr>
      </w:pPr>
    </w:p>
    <w:p w14:paraId="20BFA4B0" w14:textId="77777777" w:rsidR="003A108F" w:rsidRPr="0063448B" w:rsidRDefault="003A108F" w:rsidP="003A108F">
      <w:pPr>
        <w:ind w:left="851"/>
        <w:rPr>
          <w:sz w:val="24"/>
          <w:szCs w:val="24"/>
          <w:lang w:val="en-US"/>
        </w:rPr>
      </w:pPr>
      <w:r w:rsidRPr="0063448B">
        <w:rPr>
          <w:sz w:val="24"/>
          <w:szCs w:val="24"/>
          <w:lang w:val="en-US"/>
        </w:rPr>
        <w:t>Light red, round (diameter of approx. 8 mm), biconvex, film-coated tablets.</w:t>
      </w:r>
    </w:p>
    <w:p w14:paraId="61574A98" w14:textId="77777777" w:rsidR="007C5D2A" w:rsidRPr="0063448B" w:rsidRDefault="007C5D2A" w:rsidP="003A108F">
      <w:pPr>
        <w:ind w:left="851"/>
        <w:rPr>
          <w:sz w:val="24"/>
          <w:szCs w:val="24"/>
          <w:lang w:val="en-US"/>
        </w:rPr>
      </w:pPr>
    </w:p>
    <w:p w14:paraId="6CD599FC" w14:textId="77777777" w:rsidR="007C5D2A" w:rsidRPr="0063448B" w:rsidRDefault="007C5D2A" w:rsidP="004A3BF4">
      <w:pPr>
        <w:tabs>
          <w:tab w:val="left" w:pos="851"/>
        </w:tabs>
        <w:ind w:left="851"/>
        <w:rPr>
          <w:sz w:val="24"/>
          <w:szCs w:val="24"/>
          <w:lang w:val="en-GB"/>
        </w:rPr>
      </w:pPr>
    </w:p>
    <w:p w14:paraId="5981408C" w14:textId="77777777" w:rsidR="007C5D2A" w:rsidRPr="0063448B" w:rsidRDefault="007C5D2A" w:rsidP="007C5D2A">
      <w:pPr>
        <w:ind w:left="851" w:hanging="851"/>
        <w:rPr>
          <w:b/>
          <w:sz w:val="24"/>
          <w:szCs w:val="24"/>
          <w:lang w:val="en-GB"/>
        </w:rPr>
      </w:pPr>
      <w:r w:rsidRPr="0063448B">
        <w:rPr>
          <w:b/>
          <w:sz w:val="24"/>
          <w:szCs w:val="24"/>
          <w:lang w:val="en-GB"/>
        </w:rPr>
        <w:t>4.</w:t>
      </w:r>
      <w:r w:rsidRPr="0063448B">
        <w:rPr>
          <w:b/>
          <w:sz w:val="24"/>
          <w:szCs w:val="24"/>
          <w:lang w:val="en-GB"/>
        </w:rPr>
        <w:tab/>
        <w:t>CLINICAL PARTICULARS</w:t>
      </w:r>
    </w:p>
    <w:p w14:paraId="4E961932" w14:textId="77777777" w:rsidR="007C5D2A" w:rsidRPr="0063448B" w:rsidRDefault="007C5D2A" w:rsidP="004A3BF4">
      <w:pPr>
        <w:tabs>
          <w:tab w:val="left" w:pos="851"/>
        </w:tabs>
        <w:ind w:left="851"/>
        <w:rPr>
          <w:sz w:val="24"/>
          <w:szCs w:val="24"/>
          <w:lang w:val="en-GB"/>
        </w:rPr>
      </w:pPr>
    </w:p>
    <w:p w14:paraId="6F5160F0" w14:textId="77777777" w:rsidR="007C5D2A" w:rsidRPr="0063448B" w:rsidRDefault="007C5D2A" w:rsidP="007C5D2A">
      <w:pPr>
        <w:ind w:left="851" w:hanging="851"/>
        <w:rPr>
          <w:b/>
          <w:sz w:val="24"/>
          <w:szCs w:val="24"/>
          <w:u w:val="single"/>
          <w:lang w:val="en-GB"/>
        </w:rPr>
      </w:pPr>
      <w:r w:rsidRPr="0063448B">
        <w:rPr>
          <w:b/>
          <w:sz w:val="24"/>
          <w:szCs w:val="24"/>
          <w:lang w:val="en-GB"/>
        </w:rPr>
        <w:t>4.1</w:t>
      </w:r>
      <w:r w:rsidRPr="0063448B">
        <w:rPr>
          <w:b/>
          <w:sz w:val="24"/>
          <w:szCs w:val="24"/>
          <w:lang w:val="en-GB"/>
        </w:rPr>
        <w:tab/>
        <w:t>Therapeutic indications</w:t>
      </w:r>
    </w:p>
    <w:p w14:paraId="698AFD74" w14:textId="324A64EB" w:rsidR="003A108F" w:rsidRPr="0063448B" w:rsidRDefault="000F185E" w:rsidP="003A108F">
      <w:pPr>
        <w:ind w:left="851"/>
        <w:rPr>
          <w:sz w:val="24"/>
          <w:szCs w:val="24"/>
          <w:lang w:val="en-US"/>
        </w:rPr>
      </w:pPr>
      <w:proofErr w:type="spellStart"/>
      <w:r>
        <w:rPr>
          <w:sz w:val="24"/>
          <w:szCs w:val="24"/>
          <w:lang w:val="en-US"/>
        </w:rPr>
        <w:t>Nezodia</w:t>
      </w:r>
      <w:proofErr w:type="spellEnd"/>
      <w:r w:rsidR="003A108F" w:rsidRPr="0063448B">
        <w:rPr>
          <w:sz w:val="24"/>
          <w:szCs w:val="24"/>
          <w:lang w:val="en-US"/>
        </w:rPr>
        <w:t xml:space="preserve"> is indicated in adults with type 2 diabetes mellitus as an adjunct to diet and exercise to improve </w:t>
      </w:r>
      <w:proofErr w:type="spellStart"/>
      <w:r w:rsidR="003A108F" w:rsidRPr="0063448B">
        <w:rPr>
          <w:sz w:val="24"/>
          <w:szCs w:val="24"/>
          <w:lang w:val="en-US"/>
        </w:rPr>
        <w:t>glycaemic</w:t>
      </w:r>
      <w:proofErr w:type="spellEnd"/>
      <w:r w:rsidR="003A108F" w:rsidRPr="0063448B">
        <w:rPr>
          <w:sz w:val="24"/>
          <w:szCs w:val="24"/>
          <w:lang w:val="en-US"/>
        </w:rPr>
        <w:t xml:space="preserve"> control as:</w:t>
      </w:r>
    </w:p>
    <w:p w14:paraId="142A29A1" w14:textId="77777777" w:rsidR="003A108F" w:rsidRPr="0063448B" w:rsidRDefault="003A108F" w:rsidP="003A108F">
      <w:pPr>
        <w:ind w:left="851"/>
        <w:rPr>
          <w:sz w:val="24"/>
          <w:szCs w:val="24"/>
          <w:lang w:val="en-US"/>
        </w:rPr>
      </w:pPr>
      <w:r w:rsidRPr="0063448B">
        <w:rPr>
          <w:sz w:val="24"/>
          <w:szCs w:val="24"/>
          <w:lang w:val="en-US"/>
        </w:rPr>
        <w:t>monotherapy</w:t>
      </w:r>
    </w:p>
    <w:p w14:paraId="308BBAD7" w14:textId="091960FF" w:rsidR="003A108F" w:rsidRPr="0063448B" w:rsidRDefault="003A108F" w:rsidP="0063448B">
      <w:pPr>
        <w:pStyle w:val="Listeafsnit"/>
        <w:numPr>
          <w:ilvl w:val="0"/>
          <w:numId w:val="8"/>
        </w:numPr>
        <w:rPr>
          <w:sz w:val="24"/>
          <w:szCs w:val="24"/>
          <w:lang w:val="en-US"/>
        </w:rPr>
      </w:pPr>
      <w:r w:rsidRPr="0063448B">
        <w:rPr>
          <w:sz w:val="24"/>
          <w:szCs w:val="24"/>
          <w:lang w:val="en-US"/>
        </w:rPr>
        <w:t>when metformin is inappropriate due to intolerance, or contraindicated due to renal impairment.</w:t>
      </w:r>
    </w:p>
    <w:p w14:paraId="7B8B8A2A" w14:textId="77777777" w:rsidR="003A108F" w:rsidRPr="0063448B" w:rsidRDefault="003A108F" w:rsidP="003A108F">
      <w:pPr>
        <w:ind w:left="851"/>
        <w:rPr>
          <w:sz w:val="24"/>
          <w:szCs w:val="24"/>
          <w:lang w:val="en-US"/>
        </w:rPr>
      </w:pPr>
      <w:r w:rsidRPr="0063448B">
        <w:rPr>
          <w:sz w:val="24"/>
          <w:szCs w:val="24"/>
          <w:lang w:val="en-US"/>
        </w:rPr>
        <w:t>combination therapy</w:t>
      </w:r>
    </w:p>
    <w:p w14:paraId="33407913" w14:textId="1E9FD557" w:rsidR="003A108F" w:rsidRPr="0063448B" w:rsidRDefault="003A108F" w:rsidP="0063448B">
      <w:pPr>
        <w:pStyle w:val="Listeafsnit"/>
        <w:numPr>
          <w:ilvl w:val="0"/>
          <w:numId w:val="8"/>
        </w:numPr>
        <w:rPr>
          <w:sz w:val="24"/>
          <w:szCs w:val="24"/>
          <w:lang w:val="en-US"/>
        </w:rPr>
      </w:pPr>
      <w:r w:rsidRPr="0063448B">
        <w:rPr>
          <w:sz w:val="24"/>
          <w:szCs w:val="24"/>
          <w:lang w:val="en-US"/>
        </w:rPr>
        <w:t xml:space="preserve">in combination with other medicinal products for the treatment of diabetes, including insulin, when these do not provide adequate </w:t>
      </w:r>
      <w:proofErr w:type="spellStart"/>
      <w:r w:rsidRPr="0063448B">
        <w:rPr>
          <w:sz w:val="24"/>
          <w:szCs w:val="24"/>
          <w:lang w:val="en-US"/>
        </w:rPr>
        <w:t>glycaemic</w:t>
      </w:r>
      <w:proofErr w:type="spellEnd"/>
      <w:r w:rsidRPr="0063448B">
        <w:rPr>
          <w:sz w:val="24"/>
          <w:szCs w:val="24"/>
          <w:lang w:val="en-US"/>
        </w:rPr>
        <w:t xml:space="preserve"> control (see sections 4.4, 4.5 and 5.1 for available data on different combinations).</w:t>
      </w:r>
      <w:r w:rsidRPr="0063448B">
        <w:rPr>
          <w:i/>
          <w:color w:val="000000"/>
          <w:sz w:val="24"/>
          <w:szCs w:val="24"/>
          <w:lang w:val="en-US"/>
        </w:rPr>
        <w:t xml:space="preserve"> </w:t>
      </w:r>
    </w:p>
    <w:p w14:paraId="58B34756" w14:textId="77777777" w:rsidR="007C5D2A" w:rsidRPr="0063448B" w:rsidRDefault="007C5D2A" w:rsidP="00A85D26">
      <w:pPr>
        <w:tabs>
          <w:tab w:val="left" w:pos="851"/>
        </w:tabs>
        <w:ind w:left="851"/>
        <w:rPr>
          <w:sz w:val="24"/>
          <w:szCs w:val="24"/>
          <w:lang w:val="en-US"/>
        </w:rPr>
      </w:pPr>
    </w:p>
    <w:p w14:paraId="70C493D8" w14:textId="77777777" w:rsidR="007C5D2A" w:rsidRPr="0063448B" w:rsidRDefault="009925C9" w:rsidP="007C5D2A">
      <w:pPr>
        <w:tabs>
          <w:tab w:val="left" w:pos="851"/>
        </w:tabs>
        <w:ind w:left="851" w:hanging="851"/>
        <w:rPr>
          <w:sz w:val="24"/>
          <w:szCs w:val="24"/>
          <w:lang w:val="en-GB"/>
        </w:rPr>
      </w:pPr>
      <w:r w:rsidRPr="0063448B">
        <w:rPr>
          <w:b/>
          <w:sz w:val="24"/>
          <w:szCs w:val="24"/>
          <w:lang w:val="en-GB"/>
        </w:rPr>
        <w:t>4.2</w:t>
      </w:r>
      <w:r w:rsidR="007C5D2A" w:rsidRPr="0063448B">
        <w:rPr>
          <w:b/>
          <w:sz w:val="24"/>
          <w:szCs w:val="24"/>
          <w:lang w:val="en-GB"/>
        </w:rPr>
        <w:tab/>
        <w:t>Posology and method of administration</w:t>
      </w:r>
    </w:p>
    <w:p w14:paraId="64795543" w14:textId="77777777" w:rsidR="0063448B" w:rsidRDefault="0063448B" w:rsidP="003A108F">
      <w:pPr>
        <w:ind w:left="851"/>
        <w:rPr>
          <w:sz w:val="24"/>
          <w:szCs w:val="24"/>
          <w:lang w:val="en-US"/>
        </w:rPr>
      </w:pPr>
    </w:p>
    <w:p w14:paraId="67E40E02" w14:textId="5DE63B2F" w:rsidR="003A108F" w:rsidRPr="0063448B" w:rsidRDefault="003A108F" w:rsidP="003A108F">
      <w:pPr>
        <w:ind w:left="851"/>
        <w:rPr>
          <w:sz w:val="24"/>
          <w:szCs w:val="24"/>
          <w:u w:val="single"/>
          <w:lang w:val="en-US"/>
        </w:rPr>
      </w:pPr>
      <w:r w:rsidRPr="0063448B">
        <w:rPr>
          <w:sz w:val="24"/>
          <w:szCs w:val="24"/>
          <w:u w:val="single"/>
          <w:lang w:val="en-US"/>
        </w:rPr>
        <w:t>Posology</w:t>
      </w:r>
    </w:p>
    <w:p w14:paraId="32FA44E2" w14:textId="77777777" w:rsidR="003A108F" w:rsidRPr="0063448B" w:rsidRDefault="003A108F" w:rsidP="003A108F">
      <w:pPr>
        <w:ind w:left="851"/>
        <w:rPr>
          <w:sz w:val="24"/>
          <w:szCs w:val="24"/>
          <w:lang w:val="en-US"/>
        </w:rPr>
      </w:pPr>
      <w:r w:rsidRPr="0063448B">
        <w:rPr>
          <w:sz w:val="24"/>
          <w:szCs w:val="24"/>
          <w:lang w:val="en-US"/>
        </w:rPr>
        <w:t>The dose of linagliptin is 5 mg once daily. When linagliptin is added to metformin, the dose of metformin should be maintained, and linagliptin administered concomitantly.</w:t>
      </w:r>
    </w:p>
    <w:p w14:paraId="463169FE" w14:textId="77777777" w:rsidR="003A108F" w:rsidRPr="0063448B" w:rsidRDefault="003A108F" w:rsidP="003A108F">
      <w:pPr>
        <w:ind w:left="851"/>
        <w:rPr>
          <w:sz w:val="24"/>
          <w:szCs w:val="24"/>
          <w:lang w:val="en-US"/>
        </w:rPr>
      </w:pPr>
      <w:r w:rsidRPr="0063448B">
        <w:rPr>
          <w:sz w:val="24"/>
          <w:szCs w:val="24"/>
          <w:lang w:val="en-US"/>
        </w:rPr>
        <w:lastRenderedPageBreak/>
        <w:t xml:space="preserve">When linagliptin is used in combination with a </w:t>
      </w:r>
      <w:proofErr w:type="spellStart"/>
      <w:r w:rsidRPr="0063448B">
        <w:rPr>
          <w:sz w:val="24"/>
          <w:szCs w:val="24"/>
          <w:lang w:val="en-US"/>
        </w:rPr>
        <w:t>sulphonylurea</w:t>
      </w:r>
      <w:proofErr w:type="spellEnd"/>
      <w:r w:rsidRPr="0063448B">
        <w:rPr>
          <w:sz w:val="24"/>
          <w:szCs w:val="24"/>
          <w:lang w:val="en-US"/>
        </w:rPr>
        <w:t xml:space="preserve"> or with insulin, a lower dose of the </w:t>
      </w:r>
      <w:proofErr w:type="spellStart"/>
      <w:r w:rsidRPr="0063448B">
        <w:rPr>
          <w:sz w:val="24"/>
          <w:szCs w:val="24"/>
          <w:lang w:val="en-US"/>
        </w:rPr>
        <w:t>sulphonylurea</w:t>
      </w:r>
      <w:proofErr w:type="spellEnd"/>
      <w:r w:rsidRPr="0063448B">
        <w:rPr>
          <w:sz w:val="24"/>
          <w:szCs w:val="24"/>
          <w:lang w:val="en-US"/>
        </w:rPr>
        <w:t xml:space="preserve"> or insulin, may be considered to reduce the risk of </w:t>
      </w:r>
      <w:proofErr w:type="spellStart"/>
      <w:r w:rsidRPr="0063448B">
        <w:rPr>
          <w:sz w:val="24"/>
          <w:szCs w:val="24"/>
          <w:lang w:val="en-US"/>
        </w:rPr>
        <w:t>hypoglycaemia</w:t>
      </w:r>
      <w:proofErr w:type="spellEnd"/>
      <w:r w:rsidRPr="0063448B">
        <w:rPr>
          <w:sz w:val="24"/>
          <w:szCs w:val="24"/>
          <w:lang w:val="en-US"/>
        </w:rPr>
        <w:t xml:space="preserve"> (see section 4.4)</w:t>
      </w:r>
    </w:p>
    <w:p w14:paraId="70BC1195" w14:textId="77777777" w:rsidR="003A108F" w:rsidRPr="0063448B" w:rsidRDefault="003A108F" w:rsidP="003A108F">
      <w:pPr>
        <w:ind w:left="851"/>
        <w:rPr>
          <w:sz w:val="24"/>
          <w:szCs w:val="24"/>
          <w:lang w:val="en-US"/>
        </w:rPr>
      </w:pPr>
    </w:p>
    <w:p w14:paraId="79FB78F0" w14:textId="77777777" w:rsidR="003A108F" w:rsidRPr="0063448B" w:rsidRDefault="003A108F" w:rsidP="003A108F">
      <w:pPr>
        <w:ind w:left="851"/>
        <w:rPr>
          <w:i/>
          <w:sz w:val="24"/>
          <w:szCs w:val="24"/>
          <w:u w:val="single"/>
          <w:lang w:val="en-US"/>
        </w:rPr>
      </w:pPr>
      <w:r w:rsidRPr="0063448B">
        <w:rPr>
          <w:i/>
          <w:sz w:val="24"/>
          <w:szCs w:val="24"/>
          <w:u w:val="single"/>
          <w:lang w:val="en-US"/>
        </w:rPr>
        <w:t xml:space="preserve">Special populations </w:t>
      </w:r>
    </w:p>
    <w:p w14:paraId="3F5B7A1C" w14:textId="77777777" w:rsidR="003A108F" w:rsidRPr="0063448B" w:rsidRDefault="003A108F" w:rsidP="003A108F">
      <w:pPr>
        <w:ind w:left="851"/>
        <w:rPr>
          <w:i/>
          <w:sz w:val="24"/>
          <w:szCs w:val="24"/>
          <w:lang w:val="en-US"/>
        </w:rPr>
      </w:pPr>
      <w:r w:rsidRPr="0063448B">
        <w:rPr>
          <w:i/>
          <w:sz w:val="24"/>
          <w:szCs w:val="24"/>
          <w:lang w:val="en-US"/>
        </w:rPr>
        <w:t>Renal impairment</w:t>
      </w:r>
    </w:p>
    <w:p w14:paraId="336865CE" w14:textId="77777777" w:rsidR="003A108F" w:rsidRPr="0063448B" w:rsidRDefault="003A108F" w:rsidP="003A108F">
      <w:pPr>
        <w:ind w:left="851"/>
        <w:rPr>
          <w:sz w:val="24"/>
          <w:szCs w:val="24"/>
          <w:lang w:val="en-US"/>
        </w:rPr>
      </w:pPr>
      <w:r w:rsidRPr="0063448B">
        <w:rPr>
          <w:sz w:val="24"/>
          <w:szCs w:val="24"/>
          <w:lang w:val="en-US"/>
        </w:rPr>
        <w:t>For patients with renal impairment, no dose adjustment for linagliptin is required.</w:t>
      </w:r>
    </w:p>
    <w:p w14:paraId="47165D50" w14:textId="77777777" w:rsidR="003A108F" w:rsidRPr="0063448B" w:rsidRDefault="003A108F" w:rsidP="003A108F">
      <w:pPr>
        <w:ind w:left="851"/>
        <w:rPr>
          <w:sz w:val="24"/>
          <w:szCs w:val="24"/>
          <w:lang w:val="en-US"/>
        </w:rPr>
      </w:pPr>
    </w:p>
    <w:p w14:paraId="400698DC" w14:textId="77777777" w:rsidR="003A108F" w:rsidRPr="0063448B" w:rsidRDefault="003A108F" w:rsidP="003A108F">
      <w:pPr>
        <w:ind w:left="851"/>
        <w:rPr>
          <w:i/>
          <w:sz w:val="24"/>
          <w:szCs w:val="24"/>
          <w:lang w:val="en-US"/>
        </w:rPr>
      </w:pPr>
      <w:r w:rsidRPr="0063448B">
        <w:rPr>
          <w:i/>
          <w:sz w:val="24"/>
          <w:szCs w:val="24"/>
          <w:lang w:val="en-US"/>
        </w:rPr>
        <w:t>Hepatic impairment</w:t>
      </w:r>
    </w:p>
    <w:p w14:paraId="5822FEBF" w14:textId="77777777" w:rsidR="003A108F" w:rsidRPr="0063448B" w:rsidRDefault="003A108F" w:rsidP="003A108F">
      <w:pPr>
        <w:ind w:left="851"/>
        <w:rPr>
          <w:sz w:val="24"/>
          <w:szCs w:val="24"/>
          <w:lang w:val="en-US"/>
        </w:rPr>
      </w:pPr>
      <w:r w:rsidRPr="0063448B">
        <w:rPr>
          <w:sz w:val="24"/>
          <w:szCs w:val="24"/>
          <w:lang w:val="en-US"/>
        </w:rPr>
        <w:t>Pharmacokinetic studies suggest that no dose adjustment is required for patients with hepatic impairment but clinical experience in such patients is lacking.</w:t>
      </w:r>
    </w:p>
    <w:p w14:paraId="5193C286" w14:textId="77777777" w:rsidR="003A108F" w:rsidRPr="0063448B" w:rsidRDefault="003A108F" w:rsidP="003A108F">
      <w:pPr>
        <w:ind w:left="851"/>
        <w:rPr>
          <w:sz w:val="24"/>
          <w:szCs w:val="24"/>
          <w:lang w:val="en-US"/>
        </w:rPr>
      </w:pPr>
    </w:p>
    <w:p w14:paraId="2C9A600E" w14:textId="77777777" w:rsidR="003A108F" w:rsidRPr="0063448B" w:rsidRDefault="003A108F" w:rsidP="003A108F">
      <w:pPr>
        <w:ind w:left="851"/>
        <w:rPr>
          <w:i/>
          <w:sz w:val="24"/>
          <w:szCs w:val="24"/>
          <w:lang w:val="en-US"/>
        </w:rPr>
      </w:pPr>
      <w:r w:rsidRPr="0063448B">
        <w:rPr>
          <w:i/>
          <w:sz w:val="24"/>
          <w:szCs w:val="24"/>
          <w:lang w:val="en-US"/>
        </w:rPr>
        <w:t>Elderly</w:t>
      </w:r>
    </w:p>
    <w:p w14:paraId="3963B69A" w14:textId="77777777" w:rsidR="003A108F" w:rsidRPr="0063448B" w:rsidRDefault="003A108F" w:rsidP="003A108F">
      <w:pPr>
        <w:ind w:left="851"/>
        <w:rPr>
          <w:sz w:val="24"/>
          <w:szCs w:val="24"/>
          <w:lang w:val="en-US"/>
        </w:rPr>
      </w:pPr>
      <w:r w:rsidRPr="0063448B">
        <w:rPr>
          <w:sz w:val="24"/>
          <w:szCs w:val="24"/>
          <w:lang w:val="en-US"/>
        </w:rPr>
        <w:t>No dose adjustment is necessary based on age.</w:t>
      </w:r>
    </w:p>
    <w:p w14:paraId="416110A8" w14:textId="77777777" w:rsidR="003A108F" w:rsidRPr="0063448B" w:rsidRDefault="003A108F" w:rsidP="003A108F">
      <w:pPr>
        <w:ind w:left="851"/>
        <w:rPr>
          <w:sz w:val="24"/>
          <w:szCs w:val="24"/>
          <w:lang w:val="en-US"/>
        </w:rPr>
      </w:pPr>
    </w:p>
    <w:p w14:paraId="43C8C749" w14:textId="77777777" w:rsidR="003A108F" w:rsidRPr="0063448B" w:rsidRDefault="003A108F" w:rsidP="003A108F">
      <w:pPr>
        <w:ind w:left="851"/>
        <w:rPr>
          <w:i/>
          <w:sz w:val="24"/>
          <w:szCs w:val="24"/>
          <w:lang w:val="en-US"/>
        </w:rPr>
      </w:pPr>
      <w:r w:rsidRPr="0063448B">
        <w:rPr>
          <w:i/>
          <w:sz w:val="24"/>
          <w:szCs w:val="24"/>
          <w:lang w:val="en-US"/>
        </w:rPr>
        <w:t>Paediatric population</w:t>
      </w:r>
    </w:p>
    <w:p w14:paraId="08921596" w14:textId="77777777" w:rsidR="003A108F" w:rsidRPr="0063448B" w:rsidRDefault="003A108F" w:rsidP="003A108F">
      <w:pPr>
        <w:ind w:left="851"/>
        <w:rPr>
          <w:i/>
          <w:sz w:val="24"/>
          <w:szCs w:val="24"/>
          <w:lang w:val="en-US"/>
        </w:rPr>
      </w:pPr>
      <w:r w:rsidRPr="0063448B">
        <w:rPr>
          <w:iCs/>
          <w:sz w:val="24"/>
          <w:szCs w:val="24"/>
          <w:lang w:val="en-US"/>
        </w:rPr>
        <w:t>A clinical trial did not establish efficacy in paediatric patients 10 to 17 years of age (see section 4.8, 5.1 and 5.2). Therefore, treatment of children and adolescents with linagliptin is not recommended. Linagliptin has not been studied in paediatric patients under 10 years of age.</w:t>
      </w:r>
    </w:p>
    <w:p w14:paraId="6752DBB4" w14:textId="77777777" w:rsidR="003A108F" w:rsidRPr="0063448B" w:rsidRDefault="003A108F" w:rsidP="003A108F">
      <w:pPr>
        <w:ind w:left="851"/>
        <w:rPr>
          <w:sz w:val="24"/>
          <w:szCs w:val="24"/>
          <w:lang w:val="en-US"/>
        </w:rPr>
      </w:pPr>
    </w:p>
    <w:p w14:paraId="70C37BC7" w14:textId="77777777" w:rsidR="003A108F" w:rsidRPr="0063448B" w:rsidRDefault="003A108F" w:rsidP="003A108F">
      <w:pPr>
        <w:ind w:left="851"/>
        <w:rPr>
          <w:sz w:val="24"/>
          <w:szCs w:val="24"/>
          <w:u w:val="single"/>
          <w:lang w:val="en-US"/>
        </w:rPr>
      </w:pPr>
      <w:r w:rsidRPr="0063448B">
        <w:rPr>
          <w:sz w:val="24"/>
          <w:szCs w:val="24"/>
          <w:u w:val="single"/>
          <w:lang w:val="en-US"/>
        </w:rPr>
        <w:t>Method of administration</w:t>
      </w:r>
    </w:p>
    <w:p w14:paraId="16707702" w14:textId="77777777" w:rsidR="003A108F" w:rsidRPr="0063448B" w:rsidRDefault="003A108F" w:rsidP="003A108F">
      <w:pPr>
        <w:ind w:left="851"/>
        <w:rPr>
          <w:sz w:val="24"/>
          <w:szCs w:val="24"/>
          <w:lang w:val="en-US"/>
        </w:rPr>
      </w:pPr>
      <w:r w:rsidRPr="0063448B">
        <w:rPr>
          <w:sz w:val="24"/>
          <w:szCs w:val="24"/>
          <w:lang w:val="en-US"/>
        </w:rPr>
        <w:t>The tablets can be taken with or without a meal at any time of the day. If a dose is missed, it should be taken as soon as the patient remembers. A double dose should not be taken on the same day.</w:t>
      </w:r>
    </w:p>
    <w:p w14:paraId="0A74D746" w14:textId="77777777" w:rsidR="007C5D2A" w:rsidRPr="0063448B" w:rsidRDefault="007C5D2A" w:rsidP="00A85D26">
      <w:pPr>
        <w:tabs>
          <w:tab w:val="left" w:pos="851"/>
        </w:tabs>
        <w:ind w:left="851"/>
        <w:rPr>
          <w:sz w:val="24"/>
          <w:szCs w:val="24"/>
          <w:lang w:val="en-GB"/>
        </w:rPr>
      </w:pPr>
    </w:p>
    <w:p w14:paraId="3F735BB7" w14:textId="77777777" w:rsidR="007C5D2A" w:rsidRPr="0063448B" w:rsidRDefault="007C5D2A" w:rsidP="007C5D2A">
      <w:pPr>
        <w:tabs>
          <w:tab w:val="left" w:pos="851"/>
        </w:tabs>
        <w:ind w:left="851" w:hanging="851"/>
        <w:rPr>
          <w:b/>
          <w:sz w:val="24"/>
          <w:szCs w:val="24"/>
          <w:lang w:val="en-GB"/>
        </w:rPr>
      </w:pPr>
      <w:r w:rsidRPr="0063448B">
        <w:rPr>
          <w:b/>
          <w:sz w:val="24"/>
          <w:szCs w:val="24"/>
          <w:lang w:val="en-GB"/>
        </w:rPr>
        <w:t>4.3</w:t>
      </w:r>
      <w:r w:rsidRPr="0063448B">
        <w:rPr>
          <w:b/>
          <w:sz w:val="24"/>
          <w:szCs w:val="24"/>
          <w:lang w:val="en-GB"/>
        </w:rPr>
        <w:tab/>
        <w:t>Contraindications</w:t>
      </w:r>
    </w:p>
    <w:p w14:paraId="5C23EEA1" w14:textId="77777777" w:rsidR="003A108F" w:rsidRPr="0063448B" w:rsidRDefault="003A108F" w:rsidP="003A108F">
      <w:pPr>
        <w:ind w:left="851"/>
        <w:rPr>
          <w:sz w:val="24"/>
          <w:szCs w:val="24"/>
          <w:lang w:val="en-US"/>
        </w:rPr>
      </w:pPr>
      <w:r w:rsidRPr="0063448B">
        <w:rPr>
          <w:sz w:val="24"/>
          <w:szCs w:val="24"/>
          <w:lang w:val="en-US"/>
        </w:rPr>
        <w:t>Hypersensitivity to the active substance or to any of the excipients listed in section 6.1.</w:t>
      </w:r>
    </w:p>
    <w:p w14:paraId="5486B4F6" w14:textId="77777777" w:rsidR="007C5D2A" w:rsidRPr="0063448B" w:rsidRDefault="007C5D2A" w:rsidP="003E0341">
      <w:pPr>
        <w:tabs>
          <w:tab w:val="left" w:pos="851"/>
        </w:tabs>
        <w:ind w:left="851"/>
        <w:rPr>
          <w:sz w:val="24"/>
          <w:szCs w:val="24"/>
          <w:lang w:val="en-GB"/>
        </w:rPr>
      </w:pPr>
    </w:p>
    <w:p w14:paraId="4ED911EA" w14:textId="77777777" w:rsidR="007C5D2A" w:rsidRPr="0063448B" w:rsidRDefault="007C5D2A" w:rsidP="007C5D2A">
      <w:pPr>
        <w:tabs>
          <w:tab w:val="left" w:pos="851"/>
        </w:tabs>
        <w:rPr>
          <w:b/>
          <w:sz w:val="24"/>
          <w:szCs w:val="24"/>
          <w:lang w:val="en-GB"/>
        </w:rPr>
      </w:pPr>
      <w:r w:rsidRPr="0063448B">
        <w:rPr>
          <w:b/>
          <w:sz w:val="24"/>
          <w:szCs w:val="24"/>
          <w:lang w:val="en-GB"/>
        </w:rPr>
        <w:t>4.4</w:t>
      </w:r>
      <w:r w:rsidRPr="0063448B">
        <w:rPr>
          <w:b/>
          <w:sz w:val="24"/>
          <w:szCs w:val="24"/>
          <w:lang w:val="en-GB"/>
        </w:rPr>
        <w:tab/>
        <w:t>Special warnings and precautions for use</w:t>
      </w:r>
    </w:p>
    <w:p w14:paraId="3AA2EB63" w14:textId="77777777" w:rsidR="003A108F" w:rsidRPr="0063448B" w:rsidRDefault="003A108F" w:rsidP="003A108F">
      <w:pPr>
        <w:ind w:left="851"/>
        <w:rPr>
          <w:sz w:val="24"/>
          <w:szCs w:val="24"/>
          <w:lang w:val="en-US"/>
        </w:rPr>
      </w:pPr>
    </w:p>
    <w:p w14:paraId="172D18B2" w14:textId="77777777" w:rsidR="003A108F" w:rsidRPr="0063448B" w:rsidRDefault="003A108F" w:rsidP="003A108F">
      <w:pPr>
        <w:ind w:left="851"/>
        <w:rPr>
          <w:sz w:val="24"/>
          <w:szCs w:val="24"/>
          <w:lang w:val="en-US"/>
        </w:rPr>
      </w:pPr>
      <w:r w:rsidRPr="0063448B">
        <w:rPr>
          <w:sz w:val="24"/>
          <w:szCs w:val="24"/>
          <w:u w:val="single"/>
          <w:lang w:val="en-US"/>
        </w:rPr>
        <w:t>General</w:t>
      </w:r>
    </w:p>
    <w:p w14:paraId="38193570" w14:textId="77777777" w:rsidR="003A108F" w:rsidRPr="0063448B" w:rsidRDefault="003A108F" w:rsidP="003A108F">
      <w:pPr>
        <w:ind w:left="851"/>
        <w:rPr>
          <w:sz w:val="24"/>
          <w:szCs w:val="24"/>
          <w:lang w:val="en-US"/>
        </w:rPr>
      </w:pPr>
      <w:r w:rsidRPr="0063448B">
        <w:rPr>
          <w:sz w:val="24"/>
          <w:szCs w:val="24"/>
          <w:lang w:val="en-US"/>
        </w:rPr>
        <w:t>Linagliptin should not be used in patients with type 1 diabetes or for the treatment of diabetic ketoacidosis.</w:t>
      </w:r>
    </w:p>
    <w:p w14:paraId="3A23DC2F" w14:textId="77777777" w:rsidR="003A108F" w:rsidRPr="0063448B" w:rsidRDefault="003A108F" w:rsidP="003A108F">
      <w:pPr>
        <w:ind w:left="851"/>
        <w:rPr>
          <w:sz w:val="24"/>
          <w:szCs w:val="24"/>
          <w:lang w:val="en-US"/>
        </w:rPr>
      </w:pPr>
    </w:p>
    <w:p w14:paraId="0CC2D064" w14:textId="77777777" w:rsidR="003A108F" w:rsidRPr="0063448B" w:rsidRDefault="003A108F" w:rsidP="003A108F">
      <w:pPr>
        <w:ind w:left="851"/>
        <w:rPr>
          <w:sz w:val="24"/>
          <w:szCs w:val="24"/>
          <w:lang w:val="en-US"/>
        </w:rPr>
      </w:pPr>
      <w:proofErr w:type="spellStart"/>
      <w:r w:rsidRPr="0063448B">
        <w:rPr>
          <w:sz w:val="24"/>
          <w:szCs w:val="24"/>
          <w:u w:val="single"/>
          <w:lang w:val="en-US"/>
        </w:rPr>
        <w:t>Hypoglycaemia</w:t>
      </w:r>
      <w:proofErr w:type="spellEnd"/>
    </w:p>
    <w:p w14:paraId="28C15396" w14:textId="77777777" w:rsidR="003A108F" w:rsidRPr="0063448B" w:rsidRDefault="003A108F" w:rsidP="003A108F">
      <w:pPr>
        <w:ind w:left="851"/>
        <w:rPr>
          <w:sz w:val="24"/>
          <w:szCs w:val="24"/>
          <w:lang w:val="en-US"/>
        </w:rPr>
      </w:pPr>
      <w:r w:rsidRPr="0063448B">
        <w:rPr>
          <w:sz w:val="24"/>
          <w:szCs w:val="24"/>
          <w:lang w:val="en-US"/>
        </w:rPr>
        <w:t xml:space="preserve">Linagliptin alone showed a comparable incidence of </w:t>
      </w:r>
      <w:proofErr w:type="spellStart"/>
      <w:r w:rsidRPr="0063448B">
        <w:rPr>
          <w:sz w:val="24"/>
          <w:szCs w:val="24"/>
          <w:lang w:val="en-US"/>
        </w:rPr>
        <w:t>hypoglycaemia</w:t>
      </w:r>
      <w:proofErr w:type="spellEnd"/>
      <w:r w:rsidRPr="0063448B">
        <w:rPr>
          <w:sz w:val="24"/>
          <w:szCs w:val="24"/>
          <w:lang w:val="en-US"/>
        </w:rPr>
        <w:t xml:space="preserve"> to placebo.</w:t>
      </w:r>
    </w:p>
    <w:p w14:paraId="1BB0715E" w14:textId="77777777" w:rsidR="003A108F" w:rsidRPr="0063448B" w:rsidRDefault="003A108F" w:rsidP="003A108F">
      <w:pPr>
        <w:ind w:left="851"/>
        <w:rPr>
          <w:sz w:val="24"/>
          <w:szCs w:val="24"/>
          <w:lang w:val="en-US"/>
        </w:rPr>
      </w:pPr>
      <w:r w:rsidRPr="0063448B">
        <w:rPr>
          <w:sz w:val="24"/>
          <w:szCs w:val="24"/>
          <w:lang w:val="en-US"/>
        </w:rPr>
        <w:t xml:space="preserve">In clinical trials of linagliptin as part of combination therapy with medicinal products not known to cause </w:t>
      </w:r>
      <w:proofErr w:type="spellStart"/>
      <w:r w:rsidRPr="0063448B">
        <w:rPr>
          <w:sz w:val="24"/>
          <w:szCs w:val="24"/>
          <w:lang w:val="en-US"/>
        </w:rPr>
        <w:t>hypoglycaemia</w:t>
      </w:r>
      <w:proofErr w:type="spellEnd"/>
      <w:r w:rsidRPr="0063448B">
        <w:rPr>
          <w:sz w:val="24"/>
          <w:szCs w:val="24"/>
          <w:lang w:val="en-US"/>
        </w:rPr>
        <w:t xml:space="preserve"> (metformin), rates of </w:t>
      </w:r>
      <w:proofErr w:type="spellStart"/>
      <w:r w:rsidRPr="0063448B">
        <w:rPr>
          <w:sz w:val="24"/>
          <w:szCs w:val="24"/>
          <w:lang w:val="en-US"/>
        </w:rPr>
        <w:t>hypoglycaemia</w:t>
      </w:r>
      <w:proofErr w:type="spellEnd"/>
      <w:r w:rsidRPr="0063448B">
        <w:rPr>
          <w:sz w:val="24"/>
          <w:szCs w:val="24"/>
          <w:lang w:val="en-US"/>
        </w:rPr>
        <w:t xml:space="preserve"> reported with linagliptin were similar to rates in patients taking placebo.</w:t>
      </w:r>
    </w:p>
    <w:p w14:paraId="5AF9EEC0" w14:textId="77777777" w:rsidR="003A108F" w:rsidRPr="0063448B" w:rsidRDefault="003A108F" w:rsidP="003A108F">
      <w:pPr>
        <w:ind w:left="851"/>
        <w:rPr>
          <w:sz w:val="24"/>
          <w:szCs w:val="24"/>
          <w:lang w:val="en-US"/>
        </w:rPr>
      </w:pPr>
    </w:p>
    <w:p w14:paraId="41492027" w14:textId="77777777" w:rsidR="003A108F" w:rsidRPr="0063448B" w:rsidRDefault="003A108F" w:rsidP="003A108F">
      <w:pPr>
        <w:ind w:left="851"/>
        <w:rPr>
          <w:sz w:val="24"/>
          <w:szCs w:val="24"/>
          <w:lang w:val="en-US"/>
        </w:rPr>
      </w:pPr>
      <w:r w:rsidRPr="0063448B">
        <w:rPr>
          <w:sz w:val="24"/>
          <w:szCs w:val="24"/>
          <w:lang w:val="en-US"/>
        </w:rPr>
        <w:t xml:space="preserve">When linagliptin was added to a </w:t>
      </w:r>
      <w:proofErr w:type="spellStart"/>
      <w:r w:rsidRPr="0063448B">
        <w:rPr>
          <w:sz w:val="24"/>
          <w:szCs w:val="24"/>
          <w:lang w:val="en-US"/>
        </w:rPr>
        <w:t>sulphonylurea</w:t>
      </w:r>
      <w:proofErr w:type="spellEnd"/>
      <w:r w:rsidRPr="0063448B">
        <w:rPr>
          <w:sz w:val="24"/>
          <w:szCs w:val="24"/>
          <w:lang w:val="en-US"/>
        </w:rPr>
        <w:t xml:space="preserve"> (on a background of metformin), the incidence of </w:t>
      </w:r>
      <w:proofErr w:type="spellStart"/>
      <w:r w:rsidRPr="0063448B">
        <w:rPr>
          <w:sz w:val="24"/>
          <w:szCs w:val="24"/>
          <w:lang w:val="en-US"/>
        </w:rPr>
        <w:t>hypoglycaemia</w:t>
      </w:r>
      <w:proofErr w:type="spellEnd"/>
      <w:r w:rsidRPr="0063448B">
        <w:rPr>
          <w:sz w:val="24"/>
          <w:szCs w:val="24"/>
          <w:lang w:val="en-US"/>
        </w:rPr>
        <w:t xml:space="preserve"> was increased over that of placebo (see section 4.8).</w:t>
      </w:r>
    </w:p>
    <w:p w14:paraId="2D63614B" w14:textId="77777777" w:rsidR="003A108F" w:rsidRPr="0063448B" w:rsidRDefault="003A108F" w:rsidP="003A108F">
      <w:pPr>
        <w:ind w:left="851"/>
        <w:rPr>
          <w:sz w:val="24"/>
          <w:szCs w:val="24"/>
          <w:lang w:val="en-US"/>
        </w:rPr>
      </w:pPr>
    </w:p>
    <w:p w14:paraId="58984E04" w14:textId="77777777" w:rsidR="003A108F" w:rsidRPr="0063448B" w:rsidRDefault="003A108F" w:rsidP="003A108F">
      <w:pPr>
        <w:ind w:left="851"/>
        <w:rPr>
          <w:sz w:val="24"/>
          <w:szCs w:val="24"/>
          <w:lang w:val="en-US"/>
        </w:rPr>
      </w:pPr>
      <w:proofErr w:type="spellStart"/>
      <w:r w:rsidRPr="0063448B">
        <w:rPr>
          <w:sz w:val="24"/>
          <w:szCs w:val="24"/>
          <w:lang w:val="en-US"/>
        </w:rPr>
        <w:t>Sulphonylureas</w:t>
      </w:r>
      <w:proofErr w:type="spellEnd"/>
      <w:r w:rsidRPr="0063448B">
        <w:rPr>
          <w:sz w:val="24"/>
          <w:szCs w:val="24"/>
          <w:lang w:val="en-US"/>
        </w:rPr>
        <w:t xml:space="preserve"> and insulin are known to cause </w:t>
      </w:r>
      <w:proofErr w:type="spellStart"/>
      <w:r w:rsidRPr="0063448B">
        <w:rPr>
          <w:sz w:val="24"/>
          <w:szCs w:val="24"/>
          <w:lang w:val="en-US"/>
        </w:rPr>
        <w:t>hypoglycaemia</w:t>
      </w:r>
      <w:proofErr w:type="spellEnd"/>
      <w:r w:rsidRPr="0063448B">
        <w:rPr>
          <w:sz w:val="24"/>
          <w:szCs w:val="24"/>
          <w:lang w:val="en-US"/>
        </w:rPr>
        <w:t xml:space="preserve">. Therefore, caution is advised when linagliptin is used in combination with a </w:t>
      </w:r>
      <w:proofErr w:type="spellStart"/>
      <w:r w:rsidRPr="0063448B">
        <w:rPr>
          <w:sz w:val="24"/>
          <w:szCs w:val="24"/>
          <w:lang w:val="en-US"/>
        </w:rPr>
        <w:t>sulphonylurea</w:t>
      </w:r>
      <w:proofErr w:type="spellEnd"/>
      <w:r w:rsidRPr="0063448B">
        <w:rPr>
          <w:sz w:val="24"/>
          <w:szCs w:val="24"/>
          <w:lang w:val="en-US"/>
        </w:rPr>
        <w:t xml:space="preserve"> and/or insulin. A dose reduction of the </w:t>
      </w:r>
      <w:proofErr w:type="spellStart"/>
      <w:r w:rsidRPr="0063448B">
        <w:rPr>
          <w:sz w:val="24"/>
          <w:szCs w:val="24"/>
          <w:lang w:val="en-US"/>
        </w:rPr>
        <w:t>sulphonylurea</w:t>
      </w:r>
      <w:proofErr w:type="spellEnd"/>
      <w:r w:rsidRPr="0063448B">
        <w:rPr>
          <w:sz w:val="24"/>
          <w:szCs w:val="24"/>
          <w:lang w:val="en-US"/>
        </w:rPr>
        <w:t xml:space="preserve"> or insulin may be considered (see section 4.2).</w:t>
      </w:r>
    </w:p>
    <w:p w14:paraId="65F5CC23" w14:textId="77777777" w:rsidR="003A108F" w:rsidRPr="0063448B" w:rsidRDefault="003A108F" w:rsidP="003A108F">
      <w:pPr>
        <w:ind w:left="851"/>
        <w:rPr>
          <w:sz w:val="24"/>
          <w:szCs w:val="24"/>
          <w:lang w:val="en-US"/>
        </w:rPr>
      </w:pPr>
    </w:p>
    <w:p w14:paraId="21A54F01" w14:textId="77777777" w:rsidR="003A108F" w:rsidRPr="0063448B" w:rsidRDefault="003A108F" w:rsidP="003A108F">
      <w:pPr>
        <w:ind w:left="851"/>
        <w:rPr>
          <w:sz w:val="24"/>
          <w:szCs w:val="24"/>
          <w:lang w:val="en-US"/>
        </w:rPr>
      </w:pPr>
      <w:r w:rsidRPr="0063448B">
        <w:rPr>
          <w:sz w:val="24"/>
          <w:szCs w:val="24"/>
          <w:u w:val="single"/>
          <w:lang w:val="en-US"/>
        </w:rPr>
        <w:t>Acute pancreatitis</w:t>
      </w:r>
    </w:p>
    <w:p w14:paraId="5DD4AF9B" w14:textId="42A12891" w:rsidR="003A108F" w:rsidRPr="0063448B" w:rsidRDefault="003A108F" w:rsidP="003A108F">
      <w:pPr>
        <w:ind w:left="851"/>
        <w:rPr>
          <w:sz w:val="24"/>
          <w:szCs w:val="24"/>
          <w:lang w:val="en-US"/>
        </w:rPr>
      </w:pPr>
      <w:r w:rsidRPr="0063448B">
        <w:rPr>
          <w:sz w:val="24"/>
          <w:szCs w:val="24"/>
          <w:lang w:val="en-US"/>
        </w:rPr>
        <w:t xml:space="preserve">Use of DPP-4 inhibitors has been associated with a risk of developing acute pancreatitis. Acute pancreatitis has been observed in patients taking linagliptin. In a cardiovascular and </w:t>
      </w:r>
      <w:r w:rsidRPr="0063448B">
        <w:rPr>
          <w:sz w:val="24"/>
          <w:szCs w:val="24"/>
          <w:lang w:val="en-US"/>
        </w:rPr>
        <w:lastRenderedPageBreak/>
        <w:t xml:space="preserve">renal safety study (CARMELINA) with median observation period of 2.2 years, adjudicated acute pancreatitis was reported in 0.3% of patients treated with linagliptin and in 0.1% of patients treated with placebo. Patients should be informed of the characteristic symptoms of acute pancreatitis. If pancreatitis is suspected, </w:t>
      </w:r>
      <w:proofErr w:type="spellStart"/>
      <w:r w:rsidR="000F185E">
        <w:rPr>
          <w:sz w:val="24"/>
          <w:szCs w:val="24"/>
          <w:lang w:val="en-US"/>
        </w:rPr>
        <w:t>Nezodia</w:t>
      </w:r>
      <w:proofErr w:type="spellEnd"/>
      <w:r w:rsidRPr="0063448B">
        <w:rPr>
          <w:sz w:val="24"/>
          <w:szCs w:val="24"/>
          <w:lang w:val="en-US"/>
        </w:rPr>
        <w:t xml:space="preserve"> should be discontinued; if acute pancreatitis is confirmed, </w:t>
      </w:r>
      <w:proofErr w:type="spellStart"/>
      <w:r w:rsidR="000F185E">
        <w:rPr>
          <w:sz w:val="24"/>
          <w:szCs w:val="24"/>
          <w:lang w:val="en-US"/>
        </w:rPr>
        <w:t>Nezodia</w:t>
      </w:r>
      <w:proofErr w:type="spellEnd"/>
      <w:r w:rsidRPr="0063448B">
        <w:rPr>
          <w:sz w:val="24"/>
          <w:szCs w:val="24"/>
          <w:lang w:val="en-US"/>
        </w:rPr>
        <w:t xml:space="preserve"> should not be restarted. Caution should be exercised in patients with a history of pancreatitis.</w:t>
      </w:r>
    </w:p>
    <w:p w14:paraId="4361A9C5" w14:textId="77777777" w:rsidR="003A108F" w:rsidRPr="0063448B" w:rsidRDefault="003A108F" w:rsidP="003A108F">
      <w:pPr>
        <w:ind w:left="851"/>
        <w:rPr>
          <w:sz w:val="24"/>
          <w:szCs w:val="24"/>
          <w:lang w:val="en-US"/>
        </w:rPr>
      </w:pPr>
    </w:p>
    <w:p w14:paraId="14BAC9F4" w14:textId="77777777" w:rsidR="003A108F" w:rsidRPr="0063448B" w:rsidRDefault="003A108F" w:rsidP="003A108F">
      <w:pPr>
        <w:ind w:left="851"/>
        <w:rPr>
          <w:sz w:val="24"/>
          <w:szCs w:val="24"/>
          <w:lang w:val="en-US"/>
        </w:rPr>
      </w:pPr>
      <w:r w:rsidRPr="0063448B">
        <w:rPr>
          <w:sz w:val="24"/>
          <w:szCs w:val="24"/>
          <w:u w:val="single"/>
          <w:lang w:val="en-US"/>
        </w:rPr>
        <w:t>Bullous pemphigoid</w:t>
      </w:r>
    </w:p>
    <w:p w14:paraId="5CE251E2" w14:textId="3B798879" w:rsidR="003A108F" w:rsidRPr="0063448B" w:rsidRDefault="003A108F" w:rsidP="003A108F">
      <w:pPr>
        <w:ind w:left="851"/>
        <w:rPr>
          <w:sz w:val="24"/>
          <w:szCs w:val="24"/>
          <w:lang w:val="en-GB"/>
        </w:rPr>
      </w:pPr>
      <w:r w:rsidRPr="0063448B">
        <w:rPr>
          <w:sz w:val="24"/>
          <w:szCs w:val="24"/>
          <w:lang w:val="en-US"/>
        </w:rPr>
        <w:t xml:space="preserve">Bullous pemphigoid has been observed in patients taking linagliptin. In the CARMELINA study, bullous pemphigoid was reported in 0.2% of patients on treatment with linagliptin and in no patient on placebo. If bullous pemphigoid is suspected, </w:t>
      </w:r>
      <w:proofErr w:type="spellStart"/>
      <w:r w:rsidR="000F185E">
        <w:rPr>
          <w:sz w:val="24"/>
          <w:szCs w:val="24"/>
          <w:lang w:val="en-US"/>
        </w:rPr>
        <w:t>Nezodia</w:t>
      </w:r>
      <w:proofErr w:type="spellEnd"/>
      <w:r w:rsidRPr="0063448B">
        <w:rPr>
          <w:sz w:val="24"/>
          <w:szCs w:val="24"/>
          <w:lang w:val="en-US"/>
        </w:rPr>
        <w:t xml:space="preserve"> should be discontinued.</w:t>
      </w:r>
    </w:p>
    <w:p w14:paraId="716C2670" w14:textId="77777777" w:rsidR="003A108F" w:rsidRPr="0063448B" w:rsidRDefault="003A108F" w:rsidP="003A108F">
      <w:pPr>
        <w:ind w:left="851"/>
        <w:rPr>
          <w:sz w:val="24"/>
          <w:szCs w:val="24"/>
          <w:lang w:val="en-US"/>
        </w:rPr>
      </w:pPr>
    </w:p>
    <w:p w14:paraId="5D0B80A2" w14:textId="77777777" w:rsidR="003A108F" w:rsidRPr="0063448B" w:rsidRDefault="003A108F" w:rsidP="003A108F">
      <w:pPr>
        <w:ind w:left="851"/>
        <w:rPr>
          <w:sz w:val="24"/>
          <w:szCs w:val="24"/>
          <w:lang w:val="en-US"/>
        </w:rPr>
      </w:pPr>
      <w:r w:rsidRPr="0063448B">
        <w:rPr>
          <w:sz w:val="24"/>
          <w:szCs w:val="24"/>
          <w:u w:val="single" w:color="000000"/>
          <w:lang w:val="en-US"/>
        </w:rPr>
        <w:t>Information about excipients</w:t>
      </w:r>
    </w:p>
    <w:p w14:paraId="1D52C110" w14:textId="77777777" w:rsidR="003A108F" w:rsidRPr="0063448B" w:rsidRDefault="003A108F" w:rsidP="003A108F">
      <w:pPr>
        <w:ind w:left="851"/>
        <w:rPr>
          <w:sz w:val="24"/>
          <w:szCs w:val="24"/>
          <w:lang w:val="en-US"/>
        </w:rPr>
      </w:pPr>
      <w:r w:rsidRPr="0063448B">
        <w:rPr>
          <w:sz w:val="24"/>
          <w:szCs w:val="24"/>
          <w:lang w:val="en-US"/>
        </w:rPr>
        <w:t>This medicinal product contains less than 1 mmol sodium (23 mg) per tablet, that is to say essentially ‘sodium-free’</w:t>
      </w:r>
      <w:r w:rsidRPr="0063448B">
        <w:rPr>
          <w:rFonts w:eastAsia="CIDFont+F3"/>
          <w:sz w:val="24"/>
          <w:szCs w:val="24"/>
          <w:lang w:val="en-US" w:eastAsia="en-GB"/>
        </w:rPr>
        <w:t>.</w:t>
      </w:r>
    </w:p>
    <w:p w14:paraId="72D0C00B" w14:textId="77777777" w:rsidR="007C5D2A" w:rsidRPr="0063448B" w:rsidRDefault="007C5D2A" w:rsidP="003E0341">
      <w:pPr>
        <w:tabs>
          <w:tab w:val="left" w:pos="851"/>
        </w:tabs>
        <w:ind w:left="851"/>
        <w:rPr>
          <w:sz w:val="24"/>
          <w:szCs w:val="24"/>
          <w:lang w:val="en-GB"/>
        </w:rPr>
      </w:pPr>
    </w:p>
    <w:p w14:paraId="4D645291" w14:textId="77777777" w:rsidR="007C5D2A" w:rsidRPr="0063448B" w:rsidRDefault="007C5D2A" w:rsidP="007C5D2A">
      <w:pPr>
        <w:ind w:left="851" w:hanging="851"/>
        <w:rPr>
          <w:b/>
          <w:sz w:val="24"/>
          <w:szCs w:val="24"/>
          <w:lang w:val="en-GB"/>
        </w:rPr>
      </w:pPr>
      <w:r w:rsidRPr="0063448B">
        <w:rPr>
          <w:b/>
          <w:sz w:val="24"/>
          <w:szCs w:val="24"/>
          <w:lang w:val="en-GB"/>
        </w:rPr>
        <w:t>4.5</w:t>
      </w:r>
      <w:r w:rsidRPr="0063448B">
        <w:rPr>
          <w:b/>
          <w:sz w:val="24"/>
          <w:szCs w:val="24"/>
          <w:lang w:val="en-GB"/>
        </w:rPr>
        <w:tab/>
        <w:t>Interaction with other medicinal products and other forms of interaction</w:t>
      </w:r>
    </w:p>
    <w:p w14:paraId="3A94A3A2" w14:textId="77777777" w:rsidR="0063448B" w:rsidRDefault="0063448B" w:rsidP="003A108F">
      <w:pPr>
        <w:ind w:left="851"/>
        <w:rPr>
          <w:i/>
          <w:sz w:val="24"/>
          <w:szCs w:val="24"/>
          <w:lang w:val="en-GB"/>
        </w:rPr>
      </w:pPr>
    </w:p>
    <w:p w14:paraId="077BBDED" w14:textId="1DC8C75B" w:rsidR="003A108F" w:rsidRPr="0063448B" w:rsidRDefault="003A108F" w:rsidP="003A108F">
      <w:pPr>
        <w:ind w:left="851"/>
        <w:rPr>
          <w:sz w:val="24"/>
          <w:szCs w:val="24"/>
          <w:u w:val="single"/>
          <w:lang w:val="en-US"/>
        </w:rPr>
      </w:pPr>
      <w:r w:rsidRPr="0063448B">
        <w:rPr>
          <w:i/>
          <w:sz w:val="24"/>
          <w:szCs w:val="24"/>
          <w:u w:val="single"/>
          <w:lang w:val="en-US"/>
        </w:rPr>
        <w:t xml:space="preserve">In vitro </w:t>
      </w:r>
      <w:r w:rsidRPr="0063448B">
        <w:rPr>
          <w:sz w:val="24"/>
          <w:szCs w:val="24"/>
          <w:u w:val="single"/>
          <w:lang w:val="en-US"/>
        </w:rPr>
        <w:t>assessment of interactions</w:t>
      </w:r>
    </w:p>
    <w:p w14:paraId="3131D33D" w14:textId="77777777" w:rsidR="003A108F" w:rsidRPr="0063448B" w:rsidRDefault="003A108F" w:rsidP="003A108F">
      <w:pPr>
        <w:ind w:left="851"/>
        <w:rPr>
          <w:sz w:val="24"/>
          <w:szCs w:val="24"/>
          <w:lang w:val="en-US"/>
        </w:rPr>
      </w:pPr>
      <w:r w:rsidRPr="0063448B">
        <w:rPr>
          <w:sz w:val="24"/>
          <w:szCs w:val="24"/>
          <w:lang w:val="en-US"/>
        </w:rPr>
        <w:t>Linagliptin is a weak competitive and a weak to moderate mechanism-based inhibitor of CYP isozyme CYP3A4, but does not inhibit other CYP isozymes. It is not an inducer of CYP isozymes.</w:t>
      </w:r>
    </w:p>
    <w:p w14:paraId="5F819018" w14:textId="77777777" w:rsidR="003A108F" w:rsidRPr="0063448B" w:rsidRDefault="003A108F" w:rsidP="003A108F">
      <w:pPr>
        <w:ind w:left="851"/>
        <w:rPr>
          <w:sz w:val="24"/>
          <w:szCs w:val="24"/>
          <w:lang w:val="en-US"/>
        </w:rPr>
      </w:pPr>
      <w:r w:rsidRPr="0063448B">
        <w:rPr>
          <w:sz w:val="24"/>
          <w:szCs w:val="24"/>
          <w:lang w:val="en-US"/>
        </w:rPr>
        <w:t xml:space="preserve">Linagliptin is a P-glycoprotein substrate, and inhibits P-glycoprotein mediated transport of digoxin with low potency. Based on these results and </w:t>
      </w:r>
      <w:r w:rsidRPr="0063448B">
        <w:rPr>
          <w:i/>
          <w:sz w:val="24"/>
          <w:szCs w:val="24"/>
          <w:lang w:val="en-US"/>
        </w:rPr>
        <w:t xml:space="preserve">in vivo </w:t>
      </w:r>
      <w:r w:rsidRPr="0063448B">
        <w:rPr>
          <w:sz w:val="24"/>
          <w:szCs w:val="24"/>
          <w:lang w:val="en-US"/>
        </w:rPr>
        <w:t>interaction studies, linagliptin is considered unlikely to cause interactions with other P-</w:t>
      </w:r>
      <w:proofErr w:type="spellStart"/>
      <w:r w:rsidRPr="0063448B">
        <w:rPr>
          <w:sz w:val="24"/>
          <w:szCs w:val="24"/>
          <w:lang w:val="en-US"/>
        </w:rPr>
        <w:t>gp</w:t>
      </w:r>
      <w:proofErr w:type="spellEnd"/>
      <w:r w:rsidRPr="0063448B">
        <w:rPr>
          <w:sz w:val="24"/>
          <w:szCs w:val="24"/>
          <w:lang w:val="en-US"/>
        </w:rPr>
        <w:t xml:space="preserve"> substrates.</w:t>
      </w:r>
    </w:p>
    <w:p w14:paraId="0881C6C2" w14:textId="77777777" w:rsidR="003A108F" w:rsidRPr="0063448B" w:rsidRDefault="003A108F" w:rsidP="003A108F">
      <w:pPr>
        <w:ind w:left="851"/>
        <w:rPr>
          <w:sz w:val="24"/>
          <w:szCs w:val="24"/>
          <w:lang w:val="en-US"/>
        </w:rPr>
      </w:pPr>
    </w:p>
    <w:p w14:paraId="75B2B260" w14:textId="77777777" w:rsidR="003A108F" w:rsidRPr="0063448B" w:rsidRDefault="003A108F" w:rsidP="003A108F">
      <w:pPr>
        <w:ind w:left="851"/>
        <w:rPr>
          <w:sz w:val="24"/>
          <w:szCs w:val="24"/>
          <w:u w:val="single"/>
          <w:lang w:val="en-US"/>
        </w:rPr>
      </w:pPr>
      <w:r w:rsidRPr="0063448B">
        <w:rPr>
          <w:i/>
          <w:sz w:val="24"/>
          <w:szCs w:val="24"/>
          <w:u w:val="single"/>
          <w:lang w:val="en-US"/>
        </w:rPr>
        <w:t xml:space="preserve">In vivo </w:t>
      </w:r>
      <w:r w:rsidRPr="0063448B">
        <w:rPr>
          <w:sz w:val="24"/>
          <w:szCs w:val="24"/>
          <w:u w:val="single"/>
          <w:lang w:val="en-US"/>
        </w:rPr>
        <w:t>assessment of interactions</w:t>
      </w:r>
    </w:p>
    <w:p w14:paraId="63720C07" w14:textId="77777777" w:rsidR="003A108F" w:rsidRPr="0063448B" w:rsidRDefault="003A108F" w:rsidP="003A108F">
      <w:pPr>
        <w:ind w:left="851"/>
        <w:rPr>
          <w:i/>
          <w:sz w:val="24"/>
          <w:szCs w:val="24"/>
          <w:u w:val="single"/>
          <w:lang w:val="en-US"/>
        </w:rPr>
      </w:pPr>
      <w:r w:rsidRPr="0063448B">
        <w:rPr>
          <w:i/>
          <w:sz w:val="24"/>
          <w:szCs w:val="24"/>
          <w:u w:val="single"/>
          <w:lang w:val="en-US"/>
        </w:rPr>
        <w:t>Effects of other medicinal products on linagliptin</w:t>
      </w:r>
    </w:p>
    <w:p w14:paraId="29444BD3" w14:textId="77777777" w:rsidR="003A108F" w:rsidRPr="0063448B" w:rsidRDefault="003A108F" w:rsidP="003A108F">
      <w:pPr>
        <w:ind w:left="851"/>
        <w:rPr>
          <w:sz w:val="24"/>
          <w:szCs w:val="24"/>
          <w:lang w:val="en-US"/>
        </w:rPr>
      </w:pPr>
      <w:r w:rsidRPr="0063448B">
        <w:rPr>
          <w:sz w:val="24"/>
          <w:szCs w:val="24"/>
          <w:lang w:val="en-US"/>
        </w:rPr>
        <w:t>Clinical data described below suggest that the risk for clinically meaningful interactions by co- administered medicinal products is low.</w:t>
      </w:r>
    </w:p>
    <w:p w14:paraId="3C1DAAFB" w14:textId="77777777" w:rsidR="003A108F" w:rsidRPr="0063448B" w:rsidRDefault="003A108F" w:rsidP="003A108F">
      <w:pPr>
        <w:ind w:left="851"/>
        <w:rPr>
          <w:sz w:val="24"/>
          <w:szCs w:val="24"/>
          <w:lang w:val="en-US"/>
        </w:rPr>
      </w:pPr>
    </w:p>
    <w:p w14:paraId="5935240B" w14:textId="77777777" w:rsidR="003A108F" w:rsidRPr="0063448B" w:rsidRDefault="003A108F" w:rsidP="003A108F">
      <w:pPr>
        <w:ind w:left="851"/>
        <w:rPr>
          <w:sz w:val="24"/>
          <w:szCs w:val="24"/>
          <w:lang w:val="en-US"/>
        </w:rPr>
      </w:pPr>
      <w:r w:rsidRPr="0063448B">
        <w:rPr>
          <w:i/>
          <w:sz w:val="24"/>
          <w:szCs w:val="24"/>
          <w:lang w:val="en-US"/>
        </w:rPr>
        <w:t xml:space="preserve">Rifampicin: </w:t>
      </w:r>
      <w:r w:rsidRPr="0063448B">
        <w:rPr>
          <w:sz w:val="24"/>
          <w:szCs w:val="24"/>
          <w:lang w:val="en-US"/>
        </w:rPr>
        <w:t xml:space="preserve">multiple co-administration of 5 mg linagliptin with rifampicin, a potent inductor of P-glycoprotein and CYP3A4, resulted in a 39.6% and 43.8% decreased linagliptin steady-state AUC and </w:t>
      </w:r>
      <w:proofErr w:type="spellStart"/>
      <w:r w:rsidRPr="0063448B">
        <w:rPr>
          <w:sz w:val="24"/>
          <w:szCs w:val="24"/>
          <w:lang w:val="en-US"/>
        </w:rPr>
        <w:t>C</w:t>
      </w:r>
      <w:r w:rsidRPr="0063448B">
        <w:rPr>
          <w:sz w:val="24"/>
          <w:szCs w:val="24"/>
          <w:vertAlign w:val="subscript"/>
          <w:lang w:val="en-US"/>
        </w:rPr>
        <w:t>max</w:t>
      </w:r>
      <w:proofErr w:type="spellEnd"/>
      <w:r w:rsidRPr="0063448B">
        <w:rPr>
          <w:sz w:val="24"/>
          <w:szCs w:val="24"/>
          <w:lang w:val="en-US"/>
        </w:rPr>
        <w:t>, respectively, and about 30% decreased DPP-4 inhibition at trough. Thus, full efficacy of linagliptin in combination with strong P-</w:t>
      </w:r>
      <w:proofErr w:type="spellStart"/>
      <w:r w:rsidRPr="0063448B">
        <w:rPr>
          <w:sz w:val="24"/>
          <w:szCs w:val="24"/>
          <w:lang w:val="en-US"/>
        </w:rPr>
        <w:t>gp</w:t>
      </w:r>
      <w:proofErr w:type="spellEnd"/>
      <w:r w:rsidRPr="0063448B">
        <w:rPr>
          <w:sz w:val="24"/>
          <w:szCs w:val="24"/>
          <w:lang w:val="en-US"/>
        </w:rPr>
        <w:t xml:space="preserve"> inducers might not be achieved, particularly if these are administered long-term. Co-administration with other potent inducers of P-glycoprotein and CYP3A4, such as carbamazepine, phenobarbital and phenytoin has not been studied.</w:t>
      </w:r>
    </w:p>
    <w:p w14:paraId="66B49110" w14:textId="77777777" w:rsidR="003A108F" w:rsidRPr="0063448B" w:rsidRDefault="003A108F" w:rsidP="003A108F">
      <w:pPr>
        <w:ind w:left="851"/>
        <w:rPr>
          <w:sz w:val="24"/>
          <w:szCs w:val="24"/>
          <w:lang w:val="en-US"/>
        </w:rPr>
      </w:pPr>
    </w:p>
    <w:p w14:paraId="382DEF33" w14:textId="735652D1" w:rsidR="003A108F" w:rsidRPr="0063448B" w:rsidRDefault="003A108F" w:rsidP="003A108F">
      <w:pPr>
        <w:ind w:left="851"/>
        <w:rPr>
          <w:sz w:val="24"/>
          <w:szCs w:val="24"/>
          <w:lang w:val="en-US"/>
        </w:rPr>
      </w:pPr>
      <w:r w:rsidRPr="0063448B">
        <w:rPr>
          <w:i/>
          <w:sz w:val="24"/>
          <w:szCs w:val="24"/>
          <w:lang w:val="en-US"/>
        </w:rPr>
        <w:t xml:space="preserve">Ritonavir: </w:t>
      </w:r>
      <w:r w:rsidRPr="0063448B">
        <w:rPr>
          <w:sz w:val="24"/>
          <w:szCs w:val="24"/>
          <w:lang w:val="en-US"/>
        </w:rPr>
        <w:t xml:space="preserve">co-administration of a single 5 mg oral dose of linagliptin and multiple 200 mg oral doses of ritonavir, a potent inhibitor of P-glycoprotein and CYP3A4, increased the AUC and </w:t>
      </w:r>
      <w:proofErr w:type="spellStart"/>
      <w:r w:rsidRPr="0063448B">
        <w:rPr>
          <w:sz w:val="24"/>
          <w:szCs w:val="24"/>
          <w:lang w:val="en-US"/>
        </w:rPr>
        <w:t>C</w:t>
      </w:r>
      <w:r w:rsidRPr="0063448B">
        <w:rPr>
          <w:sz w:val="24"/>
          <w:szCs w:val="24"/>
          <w:vertAlign w:val="subscript"/>
          <w:lang w:val="en-US"/>
        </w:rPr>
        <w:t>max</w:t>
      </w:r>
      <w:proofErr w:type="spellEnd"/>
      <w:r w:rsidRPr="0063448B">
        <w:rPr>
          <w:sz w:val="24"/>
          <w:szCs w:val="24"/>
          <w:lang w:val="en-US"/>
        </w:rPr>
        <w:t xml:space="preserve"> of linagliptin approximately twofold and threefold, respectively. The unbound concentrations, which are usually less than 1% at the therapeutic dose of linagliptin, were increased 4-5-fold after co-administration with ritonavir. Simulations of steady-state plasma concentrations of linagliptin with and without ritonavir indicated that the increase in exposure will be not associated with an increased accumulation. These changes in linagliptin pharmacokinetics were not considered to be clinically relevant. Therefore, clinically relevant interactions would not be expected with other P- glycoprotein/CYP3A4 inhibitors.</w:t>
      </w:r>
    </w:p>
    <w:p w14:paraId="553E4FF1" w14:textId="77777777" w:rsidR="003A108F" w:rsidRPr="0063448B" w:rsidRDefault="003A108F" w:rsidP="003A108F">
      <w:pPr>
        <w:ind w:left="851"/>
        <w:rPr>
          <w:sz w:val="24"/>
          <w:szCs w:val="24"/>
          <w:lang w:val="en-US"/>
        </w:rPr>
      </w:pPr>
    </w:p>
    <w:p w14:paraId="528DB747" w14:textId="77777777" w:rsidR="003A108F" w:rsidRPr="0063448B" w:rsidRDefault="003A108F" w:rsidP="003A108F">
      <w:pPr>
        <w:ind w:left="851"/>
        <w:rPr>
          <w:sz w:val="24"/>
          <w:szCs w:val="24"/>
          <w:lang w:val="en-US"/>
        </w:rPr>
      </w:pPr>
      <w:r w:rsidRPr="0063448B">
        <w:rPr>
          <w:i/>
          <w:sz w:val="24"/>
          <w:szCs w:val="24"/>
          <w:lang w:val="en-US"/>
        </w:rPr>
        <w:lastRenderedPageBreak/>
        <w:t xml:space="preserve">Metformin: </w:t>
      </w:r>
      <w:r w:rsidRPr="0063448B">
        <w:rPr>
          <w:sz w:val="24"/>
          <w:szCs w:val="24"/>
          <w:lang w:val="en-US"/>
        </w:rPr>
        <w:t>co-administration of multiple three times daily doses of 850 mg metformin with 10 mg linagliptin once daily did not clinical meaningfully alter the pharmacokinetics of linagliptin in healthy volunteers.</w:t>
      </w:r>
    </w:p>
    <w:p w14:paraId="21BCF9C2" w14:textId="77777777" w:rsidR="003A108F" w:rsidRPr="0063448B" w:rsidRDefault="003A108F" w:rsidP="003A108F">
      <w:pPr>
        <w:ind w:left="851"/>
        <w:rPr>
          <w:sz w:val="24"/>
          <w:szCs w:val="24"/>
          <w:lang w:val="en-US"/>
        </w:rPr>
      </w:pPr>
    </w:p>
    <w:p w14:paraId="69C64E95" w14:textId="77777777" w:rsidR="003A108F" w:rsidRPr="0063448B" w:rsidRDefault="003A108F" w:rsidP="003A108F">
      <w:pPr>
        <w:ind w:left="851"/>
        <w:rPr>
          <w:sz w:val="24"/>
          <w:szCs w:val="24"/>
          <w:lang w:val="en-US"/>
        </w:rPr>
      </w:pPr>
      <w:proofErr w:type="spellStart"/>
      <w:r w:rsidRPr="0063448B">
        <w:rPr>
          <w:i/>
          <w:sz w:val="24"/>
          <w:szCs w:val="24"/>
          <w:lang w:val="en-US"/>
        </w:rPr>
        <w:t>Sulphonylureas</w:t>
      </w:r>
      <w:proofErr w:type="spellEnd"/>
      <w:r w:rsidRPr="0063448B">
        <w:rPr>
          <w:i/>
          <w:sz w:val="24"/>
          <w:szCs w:val="24"/>
          <w:lang w:val="en-US"/>
        </w:rPr>
        <w:t xml:space="preserve">: </w:t>
      </w:r>
      <w:r w:rsidRPr="0063448B">
        <w:rPr>
          <w:sz w:val="24"/>
          <w:szCs w:val="24"/>
          <w:lang w:val="en-US"/>
        </w:rPr>
        <w:t xml:space="preserve">the steady-state pharmacokinetics of 5 mg linagliptin was not changed by concomitant administration of a single 1.75 mg dose </w:t>
      </w:r>
      <w:proofErr w:type="spellStart"/>
      <w:r w:rsidRPr="0063448B">
        <w:rPr>
          <w:sz w:val="24"/>
          <w:szCs w:val="24"/>
          <w:lang w:val="en-US"/>
        </w:rPr>
        <w:t>glibenclamide</w:t>
      </w:r>
      <w:proofErr w:type="spellEnd"/>
      <w:r w:rsidRPr="0063448B">
        <w:rPr>
          <w:sz w:val="24"/>
          <w:szCs w:val="24"/>
          <w:lang w:val="en-US"/>
        </w:rPr>
        <w:t xml:space="preserve"> (glyburide).</w:t>
      </w:r>
    </w:p>
    <w:p w14:paraId="77C1926D" w14:textId="77777777" w:rsidR="003A108F" w:rsidRPr="0063448B" w:rsidRDefault="003A108F" w:rsidP="003A108F">
      <w:pPr>
        <w:ind w:left="851"/>
        <w:rPr>
          <w:sz w:val="24"/>
          <w:szCs w:val="24"/>
          <w:lang w:val="en-US"/>
        </w:rPr>
      </w:pPr>
    </w:p>
    <w:p w14:paraId="581B59CE" w14:textId="77777777" w:rsidR="003A108F" w:rsidRPr="0063448B" w:rsidRDefault="003A108F" w:rsidP="003A108F">
      <w:pPr>
        <w:ind w:left="851"/>
        <w:rPr>
          <w:i/>
          <w:sz w:val="24"/>
          <w:szCs w:val="24"/>
          <w:u w:val="single"/>
          <w:lang w:val="en-US"/>
        </w:rPr>
      </w:pPr>
      <w:r w:rsidRPr="0063448B">
        <w:rPr>
          <w:i/>
          <w:sz w:val="24"/>
          <w:szCs w:val="24"/>
          <w:u w:val="single"/>
          <w:lang w:val="en-US"/>
        </w:rPr>
        <w:t>Effects of linagliptin on other medicinal products</w:t>
      </w:r>
    </w:p>
    <w:p w14:paraId="2C511791" w14:textId="77777777" w:rsidR="003A108F" w:rsidRPr="0063448B" w:rsidRDefault="003A108F" w:rsidP="003A108F">
      <w:pPr>
        <w:ind w:left="851"/>
        <w:rPr>
          <w:sz w:val="24"/>
          <w:szCs w:val="24"/>
          <w:lang w:val="en-US"/>
        </w:rPr>
      </w:pPr>
      <w:r w:rsidRPr="0063448B">
        <w:rPr>
          <w:sz w:val="24"/>
          <w:szCs w:val="24"/>
          <w:lang w:val="en-US"/>
        </w:rPr>
        <w:t xml:space="preserve">In clinical studies, as described below, linagliptin had no clinically relevant effect on the pharmacokinetics of metformin, glyburide, simvastatin, warfarin, digoxin or oral contraceptives providing </w:t>
      </w:r>
      <w:r w:rsidRPr="0063448B">
        <w:rPr>
          <w:i/>
          <w:sz w:val="24"/>
          <w:szCs w:val="24"/>
          <w:lang w:val="en-US"/>
        </w:rPr>
        <w:t xml:space="preserve">in vivo </w:t>
      </w:r>
      <w:r w:rsidRPr="0063448B">
        <w:rPr>
          <w:sz w:val="24"/>
          <w:szCs w:val="24"/>
          <w:lang w:val="en-US"/>
        </w:rPr>
        <w:t>evidence of a low propensity for causing medicinal product interactions with substrates of CYP3A4, CYP2C9, CYP2C8, P-glycoprotein, and organic cationic transporter (OCT).</w:t>
      </w:r>
    </w:p>
    <w:p w14:paraId="3E01E673" w14:textId="77777777" w:rsidR="003A108F" w:rsidRPr="0063448B" w:rsidRDefault="003A108F" w:rsidP="003A108F">
      <w:pPr>
        <w:ind w:left="851"/>
        <w:rPr>
          <w:sz w:val="24"/>
          <w:szCs w:val="24"/>
          <w:lang w:val="en-US"/>
        </w:rPr>
      </w:pPr>
    </w:p>
    <w:p w14:paraId="69F29C45" w14:textId="77777777" w:rsidR="003A108F" w:rsidRPr="0063448B" w:rsidRDefault="003A108F" w:rsidP="003A108F">
      <w:pPr>
        <w:ind w:left="851"/>
        <w:rPr>
          <w:sz w:val="24"/>
          <w:szCs w:val="24"/>
          <w:lang w:val="en-US"/>
        </w:rPr>
      </w:pPr>
      <w:r w:rsidRPr="0063448B">
        <w:rPr>
          <w:i/>
          <w:sz w:val="24"/>
          <w:szCs w:val="24"/>
          <w:lang w:val="en-US"/>
        </w:rPr>
        <w:t xml:space="preserve">Metformin: </w:t>
      </w:r>
      <w:r w:rsidRPr="0063448B">
        <w:rPr>
          <w:sz w:val="24"/>
          <w:szCs w:val="24"/>
          <w:lang w:val="en-US"/>
        </w:rPr>
        <w:t>co-administration of multiple daily doses of 10 mg linagliptin with 850 mg metformin, an OCT substrate, had no relevant effect on the pharmacokinetics of metformin in healthy volunteers. Therefore, linagliptin is not an inhibitor of OCT-mediated transport.</w:t>
      </w:r>
    </w:p>
    <w:p w14:paraId="1B6202BF" w14:textId="77777777" w:rsidR="003A108F" w:rsidRPr="0063448B" w:rsidRDefault="003A108F" w:rsidP="003A108F">
      <w:pPr>
        <w:ind w:left="851"/>
        <w:rPr>
          <w:sz w:val="24"/>
          <w:szCs w:val="24"/>
          <w:lang w:val="en-US"/>
        </w:rPr>
      </w:pPr>
    </w:p>
    <w:p w14:paraId="1A1020A5" w14:textId="77777777" w:rsidR="003A108F" w:rsidRPr="0063448B" w:rsidRDefault="003A108F" w:rsidP="003A108F">
      <w:pPr>
        <w:ind w:left="851"/>
        <w:rPr>
          <w:sz w:val="24"/>
          <w:szCs w:val="24"/>
          <w:lang w:val="en-US"/>
        </w:rPr>
      </w:pPr>
      <w:proofErr w:type="spellStart"/>
      <w:r w:rsidRPr="0063448B">
        <w:rPr>
          <w:i/>
          <w:sz w:val="24"/>
          <w:szCs w:val="24"/>
          <w:lang w:val="en-US"/>
        </w:rPr>
        <w:t>Sulphonylureas</w:t>
      </w:r>
      <w:proofErr w:type="spellEnd"/>
      <w:r w:rsidRPr="0063448B">
        <w:rPr>
          <w:i/>
          <w:sz w:val="24"/>
          <w:szCs w:val="24"/>
          <w:lang w:val="en-US"/>
        </w:rPr>
        <w:t xml:space="preserve">: </w:t>
      </w:r>
      <w:r w:rsidRPr="0063448B">
        <w:rPr>
          <w:sz w:val="24"/>
          <w:szCs w:val="24"/>
          <w:lang w:val="en-US"/>
        </w:rPr>
        <w:t xml:space="preserve">co-administration of multiple oral doses of 5 mg linagliptin and a single oral dose of 1.75 mg </w:t>
      </w:r>
      <w:proofErr w:type="spellStart"/>
      <w:r w:rsidRPr="0063448B">
        <w:rPr>
          <w:sz w:val="24"/>
          <w:szCs w:val="24"/>
          <w:lang w:val="en-US"/>
        </w:rPr>
        <w:t>glibenclamide</w:t>
      </w:r>
      <w:proofErr w:type="spellEnd"/>
      <w:r w:rsidRPr="0063448B">
        <w:rPr>
          <w:sz w:val="24"/>
          <w:szCs w:val="24"/>
          <w:lang w:val="en-US"/>
        </w:rPr>
        <w:t xml:space="preserve"> (glyburide) resulted in clinically not relevant reduction of 14% of both AUC and </w:t>
      </w:r>
      <w:proofErr w:type="spellStart"/>
      <w:r w:rsidRPr="0063448B">
        <w:rPr>
          <w:sz w:val="24"/>
          <w:szCs w:val="24"/>
          <w:lang w:val="en-US"/>
        </w:rPr>
        <w:t>C</w:t>
      </w:r>
      <w:r w:rsidRPr="0063448B">
        <w:rPr>
          <w:sz w:val="24"/>
          <w:szCs w:val="24"/>
          <w:vertAlign w:val="subscript"/>
          <w:lang w:val="en-US"/>
        </w:rPr>
        <w:t>max</w:t>
      </w:r>
      <w:proofErr w:type="spellEnd"/>
      <w:r w:rsidRPr="0063448B">
        <w:rPr>
          <w:sz w:val="24"/>
          <w:szCs w:val="24"/>
          <w:lang w:val="en-US"/>
        </w:rPr>
        <w:t xml:space="preserve"> of </w:t>
      </w:r>
      <w:proofErr w:type="spellStart"/>
      <w:r w:rsidRPr="0063448B">
        <w:rPr>
          <w:sz w:val="24"/>
          <w:szCs w:val="24"/>
          <w:lang w:val="en-US"/>
        </w:rPr>
        <w:t>glibenclamide</w:t>
      </w:r>
      <w:proofErr w:type="spellEnd"/>
      <w:r w:rsidRPr="0063448B">
        <w:rPr>
          <w:sz w:val="24"/>
          <w:szCs w:val="24"/>
          <w:lang w:val="en-US"/>
        </w:rPr>
        <w:t xml:space="preserve">. Because </w:t>
      </w:r>
      <w:proofErr w:type="spellStart"/>
      <w:r w:rsidRPr="0063448B">
        <w:rPr>
          <w:sz w:val="24"/>
          <w:szCs w:val="24"/>
          <w:lang w:val="en-US"/>
        </w:rPr>
        <w:t>glibenclamide</w:t>
      </w:r>
      <w:proofErr w:type="spellEnd"/>
      <w:r w:rsidRPr="0063448B">
        <w:rPr>
          <w:sz w:val="24"/>
          <w:szCs w:val="24"/>
          <w:lang w:val="en-US"/>
        </w:rPr>
        <w:t xml:space="preserve"> is primarily </w:t>
      </w:r>
      <w:proofErr w:type="spellStart"/>
      <w:r w:rsidRPr="0063448B">
        <w:rPr>
          <w:sz w:val="24"/>
          <w:szCs w:val="24"/>
          <w:lang w:val="en-US"/>
        </w:rPr>
        <w:t>metabolised</w:t>
      </w:r>
      <w:proofErr w:type="spellEnd"/>
      <w:r w:rsidRPr="0063448B">
        <w:rPr>
          <w:sz w:val="24"/>
          <w:szCs w:val="24"/>
          <w:lang w:val="en-US"/>
        </w:rPr>
        <w:t xml:space="preserve"> by CYP2C9, these data also support the conclusion that linagliptin is not a CYP2C9 inhibitor. Clinically meaningful interactions would not be expected with other </w:t>
      </w:r>
      <w:proofErr w:type="spellStart"/>
      <w:r w:rsidRPr="0063448B">
        <w:rPr>
          <w:sz w:val="24"/>
          <w:szCs w:val="24"/>
          <w:lang w:val="en-US"/>
        </w:rPr>
        <w:t>sulphonylureas</w:t>
      </w:r>
      <w:proofErr w:type="spellEnd"/>
      <w:r w:rsidRPr="0063448B">
        <w:rPr>
          <w:sz w:val="24"/>
          <w:szCs w:val="24"/>
          <w:lang w:val="en-US"/>
        </w:rPr>
        <w:t xml:space="preserve"> (e.g., glipizide, tolbutamide, and glimepiride) which, like </w:t>
      </w:r>
      <w:proofErr w:type="spellStart"/>
      <w:r w:rsidRPr="0063448B">
        <w:rPr>
          <w:sz w:val="24"/>
          <w:szCs w:val="24"/>
          <w:lang w:val="en-US"/>
        </w:rPr>
        <w:t>glibenclamide</w:t>
      </w:r>
      <w:proofErr w:type="spellEnd"/>
      <w:r w:rsidRPr="0063448B">
        <w:rPr>
          <w:sz w:val="24"/>
          <w:szCs w:val="24"/>
          <w:lang w:val="en-US"/>
        </w:rPr>
        <w:t>, are primarily eliminated by CYP2C9.</w:t>
      </w:r>
    </w:p>
    <w:p w14:paraId="77C129D0" w14:textId="77777777" w:rsidR="003A108F" w:rsidRPr="0063448B" w:rsidRDefault="003A108F" w:rsidP="003A108F">
      <w:pPr>
        <w:ind w:left="851"/>
        <w:rPr>
          <w:sz w:val="24"/>
          <w:szCs w:val="24"/>
          <w:lang w:val="en-US"/>
        </w:rPr>
      </w:pPr>
    </w:p>
    <w:p w14:paraId="486E0287" w14:textId="77777777" w:rsidR="003A108F" w:rsidRPr="0063448B" w:rsidRDefault="003A108F" w:rsidP="003A108F">
      <w:pPr>
        <w:ind w:left="851"/>
        <w:rPr>
          <w:i/>
          <w:sz w:val="24"/>
          <w:szCs w:val="24"/>
          <w:lang w:val="en-US"/>
        </w:rPr>
      </w:pPr>
      <w:r w:rsidRPr="0063448B">
        <w:rPr>
          <w:i/>
          <w:sz w:val="24"/>
          <w:szCs w:val="24"/>
          <w:lang w:val="en-US"/>
        </w:rPr>
        <w:t xml:space="preserve">Digoxin: </w:t>
      </w:r>
      <w:r w:rsidRPr="0063448B">
        <w:rPr>
          <w:sz w:val="24"/>
          <w:szCs w:val="24"/>
          <w:lang w:val="en-US"/>
        </w:rPr>
        <w:t xml:space="preserve">co-administration of multiple daily doses of 5 mg linagliptin with multiple doses of 0.25 mg digoxin had no effect on the pharmacokinetics of digoxin in healthy volunteers. Therefore, linagliptin is not an inhibitor of P-glycoprotein-mediated transport </w:t>
      </w:r>
      <w:r w:rsidRPr="0063448B">
        <w:rPr>
          <w:i/>
          <w:sz w:val="24"/>
          <w:szCs w:val="24"/>
          <w:lang w:val="en-US"/>
        </w:rPr>
        <w:t>in vivo.</w:t>
      </w:r>
    </w:p>
    <w:p w14:paraId="3F63D986" w14:textId="77777777" w:rsidR="003A108F" w:rsidRPr="0063448B" w:rsidRDefault="003A108F" w:rsidP="003A108F">
      <w:pPr>
        <w:ind w:left="851"/>
        <w:rPr>
          <w:i/>
          <w:sz w:val="24"/>
          <w:szCs w:val="24"/>
          <w:lang w:val="en-US"/>
        </w:rPr>
      </w:pPr>
    </w:p>
    <w:p w14:paraId="749CB368" w14:textId="77777777" w:rsidR="003A108F" w:rsidRPr="0063448B" w:rsidRDefault="003A108F" w:rsidP="003A108F">
      <w:pPr>
        <w:ind w:left="851"/>
        <w:rPr>
          <w:sz w:val="24"/>
          <w:szCs w:val="24"/>
          <w:lang w:val="en-US"/>
        </w:rPr>
      </w:pPr>
      <w:r w:rsidRPr="0063448B">
        <w:rPr>
          <w:i/>
          <w:sz w:val="24"/>
          <w:szCs w:val="24"/>
          <w:lang w:val="en-US"/>
        </w:rPr>
        <w:t xml:space="preserve">Warfarin: </w:t>
      </w:r>
      <w:r w:rsidRPr="0063448B">
        <w:rPr>
          <w:sz w:val="24"/>
          <w:szCs w:val="24"/>
          <w:lang w:val="en-US"/>
        </w:rPr>
        <w:t xml:space="preserve">multiple daily doses of 5 mg linagliptin did not alter the pharmacokinetics of </w:t>
      </w:r>
      <w:proofErr w:type="gramStart"/>
      <w:r w:rsidRPr="0063448B">
        <w:rPr>
          <w:sz w:val="24"/>
          <w:szCs w:val="24"/>
          <w:lang w:val="en-US"/>
        </w:rPr>
        <w:t>S(</w:t>
      </w:r>
      <w:proofErr w:type="gramEnd"/>
      <w:r w:rsidRPr="0063448B">
        <w:rPr>
          <w:sz w:val="24"/>
          <w:szCs w:val="24"/>
          <w:lang w:val="en-US"/>
        </w:rPr>
        <w:t>-) or R(+) warfarin, a CYP2C9 substrate, administered in a single dose.</w:t>
      </w:r>
    </w:p>
    <w:p w14:paraId="3A9B92CB" w14:textId="77777777" w:rsidR="003A108F" w:rsidRPr="0063448B" w:rsidRDefault="003A108F" w:rsidP="003A108F">
      <w:pPr>
        <w:ind w:left="851"/>
        <w:rPr>
          <w:sz w:val="24"/>
          <w:szCs w:val="24"/>
          <w:lang w:val="en-US"/>
        </w:rPr>
      </w:pPr>
    </w:p>
    <w:p w14:paraId="7D5B52E1" w14:textId="77777777" w:rsidR="003A108F" w:rsidRPr="0063448B" w:rsidRDefault="003A108F" w:rsidP="003A108F">
      <w:pPr>
        <w:ind w:left="851"/>
        <w:rPr>
          <w:sz w:val="24"/>
          <w:szCs w:val="24"/>
          <w:lang w:val="en-US"/>
        </w:rPr>
      </w:pPr>
      <w:r w:rsidRPr="0063448B">
        <w:rPr>
          <w:i/>
          <w:sz w:val="24"/>
          <w:szCs w:val="24"/>
          <w:lang w:val="en-US"/>
        </w:rPr>
        <w:t xml:space="preserve">Simvastatin: </w:t>
      </w:r>
      <w:r w:rsidRPr="0063448B">
        <w:rPr>
          <w:sz w:val="24"/>
          <w:szCs w:val="24"/>
          <w:lang w:val="en-US"/>
        </w:rPr>
        <w:t xml:space="preserve">multiple daily doses of linagliptin had a minimal effect on the steady-state pharmacokinetics of simvastatin, a sensitive CYP3A4 substrate, in healthy volunteers. Following administration of a supratherapeutic dose of 10 mg linagliptin concomitantly with 40 mg of simvastatin daily for 6 days, the plasma AUC of simvastatin was increased by 34%, and the plasma </w:t>
      </w:r>
      <w:proofErr w:type="spellStart"/>
      <w:r w:rsidRPr="0063448B">
        <w:rPr>
          <w:sz w:val="24"/>
          <w:szCs w:val="24"/>
          <w:lang w:val="en-US"/>
        </w:rPr>
        <w:t>C</w:t>
      </w:r>
      <w:r w:rsidRPr="0063448B">
        <w:rPr>
          <w:sz w:val="24"/>
          <w:szCs w:val="24"/>
          <w:vertAlign w:val="subscript"/>
          <w:lang w:val="en-US"/>
        </w:rPr>
        <w:t>max</w:t>
      </w:r>
      <w:proofErr w:type="spellEnd"/>
      <w:r w:rsidRPr="0063448B">
        <w:rPr>
          <w:sz w:val="24"/>
          <w:szCs w:val="24"/>
          <w:lang w:val="en-US"/>
        </w:rPr>
        <w:t xml:space="preserve"> by 10%.</w:t>
      </w:r>
    </w:p>
    <w:p w14:paraId="3387797A" w14:textId="77777777" w:rsidR="003A108F" w:rsidRPr="0063448B" w:rsidRDefault="003A108F" w:rsidP="003A108F">
      <w:pPr>
        <w:ind w:left="851"/>
        <w:rPr>
          <w:sz w:val="24"/>
          <w:szCs w:val="24"/>
          <w:lang w:val="en-US"/>
        </w:rPr>
      </w:pPr>
    </w:p>
    <w:p w14:paraId="6F4BFAFC" w14:textId="77777777" w:rsidR="003A108F" w:rsidRPr="0063448B" w:rsidRDefault="003A108F" w:rsidP="003A108F">
      <w:pPr>
        <w:ind w:left="851"/>
        <w:rPr>
          <w:sz w:val="24"/>
          <w:szCs w:val="24"/>
          <w:lang w:val="en-GB"/>
        </w:rPr>
      </w:pPr>
      <w:r w:rsidRPr="0063448B">
        <w:rPr>
          <w:i/>
          <w:sz w:val="24"/>
          <w:szCs w:val="24"/>
          <w:lang w:val="en-US"/>
        </w:rPr>
        <w:t xml:space="preserve">Oral contraceptives: </w:t>
      </w:r>
      <w:r w:rsidRPr="0063448B">
        <w:rPr>
          <w:sz w:val="24"/>
          <w:szCs w:val="24"/>
          <w:lang w:val="en-US"/>
        </w:rPr>
        <w:t xml:space="preserve">co-administration with 5 mg linagliptin did not alter the steady-state pharmacokinetics of levonorgestrel or </w:t>
      </w:r>
      <w:proofErr w:type="spellStart"/>
      <w:r w:rsidRPr="0063448B">
        <w:rPr>
          <w:sz w:val="24"/>
          <w:szCs w:val="24"/>
          <w:lang w:val="en-US"/>
        </w:rPr>
        <w:t>ethinylestradiol</w:t>
      </w:r>
      <w:proofErr w:type="spellEnd"/>
      <w:r w:rsidRPr="0063448B">
        <w:rPr>
          <w:sz w:val="24"/>
          <w:szCs w:val="24"/>
          <w:lang w:val="en-US"/>
        </w:rPr>
        <w:t>.</w:t>
      </w:r>
    </w:p>
    <w:p w14:paraId="1C1BF270" w14:textId="77777777" w:rsidR="007C5D2A" w:rsidRPr="0063448B" w:rsidRDefault="007C5D2A" w:rsidP="003E0341">
      <w:pPr>
        <w:tabs>
          <w:tab w:val="left" w:pos="851"/>
        </w:tabs>
        <w:ind w:left="851"/>
        <w:rPr>
          <w:sz w:val="24"/>
          <w:szCs w:val="24"/>
          <w:lang w:val="en-GB"/>
        </w:rPr>
      </w:pPr>
    </w:p>
    <w:p w14:paraId="7730675C" w14:textId="77777777" w:rsidR="007C5D2A" w:rsidRPr="0063448B" w:rsidRDefault="007C5D2A" w:rsidP="007C5D2A">
      <w:pPr>
        <w:tabs>
          <w:tab w:val="left" w:pos="851"/>
        </w:tabs>
        <w:ind w:left="851" w:hanging="851"/>
        <w:rPr>
          <w:b/>
          <w:sz w:val="24"/>
          <w:szCs w:val="24"/>
          <w:lang w:val="en-GB"/>
        </w:rPr>
      </w:pPr>
      <w:r w:rsidRPr="0063448B">
        <w:rPr>
          <w:b/>
          <w:sz w:val="24"/>
          <w:szCs w:val="24"/>
          <w:lang w:val="en-GB"/>
        </w:rPr>
        <w:t>4.6</w:t>
      </w:r>
      <w:r w:rsidRPr="0063448B">
        <w:rPr>
          <w:b/>
          <w:sz w:val="24"/>
          <w:szCs w:val="24"/>
          <w:lang w:val="en-GB"/>
        </w:rPr>
        <w:tab/>
      </w:r>
      <w:r w:rsidR="004860D3" w:rsidRPr="0063448B">
        <w:rPr>
          <w:b/>
          <w:sz w:val="24"/>
          <w:szCs w:val="24"/>
          <w:lang w:val="en-GB"/>
        </w:rPr>
        <w:t>Fertility, p</w:t>
      </w:r>
      <w:r w:rsidRPr="0063448B">
        <w:rPr>
          <w:b/>
          <w:sz w:val="24"/>
          <w:szCs w:val="24"/>
          <w:lang w:val="en-GB"/>
        </w:rPr>
        <w:t>regnancy and lactation</w:t>
      </w:r>
    </w:p>
    <w:p w14:paraId="058B3108" w14:textId="77777777" w:rsidR="0063448B" w:rsidRDefault="0063448B" w:rsidP="003A108F">
      <w:pPr>
        <w:ind w:left="851"/>
        <w:rPr>
          <w:sz w:val="24"/>
          <w:szCs w:val="24"/>
          <w:u w:color="000000"/>
          <w:lang w:val="en-US"/>
        </w:rPr>
      </w:pPr>
    </w:p>
    <w:p w14:paraId="5DBF8526" w14:textId="51B41B61" w:rsidR="003A108F" w:rsidRPr="0063448B" w:rsidRDefault="003A108F" w:rsidP="003A108F">
      <w:pPr>
        <w:ind w:left="851"/>
        <w:rPr>
          <w:sz w:val="24"/>
          <w:szCs w:val="24"/>
          <w:u w:val="single"/>
          <w:lang w:val="en-US"/>
        </w:rPr>
      </w:pPr>
      <w:r w:rsidRPr="0063448B">
        <w:rPr>
          <w:sz w:val="24"/>
          <w:szCs w:val="24"/>
          <w:u w:val="single"/>
          <w:lang w:val="en-US"/>
        </w:rPr>
        <w:t>Pregnancy</w:t>
      </w:r>
    </w:p>
    <w:p w14:paraId="1763E2A4" w14:textId="77777777" w:rsidR="003A108F" w:rsidRPr="0063448B" w:rsidRDefault="003A108F" w:rsidP="003A108F">
      <w:pPr>
        <w:ind w:left="851"/>
        <w:rPr>
          <w:sz w:val="24"/>
          <w:szCs w:val="24"/>
          <w:lang w:val="en-US"/>
        </w:rPr>
      </w:pPr>
      <w:r w:rsidRPr="0063448B">
        <w:rPr>
          <w:sz w:val="24"/>
          <w:szCs w:val="24"/>
          <w:lang w:val="en-US"/>
        </w:rPr>
        <w:t>The use of linagliptin has not been studied in pregnant women. Animal studies do not indicate direct or indirect harmful effects with respect to reproductive toxicity (see section 5.3). As a precautionary measure, it is preferable to avoid the use of linagliptin during pregnancy.</w:t>
      </w:r>
    </w:p>
    <w:p w14:paraId="6DFA6D44" w14:textId="40754AEC" w:rsidR="000F185E" w:rsidRDefault="000F185E">
      <w:pPr>
        <w:rPr>
          <w:sz w:val="24"/>
          <w:szCs w:val="24"/>
          <w:lang w:val="en-US"/>
        </w:rPr>
      </w:pPr>
      <w:r>
        <w:rPr>
          <w:sz w:val="24"/>
          <w:szCs w:val="24"/>
          <w:lang w:val="en-US"/>
        </w:rPr>
        <w:br w:type="page"/>
      </w:r>
    </w:p>
    <w:p w14:paraId="6EC805B7" w14:textId="77777777" w:rsidR="003A108F" w:rsidRPr="0063448B" w:rsidRDefault="003A108F" w:rsidP="003A108F">
      <w:pPr>
        <w:ind w:left="851"/>
        <w:rPr>
          <w:sz w:val="24"/>
          <w:szCs w:val="24"/>
          <w:lang w:val="en-US"/>
        </w:rPr>
      </w:pPr>
    </w:p>
    <w:p w14:paraId="3B3EB2AE" w14:textId="77777777" w:rsidR="003A108F" w:rsidRPr="0063448B" w:rsidRDefault="003A108F" w:rsidP="003A108F">
      <w:pPr>
        <w:ind w:left="851"/>
        <w:rPr>
          <w:sz w:val="24"/>
          <w:szCs w:val="24"/>
          <w:u w:val="single"/>
          <w:lang w:val="en-US"/>
        </w:rPr>
      </w:pPr>
      <w:r w:rsidRPr="0063448B">
        <w:rPr>
          <w:sz w:val="24"/>
          <w:szCs w:val="24"/>
          <w:u w:val="single"/>
          <w:lang w:val="en-US"/>
        </w:rPr>
        <w:t>Breast-feeding</w:t>
      </w:r>
    </w:p>
    <w:p w14:paraId="6F59831E" w14:textId="77777777" w:rsidR="003A108F" w:rsidRPr="0063448B" w:rsidRDefault="003A108F" w:rsidP="003A108F">
      <w:pPr>
        <w:ind w:left="851"/>
        <w:rPr>
          <w:sz w:val="24"/>
          <w:szCs w:val="24"/>
          <w:lang w:val="en-US"/>
        </w:rPr>
      </w:pPr>
      <w:r w:rsidRPr="0063448B">
        <w:rPr>
          <w:sz w:val="24"/>
          <w:szCs w:val="24"/>
          <w:lang w:val="en-US"/>
        </w:rPr>
        <w:t xml:space="preserve">Available pharmacokinetic data in animals have shown excretion of linagliptin/metabolites in milk. A risk to the breast-fed child cannot be excluded. A decision must be made whether to discontinue breast-feeding or to discontinue/abstain from linagliptin therapy </w:t>
      </w:r>
      <w:proofErr w:type="gramStart"/>
      <w:r w:rsidRPr="0063448B">
        <w:rPr>
          <w:sz w:val="24"/>
          <w:szCs w:val="24"/>
          <w:lang w:val="en-US"/>
        </w:rPr>
        <w:t>taking into account</w:t>
      </w:r>
      <w:proofErr w:type="gramEnd"/>
      <w:r w:rsidRPr="0063448B">
        <w:rPr>
          <w:sz w:val="24"/>
          <w:szCs w:val="24"/>
          <w:lang w:val="en-US"/>
        </w:rPr>
        <w:t xml:space="preserve"> the benefit of breast-feeding for the child and the benefit of therapy for the woman.</w:t>
      </w:r>
    </w:p>
    <w:p w14:paraId="580801CB" w14:textId="77777777" w:rsidR="003A108F" w:rsidRPr="0063448B" w:rsidRDefault="003A108F" w:rsidP="003A108F">
      <w:pPr>
        <w:ind w:left="851"/>
        <w:rPr>
          <w:sz w:val="24"/>
          <w:szCs w:val="24"/>
          <w:lang w:val="en-US"/>
        </w:rPr>
      </w:pPr>
    </w:p>
    <w:p w14:paraId="4639B82A" w14:textId="77777777" w:rsidR="003A108F" w:rsidRPr="0063448B" w:rsidRDefault="003A108F" w:rsidP="003A108F">
      <w:pPr>
        <w:ind w:left="851"/>
        <w:rPr>
          <w:sz w:val="24"/>
          <w:szCs w:val="24"/>
          <w:u w:val="single"/>
          <w:lang w:val="en-US"/>
        </w:rPr>
      </w:pPr>
      <w:r w:rsidRPr="0063448B">
        <w:rPr>
          <w:sz w:val="24"/>
          <w:szCs w:val="24"/>
          <w:u w:val="single"/>
          <w:lang w:val="en-US"/>
        </w:rPr>
        <w:t>Fertility</w:t>
      </w:r>
    </w:p>
    <w:p w14:paraId="2F5B00EB" w14:textId="77777777" w:rsidR="003A108F" w:rsidRPr="0063448B" w:rsidRDefault="003A108F" w:rsidP="003A108F">
      <w:pPr>
        <w:ind w:left="851"/>
        <w:rPr>
          <w:sz w:val="24"/>
          <w:szCs w:val="24"/>
          <w:lang w:val="en-GB"/>
        </w:rPr>
      </w:pPr>
      <w:r w:rsidRPr="0063448B">
        <w:rPr>
          <w:sz w:val="24"/>
          <w:szCs w:val="24"/>
          <w:lang w:val="en-US"/>
        </w:rPr>
        <w:t>No studies on the effect on human fertility have been conducted for linagliptin. Animal studies do not indicate direct or indirect harmful effects with respect to fertility (see section 5.3).</w:t>
      </w:r>
    </w:p>
    <w:p w14:paraId="15FE6441" w14:textId="77777777" w:rsidR="007C5D2A" w:rsidRPr="0063448B" w:rsidRDefault="007C5D2A" w:rsidP="003E0341">
      <w:pPr>
        <w:tabs>
          <w:tab w:val="left" w:pos="851"/>
        </w:tabs>
        <w:ind w:left="851"/>
        <w:rPr>
          <w:sz w:val="24"/>
          <w:szCs w:val="24"/>
          <w:lang w:val="en-GB"/>
        </w:rPr>
      </w:pPr>
    </w:p>
    <w:p w14:paraId="5B58CD68" w14:textId="77777777" w:rsidR="007C5D2A" w:rsidRPr="0063448B" w:rsidRDefault="007C5D2A" w:rsidP="007C5D2A">
      <w:pPr>
        <w:tabs>
          <w:tab w:val="left" w:pos="851"/>
        </w:tabs>
        <w:ind w:left="851" w:hanging="851"/>
        <w:rPr>
          <w:b/>
          <w:sz w:val="24"/>
          <w:szCs w:val="24"/>
          <w:lang w:val="en-GB"/>
        </w:rPr>
      </w:pPr>
      <w:r w:rsidRPr="0063448B">
        <w:rPr>
          <w:b/>
          <w:sz w:val="24"/>
          <w:szCs w:val="24"/>
          <w:lang w:val="en-GB"/>
        </w:rPr>
        <w:t>4.7</w:t>
      </w:r>
      <w:r w:rsidRPr="0063448B">
        <w:rPr>
          <w:b/>
          <w:sz w:val="24"/>
          <w:szCs w:val="24"/>
          <w:lang w:val="en-GB"/>
        </w:rPr>
        <w:tab/>
        <w:t>Effects on ability to drive and use machines</w:t>
      </w:r>
    </w:p>
    <w:p w14:paraId="53F9BE80" w14:textId="77777777" w:rsidR="00BA5DCC" w:rsidRDefault="00BA5DCC" w:rsidP="003A108F">
      <w:pPr>
        <w:ind w:left="851"/>
        <w:rPr>
          <w:sz w:val="24"/>
          <w:szCs w:val="24"/>
          <w:lang w:val="en-GB"/>
        </w:rPr>
      </w:pPr>
      <w:r>
        <w:rPr>
          <w:sz w:val="24"/>
          <w:szCs w:val="24"/>
          <w:lang w:val="en-GB"/>
        </w:rPr>
        <w:t>No traffic warning.</w:t>
      </w:r>
    </w:p>
    <w:p w14:paraId="556D6ABD" w14:textId="2F0E21BF" w:rsidR="003A108F" w:rsidRPr="0063448B" w:rsidRDefault="003A108F" w:rsidP="003A108F">
      <w:pPr>
        <w:ind w:left="851"/>
        <w:rPr>
          <w:sz w:val="24"/>
          <w:szCs w:val="24"/>
          <w:lang w:val="en-US"/>
        </w:rPr>
      </w:pPr>
      <w:r w:rsidRPr="0063448B">
        <w:rPr>
          <w:sz w:val="24"/>
          <w:szCs w:val="24"/>
          <w:lang w:val="en-US"/>
        </w:rPr>
        <w:t>Linagliptin has no or negligible influence on the ability to drive and use machines. However</w:t>
      </w:r>
      <w:r w:rsidR="00BA5DCC">
        <w:rPr>
          <w:sz w:val="24"/>
          <w:szCs w:val="24"/>
          <w:lang w:val="en-US"/>
        </w:rPr>
        <w:t>,</w:t>
      </w:r>
      <w:r w:rsidRPr="0063448B">
        <w:rPr>
          <w:sz w:val="24"/>
          <w:szCs w:val="24"/>
          <w:lang w:val="en-US"/>
        </w:rPr>
        <w:t xml:space="preserve"> patients should be alerted to the risk of </w:t>
      </w:r>
      <w:proofErr w:type="spellStart"/>
      <w:r w:rsidRPr="0063448B">
        <w:rPr>
          <w:sz w:val="24"/>
          <w:szCs w:val="24"/>
          <w:lang w:val="en-US"/>
        </w:rPr>
        <w:t>hypoglycaemia</w:t>
      </w:r>
      <w:proofErr w:type="spellEnd"/>
      <w:r w:rsidRPr="0063448B">
        <w:rPr>
          <w:sz w:val="24"/>
          <w:szCs w:val="24"/>
          <w:lang w:val="en-US"/>
        </w:rPr>
        <w:t xml:space="preserve"> especially when combined with </w:t>
      </w:r>
      <w:proofErr w:type="spellStart"/>
      <w:r w:rsidRPr="0063448B">
        <w:rPr>
          <w:sz w:val="24"/>
          <w:szCs w:val="24"/>
          <w:lang w:val="en-US"/>
        </w:rPr>
        <w:t>sulphonylurea</w:t>
      </w:r>
      <w:proofErr w:type="spellEnd"/>
      <w:r w:rsidRPr="0063448B">
        <w:rPr>
          <w:sz w:val="24"/>
          <w:szCs w:val="24"/>
          <w:lang w:val="en-US"/>
        </w:rPr>
        <w:t xml:space="preserve"> and/or insulin.</w:t>
      </w:r>
    </w:p>
    <w:p w14:paraId="67BA30CB" w14:textId="77777777" w:rsidR="007C5D2A" w:rsidRPr="0063448B" w:rsidRDefault="007C5D2A" w:rsidP="003E0341">
      <w:pPr>
        <w:tabs>
          <w:tab w:val="left" w:pos="851"/>
        </w:tabs>
        <w:ind w:left="851"/>
        <w:rPr>
          <w:sz w:val="24"/>
          <w:szCs w:val="24"/>
          <w:lang w:val="en-GB"/>
        </w:rPr>
      </w:pPr>
    </w:p>
    <w:p w14:paraId="6CEED38E" w14:textId="77777777" w:rsidR="007C5D2A" w:rsidRPr="0063448B" w:rsidRDefault="007C5D2A" w:rsidP="007C5D2A">
      <w:pPr>
        <w:tabs>
          <w:tab w:val="left" w:pos="851"/>
        </w:tabs>
        <w:ind w:left="851" w:hanging="851"/>
        <w:rPr>
          <w:b/>
          <w:sz w:val="24"/>
          <w:szCs w:val="24"/>
          <w:lang w:val="en-GB"/>
        </w:rPr>
      </w:pPr>
      <w:r w:rsidRPr="0063448B">
        <w:rPr>
          <w:b/>
          <w:sz w:val="24"/>
          <w:szCs w:val="24"/>
          <w:lang w:val="en-GB"/>
        </w:rPr>
        <w:t>4.8</w:t>
      </w:r>
      <w:r w:rsidRPr="0063448B">
        <w:rPr>
          <w:b/>
          <w:sz w:val="24"/>
          <w:szCs w:val="24"/>
          <w:lang w:val="en-GB"/>
        </w:rPr>
        <w:tab/>
        <w:t>Undesirable effects</w:t>
      </w:r>
    </w:p>
    <w:p w14:paraId="0878E931" w14:textId="77777777" w:rsidR="003A108F" w:rsidRPr="00393F9C" w:rsidRDefault="003A108F" w:rsidP="003A108F">
      <w:pPr>
        <w:rPr>
          <w:sz w:val="24"/>
          <w:szCs w:val="24"/>
          <w:lang w:val="en-US"/>
        </w:rPr>
      </w:pPr>
    </w:p>
    <w:p w14:paraId="2196B5F9" w14:textId="77777777" w:rsidR="003A108F" w:rsidRPr="0063448B" w:rsidRDefault="003A108F" w:rsidP="003A108F">
      <w:pPr>
        <w:ind w:left="851"/>
        <w:rPr>
          <w:sz w:val="24"/>
          <w:szCs w:val="24"/>
          <w:u w:val="single"/>
          <w:lang w:val="en-US"/>
        </w:rPr>
      </w:pPr>
      <w:r w:rsidRPr="0063448B">
        <w:rPr>
          <w:sz w:val="24"/>
          <w:szCs w:val="24"/>
          <w:u w:val="single"/>
          <w:lang w:val="en-US"/>
        </w:rPr>
        <w:t>Summary of the safety profile</w:t>
      </w:r>
    </w:p>
    <w:p w14:paraId="2DCFDBA3" w14:textId="77777777" w:rsidR="003A108F" w:rsidRPr="0063448B" w:rsidRDefault="003A108F" w:rsidP="003A108F">
      <w:pPr>
        <w:ind w:left="851"/>
        <w:rPr>
          <w:sz w:val="24"/>
          <w:szCs w:val="24"/>
          <w:lang w:val="en-US"/>
        </w:rPr>
      </w:pPr>
      <w:r w:rsidRPr="0063448B">
        <w:rPr>
          <w:sz w:val="24"/>
          <w:szCs w:val="24"/>
          <w:lang w:val="en-US"/>
        </w:rPr>
        <w:t>In the pooled analysis of the placebo-controlled trials, the overall incidence of adverse events in patients treated with placebo was similar to linagliptin 5 mg (63.4% versus 59.1%).</w:t>
      </w:r>
    </w:p>
    <w:p w14:paraId="1A29CF50" w14:textId="77777777" w:rsidR="003A108F" w:rsidRPr="0063448B" w:rsidRDefault="003A108F" w:rsidP="003A108F">
      <w:pPr>
        <w:ind w:left="851"/>
        <w:rPr>
          <w:sz w:val="24"/>
          <w:szCs w:val="24"/>
          <w:lang w:val="en-US"/>
        </w:rPr>
      </w:pPr>
      <w:r w:rsidRPr="0063448B">
        <w:rPr>
          <w:sz w:val="24"/>
          <w:szCs w:val="24"/>
          <w:lang w:val="en-US"/>
        </w:rPr>
        <w:t>Discontinuation of therapy due to adverse events was higher in patients who received placebo as compared to linagliptin 5 mg (4.3% versus 3.4%).</w:t>
      </w:r>
    </w:p>
    <w:p w14:paraId="5102F465" w14:textId="77777777" w:rsidR="003A108F" w:rsidRPr="0063448B" w:rsidRDefault="003A108F" w:rsidP="003A108F">
      <w:pPr>
        <w:ind w:left="851"/>
        <w:rPr>
          <w:sz w:val="24"/>
          <w:szCs w:val="24"/>
          <w:lang w:val="en-US"/>
        </w:rPr>
      </w:pPr>
    </w:p>
    <w:p w14:paraId="7966B9B4" w14:textId="77777777" w:rsidR="003A108F" w:rsidRPr="0063448B" w:rsidRDefault="003A108F" w:rsidP="003A108F">
      <w:pPr>
        <w:ind w:left="851"/>
        <w:rPr>
          <w:sz w:val="24"/>
          <w:szCs w:val="24"/>
          <w:lang w:val="en-US"/>
        </w:rPr>
      </w:pPr>
      <w:r w:rsidRPr="0063448B">
        <w:rPr>
          <w:sz w:val="24"/>
          <w:szCs w:val="24"/>
          <w:lang w:val="en-US"/>
        </w:rPr>
        <w:t>The most frequently reported adverse reaction was “</w:t>
      </w:r>
      <w:proofErr w:type="spellStart"/>
      <w:r w:rsidRPr="0063448B">
        <w:rPr>
          <w:sz w:val="24"/>
          <w:szCs w:val="24"/>
          <w:lang w:val="en-US"/>
        </w:rPr>
        <w:t>hypoglycaemia</w:t>
      </w:r>
      <w:proofErr w:type="spellEnd"/>
      <w:r w:rsidRPr="0063448B">
        <w:rPr>
          <w:sz w:val="24"/>
          <w:szCs w:val="24"/>
          <w:lang w:val="en-US"/>
        </w:rPr>
        <w:t xml:space="preserve">” observed under the triple combination, linagliptin plus metformin plus </w:t>
      </w:r>
      <w:proofErr w:type="spellStart"/>
      <w:r w:rsidRPr="0063448B">
        <w:rPr>
          <w:sz w:val="24"/>
          <w:szCs w:val="24"/>
          <w:lang w:val="en-US"/>
        </w:rPr>
        <w:t>sulphonylurea</w:t>
      </w:r>
      <w:proofErr w:type="spellEnd"/>
      <w:r w:rsidRPr="0063448B">
        <w:rPr>
          <w:sz w:val="24"/>
          <w:szCs w:val="24"/>
          <w:lang w:val="en-US"/>
        </w:rPr>
        <w:t xml:space="preserve"> 14.8% versus 7.6% in placebo.</w:t>
      </w:r>
    </w:p>
    <w:p w14:paraId="74EF279F" w14:textId="77777777" w:rsidR="003A108F" w:rsidRPr="0063448B" w:rsidRDefault="003A108F" w:rsidP="003A108F">
      <w:pPr>
        <w:ind w:left="851"/>
        <w:rPr>
          <w:sz w:val="24"/>
          <w:szCs w:val="24"/>
          <w:lang w:val="en-US"/>
        </w:rPr>
      </w:pPr>
    </w:p>
    <w:p w14:paraId="15CFFB12" w14:textId="77777777" w:rsidR="003A108F" w:rsidRPr="0063448B" w:rsidRDefault="003A108F" w:rsidP="003A108F">
      <w:pPr>
        <w:ind w:left="851"/>
        <w:rPr>
          <w:sz w:val="24"/>
          <w:szCs w:val="24"/>
          <w:lang w:val="en-US"/>
        </w:rPr>
      </w:pPr>
      <w:r w:rsidRPr="0063448B">
        <w:rPr>
          <w:sz w:val="24"/>
          <w:szCs w:val="24"/>
          <w:lang w:val="en-US"/>
        </w:rPr>
        <w:t>In the placebo-controlled studies 4.9% of patients experienced “</w:t>
      </w:r>
      <w:proofErr w:type="spellStart"/>
      <w:r w:rsidRPr="0063448B">
        <w:rPr>
          <w:sz w:val="24"/>
          <w:szCs w:val="24"/>
          <w:lang w:val="en-US"/>
        </w:rPr>
        <w:t>hypoglycaemia</w:t>
      </w:r>
      <w:proofErr w:type="spellEnd"/>
      <w:r w:rsidRPr="0063448B">
        <w:rPr>
          <w:sz w:val="24"/>
          <w:szCs w:val="24"/>
          <w:lang w:val="en-US"/>
        </w:rPr>
        <w:t>” as an adverse reaction under linagliptin. Of these, 4.0% were mild and 0.9% were moderate and 0.1% were classified as severe in intensity. Pancreatitis was reported more often in patients randomized to linagliptin (7 events in 6,580 patients receiving linagliptin versus 2 events in 4,383 patients receiving placebo).</w:t>
      </w:r>
    </w:p>
    <w:p w14:paraId="66DFA233" w14:textId="77777777" w:rsidR="003A108F" w:rsidRPr="0063448B" w:rsidRDefault="003A108F" w:rsidP="003A108F">
      <w:pPr>
        <w:ind w:left="851"/>
        <w:rPr>
          <w:sz w:val="24"/>
          <w:szCs w:val="24"/>
          <w:lang w:val="en-US"/>
        </w:rPr>
      </w:pPr>
    </w:p>
    <w:p w14:paraId="2C5E755D" w14:textId="77777777" w:rsidR="003A108F" w:rsidRPr="0063448B" w:rsidRDefault="003A108F" w:rsidP="003A108F">
      <w:pPr>
        <w:ind w:left="851"/>
        <w:rPr>
          <w:sz w:val="24"/>
          <w:szCs w:val="24"/>
          <w:u w:val="single"/>
          <w:lang w:val="en-US"/>
        </w:rPr>
      </w:pPr>
      <w:r w:rsidRPr="0063448B">
        <w:rPr>
          <w:sz w:val="24"/>
          <w:szCs w:val="24"/>
          <w:u w:val="single"/>
          <w:lang w:val="en-US"/>
        </w:rPr>
        <w:t>Tabulated list of adverse reactions</w:t>
      </w:r>
    </w:p>
    <w:p w14:paraId="3EC94DC6" w14:textId="77777777" w:rsidR="003A108F" w:rsidRPr="0063448B" w:rsidRDefault="003A108F" w:rsidP="003A108F">
      <w:pPr>
        <w:ind w:left="851"/>
        <w:rPr>
          <w:sz w:val="24"/>
          <w:szCs w:val="24"/>
          <w:lang w:val="en-US"/>
        </w:rPr>
      </w:pPr>
      <w:r w:rsidRPr="0063448B">
        <w:rPr>
          <w:sz w:val="24"/>
          <w:szCs w:val="24"/>
          <w:lang w:val="en-US"/>
        </w:rPr>
        <w:t xml:space="preserve">Due to the impact of the background therapy on adverse reactions (e.g. on </w:t>
      </w:r>
      <w:proofErr w:type="spellStart"/>
      <w:r w:rsidRPr="0063448B">
        <w:rPr>
          <w:sz w:val="24"/>
          <w:szCs w:val="24"/>
          <w:lang w:val="en-US"/>
        </w:rPr>
        <w:t>hypoglycaemias</w:t>
      </w:r>
      <w:proofErr w:type="spellEnd"/>
      <w:r w:rsidRPr="0063448B">
        <w:rPr>
          <w:sz w:val="24"/>
          <w:szCs w:val="24"/>
          <w:lang w:val="en-US"/>
        </w:rPr>
        <w:t xml:space="preserve">), adverse reactions were </w:t>
      </w:r>
      <w:proofErr w:type="spellStart"/>
      <w:r w:rsidRPr="0063448B">
        <w:rPr>
          <w:sz w:val="24"/>
          <w:szCs w:val="24"/>
          <w:lang w:val="en-US"/>
        </w:rPr>
        <w:t>analysed</w:t>
      </w:r>
      <w:proofErr w:type="spellEnd"/>
      <w:r w:rsidRPr="0063448B">
        <w:rPr>
          <w:sz w:val="24"/>
          <w:szCs w:val="24"/>
          <w:lang w:val="en-US"/>
        </w:rPr>
        <w:t xml:space="preserve"> based on the respective treatment regimens (monotherapy, add-on to metformin, add-on to </w:t>
      </w:r>
      <w:proofErr w:type="spellStart"/>
      <w:r w:rsidRPr="0063448B">
        <w:rPr>
          <w:sz w:val="24"/>
          <w:szCs w:val="24"/>
          <w:lang w:val="en-US"/>
        </w:rPr>
        <w:t>meformin</w:t>
      </w:r>
      <w:proofErr w:type="spellEnd"/>
      <w:r w:rsidRPr="0063448B">
        <w:rPr>
          <w:sz w:val="24"/>
          <w:szCs w:val="24"/>
          <w:lang w:val="en-US"/>
        </w:rPr>
        <w:t xml:space="preserve"> plus </w:t>
      </w:r>
      <w:proofErr w:type="spellStart"/>
      <w:r w:rsidRPr="0063448B">
        <w:rPr>
          <w:sz w:val="24"/>
          <w:szCs w:val="24"/>
          <w:lang w:val="en-US"/>
        </w:rPr>
        <w:t>sulphonylurea</w:t>
      </w:r>
      <w:proofErr w:type="spellEnd"/>
      <w:r w:rsidRPr="0063448B">
        <w:rPr>
          <w:sz w:val="24"/>
          <w:szCs w:val="24"/>
          <w:lang w:val="en-US"/>
        </w:rPr>
        <w:t>, and add-on to insulin).</w:t>
      </w:r>
    </w:p>
    <w:p w14:paraId="4BB9685D" w14:textId="77777777" w:rsidR="003A108F" w:rsidRPr="0063448B" w:rsidRDefault="003A108F" w:rsidP="003A108F">
      <w:pPr>
        <w:ind w:left="851"/>
        <w:rPr>
          <w:sz w:val="24"/>
          <w:szCs w:val="24"/>
          <w:lang w:val="en-US"/>
        </w:rPr>
      </w:pPr>
    </w:p>
    <w:p w14:paraId="22E5A3E9" w14:textId="77777777" w:rsidR="003A108F" w:rsidRPr="0063448B" w:rsidRDefault="003A108F" w:rsidP="003A108F">
      <w:pPr>
        <w:ind w:left="851"/>
        <w:rPr>
          <w:sz w:val="24"/>
          <w:szCs w:val="24"/>
          <w:lang w:val="en-US"/>
        </w:rPr>
      </w:pPr>
      <w:r w:rsidRPr="0063448B">
        <w:rPr>
          <w:sz w:val="24"/>
          <w:szCs w:val="24"/>
          <w:lang w:val="en-US"/>
        </w:rPr>
        <w:t>The placebo-controlled studies included studies where linagliptin was given as</w:t>
      </w:r>
    </w:p>
    <w:p w14:paraId="5ECDD93D" w14:textId="77777777" w:rsidR="003A108F" w:rsidRPr="0063448B" w:rsidRDefault="003A108F" w:rsidP="003A108F">
      <w:pPr>
        <w:ind w:left="851"/>
        <w:rPr>
          <w:sz w:val="24"/>
          <w:szCs w:val="24"/>
          <w:lang w:val="en-US"/>
        </w:rPr>
      </w:pPr>
    </w:p>
    <w:p w14:paraId="1A13F0D3" w14:textId="7F9793B1" w:rsidR="003A108F" w:rsidRPr="0063448B" w:rsidRDefault="003A108F" w:rsidP="0063448B">
      <w:pPr>
        <w:pStyle w:val="Listeafsnit"/>
        <w:numPr>
          <w:ilvl w:val="0"/>
          <w:numId w:val="11"/>
        </w:numPr>
        <w:tabs>
          <w:tab w:val="clear" w:pos="567"/>
        </w:tabs>
        <w:ind w:left="1276" w:hanging="425"/>
        <w:rPr>
          <w:sz w:val="24"/>
          <w:szCs w:val="24"/>
          <w:lang w:val="en-US"/>
        </w:rPr>
      </w:pPr>
      <w:r w:rsidRPr="0063448B">
        <w:rPr>
          <w:sz w:val="24"/>
          <w:szCs w:val="24"/>
          <w:lang w:val="en-US"/>
        </w:rPr>
        <w:t>monotherapy with short-term duration of up to 4 weeks</w:t>
      </w:r>
    </w:p>
    <w:p w14:paraId="6B69208B" w14:textId="7509ED80" w:rsidR="0063448B" w:rsidRDefault="003A108F" w:rsidP="0063448B">
      <w:pPr>
        <w:pStyle w:val="Listeafsnit"/>
        <w:numPr>
          <w:ilvl w:val="0"/>
          <w:numId w:val="11"/>
        </w:numPr>
        <w:tabs>
          <w:tab w:val="clear" w:pos="567"/>
        </w:tabs>
        <w:ind w:left="1276" w:hanging="425"/>
        <w:rPr>
          <w:sz w:val="24"/>
          <w:szCs w:val="24"/>
          <w:lang w:val="en-US"/>
        </w:rPr>
      </w:pPr>
      <w:r w:rsidRPr="0063448B">
        <w:rPr>
          <w:sz w:val="24"/>
          <w:szCs w:val="24"/>
          <w:lang w:val="en-US"/>
        </w:rPr>
        <w:t xml:space="preserve">monotherapy with ≥ </w:t>
      </w:r>
      <w:proofErr w:type="gramStart"/>
      <w:r w:rsidRPr="0063448B">
        <w:rPr>
          <w:sz w:val="24"/>
          <w:szCs w:val="24"/>
          <w:lang w:val="en-US"/>
        </w:rPr>
        <w:t>12 week</w:t>
      </w:r>
      <w:proofErr w:type="gramEnd"/>
      <w:r w:rsidRPr="0063448B">
        <w:rPr>
          <w:sz w:val="24"/>
          <w:szCs w:val="24"/>
          <w:lang w:val="en-US"/>
        </w:rPr>
        <w:t xml:space="preserve"> duration</w:t>
      </w:r>
    </w:p>
    <w:p w14:paraId="50A4D85B" w14:textId="232C092F" w:rsidR="003A108F" w:rsidRPr="0063448B" w:rsidRDefault="003A108F" w:rsidP="0063448B">
      <w:pPr>
        <w:pStyle w:val="Listeafsnit"/>
        <w:numPr>
          <w:ilvl w:val="0"/>
          <w:numId w:val="11"/>
        </w:numPr>
        <w:tabs>
          <w:tab w:val="clear" w:pos="567"/>
        </w:tabs>
        <w:ind w:left="1276" w:hanging="425"/>
        <w:rPr>
          <w:sz w:val="24"/>
          <w:szCs w:val="24"/>
          <w:lang w:val="en-US"/>
        </w:rPr>
      </w:pPr>
      <w:r w:rsidRPr="0063448B">
        <w:rPr>
          <w:sz w:val="24"/>
          <w:szCs w:val="24"/>
          <w:lang w:val="en-US"/>
        </w:rPr>
        <w:t>add-on to metformin</w:t>
      </w:r>
    </w:p>
    <w:p w14:paraId="5F0D0B4D" w14:textId="4E8C8358" w:rsidR="003A108F" w:rsidRPr="0063448B" w:rsidRDefault="003A108F" w:rsidP="0063448B">
      <w:pPr>
        <w:pStyle w:val="Listeafsnit"/>
        <w:numPr>
          <w:ilvl w:val="0"/>
          <w:numId w:val="11"/>
        </w:numPr>
        <w:tabs>
          <w:tab w:val="clear" w:pos="567"/>
        </w:tabs>
        <w:ind w:left="1276" w:hanging="425"/>
        <w:rPr>
          <w:sz w:val="24"/>
          <w:szCs w:val="24"/>
          <w:lang w:val="en-US"/>
        </w:rPr>
      </w:pPr>
      <w:r w:rsidRPr="0063448B">
        <w:rPr>
          <w:sz w:val="24"/>
          <w:szCs w:val="24"/>
          <w:lang w:val="en-US"/>
        </w:rPr>
        <w:t xml:space="preserve">add-on to metformin + </w:t>
      </w:r>
      <w:proofErr w:type="spellStart"/>
      <w:r w:rsidRPr="0063448B">
        <w:rPr>
          <w:sz w:val="24"/>
          <w:szCs w:val="24"/>
          <w:lang w:val="en-US"/>
        </w:rPr>
        <w:t>sulphonylurea</w:t>
      </w:r>
      <w:proofErr w:type="spellEnd"/>
    </w:p>
    <w:p w14:paraId="12776690" w14:textId="18E93F9D" w:rsidR="003A108F" w:rsidRPr="0063448B" w:rsidRDefault="003A108F" w:rsidP="0063448B">
      <w:pPr>
        <w:pStyle w:val="Listeafsnit"/>
        <w:numPr>
          <w:ilvl w:val="0"/>
          <w:numId w:val="11"/>
        </w:numPr>
        <w:tabs>
          <w:tab w:val="clear" w:pos="567"/>
        </w:tabs>
        <w:ind w:left="1276" w:hanging="425"/>
        <w:rPr>
          <w:sz w:val="24"/>
          <w:szCs w:val="24"/>
          <w:lang w:val="en-US"/>
        </w:rPr>
      </w:pPr>
      <w:r w:rsidRPr="0063448B">
        <w:rPr>
          <w:sz w:val="24"/>
          <w:szCs w:val="24"/>
          <w:lang w:val="en-US"/>
        </w:rPr>
        <w:t>add on to metformin and empagliflozin</w:t>
      </w:r>
    </w:p>
    <w:p w14:paraId="09A650C6" w14:textId="473A241B" w:rsidR="003A108F" w:rsidRPr="0063448B" w:rsidRDefault="003A108F" w:rsidP="0063448B">
      <w:pPr>
        <w:pStyle w:val="Listeafsnit"/>
        <w:numPr>
          <w:ilvl w:val="0"/>
          <w:numId w:val="11"/>
        </w:numPr>
        <w:tabs>
          <w:tab w:val="clear" w:pos="567"/>
        </w:tabs>
        <w:ind w:left="1276" w:hanging="425"/>
        <w:rPr>
          <w:sz w:val="24"/>
          <w:szCs w:val="24"/>
          <w:lang w:val="en-US"/>
        </w:rPr>
      </w:pPr>
      <w:r w:rsidRPr="0063448B">
        <w:rPr>
          <w:sz w:val="24"/>
          <w:szCs w:val="24"/>
          <w:lang w:val="en-US"/>
        </w:rPr>
        <w:lastRenderedPageBreak/>
        <w:t>add-on to insulin with or without metformin</w:t>
      </w:r>
    </w:p>
    <w:p w14:paraId="4C7560B8" w14:textId="77777777" w:rsidR="003A108F" w:rsidRPr="0063448B" w:rsidRDefault="003A108F" w:rsidP="003A108F">
      <w:pPr>
        <w:ind w:left="851"/>
        <w:rPr>
          <w:sz w:val="24"/>
          <w:szCs w:val="24"/>
          <w:lang w:val="en-US"/>
        </w:rPr>
      </w:pPr>
    </w:p>
    <w:p w14:paraId="4E0C53CD" w14:textId="77777777" w:rsidR="003A108F" w:rsidRPr="0063448B" w:rsidRDefault="003A108F" w:rsidP="003A108F">
      <w:pPr>
        <w:ind w:left="851"/>
        <w:rPr>
          <w:sz w:val="24"/>
          <w:szCs w:val="24"/>
          <w:lang w:val="en-US"/>
        </w:rPr>
      </w:pPr>
      <w:r w:rsidRPr="0063448B">
        <w:rPr>
          <w:sz w:val="24"/>
          <w:szCs w:val="24"/>
          <w:lang w:val="en-US"/>
        </w:rPr>
        <w:t>Adverse reactions classified by system organ class and MedDRA preferred terms reported in patients who received 5 mg linagliptin in double-blind studies as monotherapy or as add-on therapy are presented in the table below (see table 1).</w:t>
      </w:r>
    </w:p>
    <w:p w14:paraId="49F7BAF6" w14:textId="77777777" w:rsidR="003A108F" w:rsidRPr="0063448B" w:rsidRDefault="003A108F" w:rsidP="003A108F">
      <w:pPr>
        <w:ind w:left="851"/>
        <w:rPr>
          <w:sz w:val="24"/>
          <w:szCs w:val="24"/>
          <w:lang w:val="en-US"/>
        </w:rPr>
      </w:pPr>
    </w:p>
    <w:p w14:paraId="3FCC40E4" w14:textId="77777777" w:rsidR="003A108F" w:rsidRPr="0063448B" w:rsidRDefault="003A108F" w:rsidP="003A108F">
      <w:pPr>
        <w:ind w:left="851"/>
        <w:rPr>
          <w:sz w:val="24"/>
          <w:szCs w:val="24"/>
          <w:lang w:val="en-US"/>
        </w:rPr>
      </w:pPr>
      <w:r w:rsidRPr="0063448B">
        <w:rPr>
          <w:sz w:val="24"/>
          <w:szCs w:val="24"/>
          <w:lang w:val="en-US"/>
        </w:rPr>
        <w:t>The adverse reactions are listed by absolute frequency. Frequencies are defined as very common (≥ 1/10), common (≥ 1/100 to &lt;1/10), uncommon (≥ 1/1,000 to &lt; 1/100), rare (≥ 1/10,000 to &lt; 1/1,000), very rare (&lt;1/10,000) or not known (cannot be estimated from the available data).</w:t>
      </w:r>
    </w:p>
    <w:p w14:paraId="19E23649" w14:textId="77777777" w:rsidR="003A108F" w:rsidRPr="0063448B" w:rsidRDefault="003A108F" w:rsidP="003A108F">
      <w:pPr>
        <w:ind w:left="851"/>
        <w:rPr>
          <w:sz w:val="24"/>
          <w:szCs w:val="24"/>
          <w:lang w:val="en-US"/>
        </w:rPr>
      </w:pPr>
    </w:p>
    <w:p w14:paraId="16493EA0" w14:textId="77777777" w:rsidR="003A108F" w:rsidRPr="0063448B" w:rsidRDefault="003A108F" w:rsidP="0063448B">
      <w:pPr>
        <w:ind w:left="1843" w:hanging="992"/>
        <w:rPr>
          <w:sz w:val="24"/>
          <w:szCs w:val="24"/>
          <w:lang w:val="en-US"/>
        </w:rPr>
      </w:pPr>
      <w:r w:rsidRPr="0063448B">
        <w:rPr>
          <w:sz w:val="24"/>
          <w:szCs w:val="24"/>
          <w:lang w:val="en-US"/>
        </w:rPr>
        <w:t>Table 1</w:t>
      </w:r>
      <w:r w:rsidRPr="0063448B">
        <w:rPr>
          <w:sz w:val="24"/>
          <w:szCs w:val="24"/>
          <w:lang w:val="en-US"/>
        </w:rPr>
        <w:tab/>
        <w:t>Adverse reactions reported in patients who received linagliptin 5 mg daily as monotherapy or as add-on therapies in clinical trial and from post-marketing experience</w:t>
      </w:r>
    </w:p>
    <w:p w14:paraId="12F44B22" w14:textId="77777777" w:rsidR="003A108F" w:rsidRPr="0063448B" w:rsidRDefault="003A108F" w:rsidP="0063448B">
      <w:pPr>
        <w:ind w:left="851"/>
        <w:rPr>
          <w:sz w:val="24"/>
          <w:szCs w:val="24"/>
          <w:lang w:val="en-US"/>
        </w:rPr>
      </w:pPr>
    </w:p>
    <w:tbl>
      <w:tblPr>
        <w:tblStyle w:val="Tabel-Gitter"/>
        <w:tblW w:w="8788" w:type="dxa"/>
        <w:tblInd w:w="846" w:type="dxa"/>
        <w:tblLook w:val="04A0" w:firstRow="1" w:lastRow="0" w:firstColumn="1" w:lastColumn="0" w:noHBand="0" w:noVBand="1"/>
      </w:tblPr>
      <w:tblGrid>
        <w:gridCol w:w="4815"/>
        <w:gridCol w:w="3973"/>
      </w:tblGrid>
      <w:tr w:rsidR="003A108F" w:rsidRPr="0063448B" w14:paraId="2BFD8F4A"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40F30402" w14:textId="77777777" w:rsidR="003A108F" w:rsidRPr="0063448B" w:rsidRDefault="003A108F">
            <w:pPr>
              <w:spacing w:before="60"/>
              <w:rPr>
                <w:b/>
                <w:sz w:val="24"/>
                <w:szCs w:val="24"/>
                <w:lang w:val="en-US"/>
              </w:rPr>
            </w:pPr>
            <w:r w:rsidRPr="0063448B">
              <w:rPr>
                <w:b/>
                <w:sz w:val="24"/>
                <w:szCs w:val="24"/>
                <w:lang w:val="en-US"/>
              </w:rPr>
              <w:t>System organ class</w:t>
            </w:r>
          </w:p>
          <w:p w14:paraId="45EDA475" w14:textId="77777777" w:rsidR="003A108F" w:rsidRPr="0063448B" w:rsidRDefault="003A108F">
            <w:pPr>
              <w:spacing w:after="60"/>
              <w:rPr>
                <w:sz w:val="24"/>
                <w:szCs w:val="24"/>
                <w:lang w:val="en-US"/>
              </w:rPr>
            </w:pPr>
            <w:r w:rsidRPr="0063448B">
              <w:rPr>
                <w:sz w:val="24"/>
                <w:szCs w:val="24"/>
                <w:lang w:val="en-US"/>
              </w:rPr>
              <w:t>Adverse reaction</w:t>
            </w:r>
          </w:p>
        </w:tc>
        <w:tc>
          <w:tcPr>
            <w:tcW w:w="3973" w:type="dxa"/>
            <w:tcBorders>
              <w:top w:val="single" w:sz="4" w:space="0" w:color="auto"/>
              <w:left w:val="single" w:sz="4" w:space="0" w:color="auto"/>
              <w:bottom w:val="single" w:sz="4" w:space="0" w:color="auto"/>
              <w:right w:val="single" w:sz="4" w:space="0" w:color="auto"/>
            </w:tcBorders>
            <w:vAlign w:val="center"/>
            <w:hideMark/>
          </w:tcPr>
          <w:p w14:paraId="48CAED47" w14:textId="77777777" w:rsidR="003A108F" w:rsidRPr="0063448B" w:rsidRDefault="003A108F">
            <w:pPr>
              <w:spacing w:before="60" w:after="60"/>
              <w:jc w:val="center"/>
              <w:rPr>
                <w:sz w:val="24"/>
                <w:szCs w:val="24"/>
                <w:lang w:val="en-US"/>
              </w:rPr>
            </w:pPr>
            <w:r w:rsidRPr="0063448B">
              <w:rPr>
                <w:b/>
                <w:sz w:val="24"/>
                <w:szCs w:val="24"/>
                <w:lang w:val="en-US"/>
              </w:rPr>
              <w:t>Frequency of adverse reaction</w:t>
            </w:r>
          </w:p>
        </w:tc>
      </w:tr>
      <w:tr w:rsidR="003A108F" w:rsidRPr="0063448B" w14:paraId="4C1F08E5"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396EE333" w14:textId="77777777" w:rsidR="003A108F" w:rsidRPr="0063448B" w:rsidRDefault="003A108F">
            <w:pPr>
              <w:spacing w:before="60" w:after="60"/>
              <w:rPr>
                <w:sz w:val="24"/>
                <w:szCs w:val="24"/>
                <w:lang w:val="en-US"/>
              </w:rPr>
            </w:pPr>
            <w:r w:rsidRPr="0063448B">
              <w:rPr>
                <w:b/>
                <w:sz w:val="24"/>
                <w:szCs w:val="24"/>
                <w:lang w:val="en-US"/>
              </w:rPr>
              <w:t>Infections and infestations</w:t>
            </w:r>
          </w:p>
        </w:tc>
        <w:tc>
          <w:tcPr>
            <w:tcW w:w="3973" w:type="dxa"/>
            <w:tcBorders>
              <w:top w:val="single" w:sz="4" w:space="0" w:color="auto"/>
              <w:left w:val="single" w:sz="4" w:space="0" w:color="auto"/>
              <w:bottom w:val="single" w:sz="4" w:space="0" w:color="auto"/>
              <w:right w:val="single" w:sz="4" w:space="0" w:color="auto"/>
            </w:tcBorders>
          </w:tcPr>
          <w:p w14:paraId="6E0EE2C8" w14:textId="77777777" w:rsidR="003A108F" w:rsidRPr="0063448B" w:rsidRDefault="003A108F">
            <w:pPr>
              <w:spacing w:before="60" w:after="60"/>
              <w:rPr>
                <w:sz w:val="24"/>
                <w:szCs w:val="24"/>
                <w:lang w:val="en-US"/>
              </w:rPr>
            </w:pPr>
          </w:p>
        </w:tc>
      </w:tr>
      <w:tr w:rsidR="003A108F" w:rsidRPr="0063448B" w14:paraId="1ABFA2B7"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5DA504F1" w14:textId="77777777" w:rsidR="003A108F" w:rsidRPr="0063448B" w:rsidRDefault="003A108F">
            <w:pPr>
              <w:spacing w:before="60" w:after="60"/>
              <w:rPr>
                <w:sz w:val="24"/>
                <w:szCs w:val="24"/>
                <w:lang w:val="en-US"/>
              </w:rPr>
            </w:pPr>
            <w:r w:rsidRPr="0063448B">
              <w:rPr>
                <w:sz w:val="24"/>
                <w:szCs w:val="24"/>
                <w:lang w:val="en-US"/>
              </w:rPr>
              <w:t>Nasopharyngitis</w:t>
            </w:r>
          </w:p>
        </w:tc>
        <w:tc>
          <w:tcPr>
            <w:tcW w:w="3973" w:type="dxa"/>
            <w:tcBorders>
              <w:top w:val="single" w:sz="4" w:space="0" w:color="auto"/>
              <w:left w:val="single" w:sz="4" w:space="0" w:color="auto"/>
              <w:bottom w:val="single" w:sz="4" w:space="0" w:color="auto"/>
              <w:right w:val="single" w:sz="4" w:space="0" w:color="auto"/>
            </w:tcBorders>
            <w:hideMark/>
          </w:tcPr>
          <w:p w14:paraId="1EBB83E5" w14:textId="77777777" w:rsidR="003A108F" w:rsidRPr="0063448B" w:rsidRDefault="003A108F">
            <w:pPr>
              <w:spacing w:before="60" w:after="60"/>
              <w:jc w:val="center"/>
              <w:rPr>
                <w:sz w:val="24"/>
                <w:szCs w:val="24"/>
                <w:lang w:val="en-US"/>
              </w:rPr>
            </w:pPr>
            <w:r w:rsidRPr="0063448B">
              <w:rPr>
                <w:sz w:val="24"/>
                <w:szCs w:val="24"/>
                <w:lang w:val="en-US"/>
              </w:rPr>
              <w:t>uncommon</w:t>
            </w:r>
          </w:p>
        </w:tc>
      </w:tr>
      <w:tr w:rsidR="003A108F" w:rsidRPr="0063448B" w14:paraId="157F5101"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44D1F4A3" w14:textId="77777777" w:rsidR="003A108F" w:rsidRPr="0063448B" w:rsidRDefault="003A108F">
            <w:pPr>
              <w:spacing w:before="60" w:after="60"/>
              <w:rPr>
                <w:sz w:val="24"/>
                <w:szCs w:val="24"/>
                <w:lang w:val="en-US"/>
              </w:rPr>
            </w:pPr>
            <w:r w:rsidRPr="0063448B">
              <w:rPr>
                <w:b/>
                <w:sz w:val="24"/>
                <w:szCs w:val="24"/>
                <w:lang w:val="en-US"/>
              </w:rPr>
              <w:t>Immune system disorders</w:t>
            </w:r>
          </w:p>
        </w:tc>
        <w:tc>
          <w:tcPr>
            <w:tcW w:w="3973" w:type="dxa"/>
            <w:tcBorders>
              <w:top w:val="single" w:sz="4" w:space="0" w:color="auto"/>
              <w:left w:val="single" w:sz="4" w:space="0" w:color="auto"/>
              <w:bottom w:val="single" w:sz="4" w:space="0" w:color="auto"/>
              <w:right w:val="single" w:sz="4" w:space="0" w:color="auto"/>
            </w:tcBorders>
          </w:tcPr>
          <w:p w14:paraId="45A2E6DC" w14:textId="77777777" w:rsidR="003A108F" w:rsidRPr="0063448B" w:rsidRDefault="003A108F">
            <w:pPr>
              <w:spacing w:before="60" w:after="60"/>
              <w:jc w:val="center"/>
              <w:rPr>
                <w:sz w:val="24"/>
                <w:szCs w:val="24"/>
                <w:lang w:val="en-US"/>
              </w:rPr>
            </w:pPr>
          </w:p>
        </w:tc>
      </w:tr>
      <w:tr w:rsidR="003A108F" w:rsidRPr="0063448B" w14:paraId="74F33634"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505346FD" w14:textId="77777777" w:rsidR="003A108F" w:rsidRPr="0063448B" w:rsidRDefault="003A108F">
            <w:pPr>
              <w:spacing w:before="60"/>
              <w:rPr>
                <w:sz w:val="24"/>
                <w:szCs w:val="24"/>
                <w:lang w:val="en-US"/>
              </w:rPr>
            </w:pPr>
            <w:r w:rsidRPr="0063448B">
              <w:rPr>
                <w:sz w:val="24"/>
                <w:szCs w:val="24"/>
                <w:lang w:val="en-US"/>
              </w:rPr>
              <w:t>Hypersensitivity</w:t>
            </w:r>
          </w:p>
          <w:p w14:paraId="25D73785" w14:textId="77777777" w:rsidR="003A108F" w:rsidRPr="0063448B" w:rsidRDefault="003A108F">
            <w:pPr>
              <w:spacing w:after="60"/>
              <w:rPr>
                <w:sz w:val="24"/>
                <w:szCs w:val="24"/>
                <w:lang w:val="en-US"/>
              </w:rPr>
            </w:pPr>
            <w:r w:rsidRPr="0063448B">
              <w:rPr>
                <w:sz w:val="24"/>
                <w:szCs w:val="24"/>
                <w:lang w:val="en-US"/>
              </w:rPr>
              <w:t>(e.g. bronchial hyperreactivity)</w:t>
            </w:r>
          </w:p>
        </w:tc>
        <w:tc>
          <w:tcPr>
            <w:tcW w:w="3973" w:type="dxa"/>
            <w:tcBorders>
              <w:top w:val="single" w:sz="4" w:space="0" w:color="auto"/>
              <w:left w:val="single" w:sz="4" w:space="0" w:color="auto"/>
              <w:bottom w:val="single" w:sz="4" w:space="0" w:color="auto"/>
              <w:right w:val="single" w:sz="4" w:space="0" w:color="auto"/>
            </w:tcBorders>
            <w:vAlign w:val="center"/>
            <w:hideMark/>
          </w:tcPr>
          <w:p w14:paraId="4C79BA77" w14:textId="77777777" w:rsidR="003A108F" w:rsidRPr="0063448B" w:rsidRDefault="003A108F">
            <w:pPr>
              <w:spacing w:before="60" w:after="60"/>
              <w:jc w:val="center"/>
              <w:rPr>
                <w:sz w:val="24"/>
                <w:szCs w:val="24"/>
                <w:lang w:val="en-US"/>
              </w:rPr>
            </w:pPr>
            <w:r w:rsidRPr="0063448B">
              <w:rPr>
                <w:sz w:val="24"/>
                <w:szCs w:val="24"/>
                <w:lang w:val="en-US"/>
              </w:rPr>
              <w:t>uncommon</w:t>
            </w:r>
          </w:p>
        </w:tc>
      </w:tr>
      <w:tr w:rsidR="003A108F" w:rsidRPr="0063448B" w14:paraId="4563036C"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317353F7" w14:textId="77777777" w:rsidR="003A108F" w:rsidRPr="0063448B" w:rsidRDefault="003A108F">
            <w:pPr>
              <w:spacing w:before="60" w:after="60"/>
              <w:rPr>
                <w:sz w:val="24"/>
                <w:szCs w:val="24"/>
                <w:lang w:val="en-US"/>
              </w:rPr>
            </w:pPr>
            <w:r w:rsidRPr="0063448B">
              <w:rPr>
                <w:b/>
                <w:sz w:val="24"/>
                <w:szCs w:val="24"/>
                <w:lang w:val="en-US"/>
              </w:rPr>
              <w:t>Metabolism and nutrition disorders</w:t>
            </w:r>
          </w:p>
        </w:tc>
        <w:tc>
          <w:tcPr>
            <w:tcW w:w="3973" w:type="dxa"/>
            <w:tcBorders>
              <w:top w:val="single" w:sz="4" w:space="0" w:color="auto"/>
              <w:left w:val="single" w:sz="4" w:space="0" w:color="auto"/>
              <w:bottom w:val="single" w:sz="4" w:space="0" w:color="auto"/>
              <w:right w:val="single" w:sz="4" w:space="0" w:color="auto"/>
            </w:tcBorders>
          </w:tcPr>
          <w:p w14:paraId="3068F3F0" w14:textId="77777777" w:rsidR="003A108F" w:rsidRPr="0063448B" w:rsidRDefault="003A108F">
            <w:pPr>
              <w:spacing w:before="60" w:after="60"/>
              <w:jc w:val="center"/>
              <w:rPr>
                <w:sz w:val="24"/>
                <w:szCs w:val="24"/>
                <w:lang w:val="en-US"/>
              </w:rPr>
            </w:pPr>
          </w:p>
        </w:tc>
      </w:tr>
      <w:tr w:rsidR="003A108F" w:rsidRPr="0063448B" w14:paraId="32AD03FB"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028719C9" w14:textId="77777777" w:rsidR="003A108F" w:rsidRPr="0063448B" w:rsidRDefault="003A108F">
            <w:pPr>
              <w:spacing w:before="60" w:after="60"/>
              <w:rPr>
                <w:sz w:val="24"/>
                <w:szCs w:val="24"/>
                <w:lang w:val="en-US"/>
              </w:rPr>
            </w:pPr>
            <w:proofErr w:type="spellStart"/>
            <w:r w:rsidRPr="0063448B">
              <w:rPr>
                <w:sz w:val="24"/>
                <w:szCs w:val="24"/>
                <w:lang w:val="en-US"/>
              </w:rPr>
              <w:t>Hypoglycaemia</w:t>
            </w:r>
            <w:proofErr w:type="spellEnd"/>
            <w:r w:rsidRPr="0063448B">
              <w:rPr>
                <w:sz w:val="24"/>
                <w:szCs w:val="24"/>
                <w:lang w:val="en-US"/>
              </w:rPr>
              <w:t xml:space="preserve"> </w:t>
            </w:r>
            <w:r w:rsidRPr="0063448B">
              <w:rPr>
                <w:sz w:val="24"/>
                <w:szCs w:val="24"/>
                <w:vertAlign w:val="superscript"/>
                <w:lang w:val="en-US"/>
              </w:rPr>
              <w:t>1</w:t>
            </w:r>
          </w:p>
        </w:tc>
        <w:tc>
          <w:tcPr>
            <w:tcW w:w="3973" w:type="dxa"/>
            <w:tcBorders>
              <w:top w:val="single" w:sz="4" w:space="0" w:color="auto"/>
              <w:left w:val="single" w:sz="4" w:space="0" w:color="auto"/>
              <w:bottom w:val="single" w:sz="4" w:space="0" w:color="auto"/>
              <w:right w:val="single" w:sz="4" w:space="0" w:color="auto"/>
            </w:tcBorders>
            <w:hideMark/>
          </w:tcPr>
          <w:p w14:paraId="13F4D571" w14:textId="77777777" w:rsidR="003A108F" w:rsidRPr="0063448B" w:rsidRDefault="003A108F">
            <w:pPr>
              <w:spacing w:before="60" w:after="60"/>
              <w:jc w:val="center"/>
              <w:rPr>
                <w:sz w:val="24"/>
                <w:szCs w:val="24"/>
                <w:lang w:val="en-US"/>
              </w:rPr>
            </w:pPr>
            <w:r w:rsidRPr="0063448B">
              <w:rPr>
                <w:sz w:val="24"/>
                <w:szCs w:val="24"/>
                <w:lang w:val="en-US"/>
              </w:rPr>
              <w:t>very common</w:t>
            </w:r>
          </w:p>
        </w:tc>
      </w:tr>
      <w:tr w:rsidR="003A108F" w:rsidRPr="00393F9C" w14:paraId="0CCFA2E4"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327E79F1" w14:textId="77777777" w:rsidR="003A108F" w:rsidRPr="0063448B" w:rsidRDefault="003A108F">
            <w:pPr>
              <w:spacing w:before="60" w:after="60"/>
              <w:rPr>
                <w:sz w:val="24"/>
                <w:szCs w:val="24"/>
                <w:lang w:val="en-US"/>
              </w:rPr>
            </w:pPr>
            <w:r w:rsidRPr="0063448B">
              <w:rPr>
                <w:b/>
                <w:sz w:val="24"/>
                <w:szCs w:val="24"/>
                <w:lang w:val="en-US"/>
              </w:rPr>
              <w:t>Respiratory, thoracic and mediastinal disorders</w:t>
            </w:r>
          </w:p>
        </w:tc>
        <w:tc>
          <w:tcPr>
            <w:tcW w:w="3973" w:type="dxa"/>
            <w:tcBorders>
              <w:top w:val="single" w:sz="4" w:space="0" w:color="auto"/>
              <w:left w:val="single" w:sz="4" w:space="0" w:color="auto"/>
              <w:bottom w:val="single" w:sz="4" w:space="0" w:color="auto"/>
              <w:right w:val="single" w:sz="4" w:space="0" w:color="auto"/>
            </w:tcBorders>
          </w:tcPr>
          <w:p w14:paraId="3918F083" w14:textId="77777777" w:rsidR="003A108F" w:rsidRPr="0063448B" w:rsidRDefault="003A108F">
            <w:pPr>
              <w:spacing w:before="60" w:after="60"/>
              <w:jc w:val="center"/>
              <w:rPr>
                <w:sz w:val="24"/>
                <w:szCs w:val="24"/>
                <w:lang w:val="en-US"/>
              </w:rPr>
            </w:pPr>
          </w:p>
        </w:tc>
      </w:tr>
      <w:tr w:rsidR="003A108F" w:rsidRPr="0063448B" w14:paraId="4FD7CDA2"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14A8BB61" w14:textId="77777777" w:rsidR="003A108F" w:rsidRPr="0063448B" w:rsidRDefault="003A108F">
            <w:pPr>
              <w:spacing w:before="60" w:after="60"/>
              <w:rPr>
                <w:sz w:val="24"/>
                <w:szCs w:val="24"/>
                <w:lang w:val="en-US"/>
              </w:rPr>
            </w:pPr>
            <w:r w:rsidRPr="0063448B">
              <w:rPr>
                <w:sz w:val="24"/>
                <w:szCs w:val="24"/>
                <w:lang w:val="en-US"/>
              </w:rPr>
              <w:t>Cough</w:t>
            </w:r>
          </w:p>
        </w:tc>
        <w:tc>
          <w:tcPr>
            <w:tcW w:w="3973" w:type="dxa"/>
            <w:tcBorders>
              <w:top w:val="single" w:sz="4" w:space="0" w:color="auto"/>
              <w:left w:val="single" w:sz="4" w:space="0" w:color="auto"/>
              <w:bottom w:val="single" w:sz="4" w:space="0" w:color="auto"/>
              <w:right w:val="single" w:sz="4" w:space="0" w:color="auto"/>
            </w:tcBorders>
            <w:hideMark/>
          </w:tcPr>
          <w:p w14:paraId="282934B5" w14:textId="77777777" w:rsidR="003A108F" w:rsidRPr="0063448B" w:rsidRDefault="003A108F">
            <w:pPr>
              <w:spacing w:before="60" w:after="60"/>
              <w:jc w:val="center"/>
              <w:rPr>
                <w:sz w:val="24"/>
                <w:szCs w:val="24"/>
                <w:lang w:val="en-US"/>
              </w:rPr>
            </w:pPr>
            <w:r w:rsidRPr="0063448B">
              <w:rPr>
                <w:sz w:val="24"/>
                <w:szCs w:val="24"/>
                <w:lang w:val="en-US"/>
              </w:rPr>
              <w:t>uncommon</w:t>
            </w:r>
          </w:p>
        </w:tc>
      </w:tr>
      <w:tr w:rsidR="003A108F" w:rsidRPr="0063448B" w14:paraId="104C9462"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24F89D70" w14:textId="77777777" w:rsidR="003A108F" w:rsidRPr="0063448B" w:rsidRDefault="003A108F">
            <w:pPr>
              <w:spacing w:before="60" w:after="60"/>
              <w:rPr>
                <w:sz w:val="24"/>
                <w:szCs w:val="24"/>
                <w:lang w:val="en-US"/>
              </w:rPr>
            </w:pPr>
            <w:r w:rsidRPr="0063448B">
              <w:rPr>
                <w:b/>
                <w:sz w:val="24"/>
                <w:szCs w:val="24"/>
                <w:lang w:val="en-US"/>
              </w:rPr>
              <w:t>Gastrointestinal disorders</w:t>
            </w:r>
          </w:p>
        </w:tc>
        <w:tc>
          <w:tcPr>
            <w:tcW w:w="3973" w:type="dxa"/>
            <w:tcBorders>
              <w:top w:val="single" w:sz="4" w:space="0" w:color="auto"/>
              <w:left w:val="single" w:sz="4" w:space="0" w:color="auto"/>
              <w:bottom w:val="single" w:sz="4" w:space="0" w:color="auto"/>
              <w:right w:val="single" w:sz="4" w:space="0" w:color="auto"/>
            </w:tcBorders>
          </w:tcPr>
          <w:p w14:paraId="70BCA681" w14:textId="77777777" w:rsidR="003A108F" w:rsidRPr="0063448B" w:rsidRDefault="003A108F">
            <w:pPr>
              <w:spacing w:before="60" w:after="60"/>
              <w:jc w:val="center"/>
              <w:rPr>
                <w:sz w:val="24"/>
                <w:szCs w:val="24"/>
                <w:lang w:val="en-US"/>
              </w:rPr>
            </w:pPr>
          </w:p>
        </w:tc>
      </w:tr>
      <w:tr w:rsidR="003A108F" w:rsidRPr="0063448B" w14:paraId="21EDB515"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64E52E45" w14:textId="77777777" w:rsidR="003A108F" w:rsidRPr="0063448B" w:rsidRDefault="003A108F">
            <w:pPr>
              <w:spacing w:before="60" w:after="60"/>
              <w:rPr>
                <w:sz w:val="24"/>
                <w:szCs w:val="24"/>
                <w:lang w:val="en-US"/>
              </w:rPr>
            </w:pPr>
            <w:r w:rsidRPr="0063448B">
              <w:rPr>
                <w:sz w:val="24"/>
                <w:szCs w:val="24"/>
                <w:lang w:val="en-US"/>
              </w:rPr>
              <w:t>Pancreatitis</w:t>
            </w:r>
          </w:p>
        </w:tc>
        <w:tc>
          <w:tcPr>
            <w:tcW w:w="3973" w:type="dxa"/>
            <w:tcBorders>
              <w:top w:val="single" w:sz="4" w:space="0" w:color="auto"/>
              <w:left w:val="single" w:sz="4" w:space="0" w:color="auto"/>
              <w:bottom w:val="single" w:sz="4" w:space="0" w:color="auto"/>
              <w:right w:val="single" w:sz="4" w:space="0" w:color="auto"/>
            </w:tcBorders>
            <w:hideMark/>
          </w:tcPr>
          <w:p w14:paraId="472CEF86" w14:textId="77777777" w:rsidR="003A108F" w:rsidRPr="0063448B" w:rsidRDefault="003A108F">
            <w:pPr>
              <w:spacing w:before="60" w:after="60"/>
              <w:jc w:val="center"/>
              <w:rPr>
                <w:sz w:val="24"/>
                <w:szCs w:val="24"/>
                <w:lang w:val="en-US"/>
              </w:rPr>
            </w:pPr>
            <w:r w:rsidRPr="0063448B">
              <w:rPr>
                <w:sz w:val="24"/>
                <w:szCs w:val="24"/>
                <w:lang w:val="en-US"/>
              </w:rPr>
              <w:t xml:space="preserve">rare </w:t>
            </w:r>
            <w:r w:rsidRPr="0063448B">
              <w:rPr>
                <w:sz w:val="24"/>
                <w:szCs w:val="24"/>
                <w:vertAlign w:val="superscript"/>
                <w:lang w:val="en-US"/>
              </w:rPr>
              <w:t>#</w:t>
            </w:r>
          </w:p>
        </w:tc>
      </w:tr>
      <w:tr w:rsidR="003A108F" w:rsidRPr="0063448B" w14:paraId="5824E98A"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3748B275" w14:textId="77777777" w:rsidR="003A108F" w:rsidRPr="0063448B" w:rsidRDefault="003A108F">
            <w:pPr>
              <w:spacing w:before="60" w:after="60"/>
              <w:rPr>
                <w:sz w:val="24"/>
                <w:szCs w:val="24"/>
                <w:lang w:val="en-US"/>
              </w:rPr>
            </w:pPr>
            <w:r w:rsidRPr="0063448B">
              <w:rPr>
                <w:sz w:val="24"/>
                <w:szCs w:val="24"/>
                <w:lang w:val="en-US"/>
              </w:rPr>
              <w:t xml:space="preserve">Constipation </w:t>
            </w:r>
            <w:r w:rsidRPr="0063448B">
              <w:rPr>
                <w:sz w:val="24"/>
                <w:szCs w:val="24"/>
                <w:vertAlign w:val="superscript"/>
                <w:lang w:val="en-US"/>
              </w:rPr>
              <w:t>2</w:t>
            </w:r>
          </w:p>
        </w:tc>
        <w:tc>
          <w:tcPr>
            <w:tcW w:w="3973" w:type="dxa"/>
            <w:tcBorders>
              <w:top w:val="single" w:sz="4" w:space="0" w:color="auto"/>
              <w:left w:val="single" w:sz="4" w:space="0" w:color="auto"/>
              <w:bottom w:val="single" w:sz="4" w:space="0" w:color="auto"/>
              <w:right w:val="single" w:sz="4" w:space="0" w:color="auto"/>
            </w:tcBorders>
            <w:hideMark/>
          </w:tcPr>
          <w:p w14:paraId="7AF30572" w14:textId="77777777" w:rsidR="003A108F" w:rsidRPr="0063448B" w:rsidRDefault="003A108F">
            <w:pPr>
              <w:spacing w:before="60" w:after="60"/>
              <w:jc w:val="center"/>
              <w:rPr>
                <w:sz w:val="24"/>
                <w:szCs w:val="24"/>
                <w:lang w:val="en-US"/>
              </w:rPr>
            </w:pPr>
            <w:r w:rsidRPr="0063448B">
              <w:rPr>
                <w:sz w:val="24"/>
                <w:szCs w:val="24"/>
                <w:lang w:val="en-US"/>
              </w:rPr>
              <w:t>uncommon</w:t>
            </w:r>
          </w:p>
        </w:tc>
      </w:tr>
      <w:tr w:rsidR="003A108F" w:rsidRPr="00393F9C" w14:paraId="3C783860"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1B20282E" w14:textId="77777777" w:rsidR="003A108F" w:rsidRPr="0063448B" w:rsidRDefault="003A108F">
            <w:pPr>
              <w:spacing w:before="60" w:after="60"/>
              <w:rPr>
                <w:sz w:val="24"/>
                <w:szCs w:val="24"/>
                <w:lang w:val="en-US"/>
              </w:rPr>
            </w:pPr>
            <w:r w:rsidRPr="0063448B">
              <w:rPr>
                <w:b/>
                <w:sz w:val="24"/>
                <w:szCs w:val="24"/>
                <w:lang w:val="en-US"/>
              </w:rPr>
              <w:t>Skin and subcutaneous tissue disorders</w:t>
            </w:r>
          </w:p>
        </w:tc>
        <w:tc>
          <w:tcPr>
            <w:tcW w:w="3973" w:type="dxa"/>
            <w:tcBorders>
              <w:top w:val="single" w:sz="4" w:space="0" w:color="auto"/>
              <w:left w:val="single" w:sz="4" w:space="0" w:color="auto"/>
              <w:bottom w:val="single" w:sz="4" w:space="0" w:color="auto"/>
              <w:right w:val="single" w:sz="4" w:space="0" w:color="auto"/>
            </w:tcBorders>
          </w:tcPr>
          <w:p w14:paraId="3BB22668" w14:textId="77777777" w:rsidR="003A108F" w:rsidRPr="0063448B" w:rsidRDefault="003A108F">
            <w:pPr>
              <w:spacing w:before="60" w:after="60"/>
              <w:jc w:val="center"/>
              <w:rPr>
                <w:sz w:val="24"/>
                <w:szCs w:val="24"/>
                <w:lang w:val="en-US"/>
              </w:rPr>
            </w:pPr>
          </w:p>
        </w:tc>
      </w:tr>
      <w:tr w:rsidR="003A108F" w:rsidRPr="0063448B" w14:paraId="4BD9B996"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6B17977C" w14:textId="77777777" w:rsidR="003A108F" w:rsidRPr="0063448B" w:rsidRDefault="003A108F">
            <w:pPr>
              <w:spacing w:before="60" w:after="60"/>
              <w:rPr>
                <w:sz w:val="24"/>
                <w:szCs w:val="24"/>
                <w:lang w:val="en-US"/>
              </w:rPr>
            </w:pPr>
            <w:r w:rsidRPr="0063448B">
              <w:rPr>
                <w:sz w:val="24"/>
                <w:szCs w:val="24"/>
                <w:lang w:val="en-US"/>
              </w:rPr>
              <w:t>Angioedema*</w:t>
            </w:r>
          </w:p>
        </w:tc>
        <w:tc>
          <w:tcPr>
            <w:tcW w:w="3973" w:type="dxa"/>
            <w:tcBorders>
              <w:top w:val="single" w:sz="4" w:space="0" w:color="auto"/>
              <w:left w:val="single" w:sz="4" w:space="0" w:color="auto"/>
              <w:bottom w:val="single" w:sz="4" w:space="0" w:color="auto"/>
              <w:right w:val="single" w:sz="4" w:space="0" w:color="auto"/>
            </w:tcBorders>
            <w:hideMark/>
          </w:tcPr>
          <w:p w14:paraId="031B5D5F" w14:textId="77777777" w:rsidR="003A108F" w:rsidRPr="0063448B" w:rsidRDefault="003A108F">
            <w:pPr>
              <w:spacing w:before="60" w:after="60"/>
              <w:jc w:val="center"/>
              <w:rPr>
                <w:sz w:val="24"/>
                <w:szCs w:val="24"/>
                <w:lang w:val="en-US"/>
              </w:rPr>
            </w:pPr>
            <w:r w:rsidRPr="0063448B">
              <w:rPr>
                <w:sz w:val="24"/>
                <w:szCs w:val="24"/>
                <w:lang w:val="en-US"/>
              </w:rPr>
              <w:t>rare</w:t>
            </w:r>
          </w:p>
        </w:tc>
      </w:tr>
      <w:tr w:rsidR="003A108F" w:rsidRPr="0063448B" w14:paraId="5C4F7A76"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7AB1928C" w14:textId="77777777" w:rsidR="003A108F" w:rsidRPr="0063448B" w:rsidRDefault="003A108F">
            <w:pPr>
              <w:spacing w:before="60" w:after="60"/>
              <w:rPr>
                <w:sz w:val="24"/>
                <w:szCs w:val="24"/>
                <w:lang w:val="en-US"/>
              </w:rPr>
            </w:pPr>
            <w:r w:rsidRPr="0063448B">
              <w:rPr>
                <w:sz w:val="24"/>
                <w:szCs w:val="24"/>
                <w:lang w:val="en-US"/>
              </w:rPr>
              <w:t>Urticaria*</w:t>
            </w:r>
          </w:p>
        </w:tc>
        <w:tc>
          <w:tcPr>
            <w:tcW w:w="3973" w:type="dxa"/>
            <w:tcBorders>
              <w:top w:val="single" w:sz="4" w:space="0" w:color="auto"/>
              <w:left w:val="single" w:sz="4" w:space="0" w:color="auto"/>
              <w:bottom w:val="single" w:sz="4" w:space="0" w:color="auto"/>
              <w:right w:val="single" w:sz="4" w:space="0" w:color="auto"/>
            </w:tcBorders>
            <w:hideMark/>
          </w:tcPr>
          <w:p w14:paraId="094FFAA6" w14:textId="77777777" w:rsidR="003A108F" w:rsidRPr="0063448B" w:rsidRDefault="003A108F">
            <w:pPr>
              <w:spacing w:before="60" w:after="60"/>
              <w:jc w:val="center"/>
              <w:rPr>
                <w:sz w:val="24"/>
                <w:szCs w:val="24"/>
                <w:lang w:val="en-US"/>
              </w:rPr>
            </w:pPr>
            <w:r w:rsidRPr="0063448B">
              <w:rPr>
                <w:sz w:val="24"/>
                <w:szCs w:val="24"/>
                <w:lang w:val="en-US"/>
              </w:rPr>
              <w:t>rare</w:t>
            </w:r>
          </w:p>
        </w:tc>
      </w:tr>
      <w:tr w:rsidR="003A108F" w:rsidRPr="0063448B" w14:paraId="7D5CF08B"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7019D7A2" w14:textId="77777777" w:rsidR="003A108F" w:rsidRPr="0063448B" w:rsidRDefault="003A108F">
            <w:pPr>
              <w:spacing w:before="60" w:after="60"/>
              <w:rPr>
                <w:sz w:val="24"/>
                <w:szCs w:val="24"/>
                <w:lang w:val="en-US"/>
              </w:rPr>
            </w:pPr>
            <w:r w:rsidRPr="0063448B">
              <w:rPr>
                <w:sz w:val="24"/>
                <w:szCs w:val="24"/>
                <w:lang w:val="en-US"/>
              </w:rPr>
              <w:t>Rash*</w:t>
            </w:r>
          </w:p>
        </w:tc>
        <w:tc>
          <w:tcPr>
            <w:tcW w:w="3973" w:type="dxa"/>
            <w:tcBorders>
              <w:top w:val="single" w:sz="4" w:space="0" w:color="auto"/>
              <w:left w:val="single" w:sz="4" w:space="0" w:color="auto"/>
              <w:bottom w:val="single" w:sz="4" w:space="0" w:color="auto"/>
              <w:right w:val="single" w:sz="4" w:space="0" w:color="auto"/>
            </w:tcBorders>
            <w:hideMark/>
          </w:tcPr>
          <w:p w14:paraId="2A7248BB" w14:textId="77777777" w:rsidR="003A108F" w:rsidRPr="0063448B" w:rsidRDefault="003A108F">
            <w:pPr>
              <w:spacing w:before="60" w:after="60"/>
              <w:jc w:val="center"/>
              <w:rPr>
                <w:sz w:val="24"/>
                <w:szCs w:val="24"/>
                <w:lang w:val="en-US"/>
              </w:rPr>
            </w:pPr>
            <w:r w:rsidRPr="0063448B">
              <w:rPr>
                <w:sz w:val="24"/>
                <w:szCs w:val="24"/>
                <w:lang w:val="en-US"/>
              </w:rPr>
              <w:t>uncommon</w:t>
            </w:r>
          </w:p>
        </w:tc>
      </w:tr>
      <w:tr w:rsidR="003A108F" w:rsidRPr="0063448B" w14:paraId="28D9F3B0"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7184F0B1" w14:textId="77777777" w:rsidR="003A108F" w:rsidRPr="0063448B" w:rsidRDefault="003A108F">
            <w:pPr>
              <w:spacing w:before="60" w:after="60"/>
              <w:rPr>
                <w:sz w:val="24"/>
                <w:szCs w:val="24"/>
                <w:lang w:val="en-US"/>
              </w:rPr>
            </w:pPr>
            <w:r w:rsidRPr="0063448B">
              <w:rPr>
                <w:sz w:val="24"/>
                <w:szCs w:val="24"/>
                <w:lang w:val="en-US"/>
              </w:rPr>
              <w:t>Bullous pemphigoid</w:t>
            </w:r>
          </w:p>
        </w:tc>
        <w:tc>
          <w:tcPr>
            <w:tcW w:w="3973" w:type="dxa"/>
            <w:tcBorders>
              <w:top w:val="single" w:sz="4" w:space="0" w:color="auto"/>
              <w:left w:val="single" w:sz="4" w:space="0" w:color="auto"/>
              <w:bottom w:val="single" w:sz="4" w:space="0" w:color="auto"/>
              <w:right w:val="single" w:sz="4" w:space="0" w:color="auto"/>
            </w:tcBorders>
            <w:hideMark/>
          </w:tcPr>
          <w:p w14:paraId="14129B3B" w14:textId="77777777" w:rsidR="003A108F" w:rsidRPr="0063448B" w:rsidRDefault="003A108F">
            <w:pPr>
              <w:spacing w:before="60" w:after="60"/>
              <w:jc w:val="center"/>
              <w:rPr>
                <w:sz w:val="24"/>
                <w:szCs w:val="24"/>
                <w:lang w:val="en-US"/>
              </w:rPr>
            </w:pPr>
            <w:r w:rsidRPr="0063448B">
              <w:rPr>
                <w:sz w:val="24"/>
                <w:szCs w:val="24"/>
                <w:lang w:val="en-US"/>
              </w:rPr>
              <w:t xml:space="preserve">rare </w:t>
            </w:r>
            <w:r w:rsidRPr="0063448B">
              <w:rPr>
                <w:sz w:val="24"/>
                <w:szCs w:val="24"/>
                <w:vertAlign w:val="superscript"/>
                <w:lang w:val="en-US"/>
              </w:rPr>
              <w:t>#</w:t>
            </w:r>
          </w:p>
        </w:tc>
      </w:tr>
      <w:tr w:rsidR="003A108F" w:rsidRPr="0063448B" w14:paraId="4A434AE7"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4C6664D4" w14:textId="77777777" w:rsidR="003A108F" w:rsidRPr="0063448B" w:rsidRDefault="003A108F">
            <w:pPr>
              <w:spacing w:before="60" w:after="60"/>
              <w:rPr>
                <w:sz w:val="24"/>
                <w:szCs w:val="24"/>
                <w:lang w:val="en-US"/>
              </w:rPr>
            </w:pPr>
            <w:r w:rsidRPr="0063448B">
              <w:rPr>
                <w:b/>
                <w:sz w:val="24"/>
                <w:szCs w:val="24"/>
                <w:lang w:val="en-US"/>
              </w:rPr>
              <w:t>Investigations</w:t>
            </w:r>
          </w:p>
        </w:tc>
        <w:tc>
          <w:tcPr>
            <w:tcW w:w="3973" w:type="dxa"/>
            <w:tcBorders>
              <w:top w:val="single" w:sz="4" w:space="0" w:color="auto"/>
              <w:left w:val="single" w:sz="4" w:space="0" w:color="auto"/>
              <w:bottom w:val="single" w:sz="4" w:space="0" w:color="auto"/>
              <w:right w:val="single" w:sz="4" w:space="0" w:color="auto"/>
            </w:tcBorders>
          </w:tcPr>
          <w:p w14:paraId="0F36F435" w14:textId="77777777" w:rsidR="003A108F" w:rsidRPr="0063448B" w:rsidRDefault="003A108F">
            <w:pPr>
              <w:spacing w:before="60" w:after="60"/>
              <w:jc w:val="center"/>
              <w:rPr>
                <w:sz w:val="24"/>
                <w:szCs w:val="24"/>
                <w:lang w:val="en-US"/>
              </w:rPr>
            </w:pPr>
          </w:p>
        </w:tc>
      </w:tr>
      <w:tr w:rsidR="003A108F" w:rsidRPr="0063448B" w14:paraId="7015D521"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129D5BDC" w14:textId="77777777" w:rsidR="003A108F" w:rsidRPr="0063448B" w:rsidRDefault="003A108F">
            <w:pPr>
              <w:spacing w:before="60" w:after="60"/>
              <w:rPr>
                <w:sz w:val="24"/>
                <w:szCs w:val="24"/>
                <w:lang w:val="en-US"/>
              </w:rPr>
            </w:pPr>
            <w:r w:rsidRPr="0063448B">
              <w:rPr>
                <w:sz w:val="24"/>
                <w:szCs w:val="24"/>
                <w:lang w:val="en-US"/>
              </w:rPr>
              <w:t>Amylase increased</w:t>
            </w:r>
          </w:p>
        </w:tc>
        <w:tc>
          <w:tcPr>
            <w:tcW w:w="3973" w:type="dxa"/>
            <w:tcBorders>
              <w:top w:val="single" w:sz="4" w:space="0" w:color="auto"/>
              <w:left w:val="single" w:sz="4" w:space="0" w:color="auto"/>
              <w:bottom w:val="single" w:sz="4" w:space="0" w:color="auto"/>
              <w:right w:val="single" w:sz="4" w:space="0" w:color="auto"/>
            </w:tcBorders>
            <w:hideMark/>
          </w:tcPr>
          <w:p w14:paraId="39D9B587" w14:textId="77777777" w:rsidR="003A108F" w:rsidRPr="0063448B" w:rsidRDefault="003A108F">
            <w:pPr>
              <w:spacing w:before="60" w:after="60"/>
              <w:jc w:val="center"/>
              <w:rPr>
                <w:sz w:val="24"/>
                <w:szCs w:val="24"/>
                <w:lang w:val="en-US"/>
              </w:rPr>
            </w:pPr>
            <w:r w:rsidRPr="0063448B">
              <w:rPr>
                <w:sz w:val="24"/>
                <w:szCs w:val="24"/>
                <w:lang w:val="en-US"/>
              </w:rPr>
              <w:t>uncommon</w:t>
            </w:r>
          </w:p>
        </w:tc>
      </w:tr>
      <w:tr w:rsidR="003A108F" w:rsidRPr="0063448B" w14:paraId="55FDD6FC" w14:textId="77777777" w:rsidTr="003A108F">
        <w:tc>
          <w:tcPr>
            <w:tcW w:w="4815" w:type="dxa"/>
            <w:tcBorders>
              <w:top w:val="single" w:sz="4" w:space="0" w:color="auto"/>
              <w:left w:val="single" w:sz="4" w:space="0" w:color="auto"/>
              <w:bottom w:val="single" w:sz="4" w:space="0" w:color="auto"/>
              <w:right w:val="single" w:sz="4" w:space="0" w:color="auto"/>
            </w:tcBorders>
            <w:hideMark/>
          </w:tcPr>
          <w:p w14:paraId="109E5212" w14:textId="77777777" w:rsidR="003A108F" w:rsidRPr="0063448B" w:rsidRDefault="003A108F">
            <w:pPr>
              <w:spacing w:before="60" w:after="60"/>
              <w:rPr>
                <w:sz w:val="24"/>
                <w:szCs w:val="24"/>
                <w:lang w:val="en-US"/>
              </w:rPr>
            </w:pPr>
            <w:r w:rsidRPr="0063448B">
              <w:rPr>
                <w:sz w:val="24"/>
                <w:szCs w:val="24"/>
                <w:lang w:val="en-US"/>
              </w:rPr>
              <w:t>Lipase increased**</w:t>
            </w:r>
          </w:p>
        </w:tc>
        <w:tc>
          <w:tcPr>
            <w:tcW w:w="3973" w:type="dxa"/>
            <w:tcBorders>
              <w:top w:val="single" w:sz="4" w:space="0" w:color="auto"/>
              <w:left w:val="single" w:sz="4" w:space="0" w:color="auto"/>
              <w:bottom w:val="single" w:sz="4" w:space="0" w:color="auto"/>
              <w:right w:val="single" w:sz="4" w:space="0" w:color="auto"/>
            </w:tcBorders>
            <w:hideMark/>
          </w:tcPr>
          <w:p w14:paraId="24BF326A" w14:textId="77777777" w:rsidR="003A108F" w:rsidRPr="0063448B" w:rsidRDefault="003A108F">
            <w:pPr>
              <w:spacing w:before="60" w:after="60"/>
              <w:jc w:val="center"/>
              <w:rPr>
                <w:sz w:val="24"/>
                <w:szCs w:val="24"/>
                <w:lang w:val="en-US"/>
              </w:rPr>
            </w:pPr>
            <w:r w:rsidRPr="0063448B">
              <w:rPr>
                <w:sz w:val="24"/>
                <w:szCs w:val="24"/>
                <w:lang w:val="en-US"/>
              </w:rPr>
              <w:t>common</w:t>
            </w:r>
          </w:p>
        </w:tc>
      </w:tr>
    </w:tbl>
    <w:p w14:paraId="062D7085" w14:textId="77777777" w:rsidR="003A108F" w:rsidRPr="0063448B" w:rsidRDefault="003A108F" w:rsidP="003A108F">
      <w:pPr>
        <w:ind w:left="1276" w:hanging="425"/>
        <w:rPr>
          <w:sz w:val="24"/>
          <w:szCs w:val="24"/>
          <w:lang w:val="en-US" w:eastAsia="en-US"/>
        </w:rPr>
      </w:pPr>
      <w:r w:rsidRPr="0063448B">
        <w:rPr>
          <w:sz w:val="24"/>
          <w:szCs w:val="24"/>
          <w:lang w:val="en-US"/>
        </w:rPr>
        <w:t>*</w:t>
      </w:r>
      <w:r w:rsidRPr="0063448B">
        <w:rPr>
          <w:sz w:val="24"/>
          <w:szCs w:val="24"/>
          <w:lang w:val="en-US"/>
        </w:rPr>
        <w:tab/>
        <w:t>Based on post-marketing experience</w:t>
      </w:r>
    </w:p>
    <w:p w14:paraId="1842522B" w14:textId="77777777" w:rsidR="003A108F" w:rsidRPr="0063448B" w:rsidRDefault="003A108F" w:rsidP="003A108F">
      <w:pPr>
        <w:ind w:left="1276" w:hanging="425"/>
        <w:rPr>
          <w:sz w:val="24"/>
          <w:szCs w:val="24"/>
          <w:lang w:val="en-US"/>
        </w:rPr>
      </w:pPr>
      <w:r w:rsidRPr="0063448B">
        <w:rPr>
          <w:sz w:val="24"/>
          <w:szCs w:val="24"/>
          <w:lang w:val="en-US"/>
        </w:rPr>
        <w:t>**</w:t>
      </w:r>
      <w:r w:rsidRPr="0063448B">
        <w:rPr>
          <w:sz w:val="24"/>
          <w:szCs w:val="24"/>
          <w:lang w:val="en-US"/>
        </w:rPr>
        <w:tab/>
        <w:t>Based on lipase elevations &gt;3xULN observed in clinical trials</w:t>
      </w:r>
    </w:p>
    <w:p w14:paraId="435709C5" w14:textId="77777777" w:rsidR="003A108F" w:rsidRPr="0063448B" w:rsidRDefault="003A108F" w:rsidP="003A108F">
      <w:pPr>
        <w:ind w:left="1276" w:hanging="425"/>
        <w:rPr>
          <w:sz w:val="24"/>
          <w:szCs w:val="24"/>
          <w:lang w:val="en-US"/>
        </w:rPr>
      </w:pPr>
      <w:r w:rsidRPr="0063448B">
        <w:rPr>
          <w:sz w:val="24"/>
          <w:szCs w:val="24"/>
          <w:vertAlign w:val="superscript"/>
          <w:lang w:val="en-US"/>
        </w:rPr>
        <w:lastRenderedPageBreak/>
        <w:t>#</w:t>
      </w:r>
      <w:r w:rsidRPr="0063448B">
        <w:rPr>
          <w:sz w:val="24"/>
          <w:szCs w:val="24"/>
          <w:lang w:val="en-US"/>
        </w:rPr>
        <w:tab/>
        <w:t xml:space="preserve">Based on </w:t>
      </w:r>
      <w:r w:rsidRPr="0063448B">
        <w:rPr>
          <w:i/>
          <w:sz w:val="24"/>
          <w:szCs w:val="24"/>
          <w:lang w:val="en-US"/>
        </w:rPr>
        <w:t>Linagliptin cardiovascular and renal safety study (CARMELINA)</w:t>
      </w:r>
      <w:r w:rsidRPr="0063448B">
        <w:rPr>
          <w:sz w:val="24"/>
          <w:szCs w:val="24"/>
          <w:lang w:val="en-US"/>
        </w:rPr>
        <w:t>, see also below</w:t>
      </w:r>
    </w:p>
    <w:p w14:paraId="7D1EB5B6" w14:textId="77777777" w:rsidR="003A108F" w:rsidRPr="0063448B" w:rsidRDefault="003A108F" w:rsidP="003A108F">
      <w:pPr>
        <w:ind w:left="1276" w:hanging="425"/>
        <w:rPr>
          <w:sz w:val="24"/>
          <w:szCs w:val="24"/>
          <w:lang w:val="en-US"/>
        </w:rPr>
      </w:pPr>
      <w:r w:rsidRPr="0063448B">
        <w:rPr>
          <w:i/>
          <w:sz w:val="24"/>
          <w:szCs w:val="24"/>
          <w:vertAlign w:val="superscript"/>
          <w:lang w:val="en-US"/>
        </w:rPr>
        <w:t>1</w:t>
      </w:r>
      <w:r w:rsidRPr="0063448B">
        <w:rPr>
          <w:i/>
          <w:sz w:val="24"/>
          <w:szCs w:val="24"/>
          <w:lang w:val="en-US"/>
        </w:rPr>
        <w:tab/>
      </w:r>
      <w:r w:rsidRPr="0063448B">
        <w:rPr>
          <w:sz w:val="24"/>
          <w:szCs w:val="24"/>
          <w:lang w:val="en-US"/>
        </w:rPr>
        <w:t xml:space="preserve">Adverse reaction observed in combination with metformin plus </w:t>
      </w:r>
      <w:proofErr w:type="spellStart"/>
      <w:r w:rsidRPr="0063448B">
        <w:rPr>
          <w:sz w:val="24"/>
          <w:szCs w:val="24"/>
          <w:lang w:val="en-US"/>
        </w:rPr>
        <w:t>sulphonylurea</w:t>
      </w:r>
      <w:proofErr w:type="spellEnd"/>
    </w:p>
    <w:p w14:paraId="1E2DFD95" w14:textId="77777777" w:rsidR="003A108F" w:rsidRPr="0063448B" w:rsidRDefault="003A108F" w:rsidP="003A108F">
      <w:pPr>
        <w:ind w:left="1276" w:hanging="425"/>
        <w:rPr>
          <w:sz w:val="24"/>
          <w:szCs w:val="24"/>
          <w:lang w:val="en-US"/>
        </w:rPr>
      </w:pPr>
      <w:r w:rsidRPr="0063448B">
        <w:rPr>
          <w:i/>
          <w:sz w:val="24"/>
          <w:szCs w:val="24"/>
          <w:vertAlign w:val="superscript"/>
          <w:lang w:val="en-US"/>
        </w:rPr>
        <w:t>2</w:t>
      </w:r>
      <w:r w:rsidRPr="0063448B">
        <w:rPr>
          <w:i/>
          <w:sz w:val="24"/>
          <w:szCs w:val="24"/>
          <w:lang w:val="en-US"/>
        </w:rPr>
        <w:tab/>
      </w:r>
      <w:r w:rsidRPr="0063448B">
        <w:rPr>
          <w:sz w:val="24"/>
          <w:szCs w:val="24"/>
          <w:lang w:val="en-US"/>
        </w:rPr>
        <w:t>Adverse reaction observed in combination with insulin</w:t>
      </w:r>
    </w:p>
    <w:p w14:paraId="6565F759" w14:textId="77777777" w:rsidR="003A108F" w:rsidRPr="0063448B" w:rsidRDefault="003A108F" w:rsidP="0063448B">
      <w:pPr>
        <w:ind w:left="851"/>
        <w:rPr>
          <w:sz w:val="24"/>
          <w:szCs w:val="24"/>
          <w:lang w:val="en-US"/>
        </w:rPr>
      </w:pPr>
    </w:p>
    <w:p w14:paraId="13CEF058" w14:textId="77777777" w:rsidR="003A108F" w:rsidRPr="0063448B" w:rsidRDefault="003A108F" w:rsidP="003A108F">
      <w:pPr>
        <w:ind w:left="851"/>
        <w:rPr>
          <w:sz w:val="24"/>
          <w:szCs w:val="24"/>
          <w:lang w:val="en-US"/>
        </w:rPr>
      </w:pPr>
      <w:r w:rsidRPr="0063448B">
        <w:rPr>
          <w:sz w:val="24"/>
          <w:szCs w:val="24"/>
          <w:lang w:val="en-US"/>
        </w:rPr>
        <w:t>Linagliptin cardiovascular and renal safety study (CARMELINA)</w:t>
      </w:r>
    </w:p>
    <w:p w14:paraId="04E71FBD" w14:textId="77777777" w:rsidR="003A108F" w:rsidRPr="0063448B" w:rsidRDefault="003A108F" w:rsidP="003A108F">
      <w:pPr>
        <w:ind w:left="851"/>
        <w:rPr>
          <w:sz w:val="24"/>
          <w:szCs w:val="24"/>
          <w:lang w:val="en-US"/>
        </w:rPr>
      </w:pPr>
      <w:r w:rsidRPr="0063448B">
        <w:rPr>
          <w:sz w:val="24"/>
          <w:szCs w:val="24"/>
          <w:lang w:val="en-US"/>
        </w:rPr>
        <w:t>The CARMELINA study evaluated the cardiovascular and renal safety of linagliptin versus placebo in patients with type 2 diabetes and with increased CV risk evidenced by a history of established macrovascular or renal disease (see section 5.1). The study included 3494 patients treated with linagliptin (5 mg) and 3485 patients treated with placebo. Both treatments were added to standard of care targeting regional standards for HbA</w:t>
      </w:r>
      <w:r w:rsidRPr="0063448B">
        <w:rPr>
          <w:sz w:val="24"/>
          <w:szCs w:val="24"/>
          <w:vertAlign w:val="subscript"/>
          <w:lang w:val="en-US"/>
        </w:rPr>
        <w:t>1c</w:t>
      </w:r>
      <w:r w:rsidRPr="0063448B">
        <w:rPr>
          <w:sz w:val="24"/>
          <w:szCs w:val="24"/>
          <w:lang w:val="en-US"/>
        </w:rPr>
        <w:t xml:space="preserve"> and CV risk factors. The overall incidence of adverse events and serious adverse events in patients receiving linagliptin was similar to that in patients receiving placebo. Safety data from this study was in line with previous known safety profile of linagliptin.</w:t>
      </w:r>
    </w:p>
    <w:p w14:paraId="31B938E1" w14:textId="77777777" w:rsidR="003A108F" w:rsidRPr="0063448B" w:rsidRDefault="003A108F" w:rsidP="003A108F">
      <w:pPr>
        <w:ind w:left="851"/>
        <w:rPr>
          <w:sz w:val="24"/>
          <w:szCs w:val="24"/>
          <w:lang w:val="en-US"/>
        </w:rPr>
      </w:pPr>
    </w:p>
    <w:p w14:paraId="29C7D174" w14:textId="77777777" w:rsidR="003A108F" w:rsidRPr="0063448B" w:rsidRDefault="003A108F" w:rsidP="003A108F">
      <w:pPr>
        <w:ind w:left="851"/>
        <w:rPr>
          <w:sz w:val="24"/>
          <w:szCs w:val="24"/>
          <w:lang w:val="en-US"/>
        </w:rPr>
      </w:pPr>
      <w:r w:rsidRPr="0063448B">
        <w:rPr>
          <w:sz w:val="24"/>
          <w:szCs w:val="24"/>
          <w:lang w:val="en-US"/>
        </w:rPr>
        <w:t xml:space="preserve">In the treated population, severe </w:t>
      </w:r>
      <w:proofErr w:type="spellStart"/>
      <w:r w:rsidRPr="0063448B">
        <w:rPr>
          <w:sz w:val="24"/>
          <w:szCs w:val="24"/>
          <w:lang w:val="en-US"/>
        </w:rPr>
        <w:t>hypoglycaemic</w:t>
      </w:r>
      <w:proofErr w:type="spellEnd"/>
      <w:r w:rsidRPr="0063448B">
        <w:rPr>
          <w:sz w:val="24"/>
          <w:szCs w:val="24"/>
          <w:lang w:val="en-US"/>
        </w:rPr>
        <w:t xml:space="preserve"> events (requiring assistance) were reported in 3.0% of patients on linagliptin and in 3.1% on placebo. Among patients who were using sulfonylurea at baseline, the incidence of severe </w:t>
      </w:r>
      <w:proofErr w:type="spellStart"/>
      <w:r w:rsidRPr="0063448B">
        <w:rPr>
          <w:sz w:val="24"/>
          <w:szCs w:val="24"/>
          <w:lang w:val="en-US"/>
        </w:rPr>
        <w:t>hypoglycaemia</w:t>
      </w:r>
      <w:proofErr w:type="spellEnd"/>
      <w:r w:rsidRPr="0063448B">
        <w:rPr>
          <w:sz w:val="24"/>
          <w:szCs w:val="24"/>
          <w:lang w:val="en-US"/>
        </w:rPr>
        <w:t xml:space="preserve"> was 2.0% in linagliptin-treated patients and 1.7% in placebo treated patients. Among patients who were using insulin at baseline, the incidence of severe </w:t>
      </w:r>
      <w:proofErr w:type="spellStart"/>
      <w:r w:rsidRPr="0063448B">
        <w:rPr>
          <w:sz w:val="24"/>
          <w:szCs w:val="24"/>
          <w:lang w:val="en-US"/>
        </w:rPr>
        <w:t>hypoglycaemia</w:t>
      </w:r>
      <w:proofErr w:type="spellEnd"/>
      <w:r w:rsidRPr="0063448B">
        <w:rPr>
          <w:sz w:val="24"/>
          <w:szCs w:val="24"/>
          <w:lang w:val="en-US"/>
        </w:rPr>
        <w:t xml:space="preserve"> was 4.4% in linagliptin-treated patients and 4.9% in placebo treated patients.</w:t>
      </w:r>
    </w:p>
    <w:p w14:paraId="71BB0E14" w14:textId="77777777" w:rsidR="003A108F" w:rsidRPr="0063448B" w:rsidRDefault="003A108F" w:rsidP="003A108F">
      <w:pPr>
        <w:ind w:left="851"/>
        <w:rPr>
          <w:sz w:val="24"/>
          <w:szCs w:val="24"/>
          <w:lang w:val="en-US"/>
        </w:rPr>
      </w:pPr>
    </w:p>
    <w:p w14:paraId="30180549" w14:textId="77777777" w:rsidR="003A108F" w:rsidRPr="0063448B" w:rsidRDefault="003A108F" w:rsidP="003A108F">
      <w:pPr>
        <w:ind w:left="851"/>
        <w:rPr>
          <w:sz w:val="24"/>
          <w:szCs w:val="24"/>
          <w:lang w:val="en-US"/>
        </w:rPr>
      </w:pPr>
      <w:r w:rsidRPr="0063448B">
        <w:rPr>
          <w:sz w:val="24"/>
          <w:szCs w:val="24"/>
          <w:lang w:val="en-US"/>
        </w:rPr>
        <w:t>In the overall study observation period adjudicated acute pancreatitis was reported in 0.3% of patients treated with linagliptin and in 0.1% of patients treated with placebo.</w:t>
      </w:r>
    </w:p>
    <w:p w14:paraId="248F8A47" w14:textId="77777777" w:rsidR="003A108F" w:rsidRPr="0063448B" w:rsidRDefault="003A108F" w:rsidP="003A108F">
      <w:pPr>
        <w:ind w:left="851"/>
        <w:rPr>
          <w:sz w:val="24"/>
          <w:szCs w:val="24"/>
          <w:lang w:val="en-US"/>
        </w:rPr>
      </w:pPr>
    </w:p>
    <w:p w14:paraId="31B88795" w14:textId="77777777" w:rsidR="003A108F" w:rsidRPr="0063448B" w:rsidRDefault="003A108F" w:rsidP="003A108F">
      <w:pPr>
        <w:ind w:left="851"/>
        <w:rPr>
          <w:sz w:val="24"/>
          <w:szCs w:val="24"/>
          <w:lang w:val="en-GB"/>
        </w:rPr>
      </w:pPr>
      <w:r w:rsidRPr="0063448B">
        <w:rPr>
          <w:sz w:val="24"/>
          <w:szCs w:val="24"/>
          <w:lang w:val="en-US"/>
        </w:rPr>
        <w:t>In the CARMELINA study, bullous pemphigoid was reported in 0.2% of patients treated with linagliptin and in no patient treated with placebo.</w:t>
      </w:r>
    </w:p>
    <w:p w14:paraId="0F36250A" w14:textId="77777777" w:rsidR="003A108F" w:rsidRPr="0063448B" w:rsidRDefault="003A108F" w:rsidP="003A108F">
      <w:pPr>
        <w:ind w:left="851"/>
        <w:rPr>
          <w:sz w:val="24"/>
          <w:szCs w:val="24"/>
          <w:lang w:val="en-US"/>
        </w:rPr>
      </w:pPr>
    </w:p>
    <w:p w14:paraId="2B37B62B" w14:textId="77777777" w:rsidR="003A108F" w:rsidRPr="00393F9C" w:rsidRDefault="003A108F" w:rsidP="003A108F">
      <w:pPr>
        <w:ind w:left="851"/>
        <w:rPr>
          <w:iCs/>
          <w:sz w:val="24"/>
          <w:szCs w:val="24"/>
          <w:lang w:val="en-US"/>
        </w:rPr>
      </w:pPr>
      <w:r w:rsidRPr="00393F9C">
        <w:rPr>
          <w:i/>
          <w:iCs/>
          <w:sz w:val="24"/>
          <w:szCs w:val="24"/>
          <w:lang w:val="en-US"/>
        </w:rPr>
        <w:t>Paediatric population</w:t>
      </w:r>
    </w:p>
    <w:p w14:paraId="135458AE" w14:textId="77777777" w:rsidR="003A108F" w:rsidRPr="0063448B" w:rsidRDefault="003A108F" w:rsidP="003A108F">
      <w:pPr>
        <w:ind w:left="851"/>
        <w:rPr>
          <w:sz w:val="24"/>
          <w:szCs w:val="24"/>
          <w:lang w:val="en-US"/>
        </w:rPr>
      </w:pPr>
      <w:r w:rsidRPr="0063448B">
        <w:rPr>
          <w:sz w:val="24"/>
          <w:szCs w:val="24"/>
          <w:lang w:val="en-US"/>
        </w:rPr>
        <w:t>Overall, in clinical trials in paediatric patients with type 2 diabetes mellitus aged 10 to 17 years, the safety profile of linagliptin was similar to that observed in the adult population.</w:t>
      </w:r>
    </w:p>
    <w:p w14:paraId="25DAC283" w14:textId="77777777" w:rsidR="003A108F" w:rsidRPr="0063448B" w:rsidRDefault="003A108F" w:rsidP="003A108F">
      <w:pPr>
        <w:ind w:left="851"/>
        <w:rPr>
          <w:sz w:val="24"/>
          <w:szCs w:val="24"/>
          <w:lang w:val="en-US"/>
        </w:rPr>
      </w:pPr>
    </w:p>
    <w:p w14:paraId="68992F10" w14:textId="77777777" w:rsidR="0063448B" w:rsidRDefault="0063448B" w:rsidP="0063448B">
      <w:pPr>
        <w:ind w:left="851"/>
        <w:rPr>
          <w:sz w:val="24"/>
          <w:szCs w:val="24"/>
          <w:u w:val="single"/>
          <w:lang w:val="en-GB"/>
        </w:rPr>
      </w:pPr>
      <w:r>
        <w:rPr>
          <w:sz w:val="24"/>
          <w:szCs w:val="24"/>
          <w:u w:val="single"/>
          <w:lang w:val="en-GB"/>
        </w:rPr>
        <w:t>Reporting of suspected adverse reactions</w:t>
      </w:r>
    </w:p>
    <w:p w14:paraId="57AF5FB0" w14:textId="77777777" w:rsidR="0063448B" w:rsidRDefault="0063448B" w:rsidP="0063448B">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DF6CBD5" w14:textId="77777777" w:rsidR="0063448B" w:rsidRDefault="0063448B" w:rsidP="0063448B">
      <w:pPr>
        <w:ind w:left="851"/>
        <w:rPr>
          <w:sz w:val="24"/>
          <w:szCs w:val="24"/>
          <w:lang w:val="en-GB"/>
        </w:rPr>
      </w:pPr>
    </w:p>
    <w:p w14:paraId="7FF6B5F7" w14:textId="77777777" w:rsidR="0063448B" w:rsidRDefault="0063448B" w:rsidP="0063448B">
      <w:pPr>
        <w:ind w:left="851"/>
        <w:rPr>
          <w:sz w:val="24"/>
          <w:szCs w:val="24"/>
        </w:rPr>
      </w:pPr>
      <w:r>
        <w:rPr>
          <w:sz w:val="24"/>
          <w:szCs w:val="24"/>
        </w:rPr>
        <w:t>Lægemiddelstyrelsen</w:t>
      </w:r>
    </w:p>
    <w:p w14:paraId="36AFD438" w14:textId="77777777" w:rsidR="0063448B" w:rsidRDefault="0063448B" w:rsidP="0063448B">
      <w:pPr>
        <w:ind w:left="851"/>
        <w:rPr>
          <w:sz w:val="24"/>
          <w:szCs w:val="24"/>
        </w:rPr>
      </w:pPr>
      <w:r>
        <w:rPr>
          <w:sz w:val="24"/>
          <w:szCs w:val="24"/>
        </w:rPr>
        <w:t>Axel Heides Gade 1</w:t>
      </w:r>
    </w:p>
    <w:p w14:paraId="126D3C31" w14:textId="77777777" w:rsidR="0063448B" w:rsidRDefault="0063448B" w:rsidP="0063448B">
      <w:pPr>
        <w:ind w:left="851"/>
        <w:rPr>
          <w:sz w:val="24"/>
          <w:szCs w:val="24"/>
        </w:rPr>
      </w:pPr>
      <w:r>
        <w:rPr>
          <w:sz w:val="24"/>
          <w:szCs w:val="24"/>
        </w:rPr>
        <w:t>DK-2300 København S</w:t>
      </w:r>
    </w:p>
    <w:p w14:paraId="03AAE119" w14:textId="77777777" w:rsidR="0063448B" w:rsidRPr="00393F9C" w:rsidRDefault="0063448B" w:rsidP="0063448B">
      <w:pPr>
        <w:ind w:left="851"/>
        <w:rPr>
          <w:sz w:val="24"/>
          <w:szCs w:val="24"/>
          <w:lang w:val="en-US"/>
        </w:rPr>
      </w:pPr>
      <w:r w:rsidRPr="00393F9C">
        <w:rPr>
          <w:sz w:val="24"/>
          <w:szCs w:val="24"/>
          <w:lang w:val="en-US"/>
        </w:rPr>
        <w:t>Website: www.meldenbivirkning.dk</w:t>
      </w:r>
    </w:p>
    <w:p w14:paraId="50405210" w14:textId="77777777" w:rsidR="007C5D2A" w:rsidRPr="0063448B" w:rsidRDefault="007C5D2A" w:rsidP="003A108F">
      <w:pPr>
        <w:ind w:left="851"/>
        <w:rPr>
          <w:sz w:val="24"/>
          <w:szCs w:val="24"/>
          <w:lang w:val="en-GB"/>
        </w:rPr>
      </w:pPr>
    </w:p>
    <w:p w14:paraId="4E990861" w14:textId="77777777" w:rsidR="007C5D2A" w:rsidRPr="0063448B" w:rsidRDefault="007C5D2A" w:rsidP="007C5D2A">
      <w:pPr>
        <w:tabs>
          <w:tab w:val="left" w:pos="851"/>
        </w:tabs>
        <w:ind w:left="851" w:hanging="851"/>
        <w:rPr>
          <w:b/>
          <w:sz w:val="24"/>
          <w:szCs w:val="24"/>
          <w:lang w:val="en-GB"/>
        </w:rPr>
      </w:pPr>
      <w:r w:rsidRPr="0063448B">
        <w:rPr>
          <w:b/>
          <w:sz w:val="24"/>
          <w:szCs w:val="24"/>
          <w:lang w:val="en-GB"/>
        </w:rPr>
        <w:t>4.9</w:t>
      </w:r>
      <w:r w:rsidRPr="0063448B">
        <w:rPr>
          <w:b/>
          <w:sz w:val="24"/>
          <w:szCs w:val="24"/>
          <w:lang w:val="en-GB"/>
        </w:rPr>
        <w:tab/>
        <w:t>Overdose</w:t>
      </w:r>
    </w:p>
    <w:p w14:paraId="46E82E4C" w14:textId="77777777" w:rsidR="0063448B" w:rsidRDefault="0063448B" w:rsidP="003A108F">
      <w:pPr>
        <w:ind w:left="851"/>
        <w:rPr>
          <w:sz w:val="24"/>
          <w:szCs w:val="24"/>
          <w:lang w:val="en-US"/>
        </w:rPr>
      </w:pPr>
    </w:p>
    <w:p w14:paraId="2D783ED5" w14:textId="4D8A1F86" w:rsidR="003A108F" w:rsidRPr="0063448B" w:rsidRDefault="003A108F" w:rsidP="003A108F">
      <w:pPr>
        <w:ind w:left="851"/>
        <w:rPr>
          <w:sz w:val="24"/>
          <w:szCs w:val="24"/>
          <w:u w:val="single"/>
          <w:lang w:val="en-US"/>
        </w:rPr>
      </w:pPr>
      <w:r w:rsidRPr="0063448B">
        <w:rPr>
          <w:sz w:val="24"/>
          <w:szCs w:val="24"/>
          <w:u w:val="single"/>
          <w:lang w:val="en-US"/>
        </w:rPr>
        <w:t>Symptoms</w:t>
      </w:r>
    </w:p>
    <w:p w14:paraId="790F46F2" w14:textId="77777777" w:rsidR="003A108F" w:rsidRPr="0063448B" w:rsidRDefault="003A108F" w:rsidP="003A108F">
      <w:pPr>
        <w:ind w:left="851"/>
        <w:rPr>
          <w:sz w:val="24"/>
          <w:szCs w:val="24"/>
          <w:lang w:val="en-US"/>
        </w:rPr>
      </w:pPr>
      <w:r w:rsidRPr="0063448B">
        <w:rPr>
          <w:sz w:val="24"/>
          <w:szCs w:val="24"/>
          <w:lang w:val="en-US"/>
        </w:rPr>
        <w:t>During controlled clinical trials in healthy subjects, single doses of up to 600 mg linagliptin (equivalent to 120 times the recommended dose) were generally well tolerated. There is no experience with doses above 600 mg in humans.</w:t>
      </w:r>
    </w:p>
    <w:p w14:paraId="5A219C63" w14:textId="4C316FC8" w:rsidR="00BA5DCC" w:rsidRDefault="00BA5DCC">
      <w:pPr>
        <w:rPr>
          <w:sz w:val="24"/>
          <w:szCs w:val="24"/>
          <w:lang w:val="en-US"/>
        </w:rPr>
      </w:pPr>
      <w:r>
        <w:rPr>
          <w:sz w:val="24"/>
          <w:szCs w:val="24"/>
          <w:lang w:val="en-US"/>
        </w:rPr>
        <w:br w:type="page"/>
      </w:r>
    </w:p>
    <w:p w14:paraId="1F9A2BDE" w14:textId="77777777" w:rsidR="003A108F" w:rsidRPr="0063448B" w:rsidRDefault="003A108F" w:rsidP="003A108F">
      <w:pPr>
        <w:ind w:left="851"/>
        <w:rPr>
          <w:sz w:val="24"/>
          <w:szCs w:val="24"/>
          <w:lang w:val="en-US"/>
        </w:rPr>
      </w:pPr>
    </w:p>
    <w:p w14:paraId="56796026" w14:textId="77777777" w:rsidR="003A108F" w:rsidRPr="0063448B" w:rsidRDefault="003A108F" w:rsidP="003A108F">
      <w:pPr>
        <w:ind w:left="851"/>
        <w:rPr>
          <w:sz w:val="24"/>
          <w:szCs w:val="24"/>
          <w:u w:val="single"/>
          <w:lang w:val="en-US"/>
        </w:rPr>
      </w:pPr>
      <w:r w:rsidRPr="0063448B">
        <w:rPr>
          <w:sz w:val="24"/>
          <w:szCs w:val="24"/>
          <w:u w:val="single"/>
          <w:lang w:val="en-US"/>
        </w:rPr>
        <w:t>Therapy</w:t>
      </w:r>
    </w:p>
    <w:p w14:paraId="096A7803" w14:textId="77777777" w:rsidR="003A108F" w:rsidRPr="0063448B" w:rsidRDefault="003A108F" w:rsidP="003A108F">
      <w:pPr>
        <w:ind w:left="851"/>
        <w:rPr>
          <w:sz w:val="24"/>
          <w:szCs w:val="24"/>
          <w:lang w:val="en-GB"/>
        </w:rPr>
      </w:pPr>
      <w:r w:rsidRPr="0063448B">
        <w:rPr>
          <w:sz w:val="24"/>
          <w:szCs w:val="24"/>
          <w:lang w:val="en-US"/>
        </w:rPr>
        <w:t>In the event of an overdose, it is reasonable to employ the usual supportive measures, e.g., remove unabsorbed material from the gastrointestinal tract, employ clinical monitoring and institute clinical measures if required.</w:t>
      </w:r>
    </w:p>
    <w:p w14:paraId="2C0963DB" w14:textId="77777777" w:rsidR="007C5D2A" w:rsidRPr="0063448B" w:rsidRDefault="007C5D2A" w:rsidP="003E0341">
      <w:pPr>
        <w:tabs>
          <w:tab w:val="left" w:pos="851"/>
        </w:tabs>
        <w:ind w:left="851"/>
        <w:rPr>
          <w:sz w:val="24"/>
          <w:szCs w:val="24"/>
          <w:lang w:val="en-GB"/>
        </w:rPr>
      </w:pPr>
    </w:p>
    <w:p w14:paraId="7F489069" w14:textId="77777777" w:rsidR="008F2F8C" w:rsidRPr="0063448B" w:rsidRDefault="0042292D" w:rsidP="0042292D">
      <w:pPr>
        <w:tabs>
          <w:tab w:val="left" w:pos="851"/>
        </w:tabs>
        <w:rPr>
          <w:b/>
          <w:sz w:val="24"/>
          <w:szCs w:val="24"/>
          <w:lang w:val="en-GB"/>
        </w:rPr>
      </w:pPr>
      <w:r w:rsidRPr="0063448B">
        <w:rPr>
          <w:b/>
          <w:sz w:val="24"/>
          <w:szCs w:val="24"/>
          <w:lang w:val="en-GB"/>
        </w:rPr>
        <w:t>4.10</w:t>
      </w:r>
      <w:r w:rsidRPr="0063448B">
        <w:rPr>
          <w:b/>
          <w:sz w:val="24"/>
          <w:szCs w:val="24"/>
          <w:lang w:val="en-GB"/>
        </w:rPr>
        <w:tab/>
        <w:t>Legal status</w:t>
      </w:r>
    </w:p>
    <w:p w14:paraId="1DD913C4" w14:textId="7A760AE1" w:rsidR="00AD2E36" w:rsidRPr="0063448B" w:rsidRDefault="003E0988" w:rsidP="00AD2E36">
      <w:pPr>
        <w:tabs>
          <w:tab w:val="left" w:pos="851"/>
        </w:tabs>
        <w:ind w:left="851"/>
        <w:rPr>
          <w:sz w:val="24"/>
          <w:szCs w:val="24"/>
          <w:lang w:val="en-GB"/>
        </w:rPr>
      </w:pPr>
      <w:r w:rsidRPr="0063448B">
        <w:rPr>
          <w:sz w:val="24"/>
          <w:szCs w:val="24"/>
          <w:lang w:val="en-GB"/>
        </w:rPr>
        <w:t>B</w:t>
      </w:r>
    </w:p>
    <w:p w14:paraId="2BD8175A" w14:textId="77777777" w:rsidR="007C5D2A" w:rsidRPr="0063448B" w:rsidRDefault="007C5D2A" w:rsidP="003E0341">
      <w:pPr>
        <w:tabs>
          <w:tab w:val="left" w:pos="851"/>
        </w:tabs>
        <w:ind w:left="851"/>
        <w:rPr>
          <w:sz w:val="24"/>
          <w:szCs w:val="24"/>
          <w:lang w:val="en-GB"/>
        </w:rPr>
      </w:pPr>
    </w:p>
    <w:p w14:paraId="1C04A6AC" w14:textId="77777777" w:rsidR="00AD2E36" w:rsidRPr="0063448B" w:rsidRDefault="00AD2E36" w:rsidP="003E0341">
      <w:pPr>
        <w:tabs>
          <w:tab w:val="left" w:pos="851"/>
        </w:tabs>
        <w:ind w:left="851"/>
        <w:rPr>
          <w:sz w:val="24"/>
          <w:szCs w:val="24"/>
          <w:lang w:val="en-GB"/>
        </w:rPr>
      </w:pPr>
    </w:p>
    <w:p w14:paraId="797AD931" w14:textId="77777777" w:rsidR="007C5D2A" w:rsidRPr="0063448B" w:rsidRDefault="007C5D2A" w:rsidP="007C5D2A">
      <w:pPr>
        <w:tabs>
          <w:tab w:val="left" w:pos="851"/>
        </w:tabs>
        <w:rPr>
          <w:b/>
          <w:sz w:val="24"/>
          <w:szCs w:val="24"/>
          <w:lang w:val="en-GB"/>
        </w:rPr>
      </w:pPr>
      <w:r w:rsidRPr="0063448B">
        <w:rPr>
          <w:b/>
          <w:sz w:val="24"/>
          <w:szCs w:val="24"/>
          <w:lang w:val="en-GB"/>
        </w:rPr>
        <w:t>5.</w:t>
      </w:r>
      <w:r w:rsidRPr="0063448B">
        <w:rPr>
          <w:b/>
          <w:sz w:val="24"/>
          <w:szCs w:val="24"/>
          <w:lang w:val="en-GB"/>
        </w:rPr>
        <w:tab/>
        <w:t>PHARMACOLOGICAL PROPERTIES</w:t>
      </w:r>
    </w:p>
    <w:p w14:paraId="78EB1C4A" w14:textId="77777777" w:rsidR="007C5D2A" w:rsidRPr="0063448B" w:rsidRDefault="007C5D2A" w:rsidP="003E0341">
      <w:pPr>
        <w:tabs>
          <w:tab w:val="left" w:pos="851"/>
        </w:tabs>
        <w:ind w:left="851"/>
        <w:rPr>
          <w:sz w:val="24"/>
          <w:szCs w:val="24"/>
          <w:lang w:val="en-GB"/>
        </w:rPr>
      </w:pPr>
    </w:p>
    <w:p w14:paraId="6EA94DDF" w14:textId="77777777" w:rsidR="007C5D2A" w:rsidRPr="0063448B" w:rsidRDefault="007C5D2A" w:rsidP="007C5D2A">
      <w:pPr>
        <w:tabs>
          <w:tab w:val="left" w:pos="851"/>
        </w:tabs>
        <w:ind w:left="851" w:hanging="851"/>
        <w:rPr>
          <w:b/>
          <w:sz w:val="24"/>
          <w:szCs w:val="24"/>
          <w:lang w:val="en-GB"/>
        </w:rPr>
      </w:pPr>
      <w:r w:rsidRPr="0063448B">
        <w:rPr>
          <w:b/>
          <w:sz w:val="24"/>
          <w:szCs w:val="24"/>
          <w:lang w:val="en-GB"/>
        </w:rPr>
        <w:t>5.1</w:t>
      </w:r>
      <w:r w:rsidRPr="0063448B">
        <w:rPr>
          <w:b/>
          <w:sz w:val="24"/>
          <w:szCs w:val="24"/>
          <w:lang w:val="en-GB"/>
        </w:rPr>
        <w:tab/>
        <w:t>Pharmacodynamic properties</w:t>
      </w:r>
      <w:r w:rsidRPr="0063448B">
        <w:rPr>
          <w:b/>
          <w:sz w:val="24"/>
          <w:szCs w:val="24"/>
          <w:lang w:val="en-GB"/>
        </w:rPr>
        <w:tab/>
      </w:r>
    </w:p>
    <w:p w14:paraId="01528EF5" w14:textId="361F8ED4" w:rsidR="003A108F" w:rsidRPr="0063448B" w:rsidRDefault="003A108F" w:rsidP="003E0988">
      <w:pPr>
        <w:ind w:left="851"/>
        <w:rPr>
          <w:sz w:val="24"/>
          <w:szCs w:val="24"/>
          <w:lang w:val="en-US"/>
        </w:rPr>
      </w:pPr>
      <w:r w:rsidRPr="0063448B">
        <w:rPr>
          <w:sz w:val="24"/>
          <w:szCs w:val="24"/>
          <w:lang w:val="en-US"/>
        </w:rPr>
        <w:t>Pharmacotherapeutic group: Drugs used in diabetes, dipeptidyl peptidase 4 (DPP-4) inhibitors, ATC code: A10BH05</w:t>
      </w:r>
      <w:r w:rsidR="004E7E1B">
        <w:rPr>
          <w:sz w:val="24"/>
          <w:szCs w:val="24"/>
          <w:lang w:val="en-US"/>
        </w:rPr>
        <w:t>.</w:t>
      </w:r>
    </w:p>
    <w:p w14:paraId="5742F8E9" w14:textId="77777777" w:rsidR="003A108F" w:rsidRPr="0063448B" w:rsidRDefault="003A108F" w:rsidP="003E0988">
      <w:pPr>
        <w:tabs>
          <w:tab w:val="left" w:pos="1304"/>
        </w:tabs>
        <w:ind w:left="851"/>
        <w:rPr>
          <w:i/>
          <w:noProof/>
          <w:sz w:val="24"/>
          <w:szCs w:val="24"/>
          <w:highlight w:val="yellow"/>
          <w:lang w:val="en-US"/>
        </w:rPr>
      </w:pPr>
    </w:p>
    <w:p w14:paraId="3F53ED6B" w14:textId="77777777" w:rsidR="003A108F" w:rsidRPr="0063448B" w:rsidRDefault="003A108F" w:rsidP="003E0988">
      <w:pPr>
        <w:ind w:left="851"/>
        <w:jc w:val="both"/>
        <w:rPr>
          <w:sz w:val="24"/>
          <w:szCs w:val="24"/>
          <w:u w:val="single" w:color="000000"/>
          <w:lang w:val="en-US"/>
        </w:rPr>
      </w:pPr>
      <w:r w:rsidRPr="0063448B">
        <w:rPr>
          <w:sz w:val="24"/>
          <w:szCs w:val="24"/>
          <w:u w:val="single" w:color="000000"/>
          <w:lang w:val="en-US"/>
        </w:rPr>
        <w:t>Mechanism of action</w:t>
      </w:r>
    </w:p>
    <w:p w14:paraId="11C800F5" w14:textId="77777777" w:rsidR="003A108F" w:rsidRPr="0063448B" w:rsidRDefault="003A108F" w:rsidP="003E0988">
      <w:pPr>
        <w:ind w:left="851"/>
        <w:rPr>
          <w:sz w:val="24"/>
          <w:szCs w:val="24"/>
          <w:lang w:val="en-US"/>
        </w:rPr>
      </w:pPr>
      <w:r w:rsidRPr="0063448B">
        <w:rPr>
          <w:sz w:val="24"/>
          <w:szCs w:val="24"/>
          <w:lang w:val="en-US"/>
        </w:rPr>
        <w:t xml:space="preserve">Linagliptin is an inhibitor of the enzyme DPP-4 (dipeptidyl peptidase 4, EC 3.4.14.5) an enzyme which is involved in the inactivation of the incretin hormones GLP-1 and GIP (glucagon-like peptide1, glucose-dependent insulinotropic polypeptide). These hormones are rapidly degraded by the enzyme DPP-4. Both incretin hormones are involved in the physiological regulation of glucose homeostasis. Incretins are secreted at a low basal level throughout the day and levels rise immediately after meal intake. GLP-1 and GIP increase insulin biosynthesis and secretion from pancreatic beta cells in the presence of normal and elevated blood glucose levels. Furthermore GLP-1 also reduces glucagon secretion from pancreatic alpha cells, resulting in a reduction in hepatic glucose output. Linagliptin binds very effectively to DPP-4 in a reversible manner and thus leads to a sustained increase and a prolongation of active incretin levels. Linagliptin glucose-dependently increases insulin secretion and lowers glucagon secretion thus resulting in an overall improvement in the glucose homeostasis. Linagliptin binds selectively to DPP-4 and exhibits a &gt; </w:t>
      </w:r>
      <w:proofErr w:type="gramStart"/>
      <w:r w:rsidRPr="0063448B">
        <w:rPr>
          <w:sz w:val="24"/>
          <w:szCs w:val="24"/>
          <w:lang w:val="en-US"/>
        </w:rPr>
        <w:t>10,000 fold</w:t>
      </w:r>
      <w:proofErr w:type="gramEnd"/>
      <w:r w:rsidRPr="0063448B">
        <w:rPr>
          <w:sz w:val="24"/>
          <w:szCs w:val="24"/>
          <w:lang w:val="en-US"/>
        </w:rPr>
        <w:t xml:space="preserve"> selectivity versus DPP-8 or DPP-9 activity </w:t>
      </w:r>
      <w:r w:rsidRPr="0063448B">
        <w:rPr>
          <w:i/>
          <w:sz w:val="24"/>
          <w:szCs w:val="24"/>
          <w:lang w:val="en-US"/>
        </w:rPr>
        <w:t>in vitro</w:t>
      </w:r>
      <w:r w:rsidRPr="0063448B">
        <w:rPr>
          <w:sz w:val="24"/>
          <w:szCs w:val="24"/>
          <w:lang w:val="en-US"/>
        </w:rPr>
        <w:t>.</w:t>
      </w:r>
    </w:p>
    <w:p w14:paraId="40D97DBD" w14:textId="77777777" w:rsidR="003A108F" w:rsidRPr="0063448B" w:rsidRDefault="003A108F" w:rsidP="003E0988">
      <w:pPr>
        <w:ind w:left="851"/>
        <w:rPr>
          <w:sz w:val="24"/>
          <w:szCs w:val="24"/>
          <w:u w:val="single" w:color="000000"/>
          <w:lang w:val="en-US"/>
        </w:rPr>
      </w:pPr>
    </w:p>
    <w:p w14:paraId="72B9811E" w14:textId="77777777" w:rsidR="003A108F" w:rsidRPr="0063448B" w:rsidRDefault="003A108F" w:rsidP="003E0988">
      <w:pPr>
        <w:ind w:left="851"/>
        <w:rPr>
          <w:sz w:val="24"/>
          <w:szCs w:val="24"/>
          <w:u w:val="single" w:color="000000"/>
          <w:lang w:val="en-US"/>
        </w:rPr>
      </w:pPr>
      <w:r w:rsidRPr="0063448B">
        <w:rPr>
          <w:sz w:val="24"/>
          <w:szCs w:val="24"/>
          <w:u w:val="single" w:color="000000"/>
          <w:lang w:val="en-US"/>
        </w:rPr>
        <w:t>Clinical efficacy and safety</w:t>
      </w:r>
    </w:p>
    <w:p w14:paraId="519B4459" w14:textId="77777777" w:rsidR="003A108F" w:rsidRPr="0063448B" w:rsidRDefault="003A108F" w:rsidP="003E0988">
      <w:pPr>
        <w:ind w:left="851"/>
        <w:rPr>
          <w:sz w:val="24"/>
          <w:szCs w:val="24"/>
          <w:lang w:val="en-US"/>
        </w:rPr>
      </w:pPr>
      <w:r w:rsidRPr="0063448B">
        <w:rPr>
          <w:sz w:val="24"/>
          <w:szCs w:val="24"/>
          <w:lang w:val="en-US"/>
        </w:rPr>
        <w:t xml:space="preserve">8 phase III </w:t>
      </w:r>
      <w:proofErr w:type="spellStart"/>
      <w:r w:rsidRPr="0063448B">
        <w:rPr>
          <w:sz w:val="24"/>
          <w:szCs w:val="24"/>
          <w:lang w:val="en-US"/>
        </w:rPr>
        <w:t>randomised</w:t>
      </w:r>
      <w:proofErr w:type="spellEnd"/>
      <w:r w:rsidRPr="0063448B">
        <w:rPr>
          <w:sz w:val="24"/>
          <w:szCs w:val="24"/>
          <w:lang w:val="en-US"/>
        </w:rPr>
        <w:t xml:space="preserve"> controlled trials involving 5,239 patients with type 2 diabetes, of which 3,319 were treated with linagliptin were conducted to evaluate efficacy and safety. These studies had 929 patients of 65 years and over who were on linagliptin. There were also 1,238 patients with mild renal impairment, and 143 patients with moderate renal impairment on linagliptin. Linagliptin once daily produced clinically significant improvements in </w:t>
      </w:r>
      <w:proofErr w:type="spellStart"/>
      <w:r w:rsidRPr="0063448B">
        <w:rPr>
          <w:sz w:val="24"/>
          <w:szCs w:val="24"/>
          <w:lang w:val="en-US"/>
        </w:rPr>
        <w:t>glycaemic</w:t>
      </w:r>
      <w:proofErr w:type="spellEnd"/>
      <w:r w:rsidRPr="0063448B">
        <w:rPr>
          <w:sz w:val="24"/>
          <w:szCs w:val="24"/>
          <w:lang w:val="en-US"/>
        </w:rPr>
        <w:t xml:space="preserve"> control, with no clinically relevant change in body weight. The reductions in glycosylated </w:t>
      </w:r>
      <w:proofErr w:type="spellStart"/>
      <w:r w:rsidRPr="0063448B">
        <w:rPr>
          <w:sz w:val="24"/>
          <w:szCs w:val="24"/>
          <w:lang w:val="en-US"/>
        </w:rPr>
        <w:t>haemoglobin</w:t>
      </w:r>
      <w:proofErr w:type="spellEnd"/>
      <w:r w:rsidRPr="0063448B">
        <w:rPr>
          <w:sz w:val="24"/>
          <w:szCs w:val="24"/>
          <w:lang w:val="en-US"/>
        </w:rPr>
        <w:t xml:space="preserve"> A</w:t>
      </w:r>
      <w:r w:rsidRPr="0063448B">
        <w:rPr>
          <w:sz w:val="24"/>
          <w:szCs w:val="24"/>
          <w:vertAlign w:val="subscript"/>
          <w:lang w:val="en-US"/>
        </w:rPr>
        <w:t>1c</w:t>
      </w:r>
      <w:r w:rsidRPr="0063448B">
        <w:rPr>
          <w:sz w:val="24"/>
          <w:szCs w:val="24"/>
          <w:lang w:val="en-US"/>
        </w:rPr>
        <w:t xml:space="preserve"> (HbA</w:t>
      </w:r>
      <w:r w:rsidRPr="0063448B">
        <w:rPr>
          <w:sz w:val="24"/>
          <w:szCs w:val="24"/>
          <w:vertAlign w:val="subscript"/>
          <w:lang w:val="en-US"/>
        </w:rPr>
        <w:t>1c</w:t>
      </w:r>
      <w:r w:rsidRPr="0063448B">
        <w:rPr>
          <w:sz w:val="24"/>
          <w:szCs w:val="24"/>
          <w:lang w:val="en-US"/>
        </w:rPr>
        <w:t>) were similar across different subgroups including gender, age, renal impairment and body mass index (BMI). Higher baseline HbA</w:t>
      </w:r>
      <w:r w:rsidRPr="0063448B">
        <w:rPr>
          <w:sz w:val="24"/>
          <w:szCs w:val="24"/>
          <w:vertAlign w:val="subscript"/>
          <w:lang w:val="en-US"/>
        </w:rPr>
        <w:t>1c</w:t>
      </w:r>
      <w:r w:rsidRPr="0063448B">
        <w:rPr>
          <w:sz w:val="24"/>
          <w:szCs w:val="24"/>
          <w:lang w:val="en-US"/>
        </w:rPr>
        <w:t xml:space="preserve"> was associated with a greater reduction in HbA</w:t>
      </w:r>
      <w:r w:rsidRPr="0063448B">
        <w:rPr>
          <w:sz w:val="24"/>
          <w:szCs w:val="24"/>
          <w:vertAlign w:val="subscript"/>
          <w:lang w:val="en-US"/>
        </w:rPr>
        <w:t>1c</w:t>
      </w:r>
      <w:r w:rsidRPr="0063448B">
        <w:rPr>
          <w:sz w:val="24"/>
          <w:szCs w:val="24"/>
          <w:lang w:val="en-US"/>
        </w:rPr>
        <w:t>. There was a significant difference in reduction in HbA</w:t>
      </w:r>
      <w:r w:rsidRPr="0063448B">
        <w:rPr>
          <w:sz w:val="24"/>
          <w:szCs w:val="24"/>
          <w:vertAlign w:val="subscript"/>
          <w:lang w:val="en-US"/>
        </w:rPr>
        <w:t>1c</w:t>
      </w:r>
      <w:r w:rsidRPr="0063448B">
        <w:rPr>
          <w:sz w:val="24"/>
          <w:szCs w:val="24"/>
          <w:lang w:val="en-US"/>
        </w:rPr>
        <w:t xml:space="preserve"> between Asian patients (0.8%) and White patients (0.5%) in the pooled studies.</w:t>
      </w:r>
    </w:p>
    <w:p w14:paraId="4C99EC43" w14:textId="77777777" w:rsidR="003A108F" w:rsidRPr="0063448B" w:rsidRDefault="003A108F" w:rsidP="003E0988">
      <w:pPr>
        <w:ind w:left="851"/>
        <w:rPr>
          <w:sz w:val="24"/>
          <w:szCs w:val="24"/>
          <w:u w:val="single" w:color="000000"/>
          <w:lang w:val="en-US"/>
        </w:rPr>
      </w:pPr>
    </w:p>
    <w:p w14:paraId="4809AFB0" w14:textId="77777777" w:rsidR="003A108F" w:rsidRPr="0063448B" w:rsidRDefault="003A108F" w:rsidP="003E0988">
      <w:pPr>
        <w:ind w:left="851"/>
        <w:rPr>
          <w:i/>
          <w:sz w:val="24"/>
          <w:szCs w:val="24"/>
          <w:lang w:val="en-US"/>
        </w:rPr>
      </w:pPr>
      <w:r w:rsidRPr="0063448B">
        <w:rPr>
          <w:i/>
          <w:sz w:val="24"/>
          <w:szCs w:val="24"/>
          <w:lang w:val="en-US"/>
        </w:rPr>
        <w:t xml:space="preserve">Linagliptin as monotherapy in </w:t>
      </w:r>
      <w:proofErr w:type="gramStart"/>
      <w:r w:rsidRPr="0063448B">
        <w:rPr>
          <w:i/>
          <w:sz w:val="24"/>
          <w:szCs w:val="24"/>
          <w:lang w:val="en-US"/>
        </w:rPr>
        <w:t>patients</w:t>
      </w:r>
      <w:proofErr w:type="gramEnd"/>
      <w:r w:rsidRPr="0063448B">
        <w:rPr>
          <w:i/>
          <w:sz w:val="24"/>
          <w:szCs w:val="24"/>
          <w:lang w:val="en-US"/>
        </w:rPr>
        <w:t xml:space="preserve"> ineligible for metformin</w:t>
      </w:r>
    </w:p>
    <w:p w14:paraId="36A5DB9D" w14:textId="77777777" w:rsidR="003A108F" w:rsidRPr="0063448B" w:rsidRDefault="003A108F" w:rsidP="003E0988">
      <w:pPr>
        <w:ind w:left="851"/>
        <w:rPr>
          <w:sz w:val="24"/>
          <w:szCs w:val="24"/>
          <w:lang w:val="en-US"/>
        </w:rPr>
      </w:pPr>
      <w:r w:rsidRPr="0063448B">
        <w:rPr>
          <w:sz w:val="24"/>
          <w:szCs w:val="24"/>
          <w:lang w:val="en-US"/>
        </w:rPr>
        <w:t>The efficacy and safety of linagliptin monotherapy was evaluated in a double-blind placebo-controlled study of 24 weeks duration. Treatment with once daily linagliptin at 5 mg provided a significant improvement in HbA</w:t>
      </w:r>
      <w:r w:rsidRPr="0063448B">
        <w:rPr>
          <w:sz w:val="24"/>
          <w:szCs w:val="24"/>
          <w:vertAlign w:val="subscript"/>
          <w:lang w:val="en-US"/>
        </w:rPr>
        <w:t>1c</w:t>
      </w:r>
      <w:r w:rsidRPr="0063448B">
        <w:rPr>
          <w:sz w:val="24"/>
          <w:szCs w:val="24"/>
          <w:lang w:val="en-US"/>
        </w:rPr>
        <w:t xml:space="preserve"> (-0.69% change compared to placebo), in patients with baseline HbA</w:t>
      </w:r>
      <w:r w:rsidRPr="0063448B">
        <w:rPr>
          <w:sz w:val="24"/>
          <w:szCs w:val="24"/>
          <w:vertAlign w:val="subscript"/>
          <w:lang w:val="en-US"/>
        </w:rPr>
        <w:t>1c</w:t>
      </w:r>
      <w:r w:rsidRPr="0063448B">
        <w:rPr>
          <w:sz w:val="24"/>
          <w:szCs w:val="24"/>
          <w:lang w:val="en-US"/>
        </w:rPr>
        <w:t xml:space="preserve"> of approximately 8%. Linagliptin also showed significant improvements in fasting plasma glucose (FPG), and 2-hour post-prandial glucose (PPG) </w:t>
      </w:r>
      <w:r w:rsidRPr="0063448B">
        <w:rPr>
          <w:sz w:val="24"/>
          <w:szCs w:val="24"/>
          <w:lang w:val="en-US"/>
        </w:rPr>
        <w:lastRenderedPageBreak/>
        <w:t xml:space="preserve">compared to placebo. The observed incidence of </w:t>
      </w:r>
      <w:proofErr w:type="spellStart"/>
      <w:r w:rsidRPr="0063448B">
        <w:rPr>
          <w:sz w:val="24"/>
          <w:szCs w:val="24"/>
          <w:lang w:val="en-US"/>
        </w:rPr>
        <w:t>hypoglycaemia</w:t>
      </w:r>
      <w:proofErr w:type="spellEnd"/>
      <w:r w:rsidRPr="0063448B">
        <w:rPr>
          <w:sz w:val="24"/>
          <w:szCs w:val="24"/>
          <w:lang w:val="en-US"/>
        </w:rPr>
        <w:t xml:space="preserve"> in patients treated with linagliptin was similar to placebo.</w:t>
      </w:r>
    </w:p>
    <w:p w14:paraId="13E6E65C" w14:textId="77777777" w:rsidR="003A108F" w:rsidRPr="0063448B" w:rsidRDefault="003A108F" w:rsidP="003E0988">
      <w:pPr>
        <w:ind w:left="851"/>
        <w:rPr>
          <w:sz w:val="24"/>
          <w:szCs w:val="24"/>
          <w:lang w:val="en-US"/>
        </w:rPr>
      </w:pPr>
    </w:p>
    <w:p w14:paraId="1C202679" w14:textId="77777777" w:rsidR="003A108F" w:rsidRPr="0063448B" w:rsidRDefault="003A108F" w:rsidP="003E0988">
      <w:pPr>
        <w:ind w:left="851"/>
        <w:rPr>
          <w:sz w:val="24"/>
          <w:szCs w:val="24"/>
          <w:u w:val="single" w:color="000000"/>
          <w:lang w:val="en-US"/>
        </w:rPr>
      </w:pPr>
      <w:r w:rsidRPr="0063448B">
        <w:rPr>
          <w:sz w:val="24"/>
          <w:szCs w:val="24"/>
          <w:lang w:val="en-US"/>
        </w:rPr>
        <w:t>The efficacy and safety of linagliptin monotherapy was also evaluated in patients for whom metformin therapy is inappropriate, due to intolerability or contraindicated due to renal impairment, in a double- blind placebo-controlled study of 18 weeks duration. Linagliptin provided significant improvements in HbA</w:t>
      </w:r>
      <w:r w:rsidRPr="0063448B">
        <w:rPr>
          <w:sz w:val="24"/>
          <w:szCs w:val="24"/>
          <w:vertAlign w:val="subscript"/>
          <w:lang w:val="en-US"/>
        </w:rPr>
        <w:t>1c</w:t>
      </w:r>
      <w:r w:rsidRPr="0063448B">
        <w:rPr>
          <w:sz w:val="24"/>
          <w:szCs w:val="24"/>
          <w:lang w:val="en-US"/>
        </w:rPr>
        <w:t>, (-0.57% change compared to placebo), from a mean baseline HbA</w:t>
      </w:r>
      <w:r w:rsidRPr="0063448B">
        <w:rPr>
          <w:sz w:val="24"/>
          <w:szCs w:val="24"/>
          <w:vertAlign w:val="subscript"/>
          <w:lang w:val="en-US"/>
        </w:rPr>
        <w:t>1c</w:t>
      </w:r>
      <w:r w:rsidRPr="0063448B">
        <w:rPr>
          <w:sz w:val="24"/>
          <w:szCs w:val="24"/>
          <w:lang w:val="en-US"/>
        </w:rPr>
        <w:t xml:space="preserve"> of 8.09%. Linagliptin also showed significant improvements in fasting plasma glucose (FPG) compared to placebo. The observed incidence of </w:t>
      </w:r>
      <w:proofErr w:type="spellStart"/>
      <w:r w:rsidRPr="0063448B">
        <w:rPr>
          <w:sz w:val="24"/>
          <w:szCs w:val="24"/>
          <w:lang w:val="en-US"/>
        </w:rPr>
        <w:t>hypoglycaemia</w:t>
      </w:r>
      <w:proofErr w:type="spellEnd"/>
      <w:r w:rsidRPr="0063448B">
        <w:rPr>
          <w:sz w:val="24"/>
          <w:szCs w:val="24"/>
          <w:lang w:val="en-US"/>
        </w:rPr>
        <w:t xml:space="preserve"> in patients treated with linagliptin was similar to placebo.</w:t>
      </w:r>
    </w:p>
    <w:p w14:paraId="1870BBA3" w14:textId="77777777" w:rsidR="003A108F" w:rsidRPr="0063448B" w:rsidRDefault="003A108F" w:rsidP="003E0988">
      <w:pPr>
        <w:ind w:left="851"/>
        <w:rPr>
          <w:sz w:val="24"/>
          <w:szCs w:val="24"/>
          <w:u w:val="single" w:color="000000"/>
          <w:lang w:val="en-US"/>
        </w:rPr>
      </w:pPr>
    </w:p>
    <w:p w14:paraId="37DB213A" w14:textId="77777777" w:rsidR="003A108F" w:rsidRPr="0063448B" w:rsidRDefault="003A108F" w:rsidP="003E0988">
      <w:pPr>
        <w:ind w:left="851"/>
        <w:rPr>
          <w:i/>
          <w:sz w:val="24"/>
          <w:szCs w:val="24"/>
          <w:lang w:val="en-US"/>
        </w:rPr>
      </w:pPr>
      <w:r w:rsidRPr="0063448B">
        <w:rPr>
          <w:i/>
          <w:sz w:val="24"/>
          <w:szCs w:val="24"/>
          <w:lang w:val="en-US"/>
        </w:rPr>
        <w:t>Linagliptin as add-on to metformin therapy</w:t>
      </w:r>
    </w:p>
    <w:p w14:paraId="6C966CB5" w14:textId="77777777" w:rsidR="003A108F" w:rsidRPr="0063448B" w:rsidRDefault="003A108F" w:rsidP="003E0988">
      <w:pPr>
        <w:ind w:left="851"/>
        <w:rPr>
          <w:sz w:val="24"/>
          <w:szCs w:val="24"/>
          <w:lang w:val="en-US"/>
        </w:rPr>
      </w:pPr>
      <w:r w:rsidRPr="0063448B">
        <w:rPr>
          <w:sz w:val="24"/>
          <w:szCs w:val="24"/>
          <w:lang w:val="en-US"/>
        </w:rPr>
        <w:t>The efficacy and safety of linagliptin in combination with metformin was evaluated in a double-blind placebo-controlled study of 24 weeks duration. Linagliptin provided significant improvements in HbA</w:t>
      </w:r>
      <w:r w:rsidRPr="0063448B">
        <w:rPr>
          <w:sz w:val="24"/>
          <w:szCs w:val="24"/>
          <w:vertAlign w:val="subscript"/>
          <w:lang w:val="en-US"/>
        </w:rPr>
        <w:t>1c</w:t>
      </w:r>
      <w:r w:rsidRPr="0063448B">
        <w:rPr>
          <w:sz w:val="24"/>
          <w:szCs w:val="24"/>
          <w:lang w:val="en-US"/>
        </w:rPr>
        <w:t>, (-0.64% change compared to placebo), from a mean baseline HbA</w:t>
      </w:r>
      <w:r w:rsidRPr="0063448B">
        <w:rPr>
          <w:sz w:val="24"/>
          <w:szCs w:val="24"/>
          <w:vertAlign w:val="subscript"/>
          <w:lang w:val="en-US"/>
        </w:rPr>
        <w:t>1c</w:t>
      </w:r>
      <w:r w:rsidRPr="0063448B">
        <w:rPr>
          <w:sz w:val="24"/>
          <w:szCs w:val="24"/>
          <w:lang w:val="en-US"/>
        </w:rPr>
        <w:t xml:space="preserve"> of 8%. Linagliptin also showed significant improvements in fasting plasma glucose (FPG), and 2-hour post-prandial glucose (PPG) compared to placebo. The observed incidence of </w:t>
      </w:r>
      <w:proofErr w:type="spellStart"/>
      <w:r w:rsidRPr="0063448B">
        <w:rPr>
          <w:sz w:val="24"/>
          <w:szCs w:val="24"/>
          <w:lang w:val="en-US"/>
        </w:rPr>
        <w:t>hypoglycaemia</w:t>
      </w:r>
      <w:proofErr w:type="spellEnd"/>
      <w:r w:rsidRPr="0063448B">
        <w:rPr>
          <w:sz w:val="24"/>
          <w:szCs w:val="24"/>
          <w:lang w:val="en-US"/>
        </w:rPr>
        <w:t xml:space="preserve"> in patients treated with linagliptin was similar to placebo.</w:t>
      </w:r>
    </w:p>
    <w:p w14:paraId="61D55643" w14:textId="77777777" w:rsidR="003A108F" w:rsidRPr="0063448B" w:rsidRDefault="003A108F" w:rsidP="003E0988">
      <w:pPr>
        <w:ind w:left="851"/>
        <w:rPr>
          <w:sz w:val="24"/>
          <w:szCs w:val="24"/>
          <w:lang w:val="en-US"/>
        </w:rPr>
      </w:pPr>
    </w:p>
    <w:p w14:paraId="505B2194" w14:textId="77777777" w:rsidR="003A108F" w:rsidRPr="0063448B" w:rsidRDefault="003A108F" w:rsidP="003E0988">
      <w:pPr>
        <w:ind w:left="851"/>
        <w:rPr>
          <w:i/>
          <w:sz w:val="24"/>
          <w:szCs w:val="24"/>
          <w:lang w:val="en-US"/>
        </w:rPr>
      </w:pPr>
      <w:r w:rsidRPr="0063448B">
        <w:rPr>
          <w:i/>
          <w:sz w:val="24"/>
          <w:szCs w:val="24"/>
          <w:lang w:val="en-US"/>
        </w:rPr>
        <w:t xml:space="preserve">Linagliptin as add-on to a combination of metformin and </w:t>
      </w:r>
      <w:proofErr w:type="spellStart"/>
      <w:r w:rsidRPr="0063448B">
        <w:rPr>
          <w:i/>
          <w:sz w:val="24"/>
          <w:szCs w:val="24"/>
          <w:lang w:val="en-US"/>
        </w:rPr>
        <w:t>sulphonylurea</w:t>
      </w:r>
      <w:proofErr w:type="spellEnd"/>
      <w:r w:rsidRPr="0063448B">
        <w:rPr>
          <w:i/>
          <w:sz w:val="24"/>
          <w:szCs w:val="24"/>
          <w:lang w:val="en-US"/>
        </w:rPr>
        <w:t xml:space="preserve"> therapy</w:t>
      </w:r>
    </w:p>
    <w:p w14:paraId="5324116B" w14:textId="77777777" w:rsidR="003A108F" w:rsidRPr="0063448B" w:rsidRDefault="003A108F" w:rsidP="003E0988">
      <w:pPr>
        <w:ind w:left="851"/>
        <w:rPr>
          <w:sz w:val="24"/>
          <w:szCs w:val="24"/>
          <w:lang w:val="en-US"/>
        </w:rPr>
      </w:pPr>
      <w:r w:rsidRPr="0063448B">
        <w:rPr>
          <w:sz w:val="24"/>
          <w:szCs w:val="24"/>
          <w:lang w:val="en-US"/>
        </w:rPr>
        <w:t xml:space="preserve">A placebo-controlled study of 24 weeks in duration was conducted to evaluate the efficacy and safety of linagliptin 5 mg to placebo, in patients not sufficiently treated with a combination with metformin and a </w:t>
      </w:r>
      <w:proofErr w:type="spellStart"/>
      <w:r w:rsidRPr="0063448B">
        <w:rPr>
          <w:sz w:val="24"/>
          <w:szCs w:val="24"/>
          <w:lang w:val="en-US"/>
        </w:rPr>
        <w:t>sulphonylurea</w:t>
      </w:r>
      <w:proofErr w:type="spellEnd"/>
      <w:r w:rsidRPr="0063448B">
        <w:rPr>
          <w:sz w:val="24"/>
          <w:szCs w:val="24"/>
          <w:lang w:val="en-US"/>
        </w:rPr>
        <w:t>. Linagliptin provided significant improvements in HbA</w:t>
      </w:r>
      <w:r w:rsidRPr="0063448B">
        <w:rPr>
          <w:sz w:val="24"/>
          <w:szCs w:val="24"/>
          <w:vertAlign w:val="subscript"/>
          <w:lang w:val="en-US"/>
        </w:rPr>
        <w:t>1c</w:t>
      </w:r>
      <w:r w:rsidRPr="0063448B">
        <w:rPr>
          <w:sz w:val="24"/>
          <w:szCs w:val="24"/>
          <w:lang w:val="en-US"/>
        </w:rPr>
        <w:t xml:space="preserve"> (-0.62% change compared to placebo), from a mean baseline HbA</w:t>
      </w:r>
      <w:r w:rsidRPr="0063448B">
        <w:rPr>
          <w:sz w:val="24"/>
          <w:szCs w:val="24"/>
          <w:vertAlign w:val="subscript"/>
          <w:lang w:val="en-US"/>
        </w:rPr>
        <w:t>1c</w:t>
      </w:r>
      <w:r w:rsidRPr="0063448B">
        <w:rPr>
          <w:sz w:val="24"/>
          <w:szCs w:val="24"/>
          <w:lang w:val="en-US"/>
        </w:rPr>
        <w:t xml:space="preserve"> of 8.14%. Linagliptin also showed significant improvements in patients fasting plasma glucose (FPG), and 2-hour post-prandial glucose (PPG), compared to placebo.</w:t>
      </w:r>
    </w:p>
    <w:p w14:paraId="29BD09DE" w14:textId="77777777" w:rsidR="003A108F" w:rsidRPr="0063448B" w:rsidRDefault="003A108F" w:rsidP="003E0988">
      <w:pPr>
        <w:ind w:left="851"/>
        <w:rPr>
          <w:sz w:val="24"/>
          <w:szCs w:val="24"/>
          <w:u w:val="single" w:color="000000"/>
          <w:lang w:val="en-US"/>
        </w:rPr>
      </w:pPr>
    </w:p>
    <w:p w14:paraId="543054E0" w14:textId="77777777" w:rsidR="003A108F" w:rsidRPr="0063448B" w:rsidRDefault="003A108F" w:rsidP="003E0988">
      <w:pPr>
        <w:ind w:left="851"/>
        <w:rPr>
          <w:i/>
          <w:sz w:val="24"/>
          <w:szCs w:val="24"/>
          <w:lang w:val="en-US"/>
        </w:rPr>
      </w:pPr>
      <w:r w:rsidRPr="0063448B">
        <w:rPr>
          <w:i/>
          <w:sz w:val="24"/>
          <w:szCs w:val="24"/>
          <w:lang w:val="en-US"/>
        </w:rPr>
        <w:t>Linagliptin as add-on to a combination of metformin and empagliflozin therapy</w:t>
      </w:r>
    </w:p>
    <w:p w14:paraId="54E64A57" w14:textId="78919FD0" w:rsidR="003A108F" w:rsidRPr="0063448B" w:rsidRDefault="003A108F" w:rsidP="003E0988">
      <w:pPr>
        <w:ind w:left="851"/>
        <w:rPr>
          <w:sz w:val="24"/>
          <w:szCs w:val="24"/>
          <w:lang w:val="en-US"/>
        </w:rPr>
      </w:pPr>
      <w:r w:rsidRPr="0063448B">
        <w:rPr>
          <w:sz w:val="24"/>
          <w:szCs w:val="24"/>
          <w:lang w:val="en-US"/>
        </w:rPr>
        <w:t>In patients inadequately controlled with metformin and empagliflozin (10 mg (n=247) or 25 mg (n=217)), 24-weeks treatment with add-on therapy of linagliptin 5 mg provided adjusted mean HbA</w:t>
      </w:r>
      <w:r w:rsidRPr="0063448B">
        <w:rPr>
          <w:sz w:val="24"/>
          <w:szCs w:val="24"/>
          <w:vertAlign w:val="subscript"/>
          <w:lang w:val="en-US"/>
        </w:rPr>
        <w:t>1c</w:t>
      </w:r>
      <w:r w:rsidRPr="0063448B">
        <w:rPr>
          <w:sz w:val="24"/>
          <w:szCs w:val="24"/>
          <w:lang w:val="en-US"/>
        </w:rPr>
        <w:t xml:space="preserve"> reductions from baseline by -0.53% (significant difference to add-on placebo -0.32% (95% CI -0.52, -0.13) and -0.58% (significant difference to add-on placebo -0.47% (95% CI -0.66; -0.28), respectively. A statistically significant greater proportion of patients with a baseline HbA</w:t>
      </w:r>
      <w:r w:rsidRPr="0063448B">
        <w:rPr>
          <w:sz w:val="24"/>
          <w:szCs w:val="24"/>
          <w:vertAlign w:val="subscript"/>
          <w:lang w:val="en-US"/>
        </w:rPr>
        <w:t>1c</w:t>
      </w:r>
      <w:r w:rsidRPr="0063448B">
        <w:rPr>
          <w:sz w:val="24"/>
          <w:szCs w:val="24"/>
          <w:lang w:val="en-US"/>
        </w:rPr>
        <w:t xml:space="preserve"> ≥7.0% and treated with linagliptin 5 mg achieved a target HbA</w:t>
      </w:r>
      <w:r w:rsidRPr="0063448B">
        <w:rPr>
          <w:sz w:val="24"/>
          <w:szCs w:val="24"/>
          <w:vertAlign w:val="subscript"/>
          <w:lang w:val="en-US"/>
        </w:rPr>
        <w:t>1c</w:t>
      </w:r>
      <w:r w:rsidRPr="0063448B">
        <w:rPr>
          <w:sz w:val="24"/>
          <w:szCs w:val="24"/>
          <w:lang w:val="en-US"/>
        </w:rPr>
        <w:t xml:space="preserve"> of &lt;7% compared to placebo.</w:t>
      </w:r>
    </w:p>
    <w:p w14:paraId="21BEBD81" w14:textId="77777777" w:rsidR="003A108F" w:rsidRPr="0063448B" w:rsidRDefault="003A108F" w:rsidP="003E0988">
      <w:pPr>
        <w:ind w:left="851"/>
        <w:rPr>
          <w:sz w:val="24"/>
          <w:szCs w:val="24"/>
          <w:lang w:val="en-US"/>
        </w:rPr>
      </w:pPr>
    </w:p>
    <w:p w14:paraId="2D78C5CC" w14:textId="77777777" w:rsidR="003A108F" w:rsidRPr="0063448B" w:rsidRDefault="003A108F" w:rsidP="003E0988">
      <w:pPr>
        <w:tabs>
          <w:tab w:val="left" w:pos="1455"/>
        </w:tabs>
        <w:ind w:left="851"/>
        <w:rPr>
          <w:i/>
          <w:sz w:val="24"/>
          <w:szCs w:val="24"/>
          <w:lang w:val="en-US"/>
        </w:rPr>
      </w:pPr>
      <w:r w:rsidRPr="0063448B">
        <w:rPr>
          <w:i/>
          <w:sz w:val="24"/>
          <w:szCs w:val="24"/>
          <w:lang w:val="en-US"/>
        </w:rPr>
        <w:t>Linagliptin as add-on to insulin therapy</w:t>
      </w:r>
    </w:p>
    <w:p w14:paraId="0D48E4FA" w14:textId="77777777" w:rsidR="003A108F" w:rsidRPr="0063448B" w:rsidRDefault="003A108F" w:rsidP="003E0988">
      <w:pPr>
        <w:ind w:left="851"/>
        <w:rPr>
          <w:sz w:val="24"/>
          <w:szCs w:val="24"/>
          <w:lang w:val="en-US"/>
        </w:rPr>
      </w:pPr>
      <w:r w:rsidRPr="0063448B">
        <w:rPr>
          <w:sz w:val="24"/>
          <w:szCs w:val="24"/>
          <w:lang w:val="en-US"/>
        </w:rPr>
        <w:t>The efficacy and safety of the addition of linagliptin 5 mg to insulin alone or in combination with metformin and/or pioglitazone has been evaluated in a double-blind placebo-controlled study of 24 weeks duration. Linagliptin provided significant improvements in HbA</w:t>
      </w:r>
      <w:r w:rsidRPr="0063448B">
        <w:rPr>
          <w:sz w:val="24"/>
          <w:szCs w:val="24"/>
          <w:vertAlign w:val="subscript"/>
          <w:lang w:val="en-US"/>
        </w:rPr>
        <w:t>1c</w:t>
      </w:r>
      <w:r w:rsidRPr="0063448B">
        <w:rPr>
          <w:sz w:val="24"/>
          <w:szCs w:val="24"/>
          <w:lang w:val="en-US"/>
        </w:rPr>
        <w:t xml:space="preserve"> (-0.65% compared to placebo) from a mean baseline HbA</w:t>
      </w:r>
      <w:r w:rsidRPr="0063448B">
        <w:rPr>
          <w:sz w:val="24"/>
          <w:szCs w:val="24"/>
          <w:vertAlign w:val="subscript"/>
          <w:lang w:val="en-US"/>
        </w:rPr>
        <w:t>1c</w:t>
      </w:r>
      <w:r w:rsidRPr="0063448B">
        <w:rPr>
          <w:sz w:val="24"/>
          <w:szCs w:val="24"/>
          <w:lang w:val="en-US"/>
        </w:rPr>
        <w:t xml:space="preserve"> of 8.3%. Linagliptin also provided significant improvements in fasting plasma glucose (FPG), and a greater proportion of patients achieved a target HbA</w:t>
      </w:r>
      <w:r w:rsidRPr="0063448B">
        <w:rPr>
          <w:sz w:val="24"/>
          <w:szCs w:val="24"/>
          <w:vertAlign w:val="subscript"/>
          <w:lang w:val="en-US"/>
        </w:rPr>
        <w:t>1c</w:t>
      </w:r>
      <w:r w:rsidRPr="0063448B">
        <w:rPr>
          <w:sz w:val="24"/>
          <w:szCs w:val="24"/>
          <w:lang w:val="en-US"/>
        </w:rPr>
        <w:t xml:space="preserve"> of &lt; 7.0%, compared to placebo. This was achieved with a stable insulin dose (40.1 IU). Body weight did not differ significantly between the groups. Effects on plasma lipids were negligible. The observed incidence of </w:t>
      </w:r>
      <w:proofErr w:type="spellStart"/>
      <w:r w:rsidRPr="0063448B">
        <w:rPr>
          <w:sz w:val="24"/>
          <w:szCs w:val="24"/>
          <w:lang w:val="en-US"/>
        </w:rPr>
        <w:t>hypoglycaemia</w:t>
      </w:r>
      <w:proofErr w:type="spellEnd"/>
      <w:r w:rsidRPr="0063448B">
        <w:rPr>
          <w:sz w:val="24"/>
          <w:szCs w:val="24"/>
          <w:lang w:val="en-US"/>
        </w:rPr>
        <w:t xml:space="preserve"> in patients treated with linagliptin was similar to placebo (22.2% linagliptin; 21.2% placebo).</w:t>
      </w:r>
    </w:p>
    <w:p w14:paraId="4084F155" w14:textId="05ACE94D" w:rsidR="00BA5DCC" w:rsidRDefault="00BA5DCC">
      <w:pPr>
        <w:rPr>
          <w:sz w:val="24"/>
          <w:szCs w:val="24"/>
          <w:lang w:val="en-US"/>
        </w:rPr>
      </w:pPr>
      <w:r>
        <w:rPr>
          <w:sz w:val="24"/>
          <w:szCs w:val="24"/>
          <w:lang w:val="en-US"/>
        </w:rPr>
        <w:br w:type="page"/>
      </w:r>
    </w:p>
    <w:p w14:paraId="557ED077" w14:textId="77777777" w:rsidR="003A108F" w:rsidRPr="0063448B" w:rsidRDefault="003A108F" w:rsidP="003E0988">
      <w:pPr>
        <w:ind w:left="851"/>
        <w:rPr>
          <w:sz w:val="24"/>
          <w:szCs w:val="24"/>
          <w:lang w:val="en-US"/>
        </w:rPr>
      </w:pPr>
    </w:p>
    <w:p w14:paraId="472B31A8" w14:textId="77777777" w:rsidR="003A108F" w:rsidRPr="0063448B" w:rsidRDefault="003A108F" w:rsidP="003E0988">
      <w:pPr>
        <w:ind w:left="851"/>
        <w:rPr>
          <w:i/>
          <w:sz w:val="24"/>
          <w:szCs w:val="24"/>
          <w:lang w:val="en-US"/>
        </w:rPr>
      </w:pPr>
      <w:r w:rsidRPr="0063448B">
        <w:rPr>
          <w:i/>
          <w:sz w:val="24"/>
          <w:szCs w:val="24"/>
          <w:lang w:val="en-US"/>
        </w:rPr>
        <w:t xml:space="preserve">Linagliptin </w:t>
      </w:r>
      <w:proofErr w:type="gramStart"/>
      <w:r w:rsidRPr="0063448B">
        <w:rPr>
          <w:i/>
          <w:sz w:val="24"/>
          <w:szCs w:val="24"/>
          <w:lang w:val="en-US"/>
        </w:rPr>
        <w:t>24 month</w:t>
      </w:r>
      <w:proofErr w:type="gramEnd"/>
      <w:r w:rsidRPr="0063448B">
        <w:rPr>
          <w:i/>
          <w:sz w:val="24"/>
          <w:szCs w:val="24"/>
          <w:lang w:val="en-US"/>
        </w:rPr>
        <w:t xml:space="preserve"> data, as add-on to metformin in comparison with glimepiride</w:t>
      </w:r>
    </w:p>
    <w:p w14:paraId="5F1CC376" w14:textId="77777777" w:rsidR="003A108F" w:rsidRPr="0063448B" w:rsidRDefault="003A108F" w:rsidP="003E0988">
      <w:pPr>
        <w:ind w:left="851"/>
        <w:rPr>
          <w:sz w:val="24"/>
          <w:szCs w:val="24"/>
          <w:lang w:val="en-US"/>
        </w:rPr>
      </w:pPr>
      <w:r w:rsidRPr="0063448B">
        <w:rPr>
          <w:sz w:val="24"/>
          <w:szCs w:val="24"/>
          <w:lang w:val="en-US"/>
        </w:rPr>
        <w:t xml:space="preserve">In a study comparing the efficacy and safety of the addition of linagliptin 5 mg or glimepiride (mean dose 3 mg) in patients with inadequate </w:t>
      </w:r>
      <w:proofErr w:type="spellStart"/>
      <w:r w:rsidRPr="0063448B">
        <w:rPr>
          <w:sz w:val="24"/>
          <w:szCs w:val="24"/>
          <w:lang w:val="en-US"/>
        </w:rPr>
        <w:t>glycaemic</w:t>
      </w:r>
      <w:proofErr w:type="spellEnd"/>
      <w:r w:rsidRPr="0063448B">
        <w:rPr>
          <w:sz w:val="24"/>
          <w:szCs w:val="24"/>
          <w:lang w:val="en-US"/>
        </w:rPr>
        <w:t xml:space="preserve"> control on metformin monotherapy, mean reductions in HbA</w:t>
      </w:r>
      <w:r w:rsidRPr="0063448B">
        <w:rPr>
          <w:sz w:val="24"/>
          <w:szCs w:val="24"/>
          <w:vertAlign w:val="subscript"/>
          <w:lang w:val="en-US"/>
        </w:rPr>
        <w:t>1c</w:t>
      </w:r>
      <w:r w:rsidRPr="0063448B">
        <w:rPr>
          <w:sz w:val="24"/>
          <w:szCs w:val="24"/>
          <w:lang w:val="en-US"/>
        </w:rPr>
        <w:t xml:space="preserve"> were -0.16% with linagliptin (mean baseline HbA</w:t>
      </w:r>
      <w:r w:rsidRPr="0063448B">
        <w:rPr>
          <w:sz w:val="24"/>
          <w:szCs w:val="24"/>
          <w:vertAlign w:val="subscript"/>
          <w:lang w:val="en-US"/>
        </w:rPr>
        <w:t>1c</w:t>
      </w:r>
      <w:r w:rsidRPr="0063448B">
        <w:rPr>
          <w:sz w:val="24"/>
          <w:szCs w:val="24"/>
          <w:lang w:val="en-US"/>
        </w:rPr>
        <w:t xml:space="preserve"> 7.69%) and -0.36% with glimepiride (mean baseline HbA</w:t>
      </w:r>
      <w:r w:rsidRPr="0063448B">
        <w:rPr>
          <w:sz w:val="24"/>
          <w:szCs w:val="24"/>
          <w:vertAlign w:val="subscript"/>
          <w:lang w:val="en-US"/>
        </w:rPr>
        <w:t>1c</w:t>
      </w:r>
      <w:r w:rsidRPr="0063448B">
        <w:rPr>
          <w:sz w:val="24"/>
          <w:szCs w:val="24"/>
          <w:lang w:val="en-US"/>
        </w:rPr>
        <w:t xml:space="preserve"> 7.69%.) with a mean treatment difference of 0.20% (97.5% CI: 0.09, 0.299).</w:t>
      </w:r>
    </w:p>
    <w:p w14:paraId="6D836001" w14:textId="77777777" w:rsidR="003A108F" w:rsidRPr="0063448B" w:rsidRDefault="003A108F" w:rsidP="003E0988">
      <w:pPr>
        <w:ind w:left="851"/>
        <w:rPr>
          <w:sz w:val="24"/>
          <w:szCs w:val="24"/>
          <w:lang w:val="en-US"/>
        </w:rPr>
      </w:pPr>
      <w:r w:rsidRPr="0063448B">
        <w:rPr>
          <w:sz w:val="24"/>
          <w:szCs w:val="24"/>
          <w:lang w:val="en-US"/>
        </w:rPr>
        <w:t xml:space="preserve">The incidence of </w:t>
      </w:r>
      <w:proofErr w:type="spellStart"/>
      <w:r w:rsidRPr="0063448B">
        <w:rPr>
          <w:sz w:val="24"/>
          <w:szCs w:val="24"/>
          <w:lang w:val="en-US"/>
        </w:rPr>
        <w:t>hypoglycaemia</w:t>
      </w:r>
      <w:proofErr w:type="spellEnd"/>
      <w:r w:rsidRPr="0063448B">
        <w:rPr>
          <w:sz w:val="24"/>
          <w:szCs w:val="24"/>
          <w:lang w:val="en-US"/>
        </w:rPr>
        <w:t xml:space="preserve"> in the linagliptin group (7.5%) was significantly lower than that in the glimepiride group (36.1%). Patients treated with linagliptin exhibited a significant mean decrease from baseline in body weight compared to a significant weight gain in patients administered glimepiride (-1.39 vs +1.29 kg).</w:t>
      </w:r>
    </w:p>
    <w:p w14:paraId="6406F3E8" w14:textId="77777777" w:rsidR="003A108F" w:rsidRPr="0063448B" w:rsidRDefault="003A108F" w:rsidP="003E0988">
      <w:pPr>
        <w:ind w:left="851"/>
        <w:rPr>
          <w:sz w:val="24"/>
          <w:szCs w:val="24"/>
          <w:u w:val="single" w:color="000000"/>
          <w:lang w:val="en-US"/>
        </w:rPr>
      </w:pPr>
    </w:p>
    <w:p w14:paraId="79C7FAB2" w14:textId="77777777" w:rsidR="003A108F" w:rsidRPr="0063448B" w:rsidRDefault="003A108F" w:rsidP="003E0988">
      <w:pPr>
        <w:ind w:left="851"/>
        <w:rPr>
          <w:i/>
          <w:sz w:val="24"/>
          <w:szCs w:val="24"/>
          <w:lang w:val="en-US"/>
        </w:rPr>
      </w:pPr>
      <w:r w:rsidRPr="0063448B">
        <w:rPr>
          <w:i/>
          <w:sz w:val="24"/>
          <w:szCs w:val="24"/>
          <w:lang w:val="en-US"/>
        </w:rPr>
        <w:t xml:space="preserve">Linagliptin as add-on therapy in patients with severe renal impairment, </w:t>
      </w:r>
      <w:proofErr w:type="gramStart"/>
      <w:r w:rsidRPr="0063448B">
        <w:rPr>
          <w:i/>
          <w:sz w:val="24"/>
          <w:szCs w:val="24"/>
          <w:lang w:val="en-US"/>
        </w:rPr>
        <w:t>12 week</w:t>
      </w:r>
      <w:proofErr w:type="gramEnd"/>
      <w:r w:rsidRPr="0063448B">
        <w:rPr>
          <w:i/>
          <w:sz w:val="24"/>
          <w:szCs w:val="24"/>
          <w:lang w:val="en-US"/>
        </w:rPr>
        <w:t xml:space="preserve"> placebo-controlled data (stable background) and 40 week placebo-controlled extension (adjustable background)</w:t>
      </w:r>
    </w:p>
    <w:p w14:paraId="07E982B1" w14:textId="77777777" w:rsidR="003A108F" w:rsidRPr="0063448B" w:rsidRDefault="003A108F" w:rsidP="003E0988">
      <w:pPr>
        <w:ind w:left="851"/>
        <w:rPr>
          <w:sz w:val="24"/>
          <w:szCs w:val="24"/>
          <w:lang w:val="en-US"/>
        </w:rPr>
      </w:pPr>
      <w:r w:rsidRPr="0063448B">
        <w:rPr>
          <w:sz w:val="24"/>
          <w:szCs w:val="24"/>
          <w:lang w:val="en-US"/>
        </w:rPr>
        <w:t xml:space="preserve">The efficacy and safety of linagliptin was also evaluated in type 2 diabetes patients with severe renal impairment in a double-blind study versus placebo for 12 weeks duration, during which background </w:t>
      </w:r>
      <w:proofErr w:type="spellStart"/>
      <w:r w:rsidRPr="0063448B">
        <w:rPr>
          <w:sz w:val="24"/>
          <w:szCs w:val="24"/>
          <w:lang w:val="en-US"/>
        </w:rPr>
        <w:t>glycaemic</w:t>
      </w:r>
      <w:proofErr w:type="spellEnd"/>
      <w:r w:rsidRPr="0063448B">
        <w:rPr>
          <w:sz w:val="24"/>
          <w:szCs w:val="24"/>
          <w:lang w:val="en-US"/>
        </w:rPr>
        <w:t xml:space="preserve"> therapies were kept stable. Most patients (80.5%) received insulin as background therapy, alone or in combination with other oral anti-diabetics such as </w:t>
      </w:r>
      <w:proofErr w:type="spellStart"/>
      <w:r w:rsidRPr="0063448B">
        <w:rPr>
          <w:sz w:val="24"/>
          <w:szCs w:val="24"/>
          <w:lang w:val="en-US"/>
        </w:rPr>
        <w:t>sulphonylurea</w:t>
      </w:r>
      <w:proofErr w:type="spellEnd"/>
      <w:r w:rsidRPr="0063448B">
        <w:rPr>
          <w:sz w:val="24"/>
          <w:szCs w:val="24"/>
          <w:lang w:val="en-US"/>
        </w:rPr>
        <w:t xml:space="preserve">, glinide and pioglitazone. There was a further follow up </w:t>
      </w:r>
      <w:proofErr w:type="gramStart"/>
      <w:r w:rsidRPr="0063448B">
        <w:rPr>
          <w:sz w:val="24"/>
          <w:szCs w:val="24"/>
          <w:lang w:val="en-US"/>
        </w:rPr>
        <w:t>40 week</w:t>
      </w:r>
      <w:proofErr w:type="gramEnd"/>
      <w:r w:rsidRPr="0063448B">
        <w:rPr>
          <w:sz w:val="24"/>
          <w:szCs w:val="24"/>
          <w:lang w:val="en-US"/>
        </w:rPr>
        <w:t xml:space="preserve"> treatment period during which dose adjustments in </w:t>
      </w:r>
      <w:proofErr w:type="spellStart"/>
      <w:r w:rsidRPr="0063448B">
        <w:rPr>
          <w:sz w:val="24"/>
          <w:szCs w:val="24"/>
          <w:lang w:val="en-US"/>
        </w:rPr>
        <w:t>antidiabetes</w:t>
      </w:r>
      <w:proofErr w:type="spellEnd"/>
      <w:r w:rsidRPr="0063448B">
        <w:rPr>
          <w:sz w:val="24"/>
          <w:szCs w:val="24"/>
          <w:lang w:val="en-US"/>
        </w:rPr>
        <w:t xml:space="preserve"> background therapies were allowed.</w:t>
      </w:r>
    </w:p>
    <w:p w14:paraId="244775E0" w14:textId="77777777" w:rsidR="003A108F" w:rsidRPr="0063448B" w:rsidRDefault="003A108F" w:rsidP="003E0988">
      <w:pPr>
        <w:ind w:left="851"/>
        <w:rPr>
          <w:sz w:val="24"/>
          <w:szCs w:val="24"/>
          <w:lang w:val="en-US"/>
        </w:rPr>
      </w:pPr>
    </w:p>
    <w:p w14:paraId="6481E757" w14:textId="77777777" w:rsidR="003A108F" w:rsidRPr="0063448B" w:rsidRDefault="003A108F" w:rsidP="003E0988">
      <w:pPr>
        <w:ind w:left="851"/>
        <w:rPr>
          <w:sz w:val="24"/>
          <w:szCs w:val="24"/>
          <w:lang w:val="en-US"/>
        </w:rPr>
      </w:pPr>
      <w:r w:rsidRPr="0063448B">
        <w:rPr>
          <w:sz w:val="24"/>
          <w:szCs w:val="24"/>
          <w:lang w:val="en-US"/>
        </w:rPr>
        <w:t>Linagliptin provided significant improvements in HbA</w:t>
      </w:r>
      <w:r w:rsidRPr="0063448B">
        <w:rPr>
          <w:sz w:val="24"/>
          <w:szCs w:val="24"/>
          <w:vertAlign w:val="subscript"/>
          <w:lang w:val="en-US"/>
        </w:rPr>
        <w:t>1c</w:t>
      </w:r>
      <w:r w:rsidRPr="0063448B">
        <w:rPr>
          <w:sz w:val="24"/>
          <w:szCs w:val="24"/>
          <w:lang w:val="en-US"/>
        </w:rPr>
        <w:t xml:space="preserve"> (-0.59 % change compared to placebo after 12 weeks), from a mean baseline HbA</w:t>
      </w:r>
      <w:r w:rsidRPr="0063448B">
        <w:rPr>
          <w:sz w:val="24"/>
          <w:szCs w:val="24"/>
          <w:vertAlign w:val="subscript"/>
          <w:lang w:val="en-US"/>
        </w:rPr>
        <w:t>1c</w:t>
      </w:r>
      <w:r w:rsidRPr="0063448B">
        <w:rPr>
          <w:sz w:val="24"/>
          <w:szCs w:val="24"/>
          <w:lang w:val="en-US"/>
        </w:rPr>
        <w:t xml:space="preserve"> of 8.2%. The observed difference in HbA</w:t>
      </w:r>
      <w:r w:rsidRPr="0063448B">
        <w:rPr>
          <w:sz w:val="24"/>
          <w:szCs w:val="24"/>
          <w:vertAlign w:val="subscript"/>
          <w:lang w:val="en-US"/>
        </w:rPr>
        <w:t>1c</w:t>
      </w:r>
      <w:r w:rsidRPr="0063448B">
        <w:rPr>
          <w:sz w:val="24"/>
          <w:szCs w:val="24"/>
          <w:lang w:val="en-US"/>
        </w:rPr>
        <w:t xml:space="preserve"> over placebo was - 0.72% after 52 weeks.</w:t>
      </w:r>
    </w:p>
    <w:p w14:paraId="6694F40E" w14:textId="77777777" w:rsidR="003A108F" w:rsidRPr="0063448B" w:rsidRDefault="003A108F" w:rsidP="003E0988">
      <w:pPr>
        <w:ind w:left="851"/>
        <w:rPr>
          <w:sz w:val="24"/>
          <w:szCs w:val="24"/>
          <w:lang w:val="en-US"/>
        </w:rPr>
      </w:pPr>
    </w:p>
    <w:p w14:paraId="7B63BC29" w14:textId="77777777" w:rsidR="003A108F" w:rsidRPr="0063448B" w:rsidRDefault="003A108F" w:rsidP="003E0988">
      <w:pPr>
        <w:ind w:left="851"/>
        <w:rPr>
          <w:sz w:val="24"/>
          <w:szCs w:val="24"/>
          <w:lang w:val="en-US"/>
        </w:rPr>
      </w:pPr>
      <w:r w:rsidRPr="0063448B">
        <w:rPr>
          <w:sz w:val="24"/>
          <w:szCs w:val="24"/>
          <w:lang w:val="en-US"/>
        </w:rPr>
        <w:t xml:space="preserve">Body weight did not differ significantly between the groups. The observed incidence of </w:t>
      </w:r>
      <w:proofErr w:type="spellStart"/>
      <w:r w:rsidRPr="0063448B">
        <w:rPr>
          <w:sz w:val="24"/>
          <w:szCs w:val="24"/>
          <w:lang w:val="en-US"/>
        </w:rPr>
        <w:t>hypoglycaemia</w:t>
      </w:r>
      <w:proofErr w:type="spellEnd"/>
      <w:r w:rsidRPr="0063448B">
        <w:rPr>
          <w:sz w:val="24"/>
          <w:szCs w:val="24"/>
          <w:lang w:val="en-US"/>
        </w:rPr>
        <w:t xml:space="preserve"> in patients treated with linagliptin was higher than placebo, due to an increase in asymptomatic </w:t>
      </w:r>
      <w:proofErr w:type="spellStart"/>
      <w:r w:rsidRPr="0063448B">
        <w:rPr>
          <w:sz w:val="24"/>
          <w:szCs w:val="24"/>
          <w:lang w:val="en-US"/>
        </w:rPr>
        <w:t>hypoglycaemic</w:t>
      </w:r>
      <w:proofErr w:type="spellEnd"/>
      <w:r w:rsidRPr="0063448B">
        <w:rPr>
          <w:sz w:val="24"/>
          <w:szCs w:val="24"/>
          <w:lang w:val="en-US"/>
        </w:rPr>
        <w:t xml:space="preserve"> events. There was no difference between groups in severe </w:t>
      </w:r>
      <w:proofErr w:type="spellStart"/>
      <w:r w:rsidRPr="0063448B">
        <w:rPr>
          <w:sz w:val="24"/>
          <w:szCs w:val="24"/>
          <w:lang w:val="en-US"/>
        </w:rPr>
        <w:t>hypoglycaemic</w:t>
      </w:r>
      <w:proofErr w:type="spellEnd"/>
      <w:r w:rsidRPr="0063448B">
        <w:rPr>
          <w:sz w:val="24"/>
          <w:szCs w:val="24"/>
          <w:lang w:val="en-US"/>
        </w:rPr>
        <w:t xml:space="preserve"> events.</w:t>
      </w:r>
    </w:p>
    <w:p w14:paraId="3C36737F" w14:textId="77777777" w:rsidR="003A108F" w:rsidRPr="0063448B" w:rsidRDefault="003A108F" w:rsidP="003E0988">
      <w:pPr>
        <w:ind w:left="851"/>
        <w:rPr>
          <w:sz w:val="24"/>
          <w:szCs w:val="24"/>
          <w:lang w:val="en-US"/>
        </w:rPr>
      </w:pPr>
    </w:p>
    <w:p w14:paraId="0FF999B2" w14:textId="77777777" w:rsidR="003A108F" w:rsidRPr="0063448B" w:rsidRDefault="003A108F" w:rsidP="003E0988">
      <w:pPr>
        <w:ind w:left="851"/>
        <w:rPr>
          <w:i/>
          <w:sz w:val="24"/>
          <w:szCs w:val="24"/>
          <w:lang w:val="en-US"/>
        </w:rPr>
      </w:pPr>
      <w:r w:rsidRPr="0063448B">
        <w:rPr>
          <w:i/>
          <w:sz w:val="24"/>
          <w:szCs w:val="24"/>
          <w:lang w:val="en-US"/>
        </w:rPr>
        <w:t xml:space="preserve">Linagliptin as add-on therapy in elderly (age </w:t>
      </w:r>
      <w:r w:rsidRPr="0063448B">
        <w:rPr>
          <w:sz w:val="24"/>
          <w:szCs w:val="24"/>
          <w:lang w:val="en-US"/>
        </w:rPr>
        <w:t xml:space="preserve">≥ </w:t>
      </w:r>
      <w:r w:rsidRPr="0063448B">
        <w:rPr>
          <w:i/>
          <w:sz w:val="24"/>
          <w:szCs w:val="24"/>
          <w:lang w:val="en-US"/>
        </w:rPr>
        <w:t>70 years) with type 2 diabetes</w:t>
      </w:r>
    </w:p>
    <w:p w14:paraId="7589EADF" w14:textId="77777777" w:rsidR="003A108F" w:rsidRPr="0063448B" w:rsidRDefault="003A108F" w:rsidP="003E0988">
      <w:pPr>
        <w:ind w:left="851"/>
        <w:rPr>
          <w:sz w:val="24"/>
          <w:szCs w:val="24"/>
          <w:lang w:val="en-US"/>
        </w:rPr>
      </w:pPr>
      <w:r w:rsidRPr="0063448B">
        <w:rPr>
          <w:sz w:val="24"/>
          <w:szCs w:val="24"/>
          <w:lang w:val="en-US"/>
        </w:rPr>
        <w:t xml:space="preserve">The efficacy and safety of linagliptin in elderly (age ≥ 70years) with type 2 diabetes was evaluated in a double-blind study of 24 weeks duration. Patients received metformin and/or </w:t>
      </w:r>
      <w:proofErr w:type="spellStart"/>
      <w:r w:rsidRPr="0063448B">
        <w:rPr>
          <w:sz w:val="24"/>
          <w:szCs w:val="24"/>
          <w:lang w:val="en-US"/>
        </w:rPr>
        <w:t>sulphonylurea</w:t>
      </w:r>
      <w:proofErr w:type="spellEnd"/>
      <w:r w:rsidRPr="0063448B">
        <w:rPr>
          <w:sz w:val="24"/>
          <w:szCs w:val="24"/>
          <w:lang w:val="en-US"/>
        </w:rPr>
        <w:t xml:space="preserve"> and/or insulin as background therapy. Doses of background antidiabetic medicinal products were kept stable during the first 12 weeks, after which adjustments were permitted. Linagliptin provided significant improvements in HbA</w:t>
      </w:r>
      <w:r w:rsidRPr="0063448B">
        <w:rPr>
          <w:sz w:val="24"/>
          <w:szCs w:val="24"/>
          <w:vertAlign w:val="subscript"/>
          <w:lang w:val="en-US"/>
        </w:rPr>
        <w:t>1c</w:t>
      </w:r>
      <w:r w:rsidRPr="0063448B">
        <w:rPr>
          <w:sz w:val="24"/>
          <w:szCs w:val="24"/>
          <w:lang w:val="en-US"/>
        </w:rPr>
        <w:t xml:space="preserve"> (-0.64 % change compared to placebo after 24 weeks), from a mean baseline HbA</w:t>
      </w:r>
      <w:r w:rsidRPr="0063448B">
        <w:rPr>
          <w:sz w:val="24"/>
          <w:szCs w:val="24"/>
          <w:vertAlign w:val="subscript"/>
          <w:lang w:val="en-US"/>
        </w:rPr>
        <w:t>1c</w:t>
      </w:r>
      <w:r w:rsidRPr="0063448B">
        <w:rPr>
          <w:sz w:val="24"/>
          <w:szCs w:val="24"/>
          <w:lang w:val="en-US"/>
        </w:rPr>
        <w:t xml:space="preserve"> of 7.8%. Linagliptin also showed significant improvements in fasting plasma glucose (FPG) compared to placebo. Body weight did not differ significantly between the groups.</w:t>
      </w:r>
    </w:p>
    <w:p w14:paraId="47046978" w14:textId="77777777" w:rsidR="003A108F" w:rsidRPr="0063448B" w:rsidRDefault="003A108F" w:rsidP="003E0988">
      <w:pPr>
        <w:ind w:left="851"/>
        <w:rPr>
          <w:sz w:val="24"/>
          <w:szCs w:val="24"/>
          <w:lang w:val="en-US"/>
        </w:rPr>
      </w:pPr>
    </w:p>
    <w:p w14:paraId="0F4EEF32" w14:textId="77777777" w:rsidR="003A108F" w:rsidRPr="0063448B" w:rsidRDefault="003A108F" w:rsidP="003E0988">
      <w:pPr>
        <w:ind w:left="851"/>
        <w:rPr>
          <w:i/>
          <w:sz w:val="24"/>
          <w:szCs w:val="24"/>
          <w:lang w:val="en-US"/>
        </w:rPr>
      </w:pPr>
      <w:r w:rsidRPr="0063448B">
        <w:rPr>
          <w:i/>
          <w:sz w:val="24"/>
          <w:szCs w:val="24"/>
          <w:lang w:val="en-US"/>
        </w:rPr>
        <w:t>Linagliptin cardiovascular and renal safety study (CARMELINA)</w:t>
      </w:r>
    </w:p>
    <w:p w14:paraId="623B1965" w14:textId="77777777" w:rsidR="003A108F" w:rsidRPr="0063448B" w:rsidRDefault="003A108F" w:rsidP="003E0988">
      <w:pPr>
        <w:ind w:left="851"/>
        <w:rPr>
          <w:sz w:val="24"/>
          <w:szCs w:val="24"/>
          <w:lang w:val="en-US"/>
        </w:rPr>
      </w:pPr>
      <w:r w:rsidRPr="0063448B">
        <w:rPr>
          <w:sz w:val="24"/>
          <w:szCs w:val="24"/>
          <w:lang w:val="en-US"/>
        </w:rPr>
        <w:t>CARMELINA was a randomized study in 6979 patients with type 2 diabetes with increased CV risk evidenced by a history of established macrovascular or renal disease who were treated with linagliptin 5 mg (3494) or placebo (3485) added to standard of care targeting regional standards for HbA</w:t>
      </w:r>
      <w:r w:rsidRPr="0063448B">
        <w:rPr>
          <w:sz w:val="24"/>
          <w:szCs w:val="24"/>
          <w:vertAlign w:val="subscript"/>
          <w:lang w:val="en-US"/>
        </w:rPr>
        <w:t>1c</w:t>
      </w:r>
      <w:r w:rsidRPr="0063448B">
        <w:rPr>
          <w:sz w:val="24"/>
          <w:szCs w:val="24"/>
          <w:lang w:val="en-US"/>
        </w:rPr>
        <w:t>, CV risk factors and renal disease. The study population included 1211 (17.4%) patients ≥ 75 years of age and 4348 (62.3%) patients with renal impairment. Approximately 19% of the population had eGFR</w:t>
      </w:r>
    </w:p>
    <w:p w14:paraId="104A156E" w14:textId="77777777" w:rsidR="003A108F" w:rsidRPr="0063448B" w:rsidRDefault="003A108F" w:rsidP="003E0988">
      <w:pPr>
        <w:ind w:left="851"/>
        <w:rPr>
          <w:sz w:val="24"/>
          <w:szCs w:val="24"/>
          <w:lang w:val="en-US"/>
        </w:rPr>
      </w:pPr>
      <w:r w:rsidRPr="0063448B">
        <w:rPr>
          <w:sz w:val="24"/>
          <w:szCs w:val="24"/>
          <w:lang w:val="en-US"/>
        </w:rPr>
        <w:t>≥45 to &lt;60 mL/min/1.73 m</w:t>
      </w:r>
      <w:r w:rsidRPr="0063448B">
        <w:rPr>
          <w:sz w:val="24"/>
          <w:szCs w:val="24"/>
          <w:vertAlign w:val="superscript"/>
          <w:lang w:val="en-US"/>
        </w:rPr>
        <w:t>2</w:t>
      </w:r>
      <w:r w:rsidRPr="0063448B">
        <w:rPr>
          <w:sz w:val="24"/>
          <w:szCs w:val="24"/>
          <w:lang w:val="en-US"/>
        </w:rPr>
        <w:t>, 28% of the population had eGFR ≥30 to &lt;45 mL/min/1.73 m</w:t>
      </w:r>
      <w:r w:rsidRPr="0063448B">
        <w:rPr>
          <w:sz w:val="24"/>
          <w:szCs w:val="24"/>
          <w:vertAlign w:val="superscript"/>
          <w:lang w:val="en-US"/>
        </w:rPr>
        <w:t>2</w:t>
      </w:r>
      <w:r w:rsidRPr="0063448B">
        <w:rPr>
          <w:sz w:val="24"/>
          <w:szCs w:val="24"/>
          <w:lang w:val="en-US"/>
        </w:rPr>
        <w:t xml:space="preserve"> and 15% had eGFR &lt; 30 mL/min/1.73 m</w:t>
      </w:r>
      <w:r w:rsidRPr="0063448B">
        <w:rPr>
          <w:sz w:val="24"/>
          <w:szCs w:val="24"/>
          <w:vertAlign w:val="superscript"/>
          <w:lang w:val="en-US"/>
        </w:rPr>
        <w:t>2</w:t>
      </w:r>
      <w:r w:rsidRPr="0063448B">
        <w:rPr>
          <w:sz w:val="24"/>
          <w:szCs w:val="24"/>
          <w:lang w:val="en-US"/>
        </w:rPr>
        <w:t>. The mean HbA</w:t>
      </w:r>
      <w:r w:rsidRPr="0063448B">
        <w:rPr>
          <w:sz w:val="24"/>
          <w:szCs w:val="24"/>
          <w:vertAlign w:val="subscript"/>
          <w:lang w:val="en-US"/>
        </w:rPr>
        <w:t>1c</w:t>
      </w:r>
      <w:r w:rsidRPr="0063448B">
        <w:rPr>
          <w:sz w:val="24"/>
          <w:szCs w:val="24"/>
          <w:lang w:val="en-US"/>
        </w:rPr>
        <w:t xml:space="preserve"> at baseline was 8.0%.</w:t>
      </w:r>
    </w:p>
    <w:p w14:paraId="0524D95B" w14:textId="77777777" w:rsidR="003A108F" w:rsidRPr="0063448B" w:rsidRDefault="003A108F" w:rsidP="003E0988">
      <w:pPr>
        <w:ind w:left="851"/>
        <w:rPr>
          <w:sz w:val="24"/>
          <w:szCs w:val="24"/>
          <w:lang w:val="en-US"/>
        </w:rPr>
      </w:pPr>
    </w:p>
    <w:p w14:paraId="71B33AF8" w14:textId="77777777" w:rsidR="003A108F" w:rsidRPr="0063448B" w:rsidRDefault="003A108F" w:rsidP="003E0988">
      <w:pPr>
        <w:ind w:left="851"/>
        <w:rPr>
          <w:sz w:val="24"/>
          <w:szCs w:val="24"/>
          <w:lang w:val="en-US"/>
        </w:rPr>
      </w:pPr>
      <w:r w:rsidRPr="0063448B">
        <w:rPr>
          <w:sz w:val="24"/>
          <w:szCs w:val="24"/>
          <w:lang w:val="en-US"/>
        </w:rPr>
        <w:t>The study was designed to demonstrate non-inferiority for the primary cardiovascular endpoint which was a composite of the first occurrence of cardiovascular death or a non-fatal myocardial infarction (MI) or a non-fatal stroke (3P-MACE). The renal composite endpoint was defined as renal death or sustained end stage renal disease or sustained decrease of 40% or more in eGFR.</w:t>
      </w:r>
    </w:p>
    <w:p w14:paraId="03EA1DCE" w14:textId="77777777" w:rsidR="003A108F" w:rsidRPr="0063448B" w:rsidRDefault="003A108F" w:rsidP="003E0988">
      <w:pPr>
        <w:ind w:left="851"/>
        <w:rPr>
          <w:sz w:val="24"/>
          <w:szCs w:val="24"/>
          <w:lang w:val="en-US"/>
        </w:rPr>
      </w:pPr>
    </w:p>
    <w:p w14:paraId="478615EB" w14:textId="77777777" w:rsidR="003A108F" w:rsidRPr="0063448B" w:rsidRDefault="003A108F" w:rsidP="003E0988">
      <w:pPr>
        <w:ind w:left="851"/>
        <w:rPr>
          <w:sz w:val="24"/>
          <w:szCs w:val="24"/>
          <w:lang w:val="en-US"/>
        </w:rPr>
      </w:pPr>
      <w:r w:rsidRPr="0063448B">
        <w:rPr>
          <w:sz w:val="24"/>
          <w:szCs w:val="24"/>
          <w:lang w:val="en-US"/>
        </w:rPr>
        <w:t>After a median follow up of 2.2 years, linagliptin, when added to usual care, did not increase the risk of major adverse cardiovascular events or renal outcome events. There was no increased risk in hospitalization for heart failure which was an additional adjudicated endpoint observed compared to usual care without linagliptin in patients with type 2 diabetes (see table 2).</w:t>
      </w:r>
    </w:p>
    <w:p w14:paraId="7E03A70B" w14:textId="77777777" w:rsidR="003A108F" w:rsidRPr="0063448B" w:rsidRDefault="003A108F" w:rsidP="003E0988">
      <w:pPr>
        <w:ind w:left="851"/>
        <w:rPr>
          <w:sz w:val="24"/>
          <w:szCs w:val="24"/>
          <w:lang w:val="en-US"/>
        </w:rPr>
      </w:pPr>
    </w:p>
    <w:p w14:paraId="6D2C468E" w14:textId="77777777" w:rsidR="003A108F" w:rsidRPr="0063448B" w:rsidRDefault="003A108F" w:rsidP="004E7E1B">
      <w:pPr>
        <w:ind w:left="851" w:hanging="851"/>
        <w:rPr>
          <w:sz w:val="24"/>
          <w:szCs w:val="24"/>
          <w:lang w:val="en-US"/>
        </w:rPr>
      </w:pPr>
      <w:r w:rsidRPr="0063448B">
        <w:rPr>
          <w:sz w:val="24"/>
          <w:szCs w:val="24"/>
          <w:lang w:val="en-US"/>
        </w:rPr>
        <w:t>Table 2</w:t>
      </w:r>
      <w:r w:rsidRPr="0063448B">
        <w:rPr>
          <w:sz w:val="24"/>
          <w:szCs w:val="24"/>
          <w:lang w:val="en-US"/>
        </w:rPr>
        <w:tab/>
        <w:t>Cardiovascular and renal outcomes by treatment group in the CARMELINA study</w:t>
      </w:r>
    </w:p>
    <w:p w14:paraId="569BB5A3" w14:textId="77777777" w:rsidR="003A108F" w:rsidRPr="0063448B" w:rsidRDefault="003A108F" w:rsidP="003A108F">
      <w:pPr>
        <w:rPr>
          <w:sz w:val="24"/>
          <w:szCs w:val="24"/>
          <w:lang w:val="en-US"/>
        </w:rPr>
      </w:pPr>
    </w:p>
    <w:tbl>
      <w:tblPr>
        <w:tblStyle w:val="Tabel-Gitter"/>
        <w:tblW w:w="5000" w:type="pct"/>
        <w:tblInd w:w="0" w:type="dxa"/>
        <w:tblLook w:val="04A0" w:firstRow="1" w:lastRow="0" w:firstColumn="1" w:lastColumn="0" w:noHBand="0" w:noVBand="1"/>
      </w:tblPr>
      <w:tblGrid>
        <w:gridCol w:w="2070"/>
        <w:gridCol w:w="1481"/>
        <w:gridCol w:w="1631"/>
        <w:gridCol w:w="1481"/>
        <w:gridCol w:w="1631"/>
        <w:gridCol w:w="1334"/>
      </w:tblGrid>
      <w:tr w:rsidR="003A108F" w:rsidRPr="0063448B" w14:paraId="645D23DD" w14:textId="77777777" w:rsidTr="003E0988">
        <w:tc>
          <w:tcPr>
            <w:tcW w:w="1075" w:type="pct"/>
            <w:tcBorders>
              <w:top w:val="single" w:sz="4" w:space="0" w:color="auto"/>
              <w:left w:val="single" w:sz="4" w:space="0" w:color="auto"/>
              <w:bottom w:val="single" w:sz="4" w:space="0" w:color="auto"/>
              <w:right w:val="single" w:sz="4" w:space="0" w:color="auto"/>
            </w:tcBorders>
          </w:tcPr>
          <w:p w14:paraId="2E941864" w14:textId="77777777" w:rsidR="003A108F" w:rsidRPr="0063448B" w:rsidRDefault="003A108F">
            <w:pPr>
              <w:rPr>
                <w:sz w:val="24"/>
                <w:szCs w:val="24"/>
                <w:lang w:val="en-US"/>
              </w:rPr>
            </w:pPr>
          </w:p>
        </w:tc>
        <w:tc>
          <w:tcPr>
            <w:tcW w:w="1616" w:type="pct"/>
            <w:gridSpan w:val="2"/>
            <w:tcBorders>
              <w:top w:val="single" w:sz="4" w:space="0" w:color="auto"/>
              <w:left w:val="single" w:sz="4" w:space="0" w:color="auto"/>
              <w:bottom w:val="single" w:sz="4" w:space="0" w:color="auto"/>
              <w:right w:val="single" w:sz="4" w:space="0" w:color="auto"/>
            </w:tcBorders>
            <w:hideMark/>
          </w:tcPr>
          <w:p w14:paraId="02787692" w14:textId="77777777" w:rsidR="003A108F" w:rsidRPr="0063448B" w:rsidRDefault="003A108F">
            <w:pPr>
              <w:jc w:val="center"/>
              <w:rPr>
                <w:sz w:val="24"/>
                <w:szCs w:val="24"/>
                <w:lang w:val="en-US"/>
              </w:rPr>
            </w:pPr>
            <w:r w:rsidRPr="0063448B">
              <w:rPr>
                <w:b/>
                <w:sz w:val="24"/>
                <w:szCs w:val="24"/>
                <w:lang w:val="en-US"/>
              </w:rPr>
              <w:t>Linagliptin 5mg</w:t>
            </w:r>
          </w:p>
        </w:tc>
        <w:tc>
          <w:tcPr>
            <w:tcW w:w="1616" w:type="pct"/>
            <w:gridSpan w:val="2"/>
            <w:tcBorders>
              <w:top w:val="single" w:sz="4" w:space="0" w:color="auto"/>
              <w:left w:val="single" w:sz="4" w:space="0" w:color="auto"/>
              <w:bottom w:val="single" w:sz="4" w:space="0" w:color="auto"/>
              <w:right w:val="single" w:sz="4" w:space="0" w:color="auto"/>
            </w:tcBorders>
            <w:hideMark/>
          </w:tcPr>
          <w:p w14:paraId="62696207" w14:textId="77777777" w:rsidR="003A108F" w:rsidRPr="0063448B" w:rsidRDefault="003A108F">
            <w:pPr>
              <w:jc w:val="center"/>
              <w:rPr>
                <w:sz w:val="24"/>
                <w:szCs w:val="24"/>
                <w:lang w:val="en-US"/>
              </w:rPr>
            </w:pPr>
            <w:r w:rsidRPr="0063448B">
              <w:rPr>
                <w:b/>
                <w:sz w:val="24"/>
                <w:szCs w:val="24"/>
                <w:lang w:val="en-US"/>
              </w:rPr>
              <w:t>Placebo</w:t>
            </w:r>
          </w:p>
        </w:tc>
        <w:tc>
          <w:tcPr>
            <w:tcW w:w="693" w:type="pct"/>
            <w:tcBorders>
              <w:top w:val="single" w:sz="4" w:space="0" w:color="auto"/>
              <w:left w:val="single" w:sz="4" w:space="0" w:color="auto"/>
              <w:bottom w:val="single" w:sz="4" w:space="0" w:color="auto"/>
              <w:right w:val="single" w:sz="4" w:space="0" w:color="auto"/>
            </w:tcBorders>
            <w:hideMark/>
          </w:tcPr>
          <w:p w14:paraId="7FE2A013" w14:textId="77777777" w:rsidR="003A108F" w:rsidRPr="0063448B" w:rsidRDefault="003A108F">
            <w:pPr>
              <w:jc w:val="center"/>
              <w:rPr>
                <w:b/>
                <w:sz w:val="24"/>
                <w:szCs w:val="24"/>
                <w:lang w:val="en-US"/>
              </w:rPr>
            </w:pPr>
            <w:r w:rsidRPr="0063448B">
              <w:rPr>
                <w:b/>
                <w:sz w:val="24"/>
                <w:szCs w:val="24"/>
                <w:lang w:val="en-US"/>
              </w:rPr>
              <w:t>Hazard</w:t>
            </w:r>
          </w:p>
          <w:p w14:paraId="34240193" w14:textId="77777777" w:rsidR="003A108F" w:rsidRPr="0063448B" w:rsidRDefault="003A108F">
            <w:pPr>
              <w:jc w:val="center"/>
              <w:rPr>
                <w:sz w:val="24"/>
                <w:szCs w:val="24"/>
                <w:lang w:val="en-US"/>
              </w:rPr>
            </w:pPr>
            <w:r w:rsidRPr="0063448B">
              <w:rPr>
                <w:b/>
                <w:sz w:val="24"/>
                <w:szCs w:val="24"/>
                <w:lang w:val="en-US"/>
              </w:rPr>
              <w:t>Ratio</w:t>
            </w:r>
          </w:p>
        </w:tc>
      </w:tr>
      <w:tr w:rsidR="003A108F" w:rsidRPr="0063448B" w14:paraId="6323BCA2" w14:textId="77777777" w:rsidTr="003E0988">
        <w:tc>
          <w:tcPr>
            <w:tcW w:w="1075" w:type="pct"/>
            <w:tcBorders>
              <w:top w:val="single" w:sz="4" w:space="0" w:color="auto"/>
              <w:left w:val="single" w:sz="4" w:space="0" w:color="auto"/>
              <w:bottom w:val="single" w:sz="4" w:space="0" w:color="auto"/>
              <w:right w:val="single" w:sz="4" w:space="0" w:color="auto"/>
            </w:tcBorders>
          </w:tcPr>
          <w:p w14:paraId="6435CFB7" w14:textId="77777777" w:rsidR="003A108F" w:rsidRPr="0063448B" w:rsidRDefault="003A108F">
            <w:pPr>
              <w:rPr>
                <w:sz w:val="24"/>
                <w:szCs w:val="24"/>
                <w:lang w:val="en-US"/>
              </w:rPr>
            </w:pPr>
          </w:p>
        </w:tc>
        <w:tc>
          <w:tcPr>
            <w:tcW w:w="769" w:type="pct"/>
            <w:tcBorders>
              <w:top w:val="single" w:sz="4" w:space="0" w:color="auto"/>
              <w:left w:val="single" w:sz="4" w:space="0" w:color="auto"/>
              <w:bottom w:val="single" w:sz="4" w:space="0" w:color="auto"/>
              <w:right w:val="single" w:sz="4" w:space="0" w:color="auto"/>
            </w:tcBorders>
            <w:hideMark/>
          </w:tcPr>
          <w:p w14:paraId="7F6E9809" w14:textId="77777777" w:rsidR="003A108F" w:rsidRPr="0063448B" w:rsidRDefault="003A108F">
            <w:pPr>
              <w:jc w:val="center"/>
              <w:rPr>
                <w:sz w:val="24"/>
                <w:szCs w:val="24"/>
                <w:lang w:val="en-US"/>
              </w:rPr>
            </w:pPr>
            <w:r w:rsidRPr="0063448B">
              <w:rPr>
                <w:sz w:val="24"/>
                <w:szCs w:val="24"/>
                <w:lang w:val="en-US"/>
              </w:rPr>
              <w:t>Number of Subjects (%)</w:t>
            </w:r>
          </w:p>
        </w:tc>
        <w:tc>
          <w:tcPr>
            <w:tcW w:w="847" w:type="pct"/>
            <w:tcBorders>
              <w:top w:val="single" w:sz="4" w:space="0" w:color="auto"/>
              <w:left w:val="single" w:sz="4" w:space="0" w:color="auto"/>
              <w:bottom w:val="single" w:sz="4" w:space="0" w:color="auto"/>
              <w:right w:val="single" w:sz="4" w:space="0" w:color="auto"/>
            </w:tcBorders>
            <w:hideMark/>
          </w:tcPr>
          <w:p w14:paraId="50CB9B70" w14:textId="77777777" w:rsidR="003A108F" w:rsidRPr="0063448B" w:rsidRDefault="003A108F">
            <w:pPr>
              <w:jc w:val="center"/>
              <w:rPr>
                <w:sz w:val="24"/>
                <w:szCs w:val="24"/>
                <w:lang w:val="en-US"/>
              </w:rPr>
            </w:pPr>
            <w:r w:rsidRPr="0063448B">
              <w:rPr>
                <w:sz w:val="24"/>
                <w:szCs w:val="24"/>
                <w:lang w:val="en-US"/>
              </w:rPr>
              <w:t xml:space="preserve">Incidence </w:t>
            </w:r>
          </w:p>
          <w:p w14:paraId="2E16EF6E" w14:textId="77777777" w:rsidR="003A108F" w:rsidRPr="0063448B" w:rsidRDefault="003A108F">
            <w:pPr>
              <w:jc w:val="center"/>
              <w:rPr>
                <w:sz w:val="24"/>
                <w:szCs w:val="24"/>
                <w:lang w:val="en-US"/>
              </w:rPr>
            </w:pPr>
            <w:r w:rsidRPr="0063448B">
              <w:rPr>
                <w:sz w:val="24"/>
                <w:szCs w:val="24"/>
                <w:lang w:val="en-US"/>
              </w:rPr>
              <w:t>Rate per 1000</w:t>
            </w:r>
          </w:p>
          <w:p w14:paraId="40EC1D56" w14:textId="77777777" w:rsidR="003A108F" w:rsidRPr="0063448B" w:rsidRDefault="003A108F">
            <w:pPr>
              <w:jc w:val="center"/>
              <w:rPr>
                <w:sz w:val="24"/>
                <w:szCs w:val="24"/>
                <w:lang w:val="en-US"/>
              </w:rPr>
            </w:pPr>
            <w:r w:rsidRPr="0063448B">
              <w:rPr>
                <w:sz w:val="24"/>
                <w:szCs w:val="24"/>
                <w:lang w:val="en-US"/>
              </w:rPr>
              <w:t>PY*</w:t>
            </w:r>
          </w:p>
        </w:tc>
        <w:tc>
          <w:tcPr>
            <w:tcW w:w="769" w:type="pct"/>
            <w:tcBorders>
              <w:top w:val="single" w:sz="4" w:space="0" w:color="auto"/>
              <w:left w:val="single" w:sz="4" w:space="0" w:color="auto"/>
              <w:bottom w:val="single" w:sz="4" w:space="0" w:color="auto"/>
              <w:right w:val="single" w:sz="4" w:space="0" w:color="auto"/>
            </w:tcBorders>
            <w:hideMark/>
          </w:tcPr>
          <w:p w14:paraId="3D2E45EF" w14:textId="77777777" w:rsidR="003A108F" w:rsidRPr="0063448B" w:rsidRDefault="003A108F">
            <w:pPr>
              <w:jc w:val="center"/>
              <w:rPr>
                <w:sz w:val="24"/>
                <w:szCs w:val="24"/>
                <w:lang w:val="en-US"/>
              </w:rPr>
            </w:pPr>
            <w:r w:rsidRPr="0063448B">
              <w:rPr>
                <w:sz w:val="24"/>
                <w:szCs w:val="24"/>
                <w:lang w:val="en-US"/>
              </w:rPr>
              <w:t>Number of Subjects (%)</w:t>
            </w:r>
          </w:p>
        </w:tc>
        <w:tc>
          <w:tcPr>
            <w:tcW w:w="846" w:type="pct"/>
            <w:tcBorders>
              <w:top w:val="single" w:sz="4" w:space="0" w:color="auto"/>
              <w:left w:val="single" w:sz="4" w:space="0" w:color="auto"/>
              <w:bottom w:val="single" w:sz="4" w:space="0" w:color="auto"/>
              <w:right w:val="single" w:sz="4" w:space="0" w:color="auto"/>
            </w:tcBorders>
            <w:hideMark/>
          </w:tcPr>
          <w:p w14:paraId="333DA58F" w14:textId="77777777" w:rsidR="003A108F" w:rsidRPr="0063448B" w:rsidRDefault="003A108F">
            <w:pPr>
              <w:jc w:val="center"/>
              <w:rPr>
                <w:sz w:val="24"/>
                <w:szCs w:val="24"/>
                <w:lang w:val="en-US"/>
              </w:rPr>
            </w:pPr>
            <w:r w:rsidRPr="0063448B">
              <w:rPr>
                <w:sz w:val="24"/>
                <w:szCs w:val="24"/>
                <w:lang w:val="en-US"/>
              </w:rPr>
              <w:t xml:space="preserve">Incidence </w:t>
            </w:r>
          </w:p>
          <w:p w14:paraId="5F054094" w14:textId="77777777" w:rsidR="003A108F" w:rsidRPr="0063448B" w:rsidRDefault="003A108F">
            <w:pPr>
              <w:jc w:val="center"/>
              <w:rPr>
                <w:sz w:val="24"/>
                <w:szCs w:val="24"/>
                <w:lang w:val="en-US"/>
              </w:rPr>
            </w:pPr>
            <w:r w:rsidRPr="0063448B">
              <w:rPr>
                <w:sz w:val="24"/>
                <w:szCs w:val="24"/>
                <w:lang w:val="en-US"/>
              </w:rPr>
              <w:t>Rate per 1000</w:t>
            </w:r>
          </w:p>
          <w:p w14:paraId="678B619A" w14:textId="77777777" w:rsidR="003A108F" w:rsidRPr="0063448B" w:rsidRDefault="003A108F">
            <w:pPr>
              <w:jc w:val="center"/>
              <w:rPr>
                <w:sz w:val="24"/>
                <w:szCs w:val="24"/>
                <w:lang w:val="en-US"/>
              </w:rPr>
            </w:pPr>
            <w:r w:rsidRPr="0063448B">
              <w:rPr>
                <w:sz w:val="24"/>
                <w:szCs w:val="24"/>
                <w:lang w:val="en-US"/>
              </w:rPr>
              <w:t>PY*</w:t>
            </w:r>
          </w:p>
        </w:tc>
        <w:tc>
          <w:tcPr>
            <w:tcW w:w="693" w:type="pct"/>
            <w:tcBorders>
              <w:top w:val="single" w:sz="4" w:space="0" w:color="auto"/>
              <w:left w:val="single" w:sz="4" w:space="0" w:color="auto"/>
              <w:bottom w:val="single" w:sz="4" w:space="0" w:color="auto"/>
              <w:right w:val="single" w:sz="4" w:space="0" w:color="auto"/>
            </w:tcBorders>
            <w:hideMark/>
          </w:tcPr>
          <w:p w14:paraId="692C4A1A" w14:textId="77777777" w:rsidR="003A108F" w:rsidRPr="0063448B" w:rsidRDefault="003A108F">
            <w:pPr>
              <w:jc w:val="center"/>
              <w:rPr>
                <w:sz w:val="24"/>
                <w:szCs w:val="24"/>
                <w:lang w:val="en-US"/>
              </w:rPr>
            </w:pPr>
            <w:r w:rsidRPr="0063448B">
              <w:rPr>
                <w:sz w:val="24"/>
                <w:szCs w:val="24"/>
                <w:lang w:val="en-US"/>
              </w:rPr>
              <w:t>(95% CI)</w:t>
            </w:r>
          </w:p>
        </w:tc>
      </w:tr>
      <w:tr w:rsidR="003A108F" w:rsidRPr="0063448B" w14:paraId="660F3B02" w14:textId="77777777" w:rsidTr="003E0988">
        <w:tc>
          <w:tcPr>
            <w:tcW w:w="1075" w:type="pct"/>
            <w:tcBorders>
              <w:top w:val="single" w:sz="4" w:space="0" w:color="auto"/>
              <w:left w:val="single" w:sz="4" w:space="0" w:color="auto"/>
              <w:bottom w:val="single" w:sz="4" w:space="0" w:color="auto"/>
              <w:right w:val="single" w:sz="4" w:space="0" w:color="auto"/>
            </w:tcBorders>
            <w:hideMark/>
          </w:tcPr>
          <w:p w14:paraId="6D086FFC" w14:textId="77777777" w:rsidR="003A108F" w:rsidRPr="0063448B" w:rsidRDefault="003A108F">
            <w:pPr>
              <w:rPr>
                <w:sz w:val="24"/>
                <w:szCs w:val="24"/>
                <w:lang w:val="en-US"/>
              </w:rPr>
            </w:pPr>
            <w:r w:rsidRPr="0063448B">
              <w:rPr>
                <w:sz w:val="24"/>
                <w:szCs w:val="24"/>
                <w:lang w:val="en-US"/>
              </w:rPr>
              <w:t>Number of patients</w:t>
            </w:r>
          </w:p>
        </w:tc>
        <w:tc>
          <w:tcPr>
            <w:tcW w:w="769" w:type="pct"/>
            <w:tcBorders>
              <w:top w:val="single" w:sz="4" w:space="0" w:color="auto"/>
              <w:left w:val="single" w:sz="4" w:space="0" w:color="auto"/>
              <w:bottom w:val="single" w:sz="4" w:space="0" w:color="auto"/>
              <w:right w:val="single" w:sz="4" w:space="0" w:color="auto"/>
            </w:tcBorders>
            <w:hideMark/>
          </w:tcPr>
          <w:p w14:paraId="77BD0E47" w14:textId="77777777" w:rsidR="003A108F" w:rsidRPr="0063448B" w:rsidRDefault="003A108F">
            <w:pPr>
              <w:jc w:val="center"/>
              <w:rPr>
                <w:sz w:val="24"/>
                <w:szCs w:val="24"/>
                <w:lang w:val="en-US"/>
              </w:rPr>
            </w:pPr>
            <w:r w:rsidRPr="0063448B">
              <w:rPr>
                <w:sz w:val="24"/>
                <w:szCs w:val="24"/>
                <w:lang w:val="en-US"/>
              </w:rPr>
              <w:t>3494</w:t>
            </w:r>
          </w:p>
        </w:tc>
        <w:tc>
          <w:tcPr>
            <w:tcW w:w="847" w:type="pct"/>
            <w:tcBorders>
              <w:top w:val="single" w:sz="4" w:space="0" w:color="auto"/>
              <w:left w:val="single" w:sz="4" w:space="0" w:color="auto"/>
              <w:bottom w:val="single" w:sz="4" w:space="0" w:color="auto"/>
              <w:right w:val="single" w:sz="4" w:space="0" w:color="auto"/>
            </w:tcBorders>
          </w:tcPr>
          <w:p w14:paraId="2AD9C430" w14:textId="77777777" w:rsidR="003A108F" w:rsidRPr="0063448B" w:rsidRDefault="003A108F">
            <w:pPr>
              <w:jc w:val="center"/>
              <w:rPr>
                <w:sz w:val="24"/>
                <w:szCs w:val="24"/>
                <w:lang w:val="en-US"/>
              </w:rPr>
            </w:pPr>
          </w:p>
        </w:tc>
        <w:tc>
          <w:tcPr>
            <w:tcW w:w="769" w:type="pct"/>
            <w:tcBorders>
              <w:top w:val="single" w:sz="4" w:space="0" w:color="auto"/>
              <w:left w:val="single" w:sz="4" w:space="0" w:color="auto"/>
              <w:bottom w:val="single" w:sz="4" w:space="0" w:color="auto"/>
              <w:right w:val="single" w:sz="4" w:space="0" w:color="auto"/>
            </w:tcBorders>
            <w:hideMark/>
          </w:tcPr>
          <w:p w14:paraId="7F482BCB" w14:textId="77777777" w:rsidR="003A108F" w:rsidRPr="0063448B" w:rsidRDefault="003A108F">
            <w:pPr>
              <w:jc w:val="center"/>
              <w:rPr>
                <w:sz w:val="24"/>
                <w:szCs w:val="24"/>
                <w:lang w:val="en-US"/>
              </w:rPr>
            </w:pPr>
            <w:r w:rsidRPr="0063448B">
              <w:rPr>
                <w:sz w:val="24"/>
                <w:szCs w:val="24"/>
                <w:lang w:val="en-US"/>
              </w:rPr>
              <w:t>3485</w:t>
            </w:r>
          </w:p>
        </w:tc>
        <w:tc>
          <w:tcPr>
            <w:tcW w:w="846" w:type="pct"/>
            <w:tcBorders>
              <w:top w:val="single" w:sz="4" w:space="0" w:color="auto"/>
              <w:left w:val="single" w:sz="4" w:space="0" w:color="auto"/>
              <w:bottom w:val="single" w:sz="4" w:space="0" w:color="auto"/>
              <w:right w:val="single" w:sz="4" w:space="0" w:color="auto"/>
            </w:tcBorders>
          </w:tcPr>
          <w:p w14:paraId="0EC4FA18" w14:textId="77777777" w:rsidR="003A108F" w:rsidRPr="0063448B" w:rsidRDefault="003A108F">
            <w:pPr>
              <w:jc w:val="center"/>
              <w:rPr>
                <w:sz w:val="24"/>
                <w:szCs w:val="24"/>
                <w:lang w:val="en-US"/>
              </w:rPr>
            </w:pPr>
          </w:p>
        </w:tc>
        <w:tc>
          <w:tcPr>
            <w:tcW w:w="693" w:type="pct"/>
            <w:tcBorders>
              <w:top w:val="single" w:sz="4" w:space="0" w:color="auto"/>
              <w:left w:val="single" w:sz="4" w:space="0" w:color="auto"/>
              <w:bottom w:val="single" w:sz="4" w:space="0" w:color="auto"/>
              <w:right w:val="single" w:sz="4" w:space="0" w:color="auto"/>
            </w:tcBorders>
          </w:tcPr>
          <w:p w14:paraId="35BB1B33" w14:textId="77777777" w:rsidR="003A108F" w:rsidRPr="0063448B" w:rsidRDefault="003A108F">
            <w:pPr>
              <w:jc w:val="center"/>
              <w:rPr>
                <w:sz w:val="24"/>
                <w:szCs w:val="24"/>
                <w:lang w:val="en-US"/>
              </w:rPr>
            </w:pPr>
          </w:p>
        </w:tc>
      </w:tr>
      <w:tr w:rsidR="003A108F" w:rsidRPr="0063448B" w14:paraId="13028B4E" w14:textId="77777777" w:rsidTr="003E0988">
        <w:tc>
          <w:tcPr>
            <w:tcW w:w="1075" w:type="pct"/>
            <w:tcBorders>
              <w:top w:val="single" w:sz="4" w:space="0" w:color="auto"/>
              <w:left w:val="single" w:sz="4" w:space="0" w:color="auto"/>
              <w:bottom w:val="single" w:sz="4" w:space="0" w:color="auto"/>
              <w:right w:val="single" w:sz="4" w:space="0" w:color="auto"/>
            </w:tcBorders>
            <w:hideMark/>
          </w:tcPr>
          <w:p w14:paraId="7157A081" w14:textId="77777777" w:rsidR="003A108F" w:rsidRPr="0063448B" w:rsidRDefault="003A108F">
            <w:pPr>
              <w:rPr>
                <w:sz w:val="24"/>
                <w:szCs w:val="24"/>
                <w:lang w:val="en-US"/>
              </w:rPr>
            </w:pPr>
            <w:r w:rsidRPr="0063448B">
              <w:rPr>
                <w:sz w:val="24"/>
                <w:szCs w:val="24"/>
                <w:lang w:val="en-US"/>
              </w:rPr>
              <w:t>Primary CV composite (Cardiovascular</w:t>
            </w:r>
          </w:p>
          <w:p w14:paraId="49B55A77" w14:textId="77777777" w:rsidR="003A108F" w:rsidRPr="0063448B" w:rsidRDefault="003A108F">
            <w:pPr>
              <w:rPr>
                <w:sz w:val="24"/>
                <w:szCs w:val="24"/>
                <w:lang w:val="en-US"/>
              </w:rPr>
            </w:pPr>
            <w:r w:rsidRPr="0063448B">
              <w:rPr>
                <w:sz w:val="24"/>
                <w:szCs w:val="24"/>
                <w:lang w:val="en-US"/>
              </w:rPr>
              <w:t>death, non-fatal MI, non-fatal stroke)</w:t>
            </w:r>
          </w:p>
        </w:tc>
        <w:tc>
          <w:tcPr>
            <w:tcW w:w="769" w:type="pct"/>
            <w:tcBorders>
              <w:top w:val="single" w:sz="4" w:space="0" w:color="auto"/>
              <w:left w:val="single" w:sz="4" w:space="0" w:color="auto"/>
              <w:bottom w:val="single" w:sz="4" w:space="0" w:color="auto"/>
              <w:right w:val="single" w:sz="4" w:space="0" w:color="auto"/>
            </w:tcBorders>
            <w:hideMark/>
          </w:tcPr>
          <w:p w14:paraId="4D5C6CC2" w14:textId="77777777" w:rsidR="003A108F" w:rsidRPr="0063448B" w:rsidRDefault="003A108F">
            <w:pPr>
              <w:jc w:val="center"/>
              <w:rPr>
                <w:sz w:val="24"/>
                <w:szCs w:val="24"/>
                <w:lang w:val="en-US"/>
              </w:rPr>
            </w:pPr>
            <w:r w:rsidRPr="0063448B">
              <w:rPr>
                <w:sz w:val="24"/>
                <w:szCs w:val="24"/>
                <w:lang w:val="en-US"/>
              </w:rPr>
              <w:t>434 (12.4)</w:t>
            </w:r>
          </w:p>
        </w:tc>
        <w:tc>
          <w:tcPr>
            <w:tcW w:w="847" w:type="pct"/>
            <w:tcBorders>
              <w:top w:val="single" w:sz="4" w:space="0" w:color="auto"/>
              <w:left w:val="single" w:sz="4" w:space="0" w:color="auto"/>
              <w:bottom w:val="single" w:sz="4" w:space="0" w:color="auto"/>
              <w:right w:val="single" w:sz="4" w:space="0" w:color="auto"/>
            </w:tcBorders>
            <w:hideMark/>
          </w:tcPr>
          <w:p w14:paraId="6DC52D09" w14:textId="77777777" w:rsidR="003A108F" w:rsidRPr="0063448B" w:rsidRDefault="003A108F">
            <w:pPr>
              <w:jc w:val="center"/>
              <w:rPr>
                <w:sz w:val="24"/>
                <w:szCs w:val="24"/>
                <w:lang w:val="en-US"/>
              </w:rPr>
            </w:pPr>
            <w:r w:rsidRPr="0063448B">
              <w:rPr>
                <w:sz w:val="24"/>
                <w:szCs w:val="24"/>
                <w:lang w:val="en-US"/>
              </w:rPr>
              <w:t>57.7</w:t>
            </w:r>
          </w:p>
        </w:tc>
        <w:tc>
          <w:tcPr>
            <w:tcW w:w="769" w:type="pct"/>
            <w:tcBorders>
              <w:top w:val="single" w:sz="4" w:space="0" w:color="auto"/>
              <w:left w:val="single" w:sz="4" w:space="0" w:color="auto"/>
              <w:bottom w:val="single" w:sz="4" w:space="0" w:color="auto"/>
              <w:right w:val="single" w:sz="4" w:space="0" w:color="auto"/>
            </w:tcBorders>
            <w:hideMark/>
          </w:tcPr>
          <w:p w14:paraId="405D94F3" w14:textId="77777777" w:rsidR="003A108F" w:rsidRPr="0063448B" w:rsidRDefault="003A108F">
            <w:pPr>
              <w:jc w:val="center"/>
              <w:rPr>
                <w:sz w:val="24"/>
                <w:szCs w:val="24"/>
                <w:lang w:val="en-US"/>
              </w:rPr>
            </w:pPr>
            <w:r w:rsidRPr="0063448B">
              <w:rPr>
                <w:sz w:val="24"/>
                <w:szCs w:val="24"/>
                <w:lang w:val="en-US"/>
              </w:rPr>
              <w:t>420 (12.1)</w:t>
            </w:r>
          </w:p>
        </w:tc>
        <w:tc>
          <w:tcPr>
            <w:tcW w:w="846" w:type="pct"/>
            <w:tcBorders>
              <w:top w:val="single" w:sz="4" w:space="0" w:color="auto"/>
              <w:left w:val="single" w:sz="4" w:space="0" w:color="auto"/>
              <w:bottom w:val="single" w:sz="4" w:space="0" w:color="auto"/>
              <w:right w:val="single" w:sz="4" w:space="0" w:color="auto"/>
            </w:tcBorders>
            <w:hideMark/>
          </w:tcPr>
          <w:p w14:paraId="612810A8" w14:textId="77777777" w:rsidR="003A108F" w:rsidRPr="0063448B" w:rsidRDefault="003A108F">
            <w:pPr>
              <w:jc w:val="center"/>
              <w:rPr>
                <w:sz w:val="24"/>
                <w:szCs w:val="24"/>
                <w:lang w:val="en-US"/>
              </w:rPr>
            </w:pPr>
            <w:r w:rsidRPr="0063448B">
              <w:rPr>
                <w:sz w:val="24"/>
                <w:szCs w:val="24"/>
                <w:lang w:val="en-US"/>
              </w:rPr>
              <w:t>56.3</w:t>
            </w:r>
          </w:p>
        </w:tc>
        <w:tc>
          <w:tcPr>
            <w:tcW w:w="693" w:type="pct"/>
            <w:tcBorders>
              <w:top w:val="single" w:sz="4" w:space="0" w:color="auto"/>
              <w:left w:val="single" w:sz="4" w:space="0" w:color="auto"/>
              <w:bottom w:val="single" w:sz="4" w:space="0" w:color="auto"/>
              <w:right w:val="single" w:sz="4" w:space="0" w:color="auto"/>
            </w:tcBorders>
            <w:hideMark/>
          </w:tcPr>
          <w:p w14:paraId="5913E9D3" w14:textId="77777777" w:rsidR="003A108F" w:rsidRPr="0063448B" w:rsidRDefault="003A108F">
            <w:pPr>
              <w:jc w:val="center"/>
              <w:rPr>
                <w:sz w:val="24"/>
                <w:szCs w:val="24"/>
                <w:lang w:val="en-US"/>
              </w:rPr>
            </w:pPr>
            <w:r w:rsidRPr="0063448B">
              <w:rPr>
                <w:sz w:val="24"/>
                <w:szCs w:val="24"/>
                <w:lang w:val="en-US"/>
              </w:rPr>
              <w:t>1.02 (0.89,</w:t>
            </w:r>
          </w:p>
          <w:p w14:paraId="6BFE39F6" w14:textId="77777777" w:rsidR="003A108F" w:rsidRPr="0063448B" w:rsidRDefault="003A108F">
            <w:pPr>
              <w:jc w:val="center"/>
              <w:rPr>
                <w:sz w:val="24"/>
                <w:szCs w:val="24"/>
                <w:lang w:val="en-US"/>
              </w:rPr>
            </w:pPr>
            <w:proofErr w:type="gramStart"/>
            <w:r w:rsidRPr="0063448B">
              <w:rPr>
                <w:sz w:val="24"/>
                <w:szCs w:val="24"/>
                <w:lang w:val="en-US"/>
              </w:rPr>
              <w:t>1.17)*</w:t>
            </w:r>
            <w:proofErr w:type="gramEnd"/>
            <w:r w:rsidRPr="0063448B">
              <w:rPr>
                <w:sz w:val="24"/>
                <w:szCs w:val="24"/>
                <w:lang w:val="en-US"/>
              </w:rPr>
              <w:t>*</w:t>
            </w:r>
          </w:p>
        </w:tc>
      </w:tr>
      <w:tr w:rsidR="003A108F" w:rsidRPr="0063448B" w14:paraId="56EA37A6" w14:textId="77777777" w:rsidTr="003E0988">
        <w:tc>
          <w:tcPr>
            <w:tcW w:w="1075" w:type="pct"/>
            <w:tcBorders>
              <w:top w:val="single" w:sz="4" w:space="0" w:color="auto"/>
              <w:left w:val="single" w:sz="4" w:space="0" w:color="auto"/>
              <w:bottom w:val="single" w:sz="4" w:space="0" w:color="auto"/>
              <w:right w:val="single" w:sz="4" w:space="0" w:color="auto"/>
            </w:tcBorders>
            <w:hideMark/>
          </w:tcPr>
          <w:p w14:paraId="63A6E967" w14:textId="77777777" w:rsidR="003A108F" w:rsidRPr="0063448B" w:rsidRDefault="003A108F">
            <w:pPr>
              <w:rPr>
                <w:sz w:val="24"/>
                <w:szCs w:val="24"/>
                <w:lang w:val="en-US"/>
              </w:rPr>
            </w:pPr>
            <w:r w:rsidRPr="0063448B">
              <w:rPr>
                <w:sz w:val="24"/>
                <w:szCs w:val="24"/>
                <w:lang w:val="en-US"/>
              </w:rPr>
              <w:t>Secondary renal composite (renal death, ESRD, 40% sustained decrease</w:t>
            </w:r>
          </w:p>
          <w:p w14:paraId="15550BDB" w14:textId="77777777" w:rsidR="003A108F" w:rsidRPr="0063448B" w:rsidRDefault="003A108F">
            <w:pPr>
              <w:rPr>
                <w:sz w:val="24"/>
                <w:szCs w:val="24"/>
                <w:lang w:val="en-US"/>
              </w:rPr>
            </w:pPr>
            <w:r w:rsidRPr="0063448B">
              <w:rPr>
                <w:sz w:val="24"/>
                <w:szCs w:val="24"/>
                <w:lang w:val="en-US"/>
              </w:rPr>
              <w:t>in eGFR)</w:t>
            </w:r>
          </w:p>
        </w:tc>
        <w:tc>
          <w:tcPr>
            <w:tcW w:w="769" w:type="pct"/>
            <w:tcBorders>
              <w:top w:val="single" w:sz="4" w:space="0" w:color="auto"/>
              <w:left w:val="single" w:sz="4" w:space="0" w:color="auto"/>
              <w:bottom w:val="single" w:sz="4" w:space="0" w:color="auto"/>
              <w:right w:val="single" w:sz="4" w:space="0" w:color="auto"/>
            </w:tcBorders>
            <w:hideMark/>
          </w:tcPr>
          <w:p w14:paraId="7AB49890" w14:textId="77777777" w:rsidR="003A108F" w:rsidRPr="0063448B" w:rsidRDefault="003A108F">
            <w:pPr>
              <w:jc w:val="center"/>
              <w:rPr>
                <w:sz w:val="24"/>
                <w:szCs w:val="24"/>
                <w:lang w:val="en-US"/>
              </w:rPr>
            </w:pPr>
            <w:r w:rsidRPr="0063448B">
              <w:rPr>
                <w:sz w:val="24"/>
                <w:szCs w:val="24"/>
                <w:lang w:val="en-US"/>
              </w:rPr>
              <w:t>327 (9.4)</w:t>
            </w:r>
          </w:p>
        </w:tc>
        <w:tc>
          <w:tcPr>
            <w:tcW w:w="847" w:type="pct"/>
            <w:tcBorders>
              <w:top w:val="single" w:sz="4" w:space="0" w:color="auto"/>
              <w:left w:val="single" w:sz="4" w:space="0" w:color="auto"/>
              <w:bottom w:val="single" w:sz="4" w:space="0" w:color="auto"/>
              <w:right w:val="single" w:sz="4" w:space="0" w:color="auto"/>
            </w:tcBorders>
            <w:hideMark/>
          </w:tcPr>
          <w:p w14:paraId="7D4DBB81" w14:textId="77777777" w:rsidR="003A108F" w:rsidRPr="0063448B" w:rsidRDefault="003A108F">
            <w:pPr>
              <w:jc w:val="center"/>
              <w:rPr>
                <w:sz w:val="24"/>
                <w:szCs w:val="24"/>
                <w:lang w:val="en-US"/>
              </w:rPr>
            </w:pPr>
            <w:r w:rsidRPr="0063448B">
              <w:rPr>
                <w:sz w:val="24"/>
                <w:szCs w:val="24"/>
                <w:lang w:val="en-US"/>
              </w:rPr>
              <w:t>48.9</w:t>
            </w:r>
          </w:p>
        </w:tc>
        <w:tc>
          <w:tcPr>
            <w:tcW w:w="769" w:type="pct"/>
            <w:tcBorders>
              <w:top w:val="single" w:sz="4" w:space="0" w:color="auto"/>
              <w:left w:val="single" w:sz="4" w:space="0" w:color="auto"/>
              <w:bottom w:val="single" w:sz="4" w:space="0" w:color="auto"/>
              <w:right w:val="single" w:sz="4" w:space="0" w:color="auto"/>
            </w:tcBorders>
            <w:hideMark/>
          </w:tcPr>
          <w:p w14:paraId="2A1F32FC" w14:textId="77777777" w:rsidR="003A108F" w:rsidRPr="0063448B" w:rsidRDefault="003A108F">
            <w:pPr>
              <w:jc w:val="center"/>
              <w:rPr>
                <w:sz w:val="24"/>
                <w:szCs w:val="24"/>
                <w:lang w:val="en-US"/>
              </w:rPr>
            </w:pPr>
            <w:r w:rsidRPr="0063448B">
              <w:rPr>
                <w:sz w:val="24"/>
                <w:szCs w:val="24"/>
                <w:lang w:val="en-US"/>
              </w:rPr>
              <w:t>306 (8.8)</w:t>
            </w:r>
          </w:p>
        </w:tc>
        <w:tc>
          <w:tcPr>
            <w:tcW w:w="846" w:type="pct"/>
            <w:tcBorders>
              <w:top w:val="single" w:sz="4" w:space="0" w:color="auto"/>
              <w:left w:val="single" w:sz="4" w:space="0" w:color="auto"/>
              <w:bottom w:val="single" w:sz="4" w:space="0" w:color="auto"/>
              <w:right w:val="single" w:sz="4" w:space="0" w:color="auto"/>
            </w:tcBorders>
            <w:hideMark/>
          </w:tcPr>
          <w:p w14:paraId="09F3AF6A" w14:textId="77777777" w:rsidR="003A108F" w:rsidRPr="0063448B" w:rsidRDefault="003A108F">
            <w:pPr>
              <w:jc w:val="center"/>
              <w:rPr>
                <w:sz w:val="24"/>
                <w:szCs w:val="24"/>
                <w:lang w:val="en-US"/>
              </w:rPr>
            </w:pPr>
            <w:r w:rsidRPr="0063448B">
              <w:rPr>
                <w:sz w:val="24"/>
                <w:szCs w:val="24"/>
                <w:lang w:val="en-US"/>
              </w:rPr>
              <w:t>46.6</w:t>
            </w:r>
          </w:p>
        </w:tc>
        <w:tc>
          <w:tcPr>
            <w:tcW w:w="693" w:type="pct"/>
            <w:tcBorders>
              <w:top w:val="single" w:sz="4" w:space="0" w:color="auto"/>
              <w:left w:val="single" w:sz="4" w:space="0" w:color="auto"/>
              <w:bottom w:val="single" w:sz="4" w:space="0" w:color="auto"/>
              <w:right w:val="single" w:sz="4" w:space="0" w:color="auto"/>
            </w:tcBorders>
            <w:hideMark/>
          </w:tcPr>
          <w:p w14:paraId="649D1C05" w14:textId="77777777" w:rsidR="003A108F" w:rsidRPr="0063448B" w:rsidRDefault="003A108F">
            <w:pPr>
              <w:jc w:val="center"/>
              <w:rPr>
                <w:sz w:val="24"/>
                <w:szCs w:val="24"/>
                <w:lang w:val="en-US"/>
              </w:rPr>
            </w:pPr>
            <w:r w:rsidRPr="0063448B">
              <w:rPr>
                <w:sz w:val="24"/>
                <w:szCs w:val="24"/>
                <w:lang w:val="en-US"/>
              </w:rPr>
              <w:t>1.04 (0.89,</w:t>
            </w:r>
          </w:p>
          <w:p w14:paraId="7A48D397" w14:textId="77777777" w:rsidR="003A108F" w:rsidRPr="0063448B" w:rsidRDefault="003A108F">
            <w:pPr>
              <w:jc w:val="center"/>
              <w:rPr>
                <w:sz w:val="24"/>
                <w:szCs w:val="24"/>
                <w:lang w:val="en-US"/>
              </w:rPr>
            </w:pPr>
            <w:r w:rsidRPr="0063448B">
              <w:rPr>
                <w:sz w:val="24"/>
                <w:szCs w:val="24"/>
                <w:lang w:val="en-US"/>
              </w:rPr>
              <w:t>1.22)</w:t>
            </w:r>
          </w:p>
        </w:tc>
      </w:tr>
      <w:tr w:rsidR="003A108F" w:rsidRPr="0063448B" w14:paraId="5BB9ADF2" w14:textId="77777777" w:rsidTr="003E0988">
        <w:tc>
          <w:tcPr>
            <w:tcW w:w="1075" w:type="pct"/>
            <w:tcBorders>
              <w:top w:val="single" w:sz="4" w:space="0" w:color="auto"/>
              <w:left w:val="single" w:sz="4" w:space="0" w:color="auto"/>
              <w:bottom w:val="single" w:sz="4" w:space="0" w:color="auto"/>
              <w:right w:val="single" w:sz="4" w:space="0" w:color="auto"/>
            </w:tcBorders>
            <w:hideMark/>
          </w:tcPr>
          <w:p w14:paraId="7265B571" w14:textId="77777777" w:rsidR="003A108F" w:rsidRPr="0063448B" w:rsidRDefault="003A108F">
            <w:pPr>
              <w:rPr>
                <w:sz w:val="24"/>
                <w:szCs w:val="24"/>
                <w:lang w:val="en-US"/>
              </w:rPr>
            </w:pPr>
            <w:r w:rsidRPr="0063448B">
              <w:rPr>
                <w:sz w:val="24"/>
                <w:szCs w:val="24"/>
                <w:lang w:val="en-US"/>
              </w:rPr>
              <w:t>All-cause mortality</w:t>
            </w:r>
          </w:p>
        </w:tc>
        <w:tc>
          <w:tcPr>
            <w:tcW w:w="769" w:type="pct"/>
            <w:tcBorders>
              <w:top w:val="single" w:sz="4" w:space="0" w:color="auto"/>
              <w:left w:val="single" w:sz="4" w:space="0" w:color="auto"/>
              <w:bottom w:val="single" w:sz="4" w:space="0" w:color="auto"/>
              <w:right w:val="single" w:sz="4" w:space="0" w:color="auto"/>
            </w:tcBorders>
            <w:hideMark/>
          </w:tcPr>
          <w:p w14:paraId="42EE9D99" w14:textId="77777777" w:rsidR="003A108F" w:rsidRPr="0063448B" w:rsidRDefault="003A108F">
            <w:pPr>
              <w:jc w:val="center"/>
              <w:rPr>
                <w:sz w:val="24"/>
                <w:szCs w:val="24"/>
                <w:lang w:val="en-US"/>
              </w:rPr>
            </w:pPr>
            <w:r w:rsidRPr="0063448B">
              <w:rPr>
                <w:sz w:val="24"/>
                <w:szCs w:val="24"/>
                <w:lang w:val="en-US"/>
              </w:rPr>
              <w:t>367 (10.5)</w:t>
            </w:r>
          </w:p>
        </w:tc>
        <w:tc>
          <w:tcPr>
            <w:tcW w:w="847" w:type="pct"/>
            <w:tcBorders>
              <w:top w:val="single" w:sz="4" w:space="0" w:color="auto"/>
              <w:left w:val="single" w:sz="4" w:space="0" w:color="auto"/>
              <w:bottom w:val="single" w:sz="4" w:space="0" w:color="auto"/>
              <w:right w:val="single" w:sz="4" w:space="0" w:color="auto"/>
            </w:tcBorders>
            <w:hideMark/>
          </w:tcPr>
          <w:p w14:paraId="5720BFA3" w14:textId="77777777" w:rsidR="003A108F" w:rsidRPr="0063448B" w:rsidRDefault="003A108F">
            <w:pPr>
              <w:jc w:val="center"/>
              <w:rPr>
                <w:sz w:val="24"/>
                <w:szCs w:val="24"/>
                <w:lang w:val="en-US"/>
              </w:rPr>
            </w:pPr>
            <w:r w:rsidRPr="0063448B">
              <w:rPr>
                <w:sz w:val="24"/>
                <w:szCs w:val="24"/>
                <w:lang w:val="en-US"/>
              </w:rPr>
              <w:t>46.9</w:t>
            </w:r>
          </w:p>
        </w:tc>
        <w:tc>
          <w:tcPr>
            <w:tcW w:w="769" w:type="pct"/>
            <w:tcBorders>
              <w:top w:val="single" w:sz="4" w:space="0" w:color="auto"/>
              <w:left w:val="single" w:sz="4" w:space="0" w:color="auto"/>
              <w:bottom w:val="single" w:sz="4" w:space="0" w:color="auto"/>
              <w:right w:val="single" w:sz="4" w:space="0" w:color="auto"/>
            </w:tcBorders>
            <w:hideMark/>
          </w:tcPr>
          <w:p w14:paraId="1E64ADE1" w14:textId="77777777" w:rsidR="003A108F" w:rsidRPr="0063448B" w:rsidRDefault="003A108F">
            <w:pPr>
              <w:jc w:val="center"/>
              <w:rPr>
                <w:sz w:val="24"/>
                <w:szCs w:val="24"/>
                <w:lang w:val="en-US"/>
              </w:rPr>
            </w:pPr>
            <w:r w:rsidRPr="0063448B">
              <w:rPr>
                <w:sz w:val="24"/>
                <w:szCs w:val="24"/>
                <w:lang w:val="en-US"/>
              </w:rPr>
              <w:t>373 (10.7)</w:t>
            </w:r>
          </w:p>
        </w:tc>
        <w:tc>
          <w:tcPr>
            <w:tcW w:w="846" w:type="pct"/>
            <w:tcBorders>
              <w:top w:val="single" w:sz="4" w:space="0" w:color="auto"/>
              <w:left w:val="single" w:sz="4" w:space="0" w:color="auto"/>
              <w:bottom w:val="single" w:sz="4" w:space="0" w:color="auto"/>
              <w:right w:val="single" w:sz="4" w:space="0" w:color="auto"/>
            </w:tcBorders>
            <w:hideMark/>
          </w:tcPr>
          <w:p w14:paraId="176F462A" w14:textId="77777777" w:rsidR="003A108F" w:rsidRPr="0063448B" w:rsidRDefault="003A108F">
            <w:pPr>
              <w:jc w:val="center"/>
              <w:rPr>
                <w:sz w:val="24"/>
                <w:szCs w:val="24"/>
                <w:lang w:val="en-US"/>
              </w:rPr>
            </w:pPr>
            <w:r w:rsidRPr="0063448B">
              <w:rPr>
                <w:sz w:val="24"/>
                <w:szCs w:val="24"/>
                <w:lang w:val="en-US"/>
              </w:rPr>
              <w:t>48.0</w:t>
            </w:r>
          </w:p>
        </w:tc>
        <w:tc>
          <w:tcPr>
            <w:tcW w:w="693" w:type="pct"/>
            <w:tcBorders>
              <w:top w:val="single" w:sz="4" w:space="0" w:color="auto"/>
              <w:left w:val="single" w:sz="4" w:space="0" w:color="auto"/>
              <w:bottom w:val="single" w:sz="4" w:space="0" w:color="auto"/>
              <w:right w:val="single" w:sz="4" w:space="0" w:color="auto"/>
            </w:tcBorders>
            <w:hideMark/>
          </w:tcPr>
          <w:p w14:paraId="22E3804B" w14:textId="77777777" w:rsidR="003A108F" w:rsidRPr="0063448B" w:rsidRDefault="003A108F">
            <w:pPr>
              <w:jc w:val="center"/>
              <w:rPr>
                <w:sz w:val="24"/>
                <w:szCs w:val="24"/>
                <w:lang w:val="en-US"/>
              </w:rPr>
            </w:pPr>
            <w:r w:rsidRPr="0063448B">
              <w:rPr>
                <w:sz w:val="24"/>
                <w:szCs w:val="24"/>
                <w:lang w:val="en-US"/>
              </w:rPr>
              <w:t>0.98 (0.84,</w:t>
            </w:r>
          </w:p>
          <w:p w14:paraId="0CBD7838" w14:textId="77777777" w:rsidR="003A108F" w:rsidRPr="0063448B" w:rsidRDefault="003A108F">
            <w:pPr>
              <w:jc w:val="center"/>
              <w:rPr>
                <w:sz w:val="24"/>
                <w:szCs w:val="24"/>
                <w:lang w:val="en-US"/>
              </w:rPr>
            </w:pPr>
            <w:r w:rsidRPr="0063448B">
              <w:rPr>
                <w:sz w:val="24"/>
                <w:szCs w:val="24"/>
                <w:lang w:val="en-US"/>
              </w:rPr>
              <w:t>1.13)</w:t>
            </w:r>
          </w:p>
        </w:tc>
      </w:tr>
      <w:tr w:rsidR="003A108F" w:rsidRPr="0063448B" w14:paraId="7DBBEDEA" w14:textId="77777777" w:rsidTr="003E0988">
        <w:tc>
          <w:tcPr>
            <w:tcW w:w="1075" w:type="pct"/>
            <w:tcBorders>
              <w:top w:val="single" w:sz="4" w:space="0" w:color="auto"/>
              <w:left w:val="single" w:sz="4" w:space="0" w:color="auto"/>
              <w:bottom w:val="single" w:sz="4" w:space="0" w:color="auto"/>
              <w:right w:val="single" w:sz="4" w:space="0" w:color="auto"/>
            </w:tcBorders>
            <w:hideMark/>
          </w:tcPr>
          <w:p w14:paraId="7D530031" w14:textId="77777777" w:rsidR="003A108F" w:rsidRPr="0063448B" w:rsidRDefault="003A108F">
            <w:pPr>
              <w:rPr>
                <w:sz w:val="24"/>
                <w:szCs w:val="24"/>
                <w:lang w:val="en-US"/>
              </w:rPr>
            </w:pPr>
            <w:r w:rsidRPr="0063448B">
              <w:rPr>
                <w:sz w:val="24"/>
                <w:szCs w:val="24"/>
                <w:lang w:val="en-US"/>
              </w:rPr>
              <w:t>CV death</w:t>
            </w:r>
          </w:p>
        </w:tc>
        <w:tc>
          <w:tcPr>
            <w:tcW w:w="769" w:type="pct"/>
            <w:tcBorders>
              <w:top w:val="single" w:sz="4" w:space="0" w:color="auto"/>
              <w:left w:val="single" w:sz="4" w:space="0" w:color="auto"/>
              <w:bottom w:val="single" w:sz="4" w:space="0" w:color="auto"/>
              <w:right w:val="single" w:sz="4" w:space="0" w:color="auto"/>
            </w:tcBorders>
            <w:hideMark/>
          </w:tcPr>
          <w:p w14:paraId="743B4B7D" w14:textId="77777777" w:rsidR="003A108F" w:rsidRPr="0063448B" w:rsidRDefault="003A108F">
            <w:pPr>
              <w:jc w:val="center"/>
              <w:rPr>
                <w:sz w:val="24"/>
                <w:szCs w:val="24"/>
                <w:lang w:val="en-US"/>
              </w:rPr>
            </w:pPr>
            <w:r w:rsidRPr="0063448B">
              <w:rPr>
                <w:sz w:val="24"/>
                <w:szCs w:val="24"/>
                <w:lang w:val="en-US"/>
              </w:rPr>
              <w:t>255 (7.3)</w:t>
            </w:r>
          </w:p>
        </w:tc>
        <w:tc>
          <w:tcPr>
            <w:tcW w:w="847" w:type="pct"/>
            <w:tcBorders>
              <w:top w:val="single" w:sz="4" w:space="0" w:color="auto"/>
              <w:left w:val="single" w:sz="4" w:space="0" w:color="auto"/>
              <w:bottom w:val="single" w:sz="4" w:space="0" w:color="auto"/>
              <w:right w:val="single" w:sz="4" w:space="0" w:color="auto"/>
            </w:tcBorders>
            <w:hideMark/>
          </w:tcPr>
          <w:p w14:paraId="21CBE5A2" w14:textId="77777777" w:rsidR="003A108F" w:rsidRPr="0063448B" w:rsidRDefault="003A108F">
            <w:pPr>
              <w:jc w:val="center"/>
              <w:rPr>
                <w:sz w:val="24"/>
                <w:szCs w:val="24"/>
                <w:lang w:val="en-US"/>
              </w:rPr>
            </w:pPr>
            <w:r w:rsidRPr="0063448B">
              <w:rPr>
                <w:sz w:val="24"/>
                <w:szCs w:val="24"/>
                <w:lang w:val="en-US"/>
              </w:rPr>
              <w:t>32.6</w:t>
            </w:r>
          </w:p>
        </w:tc>
        <w:tc>
          <w:tcPr>
            <w:tcW w:w="769" w:type="pct"/>
            <w:tcBorders>
              <w:top w:val="single" w:sz="4" w:space="0" w:color="auto"/>
              <w:left w:val="single" w:sz="4" w:space="0" w:color="auto"/>
              <w:bottom w:val="single" w:sz="4" w:space="0" w:color="auto"/>
              <w:right w:val="single" w:sz="4" w:space="0" w:color="auto"/>
            </w:tcBorders>
            <w:hideMark/>
          </w:tcPr>
          <w:p w14:paraId="26354EFF" w14:textId="77777777" w:rsidR="003A108F" w:rsidRPr="0063448B" w:rsidRDefault="003A108F">
            <w:pPr>
              <w:jc w:val="center"/>
              <w:rPr>
                <w:sz w:val="24"/>
                <w:szCs w:val="24"/>
                <w:lang w:val="en-US"/>
              </w:rPr>
            </w:pPr>
            <w:r w:rsidRPr="0063448B">
              <w:rPr>
                <w:sz w:val="24"/>
                <w:szCs w:val="24"/>
                <w:lang w:val="en-US"/>
              </w:rPr>
              <w:t>264 (7.6)</w:t>
            </w:r>
          </w:p>
        </w:tc>
        <w:tc>
          <w:tcPr>
            <w:tcW w:w="846" w:type="pct"/>
            <w:tcBorders>
              <w:top w:val="single" w:sz="4" w:space="0" w:color="auto"/>
              <w:left w:val="single" w:sz="4" w:space="0" w:color="auto"/>
              <w:bottom w:val="single" w:sz="4" w:space="0" w:color="auto"/>
              <w:right w:val="single" w:sz="4" w:space="0" w:color="auto"/>
            </w:tcBorders>
            <w:hideMark/>
          </w:tcPr>
          <w:p w14:paraId="662449A0" w14:textId="77777777" w:rsidR="003A108F" w:rsidRPr="0063448B" w:rsidRDefault="003A108F">
            <w:pPr>
              <w:jc w:val="center"/>
              <w:rPr>
                <w:sz w:val="24"/>
                <w:szCs w:val="24"/>
                <w:lang w:val="en-US"/>
              </w:rPr>
            </w:pPr>
            <w:r w:rsidRPr="0063448B">
              <w:rPr>
                <w:sz w:val="24"/>
                <w:szCs w:val="24"/>
                <w:lang w:val="en-US"/>
              </w:rPr>
              <w:t>34</w:t>
            </w:r>
          </w:p>
        </w:tc>
        <w:tc>
          <w:tcPr>
            <w:tcW w:w="693" w:type="pct"/>
            <w:tcBorders>
              <w:top w:val="single" w:sz="4" w:space="0" w:color="auto"/>
              <w:left w:val="single" w:sz="4" w:space="0" w:color="auto"/>
              <w:bottom w:val="single" w:sz="4" w:space="0" w:color="auto"/>
              <w:right w:val="single" w:sz="4" w:space="0" w:color="auto"/>
            </w:tcBorders>
            <w:hideMark/>
          </w:tcPr>
          <w:p w14:paraId="192979C9" w14:textId="77777777" w:rsidR="003A108F" w:rsidRPr="0063448B" w:rsidRDefault="003A108F">
            <w:pPr>
              <w:jc w:val="center"/>
              <w:rPr>
                <w:sz w:val="24"/>
                <w:szCs w:val="24"/>
                <w:lang w:val="en-US"/>
              </w:rPr>
            </w:pPr>
            <w:r w:rsidRPr="0063448B">
              <w:rPr>
                <w:sz w:val="24"/>
                <w:szCs w:val="24"/>
                <w:lang w:val="en-US"/>
              </w:rPr>
              <w:t>0.96 (0.81,</w:t>
            </w:r>
          </w:p>
          <w:p w14:paraId="6731D4C1" w14:textId="77777777" w:rsidR="003A108F" w:rsidRPr="0063448B" w:rsidRDefault="003A108F">
            <w:pPr>
              <w:jc w:val="center"/>
              <w:rPr>
                <w:sz w:val="24"/>
                <w:szCs w:val="24"/>
                <w:lang w:val="en-US"/>
              </w:rPr>
            </w:pPr>
            <w:r w:rsidRPr="0063448B">
              <w:rPr>
                <w:sz w:val="24"/>
                <w:szCs w:val="24"/>
                <w:lang w:val="en-US"/>
              </w:rPr>
              <w:t>1.14)</w:t>
            </w:r>
          </w:p>
        </w:tc>
      </w:tr>
      <w:tr w:rsidR="003A108F" w:rsidRPr="0063448B" w14:paraId="59B70625" w14:textId="77777777" w:rsidTr="003E0988">
        <w:tc>
          <w:tcPr>
            <w:tcW w:w="1075" w:type="pct"/>
            <w:tcBorders>
              <w:top w:val="single" w:sz="4" w:space="0" w:color="auto"/>
              <w:left w:val="single" w:sz="4" w:space="0" w:color="auto"/>
              <w:bottom w:val="single" w:sz="4" w:space="0" w:color="auto"/>
              <w:right w:val="single" w:sz="4" w:space="0" w:color="auto"/>
            </w:tcBorders>
            <w:hideMark/>
          </w:tcPr>
          <w:p w14:paraId="2DA3293D" w14:textId="77777777" w:rsidR="003A108F" w:rsidRPr="0063448B" w:rsidRDefault="003A108F">
            <w:pPr>
              <w:rPr>
                <w:sz w:val="24"/>
                <w:szCs w:val="24"/>
                <w:lang w:val="en-US"/>
              </w:rPr>
            </w:pPr>
            <w:r w:rsidRPr="0063448B">
              <w:rPr>
                <w:sz w:val="24"/>
                <w:szCs w:val="24"/>
                <w:lang w:val="en-US"/>
              </w:rPr>
              <w:t>Hospitalization for heart failure</w:t>
            </w:r>
          </w:p>
        </w:tc>
        <w:tc>
          <w:tcPr>
            <w:tcW w:w="769" w:type="pct"/>
            <w:tcBorders>
              <w:top w:val="single" w:sz="4" w:space="0" w:color="auto"/>
              <w:left w:val="single" w:sz="4" w:space="0" w:color="auto"/>
              <w:bottom w:val="single" w:sz="4" w:space="0" w:color="auto"/>
              <w:right w:val="single" w:sz="4" w:space="0" w:color="auto"/>
            </w:tcBorders>
            <w:hideMark/>
          </w:tcPr>
          <w:p w14:paraId="6771CD1E" w14:textId="77777777" w:rsidR="003A108F" w:rsidRPr="0063448B" w:rsidRDefault="003A108F">
            <w:pPr>
              <w:jc w:val="center"/>
              <w:rPr>
                <w:sz w:val="24"/>
                <w:szCs w:val="24"/>
                <w:lang w:val="en-US"/>
              </w:rPr>
            </w:pPr>
            <w:r w:rsidRPr="0063448B">
              <w:rPr>
                <w:sz w:val="24"/>
                <w:szCs w:val="24"/>
                <w:lang w:val="en-US"/>
              </w:rPr>
              <w:t>209 (6.0)</w:t>
            </w:r>
          </w:p>
        </w:tc>
        <w:tc>
          <w:tcPr>
            <w:tcW w:w="847" w:type="pct"/>
            <w:tcBorders>
              <w:top w:val="single" w:sz="4" w:space="0" w:color="auto"/>
              <w:left w:val="single" w:sz="4" w:space="0" w:color="auto"/>
              <w:bottom w:val="single" w:sz="4" w:space="0" w:color="auto"/>
              <w:right w:val="single" w:sz="4" w:space="0" w:color="auto"/>
            </w:tcBorders>
            <w:hideMark/>
          </w:tcPr>
          <w:p w14:paraId="13D6EE70" w14:textId="77777777" w:rsidR="003A108F" w:rsidRPr="0063448B" w:rsidRDefault="003A108F">
            <w:pPr>
              <w:jc w:val="center"/>
              <w:rPr>
                <w:sz w:val="24"/>
                <w:szCs w:val="24"/>
                <w:lang w:val="en-US"/>
              </w:rPr>
            </w:pPr>
            <w:r w:rsidRPr="0063448B">
              <w:rPr>
                <w:sz w:val="24"/>
                <w:szCs w:val="24"/>
                <w:lang w:val="en-US"/>
              </w:rPr>
              <w:t>27.7</w:t>
            </w:r>
          </w:p>
        </w:tc>
        <w:tc>
          <w:tcPr>
            <w:tcW w:w="769" w:type="pct"/>
            <w:tcBorders>
              <w:top w:val="single" w:sz="4" w:space="0" w:color="auto"/>
              <w:left w:val="single" w:sz="4" w:space="0" w:color="auto"/>
              <w:bottom w:val="single" w:sz="4" w:space="0" w:color="auto"/>
              <w:right w:val="single" w:sz="4" w:space="0" w:color="auto"/>
            </w:tcBorders>
            <w:hideMark/>
          </w:tcPr>
          <w:p w14:paraId="3785FFCD" w14:textId="77777777" w:rsidR="003A108F" w:rsidRPr="0063448B" w:rsidRDefault="003A108F">
            <w:pPr>
              <w:jc w:val="center"/>
              <w:rPr>
                <w:sz w:val="24"/>
                <w:szCs w:val="24"/>
                <w:lang w:val="en-US"/>
              </w:rPr>
            </w:pPr>
            <w:r w:rsidRPr="0063448B">
              <w:rPr>
                <w:sz w:val="24"/>
                <w:szCs w:val="24"/>
                <w:lang w:val="en-US"/>
              </w:rPr>
              <w:t>226 (6.5)</w:t>
            </w:r>
          </w:p>
        </w:tc>
        <w:tc>
          <w:tcPr>
            <w:tcW w:w="846" w:type="pct"/>
            <w:tcBorders>
              <w:top w:val="single" w:sz="4" w:space="0" w:color="auto"/>
              <w:left w:val="single" w:sz="4" w:space="0" w:color="auto"/>
              <w:bottom w:val="single" w:sz="4" w:space="0" w:color="auto"/>
              <w:right w:val="single" w:sz="4" w:space="0" w:color="auto"/>
            </w:tcBorders>
            <w:hideMark/>
          </w:tcPr>
          <w:p w14:paraId="2AB32F65" w14:textId="77777777" w:rsidR="003A108F" w:rsidRPr="0063448B" w:rsidRDefault="003A108F">
            <w:pPr>
              <w:jc w:val="center"/>
              <w:rPr>
                <w:sz w:val="24"/>
                <w:szCs w:val="24"/>
                <w:lang w:val="en-US"/>
              </w:rPr>
            </w:pPr>
            <w:r w:rsidRPr="0063448B">
              <w:rPr>
                <w:sz w:val="24"/>
                <w:szCs w:val="24"/>
                <w:lang w:val="en-US"/>
              </w:rPr>
              <w:t>30.4</w:t>
            </w:r>
          </w:p>
        </w:tc>
        <w:tc>
          <w:tcPr>
            <w:tcW w:w="693" w:type="pct"/>
            <w:tcBorders>
              <w:top w:val="single" w:sz="4" w:space="0" w:color="auto"/>
              <w:left w:val="single" w:sz="4" w:space="0" w:color="auto"/>
              <w:bottom w:val="single" w:sz="4" w:space="0" w:color="auto"/>
              <w:right w:val="single" w:sz="4" w:space="0" w:color="auto"/>
            </w:tcBorders>
            <w:hideMark/>
          </w:tcPr>
          <w:p w14:paraId="372DF9F4" w14:textId="77777777" w:rsidR="003A108F" w:rsidRPr="0063448B" w:rsidRDefault="003A108F">
            <w:pPr>
              <w:jc w:val="center"/>
              <w:rPr>
                <w:sz w:val="24"/>
                <w:szCs w:val="24"/>
                <w:lang w:val="en-US"/>
              </w:rPr>
            </w:pPr>
            <w:r w:rsidRPr="0063448B">
              <w:rPr>
                <w:sz w:val="24"/>
                <w:szCs w:val="24"/>
                <w:lang w:val="en-US"/>
              </w:rPr>
              <w:t>0.90 (0.74,</w:t>
            </w:r>
          </w:p>
          <w:p w14:paraId="79DACB52" w14:textId="77777777" w:rsidR="003A108F" w:rsidRPr="0063448B" w:rsidRDefault="003A108F">
            <w:pPr>
              <w:jc w:val="center"/>
              <w:rPr>
                <w:sz w:val="24"/>
                <w:szCs w:val="24"/>
                <w:lang w:val="en-US"/>
              </w:rPr>
            </w:pPr>
            <w:r w:rsidRPr="0063448B">
              <w:rPr>
                <w:sz w:val="24"/>
                <w:szCs w:val="24"/>
                <w:lang w:val="en-US"/>
              </w:rPr>
              <w:t>1.08)</w:t>
            </w:r>
          </w:p>
        </w:tc>
      </w:tr>
    </w:tbl>
    <w:p w14:paraId="5D738EEF" w14:textId="77777777" w:rsidR="003A108F" w:rsidRPr="004E7E1B" w:rsidRDefault="003A108F" w:rsidP="003E0988">
      <w:pPr>
        <w:ind w:left="426" w:hanging="426"/>
        <w:rPr>
          <w:sz w:val="20"/>
          <w:lang w:val="en-US" w:eastAsia="en-US"/>
        </w:rPr>
      </w:pPr>
      <w:r w:rsidRPr="004E7E1B">
        <w:rPr>
          <w:sz w:val="20"/>
          <w:lang w:val="en-US"/>
        </w:rPr>
        <w:t>*</w:t>
      </w:r>
      <w:r w:rsidRPr="004E7E1B">
        <w:rPr>
          <w:sz w:val="20"/>
          <w:lang w:val="en-US"/>
        </w:rPr>
        <w:tab/>
        <w:t>PY=patient years</w:t>
      </w:r>
    </w:p>
    <w:p w14:paraId="353F4A54" w14:textId="77777777" w:rsidR="003A108F" w:rsidRPr="004E7E1B" w:rsidRDefault="003A108F" w:rsidP="003E0988">
      <w:pPr>
        <w:ind w:left="426" w:hanging="426"/>
        <w:rPr>
          <w:sz w:val="20"/>
          <w:lang w:val="en-US"/>
        </w:rPr>
      </w:pPr>
      <w:r w:rsidRPr="004E7E1B">
        <w:rPr>
          <w:sz w:val="20"/>
          <w:lang w:val="en-US"/>
        </w:rPr>
        <w:t>**</w:t>
      </w:r>
      <w:r w:rsidRPr="004E7E1B">
        <w:rPr>
          <w:sz w:val="20"/>
          <w:lang w:val="en-US"/>
        </w:rPr>
        <w:tab/>
        <w:t>Test on non-inferiority to demonstrate that the upper bound of the 95% CI for the hazard ratio is less than 1.3</w:t>
      </w:r>
    </w:p>
    <w:p w14:paraId="58135ABF" w14:textId="77777777" w:rsidR="003A108F" w:rsidRPr="0063448B" w:rsidRDefault="003A108F" w:rsidP="003A108F">
      <w:pPr>
        <w:rPr>
          <w:sz w:val="24"/>
          <w:szCs w:val="24"/>
          <w:lang w:val="en-US"/>
        </w:rPr>
      </w:pPr>
    </w:p>
    <w:p w14:paraId="798D303E" w14:textId="77777777" w:rsidR="003A108F" w:rsidRPr="0063448B" w:rsidRDefault="003A108F" w:rsidP="003E0988">
      <w:pPr>
        <w:ind w:left="851"/>
        <w:rPr>
          <w:sz w:val="24"/>
          <w:szCs w:val="24"/>
          <w:lang w:val="en-US"/>
        </w:rPr>
      </w:pPr>
      <w:r w:rsidRPr="0063448B">
        <w:rPr>
          <w:sz w:val="24"/>
          <w:szCs w:val="24"/>
          <w:lang w:val="en-US"/>
        </w:rPr>
        <w:t xml:space="preserve">In analyses for albuminuria progression (change from </w:t>
      </w:r>
      <w:proofErr w:type="spellStart"/>
      <w:r w:rsidRPr="0063448B">
        <w:rPr>
          <w:sz w:val="24"/>
          <w:szCs w:val="24"/>
          <w:lang w:val="en-US"/>
        </w:rPr>
        <w:t>normoalbuminuria</w:t>
      </w:r>
      <w:proofErr w:type="spellEnd"/>
      <w:r w:rsidRPr="0063448B">
        <w:rPr>
          <w:sz w:val="24"/>
          <w:szCs w:val="24"/>
          <w:lang w:val="en-US"/>
        </w:rPr>
        <w:t xml:space="preserve"> to micro- or macroalbuminuria, or from microalbuminuria to macroalbuminuria) the estimated hazard ratio was 0.86 (95% CI 0.78, 0.95) for linagliptin versus placebo.</w:t>
      </w:r>
    </w:p>
    <w:p w14:paraId="3880B914" w14:textId="77777777" w:rsidR="003A108F" w:rsidRPr="0063448B" w:rsidRDefault="003A108F" w:rsidP="003E0988">
      <w:pPr>
        <w:ind w:left="851"/>
        <w:rPr>
          <w:sz w:val="24"/>
          <w:szCs w:val="24"/>
          <w:lang w:val="en-US"/>
        </w:rPr>
      </w:pPr>
    </w:p>
    <w:p w14:paraId="3D49062A" w14:textId="77777777" w:rsidR="003A108F" w:rsidRPr="0063448B" w:rsidRDefault="003A108F" w:rsidP="003E0988">
      <w:pPr>
        <w:ind w:left="851"/>
        <w:rPr>
          <w:i/>
          <w:sz w:val="24"/>
          <w:szCs w:val="24"/>
          <w:lang w:val="en-US"/>
        </w:rPr>
      </w:pPr>
      <w:r w:rsidRPr="0063448B">
        <w:rPr>
          <w:i/>
          <w:sz w:val="24"/>
          <w:szCs w:val="24"/>
          <w:lang w:val="en-US"/>
        </w:rPr>
        <w:t>Linagliptin cardiovascular safety study (CAROLINA)</w:t>
      </w:r>
    </w:p>
    <w:p w14:paraId="357E4131" w14:textId="746CFA68" w:rsidR="003A108F" w:rsidRPr="0063448B" w:rsidRDefault="003A108F" w:rsidP="003E0988">
      <w:pPr>
        <w:ind w:left="851"/>
        <w:rPr>
          <w:sz w:val="24"/>
          <w:szCs w:val="24"/>
          <w:lang w:val="en-US"/>
        </w:rPr>
      </w:pPr>
      <w:r w:rsidRPr="0063448B">
        <w:rPr>
          <w:sz w:val="24"/>
          <w:szCs w:val="24"/>
          <w:lang w:val="en-US"/>
        </w:rPr>
        <w:t>CAROLINA was a randomized study in 6033 patients with early type 2 diabetes and increased CV risk or established complications who were treated with linagliptin 5 mg (3023) or glimepiride 1-4mg (3010) added to standard of care (including background therapy with metformin in 83% of patients) targeting regional standards for HbA</w:t>
      </w:r>
      <w:r w:rsidRPr="0063448B">
        <w:rPr>
          <w:sz w:val="24"/>
          <w:szCs w:val="24"/>
          <w:vertAlign w:val="subscript"/>
          <w:lang w:val="en-US"/>
        </w:rPr>
        <w:t>1c</w:t>
      </w:r>
      <w:r w:rsidRPr="0063448B">
        <w:rPr>
          <w:sz w:val="24"/>
          <w:szCs w:val="24"/>
          <w:lang w:val="en-US"/>
        </w:rPr>
        <w:t xml:space="preserve"> and CV risk factors. The mean age for study population was 64 years and included 2030 (34%) </w:t>
      </w:r>
      <w:r w:rsidRPr="0063448B">
        <w:rPr>
          <w:sz w:val="24"/>
          <w:szCs w:val="24"/>
          <w:lang w:val="en-US"/>
        </w:rPr>
        <w:lastRenderedPageBreak/>
        <w:t>patients ≥ 70 years of age. The study population included 2089 (35%) patients with cardiovascular disease and 1130 (19%) patients with renal impairment with an eGFR &lt;</w:t>
      </w:r>
      <w:r w:rsidR="00BA5DCC">
        <w:rPr>
          <w:sz w:val="24"/>
          <w:szCs w:val="24"/>
          <w:lang w:val="en-US"/>
        </w:rPr>
        <w:t> </w:t>
      </w:r>
      <w:r w:rsidRPr="0063448B">
        <w:rPr>
          <w:sz w:val="24"/>
          <w:szCs w:val="24"/>
          <w:lang w:val="en-US"/>
        </w:rPr>
        <w:t>60ml/min/1.73m</w:t>
      </w:r>
      <w:r w:rsidRPr="0063448B">
        <w:rPr>
          <w:sz w:val="24"/>
          <w:szCs w:val="24"/>
          <w:vertAlign w:val="superscript"/>
          <w:lang w:val="en-US"/>
        </w:rPr>
        <w:t>2</w:t>
      </w:r>
      <w:r w:rsidRPr="0063448B">
        <w:rPr>
          <w:sz w:val="24"/>
          <w:szCs w:val="24"/>
          <w:lang w:val="en-US"/>
        </w:rPr>
        <w:t xml:space="preserve"> at baseline. The mean HbA</w:t>
      </w:r>
      <w:r w:rsidRPr="0063448B">
        <w:rPr>
          <w:sz w:val="24"/>
          <w:szCs w:val="24"/>
          <w:vertAlign w:val="subscript"/>
          <w:lang w:val="en-US"/>
        </w:rPr>
        <w:t>1c</w:t>
      </w:r>
      <w:r w:rsidRPr="0063448B">
        <w:rPr>
          <w:sz w:val="24"/>
          <w:szCs w:val="24"/>
          <w:lang w:val="en-US"/>
        </w:rPr>
        <w:t xml:space="preserve"> at baseline was 7.15%.</w:t>
      </w:r>
    </w:p>
    <w:p w14:paraId="4797B6AA" w14:textId="77777777" w:rsidR="003A108F" w:rsidRPr="0063448B" w:rsidRDefault="003A108F" w:rsidP="003E0988">
      <w:pPr>
        <w:ind w:left="851"/>
        <w:rPr>
          <w:sz w:val="24"/>
          <w:szCs w:val="24"/>
          <w:lang w:val="en-US"/>
        </w:rPr>
      </w:pPr>
    </w:p>
    <w:p w14:paraId="224764A3" w14:textId="77777777" w:rsidR="003A108F" w:rsidRPr="0063448B" w:rsidRDefault="003A108F" w:rsidP="003E0988">
      <w:pPr>
        <w:ind w:left="851"/>
        <w:rPr>
          <w:sz w:val="24"/>
          <w:szCs w:val="24"/>
          <w:lang w:val="en-US"/>
        </w:rPr>
      </w:pPr>
      <w:r w:rsidRPr="0063448B">
        <w:rPr>
          <w:sz w:val="24"/>
          <w:szCs w:val="24"/>
          <w:lang w:val="en-US"/>
        </w:rPr>
        <w:t>The study was designed to demonstrate non-inferiority for the primary cardiovascular endpoint which was a composite of the first occurrence of cardiovascular death or a non-fatal myocardial infarction (MI) or a non-fatal stroke (3P-MACE).</w:t>
      </w:r>
    </w:p>
    <w:p w14:paraId="27EC82A1" w14:textId="77777777" w:rsidR="003A108F" w:rsidRPr="0063448B" w:rsidRDefault="003A108F" w:rsidP="003E0988">
      <w:pPr>
        <w:ind w:left="851"/>
        <w:rPr>
          <w:sz w:val="24"/>
          <w:szCs w:val="24"/>
          <w:lang w:val="en-US"/>
        </w:rPr>
      </w:pPr>
    </w:p>
    <w:p w14:paraId="375C23EB" w14:textId="77777777" w:rsidR="003A108F" w:rsidRPr="0063448B" w:rsidRDefault="003A108F" w:rsidP="003E0988">
      <w:pPr>
        <w:ind w:left="851"/>
        <w:rPr>
          <w:sz w:val="24"/>
          <w:szCs w:val="24"/>
          <w:lang w:val="en-US"/>
        </w:rPr>
      </w:pPr>
      <w:r w:rsidRPr="0063448B">
        <w:rPr>
          <w:sz w:val="24"/>
          <w:szCs w:val="24"/>
          <w:lang w:val="en-US"/>
        </w:rPr>
        <w:t>After a median follow up of 6.25 years, linagliptin did not increase the risk of major adverse cardiovascular events (see table 3) as compared to glimepiride. Results were consistent for patients treated with or without metformin.</w:t>
      </w:r>
    </w:p>
    <w:p w14:paraId="384B10C6" w14:textId="77777777" w:rsidR="003A108F" w:rsidRPr="0063448B" w:rsidRDefault="003A108F" w:rsidP="003E0988">
      <w:pPr>
        <w:ind w:left="851"/>
        <w:rPr>
          <w:sz w:val="24"/>
          <w:szCs w:val="24"/>
          <w:u w:val="single" w:color="000000"/>
          <w:lang w:val="en-US"/>
        </w:rPr>
      </w:pPr>
    </w:p>
    <w:p w14:paraId="32CF44D6" w14:textId="77777777" w:rsidR="003A108F" w:rsidRPr="0063448B" w:rsidRDefault="003A108F" w:rsidP="004E7E1B">
      <w:pPr>
        <w:ind w:left="851" w:hanging="851"/>
        <w:rPr>
          <w:sz w:val="24"/>
          <w:szCs w:val="24"/>
          <w:lang w:val="en-US"/>
        </w:rPr>
      </w:pPr>
      <w:r w:rsidRPr="0063448B">
        <w:rPr>
          <w:sz w:val="24"/>
          <w:szCs w:val="24"/>
          <w:lang w:val="en-US"/>
        </w:rPr>
        <w:t>Table 3</w:t>
      </w:r>
      <w:r w:rsidRPr="0063448B">
        <w:rPr>
          <w:sz w:val="24"/>
          <w:szCs w:val="24"/>
          <w:lang w:val="en-US"/>
        </w:rPr>
        <w:tab/>
        <w:t>Major adverse cardiovascular events (MACE) and mortality by treatment group in the CAROLINA study</w:t>
      </w:r>
    </w:p>
    <w:p w14:paraId="54909577" w14:textId="77777777" w:rsidR="003A108F" w:rsidRPr="0063448B" w:rsidRDefault="003A108F" w:rsidP="003A108F">
      <w:pPr>
        <w:rPr>
          <w:sz w:val="24"/>
          <w:szCs w:val="24"/>
          <w:u w:val="single" w:color="000000"/>
          <w:lang w:val="en-US"/>
        </w:rPr>
      </w:pPr>
    </w:p>
    <w:tbl>
      <w:tblPr>
        <w:tblStyle w:val="Tabel-Gitter"/>
        <w:tblW w:w="5000" w:type="pct"/>
        <w:tblInd w:w="0" w:type="dxa"/>
        <w:tblLook w:val="04A0" w:firstRow="1" w:lastRow="0" w:firstColumn="1" w:lastColumn="0" w:noHBand="0" w:noVBand="1"/>
      </w:tblPr>
      <w:tblGrid>
        <w:gridCol w:w="2158"/>
        <w:gridCol w:w="1356"/>
        <w:gridCol w:w="1352"/>
        <w:gridCol w:w="1542"/>
        <w:gridCol w:w="1427"/>
        <w:gridCol w:w="1793"/>
      </w:tblGrid>
      <w:tr w:rsidR="003A108F" w:rsidRPr="0063448B" w14:paraId="7AC9D593" w14:textId="77777777" w:rsidTr="003E0988">
        <w:tc>
          <w:tcPr>
            <w:tcW w:w="1121" w:type="pct"/>
            <w:tcBorders>
              <w:top w:val="single" w:sz="4" w:space="0" w:color="auto"/>
              <w:left w:val="single" w:sz="4" w:space="0" w:color="auto"/>
              <w:bottom w:val="single" w:sz="4" w:space="0" w:color="auto"/>
              <w:right w:val="single" w:sz="4" w:space="0" w:color="auto"/>
            </w:tcBorders>
          </w:tcPr>
          <w:p w14:paraId="49C2DA42" w14:textId="77777777" w:rsidR="003A108F" w:rsidRPr="0063448B" w:rsidRDefault="003A108F">
            <w:pPr>
              <w:rPr>
                <w:sz w:val="24"/>
                <w:szCs w:val="24"/>
                <w:u w:val="single" w:color="000000"/>
                <w:lang w:val="en-US"/>
              </w:rPr>
            </w:pPr>
          </w:p>
        </w:tc>
        <w:tc>
          <w:tcPr>
            <w:tcW w:w="1406" w:type="pct"/>
            <w:gridSpan w:val="2"/>
            <w:tcBorders>
              <w:top w:val="single" w:sz="4" w:space="0" w:color="auto"/>
              <w:left w:val="single" w:sz="4" w:space="0" w:color="auto"/>
              <w:bottom w:val="single" w:sz="4" w:space="0" w:color="auto"/>
              <w:right w:val="single" w:sz="4" w:space="0" w:color="auto"/>
            </w:tcBorders>
            <w:hideMark/>
          </w:tcPr>
          <w:p w14:paraId="533C029F" w14:textId="77777777" w:rsidR="003A108F" w:rsidRPr="0063448B" w:rsidRDefault="003A108F">
            <w:pPr>
              <w:jc w:val="center"/>
              <w:rPr>
                <w:sz w:val="24"/>
                <w:szCs w:val="24"/>
                <w:u w:val="single" w:color="000000"/>
                <w:lang w:val="en-US"/>
              </w:rPr>
            </w:pPr>
            <w:r w:rsidRPr="0063448B">
              <w:rPr>
                <w:b/>
                <w:sz w:val="24"/>
                <w:szCs w:val="24"/>
                <w:lang w:val="en-US"/>
              </w:rPr>
              <w:t>Linagliptin 5mg</w:t>
            </w:r>
          </w:p>
        </w:tc>
        <w:tc>
          <w:tcPr>
            <w:tcW w:w="1542" w:type="pct"/>
            <w:gridSpan w:val="2"/>
            <w:tcBorders>
              <w:top w:val="single" w:sz="4" w:space="0" w:color="auto"/>
              <w:left w:val="single" w:sz="4" w:space="0" w:color="auto"/>
              <w:bottom w:val="single" w:sz="4" w:space="0" w:color="auto"/>
              <w:right w:val="single" w:sz="4" w:space="0" w:color="auto"/>
            </w:tcBorders>
            <w:hideMark/>
          </w:tcPr>
          <w:p w14:paraId="403D7623" w14:textId="77777777" w:rsidR="003A108F" w:rsidRPr="0063448B" w:rsidRDefault="003A108F">
            <w:pPr>
              <w:jc w:val="center"/>
              <w:rPr>
                <w:sz w:val="24"/>
                <w:szCs w:val="24"/>
                <w:u w:val="single" w:color="000000"/>
                <w:lang w:val="en-US"/>
              </w:rPr>
            </w:pPr>
            <w:r w:rsidRPr="0063448B">
              <w:rPr>
                <w:b/>
                <w:sz w:val="24"/>
                <w:szCs w:val="24"/>
                <w:lang w:val="en-US"/>
              </w:rPr>
              <w:t>Glimepiride (1-4mg)</w:t>
            </w:r>
          </w:p>
        </w:tc>
        <w:tc>
          <w:tcPr>
            <w:tcW w:w="931" w:type="pct"/>
            <w:tcBorders>
              <w:top w:val="single" w:sz="4" w:space="0" w:color="auto"/>
              <w:left w:val="single" w:sz="4" w:space="0" w:color="auto"/>
              <w:bottom w:val="single" w:sz="4" w:space="0" w:color="auto"/>
              <w:right w:val="single" w:sz="4" w:space="0" w:color="auto"/>
            </w:tcBorders>
            <w:hideMark/>
          </w:tcPr>
          <w:p w14:paraId="10E9F788" w14:textId="77777777" w:rsidR="003A108F" w:rsidRPr="0063448B" w:rsidRDefault="003A108F">
            <w:pPr>
              <w:jc w:val="center"/>
              <w:rPr>
                <w:sz w:val="24"/>
                <w:szCs w:val="24"/>
                <w:u w:val="single" w:color="000000"/>
                <w:lang w:val="en-US"/>
              </w:rPr>
            </w:pPr>
            <w:r w:rsidRPr="0063448B">
              <w:rPr>
                <w:b/>
                <w:sz w:val="24"/>
                <w:szCs w:val="24"/>
                <w:lang w:val="en-US"/>
              </w:rPr>
              <w:t>Hazard Ratio</w:t>
            </w:r>
          </w:p>
        </w:tc>
      </w:tr>
      <w:tr w:rsidR="003A108F" w:rsidRPr="0063448B" w14:paraId="36B18C53" w14:textId="77777777" w:rsidTr="003E0988">
        <w:tc>
          <w:tcPr>
            <w:tcW w:w="1121" w:type="pct"/>
            <w:tcBorders>
              <w:top w:val="single" w:sz="4" w:space="0" w:color="auto"/>
              <w:left w:val="single" w:sz="4" w:space="0" w:color="auto"/>
              <w:bottom w:val="single" w:sz="4" w:space="0" w:color="auto"/>
              <w:right w:val="single" w:sz="4" w:space="0" w:color="auto"/>
            </w:tcBorders>
          </w:tcPr>
          <w:p w14:paraId="2C1358F2" w14:textId="77777777" w:rsidR="003A108F" w:rsidRPr="0063448B" w:rsidRDefault="003A108F">
            <w:pPr>
              <w:rPr>
                <w:sz w:val="24"/>
                <w:szCs w:val="24"/>
                <w:u w:val="single" w:color="000000"/>
                <w:lang w:val="en-US"/>
              </w:rPr>
            </w:pPr>
          </w:p>
        </w:tc>
        <w:tc>
          <w:tcPr>
            <w:tcW w:w="704" w:type="pct"/>
            <w:tcBorders>
              <w:top w:val="single" w:sz="4" w:space="0" w:color="auto"/>
              <w:left w:val="single" w:sz="4" w:space="0" w:color="auto"/>
              <w:bottom w:val="single" w:sz="4" w:space="0" w:color="auto"/>
              <w:right w:val="single" w:sz="4" w:space="0" w:color="auto"/>
            </w:tcBorders>
            <w:hideMark/>
          </w:tcPr>
          <w:p w14:paraId="7D480F28" w14:textId="77777777" w:rsidR="003A108F" w:rsidRPr="0063448B" w:rsidRDefault="003A108F">
            <w:pPr>
              <w:jc w:val="center"/>
              <w:rPr>
                <w:sz w:val="24"/>
                <w:szCs w:val="24"/>
                <w:u w:val="single" w:color="000000"/>
                <w:lang w:val="en-US"/>
              </w:rPr>
            </w:pPr>
            <w:r w:rsidRPr="0063448B">
              <w:rPr>
                <w:sz w:val="24"/>
                <w:szCs w:val="24"/>
                <w:lang w:val="en-US"/>
              </w:rPr>
              <w:t>Number of Subjects (%)</w:t>
            </w:r>
          </w:p>
        </w:tc>
        <w:tc>
          <w:tcPr>
            <w:tcW w:w="702" w:type="pct"/>
            <w:tcBorders>
              <w:top w:val="single" w:sz="4" w:space="0" w:color="auto"/>
              <w:left w:val="single" w:sz="4" w:space="0" w:color="auto"/>
              <w:bottom w:val="single" w:sz="4" w:space="0" w:color="auto"/>
              <w:right w:val="single" w:sz="4" w:space="0" w:color="auto"/>
            </w:tcBorders>
            <w:hideMark/>
          </w:tcPr>
          <w:p w14:paraId="507A6A2A" w14:textId="77777777" w:rsidR="003A108F" w:rsidRPr="0063448B" w:rsidRDefault="003A108F">
            <w:pPr>
              <w:jc w:val="center"/>
              <w:rPr>
                <w:sz w:val="24"/>
                <w:szCs w:val="24"/>
                <w:u w:val="single" w:color="000000"/>
                <w:lang w:val="en-US"/>
              </w:rPr>
            </w:pPr>
            <w:r w:rsidRPr="0063448B">
              <w:rPr>
                <w:sz w:val="24"/>
                <w:szCs w:val="24"/>
                <w:lang w:val="en-US"/>
              </w:rPr>
              <w:t>Incidence Rate per 1000 PY*</w:t>
            </w:r>
          </w:p>
        </w:tc>
        <w:tc>
          <w:tcPr>
            <w:tcW w:w="801" w:type="pct"/>
            <w:tcBorders>
              <w:top w:val="single" w:sz="4" w:space="0" w:color="auto"/>
              <w:left w:val="single" w:sz="4" w:space="0" w:color="auto"/>
              <w:bottom w:val="single" w:sz="4" w:space="0" w:color="auto"/>
              <w:right w:val="single" w:sz="4" w:space="0" w:color="auto"/>
            </w:tcBorders>
            <w:hideMark/>
          </w:tcPr>
          <w:p w14:paraId="0347B82F" w14:textId="77777777" w:rsidR="003A108F" w:rsidRPr="0063448B" w:rsidRDefault="003A108F">
            <w:pPr>
              <w:jc w:val="center"/>
              <w:rPr>
                <w:sz w:val="24"/>
                <w:szCs w:val="24"/>
                <w:u w:val="single" w:color="000000"/>
                <w:lang w:val="en-US"/>
              </w:rPr>
            </w:pPr>
            <w:r w:rsidRPr="0063448B">
              <w:rPr>
                <w:sz w:val="24"/>
                <w:szCs w:val="24"/>
                <w:lang w:val="en-US"/>
              </w:rPr>
              <w:t>Number of Subjects (%)</w:t>
            </w:r>
          </w:p>
        </w:tc>
        <w:tc>
          <w:tcPr>
            <w:tcW w:w="741" w:type="pct"/>
            <w:tcBorders>
              <w:top w:val="single" w:sz="4" w:space="0" w:color="auto"/>
              <w:left w:val="single" w:sz="4" w:space="0" w:color="auto"/>
              <w:bottom w:val="single" w:sz="4" w:space="0" w:color="auto"/>
              <w:right w:val="single" w:sz="4" w:space="0" w:color="auto"/>
            </w:tcBorders>
            <w:hideMark/>
          </w:tcPr>
          <w:p w14:paraId="71719E44" w14:textId="77777777" w:rsidR="003A108F" w:rsidRPr="0063448B" w:rsidRDefault="003A108F">
            <w:pPr>
              <w:jc w:val="center"/>
              <w:rPr>
                <w:sz w:val="24"/>
                <w:szCs w:val="24"/>
                <w:u w:val="single" w:color="000000"/>
                <w:lang w:val="en-US"/>
              </w:rPr>
            </w:pPr>
            <w:r w:rsidRPr="0063448B">
              <w:rPr>
                <w:sz w:val="24"/>
                <w:szCs w:val="24"/>
                <w:lang w:val="en-US"/>
              </w:rPr>
              <w:t>Incidence Rate per 1000 PY*</w:t>
            </w:r>
          </w:p>
        </w:tc>
        <w:tc>
          <w:tcPr>
            <w:tcW w:w="931" w:type="pct"/>
            <w:tcBorders>
              <w:top w:val="single" w:sz="4" w:space="0" w:color="auto"/>
              <w:left w:val="single" w:sz="4" w:space="0" w:color="auto"/>
              <w:bottom w:val="single" w:sz="4" w:space="0" w:color="auto"/>
              <w:right w:val="single" w:sz="4" w:space="0" w:color="auto"/>
            </w:tcBorders>
            <w:hideMark/>
          </w:tcPr>
          <w:p w14:paraId="2ED18394" w14:textId="77777777" w:rsidR="003A108F" w:rsidRPr="0063448B" w:rsidRDefault="003A108F">
            <w:pPr>
              <w:jc w:val="center"/>
              <w:rPr>
                <w:sz w:val="24"/>
                <w:szCs w:val="24"/>
                <w:u w:val="single" w:color="000000"/>
                <w:lang w:val="en-US"/>
              </w:rPr>
            </w:pPr>
            <w:r w:rsidRPr="0063448B">
              <w:rPr>
                <w:sz w:val="24"/>
                <w:szCs w:val="24"/>
                <w:lang w:val="en-US"/>
              </w:rPr>
              <w:t>(95% CI)</w:t>
            </w:r>
          </w:p>
        </w:tc>
      </w:tr>
      <w:tr w:rsidR="003A108F" w:rsidRPr="0063448B" w14:paraId="1727D955" w14:textId="77777777" w:rsidTr="003E0988">
        <w:tc>
          <w:tcPr>
            <w:tcW w:w="1121" w:type="pct"/>
            <w:tcBorders>
              <w:top w:val="single" w:sz="4" w:space="0" w:color="auto"/>
              <w:left w:val="single" w:sz="4" w:space="0" w:color="auto"/>
              <w:bottom w:val="single" w:sz="4" w:space="0" w:color="auto"/>
              <w:right w:val="single" w:sz="4" w:space="0" w:color="auto"/>
            </w:tcBorders>
            <w:hideMark/>
          </w:tcPr>
          <w:p w14:paraId="54611189" w14:textId="77777777" w:rsidR="003A108F" w:rsidRPr="0063448B" w:rsidRDefault="003A108F">
            <w:pPr>
              <w:rPr>
                <w:sz w:val="24"/>
                <w:szCs w:val="24"/>
                <w:u w:val="single" w:color="000000"/>
                <w:lang w:val="en-US"/>
              </w:rPr>
            </w:pPr>
            <w:r w:rsidRPr="0063448B">
              <w:rPr>
                <w:sz w:val="24"/>
                <w:szCs w:val="24"/>
                <w:lang w:val="en-US"/>
              </w:rPr>
              <w:t>Number of patients</w:t>
            </w:r>
          </w:p>
        </w:tc>
        <w:tc>
          <w:tcPr>
            <w:tcW w:w="1406" w:type="pct"/>
            <w:gridSpan w:val="2"/>
            <w:tcBorders>
              <w:top w:val="single" w:sz="4" w:space="0" w:color="auto"/>
              <w:left w:val="single" w:sz="4" w:space="0" w:color="auto"/>
              <w:bottom w:val="single" w:sz="4" w:space="0" w:color="auto"/>
              <w:right w:val="single" w:sz="4" w:space="0" w:color="auto"/>
            </w:tcBorders>
            <w:hideMark/>
          </w:tcPr>
          <w:p w14:paraId="2AEA9641" w14:textId="77777777" w:rsidR="003A108F" w:rsidRPr="0063448B" w:rsidRDefault="003A108F">
            <w:pPr>
              <w:jc w:val="center"/>
              <w:rPr>
                <w:sz w:val="24"/>
                <w:szCs w:val="24"/>
                <w:u w:val="single" w:color="000000"/>
                <w:lang w:val="en-US"/>
              </w:rPr>
            </w:pPr>
            <w:r w:rsidRPr="0063448B">
              <w:rPr>
                <w:sz w:val="24"/>
                <w:szCs w:val="24"/>
                <w:u w:val="single" w:color="000000"/>
                <w:lang w:val="en-US"/>
              </w:rPr>
              <w:t>3023</w:t>
            </w:r>
          </w:p>
        </w:tc>
        <w:tc>
          <w:tcPr>
            <w:tcW w:w="1542" w:type="pct"/>
            <w:gridSpan w:val="2"/>
            <w:tcBorders>
              <w:top w:val="single" w:sz="4" w:space="0" w:color="auto"/>
              <w:left w:val="single" w:sz="4" w:space="0" w:color="auto"/>
              <w:bottom w:val="single" w:sz="4" w:space="0" w:color="auto"/>
              <w:right w:val="single" w:sz="4" w:space="0" w:color="auto"/>
            </w:tcBorders>
            <w:hideMark/>
          </w:tcPr>
          <w:p w14:paraId="0492FB28" w14:textId="77777777" w:rsidR="003A108F" w:rsidRPr="0063448B" w:rsidRDefault="003A108F">
            <w:pPr>
              <w:jc w:val="center"/>
              <w:rPr>
                <w:sz w:val="24"/>
                <w:szCs w:val="24"/>
                <w:u w:val="single" w:color="000000"/>
                <w:lang w:val="en-US"/>
              </w:rPr>
            </w:pPr>
            <w:r w:rsidRPr="0063448B">
              <w:rPr>
                <w:sz w:val="24"/>
                <w:szCs w:val="24"/>
                <w:u w:val="single" w:color="000000"/>
                <w:lang w:val="en-US"/>
              </w:rPr>
              <w:t>3010</w:t>
            </w:r>
          </w:p>
        </w:tc>
        <w:tc>
          <w:tcPr>
            <w:tcW w:w="931" w:type="pct"/>
            <w:tcBorders>
              <w:top w:val="single" w:sz="4" w:space="0" w:color="auto"/>
              <w:left w:val="single" w:sz="4" w:space="0" w:color="auto"/>
              <w:bottom w:val="single" w:sz="4" w:space="0" w:color="auto"/>
              <w:right w:val="single" w:sz="4" w:space="0" w:color="auto"/>
            </w:tcBorders>
          </w:tcPr>
          <w:p w14:paraId="15B9E235" w14:textId="77777777" w:rsidR="003A108F" w:rsidRPr="0063448B" w:rsidRDefault="003A108F">
            <w:pPr>
              <w:rPr>
                <w:sz w:val="24"/>
                <w:szCs w:val="24"/>
                <w:u w:val="single" w:color="000000"/>
                <w:lang w:val="en-US"/>
              </w:rPr>
            </w:pPr>
          </w:p>
        </w:tc>
      </w:tr>
      <w:tr w:rsidR="003A108F" w:rsidRPr="0063448B" w14:paraId="35E08024" w14:textId="77777777" w:rsidTr="003E0988">
        <w:tc>
          <w:tcPr>
            <w:tcW w:w="1121" w:type="pct"/>
            <w:tcBorders>
              <w:top w:val="single" w:sz="4" w:space="0" w:color="auto"/>
              <w:left w:val="single" w:sz="4" w:space="0" w:color="auto"/>
              <w:bottom w:val="single" w:sz="4" w:space="0" w:color="auto"/>
              <w:right w:val="single" w:sz="4" w:space="0" w:color="auto"/>
            </w:tcBorders>
            <w:hideMark/>
          </w:tcPr>
          <w:p w14:paraId="6EC94FB1" w14:textId="77777777" w:rsidR="003A108F" w:rsidRPr="0063448B" w:rsidRDefault="003A108F">
            <w:pPr>
              <w:rPr>
                <w:sz w:val="24"/>
                <w:szCs w:val="24"/>
                <w:lang w:val="en-US"/>
              </w:rPr>
            </w:pPr>
            <w:r w:rsidRPr="0063448B">
              <w:rPr>
                <w:sz w:val="24"/>
                <w:szCs w:val="24"/>
                <w:lang w:val="en-US"/>
              </w:rPr>
              <w:t>Primary CV composite (Cardiovascular death, non-fatal MI,</w:t>
            </w:r>
          </w:p>
          <w:p w14:paraId="3C0333E2" w14:textId="77777777" w:rsidR="003A108F" w:rsidRPr="0063448B" w:rsidRDefault="003A108F">
            <w:pPr>
              <w:rPr>
                <w:sz w:val="24"/>
                <w:szCs w:val="24"/>
                <w:u w:val="single" w:color="000000"/>
                <w:lang w:val="en-US"/>
              </w:rPr>
            </w:pPr>
            <w:r w:rsidRPr="0063448B">
              <w:rPr>
                <w:sz w:val="24"/>
                <w:szCs w:val="24"/>
                <w:lang w:val="en-US"/>
              </w:rPr>
              <w:t>non-fatal stroke)</w:t>
            </w:r>
          </w:p>
        </w:tc>
        <w:tc>
          <w:tcPr>
            <w:tcW w:w="704" w:type="pct"/>
            <w:tcBorders>
              <w:top w:val="single" w:sz="4" w:space="0" w:color="auto"/>
              <w:left w:val="single" w:sz="4" w:space="0" w:color="auto"/>
              <w:bottom w:val="single" w:sz="4" w:space="0" w:color="auto"/>
              <w:right w:val="single" w:sz="4" w:space="0" w:color="auto"/>
            </w:tcBorders>
            <w:hideMark/>
          </w:tcPr>
          <w:p w14:paraId="61EA453C" w14:textId="77777777" w:rsidR="003A108F" w:rsidRPr="0063448B" w:rsidRDefault="003A108F">
            <w:pPr>
              <w:jc w:val="center"/>
              <w:rPr>
                <w:sz w:val="24"/>
                <w:szCs w:val="24"/>
                <w:u w:val="single" w:color="000000"/>
                <w:lang w:val="en-US"/>
              </w:rPr>
            </w:pPr>
            <w:r w:rsidRPr="0063448B">
              <w:rPr>
                <w:sz w:val="24"/>
                <w:szCs w:val="24"/>
              </w:rPr>
              <w:t>356 (11.8)</w:t>
            </w:r>
          </w:p>
        </w:tc>
        <w:tc>
          <w:tcPr>
            <w:tcW w:w="702" w:type="pct"/>
            <w:tcBorders>
              <w:top w:val="single" w:sz="4" w:space="0" w:color="auto"/>
              <w:left w:val="single" w:sz="4" w:space="0" w:color="auto"/>
              <w:bottom w:val="single" w:sz="4" w:space="0" w:color="auto"/>
              <w:right w:val="single" w:sz="4" w:space="0" w:color="auto"/>
            </w:tcBorders>
            <w:hideMark/>
          </w:tcPr>
          <w:p w14:paraId="736EEA5B" w14:textId="77777777" w:rsidR="003A108F" w:rsidRPr="0063448B" w:rsidRDefault="003A108F">
            <w:pPr>
              <w:jc w:val="center"/>
              <w:rPr>
                <w:sz w:val="24"/>
                <w:szCs w:val="24"/>
                <w:u w:val="single" w:color="000000"/>
                <w:lang w:val="en-US"/>
              </w:rPr>
            </w:pPr>
            <w:r w:rsidRPr="0063448B">
              <w:rPr>
                <w:sz w:val="24"/>
                <w:szCs w:val="24"/>
              </w:rPr>
              <w:t>20.7</w:t>
            </w:r>
          </w:p>
        </w:tc>
        <w:tc>
          <w:tcPr>
            <w:tcW w:w="801" w:type="pct"/>
            <w:tcBorders>
              <w:top w:val="single" w:sz="4" w:space="0" w:color="auto"/>
              <w:left w:val="single" w:sz="4" w:space="0" w:color="auto"/>
              <w:bottom w:val="single" w:sz="4" w:space="0" w:color="auto"/>
              <w:right w:val="single" w:sz="4" w:space="0" w:color="auto"/>
            </w:tcBorders>
            <w:hideMark/>
          </w:tcPr>
          <w:p w14:paraId="0121A3EB" w14:textId="77777777" w:rsidR="003A108F" w:rsidRPr="0063448B" w:rsidRDefault="003A108F">
            <w:pPr>
              <w:jc w:val="center"/>
              <w:rPr>
                <w:sz w:val="24"/>
                <w:szCs w:val="24"/>
                <w:u w:val="single" w:color="000000"/>
                <w:lang w:val="en-US"/>
              </w:rPr>
            </w:pPr>
            <w:r w:rsidRPr="0063448B">
              <w:rPr>
                <w:sz w:val="24"/>
                <w:szCs w:val="24"/>
              </w:rPr>
              <w:t>362 (12.0)</w:t>
            </w:r>
          </w:p>
        </w:tc>
        <w:tc>
          <w:tcPr>
            <w:tcW w:w="741" w:type="pct"/>
            <w:tcBorders>
              <w:top w:val="single" w:sz="4" w:space="0" w:color="auto"/>
              <w:left w:val="single" w:sz="4" w:space="0" w:color="auto"/>
              <w:bottom w:val="single" w:sz="4" w:space="0" w:color="auto"/>
              <w:right w:val="single" w:sz="4" w:space="0" w:color="auto"/>
            </w:tcBorders>
            <w:hideMark/>
          </w:tcPr>
          <w:p w14:paraId="029A0F6B" w14:textId="77777777" w:rsidR="003A108F" w:rsidRPr="0063448B" w:rsidRDefault="003A108F">
            <w:pPr>
              <w:jc w:val="center"/>
              <w:rPr>
                <w:sz w:val="24"/>
                <w:szCs w:val="24"/>
                <w:u w:val="single" w:color="000000"/>
                <w:lang w:val="en-US"/>
              </w:rPr>
            </w:pPr>
            <w:r w:rsidRPr="0063448B">
              <w:rPr>
                <w:sz w:val="24"/>
                <w:szCs w:val="24"/>
              </w:rPr>
              <w:t>21.2</w:t>
            </w:r>
          </w:p>
        </w:tc>
        <w:tc>
          <w:tcPr>
            <w:tcW w:w="931" w:type="pct"/>
            <w:tcBorders>
              <w:top w:val="single" w:sz="4" w:space="0" w:color="auto"/>
              <w:left w:val="single" w:sz="4" w:space="0" w:color="auto"/>
              <w:bottom w:val="single" w:sz="4" w:space="0" w:color="auto"/>
              <w:right w:val="single" w:sz="4" w:space="0" w:color="auto"/>
            </w:tcBorders>
            <w:hideMark/>
          </w:tcPr>
          <w:p w14:paraId="6B4E3351" w14:textId="77777777" w:rsidR="003A108F" w:rsidRPr="0063448B" w:rsidRDefault="003A108F">
            <w:pPr>
              <w:pStyle w:val="TableParagraph"/>
              <w:ind w:left="164" w:right="161"/>
              <w:jc w:val="center"/>
              <w:rPr>
                <w:sz w:val="24"/>
                <w:szCs w:val="24"/>
              </w:rPr>
            </w:pPr>
            <w:r w:rsidRPr="0063448B">
              <w:rPr>
                <w:sz w:val="24"/>
                <w:szCs w:val="24"/>
              </w:rPr>
              <w:t>0.98 (0.84,</w:t>
            </w:r>
          </w:p>
          <w:p w14:paraId="32139FA6" w14:textId="77777777" w:rsidR="003A108F" w:rsidRPr="0063448B" w:rsidRDefault="003A108F">
            <w:pPr>
              <w:jc w:val="center"/>
              <w:rPr>
                <w:sz w:val="24"/>
                <w:szCs w:val="24"/>
                <w:u w:val="single" w:color="000000"/>
                <w:lang w:val="en-US"/>
              </w:rPr>
            </w:pPr>
            <w:proofErr w:type="gramStart"/>
            <w:r w:rsidRPr="0063448B">
              <w:rPr>
                <w:sz w:val="24"/>
                <w:szCs w:val="24"/>
              </w:rPr>
              <w:t>1.14)*</w:t>
            </w:r>
            <w:proofErr w:type="gramEnd"/>
            <w:r w:rsidRPr="0063448B">
              <w:rPr>
                <w:sz w:val="24"/>
                <w:szCs w:val="24"/>
              </w:rPr>
              <w:t>*</w:t>
            </w:r>
          </w:p>
        </w:tc>
      </w:tr>
      <w:tr w:rsidR="003A108F" w:rsidRPr="0063448B" w14:paraId="002DF888" w14:textId="77777777" w:rsidTr="003E0988">
        <w:tc>
          <w:tcPr>
            <w:tcW w:w="1121" w:type="pct"/>
            <w:tcBorders>
              <w:top w:val="single" w:sz="4" w:space="0" w:color="auto"/>
              <w:left w:val="single" w:sz="4" w:space="0" w:color="auto"/>
              <w:bottom w:val="single" w:sz="4" w:space="0" w:color="auto"/>
              <w:right w:val="single" w:sz="4" w:space="0" w:color="auto"/>
            </w:tcBorders>
            <w:hideMark/>
          </w:tcPr>
          <w:p w14:paraId="00A0C0F2" w14:textId="77777777" w:rsidR="003A108F" w:rsidRPr="0063448B" w:rsidRDefault="003A108F">
            <w:pPr>
              <w:rPr>
                <w:sz w:val="24"/>
                <w:szCs w:val="24"/>
                <w:u w:val="single" w:color="000000"/>
                <w:lang w:val="en-US"/>
              </w:rPr>
            </w:pPr>
            <w:r w:rsidRPr="0063448B">
              <w:rPr>
                <w:sz w:val="24"/>
                <w:szCs w:val="24"/>
                <w:lang w:val="en-US"/>
              </w:rPr>
              <w:t>All-cause mortality</w:t>
            </w:r>
          </w:p>
        </w:tc>
        <w:tc>
          <w:tcPr>
            <w:tcW w:w="704" w:type="pct"/>
            <w:tcBorders>
              <w:top w:val="single" w:sz="4" w:space="0" w:color="auto"/>
              <w:left w:val="single" w:sz="4" w:space="0" w:color="auto"/>
              <w:bottom w:val="single" w:sz="4" w:space="0" w:color="auto"/>
              <w:right w:val="single" w:sz="4" w:space="0" w:color="auto"/>
            </w:tcBorders>
            <w:hideMark/>
          </w:tcPr>
          <w:p w14:paraId="3216AB8D" w14:textId="77777777" w:rsidR="003A108F" w:rsidRPr="0063448B" w:rsidRDefault="003A108F">
            <w:pPr>
              <w:jc w:val="center"/>
              <w:rPr>
                <w:sz w:val="24"/>
                <w:szCs w:val="24"/>
                <w:u w:val="single" w:color="000000"/>
                <w:lang w:val="en-US"/>
              </w:rPr>
            </w:pPr>
            <w:r w:rsidRPr="0063448B">
              <w:rPr>
                <w:sz w:val="24"/>
                <w:szCs w:val="24"/>
              </w:rPr>
              <w:t>308 (10.2)</w:t>
            </w:r>
          </w:p>
        </w:tc>
        <w:tc>
          <w:tcPr>
            <w:tcW w:w="702" w:type="pct"/>
            <w:tcBorders>
              <w:top w:val="single" w:sz="4" w:space="0" w:color="auto"/>
              <w:left w:val="single" w:sz="4" w:space="0" w:color="auto"/>
              <w:bottom w:val="single" w:sz="4" w:space="0" w:color="auto"/>
              <w:right w:val="single" w:sz="4" w:space="0" w:color="auto"/>
            </w:tcBorders>
            <w:hideMark/>
          </w:tcPr>
          <w:p w14:paraId="2AC01D70" w14:textId="77777777" w:rsidR="003A108F" w:rsidRPr="0063448B" w:rsidRDefault="003A108F">
            <w:pPr>
              <w:jc w:val="center"/>
              <w:rPr>
                <w:sz w:val="24"/>
                <w:szCs w:val="24"/>
                <w:u w:val="single" w:color="000000"/>
                <w:lang w:val="en-US"/>
              </w:rPr>
            </w:pPr>
            <w:r w:rsidRPr="0063448B">
              <w:rPr>
                <w:sz w:val="24"/>
                <w:szCs w:val="24"/>
              </w:rPr>
              <w:t>16.8</w:t>
            </w:r>
          </w:p>
        </w:tc>
        <w:tc>
          <w:tcPr>
            <w:tcW w:w="801" w:type="pct"/>
            <w:tcBorders>
              <w:top w:val="single" w:sz="4" w:space="0" w:color="auto"/>
              <w:left w:val="single" w:sz="4" w:space="0" w:color="auto"/>
              <w:bottom w:val="single" w:sz="4" w:space="0" w:color="auto"/>
              <w:right w:val="single" w:sz="4" w:space="0" w:color="auto"/>
            </w:tcBorders>
            <w:hideMark/>
          </w:tcPr>
          <w:p w14:paraId="27360F2B" w14:textId="77777777" w:rsidR="003A108F" w:rsidRPr="0063448B" w:rsidRDefault="003A108F">
            <w:pPr>
              <w:jc w:val="center"/>
              <w:rPr>
                <w:sz w:val="24"/>
                <w:szCs w:val="24"/>
                <w:u w:val="single" w:color="000000"/>
                <w:lang w:val="en-US"/>
              </w:rPr>
            </w:pPr>
            <w:r w:rsidRPr="0063448B">
              <w:rPr>
                <w:sz w:val="24"/>
                <w:szCs w:val="24"/>
              </w:rPr>
              <w:t>336 (11.2)</w:t>
            </w:r>
          </w:p>
        </w:tc>
        <w:tc>
          <w:tcPr>
            <w:tcW w:w="741" w:type="pct"/>
            <w:tcBorders>
              <w:top w:val="single" w:sz="4" w:space="0" w:color="auto"/>
              <w:left w:val="single" w:sz="4" w:space="0" w:color="auto"/>
              <w:bottom w:val="single" w:sz="4" w:space="0" w:color="auto"/>
              <w:right w:val="single" w:sz="4" w:space="0" w:color="auto"/>
            </w:tcBorders>
            <w:hideMark/>
          </w:tcPr>
          <w:p w14:paraId="5FF0ACAA" w14:textId="77777777" w:rsidR="003A108F" w:rsidRPr="0063448B" w:rsidRDefault="003A108F">
            <w:pPr>
              <w:jc w:val="center"/>
              <w:rPr>
                <w:sz w:val="24"/>
                <w:szCs w:val="24"/>
                <w:u w:val="single" w:color="000000"/>
                <w:lang w:val="en-US"/>
              </w:rPr>
            </w:pPr>
            <w:r w:rsidRPr="0063448B">
              <w:rPr>
                <w:sz w:val="24"/>
                <w:szCs w:val="24"/>
              </w:rPr>
              <w:t>18.4</w:t>
            </w:r>
          </w:p>
        </w:tc>
        <w:tc>
          <w:tcPr>
            <w:tcW w:w="931" w:type="pct"/>
            <w:tcBorders>
              <w:top w:val="single" w:sz="4" w:space="0" w:color="auto"/>
              <w:left w:val="single" w:sz="4" w:space="0" w:color="auto"/>
              <w:bottom w:val="single" w:sz="4" w:space="0" w:color="auto"/>
              <w:right w:val="single" w:sz="4" w:space="0" w:color="auto"/>
            </w:tcBorders>
            <w:hideMark/>
          </w:tcPr>
          <w:p w14:paraId="2F1CD541" w14:textId="77777777" w:rsidR="003A108F" w:rsidRPr="0063448B" w:rsidRDefault="003A108F">
            <w:pPr>
              <w:jc w:val="center"/>
              <w:rPr>
                <w:sz w:val="24"/>
                <w:szCs w:val="24"/>
                <w:u w:val="single" w:color="000000"/>
                <w:lang w:val="en-US"/>
              </w:rPr>
            </w:pPr>
            <w:r w:rsidRPr="0063448B">
              <w:rPr>
                <w:sz w:val="24"/>
                <w:szCs w:val="24"/>
              </w:rPr>
              <w:t>0.91 (0.78,1.06)</w:t>
            </w:r>
          </w:p>
        </w:tc>
      </w:tr>
      <w:tr w:rsidR="003A108F" w:rsidRPr="0063448B" w14:paraId="10A828A9" w14:textId="77777777" w:rsidTr="003E0988">
        <w:tc>
          <w:tcPr>
            <w:tcW w:w="1121" w:type="pct"/>
            <w:tcBorders>
              <w:top w:val="single" w:sz="4" w:space="0" w:color="auto"/>
              <w:left w:val="single" w:sz="4" w:space="0" w:color="auto"/>
              <w:bottom w:val="single" w:sz="4" w:space="0" w:color="auto"/>
              <w:right w:val="single" w:sz="4" w:space="0" w:color="auto"/>
            </w:tcBorders>
            <w:hideMark/>
          </w:tcPr>
          <w:p w14:paraId="7EA42BAE" w14:textId="77777777" w:rsidR="003A108F" w:rsidRPr="0063448B" w:rsidRDefault="003A108F">
            <w:pPr>
              <w:rPr>
                <w:sz w:val="24"/>
                <w:szCs w:val="24"/>
                <w:u w:val="single" w:color="000000"/>
                <w:lang w:val="en-US"/>
              </w:rPr>
            </w:pPr>
            <w:r w:rsidRPr="0063448B">
              <w:rPr>
                <w:sz w:val="24"/>
                <w:szCs w:val="24"/>
                <w:lang w:val="en-US"/>
              </w:rPr>
              <w:t>CV death</w:t>
            </w:r>
          </w:p>
        </w:tc>
        <w:tc>
          <w:tcPr>
            <w:tcW w:w="704" w:type="pct"/>
            <w:tcBorders>
              <w:top w:val="single" w:sz="4" w:space="0" w:color="auto"/>
              <w:left w:val="single" w:sz="4" w:space="0" w:color="auto"/>
              <w:bottom w:val="single" w:sz="4" w:space="0" w:color="auto"/>
              <w:right w:val="single" w:sz="4" w:space="0" w:color="auto"/>
            </w:tcBorders>
            <w:hideMark/>
          </w:tcPr>
          <w:p w14:paraId="7B2CADD7" w14:textId="77777777" w:rsidR="003A108F" w:rsidRPr="0063448B" w:rsidRDefault="003A108F">
            <w:pPr>
              <w:jc w:val="center"/>
              <w:rPr>
                <w:sz w:val="24"/>
                <w:szCs w:val="24"/>
                <w:u w:val="single" w:color="000000"/>
                <w:lang w:val="en-US"/>
              </w:rPr>
            </w:pPr>
            <w:r w:rsidRPr="0063448B">
              <w:rPr>
                <w:sz w:val="24"/>
                <w:szCs w:val="24"/>
              </w:rPr>
              <w:t>169 (5.6)</w:t>
            </w:r>
          </w:p>
        </w:tc>
        <w:tc>
          <w:tcPr>
            <w:tcW w:w="702" w:type="pct"/>
            <w:tcBorders>
              <w:top w:val="single" w:sz="4" w:space="0" w:color="auto"/>
              <w:left w:val="single" w:sz="4" w:space="0" w:color="auto"/>
              <w:bottom w:val="single" w:sz="4" w:space="0" w:color="auto"/>
              <w:right w:val="single" w:sz="4" w:space="0" w:color="auto"/>
            </w:tcBorders>
            <w:hideMark/>
          </w:tcPr>
          <w:p w14:paraId="7C161474" w14:textId="77777777" w:rsidR="003A108F" w:rsidRPr="0063448B" w:rsidRDefault="003A108F">
            <w:pPr>
              <w:jc w:val="center"/>
              <w:rPr>
                <w:sz w:val="24"/>
                <w:szCs w:val="24"/>
                <w:u w:val="single" w:color="000000"/>
                <w:lang w:val="en-US"/>
              </w:rPr>
            </w:pPr>
            <w:r w:rsidRPr="0063448B">
              <w:rPr>
                <w:sz w:val="24"/>
                <w:szCs w:val="24"/>
              </w:rPr>
              <w:t>9.2</w:t>
            </w:r>
          </w:p>
        </w:tc>
        <w:tc>
          <w:tcPr>
            <w:tcW w:w="801" w:type="pct"/>
            <w:tcBorders>
              <w:top w:val="single" w:sz="4" w:space="0" w:color="auto"/>
              <w:left w:val="single" w:sz="4" w:space="0" w:color="auto"/>
              <w:bottom w:val="single" w:sz="4" w:space="0" w:color="auto"/>
              <w:right w:val="single" w:sz="4" w:space="0" w:color="auto"/>
            </w:tcBorders>
            <w:hideMark/>
          </w:tcPr>
          <w:p w14:paraId="761B9003" w14:textId="77777777" w:rsidR="003A108F" w:rsidRPr="0063448B" w:rsidRDefault="003A108F">
            <w:pPr>
              <w:jc w:val="center"/>
              <w:rPr>
                <w:sz w:val="24"/>
                <w:szCs w:val="24"/>
                <w:u w:val="single" w:color="000000"/>
                <w:lang w:val="en-US"/>
              </w:rPr>
            </w:pPr>
            <w:r w:rsidRPr="0063448B">
              <w:rPr>
                <w:sz w:val="24"/>
                <w:szCs w:val="24"/>
              </w:rPr>
              <w:t>168 (5.6)</w:t>
            </w:r>
          </w:p>
        </w:tc>
        <w:tc>
          <w:tcPr>
            <w:tcW w:w="741" w:type="pct"/>
            <w:tcBorders>
              <w:top w:val="single" w:sz="4" w:space="0" w:color="auto"/>
              <w:left w:val="single" w:sz="4" w:space="0" w:color="auto"/>
              <w:bottom w:val="single" w:sz="4" w:space="0" w:color="auto"/>
              <w:right w:val="single" w:sz="4" w:space="0" w:color="auto"/>
            </w:tcBorders>
            <w:hideMark/>
          </w:tcPr>
          <w:p w14:paraId="1A70B642" w14:textId="77777777" w:rsidR="003A108F" w:rsidRPr="0063448B" w:rsidRDefault="003A108F">
            <w:pPr>
              <w:jc w:val="center"/>
              <w:rPr>
                <w:sz w:val="24"/>
                <w:szCs w:val="24"/>
                <w:u w:val="single" w:color="000000"/>
                <w:lang w:val="en-US"/>
              </w:rPr>
            </w:pPr>
            <w:r w:rsidRPr="0063448B">
              <w:rPr>
                <w:sz w:val="24"/>
                <w:szCs w:val="24"/>
              </w:rPr>
              <w:t>9.2</w:t>
            </w:r>
          </w:p>
        </w:tc>
        <w:tc>
          <w:tcPr>
            <w:tcW w:w="931" w:type="pct"/>
            <w:tcBorders>
              <w:top w:val="single" w:sz="4" w:space="0" w:color="auto"/>
              <w:left w:val="single" w:sz="4" w:space="0" w:color="auto"/>
              <w:bottom w:val="single" w:sz="4" w:space="0" w:color="auto"/>
              <w:right w:val="single" w:sz="4" w:space="0" w:color="auto"/>
            </w:tcBorders>
            <w:hideMark/>
          </w:tcPr>
          <w:p w14:paraId="710CBC7E" w14:textId="77777777" w:rsidR="003A108F" w:rsidRPr="0063448B" w:rsidRDefault="003A108F">
            <w:pPr>
              <w:jc w:val="center"/>
              <w:rPr>
                <w:sz w:val="24"/>
                <w:szCs w:val="24"/>
                <w:u w:val="single" w:color="000000"/>
                <w:lang w:val="en-US"/>
              </w:rPr>
            </w:pPr>
            <w:r w:rsidRPr="0063448B">
              <w:rPr>
                <w:sz w:val="24"/>
                <w:szCs w:val="24"/>
              </w:rPr>
              <w:t>1.00 (0.81, 1.24)</w:t>
            </w:r>
          </w:p>
        </w:tc>
      </w:tr>
      <w:tr w:rsidR="003A108F" w:rsidRPr="0063448B" w14:paraId="4EC6A2BF" w14:textId="77777777" w:rsidTr="003E0988">
        <w:tc>
          <w:tcPr>
            <w:tcW w:w="1121" w:type="pct"/>
            <w:tcBorders>
              <w:top w:val="single" w:sz="4" w:space="0" w:color="auto"/>
              <w:left w:val="single" w:sz="4" w:space="0" w:color="auto"/>
              <w:bottom w:val="single" w:sz="4" w:space="0" w:color="auto"/>
              <w:right w:val="single" w:sz="4" w:space="0" w:color="auto"/>
            </w:tcBorders>
            <w:hideMark/>
          </w:tcPr>
          <w:p w14:paraId="1E2C8AAD" w14:textId="77777777" w:rsidR="003A108F" w:rsidRPr="0063448B" w:rsidRDefault="003A108F">
            <w:pPr>
              <w:rPr>
                <w:sz w:val="24"/>
                <w:szCs w:val="24"/>
                <w:lang w:val="en-US"/>
              </w:rPr>
            </w:pPr>
            <w:r w:rsidRPr="0063448B">
              <w:rPr>
                <w:sz w:val="24"/>
                <w:szCs w:val="24"/>
                <w:lang w:val="en-US"/>
              </w:rPr>
              <w:t>Hospitalization for</w:t>
            </w:r>
          </w:p>
          <w:p w14:paraId="2DD0D9ED" w14:textId="77777777" w:rsidR="003A108F" w:rsidRPr="0063448B" w:rsidRDefault="003A108F">
            <w:pPr>
              <w:rPr>
                <w:sz w:val="24"/>
                <w:szCs w:val="24"/>
                <w:u w:val="single" w:color="000000"/>
                <w:lang w:val="en-US"/>
              </w:rPr>
            </w:pPr>
            <w:r w:rsidRPr="0063448B">
              <w:rPr>
                <w:sz w:val="24"/>
                <w:szCs w:val="24"/>
                <w:lang w:val="en-US"/>
              </w:rPr>
              <w:t>heart failure (HHF)</w:t>
            </w:r>
          </w:p>
        </w:tc>
        <w:tc>
          <w:tcPr>
            <w:tcW w:w="704" w:type="pct"/>
            <w:tcBorders>
              <w:top w:val="single" w:sz="4" w:space="0" w:color="auto"/>
              <w:left w:val="single" w:sz="4" w:space="0" w:color="auto"/>
              <w:bottom w:val="single" w:sz="4" w:space="0" w:color="auto"/>
              <w:right w:val="single" w:sz="4" w:space="0" w:color="auto"/>
            </w:tcBorders>
            <w:hideMark/>
          </w:tcPr>
          <w:p w14:paraId="40453316" w14:textId="77777777" w:rsidR="003A108F" w:rsidRPr="0063448B" w:rsidRDefault="003A108F">
            <w:pPr>
              <w:jc w:val="center"/>
              <w:rPr>
                <w:sz w:val="24"/>
                <w:szCs w:val="24"/>
                <w:u w:val="single" w:color="000000"/>
                <w:lang w:val="en-US"/>
              </w:rPr>
            </w:pPr>
            <w:r w:rsidRPr="0063448B">
              <w:rPr>
                <w:sz w:val="24"/>
                <w:szCs w:val="24"/>
              </w:rPr>
              <w:t>112 (3.7)</w:t>
            </w:r>
          </w:p>
        </w:tc>
        <w:tc>
          <w:tcPr>
            <w:tcW w:w="702" w:type="pct"/>
            <w:tcBorders>
              <w:top w:val="single" w:sz="4" w:space="0" w:color="auto"/>
              <w:left w:val="single" w:sz="4" w:space="0" w:color="auto"/>
              <w:bottom w:val="single" w:sz="4" w:space="0" w:color="auto"/>
              <w:right w:val="single" w:sz="4" w:space="0" w:color="auto"/>
            </w:tcBorders>
            <w:hideMark/>
          </w:tcPr>
          <w:p w14:paraId="39C5B29A" w14:textId="77777777" w:rsidR="003A108F" w:rsidRPr="0063448B" w:rsidRDefault="003A108F">
            <w:pPr>
              <w:jc w:val="center"/>
              <w:rPr>
                <w:sz w:val="24"/>
                <w:szCs w:val="24"/>
                <w:u w:val="single" w:color="000000"/>
                <w:lang w:val="en-US"/>
              </w:rPr>
            </w:pPr>
            <w:r w:rsidRPr="0063448B">
              <w:rPr>
                <w:sz w:val="24"/>
                <w:szCs w:val="24"/>
              </w:rPr>
              <w:t>6.4</w:t>
            </w:r>
          </w:p>
        </w:tc>
        <w:tc>
          <w:tcPr>
            <w:tcW w:w="801" w:type="pct"/>
            <w:tcBorders>
              <w:top w:val="single" w:sz="4" w:space="0" w:color="auto"/>
              <w:left w:val="single" w:sz="4" w:space="0" w:color="auto"/>
              <w:bottom w:val="single" w:sz="4" w:space="0" w:color="auto"/>
              <w:right w:val="single" w:sz="4" w:space="0" w:color="auto"/>
            </w:tcBorders>
            <w:hideMark/>
          </w:tcPr>
          <w:p w14:paraId="70618F17" w14:textId="77777777" w:rsidR="003A108F" w:rsidRPr="0063448B" w:rsidRDefault="003A108F">
            <w:pPr>
              <w:jc w:val="center"/>
              <w:rPr>
                <w:sz w:val="24"/>
                <w:szCs w:val="24"/>
                <w:u w:val="single" w:color="000000"/>
                <w:lang w:val="en-US"/>
              </w:rPr>
            </w:pPr>
            <w:r w:rsidRPr="0063448B">
              <w:rPr>
                <w:sz w:val="24"/>
                <w:szCs w:val="24"/>
              </w:rPr>
              <w:t>92 (3.1)</w:t>
            </w:r>
          </w:p>
        </w:tc>
        <w:tc>
          <w:tcPr>
            <w:tcW w:w="741" w:type="pct"/>
            <w:tcBorders>
              <w:top w:val="single" w:sz="4" w:space="0" w:color="auto"/>
              <w:left w:val="single" w:sz="4" w:space="0" w:color="auto"/>
              <w:bottom w:val="single" w:sz="4" w:space="0" w:color="auto"/>
              <w:right w:val="single" w:sz="4" w:space="0" w:color="auto"/>
            </w:tcBorders>
            <w:hideMark/>
          </w:tcPr>
          <w:p w14:paraId="69BB5AB1" w14:textId="77777777" w:rsidR="003A108F" w:rsidRPr="0063448B" w:rsidRDefault="003A108F">
            <w:pPr>
              <w:jc w:val="center"/>
              <w:rPr>
                <w:sz w:val="24"/>
                <w:szCs w:val="24"/>
                <w:u w:val="single" w:color="000000"/>
                <w:lang w:val="en-US"/>
              </w:rPr>
            </w:pPr>
            <w:r w:rsidRPr="0063448B">
              <w:rPr>
                <w:sz w:val="24"/>
                <w:szCs w:val="24"/>
              </w:rPr>
              <w:t>5.3</w:t>
            </w:r>
          </w:p>
        </w:tc>
        <w:tc>
          <w:tcPr>
            <w:tcW w:w="931" w:type="pct"/>
            <w:tcBorders>
              <w:top w:val="single" w:sz="4" w:space="0" w:color="auto"/>
              <w:left w:val="single" w:sz="4" w:space="0" w:color="auto"/>
              <w:bottom w:val="single" w:sz="4" w:space="0" w:color="auto"/>
              <w:right w:val="single" w:sz="4" w:space="0" w:color="auto"/>
            </w:tcBorders>
            <w:hideMark/>
          </w:tcPr>
          <w:p w14:paraId="53932386" w14:textId="77777777" w:rsidR="003A108F" w:rsidRPr="0063448B" w:rsidRDefault="003A108F" w:rsidP="003A108F">
            <w:pPr>
              <w:pStyle w:val="Listeafsnit"/>
              <w:numPr>
                <w:ilvl w:val="1"/>
                <w:numId w:val="6"/>
              </w:numPr>
              <w:spacing w:line="240" w:lineRule="auto"/>
              <w:jc w:val="center"/>
              <w:rPr>
                <w:sz w:val="24"/>
                <w:szCs w:val="24"/>
                <w:u w:val="single" w:color="000000"/>
                <w:lang w:val="en-US"/>
              </w:rPr>
            </w:pPr>
            <w:r w:rsidRPr="0063448B">
              <w:rPr>
                <w:sz w:val="24"/>
                <w:szCs w:val="24"/>
              </w:rPr>
              <w:t>(0.92, 1.59)</w:t>
            </w:r>
          </w:p>
        </w:tc>
      </w:tr>
    </w:tbl>
    <w:p w14:paraId="355E55C6" w14:textId="77777777" w:rsidR="003A108F" w:rsidRPr="004E7E1B" w:rsidRDefault="003A108F" w:rsidP="003E0988">
      <w:pPr>
        <w:ind w:left="426" w:hanging="426"/>
        <w:rPr>
          <w:sz w:val="20"/>
          <w:lang w:val="en-US" w:eastAsia="en-US"/>
        </w:rPr>
      </w:pPr>
      <w:r w:rsidRPr="004E7E1B">
        <w:rPr>
          <w:sz w:val="20"/>
          <w:lang w:val="en-US"/>
        </w:rPr>
        <w:t>*</w:t>
      </w:r>
      <w:r w:rsidRPr="004E7E1B">
        <w:rPr>
          <w:sz w:val="20"/>
          <w:lang w:val="en-US"/>
        </w:rPr>
        <w:tab/>
        <w:t>PY=patient years</w:t>
      </w:r>
    </w:p>
    <w:p w14:paraId="7F0D6557" w14:textId="77777777" w:rsidR="003A108F" w:rsidRPr="004E7E1B" w:rsidRDefault="003A108F" w:rsidP="003E0988">
      <w:pPr>
        <w:ind w:left="426" w:hanging="426"/>
        <w:rPr>
          <w:sz w:val="20"/>
          <w:lang w:val="en-US"/>
        </w:rPr>
      </w:pPr>
      <w:r w:rsidRPr="004E7E1B">
        <w:rPr>
          <w:sz w:val="20"/>
          <w:lang w:val="en-US"/>
        </w:rPr>
        <w:t>**</w:t>
      </w:r>
      <w:r w:rsidRPr="004E7E1B">
        <w:rPr>
          <w:sz w:val="20"/>
          <w:lang w:val="en-US"/>
        </w:rPr>
        <w:tab/>
        <w:t>Test on non-inferiority to demonstrate that the upper bound of the 95% CI for the hazard ratio is less than 1.3</w:t>
      </w:r>
    </w:p>
    <w:p w14:paraId="3FF5C7B2" w14:textId="77777777" w:rsidR="003A108F" w:rsidRPr="0063448B" w:rsidRDefault="003A108F" w:rsidP="003A108F">
      <w:pPr>
        <w:rPr>
          <w:sz w:val="24"/>
          <w:szCs w:val="24"/>
          <w:u w:val="single" w:color="000000"/>
          <w:lang w:val="en-US"/>
        </w:rPr>
      </w:pPr>
    </w:p>
    <w:p w14:paraId="52FAD2B3" w14:textId="77777777" w:rsidR="003A108F" w:rsidRPr="0063448B" w:rsidRDefault="003A108F" w:rsidP="003E0988">
      <w:pPr>
        <w:ind w:left="851"/>
        <w:rPr>
          <w:sz w:val="24"/>
          <w:szCs w:val="24"/>
          <w:lang w:val="en-US"/>
        </w:rPr>
      </w:pPr>
      <w:r w:rsidRPr="0063448B">
        <w:rPr>
          <w:sz w:val="24"/>
          <w:szCs w:val="24"/>
          <w:lang w:val="en-US"/>
        </w:rPr>
        <w:t xml:space="preserve">For the entire treatment period (median time on treatment 5.9 years) the rate of patients with moderate or severe </w:t>
      </w:r>
      <w:proofErr w:type="spellStart"/>
      <w:r w:rsidRPr="0063448B">
        <w:rPr>
          <w:sz w:val="24"/>
          <w:szCs w:val="24"/>
          <w:lang w:val="en-US"/>
        </w:rPr>
        <w:t>hypoglycaemia</w:t>
      </w:r>
      <w:proofErr w:type="spellEnd"/>
      <w:r w:rsidRPr="0063448B">
        <w:rPr>
          <w:sz w:val="24"/>
          <w:szCs w:val="24"/>
          <w:lang w:val="en-US"/>
        </w:rPr>
        <w:t xml:space="preserve"> was 6.5% on linagliptin versus 30.9% on glimepiride, severe </w:t>
      </w:r>
      <w:proofErr w:type="spellStart"/>
      <w:r w:rsidRPr="0063448B">
        <w:rPr>
          <w:sz w:val="24"/>
          <w:szCs w:val="24"/>
          <w:lang w:val="en-US"/>
        </w:rPr>
        <w:t>hypoglycaemia</w:t>
      </w:r>
      <w:proofErr w:type="spellEnd"/>
      <w:r w:rsidRPr="0063448B">
        <w:rPr>
          <w:sz w:val="24"/>
          <w:szCs w:val="24"/>
          <w:lang w:val="en-US"/>
        </w:rPr>
        <w:t xml:space="preserve"> occurred in 0.3% of patients on linagliptin versus 2.2% on glimepiride.</w:t>
      </w:r>
    </w:p>
    <w:p w14:paraId="7B721176" w14:textId="77777777" w:rsidR="003A108F" w:rsidRPr="0063448B" w:rsidRDefault="003A108F" w:rsidP="003E0988">
      <w:pPr>
        <w:ind w:left="851"/>
        <w:rPr>
          <w:sz w:val="24"/>
          <w:szCs w:val="24"/>
          <w:u w:val="single" w:color="000000"/>
          <w:lang w:val="en-US"/>
        </w:rPr>
      </w:pPr>
    </w:p>
    <w:p w14:paraId="6214E668" w14:textId="77777777" w:rsidR="003A108F" w:rsidRPr="0063448B" w:rsidRDefault="003A108F" w:rsidP="003E0988">
      <w:pPr>
        <w:ind w:left="851"/>
        <w:rPr>
          <w:i/>
          <w:sz w:val="24"/>
          <w:szCs w:val="24"/>
          <w:lang w:val="en-US"/>
        </w:rPr>
      </w:pPr>
      <w:r w:rsidRPr="0063448B">
        <w:rPr>
          <w:i/>
          <w:sz w:val="24"/>
          <w:szCs w:val="24"/>
          <w:lang w:val="en-US"/>
        </w:rPr>
        <w:t>Paediatric population</w:t>
      </w:r>
    </w:p>
    <w:p w14:paraId="56D81E70" w14:textId="77777777" w:rsidR="003A108F" w:rsidRPr="0063448B" w:rsidRDefault="003A108F" w:rsidP="003E0988">
      <w:pPr>
        <w:ind w:left="851"/>
        <w:rPr>
          <w:iCs/>
          <w:sz w:val="24"/>
          <w:szCs w:val="24"/>
          <w:lang w:val="en-US"/>
        </w:rPr>
      </w:pPr>
      <w:r w:rsidRPr="0063448B">
        <w:rPr>
          <w:iCs/>
          <w:sz w:val="24"/>
          <w:szCs w:val="24"/>
          <w:lang w:val="en-US"/>
        </w:rPr>
        <w:t xml:space="preserve">The clinical efficacy and safety of empagliflozin 10 mg with potential dose-increase to 25 mg or linagliptin 5 mg once daily has been studied in children and adolescents from 10 to 17 years of age with T2DM in a double-blind, </w:t>
      </w:r>
      <w:proofErr w:type="spellStart"/>
      <w:r w:rsidRPr="0063448B">
        <w:rPr>
          <w:iCs/>
          <w:sz w:val="24"/>
          <w:szCs w:val="24"/>
          <w:lang w:val="en-US"/>
        </w:rPr>
        <w:t>randomised</w:t>
      </w:r>
      <w:proofErr w:type="spellEnd"/>
      <w:r w:rsidRPr="0063448B">
        <w:rPr>
          <w:iCs/>
          <w:sz w:val="24"/>
          <w:szCs w:val="24"/>
          <w:lang w:val="en-US"/>
        </w:rPr>
        <w:t>, placebo-controlled, parallel group study (DINAMO) over 26 weeks, with a double-blind active treatment safety extension period up to 52 weeks.</w:t>
      </w:r>
    </w:p>
    <w:p w14:paraId="3C1495CA" w14:textId="77777777" w:rsidR="003A108F" w:rsidRPr="0063448B" w:rsidRDefault="003A108F" w:rsidP="003E0988">
      <w:pPr>
        <w:ind w:left="851"/>
        <w:rPr>
          <w:sz w:val="24"/>
          <w:szCs w:val="24"/>
          <w:lang w:val="en-US"/>
        </w:rPr>
      </w:pPr>
      <w:r w:rsidRPr="0063448B">
        <w:rPr>
          <w:sz w:val="24"/>
          <w:szCs w:val="24"/>
          <w:lang w:val="en-US"/>
        </w:rPr>
        <w:t>At baseline, the mean HbA</w:t>
      </w:r>
      <w:r w:rsidRPr="0063448B">
        <w:rPr>
          <w:sz w:val="24"/>
          <w:szCs w:val="24"/>
          <w:vertAlign w:val="subscript"/>
          <w:lang w:val="en-US"/>
        </w:rPr>
        <w:t>1c</w:t>
      </w:r>
      <w:r w:rsidRPr="0063448B">
        <w:rPr>
          <w:sz w:val="24"/>
          <w:szCs w:val="24"/>
          <w:lang w:val="en-US"/>
        </w:rPr>
        <w:t xml:space="preserve"> was 8.03%. Treatment with linagliptin 5 mg did not provide significant improvement in HbA</w:t>
      </w:r>
      <w:r w:rsidRPr="0063448B">
        <w:rPr>
          <w:sz w:val="24"/>
          <w:szCs w:val="24"/>
          <w:vertAlign w:val="subscript"/>
          <w:lang w:val="en-US"/>
        </w:rPr>
        <w:t>1c</w:t>
      </w:r>
      <w:r w:rsidRPr="0063448B">
        <w:rPr>
          <w:sz w:val="24"/>
          <w:szCs w:val="24"/>
          <w:lang w:val="en-US"/>
        </w:rPr>
        <w:t xml:space="preserve">. The treatment difference of adjusted mean </w:t>
      </w:r>
      <w:proofErr w:type="gramStart"/>
      <w:r w:rsidRPr="0063448B">
        <w:rPr>
          <w:sz w:val="24"/>
          <w:szCs w:val="24"/>
          <w:lang w:val="en-US"/>
        </w:rPr>
        <w:t>change</w:t>
      </w:r>
      <w:proofErr w:type="gramEnd"/>
      <w:r w:rsidRPr="0063448B">
        <w:rPr>
          <w:sz w:val="24"/>
          <w:szCs w:val="24"/>
          <w:lang w:val="en-US"/>
        </w:rPr>
        <w:t xml:space="preserve"> in HbA</w:t>
      </w:r>
      <w:r w:rsidRPr="0063448B">
        <w:rPr>
          <w:sz w:val="24"/>
          <w:szCs w:val="24"/>
          <w:vertAlign w:val="subscript"/>
          <w:lang w:val="en-US"/>
        </w:rPr>
        <w:t>1c</w:t>
      </w:r>
      <w:r w:rsidRPr="0063448B">
        <w:rPr>
          <w:sz w:val="24"/>
          <w:szCs w:val="24"/>
          <w:lang w:val="en-US"/>
        </w:rPr>
        <w:t xml:space="preserve"> after 26 weeks between linagliptin and placebo was -0.34% (95% CI -0.99, 0.30; p=0.2935). The adjusted mean change in HbA</w:t>
      </w:r>
      <w:r w:rsidRPr="0063448B">
        <w:rPr>
          <w:sz w:val="24"/>
          <w:szCs w:val="24"/>
          <w:vertAlign w:val="subscript"/>
          <w:lang w:val="en-US"/>
        </w:rPr>
        <w:t>1c</w:t>
      </w:r>
      <w:r w:rsidRPr="0063448B">
        <w:rPr>
          <w:sz w:val="24"/>
          <w:szCs w:val="24"/>
          <w:lang w:val="en-US"/>
        </w:rPr>
        <w:t xml:space="preserve"> from baseline was 0.33% in patients treated with linagliptin and 0.68% in patients treated with placebo (see section 4.2).</w:t>
      </w:r>
    </w:p>
    <w:p w14:paraId="3249E759" w14:textId="13CF4F43" w:rsidR="00BA5DCC" w:rsidRDefault="00BA5DCC">
      <w:pPr>
        <w:rPr>
          <w:sz w:val="24"/>
          <w:szCs w:val="24"/>
          <w:lang w:val="en-GB"/>
        </w:rPr>
      </w:pPr>
      <w:r>
        <w:rPr>
          <w:sz w:val="24"/>
          <w:szCs w:val="24"/>
          <w:lang w:val="en-GB"/>
        </w:rPr>
        <w:br w:type="page"/>
      </w:r>
    </w:p>
    <w:p w14:paraId="13206AF9" w14:textId="77777777" w:rsidR="007C5D2A" w:rsidRPr="0063448B" w:rsidRDefault="007C5D2A" w:rsidP="003E0341">
      <w:pPr>
        <w:tabs>
          <w:tab w:val="left" w:pos="851"/>
        </w:tabs>
        <w:ind w:left="851"/>
        <w:rPr>
          <w:sz w:val="24"/>
          <w:szCs w:val="24"/>
          <w:lang w:val="en-GB"/>
        </w:rPr>
      </w:pPr>
    </w:p>
    <w:p w14:paraId="583D2210" w14:textId="38951D4A" w:rsidR="007C5D2A" w:rsidRPr="0063448B" w:rsidRDefault="007C5D2A" w:rsidP="007C5D2A">
      <w:pPr>
        <w:tabs>
          <w:tab w:val="left" w:pos="851"/>
        </w:tabs>
        <w:ind w:left="851" w:hanging="851"/>
        <w:rPr>
          <w:b/>
          <w:sz w:val="24"/>
          <w:szCs w:val="24"/>
          <w:lang w:val="en-GB"/>
        </w:rPr>
      </w:pPr>
      <w:r w:rsidRPr="0063448B">
        <w:rPr>
          <w:b/>
          <w:sz w:val="24"/>
          <w:szCs w:val="24"/>
          <w:lang w:val="en-GB"/>
        </w:rPr>
        <w:t>5.2</w:t>
      </w:r>
      <w:r w:rsidRPr="0063448B">
        <w:rPr>
          <w:b/>
          <w:sz w:val="24"/>
          <w:szCs w:val="24"/>
          <w:lang w:val="en-GB"/>
        </w:rPr>
        <w:tab/>
        <w:t>Pharmacokinetic properties</w:t>
      </w:r>
    </w:p>
    <w:p w14:paraId="008678AF" w14:textId="77777777" w:rsidR="003A108F" w:rsidRPr="0063448B" w:rsidRDefault="003A108F" w:rsidP="0063448B">
      <w:pPr>
        <w:ind w:left="851"/>
        <w:rPr>
          <w:sz w:val="24"/>
          <w:szCs w:val="24"/>
          <w:lang w:val="en-US"/>
        </w:rPr>
      </w:pPr>
      <w:r w:rsidRPr="0063448B">
        <w:rPr>
          <w:sz w:val="24"/>
          <w:szCs w:val="24"/>
          <w:lang w:val="en-US"/>
        </w:rPr>
        <w:t xml:space="preserve">The pharmacokinetics of linagliptin has been extensively </w:t>
      </w:r>
      <w:proofErr w:type="spellStart"/>
      <w:r w:rsidRPr="0063448B">
        <w:rPr>
          <w:sz w:val="24"/>
          <w:szCs w:val="24"/>
          <w:lang w:val="en-US"/>
        </w:rPr>
        <w:t>characterised</w:t>
      </w:r>
      <w:proofErr w:type="spellEnd"/>
      <w:r w:rsidRPr="0063448B">
        <w:rPr>
          <w:sz w:val="24"/>
          <w:szCs w:val="24"/>
          <w:lang w:val="en-US"/>
        </w:rPr>
        <w:t xml:space="preserve"> in healthy subjects and patients with type 2 diabetes. After oral administration of a 5 mg dose to healthy volunteers or patients, linagliptin was rapidly absorbed, with peak plasma concentrations (median </w:t>
      </w:r>
      <w:proofErr w:type="spellStart"/>
      <w:r w:rsidRPr="0063448B">
        <w:rPr>
          <w:sz w:val="24"/>
          <w:szCs w:val="24"/>
          <w:lang w:val="en-US"/>
        </w:rPr>
        <w:t>T</w:t>
      </w:r>
      <w:r w:rsidRPr="0063448B">
        <w:rPr>
          <w:sz w:val="24"/>
          <w:szCs w:val="24"/>
          <w:vertAlign w:val="subscript"/>
          <w:lang w:val="en-US"/>
        </w:rPr>
        <w:t>max</w:t>
      </w:r>
      <w:proofErr w:type="spellEnd"/>
      <w:r w:rsidRPr="0063448B">
        <w:rPr>
          <w:sz w:val="24"/>
          <w:szCs w:val="24"/>
          <w:lang w:val="en-US"/>
        </w:rPr>
        <w:t>) occurring 1.5 hours post-dose.</w:t>
      </w:r>
    </w:p>
    <w:p w14:paraId="41D07BFC" w14:textId="77777777" w:rsidR="003A108F" w:rsidRPr="0063448B" w:rsidRDefault="003A108F" w:rsidP="0063448B">
      <w:pPr>
        <w:ind w:left="851"/>
        <w:rPr>
          <w:sz w:val="24"/>
          <w:szCs w:val="24"/>
          <w:lang w:val="en-US"/>
        </w:rPr>
      </w:pPr>
    </w:p>
    <w:p w14:paraId="7631450B" w14:textId="77777777" w:rsidR="003A108F" w:rsidRPr="0063448B" w:rsidRDefault="003A108F" w:rsidP="0063448B">
      <w:pPr>
        <w:ind w:left="851"/>
        <w:rPr>
          <w:sz w:val="24"/>
          <w:szCs w:val="24"/>
          <w:lang w:val="en-US"/>
        </w:rPr>
      </w:pPr>
      <w:r w:rsidRPr="0063448B">
        <w:rPr>
          <w:sz w:val="24"/>
          <w:szCs w:val="24"/>
          <w:lang w:val="en-US"/>
        </w:rPr>
        <w:t xml:space="preserve">Plasma concentrations of linagliptin decline in a triphasic manner with a long terminal half-life (terminal half-life for linagliptin more than 100 hours), that is mostly related to the saturable, tight binding of linagliptin to DPP-4 and does not contribute to the accumulation of the medicinal product. The effective half-life for accumulation of linagliptin, as determined from oral administration of multiple doses of 5 mg linagliptin, is approximately 12 hours. After once daily dosing of 5 mg linagliptin, steady-state plasma concentrations are reached by the third dose. Plasma AUC of linagliptin increased approximately 33% following 5 mg doses at steady-state compared to the first dose. The intra-subject and inter-subject coefficients of variation for linagliptin AUC were small (12.6% and 28.5%, respectively). Due to the concentration dependent binding of linagliptin to DPP-4, the pharmacokinetics of linagliptin based on total exposure is not linear; </w:t>
      </w:r>
      <w:proofErr w:type="gramStart"/>
      <w:r w:rsidRPr="0063448B">
        <w:rPr>
          <w:sz w:val="24"/>
          <w:szCs w:val="24"/>
          <w:lang w:val="en-US"/>
        </w:rPr>
        <w:t>indeed</w:t>
      </w:r>
      <w:proofErr w:type="gramEnd"/>
      <w:r w:rsidRPr="0063448B">
        <w:rPr>
          <w:sz w:val="24"/>
          <w:szCs w:val="24"/>
          <w:lang w:val="en-US"/>
        </w:rPr>
        <w:t xml:space="preserve"> total plasma AUC of linagliptin increased in a less than dose-proportional manner while unbound AUC increases in a roughly dose-proportional manner. The pharmacokinetics of linagliptin was generally similar in healthy subjects and in patients with type 2 diabetes.</w:t>
      </w:r>
    </w:p>
    <w:p w14:paraId="5B329BC6" w14:textId="77777777" w:rsidR="003A108F" w:rsidRPr="0063448B" w:rsidRDefault="003A108F" w:rsidP="0063448B">
      <w:pPr>
        <w:tabs>
          <w:tab w:val="left" w:pos="1245"/>
        </w:tabs>
        <w:ind w:left="851"/>
        <w:rPr>
          <w:sz w:val="24"/>
          <w:szCs w:val="24"/>
          <w:lang w:val="en-US"/>
        </w:rPr>
      </w:pPr>
    </w:p>
    <w:p w14:paraId="3F8EE09C" w14:textId="77777777" w:rsidR="003A108F" w:rsidRPr="0063448B" w:rsidRDefault="003A108F" w:rsidP="0063448B">
      <w:pPr>
        <w:tabs>
          <w:tab w:val="left" w:pos="1245"/>
        </w:tabs>
        <w:ind w:left="851"/>
        <w:rPr>
          <w:sz w:val="24"/>
          <w:szCs w:val="24"/>
          <w:lang w:val="en-US"/>
        </w:rPr>
      </w:pPr>
      <w:r w:rsidRPr="0063448B">
        <w:rPr>
          <w:sz w:val="24"/>
          <w:szCs w:val="24"/>
          <w:u w:val="single"/>
          <w:lang w:val="en-US"/>
        </w:rPr>
        <w:t>Absorption</w:t>
      </w:r>
    </w:p>
    <w:p w14:paraId="674B86CD" w14:textId="5DB49DAF" w:rsidR="003A108F" w:rsidRPr="0063448B" w:rsidRDefault="003A108F" w:rsidP="0063448B">
      <w:pPr>
        <w:ind w:left="851"/>
        <w:rPr>
          <w:sz w:val="24"/>
          <w:szCs w:val="24"/>
          <w:lang w:val="en-US"/>
        </w:rPr>
      </w:pPr>
      <w:r w:rsidRPr="0063448B">
        <w:rPr>
          <w:sz w:val="24"/>
          <w:szCs w:val="24"/>
          <w:lang w:val="en-US"/>
        </w:rPr>
        <w:t xml:space="preserve">The absolute bioavailability of linagliptin is approximately 30%. Co-administration of a high-fat meal with linagliptin prolonged the time to reach </w:t>
      </w:r>
      <w:proofErr w:type="spellStart"/>
      <w:r w:rsidRPr="0063448B">
        <w:rPr>
          <w:sz w:val="24"/>
          <w:szCs w:val="24"/>
          <w:lang w:val="en-US"/>
        </w:rPr>
        <w:t>C</w:t>
      </w:r>
      <w:r w:rsidRPr="0063448B">
        <w:rPr>
          <w:sz w:val="24"/>
          <w:szCs w:val="24"/>
          <w:vertAlign w:val="subscript"/>
          <w:lang w:val="en-US"/>
        </w:rPr>
        <w:t>max</w:t>
      </w:r>
      <w:proofErr w:type="spellEnd"/>
      <w:r w:rsidRPr="0063448B">
        <w:rPr>
          <w:sz w:val="24"/>
          <w:szCs w:val="24"/>
          <w:lang w:val="en-US"/>
        </w:rPr>
        <w:t xml:space="preserve"> by 2 hours and lowered </w:t>
      </w:r>
      <w:proofErr w:type="spellStart"/>
      <w:r w:rsidRPr="0063448B">
        <w:rPr>
          <w:sz w:val="24"/>
          <w:szCs w:val="24"/>
          <w:lang w:val="en-US"/>
        </w:rPr>
        <w:t>C</w:t>
      </w:r>
      <w:r w:rsidRPr="0063448B">
        <w:rPr>
          <w:sz w:val="24"/>
          <w:szCs w:val="24"/>
          <w:vertAlign w:val="subscript"/>
          <w:lang w:val="en-US"/>
        </w:rPr>
        <w:t>max</w:t>
      </w:r>
      <w:proofErr w:type="spellEnd"/>
      <w:r w:rsidRPr="0063448B">
        <w:rPr>
          <w:sz w:val="24"/>
          <w:szCs w:val="24"/>
          <w:lang w:val="en-US"/>
        </w:rPr>
        <w:t xml:space="preserve"> by 15% but no influence on AUC </w:t>
      </w:r>
      <w:r w:rsidRPr="0063448B">
        <w:rPr>
          <w:sz w:val="24"/>
          <w:szCs w:val="24"/>
          <w:vertAlign w:val="subscript"/>
          <w:lang w:val="en-US"/>
        </w:rPr>
        <w:t>0-72h</w:t>
      </w:r>
      <w:r w:rsidRPr="0063448B">
        <w:rPr>
          <w:sz w:val="24"/>
          <w:szCs w:val="24"/>
          <w:lang w:val="en-US"/>
        </w:rPr>
        <w:t xml:space="preserve"> was observed. No clinically relevant effect of </w:t>
      </w:r>
      <w:proofErr w:type="spellStart"/>
      <w:r w:rsidRPr="0063448B">
        <w:rPr>
          <w:sz w:val="24"/>
          <w:szCs w:val="24"/>
          <w:lang w:val="en-US"/>
        </w:rPr>
        <w:t>C</w:t>
      </w:r>
      <w:r w:rsidRPr="0063448B">
        <w:rPr>
          <w:sz w:val="24"/>
          <w:szCs w:val="24"/>
          <w:vertAlign w:val="subscript"/>
          <w:lang w:val="en-US"/>
        </w:rPr>
        <w:t>max</w:t>
      </w:r>
      <w:proofErr w:type="spellEnd"/>
      <w:r w:rsidRPr="0063448B">
        <w:rPr>
          <w:sz w:val="24"/>
          <w:szCs w:val="24"/>
          <w:lang w:val="en-US"/>
        </w:rPr>
        <w:t xml:space="preserve"> and </w:t>
      </w:r>
      <w:proofErr w:type="spellStart"/>
      <w:r w:rsidRPr="0063448B">
        <w:rPr>
          <w:sz w:val="24"/>
          <w:szCs w:val="24"/>
          <w:lang w:val="en-US"/>
        </w:rPr>
        <w:t>T</w:t>
      </w:r>
      <w:r w:rsidRPr="0063448B">
        <w:rPr>
          <w:sz w:val="24"/>
          <w:szCs w:val="24"/>
          <w:vertAlign w:val="subscript"/>
          <w:lang w:val="en-US"/>
        </w:rPr>
        <w:t>max</w:t>
      </w:r>
      <w:proofErr w:type="spellEnd"/>
      <w:r w:rsidRPr="0063448B">
        <w:rPr>
          <w:sz w:val="24"/>
          <w:szCs w:val="24"/>
          <w:lang w:val="en-US"/>
        </w:rPr>
        <w:t xml:space="preserve"> changes is expected; therefore</w:t>
      </w:r>
      <w:r w:rsidR="00BA5DCC">
        <w:rPr>
          <w:sz w:val="24"/>
          <w:szCs w:val="24"/>
          <w:lang w:val="en-US"/>
        </w:rPr>
        <w:t>,</w:t>
      </w:r>
      <w:r w:rsidRPr="0063448B">
        <w:rPr>
          <w:sz w:val="24"/>
          <w:szCs w:val="24"/>
          <w:lang w:val="en-US"/>
        </w:rPr>
        <w:t xml:space="preserve"> linagliptin may be administered with or without food.</w:t>
      </w:r>
    </w:p>
    <w:p w14:paraId="577F6746" w14:textId="77777777" w:rsidR="003A108F" w:rsidRPr="0063448B" w:rsidRDefault="003A108F" w:rsidP="0063448B">
      <w:pPr>
        <w:ind w:left="851"/>
        <w:rPr>
          <w:sz w:val="24"/>
          <w:szCs w:val="24"/>
          <w:lang w:val="en-US"/>
        </w:rPr>
      </w:pPr>
    </w:p>
    <w:p w14:paraId="4DA9CB7C" w14:textId="77777777" w:rsidR="003A108F" w:rsidRPr="0063448B" w:rsidRDefault="003A108F" w:rsidP="0063448B">
      <w:pPr>
        <w:ind w:left="851"/>
        <w:rPr>
          <w:sz w:val="24"/>
          <w:szCs w:val="24"/>
          <w:lang w:val="en-US"/>
        </w:rPr>
      </w:pPr>
      <w:r w:rsidRPr="0063448B">
        <w:rPr>
          <w:sz w:val="24"/>
          <w:szCs w:val="24"/>
          <w:u w:val="single"/>
          <w:lang w:val="en-US"/>
        </w:rPr>
        <w:t>Distribution</w:t>
      </w:r>
    </w:p>
    <w:p w14:paraId="05F032D6" w14:textId="77777777" w:rsidR="003A108F" w:rsidRPr="0063448B" w:rsidRDefault="003A108F" w:rsidP="0063448B">
      <w:pPr>
        <w:ind w:left="851"/>
        <w:rPr>
          <w:sz w:val="24"/>
          <w:szCs w:val="24"/>
          <w:lang w:val="en-US"/>
        </w:rPr>
      </w:pPr>
      <w:r w:rsidRPr="0063448B">
        <w:rPr>
          <w:sz w:val="24"/>
          <w:szCs w:val="24"/>
          <w:lang w:val="en-US"/>
        </w:rPr>
        <w:t xml:space="preserve">As a result of tissue binding, the mean apparent volume of distribution at steady-state following a single 5 mg intravenous dose of linagliptin to healthy subjects is approximately 1,110 </w:t>
      </w:r>
      <w:proofErr w:type="spellStart"/>
      <w:r w:rsidRPr="0063448B">
        <w:rPr>
          <w:sz w:val="24"/>
          <w:szCs w:val="24"/>
          <w:lang w:val="en-US"/>
        </w:rPr>
        <w:t>litres</w:t>
      </w:r>
      <w:proofErr w:type="spellEnd"/>
      <w:r w:rsidRPr="0063448B">
        <w:rPr>
          <w:sz w:val="24"/>
          <w:szCs w:val="24"/>
          <w:lang w:val="en-US"/>
        </w:rPr>
        <w:t>, indicating that linagliptin extensively distributes to the tissues. Plasma protein binding of linagliptin is concentration-dependent, decreasing from about 99% at 1 nmol/l to 75-89% at ≥30 nmol/l, reflecting saturation of binding to DPP-4 with increasing concentration of linagliptin. At high concentrations, where DPP-4 is fully saturated, 70-80% of linagliptin was bound to other plasma proteins than DPP-4, hence 30-20% were unbound in plasma.</w:t>
      </w:r>
    </w:p>
    <w:p w14:paraId="6ADAE699" w14:textId="77777777" w:rsidR="003A108F" w:rsidRPr="0063448B" w:rsidRDefault="003A108F" w:rsidP="0063448B">
      <w:pPr>
        <w:ind w:left="851"/>
        <w:rPr>
          <w:sz w:val="24"/>
          <w:szCs w:val="24"/>
          <w:lang w:val="en-US"/>
        </w:rPr>
      </w:pPr>
    </w:p>
    <w:p w14:paraId="6ACD77E3" w14:textId="77777777" w:rsidR="003A108F" w:rsidRPr="0063448B" w:rsidRDefault="003A108F" w:rsidP="0063448B">
      <w:pPr>
        <w:ind w:left="851"/>
        <w:rPr>
          <w:sz w:val="24"/>
          <w:szCs w:val="24"/>
          <w:lang w:val="en-US"/>
        </w:rPr>
      </w:pPr>
      <w:r w:rsidRPr="0063448B">
        <w:rPr>
          <w:sz w:val="24"/>
          <w:szCs w:val="24"/>
          <w:u w:val="single"/>
          <w:lang w:val="en-US"/>
        </w:rPr>
        <w:t>Biotransformation</w:t>
      </w:r>
    </w:p>
    <w:p w14:paraId="677D267D" w14:textId="77777777" w:rsidR="003A108F" w:rsidRPr="0063448B" w:rsidRDefault="003A108F" w:rsidP="0063448B">
      <w:pPr>
        <w:ind w:left="851"/>
        <w:rPr>
          <w:sz w:val="24"/>
          <w:szCs w:val="24"/>
          <w:lang w:val="en-US"/>
        </w:rPr>
      </w:pPr>
      <w:r w:rsidRPr="0063448B">
        <w:rPr>
          <w:sz w:val="24"/>
          <w:szCs w:val="24"/>
          <w:lang w:val="en-US"/>
        </w:rPr>
        <w:t>Following a [</w:t>
      </w:r>
      <w:r w:rsidRPr="0063448B">
        <w:rPr>
          <w:sz w:val="24"/>
          <w:szCs w:val="24"/>
          <w:vertAlign w:val="superscript"/>
          <w:lang w:val="en-US"/>
        </w:rPr>
        <w:t>14</w:t>
      </w:r>
      <w:r w:rsidRPr="0063448B">
        <w:rPr>
          <w:sz w:val="24"/>
          <w:szCs w:val="24"/>
          <w:lang w:val="en-US"/>
        </w:rPr>
        <w:t>C] linagliptin oral 10 mg dose, approximately 5% of the radioactivity was excreted in urine. Metabolism plays a subordinate role in the elimination of linagliptin. One main metabolite with a relative exposure of 13.3% of linagliptin at steady-state was detected which was found to be pharmacologically inactive and thus does not contribute to the plasma DPP-4 inhibitory activity of linagliptin.</w:t>
      </w:r>
    </w:p>
    <w:p w14:paraId="473A8052" w14:textId="77777777" w:rsidR="003A108F" w:rsidRPr="0063448B" w:rsidRDefault="003A108F" w:rsidP="0063448B">
      <w:pPr>
        <w:ind w:left="851"/>
        <w:rPr>
          <w:sz w:val="24"/>
          <w:szCs w:val="24"/>
          <w:lang w:val="en-US"/>
        </w:rPr>
      </w:pPr>
    </w:p>
    <w:p w14:paraId="2A59ADBF" w14:textId="77777777" w:rsidR="003A108F" w:rsidRPr="0063448B" w:rsidRDefault="003A108F" w:rsidP="0063448B">
      <w:pPr>
        <w:ind w:left="851"/>
        <w:rPr>
          <w:sz w:val="24"/>
          <w:szCs w:val="24"/>
          <w:lang w:val="en-US"/>
        </w:rPr>
      </w:pPr>
      <w:r w:rsidRPr="0063448B">
        <w:rPr>
          <w:sz w:val="24"/>
          <w:szCs w:val="24"/>
          <w:u w:val="single"/>
          <w:lang w:val="en-US"/>
        </w:rPr>
        <w:t>Elimination</w:t>
      </w:r>
    </w:p>
    <w:p w14:paraId="4D6B37B3" w14:textId="77777777" w:rsidR="003A108F" w:rsidRPr="0063448B" w:rsidRDefault="003A108F" w:rsidP="0063448B">
      <w:pPr>
        <w:ind w:left="851"/>
        <w:rPr>
          <w:sz w:val="24"/>
          <w:szCs w:val="24"/>
          <w:lang w:val="en-US"/>
        </w:rPr>
      </w:pPr>
      <w:r w:rsidRPr="0063448B">
        <w:rPr>
          <w:sz w:val="24"/>
          <w:szCs w:val="24"/>
          <w:lang w:val="en-US"/>
        </w:rPr>
        <w:t>Following administration of an oral [</w:t>
      </w:r>
      <w:r w:rsidRPr="0063448B">
        <w:rPr>
          <w:sz w:val="24"/>
          <w:szCs w:val="24"/>
          <w:vertAlign w:val="superscript"/>
          <w:lang w:val="en-US"/>
        </w:rPr>
        <w:t>14</w:t>
      </w:r>
      <w:r w:rsidRPr="0063448B">
        <w:rPr>
          <w:sz w:val="24"/>
          <w:szCs w:val="24"/>
          <w:lang w:val="en-US"/>
        </w:rPr>
        <w:t xml:space="preserve">C] linagliptin dose to healthy subjects, approximately 85% of the administered radioactivity was eliminated in </w:t>
      </w:r>
      <w:proofErr w:type="spellStart"/>
      <w:r w:rsidRPr="0063448B">
        <w:rPr>
          <w:sz w:val="24"/>
          <w:szCs w:val="24"/>
          <w:lang w:val="en-US"/>
        </w:rPr>
        <w:t>faeces</w:t>
      </w:r>
      <w:proofErr w:type="spellEnd"/>
      <w:r w:rsidRPr="0063448B">
        <w:rPr>
          <w:sz w:val="24"/>
          <w:szCs w:val="24"/>
          <w:lang w:val="en-US"/>
        </w:rPr>
        <w:t xml:space="preserve"> (80%) or urine (5%) within 4 days of dosing. Renal clearance at steady-state was approximately 70 ml/min.</w:t>
      </w:r>
    </w:p>
    <w:p w14:paraId="2544BA87" w14:textId="77777777" w:rsidR="003A108F" w:rsidRPr="0063448B" w:rsidRDefault="003A108F" w:rsidP="0063448B">
      <w:pPr>
        <w:ind w:left="851"/>
        <w:rPr>
          <w:sz w:val="24"/>
          <w:szCs w:val="24"/>
          <w:lang w:val="en-US"/>
        </w:rPr>
      </w:pPr>
    </w:p>
    <w:p w14:paraId="58B4811E" w14:textId="77777777" w:rsidR="003A108F" w:rsidRPr="0063448B" w:rsidRDefault="003A108F" w:rsidP="0063448B">
      <w:pPr>
        <w:ind w:left="851"/>
        <w:rPr>
          <w:i/>
          <w:sz w:val="24"/>
          <w:szCs w:val="24"/>
          <w:lang w:val="en-US"/>
        </w:rPr>
      </w:pPr>
      <w:r w:rsidRPr="0063448B">
        <w:rPr>
          <w:i/>
          <w:sz w:val="24"/>
          <w:szCs w:val="24"/>
          <w:u w:val="single"/>
          <w:lang w:val="en-US"/>
        </w:rPr>
        <w:t>Special populations</w:t>
      </w:r>
    </w:p>
    <w:p w14:paraId="1FCA3EF5" w14:textId="77777777" w:rsidR="003A108F" w:rsidRPr="0063448B" w:rsidRDefault="003A108F" w:rsidP="0063448B">
      <w:pPr>
        <w:ind w:left="851"/>
        <w:rPr>
          <w:i/>
          <w:sz w:val="24"/>
          <w:szCs w:val="24"/>
          <w:lang w:val="en-US"/>
        </w:rPr>
      </w:pPr>
    </w:p>
    <w:p w14:paraId="2CDDF56D" w14:textId="77777777" w:rsidR="003A108F" w:rsidRPr="0063448B" w:rsidRDefault="003A108F" w:rsidP="0063448B">
      <w:pPr>
        <w:ind w:left="851"/>
        <w:rPr>
          <w:i/>
          <w:sz w:val="24"/>
          <w:szCs w:val="24"/>
          <w:lang w:val="en-US"/>
        </w:rPr>
      </w:pPr>
      <w:r w:rsidRPr="0063448B">
        <w:rPr>
          <w:i/>
          <w:sz w:val="24"/>
          <w:szCs w:val="24"/>
          <w:lang w:val="en-US"/>
        </w:rPr>
        <w:t>Renal impairment</w:t>
      </w:r>
    </w:p>
    <w:p w14:paraId="5A1D27D2" w14:textId="77777777" w:rsidR="003A108F" w:rsidRPr="0063448B" w:rsidRDefault="003A108F" w:rsidP="0063448B">
      <w:pPr>
        <w:ind w:left="851"/>
        <w:rPr>
          <w:sz w:val="24"/>
          <w:szCs w:val="24"/>
          <w:lang w:val="en-US"/>
        </w:rPr>
      </w:pPr>
      <w:r w:rsidRPr="0063448B">
        <w:rPr>
          <w:sz w:val="24"/>
          <w:szCs w:val="24"/>
          <w:lang w:val="en-US"/>
        </w:rPr>
        <w:t xml:space="preserve">A multiple-dose, open-label study was conducted to evaluate the pharmacokinetics of linagliptin (5 mg dose) in patients with varying degrees of chronic renal insufficiency compared to normal healthy control subjects. The study included patients with renal insufficiency classified on the basis of creatinine clearance as mild (50 to &lt;80 ml/min), moderate (30 to &lt;50 ml/min), and severe (&lt;30 ml/min), as well as patients with ESRD on hemodialysis. In </w:t>
      </w:r>
      <w:proofErr w:type="gramStart"/>
      <w:r w:rsidRPr="0063448B">
        <w:rPr>
          <w:sz w:val="24"/>
          <w:szCs w:val="24"/>
          <w:lang w:val="en-US"/>
        </w:rPr>
        <w:t>addition</w:t>
      </w:r>
      <w:proofErr w:type="gramEnd"/>
      <w:r w:rsidRPr="0063448B">
        <w:rPr>
          <w:sz w:val="24"/>
          <w:szCs w:val="24"/>
          <w:lang w:val="en-US"/>
        </w:rPr>
        <w:t xml:space="preserve"> patients with T2DM and severe renal impairment (&lt;30 ml/min) were compared to T2DM patients with normal renal function. Creatinine clearance was measured by 24-hour urinary creatinine clearance measurements or estimated from serum creatinine based on the Cockcroft-Gault formula. </w:t>
      </w:r>
      <w:proofErr w:type="spellStart"/>
      <w:r w:rsidRPr="0063448B">
        <w:rPr>
          <w:sz w:val="24"/>
          <w:szCs w:val="24"/>
          <w:lang w:val="en-US"/>
        </w:rPr>
        <w:t>CrCl</w:t>
      </w:r>
      <w:proofErr w:type="spellEnd"/>
      <w:r w:rsidRPr="0063448B">
        <w:rPr>
          <w:sz w:val="24"/>
          <w:szCs w:val="24"/>
          <w:lang w:val="en-US"/>
        </w:rPr>
        <w:t xml:space="preserve"> = (140 – age) x weight/72 x serum creatinine [x 0.85 for females], where age is in years, weight in kg, and serum creatinine is in mg/dl. Under steady-state conditions, linagliptin exposure in patients with mild renal impairment was comparable to healthy subjects. In moderate renal impairment, a moderate increase in exposure of about </w:t>
      </w:r>
      <w:proofErr w:type="gramStart"/>
      <w:r w:rsidRPr="0063448B">
        <w:rPr>
          <w:sz w:val="24"/>
          <w:szCs w:val="24"/>
          <w:lang w:val="en-US"/>
        </w:rPr>
        <w:t>1.7 fold</w:t>
      </w:r>
      <w:proofErr w:type="gramEnd"/>
      <w:r w:rsidRPr="0063448B">
        <w:rPr>
          <w:sz w:val="24"/>
          <w:szCs w:val="24"/>
          <w:lang w:val="en-US"/>
        </w:rPr>
        <w:t xml:space="preserve"> was observed compared with control. Exposure in T2DM patients with severe RI was increased by about </w:t>
      </w:r>
      <w:proofErr w:type="gramStart"/>
      <w:r w:rsidRPr="0063448B">
        <w:rPr>
          <w:sz w:val="24"/>
          <w:szCs w:val="24"/>
          <w:lang w:val="en-US"/>
        </w:rPr>
        <w:t>1.4 fold</w:t>
      </w:r>
      <w:proofErr w:type="gramEnd"/>
      <w:r w:rsidRPr="0063448B">
        <w:rPr>
          <w:sz w:val="24"/>
          <w:szCs w:val="24"/>
          <w:lang w:val="en-US"/>
        </w:rPr>
        <w:t xml:space="preserve"> compared to T2DM patients with normal renal function. Steady-state predictions for AUC of linagliptin in patients with ESRD indicated comparable exposure to that of patients with moderate or severe renal impairment. In addition, linagliptin is not expected to be eliminated to a therapeutically significant degree by hemodialysis or peritoneal dialysis. Therefore, no dosage adjustment of linagliptin is necessary in patients with any degree of renal insufficiency.</w:t>
      </w:r>
    </w:p>
    <w:p w14:paraId="2B8D793C" w14:textId="77777777" w:rsidR="003A108F" w:rsidRPr="0063448B" w:rsidRDefault="003A108F" w:rsidP="0063448B">
      <w:pPr>
        <w:ind w:left="851"/>
        <w:rPr>
          <w:sz w:val="24"/>
          <w:szCs w:val="24"/>
          <w:lang w:val="en-US"/>
        </w:rPr>
      </w:pPr>
    </w:p>
    <w:p w14:paraId="6D70B362" w14:textId="77777777" w:rsidR="003A108F" w:rsidRPr="0063448B" w:rsidRDefault="003A108F" w:rsidP="0063448B">
      <w:pPr>
        <w:ind w:left="851"/>
        <w:rPr>
          <w:i/>
          <w:sz w:val="24"/>
          <w:szCs w:val="24"/>
          <w:lang w:val="en-US"/>
        </w:rPr>
      </w:pPr>
      <w:r w:rsidRPr="0063448B">
        <w:rPr>
          <w:i/>
          <w:sz w:val="24"/>
          <w:szCs w:val="24"/>
          <w:lang w:val="en-US"/>
        </w:rPr>
        <w:t>Hepatic impairment</w:t>
      </w:r>
    </w:p>
    <w:p w14:paraId="179EA679" w14:textId="77777777" w:rsidR="003A108F" w:rsidRPr="0063448B" w:rsidRDefault="003A108F" w:rsidP="0063448B">
      <w:pPr>
        <w:ind w:left="851"/>
        <w:rPr>
          <w:sz w:val="24"/>
          <w:szCs w:val="24"/>
          <w:lang w:val="en-US"/>
        </w:rPr>
      </w:pPr>
      <w:r w:rsidRPr="0063448B">
        <w:rPr>
          <w:sz w:val="24"/>
          <w:szCs w:val="24"/>
          <w:lang w:val="en-US"/>
        </w:rPr>
        <w:t xml:space="preserve">In non-diabetic patients with mild moderate and severe hepatic insufficiency (according to the Child- Pugh classification), mean AUC and </w:t>
      </w:r>
      <w:proofErr w:type="spellStart"/>
      <w:r w:rsidRPr="0063448B">
        <w:rPr>
          <w:sz w:val="24"/>
          <w:szCs w:val="24"/>
          <w:lang w:val="en-US"/>
        </w:rPr>
        <w:t>C</w:t>
      </w:r>
      <w:r w:rsidRPr="0063448B">
        <w:rPr>
          <w:sz w:val="24"/>
          <w:szCs w:val="24"/>
          <w:vertAlign w:val="subscript"/>
          <w:lang w:val="en-US"/>
        </w:rPr>
        <w:t>max</w:t>
      </w:r>
      <w:proofErr w:type="spellEnd"/>
      <w:r w:rsidRPr="0063448B">
        <w:rPr>
          <w:sz w:val="24"/>
          <w:szCs w:val="24"/>
          <w:lang w:val="en-US"/>
        </w:rPr>
        <w:t xml:space="preserve"> of linagliptin were similar to healthy matched controls following administration of multiple 5 mg doses of linagliptin. No dosage adjustment for linagliptin is proposed for diabetic patients with mild, moderate or severe hepatic impairment.</w:t>
      </w:r>
    </w:p>
    <w:p w14:paraId="3C652AC7" w14:textId="77777777" w:rsidR="003A108F" w:rsidRPr="0063448B" w:rsidRDefault="003A108F" w:rsidP="0063448B">
      <w:pPr>
        <w:ind w:left="851"/>
        <w:rPr>
          <w:sz w:val="24"/>
          <w:szCs w:val="24"/>
          <w:lang w:val="en-US"/>
        </w:rPr>
      </w:pPr>
    </w:p>
    <w:p w14:paraId="1026DE53" w14:textId="77777777" w:rsidR="003A108F" w:rsidRPr="0063448B" w:rsidRDefault="003A108F" w:rsidP="0063448B">
      <w:pPr>
        <w:ind w:left="851"/>
        <w:rPr>
          <w:i/>
          <w:sz w:val="24"/>
          <w:szCs w:val="24"/>
          <w:lang w:val="en-US"/>
        </w:rPr>
      </w:pPr>
      <w:r w:rsidRPr="0063448B">
        <w:rPr>
          <w:i/>
          <w:sz w:val="24"/>
          <w:szCs w:val="24"/>
          <w:lang w:val="en-US"/>
        </w:rPr>
        <w:t>Body Mass Index (BMI)</w:t>
      </w:r>
    </w:p>
    <w:p w14:paraId="3E2BDB50" w14:textId="77777777" w:rsidR="003A108F" w:rsidRPr="0063448B" w:rsidRDefault="003A108F" w:rsidP="0063448B">
      <w:pPr>
        <w:ind w:left="851"/>
        <w:rPr>
          <w:sz w:val="24"/>
          <w:szCs w:val="24"/>
          <w:lang w:val="en-US"/>
        </w:rPr>
      </w:pPr>
      <w:r w:rsidRPr="0063448B">
        <w:rPr>
          <w:sz w:val="24"/>
          <w:szCs w:val="24"/>
          <w:lang w:val="en-US"/>
        </w:rPr>
        <w:t xml:space="preserve">No dosage adjustment is necessary based on BMI. BMI had no clinically relevant effect on the pharmacokinetics of linagliptin based on a population pharmacokinetic analysis of Phase I and Phase II data. The clinical trials before marketing </w:t>
      </w:r>
      <w:proofErr w:type="spellStart"/>
      <w:r w:rsidRPr="0063448B">
        <w:rPr>
          <w:sz w:val="24"/>
          <w:szCs w:val="24"/>
          <w:lang w:val="en-US"/>
        </w:rPr>
        <w:t>authorisation</w:t>
      </w:r>
      <w:proofErr w:type="spellEnd"/>
      <w:r w:rsidRPr="0063448B">
        <w:rPr>
          <w:sz w:val="24"/>
          <w:szCs w:val="24"/>
          <w:lang w:val="en-US"/>
        </w:rPr>
        <w:t xml:space="preserve"> have been performed up to a BMI equal to 40 kg/m</w:t>
      </w:r>
      <w:r w:rsidRPr="0063448B">
        <w:rPr>
          <w:sz w:val="24"/>
          <w:szCs w:val="24"/>
          <w:vertAlign w:val="superscript"/>
          <w:lang w:val="en-US"/>
        </w:rPr>
        <w:t>2</w:t>
      </w:r>
      <w:r w:rsidRPr="0063448B">
        <w:rPr>
          <w:sz w:val="24"/>
          <w:szCs w:val="24"/>
          <w:lang w:val="en-US"/>
        </w:rPr>
        <w:t>.</w:t>
      </w:r>
    </w:p>
    <w:p w14:paraId="338958A4" w14:textId="77777777" w:rsidR="003A108F" w:rsidRPr="0063448B" w:rsidRDefault="003A108F" w:rsidP="0063448B">
      <w:pPr>
        <w:ind w:left="851"/>
        <w:rPr>
          <w:sz w:val="24"/>
          <w:szCs w:val="24"/>
          <w:lang w:val="en-US"/>
        </w:rPr>
      </w:pPr>
    </w:p>
    <w:p w14:paraId="371A577B" w14:textId="77777777" w:rsidR="003A108F" w:rsidRPr="0063448B" w:rsidRDefault="003A108F" w:rsidP="0063448B">
      <w:pPr>
        <w:ind w:left="851"/>
        <w:rPr>
          <w:i/>
          <w:sz w:val="24"/>
          <w:szCs w:val="24"/>
          <w:lang w:val="en-US"/>
        </w:rPr>
      </w:pPr>
      <w:r w:rsidRPr="0063448B">
        <w:rPr>
          <w:i/>
          <w:sz w:val="24"/>
          <w:szCs w:val="24"/>
          <w:lang w:val="en-US"/>
        </w:rPr>
        <w:t>Gender</w:t>
      </w:r>
    </w:p>
    <w:p w14:paraId="089AE39A" w14:textId="77777777" w:rsidR="003A108F" w:rsidRPr="0063448B" w:rsidRDefault="003A108F" w:rsidP="0063448B">
      <w:pPr>
        <w:ind w:left="851"/>
        <w:rPr>
          <w:i/>
          <w:sz w:val="24"/>
          <w:szCs w:val="24"/>
          <w:lang w:val="en-US"/>
        </w:rPr>
      </w:pPr>
      <w:r w:rsidRPr="0063448B">
        <w:rPr>
          <w:sz w:val="24"/>
          <w:szCs w:val="24"/>
          <w:lang w:val="en-US"/>
        </w:rPr>
        <w:t>No dosage adjustment is necessary based on gender. Gender had no clinically relevant effect on the pharmacokinetics of linagliptin based on a population pharmacokinetic analysis of Phase I and Phase II data</w:t>
      </w:r>
      <w:r w:rsidRPr="0063448B">
        <w:rPr>
          <w:i/>
          <w:sz w:val="24"/>
          <w:szCs w:val="24"/>
          <w:lang w:val="en-US"/>
        </w:rPr>
        <w:t>.</w:t>
      </w:r>
    </w:p>
    <w:p w14:paraId="391A3D39" w14:textId="77777777" w:rsidR="003A108F" w:rsidRPr="0063448B" w:rsidRDefault="003A108F" w:rsidP="0063448B">
      <w:pPr>
        <w:ind w:left="851"/>
        <w:rPr>
          <w:i/>
          <w:sz w:val="24"/>
          <w:szCs w:val="24"/>
          <w:lang w:val="en-US"/>
        </w:rPr>
      </w:pPr>
    </w:p>
    <w:p w14:paraId="3EAB88FA" w14:textId="77777777" w:rsidR="003A108F" w:rsidRPr="0063448B" w:rsidRDefault="003A108F" w:rsidP="0063448B">
      <w:pPr>
        <w:ind w:left="851"/>
        <w:rPr>
          <w:i/>
          <w:sz w:val="24"/>
          <w:szCs w:val="24"/>
          <w:lang w:val="en-US"/>
        </w:rPr>
      </w:pPr>
      <w:r w:rsidRPr="0063448B">
        <w:rPr>
          <w:i/>
          <w:sz w:val="24"/>
          <w:szCs w:val="24"/>
          <w:lang w:val="en-US"/>
        </w:rPr>
        <w:t>Elderly</w:t>
      </w:r>
    </w:p>
    <w:p w14:paraId="55B2AD6B" w14:textId="77777777" w:rsidR="003A108F" w:rsidRPr="0063448B" w:rsidRDefault="003A108F" w:rsidP="0063448B">
      <w:pPr>
        <w:ind w:left="851"/>
        <w:rPr>
          <w:sz w:val="24"/>
          <w:szCs w:val="24"/>
          <w:lang w:val="en-US"/>
        </w:rPr>
      </w:pPr>
      <w:r w:rsidRPr="0063448B">
        <w:rPr>
          <w:sz w:val="24"/>
          <w:szCs w:val="24"/>
          <w:lang w:val="en-US"/>
        </w:rPr>
        <w:t>No dosage adjustment is required based on age up to 80 years, as age did not have a clinically relevant impact on the pharmacokinetics of linagliptin based on a population pharmacokinetic analysis of Phase I and Phase II data. Older subjects (65 to 80, oldest patient was 78 years) had comparable plasma concentrations of linagliptin compared to younger subjects.</w:t>
      </w:r>
    </w:p>
    <w:p w14:paraId="42B3D077" w14:textId="75122A7F" w:rsidR="00BA5DCC" w:rsidRDefault="00BA5DCC">
      <w:pPr>
        <w:rPr>
          <w:sz w:val="24"/>
          <w:szCs w:val="24"/>
          <w:lang w:val="en-US"/>
        </w:rPr>
      </w:pPr>
      <w:r>
        <w:rPr>
          <w:sz w:val="24"/>
          <w:szCs w:val="24"/>
          <w:lang w:val="en-US"/>
        </w:rPr>
        <w:br w:type="page"/>
      </w:r>
    </w:p>
    <w:p w14:paraId="54F547DE" w14:textId="77777777" w:rsidR="003A108F" w:rsidRPr="0063448B" w:rsidRDefault="003A108F" w:rsidP="0063448B">
      <w:pPr>
        <w:ind w:left="851"/>
        <w:rPr>
          <w:sz w:val="24"/>
          <w:szCs w:val="24"/>
          <w:lang w:val="en-US"/>
        </w:rPr>
      </w:pPr>
    </w:p>
    <w:p w14:paraId="075142F8" w14:textId="77777777" w:rsidR="003A108F" w:rsidRPr="0063448B" w:rsidRDefault="003A108F" w:rsidP="0063448B">
      <w:pPr>
        <w:ind w:left="851"/>
        <w:rPr>
          <w:i/>
          <w:sz w:val="24"/>
          <w:szCs w:val="24"/>
          <w:lang w:val="en-US"/>
        </w:rPr>
      </w:pPr>
      <w:r w:rsidRPr="0063448B">
        <w:rPr>
          <w:i/>
          <w:sz w:val="24"/>
          <w:szCs w:val="24"/>
          <w:lang w:val="en-US"/>
        </w:rPr>
        <w:t>Paediatric population</w:t>
      </w:r>
    </w:p>
    <w:p w14:paraId="5382E07C" w14:textId="77777777" w:rsidR="003A108F" w:rsidRPr="0063448B" w:rsidRDefault="003A108F" w:rsidP="0063448B">
      <w:pPr>
        <w:ind w:left="851"/>
        <w:rPr>
          <w:sz w:val="24"/>
          <w:szCs w:val="24"/>
          <w:lang w:val="en-US"/>
        </w:rPr>
      </w:pPr>
      <w:r w:rsidRPr="0063448B">
        <w:rPr>
          <w:sz w:val="24"/>
          <w:szCs w:val="24"/>
          <w:lang w:val="en-US"/>
        </w:rPr>
        <w:t>A paediatric Phase 2 study examined the pharmacokinetics and pharmacodynamics of 1 mg and 5 mg linagliptin in children and adolescents ≥10 to &lt;18 years of age with type 2 diabetes mellitus. The observed pharmacokinetic and pharmacodynamic responses were consistent with those found in adult subjects. Linagliptin 5 mg showed superiority over 1 mg with regard to trough DPP-4 inhibition (72% vs 32%, p=0.0050) and a numerically larger reduction with regard to adjusted mean change from baseline in HbA</w:t>
      </w:r>
      <w:r w:rsidRPr="0063448B">
        <w:rPr>
          <w:sz w:val="24"/>
          <w:szCs w:val="24"/>
          <w:vertAlign w:val="subscript"/>
          <w:lang w:val="en-US"/>
        </w:rPr>
        <w:t>1c</w:t>
      </w:r>
      <w:r w:rsidRPr="0063448B">
        <w:rPr>
          <w:sz w:val="24"/>
          <w:szCs w:val="24"/>
          <w:lang w:val="en-US"/>
        </w:rPr>
        <w:t xml:space="preserve"> (-0.63% vs -0.48%, </w:t>
      </w:r>
      <w:proofErr w:type="spellStart"/>
      <w:r w:rsidRPr="0063448B">
        <w:rPr>
          <w:sz w:val="24"/>
          <w:szCs w:val="24"/>
          <w:lang w:val="en-US"/>
        </w:rPr>
        <w:t>n.s</w:t>
      </w:r>
      <w:proofErr w:type="spellEnd"/>
      <w:r w:rsidRPr="0063448B">
        <w:rPr>
          <w:sz w:val="24"/>
          <w:szCs w:val="24"/>
          <w:lang w:val="en-US"/>
        </w:rPr>
        <w:t>.). Due to the limited nature of the data set the results should be interpreted cautiously.</w:t>
      </w:r>
    </w:p>
    <w:p w14:paraId="5EEADE52" w14:textId="77777777" w:rsidR="003A108F" w:rsidRPr="0063448B" w:rsidRDefault="003A108F" w:rsidP="0063448B">
      <w:pPr>
        <w:ind w:left="851"/>
        <w:rPr>
          <w:sz w:val="24"/>
          <w:szCs w:val="24"/>
          <w:lang w:val="en-US"/>
        </w:rPr>
      </w:pPr>
    </w:p>
    <w:p w14:paraId="735FD17E" w14:textId="77777777" w:rsidR="003A108F" w:rsidRPr="0063448B" w:rsidRDefault="003A108F" w:rsidP="0063448B">
      <w:pPr>
        <w:ind w:left="851"/>
        <w:rPr>
          <w:sz w:val="24"/>
          <w:szCs w:val="24"/>
          <w:lang w:val="en-US"/>
        </w:rPr>
      </w:pPr>
      <w:r w:rsidRPr="0063448B">
        <w:rPr>
          <w:sz w:val="24"/>
          <w:szCs w:val="24"/>
          <w:lang w:val="en-US"/>
        </w:rPr>
        <w:t>A paediatric Phase 3 study examined pharmacokinetics and pharmacodynamics (HbA</w:t>
      </w:r>
      <w:r w:rsidRPr="0063448B">
        <w:rPr>
          <w:sz w:val="24"/>
          <w:szCs w:val="24"/>
          <w:vertAlign w:val="subscript"/>
          <w:lang w:val="en-US"/>
        </w:rPr>
        <w:t xml:space="preserve">1c </w:t>
      </w:r>
      <w:r w:rsidRPr="0063448B">
        <w:rPr>
          <w:sz w:val="24"/>
          <w:szCs w:val="24"/>
          <w:lang w:val="en-US"/>
        </w:rPr>
        <w:t xml:space="preserve">change from baseline) of 5 mg linagliptin in children and adolescents 10 to 17 years of age with type 2 diabetes mellitus. The observed exposure-response relationship was generally comparable between paediatric and adult patients, however, with a smaller drug effect estimated in children. Oral administration of linagliptin resulted in exposure within the range observed in adult patients. The observed geometric mean trough concentrations and geometric mean concentrations at 1.5 hours post-administration (representing a concentration around </w:t>
      </w:r>
      <w:proofErr w:type="spellStart"/>
      <w:r w:rsidRPr="0063448B">
        <w:rPr>
          <w:sz w:val="24"/>
          <w:szCs w:val="24"/>
          <w:lang w:val="en-US"/>
        </w:rPr>
        <w:t>t</w:t>
      </w:r>
      <w:r w:rsidRPr="0063448B">
        <w:rPr>
          <w:sz w:val="24"/>
          <w:szCs w:val="24"/>
          <w:vertAlign w:val="subscript"/>
          <w:lang w:val="en-US"/>
        </w:rPr>
        <w:t>max</w:t>
      </w:r>
      <w:proofErr w:type="spellEnd"/>
      <w:r w:rsidRPr="0063448B">
        <w:rPr>
          <w:sz w:val="24"/>
          <w:szCs w:val="24"/>
          <w:lang w:val="en-US"/>
        </w:rPr>
        <w:t>) at steady state were 4.30 nmol/L and 12.6 nmol/L, respectively. Corresponding plasma concentrations in adult patients were 6.04 nmol/L and 15.1 nmol/L.</w:t>
      </w:r>
    </w:p>
    <w:p w14:paraId="3DF4C995" w14:textId="77777777" w:rsidR="003A108F" w:rsidRPr="0063448B" w:rsidRDefault="003A108F" w:rsidP="0063448B">
      <w:pPr>
        <w:ind w:left="851"/>
        <w:rPr>
          <w:sz w:val="24"/>
          <w:szCs w:val="24"/>
          <w:lang w:val="en-US"/>
        </w:rPr>
      </w:pPr>
    </w:p>
    <w:p w14:paraId="72E627E0" w14:textId="77777777" w:rsidR="003A108F" w:rsidRPr="0063448B" w:rsidRDefault="003A108F" w:rsidP="0063448B">
      <w:pPr>
        <w:ind w:left="851"/>
        <w:rPr>
          <w:i/>
          <w:sz w:val="24"/>
          <w:szCs w:val="24"/>
          <w:lang w:val="en-US"/>
        </w:rPr>
      </w:pPr>
      <w:r w:rsidRPr="0063448B">
        <w:rPr>
          <w:i/>
          <w:sz w:val="24"/>
          <w:szCs w:val="24"/>
          <w:lang w:val="en-US"/>
        </w:rPr>
        <w:t>Race</w:t>
      </w:r>
    </w:p>
    <w:p w14:paraId="0294B8E9" w14:textId="77777777" w:rsidR="003A108F" w:rsidRPr="0063448B" w:rsidRDefault="003A108F" w:rsidP="0063448B">
      <w:pPr>
        <w:ind w:left="851"/>
        <w:rPr>
          <w:sz w:val="24"/>
          <w:szCs w:val="24"/>
          <w:lang w:val="en-GB"/>
        </w:rPr>
      </w:pPr>
      <w:r w:rsidRPr="0063448B">
        <w:rPr>
          <w:sz w:val="24"/>
          <w:szCs w:val="24"/>
          <w:lang w:val="en-US"/>
        </w:rPr>
        <w:t>No dosage adjustment is necessary based on race. Race had no obvious effect on the plasma concentrations of linagliptin based on a composite analysis of available pharmacokinetic data, including patients of Caucasian, Hispanic, African, and Asian origin</w:t>
      </w:r>
      <w:r w:rsidRPr="0063448B">
        <w:rPr>
          <w:i/>
          <w:sz w:val="24"/>
          <w:szCs w:val="24"/>
          <w:lang w:val="en-US"/>
        </w:rPr>
        <w:t xml:space="preserve">. </w:t>
      </w:r>
      <w:r w:rsidRPr="0063448B">
        <w:rPr>
          <w:sz w:val="24"/>
          <w:szCs w:val="24"/>
          <w:lang w:val="en-US"/>
        </w:rPr>
        <w:t xml:space="preserve">In </w:t>
      </w:r>
      <w:proofErr w:type="gramStart"/>
      <w:r w:rsidRPr="0063448B">
        <w:rPr>
          <w:sz w:val="24"/>
          <w:szCs w:val="24"/>
          <w:lang w:val="en-US"/>
        </w:rPr>
        <w:t>addition</w:t>
      </w:r>
      <w:proofErr w:type="gramEnd"/>
      <w:r w:rsidRPr="0063448B">
        <w:rPr>
          <w:sz w:val="24"/>
          <w:szCs w:val="24"/>
          <w:lang w:val="en-US"/>
        </w:rPr>
        <w:t xml:space="preserve"> the pharmacokinetic characteristics of linagliptin were found to be similar in dedicated phase I studies in Japanese, Chinese and Caucasian healthy volunteers.</w:t>
      </w:r>
    </w:p>
    <w:p w14:paraId="7E006C5C" w14:textId="77777777" w:rsidR="007C5D2A" w:rsidRPr="0063448B" w:rsidRDefault="007C5D2A" w:rsidP="003E0341">
      <w:pPr>
        <w:tabs>
          <w:tab w:val="left" w:pos="851"/>
        </w:tabs>
        <w:ind w:left="851"/>
        <w:rPr>
          <w:sz w:val="24"/>
          <w:szCs w:val="24"/>
          <w:lang w:val="en-GB"/>
        </w:rPr>
      </w:pPr>
    </w:p>
    <w:p w14:paraId="7149F61D" w14:textId="77777777" w:rsidR="007C5D2A" w:rsidRPr="0063448B" w:rsidRDefault="00180A12" w:rsidP="007C5D2A">
      <w:pPr>
        <w:tabs>
          <w:tab w:val="left" w:pos="851"/>
        </w:tabs>
        <w:ind w:left="851" w:hanging="851"/>
        <w:rPr>
          <w:b/>
          <w:sz w:val="24"/>
          <w:szCs w:val="24"/>
          <w:lang w:val="en-GB"/>
        </w:rPr>
      </w:pPr>
      <w:r w:rsidRPr="0063448B">
        <w:rPr>
          <w:b/>
          <w:sz w:val="24"/>
          <w:szCs w:val="24"/>
          <w:lang w:val="en-GB"/>
        </w:rPr>
        <w:t>5.3</w:t>
      </w:r>
      <w:r w:rsidRPr="0063448B">
        <w:rPr>
          <w:b/>
          <w:sz w:val="24"/>
          <w:szCs w:val="24"/>
          <w:lang w:val="en-GB"/>
        </w:rPr>
        <w:tab/>
        <w:t>Preclinical safety data</w:t>
      </w:r>
    </w:p>
    <w:p w14:paraId="422CA83B" w14:textId="77777777" w:rsidR="003A108F" w:rsidRPr="0063448B" w:rsidRDefault="003A108F" w:rsidP="0063448B">
      <w:pPr>
        <w:ind w:left="851"/>
        <w:rPr>
          <w:sz w:val="24"/>
          <w:szCs w:val="24"/>
          <w:lang w:val="en-US"/>
        </w:rPr>
      </w:pPr>
      <w:r w:rsidRPr="0063448B">
        <w:rPr>
          <w:sz w:val="24"/>
          <w:szCs w:val="24"/>
          <w:lang w:val="en-US"/>
        </w:rPr>
        <w:t>Liver, kidneys and gastrointestinal tract are the principal target organs of toxicity in mice and rats at repeat doses of linagliptin of more than 300 times the human exposure.</w:t>
      </w:r>
    </w:p>
    <w:p w14:paraId="463EBA06" w14:textId="77777777" w:rsidR="003A108F" w:rsidRPr="0063448B" w:rsidRDefault="003A108F" w:rsidP="0063448B">
      <w:pPr>
        <w:ind w:left="851"/>
        <w:rPr>
          <w:sz w:val="24"/>
          <w:szCs w:val="24"/>
          <w:lang w:val="en-US"/>
        </w:rPr>
      </w:pPr>
      <w:r w:rsidRPr="0063448B">
        <w:rPr>
          <w:sz w:val="24"/>
          <w:szCs w:val="24"/>
          <w:lang w:val="en-US"/>
        </w:rPr>
        <w:t xml:space="preserve">In </w:t>
      </w:r>
      <w:proofErr w:type="gramStart"/>
      <w:r w:rsidRPr="0063448B">
        <w:rPr>
          <w:sz w:val="24"/>
          <w:szCs w:val="24"/>
          <w:lang w:val="en-US"/>
        </w:rPr>
        <w:t>rats</w:t>
      </w:r>
      <w:proofErr w:type="gramEnd"/>
      <w:r w:rsidRPr="0063448B">
        <w:rPr>
          <w:sz w:val="24"/>
          <w:szCs w:val="24"/>
          <w:lang w:val="en-US"/>
        </w:rPr>
        <w:t xml:space="preserve"> effects on reproductive organs, thyroid and the lymphoid organs were seen at more than 1,500 times human exposure. Strong pseudo-allergic reactions were observed in dogs at medium doses, secondarily causing cardiovascular changes, which were considered dog-specific. Liver, kidneys, stomach, reproductive organs, thymus, spleen, and lymph nodes were target organs of toxicity in Cynomolgus monkeys at more than 450 times human exposure. At more than 100 times human exposure, irritation of the stomach was the major finding in these monkeys.</w:t>
      </w:r>
    </w:p>
    <w:p w14:paraId="6F7342CE" w14:textId="77777777" w:rsidR="003A108F" w:rsidRPr="0063448B" w:rsidRDefault="003A108F" w:rsidP="0063448B">
      <w:pPr>
        <w:ind w:left="851"/>
        <w:rPr>
          <w:sz w:val="24"/>
          <w:szCs w:val="24"/>
          <w:lang w:val="en-US"/>
        </w:rPr>
      </w:pPr>
    </w:p>
    <w:p w14:paraId="33D6D5BE" w14:textId="77777777" w:rsidR="003A108F" w:rsidRPr="0063448B" w:rsidRDefault="003A108F" w:rsidP="0063448B">
      <w:pPr>
        <w:ind w:left="851"/>
        <w:rPr>
          <w:sz w:val="24"/>
          <w:szCs w:val="24"/>
          <w:lang w:val="en-US"/>
        </w:rPr>
      </w:pPr>
      <w:r w:rsidRPr="0063448B">
        <w:rPr>
          <w:sz w:val="24"/>
          <w:szCs w:val="24"/>
          <w:lang w:val="en-US"/>
        </w:rPr>
        <w:t>Linagliptin and its main metabolite did not show a genotoxic potential.</w:t>
      </w:r>
    </w:p>
    <w:p w14:paraId="53D2AC12" w14:textId="77777777" w:rsidR="003A108F" w:rsidRPr="0063448B" w:rsidRDefault="003A108F" w:rsidP="0063448B">
      <w:pPr>
        <w:ind w:left="851"/>
        <w:rPr>
          <w:sz w:val="24"/>
          <w:szCs w:val="24"/>
          <w:lang w:val="en-US"/>
        </w:rPr>
      </w:pPr>
      <w:r w:rsidRPr="0063448B">
        <w:rPr>
          <w:sz w:val="24"/>
          <w:szCs w:val="24"/>
          <w:lang w:val="en-US"/>
        </w:rPr>
        <w:t xml:space="preserve">Oral </w:t>
      </w:r>
      <w:proofErr w:type="gramStart"/>
      <w:r w:rsidRPr="0063448B">
        <w:rPr>
          <w:sz w:val="24"/>
          <w:szCs w:val="24"/>
          <w:lang w:val="en-US"/>
        </w:rPr>
        <w:t>2 year</w:t>
      </w:r>
      <w:proofErr w:type="gramEnd"/>
      <w:r w:rsidRPr="0063448B">
        <w:rPr>
          <w:sz w:val="24"/>
          <w:szCs w:val="24"/>
          <w:lang w:val="en-US"/>
        </w:rPr>
        <w:t xml:space="preserve"> carcinogenicity studies in rats and mice revealed no evidence of carcinogenicity in rats or male mice. A significantly higher incidence of malignant lymphomas only in female mice at the highest dose (&gt; 200 times human exposure) is not considered relevant for humans (explanation: non- treatment related but due to highly variable background incidence). Based on these studies there is no concern for carcinogenicity in humans.</w:t>
      </w:r>
    </w:p>
    <w:p w14:paraId="54200468" w14:textId="77777777" w:rsidR="003A108F" w:rsidRPr="0063448B" w:rsidRDefault="003A108F" w:rsidP="0063448B">
      <w:pPr>
        <w:ind w:left="851"/>
        <w:rPr>
          <w:sz w:val="24"/>
          <w:szCs w:val="24"/>
          <w:lang w:val="en-US"/>
        </w:rPr>
      </w:pPr>
    </w:p>
    <w:p w14:paraId="6B55E9C3" w14:textId="77777777" w:rsidR="003A108F" w:rsidRPr="0063448B" w:rsidRDefault="003A108F" w:rsidP="0063448B">
      <w:pPr>
        <w:ind w:left="851"/>
        <w:rPr>
          <w:sz w:val="24"/>
          <w:szCs w:val="24"/>
          <w:lang w:val="en-GB"/>
        </w:rPr>
      </w:pPr>
      <w:r w:rsidRPr="0063448B">
        <w:rPr>
          <w:sz w:val="24"/>
          <w:szCs w:val="24"/>
          <w:lang w:val="en-US"/>
        </w:rPr>
        <w:t xml:space="preserve">The NOAEL for fertility, early embryonic development and teratogenicity in rats was set at &gt;900 times the human exposure. The NOAEL for maternal-, embryo-fetal-, and offspring toxicity in rats was 49 times human exposure. No teratogenic effects were observed in rabbits at &gt;1,000 times human exposure. A NOAEL of 78 times human exposure was </w:t>
      </w:r>
      <w:r w:rsidRPr="0063448B">
        <w:rPr>
          <w:sz w:val="24"/>
          <w:szCs w:val="24"/>
          <w:lang w:val="en-US"/>
        </w:rPr>
        <w:lastRenderedPageBreak/>
        <w:t>derived for embryo-fetal toxicity in rabbits, and for maternal toxicity the NOAEL was 2.1 times human exposure. Therefore, it is considered unlikely that linagliptin affects reproduction at therapeutic exposures in humans.</w:t>
      </w:r>
    </w:p>
    <w:p w14:paraId="168A7836" w14:textId="77777777" w:rsidR="007C5D2A" w:rsidRPr="0063448B" w:rsidRDefault="007C5D2A" w:rsidP="003E0341">
      <w:pPr>
        <w:tabs>
          <w:tab w:val="left" w:pos="851"/>
        </w:tabs>
        <w:ind w:left="851"/>
        <w:rPr>
          <w:sz w:val="24"/>
          <w:szCs w:val="24"/>
          <w:lang w:val="en-GB"/>
        </w:rPr>
      </w:pPr>
    </w:p>
    <w:p w14:paraId="59325D9F" w14:textId="77777777" w:rsidR="007C5D2A" w:rsidRPr="0063448B" w:rsidRDefault="007C5D2A" w:rsidP="003E0341">
      <w:pPr>
        <w:tabs>
          <w:tab w:val="left" w:pos="851"/>
        </w:tabs>
        <w:ind w:left="851"/>
        <w:rPr>
          <w:sz w:val="24"/>
          <w:szCs w:val="24"/>
          <w:lang w:val="en-GB"/>
        </w:rPr>
      </w:pPr>
    </w:p>
    <w:p w14:paraId="7C3E8AD4" w14:textId="77777777" w:rsidR="007C5D2A" w:rsidRPr="0063448B" w:rsidRDefault="009925C9" w:rsidP="007C5D2A">
      <w:pPr>
        <w:ind w:left="851" w:hanging="851"/>
        <w:rPr>
          <w:b/>
          <w:sz w:val="24"/>
          <w:szCs w:val="24"/>
          <w:lang w:val="en-GB"/>
        </w:rPr>
      </w:pPr>
      <w:r w:rsidRPr="0063448B">
        <w:rPr>
          <w:b/>
          <w:sz w:val="24"/>
          <w:szCs w:val="24"/>
          <w:lang w:val="en-GB"/>
        </w:rPr>
        <w:t>6.</w:t>
      </w:r>
      <w:r w:rsidR="007C5D2A" w:rsidRPr="0063448B">
        <w:rPr>
          <w:b/>
          <w:sz w:val="24"/>
          <w:szCs w:val="24"/>
          <w:lang w:val="en-GB"/>
        </w:rPr>
        <w:tab/>
        <w:t>PHARMACEUTICAL PARTICULARS</w:t>
      </w:r>
    </w:p>
    <w:p w14:paraId="0660E0B4" w14:textId="77777777" w:rsidR="007C5D2A" w:rsidRPr="0063448B" w:rsidRDefault="007C5D2A" w:rsidP="003E0341">
      <w:pPr>
        <w:tabs>
          <w:tab w:val="left" w:pos="851"/>
        </w:tabs>
        <w:ind w:left="851"/>
        <w:rPr>
          <w:sz w:val="24"/>
          <w:szCs w:val="24"/>
          <w:lang w:val="en-GB"/>
        </w:rPr>
      </w:pPr>
    </w:p>
    <w:p w14:paraId="4D990C44" w14:textId="77777777" w:rsidR="007C5D2A" w:rsidRPr="0063448B" w:rsidRDefault="007C5D2A" w:rsidP="007C5D2A">
      <w:pPr>
        <w:ind w:left="851" w:hanging="851"/>
        <w:rPr>
          <w:b/>
          <w:sz w:val="24"/>
          <w:szCs w:val="24"/>
          <w:lang w:val="en-GB"/>
        </w:rPr>
      </w:pPr>
      <w:r w:rsidRPr="0063448B">
        <w:rPr>
          <w:b/>
          <w:sz w:val="24"/>
          <w:szCs w:val="24"/>
          <w:lang w:val="en-GB"/>
        </w:rPr>
        <w:t>6.1</w:t>
      </w:r>
      <w:r w:rsidRPr="0063448B">
        <w:rPr>
          <w:b/>
          <w:sz w:val="24"/>
          <w:szCs w:val="24"/>
          <w:lang w:val="en-GB"/>
        </w:rPr>
        <w:tab/>
        <w:t>List of excipients</w:t>
      </w:r>
    </w:p>
    <w:p w14:paraId="3FF5BD3D" w14:textId="77777777" w:rsidR="003A108F" w:rsidRPr="0063448B" w:rsidRDefault="003A108F" w:rsidP="0063448B">
      <w:pPr>
        <w:ind w:left="851"/>
        <w:rPr>
          <w:sz w:val="24"/>
          <w:szCs w:val="24"/>
          <w:lang w:val="en-US"/>
        </w:rPr>
      </w:pPr>
      <w:r w:rsidRPr="0063448B">
        <w:rPr>
          <w:sz w:val="24"/>
          <w:szCs w:val="24"/>
          <w:lang w:val="en-US"/>
        </w:rPr>
        <w:t>Tablet core</w:t>
      </w:r>
    </w:p>
    <w:p w14:paraId="51699C49" w14:textId="77777777" w:rsidR="003A108F" w:rsidRPr="0063448B" w:rsidRDefault="003A108F" w:rsidP="0063448B">
      <w:pPr>
        <w:ind w:left="851"/>
        <w:rPr>
          <w:sz w:val="24"/>
          <w:szCs w:val="24"/>
          <w:highlight w:val="yellow"/>
          <w:lang w:val="en-US"/>
        </w:rPr>
      </w:pPr>
      <w:r w:rsidRPr="0063448B">
        <w:rPr>
          <w:sz w:val="24"/>
          <w:szCs w:val="24"/>
          <w:lang w:val="en-US"/>
        </w:rPr>
        <w:t>Maize starch</w:t>
      </w:r>
      <w:r w:rsidRPr="0063448B">
        <w:rPr>
          <w:sz w:val="24"/>
          <w:szCs w:val="24"/>
          <w:highlight w:val="yellow"/>
          <w:lang w:val="en-US"/>
        </w:rPr>
        <w:t xml:space="preserve"> </w:t>
      </w:r>
    </w:p>
    <w:p w14:paraId="5B9D6F2A" w14:textId="77777777" w:rsidR="003A108F" w:rsidRPr="0063448B" w:rsidRDefault="003A108F" w:rsidP="0063448B">
      <w:pPr>
        <w:ind w:left="851"/>
        <w:rPr>
          <w:sz w:val="24"/>
          <w:szCs w:val="24"/>
          <w:highlight w:val="yellow"/>
          <w:lang w:val="en-US"/>
        </w:rPr>
      </w:pPr>
      <w:r w:rsidRPr="0063448B">
        <w:rPr>
          <w:sz w:val="24"/>
          <w:szCs w:val="24"/>
          <w:lang w:val="en-US"/>
        </w:rPr>
        <w:t>Mannitol (E421)</w:t>
      </w:r>
    </w:p>
    <w:p w14:paraId="41BE8582" w14:textId="77777777" w:rsidR="003A108F" w:rsidRPr="0063448B" w:rsidRDefault="003A108F" w:rsidP="0063448B">
      <w:pPr>
        <w:ind w:left="851"/>
        <w:rPr>
          <w:sz w:val="24"/>
          <w:szCs w:val="24"/>
          <w:highlight w:val="yellow"/>
          <w:lang w:val="en-US"/>
        </w:rPr>
      </w:pPr>
      <w:proofErr w:type="spellStart"/>
      <w:r w:rsidRPr="0063448B">
        <w:rPr>
          <w:color w:val="000000"/>
          <w:sz w:val="24"/>
          <w:szCs w:val="24"/>
          <w:lang w:val="en-US"/>
        </w:rPr>
        <w:t>Hydroxypropylcellulose</w:t>
      </w:r>
      <w:proofErr w:type="spellEnd"/>
      <w:r w:rsidRPr="0063448B">
        <w:rPr>
          <w:color w:val="000000"/>
          <w:sz w:val="24"/>
          <w:szCs w:val="24"/>
          <w:lang w:val="en-US"/>
        </w:rPr>
        <w:t xml:space="preserve"> (Low viscosity)</w:t>
      </w:r>
    </w:p>
    <w:p w14:paraId="4514B19B" w14:textId="77777777" w:rsidR="003A108F" w:rsidRPr="0063448B" w:rsidRDefault="003A108F" w:rsidP="0063448B">
      <w:pPr>
        <w:ind w:left="851"/>
        <w:rPr>
          <w:sz w:val="24"/>
          <w:szCs w:val="24"/>
          <w:highlight w:val="yellow"/>
          <w:lang w:val="en-US"/>
        </w:rPr>
      </w:pPr>
      <w:r w:rsidRPr="0063448B">
        <w:rPr>
          <w:color w:val="000000"/>
          <w:sz w:val="24"/>
          <w:szCs w:val="24"/>
          <w:lang w:val="en-US"/>
        </w:rPr>
        <w:t>Croscarmellose sodium</w:t>
      </w:r>
    </w:p>
    <w:p w14:paraId="45EE57EE" w14:textId="77777777" w:rsidR="003A108F" w:rsidRPr="0063448B" w:rsidRDefault="003A108F" w:rsidP="0063448B">
      <w:pPr>
        <w:ind w:left="851"/>
        <w:rPr>
          <w:sz w:val="24"/>
          <w:szCs w:val="24"/>
          <w:highlight w:val="yellow"/>
          <w:lang w:val="en-US"/>
        </w:rPr>
      </w:pPr>
      <w:r w:rsidRPr="0063448B">
        <w:rPr>
          <w:color w:val="000000"/>
          <w:sz w:val="24"/>
          <w:szCs w:val="24"/>
          <w:lang w:val="en-US"/>
        </w:rPr>
        <w:t>Magnesium stearate</w:t>
      </w:r>
    </w:p>
    <w:p w14:paraId="63B03062" w14:textId="77777777" w:rsidR="003A108F" w:rsidRPr="0063448B" w:rsidRDefault="003A108F" w:rsidP="0063448B">
      <w:pPr>
        <w:ind w:left="851"/>
        <w:rPr>
          <w:sz w:val="24"/>
          <w:szCs w:val="24"/>
          <w:highlight w:val="yellow"/>
          <w:lang w:val="en-US"/>
        </w:rPr>
      </w:pPr>
    </w:p>
    <w:p w14:paraId="793D0128" w14:textId="77777777" w:rsidR="003A108F" w:rsidRPr="0063448B" w:rsidRDefault="003A108F" w:rsidP="0063448B">
      <w:pPr>
        <w:ind w:left="851"/>
        <w:rPr>
          <w:sz w:val="24"/>
          <w:szCs w:val="24"/>
          <w:lang w:val="en-US"/>
        </w:rPr>
      </w:pPr>
      <w:r w:rsidRPr="0063448B">
        <w:rPr>
          <w:sz w:val="24"/>
          <w:szCs w:val="24"/>
          <w:lang w:val="en-US"/>
        </w:rPr>
        <w:t>Film coating</w:t>
      </w:r>
    </w:p>
    <w:p w14:paraId="34624867" w14:textId="77777777" w:rsidR="003A108F" w:rsidRPr="0063448B" w:rsidRDefault="003A108F" w:rsidP="0063448B">
      <w:pPr>
        <w:ind w:left="851"/>
        <w:rPr>
          <w:sz w:val="24"/>
          <w:szCs w:val="24"/>
        </w:rPr>
      </w:pPr>
      <w:proofErr w:type="spellStart"/>
      <w:r w:rsidRPr="0063448B">
        <w:rPr>
          <w:sz w:val="24"/>
          <w:szCs w:val="24"/>
        </w:rPr>
        <w:t>Hypromellose</w:t>
      </w:r>
      <w:proofErr w:type="spellEnd"/>
      <w:r w:rsidRPr="0063448B">
        <w:rPr>
          <w:sz w:val="24"/>
          <w:szCs w:val="24"/>
        </w:rPr>
        <w:t xml:space="preserve"> (type 2910)</w:t>
      </w:r>
    </w:p>
    <w:p w14:paraId="39806E69" w14:textId="77777777" w:rsidR="003A108F" w:rsidRPr="0063448B" w:rsidRDefault="003A108F" w:rsidP="0063448B">
      <w:pPr>
        <w:ind w:left="851"/>
        <w:rPr>
          <w:sz w:val="24"/>
          <w:szCs w:val="24"/>
        </w:rPr>
      </w:pPr>
      <w:r w:rsidRPr="0063448B">
        <w:rPr>
          <w:sz w:val="24"/>
          <w:szCs w:val="24"/>
        </w:rPr>
        <w:t xml:space="preserve">Titanium </w:t>
      </w:r>
      <w:proofErr w:type="spellStart"/>
      <w:r w:rsidRPr="0063448B">
        <w:rPr>
          <w:sz w:val="24"/>
          <w:szCs w:val="24"/>
        </w:rPr>
        <w:t>dioxide</w:t>
      </w:r>
      <w:proofErr w:type="spellEnd"/>
      <w:r w:rsidRPr="0063448B">
        <w:rPr>
          <w:sz w:val="24"/>
          <w:szCs w:val="24"/>
        </w:rPr>
        <w:t xml:space="preserve"> (E171)</w:t>
      </w:r>
    </w:p>
    <w:p w14:paraId="0F188791" w14:textId="77777777" w:rsidR="003A108F" w:rsidRPr="0063448B" w:rsidRDefault="003A108F" w:rsidP="0063448B">
      <w:pPr>
        <w:ind w:left="851"/>
        <w:rPr>
          <w:sz w:val="24"/>
          <w:szCs w:val="24"/>
          <w:lang w:val="en-GB"/>
        </w:rPr>
      </w:pPr>
      <w:r w:rsidRPr="0063448B">
        <w:rPr>
          <w:sz w:val="24"/>
          <w:szCs w:val="24"/>
          <w:lang w:val="en-US"/>
        </w:rPr>
        <w:t>Talc</w:t>
      </w:r>
    </w:p>
    <w:p w14:paraId="3B157BD9" w14:textId="77777777" w:rsidR="003A108F" w:rsidRPr="0063448B" w:rsidRDefault="003A108F" w:rsidP="0063448B">
      <w:pPr>
        <w:ind w:left="851"/>
        <w:rPr>
          <w:sz w:val="24"/>
          <w:szCs w:val="24"/>
          <w:lang w:val="en-US"/>
        </w:rPr>
      </w:pPr>
      <w:r w:rsidRPr="0063448B">
        <w:rPr>
          <w:sz w:val="24"/>
          <w:szCs w:val="24"/>
          <w:lang w:val="en-US"/>
        </w:rPr>
        <w:t>Macrogol (type 6000)</w:t>
      </w:r>
    </w:p>
    <w:p w14:paraId="423D1A2F" w14:textId="77777777" w:rsidR="003A108F" w:rsidRPr="0063448B" w:rsidRDefault="003A108F" w:rsidP="0063448B">
      <w:pPr>
        <w:ind w:left="851"/>
        <w:rPr>
          <w:sz w:val="24"/>
          <w:szCs w:val="24"/>
          <w:lang w:val="en-US"/>
        </w:rPr>
      </w:pPr>
      <w:r w:rsidRPr="0063448B">
        <w:rPr>
          <w:sz w:val="24"/>
          <w:szCs w:val="24"/>
          <w:lang w:val="en-US"/>
        </w:rPr>
        <w:t>Iron oxide red (E172)</w:t>
      </w:r>
    </w:p>
    <w:p w14:paraId="3EEE3E0E" w14:textId="77777777" w:rsidR="007C5D2A" w:rsidRPr="0063448B" w:rsidRDefault="007C5D2A" w:rsidP="003D727E">
      <w:pPr>
        <w:tabs>
          <w:tab w:val="left" w:pos="851"/>
        </w:tabs>
        <w:ind w:left="851"/>
        <w:rPr>
          <w:sz w:val="24"/>
          <w:szCs w:val="24"/>
          <w:lang w:val="en-GB"/>
        </w:rPr>
      </w:pPr>
    </w:p>
    <w:p w14:paraId="54CF6A50" w14:textId="77777777" w:rsidR="007C5D2A" w:rsidRPr="0063448B" w:rsidRDefault="007C5D2A" w:rsidP="007C5D2A">
      <w:pPr>
        <w:ind w:left="851" w:hanging="851"/>
        <w:rPr>
          <w:b/>
          <w:sz w:val="24"/>
          <w:szCs w:val="24"/>
          <w:lang w:val="en-GB"/>
        </w:rPr>
      </w:pPr>
      <w:r w:rsidRPr="0063448B">
        <w:rPr>
          <w:b/>
          <w:sz w:val="24"/>
          <w:szCs w:val="24"/>
          <w:lang w:val="en-GB"/>
        </w:rPr>
        <w:t>6.2</w:t>
      </w:r>
      <w:r w:rsidRPr="0063448B">
        <w:rPr>
          <w:b/>
          <w:sz w:val="24"/>
          <w:szCs w:val="24"/>
          <w:lang w:val="en-GB"/>
        </w:rPr>
        <w:tab/>
        <w:t>Incompatibilities</w:t>
      </w:r>
    </w:p>
    <w:p w14:paraId="79642EAC" w14:textId="77777777" w:rsidR="003A108F" w:rsidRPr="0063448B" w:rsidRDefault="003A108F" w:rsidP="0063448B">
      <w:pPr>
        <w:ind w:left="851"/>
        <w:rPr>
          <w:sz w:val="24"/>
          <w:szCs w:val="24"/>
          <w:lang w:val="en-US"/>
        </w:rPr>
      </w:pPr>
      <w:r w:rsidRPr="0063448B">
        <w:rPr>
          <w:sz w:val="24"/>
          <w:szCs w:val="24"/>
          <w:lang w:val="en-US"/>
        </w:rPr>
        <w:t>Not applicable.</w:t>
      </w:r>
    </w:p>
    <w:p w14:paraId="7331CF46" w14:textId="77777777" w:rsidR="007C5D2A" w:rsidRPr="0063448B" w:rsidRDefault="007C5D2A" w:rsidP="003E0341">
      <w:pPr>
        <w:tabs>
          <w:tab w:val="left" w:pos="851"/>
        </w:tabs>
        <w:ind w:left="851"/>
        <w:rPr>
          <w:sz w:val="24"/>
          <w:szCs w:val="24"/>
          <w:lang w:val="en-GB"/>
        </w:rPr>
      </w:pPr>
    </w:p>
    <w:p w14:paraId="58E9A8B0" w14:textId="77777777" w:rsidR="007C5D2A" w:rsidRPr="0063448B" w:rsidRDefault="007C5D2A" w:rsidP="007C5D2A">
      <w:pPr>
        <w:ind w:left="851" w:hanging="851"/>
        <w:rPr>
          <w:b/>
          <w:sz w:val="24"/>
          <w:szCs w:val="24"/>
          <w:lang w:val="en-GB"/>
        </w:rPr>
      </w:pPr>
      <w:r w:rsidRPr="0063448B">
        <w:rPr>
          <w:b/>
          <w:sz w:val="24"/>
          <w:szCs w:val="24"/>
          <w:lang w:val="en-GB"/>
        </w:rPr>
        <w:t>6.3</w:t>
      </w:r>
      <w:r w:rsidRPr="0063448B">
        <w:rPr>
          <w:b/>
          <w:sz w:val="24"/>
          <w:szCs w:val="24"/>
          <w:lang w:val="en-GB"/>
        </w:rPr>
        <w:tab/>
        <w:t>Shelf</w:t>
      </w:r>
      <w:r w:rsidR="00B45DC5" w:rsidRPr="0063448B">
        <w:rPr>
          <w:b/>
          <w:sz w:val="24"/>
          <w:szCs w:val="24"/>
          <w:lang w:val="en-GB"/>
        </w:rPr>
        <w:t xml:space="preserve"> </w:t>
      </w:r>
      <w:r w:rsidRPr="0063448B">
        <w:rPr>
          <w:b/>
          <w:sz w:val="24"/>
          <w:szCs w:val="24"/>
          <w:lang w:val="en-GB"/>
        </w:rPr>
        <w:t>life</w:t>
      </w:r>
    </w:p>
    <w:p w14:paraId="19F8CC37" w14:textId="77777777" w:rsidR="003A108F" w:rsidRPr="0063448B" w:rsidRDefault="003A108F" w:rsidP="0063448B">
      <w:pPr>
        <w:ind w:left="851"/>
        <w:rPr>
          <w:sz w:val="24"/>
          <w:szCs w:val="24"/>
          <w:lang w:val="en-US"/>
        </w:rPr>
      </w:pPr>
      <w:r w:rsidRPr="0063448B">
        <w:rPr>
          <w:sz w:val="24"/>
          <w:szCs w:val="24"/>
          <w:lang w:val="en-US"/>
        </w:rPr>
        <w:t>2 years</w:t>
      </w:r>
    </w:p>
    <w:p w14:paraId="7670DD87" w14:textId="77777777" w:rsidR="007C5D2A" w:rsidRPr="0063448B" w:rsidRDefault="007C5D2A" w:rsidP="003E0341">
      <w:pPr>
        <w:tabs>
          <w:tab w:val="left" w:pos="851"/>
        </w:tabs>
        <w:ind w:left="851"/>
        <w:rPr>
          <w:sz w:val="24"/>
          <w:szCs w:val="24"/>
          <w:lang w:val="en-GB"/>
        </w:rPr>
      </w:pPr>
    </w:p>
    <w:p w14:paraId="62EF7329" w14:textId="77777777" w:rsidR="007C5D2A" w:rsidRPr="0063448B" w:rsidRDefault="007C5D2A" w:rsidP="007C5D2A">
      <w:pPr>
        <w:ind w:left="851" w:hanging="851"/>
        <w:rPr>
          <w:b/>
          <w:sz w:val="24"/>
          <w:szCs w:val="24"/>
          <w:lang w:val="en-GB"/>
        </w:rPr>
      </w:pPr>
      <w:r w:rsidRPr="0063448B">
        <w:rPr>
          <w:b/>
          <w:sz w:val="24"/>
          <w:szCs w:val="24"/>
          <w:lang w:val="en-GB"/>
        </w:rPr>
        <w:t>6.4</w:t>
      </w:r>
      <w:r w:rsidRPr="0063448B">
        <w:rPr>
          <w:b/>
          <w:sz w:val="24"/>
          <w:szCs w:val="24"/>
          <w:lang w:val="en-GB"/>
        </w:rPr>
        <w:tab/>
        <w:t>Special precautions for storage</w:t>
      </w:r>
    </w:p>
    <w:p w14:paraId="28428A64" w14:textId="77777777" w:rsidR="003A108F" w:rsidRPr="0063448B" w:rsidRDefault="003A108F" w:rsidP="0063448B">
      <w:pPr>
        <w:ind w:left="851"/>
        <w:rPr>
          <w:noProof/>
          <w:sz w:val="24"/>
          <w:szCs w:val="24"/>
          <w:lang w:val="en-US"/>
        </w:rPr>
      </w:pPr>
      <w:r w:rsidRPr="0063448B">
        <w:rPr>
          <w:sz w:val="24"/>
          <w:szCs w:val="24"/>
          <w:lang w:val="en-US"/>
        </w:rPr>
        <w:t>This medicinal product does not require any special storage conditions.</w:t>
      </w:r>
    </w:p>
    <w:p w14:paraId="07D37624" w14:textId="77777777" w:rsidR="007C5D2A" w:rsidRPr="0063448B" w:rsidRDefault="007C5D2A" w:rsidP="003E0341">
      <w:pPr>
        <w:tabs>
          <w:tab w:val="left" w:pos="851"/>
        </w:tabs>
        <w:ind w:left="851"/>
        <w:rPr>
          <w:sz w:val="24"/>
          <w:szCs w:val="24"/>
          <w:lang w:val="en-GB"/>
        </w:rPr>
      </w:pPr>
    </w:p>
    <w:p w14:paraId="5668047D" w14:textId="77777777" w:rsidR="007C5D2A" w:rsidRPr="0063448B" w:rsidRDefault="007C5D2A" w:rsidP="007C5D2A">
      <w:pPr>
        <w:ind w:left="851" w:hanging="851"/>
        <w:rPr>
          <w:b/>
          <w:sz w:val="24"/>
          <w:szCs w:val="24"/>
          <w:lang w:val="en-GB"/>
        </w:rPr>
      </w:pPr>
      <w:r w:rsidRPr="0063448B">
        <w:rPr>
          <w:b/>
          <w:sz w:val="24"/>
          <w:szCs w:val="24"/>
          <w:lang w:val="en-GB"/>
        </w:rPr>
        <w:t>6.5</w:t>
      </w:r>
      <w:r w:rsidRPr="0063448B">
        <w:rPr>
          <w:b/>
          <w:sz w:val="24"/>
          <w:szCs w:val="24"/>
          <w:lang w:val="en-GB"/>
        </w:rPr>
        <w:tab/>
        <w:t>Nature and contents of container</w:t>
      </w:r>
    </w:p>
    <w:p w14:paraId="68C96142" w14:textId="77777777" w:rsidR="003A108F" w:rsidRPr="0063448B" w:rsidRDefault="003A108F" w:rsidP="0063448B">
      <w:pPr>
        <w:ind w:left="851"/>
        <w:rPr>
          <w:sz w:val="24"/>
          <w:szCs w:val="24"/>
          <w:lang w:val="en-US"/>
        </w:rPr>
      </w:pPr>
      <w:r w:rsidRPr="0063448B">
        <w:rPr>
          <w:sz w:val="24"/>
          <w:szCs w:val="24"/>
          <w:lang w:val="en-US"/>
        </w:rPr>
        <w:t>OPA/Alu/PVC//Alu blisters in cartons containing 10, 14, 28, 30, 56, 60, 84, 90, 98 and 100 film-coated tablets.</w:t>
      </w:r>
    </w:p>
    <w:p w14:paraId="10A52035" w14:textId="607D3740" w:rsidR="003A108F" w:rsidRPr="0063448B" w:rsidRDefault="003A108F" w:rsidP="0063448B">
      <w:pPr>
        <w:ind w:left="851"/>
        <w:rPr>
          <w:sz w:val="24"/>
          <w:szCs w:val="24"/>
          <w:lang w:val="en-US"/>
        </w:rPr>
      </w:pPr>
      <w:r w:rsidRPr="0063448B">
        <w:rPr>
          <w:sz w:val="24"/>
          <w:szCs w:val="24"/>
          <w:lang w:val="en-US"/>
        </w:rPr>
        <w:t xml:space="preserve">OPA/Alu/PVC//Alu perforated unit dose blisters in cartons containing 10 </w:t>
      </w:r>
      <w:r w:rsidR="00BA5DCC">
        <w:rPr>
          <w:sz w:val="24"/>
          <w:szCs w:val="24"/>
          <w:lang w:val="en-US"/>
        </w:rPr>
        <w:t>×</w:t>
      </w:r>
      <w:r w:rsidRPr="0063448B">
        <w:rPr>
          <w:sz w:val="24"/>
          <w:szCs w:val="24"/>
          <w:lang w:val="en-US"/>
        </w:rPr>
        <w:t xml:space="preserve"> 1, 14 </w:t>
      </w:r>
      <w:r w:rsidR="00BA5DCC">
        <w:rPr>
          <w:sz w:val="24"/>
          <w:szCs w:val="24"/>
          <w:lang w:val="en-US"/>
        </w:rPr>
        <w:t>×</w:t>
      </w:r>
      <w:r w:rsidRPr="0063448B">
        <w:rPr>
          <w:sz w:val="24"/>
          <w:szCs w:val="24"/>
          <w:lang w:val="en-US"/>
        </w:rPr>
        <w:t xml:space="preserve"> 1, 28 </w:t>
      </w:r>
      <w:r w:rsidR="00BA5DCC">
        <w:rPr>
          <w:sz w:val="24"/>
          <w:szCs w:val="24"/>
          <w:lang w:val="en-US"/>
        </w:rPr>
        <w:t>×</w:t>
      </w:r>
      <w:r w:rsidRPr="0063448B">
        <w:rPr>
          <w:sz w:val="24"/>
          <w:szCs w:val="24"/>
          <w:lang w:val="en-US"/>
        </w:rPr>
        <w:t xml:space="preserve"> 1, 30 </w:t>
      </w:r>
      <w:r w:rsidR="00BA5DCC">
        <w:rPr>
          <w:sz w:val="24"/>
          <w:szCs w:val="24"/>
          <w:lang w:val="en-US"/>
        </w:rPr>
        <w:t>×</w:t>
      </w:r>
      <w:r w:rsidRPr="0063448B">
        <w:rPr>
          <w:sz w:val="24"/>
          <w:szCs w:val="24"/>
          <w:lang w:val="en-US"/>
        </w:rPr>
        <w:t xml:space="preserve"> 1, 56 </w:t>
      </w:r>
      <w:r w:rsidR="00BA5DCC">
        <w:rPr>
          <w:sz w:val="24"/>
          <w:szCs w:val="24"/>
          <w:lang w:val="en-US"/>
        </w:rPr>
        <w:t>×</w:t>
      </w:r>
      <w:r w:rsidRPr="0063448B">
        <w:rPr>
          <w:sz w:val="24"/>
          <w:szCs w:val="24"/>
          <w:lang w:val="en-US"/>
        </w:rPr>
        <w:t xml:space="preserve"> 1, 60 </w:t>
      </w:r>
      <w:r w:rsidR="00BA5DCC">
        <w:rPr>
          <w:sz w:val="24"/>
          <w:szCs w:val="24"/>
          <w:lang w:val="en-US"/>
        </w:rPr>
        <w:t>×</w:t>
      </w:r>
      <w:r w:rsidRPr="0063448B">
        <w:rPr>
          <w:sz w:val="24"/>
          <w:szCs w:val="24"/>
          <w:lang w:val="en-US"/>
        </w:rPr>
        <w:t xml:space="preserve"> 1, 84 </w:t>
      </w:r>
      <w:r w:rsidR="00BA5DCC">
        <w:rPr>
          <w:sz w:val="24"/>
          <w:szCs w:val="24"/>
          <w:lang w:val="en-US"/>
        </w:rPr>
        <w:t>×</w:t>
      </w:r>
      <w:r w:rsidRPr="0063448B">
        <w:rPr>
          <w:sz w:val="24"/>
          <w:szCs w:val="24"/>
          <w:lang w:val="en-US"/>
        </w:rPr>
        <w:t xml:space="preserve"> 1, 90 </w:t>
      </w:r>
      <w:r w:rsidR="00BA5DCC">
        <w:rPr>
          <w:sz w:val="24"/>
          <w:szCs w:val="24"/>
          <w:lang w:val="en-US"/>
        </w:rPr>
        <w:t>×</w:t>
      </w:r>
      <w:r w:rsidRPr="0063448B">
        <w:rPr>
          <w:sz w:val="24"/>
          <w:szCs w:val="24"/>
          <w:lang w:val="en-US"/>
        </w:rPr>
        <w:t xml:space="preserve"> 1, 98 </w:t>
      </w:r>
      <w:r w:rsidR="00BA5DCC">
        <w:rPr>
          <w:sz w:val="24"/>
          <w:szCs w:val="24"/>
          <w:lang w:val="en-US"/>
        </w:rPr>
        <w:t>×</w:t>
      </w:r>
      <w:r w:rsidRPr="0063448B">
        <w:rPr>
          <w:sz w:val="24"/>
          <w:szCs w:val="24"/>
          <w:lang w:val="en-US"/>
        </w:rPr>
        <w:t xml:space="preserve"> 1 and 100 </w:t>
      </w:r>
      <w:r w:rsidR="00BA5DCC">
        <w:rPr>
          <w:sz w:val="24"/>
          <w:szCs w:val="24"/>
          <w:lang w:val="en-US"/>
        </w:rPr>
        <w:t>×</w:t>
      </w:r>
      <w:r w:rsidRPr="0063448B">
        <w:rPr>
          <w:sz w:val="24"/>
          <w:szCs w:val="24"/>
          <w:lang w:val="en-US"/>
        </w:rPr>
        <w:t xml:space="preserve"> 1 film-coated tablets.</w:t>
      </w:r>
    </w:p>
    <w:p w14:paraId="29D15511" w14:textId="77777777" w:rsidR="003A108F" w:rsidRPr="0063448B" w:rsidRDefault="003A108F" w:rsidP="0063448B">
      <w:pPr>
        <w:ind w:left="851"/>
        <w:rPr>
          <w:sz w:val="24"/>
          <w:szCs w:val="24"/>
          <w:lang w:val="en-US"/>
        </w:rPr>
      </w:pPr>
      <w:r w:rsidRPr="0063448B">
        <w:rPr>
          <w:sz w:val="24"/>
          <w:szCs w:val="24"/>
          <w:lang w:val="en-US"/>
        </w:rPr>
        <w:t>Not all pack sizes may be marketed.</w:t>
      </w:r>
    </w:p>
    <w:p w14:paraId="4796E807" w14:textId="77777777" w:rsidR="007C5D2A" w:rsidRPr="0063448B" w:rsidRDefault="007C5D2A" w:rsidP="003E0341">
      <w:pPr>
        <w:tabs>
          <w:tab w:val="left" w:pos="851"/>
        </w:tabs>
        <w:ind w:left="851"/>
        <w:rPr>
          <w:sz w:val="24"/>
          <w:szCs w:val="24"/>
          <w:lang w:val="en-GB"/>
        </w:rPr>
      </w:pPr>
    </w:p>
    <w:p w14:paraId="0350422B" w14:textId="77777777" w:rsidR="007C5D2A" w:rsidRPr="0063448B" w:rsidRDefault="007C5D2A" w:rsidP="007C5D2A">
      <w:pPr>
        <w:ind w:left="851" w:hanging="851"/>
        <w:rPr>
          <w:b/>
          <w:sz w:val="24"/>
          <w:szCs w:val="24"/>
          <w:lang w:val="en-GB"/>
        </w:rPr>
      </w:pPr>
      <w:r w:rsidRPr="0063448B">
        <w:rPr>
          <w:b/>
          <w:sz w:val="24"/>
          <w:szCs w:val="24"/>
          <w:lang w:val="en-GB"/>
        </w:rPr>
        <w:t>6.6</w:t>
      </w:r>
      <w:r w:rsidRPr="0063448B">
        <w:rPr>
          <w:b/>
          <w:sz w:val="24"/>
          <w:szCs w:val="24"/>
          <w:lang w:val="en-GB"/>
        </w:rPr>
        <w:tab/>
        <w:t>Special precautions for disposal and other handling</w:t>
      </w:r>
    </w:p>
    <w:p w14:paraId="0E5F64FC" w14:textId="77777777" w:rsidR="003A108F" w:rsidRPr="0063448B" w:rsidRDefault="003A108F" w:rsidP="0063448B">
      <w:pPr>
        <w:ind w:left="851"/>
        <w:rPr>
          <w:sz w:val="24"/>
          <w:szCs w:val="24"/>
          <w:lang w:val="en-US"/>
        </w:rPr>
      </w:pPr>
      <w:r w:rsidRPr="0063448B">
        <w:rPr>
          <w:sz w:val="24"/>
          <w:szCs w:val="24"/>
          <w:lang w:val="en-US"/>
        </w:rPr>
        <w:t>Any unused medicinal product or waste material should be disposed of in accordance with local requirements.</w:t>
      </w:r>
    </w:p>
    <w:p w14:paraId="5FC284F4" w14:textId="77777777" w:rsidR="007C5D2A" w:rsidRPr="0063448B" w:rsidRDefault="007C5D2A" w:rsidP="00AB4376">
      <w:pPr>
        <w:tabs>
          <w:tab w:val="left" w:pos="851"/>
        </w:tabs>
        <w:ind w:left="851"/>
        <w:rPr>
          <w:sz w:val="24"/>
          <w:szCs w:val="24"/>
          <w:lang w:val="en-GB"/>
        </w:rPr>
      </w:pPr>
    </w:p>
    <w:p w14:paraId="4473800C" w14:textId="77777777" w:rsidR="007C5D2A" w:rsidRPr="0063448B" w:rsidRDefault="007C5D2A" w:rsidP="007C5D2A">
      <w:pPr>
        <w:tabs>
          <w:tab w:val="left" w:pos="851"/>
        </w:tabs>
        <w:ind w:left="851" w:hanging="851"/>
        <w:jc w:val="both"/>
        <w:rPr>
          <w:b/>
          <w:sz w:val="24"/>
          <w:szCs w:val="24"/>
          <w:lang w:val="en-GB"/>
        </w:rPr>
      </w:pPr>
      <w:r w:rsidRPr="0063448B">
        <w:rPr>
          <w:b/>
          <w:sz w:val="24"/>
          <w:szCs w:val="24"/>
          <w:lang w:val="en-GB"/>
        </w:rPr>
        <w:t>7.</w:t>
      </w:r>
      <w:r w:rsidRPr="0063448B">
        <w:rPr>
          <w:b/>
          <w:sz w:val="24"/>
          <w:szCs w:val="24"/>
          <w:lang w:val="en-GB"/>
        </w:rPr>
        <w:tab/>
        <w:t>MARKETING AUTHORISATION HOLDER</w:t>
      </w:r>
    </w:p>
    <w:p w14:paraId="1E042C6B" w14:textId="0D9262BB" w:rsidR="007C5D2A" w:rsidRPr="0063448B" w:rsidRDefault="003A108F" w:rsidP="00A85D26">
      <w:pPr>
        <w:tabs>
          <w:tab w:val="left" w:pos="851"/>
        </w:tabs>
        <w:ind w:left="851"/>
        <w:jc w:val="both"/>
        <w:rPr>
          <w:sz w:val="24"/>
          <w:szCs w:val="24"/>
          <w:lang w:val="en-GB"/>
        </w:rPr>
      </w:pPr>
      <w:r w:rsidRPr="0063448B">
        <w:rPr>
          <w:sz w:val="24"/>
          <w:szCs w:val="24"/>
          <w:lang w:val="en-GB"/>
        </w:rPr>
        <w:t>Innovis Pharma S.A.</w:t>
      </w:r>
    </w:p>
    <w:p w14:paraId="43E252BC" w14:textId="5E84BC1C" w:rsidR="003A108F" w:rsidRPr="0063448B" w:rsidRDefault="003A108F" w:rsidP="00A85D26">
      <w:pPr>
        <w:tabs>
          <w:tab w:val="left" w:pos="851"/>
        </w:tabs>
        <w:ind w:left="851"/>
        <w:jc w:val="both"/>
        <w:rPr>
          <w:sz w:val="24"/>
          <w:szCs w:val="24"/>
          <w:lang w:val="en-GB"/>
        </w:rPr>
      </w:pPr>
      <w:proofErr w:type="spellStart"/>
      <w:r w:rsidRPr="0063448B">
        <w:rPr>
          <w:sz w:val="24"/>
          <w:szCs w:val="24"/>
          <w:lang w:val="en-GB"/>
        </w:rPr>
        <w:t>Marathonos</w:t>
      </w:r>
      <w:proofErr w:type="spellEnd"/>
      <w:r w:rsidRPr="0063448B">
        <w:rPr>
          <w:sz w:val="24"/>
          <w:szCs w:val="24"/>
          <w:lang w:val="en-GB"/>
        </w:rPr>
        <w:t xml:space="preserve"> Avenue 144</w:t>
      </w:r>
    </w:p>
    <w:p w14:paraId="253157B7" w14:textId="57F42965" w:rsidR="003A108F" w:rsidRPr="0063448B" w:rsidRDefault="003A108F" w:rsidP="00A85D26">
      <w:pPr>
        <w:tabs>
          <w:tab w:val="left" w:pos="851"/>
        </w:tabs>
        <w:ind w:left="851"/>
        <w:jc w:val="both"/>
        <w:rPr>
          <w:sz w:val="24"/>
          <w:szCs w:val="24"/>
          <w:lang w:val="en-GB"/>
        </w:rPr>
      </w:pPr>
      <w:r w:rsidRPr="0063448B">
        <w:rPr>
          <w:sz w:val="24"/>
          <w:szCs w:val="24"/>
          <w:lang w:val="en-GB"/>
        </w:rPr>
        <w:t>153 51 Pallini Attica</w:t>
      </w:r>
    </w:p>
    <w:p w14:paraId="4CE4E760" w14:textId="6B305312" w:rsidR="003A108F" w:rsidRPr="0063448B" w:rsidRDefault="003A108F" w:rsidP="00A85D26">
      <w:pPr>
        <w:tabs>
          <w:tab w:val="left" w:pos="851"/>
        </w:tabs>
        <w:ind w:left="851"/>
        <w:jc w:val="both"/>
        <w:rPr>
          <w:sz w:val="24"/>
          <w:szCs w:val="24"/>
          <w:lang w:val="en-GB"/>
        </w:rPr>
      </w:pPr>
      <w:r w:rsidRPr="0063448B">
        <w:rPr>
          <w:sz w:val="24"/>
          <w:szCs w:val="24"/>
          <w:lang w:val="en-GB"/>
        </w:rPr>
        <w:t>Greece</w:t>
      </w:r>
    </w:p>
    <w:p w14:paraId="2128D978" w14:textId="3EBD693E" w:rsidR="00BA5DCC" w:rsidRDefault="00BA5DCC">
      <w:pPr>
        <w:rPr>
          <w:sz w:val="24"/>
          <w:szCs w:val="24"/>
          <w:lang w:val="en-GB"/>
        </w:rPr>
      </w:pPr>
      <w:r>
        <w:rPr>
          <w:sz w:val="24"/>
          <w:szCs w:val="24"/>
          <w:lang w:val="en-GB"/>
        </w:rPr>
        <w:br w:type="page"/>
      </w:r>
    </w:p>
    <w:p w14:paraId="037B44F2" w14:textId="77777777" w:rsidR="007C5D2A" w:rsidRPr="0063448B" w:rsidRDefault="007C5D2A" w:rsidP="003E0341">
      <w:pPr>
        <w:tabs>
          <w:tab w:val="left" w:pos="851"/>
        </w:tabs>
        <w:ind w:left="851"/>
        <w:jc w:val="both"/>
        <w:rPr>
          <w:sz w:val="24"/>
          <w:szCs w:val="24"/>
          <w:lang w:val="en-GB"/>
        </w:rPr>
      </w:pPr>
    </w:p>
    <w:p w14:paraId="372B86D8" w14:textId="77777777" w:rsidR="008A24F6" w:rsidRPr="0063448B" w:rsidRDefault="005A498B" w:rsidP="003E0341">
      <w:pPr>
        <w:tabs>
          <w:tab w:val="left" w:pos="851"/>
        </w:tabs>
        <w:ind w:left="851"/>
        <w:jc w:val="both"/>
        <w:rPr>
          <w:b/>
          <w:sz w:val="24"/>
          <w:szCs w:val="24"/>
          <w:lang w:val="en-GB"/>
        </w:rPr>
      </w:pPr>
      <w:r w:rsidRPr="0063448B">
        <w:rPr>
          <w:b/>
          <w:sz w:val="24"/>
          <w:szCs w:val="24"/>
          <w:lang w:val="en-GB"/>
        </w:rPr>
        <w:t>Representative</w:t>
      </w:r>
    </w:p>
    <w:p w14:paraId="1BE0D36E" w14:textId="25B9B3E3" w:rsidR="005A498B" w:rsidRPr="0063448B" w:rsidRDefault="003A108F" w:rsidP="005A498B">
      <w:pPr>
        <w:tabs>
          <w:tab w:val="left" w:pos="851"/>
        </w:tabs>
        <w:ind w:left="851"/>
        <w:jc w:val="both"/>
        <w:rPr>
          <w:sz w:val="24"/>
          <w:szCs w:val="24"/>
          <w:lang w:val="en-GB"/>
        </w:rPr>
      </w:pPr>
      <w:r w:rsidRPr="0063448B">
        <w:rPr>
          <w:sz w:val="24"/>
          <w:szCs w:val="24"/>
          <w:lang w:val="en-GB"/>
        </w:rPr>
        <w:t>Innovis Pharma S.A.</w:t>
      </w:r>
    </w:p>
    <w:p w14:paraId="323A5889" w14:textId="6036E095" w:rsidR="003A108F" w:rsidRPr="0063448B" w:rsidRDefault="003A108F" w:rsidP="005A498B">
      <w:pPr>
        <w:tabs>
          <w:tab w:val="left" w:pos="851"/>
        </w:tabs>
        <w:ind w:left="851"/>
        <w:jc w:val="both"/>
        <w:rPr>
          <w:sz w:val="24"/>
          <w:szCs w:val="24"/>
          <w:lang w:val="en-GB"/>
        </w:rPr>
      </w:pPr>
      <w:r w:rsidRPr="0063448B">
        <w:rPr>
          <w:sz w:val="24"/>
          <w:szCs w:val="24"/>
          <w:lang w:val="en-GB"/>
        </w:rPr>
        <w:t xml:space="preserve">44 </w:t>
      </w:r>
      <w:proofErr w:type="spellStart"/>
      <w:r w:rsidRPr="0063448B">
        <w:rPr>
          <w:sz w:val="24"/>
          <w:szCs w:val="24"/>
          <w:lang w:val="en-GB"/>
        </w:rPr>
        <w:t>Kifissias</w:t>
      </w:r>
      <w:proofErr w:type="spellEnd"/>
      <w:r w:rsidRPr="0063448B">
        <w:rPr>
          <w:sz w:val="24"/>
          <w:szCs w:val="24"/>
          <w:lang w:val="en-GB"/>
        </w:rPr>
        <w:t xml:space="preserve"> Avenue</w:t>
      </w:r>
    </w:p>
    <w:p w14:paraId="34529B28" w14:textId="64A66A0F" w:rsidR="003A108F" w:rsidRPr="0063448B" w:rsidRDefault="003A108F" w:rsidP="005A498B">
      <w:pPr>
        <w:tabs>
          <w:tab w:val="left" w:pos="851"/>
        </w:tabs>
        <w:ind w:left="851"/>
        <w:jc w:val="both"/>
        <w:rPr>
          <w:sz w:val="24"/>
          <w:szCs w:val="24"/>
          <w:lang w:val="en-GB"/>
        </w:rPr>
      </w:pPr>
      <w:r w:rsidRPr="0063448B">
        <w:rPr>
          <w:sz w:val="24"/>
          <w:szCs w:val="24"/>
          <w:lang w:val="en-GB"/>
        </w:rPr>
        <w:t xml:space="preserve">151 25 </w:t>
      </w:r>
      <w:proofErr w:type="spellStart"/>
      <w:r w:rsidRPr="0063448B">
        <w:rPr>
          <w:sz w:val="24"/>
          <w:szCs w:val="24"/>
          <w:lang w:val="en-GB"/>
        </w:rPr>
        <w:t>Marousi</w:t>
      </w:r>
      <w:proofErr w:type="spellEnd"/>
      <w:r w:rsidRPr="0063448B">
        <w:rPr>
          <w:sz w:val="24"/>
          <w:szCs w:val="24"/>
          <w:lang w:val="en-GB"/>
        </w:rPr>
        <w:t xml:space="preserve"> Attica</w:t>
      </w:r>
    </w:p>
    <w:p w14:paraId="5F3FBC2E" w14:textId="4B834BA2" w:rsidR="003A108F" w:rsidRPr="0063448B" w:rsidRDefault="003A108F" w:rsidP="005A498B">
      <w:pPr>
        <w:tabs>
          <w:tab w:val="left" w:pos="851"/>
        </w:tabs>
        <w:ind w:left="851"/>
        <w:jc w:val="both"/>
        <w:rPr>
          <w:sz w:val="24"/>
          <w:szCs w:val="24"/>
          <w:lang w:val="en-GB"/>
        </w:rPr>
      </w:pPr>
      <w:r w:rsidRPr="0063448B">
        <w:rPr>
          <w:sz w:val="24"/>
          <w:szCs w:val="24"/>
          <w:lang w:val="en-GB"/>
        </w:rPr>
        <w:t>Greece</w:t>
      </w:r>
    </w:p>
    <w:p w14:paraId="1B1BD6F7" w14:textId="77777777" w:rsidR="008A24F6" w:rsidRPr="0063448B" w:rsidRDefault="008A24F6" w:rsidP="003E0341">
      <w:pPr>
        <w:tabs>
          <w:tab w:val="left" w:pos="851"/>
        </w:tabs>
        <w:ind w:left="851"/>
        <w:jc w:val="both"/>
        <w:rPr>
          <w:sz w:val="24"/>
          <w:szCs w:val="24"/>
          <w:lang w:val="en-GB"/>
        </w:rPr>
      </w:pPr>
    </w:p>
    <w:p w14:paraId="16127775" w14:textId="77777777" w:rsidR="007C5D2A" w:rsidRPr="0063448B" w:rsidRDefault="007C5D2A" w:rsidP="007C5D2A">
      <w:pPr>
        <w:ind w:left="851" w:hanging="851"/>
        <w:jc w:val="both"/>
        <w:rPr>
          <w:b/>
          <w:sz w:val="24"/>
          <w:szCs w:val="24"/>
          <w:lang w:val="en-GB"/>
        </w:rPr>
      </w:pPr>
      <w:r w:rsidRPr="0063448B">
        <w:rPr>
          <w:b/>
          <w:sz w:val="24"/>
          <w:szCs w:val="24"/>
          <w:lang w:val="en-GB"/>
        </w:rPr>
        <w:t>8.</w:t>
      </w:r>
      <w:r w:rsidRPr="0063448B">
        <w:rPr>
          <w:b/>
          <w:sz w:val="24"/>
          <w:szCs w:val="24"/>
          <w:lang w:val="en-GB"/>
        </w:rPr>
        <w:tab/>
        <w:t>MARKETING AUTHORISATION NUMBER(S)</w:t>
      </w:r>
    </w:p>
    <w:p w14:paraId="5D7D800B" w14:textId="422801D2" w:rsidR="007C5D2A" w:rsidRPr="0063448B" w:rsidRDefault="003A108F" w:rsidP="00A85D26">
      <w:pPr>
        <w:tabs>
          <w:tab w:val="left" w:pos="851"/>
        </w:tabs>
        <w:ind w:left="851"/>
        <w:jc w:val="both"/>
        <w:rPr>
          <w:sz w:val="24"/>
          <w:szCs w:val="24"/>
          <w:lang w:val="en-GB"/>
        </w:rPr>
      </w:pPr>
      <w:r w:rsidRPr="0063448B">
        <w:rPr>
          <w:sz w:val="24"/>
          <w:szCs w:val="24"/>
          <w:lang w:val="en-GB"/>
        </w:rPr>
        <w:t>68906</w:t>
      </w:r>
    </w:p>
    <w:p w14:paraId="32A61D35" w14:textId="77777777" w:rsidR="007C5D2A" w:rsidRPr="0063448B" w:rsidRDefault="007C5D2A" w:rsidP="00180A12">
      <w:pPr>
        <w:tabs>
          <w:tab w:val="left" w:pos="851"/>
        </w:tabs>
        <w:ind w:left="851"/>
        <w:jc w:val="both"/>
        <w:rPr>
          <w:sz w:val="24"/>
          <w:szCs w:val="24"/>
          <w:lang w:val="en-GB"/>
        </w:rPr>
      </w:pPr>
    </w:p>
    <w:p w14:paraId="29BB53B8" w14:textId="77777777" w:rsidR="007C5D2A" w:rsidRPr="0063448B" w:rsidRDefault="007C5D2A" w:rsidP="007C5D2A">
      <w:pPr>
        <w:tabs>
          <w:tab w:val="left" w:pos="851"/>
        </w:tabs>
        <w:jc w:val="both"/>
        <w:rPr>
          <w:sz w:val="24"/>
          <w:szCs w:val="24"/>
          <w:lang w:val="en-GB"/>
        </w:rPr>
      </w:pPr>
      <w:r w:rsidRPr="0063448B">
        <w:rPr>
          <w:b/>
          <w:sz w:val="24"/>
          <w:szCs w:val="24"/>
          <w:lang w:val="en-GB"/>
        </w:rPr>
        <w:t>9.</w:t>
      </w:r>
      <w:r w:rsidRPr="0063448B">
        <w:rPr>
          <w:b/>
          <w:sz w:val="24"/>
          <w:szCs w:val="24"/>
          <w:lang w:val="en-GB"/>
        </w:rPr>
        <w:tab/>
        <w:t>DATE OF FIRST AUTHORISATION</w:t>
      </w:r>
    </w:p>
    <w:p w14:paraId="12878F0A" w14:textId="175A161D" w:rsidR="007C5D2A" w:rsidRPr="0063448B" w:rsidRDefault="00393F9C" w:rsidP="00A85D26">
      <w:pPr>
        <w:ind w:left="851"/>
        <w:jc w:val="both"/>
        <w:rPr>
          <w:sz w:val="24"/>
          <w:szCs w:val="24"/>
          <w:lang w:val="en-GB"/>
        </w:rPr>
      </w:pPr>
      <w:r>
        <w:rPr>
          <w:sz w:val="24"/>
          <w:szCs w:val="24"/>
          <w:lang w:val="en-GB"/>
        </w:rPr>
        <w:t>12 July 2024</w:t>
      </w:r>
      <w:bookmarkStart w:id="1" w:name="_GoBack"/>
      <w:bookmarkEnd w:id="1"/>
    </w:p>
    <w:p w14:paraId="75873A43" w14:textId="77777777" w:rsidR="007C5D2A" w:rsidRPr="0063448B" w:rsidRDefault="007C5D2A" w:rsidP="003E0341">
      <w:pPr>
        <w:tabs>
          <w:tab w:val="left" w:pos="851"/>
        </w:tabs>
        <w:ind w:left="851"/>
        <w:jc w:val="both"/>
        <w:rPr>
          <w:sz w:val="24"/>
          <w:szCs w:val="24"/>
          <w:lang w:val="en-GB"/>
        </w:rPr>
      </w:pPr>
    </w:p>
    <w:p w14:paraId="5FD30F0E" w14:textId="77777777" w:rsidR="007C5D2A" w:rsidRPr="0063448B" w:rsidRDefault="007C5D2A" w:rsidP="007C5D2A">
      <w:pPr>
        <w:tabs>
          <w:tab w:val="left" w:pos="851"/>
        </w:tabs>
        <w:jc w:val="both"/>
        <w:rPr>
          <w:sz w:val="24"/>
          <w:szCs w:val="24"/>
          <w:lang w:val="en-GB"/>
        </w:rPr>
      </w:pPr>
      <w:r w:rsidRPr="0063448B">
        <w:rPr>
          <w:b/>
          <w:sz w:val="24"/>
          <w:szCs w:val="24"/>
          <w:lang w:val="en-GB"/>
        </w:rPr>
        <w:t>10.</w:t>
      </w:r>
      <w:r w:rsidRPr="0063448B">
        <w:rPr>
          <w:b/>
          <w:sz w:val="24"/>
          <w:szCs w:val="24"/>
          <w:lang w:val="en-GB"/>
        </w:rPr>
        <w:tab/>
        <w:t>DATE OF REVISION OF THE TEXT</w:t>
      </w:r>
    </w:p>
    <w:p w14:paraId="3EF56986" w14:textId="721873F6" w:rsidR="007C5D2A" w:rsidRPr="0063448B" w:rsidRDefault="003A108F" w:rsidP="003E0341">
      <w:pPr>
        <w:tabs>
          <w:tab w:val="left" w:pos="851"/>
        </w:tabs>
        <w:ind w:left="851"/>
        <w:jc w:val="both"/>
        <w:rPr>
          <w:sz w:val="24"/>
          <w:szCs w:val="24"/>
          <w:lang w:val="en-GB"/>
        </w:rPr>
      </w:pPr>
      <w:r w:rsidRPr="0063448B">
        <w:rPr>
          <w:sz w:val="24"/>
          <w:szCs w:val="24"/>
          <w:lang w:val="en-GB"/>
        </w:rPr>
        <w:t>-</w:t>
      </w:r>
    </w:p>
    <w:sectPr w:rsidR="007C5D2A" w:rsidRPr="0063448B"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0650" w14:textId="77777777" w:rsidR="003E0988" w:rsidRDefault="003E0988">
      <w:r>
        <w:separator/>
      </w:r>
    </w:p>
  </w:endnote>
  <w:endnote w:type="continuationSeparator" w:id="0">
    <w:p w14:paraId="6FC65055" w14:textId="77777777" w:rsidR="003E0988" w:rsidRDefault="003E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4FD54" w14:textId="77777777" w:rsidR="003E0988" w:rsidRDefault="003E098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94548" w14:textId="77777777" w:rsidR="003E0988" w:rsidRDefault="003E0988">
    <w:pPr>
      <w:pStyle w:val="Sidefod"/>
      <w:pBdr>
        <w:bottom w:val="single" w:sz="6" w:space="1" w:color="auto"/>
      </w:pBdr>
    </w:pPr>
  </w:p>
  <w:p w14:paraId="2383B320" w14:textId="77777777" w:rsidR="003E0988" w:rsidRDefault="003E0988">
    <w:pPr>
      <w:pStyle w:val="Sidefod"/>
      <w:tabs>
        <w:tab w:val="clear" w:pos="4819"/>
        <w:tab w:val="left" w:pos="8647"/>
      </w:tabs>
      <w:rPr>
        <w:i/>
        <w:snapToGrid w:val="0"/>
        <w:sz w:val="18"/>
      </w:rPr>
    </w:pPr>
  </w:p>
  <w:p w14:paraId="0E7B8F8C" w14:textId="2DDDA8DD" w:rsidR="003E0988" w:rsidRDefault="003E098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93F9C">
      <w:rPr>
        <w:i/>
        <w:noProof/>
        <w:snapToGrid w:val="0"/>
        <w:sz w:val="18"/>
      </w:rPr>
      <w:t>Nezodia, filmovertrukne tabletter 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B406B" w14:textId="77777777" w:rsidR="003E0988" w:rsidRDefault="003E0988">
    <w:pPr>
      <w:pStyle w:val="Sidefod"/>
      <w:pBdr>
        <w:bottom w:val="single" w:sz="6" w:space="1" w:color="auto"/>
      </w:pBdr>
      <w:tabs>
        <w:tab w:val="clear" w:pos="4819"/>
        <w:tab w:val="left" w:pos="8789"/>
      </w:tabs>
      <w:rPr>
        <w:i/>
        <w:snapToGrid w:val="0"/>
        <w:sz w:val="18"/>
      </w:rPr>
    </w:pPr>
  </w:p>
  <w:p w14:paraId="5E33215C" w14:textId="77777777" w:rsidR="003E0988" w:rsidRDefault="003E0988">
    <w:pPr>
      <w:pStyle w:val="Sidefod"/>
      <w:tabs>
        <w:tab w:val="clear" w:pos="4819"/>
        <w:tab w:val="left" w:pos="8789"/>
      </w:tabs>
      <w:rPr>
        <w:i/>
        <w:snapToGrid w:val="0"/>
        <w:sz w:val="18"/>
      </w:rPr>
    </w:pPr>
  </w:p>
  <w:p w14:paraId="6A93B41D" w14:textId="4997EBFC" w:rsidR="003E0988" w:rsidRDefault="003E098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393F9C">
      <w:rPr>
        <w:i/>
        <w:noProof/>
        <w:snapToGrid w:val="0"/>
        <w:sz w:val="18"/>
      </w:rPr>
      <w:t>Nezodia, filmovertrukne tabletter 5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3C89F" w14:textId="77777777" w:rsidR="003E0988" w:rsidRDefault="003E0988">
      <w:r>
        <w:separator/>
      </w:r>
    </w:p>
  </w:footnote>
  <w:footnote w:type="continuationSeparator" w:id="0">
    <w:p w14:paraId="40461AB9" w14:textId="77777777" w:rsidR="003E0988" w:rsidRDefault="003E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26608" w14:textId="77777777" w:rsidR="003E0988" w:rsidRDefault="003E098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1F1F" w14:textId="77777777" w:rsidR="003E0988" w:rsidRDefault="003E098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02783" w14:textId="77777777" w:rsidR="003E0988" w:rsidRDefault="003E098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A546DB3"/>
    <w:multiLevelType w:val="hybridMultilevel"/>
    <w:tmpl w:val="97BA45C8"/>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C217D51"/>
    <w:multiLevelType w:val="hybridMultilevel"/>
    <w:tmpl w:val="D0920B4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4E3569"/>
    <w:multiLevelType w:val="hybridMultilevel"/>
    <w:tmpl w:val="7A26898C"/>
    <w:lvl w:ilvl="0" w:tplc="5F32899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DAA0B66"/>
    <w:multiLevelType w:val="hybridMultilevel"/>
    <w:tmpl w:val="E3805236"/>
    <w:lvl w:ilvl="0" w:tplc="1E8089BA">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3EED5775"/>
    <w:multiLevelType w:val="hybridMultilevel"/>
    <w:tmpl w:val="723CCD2A"/>
    <w:lvl w:ilvl="0" w:tplc="67048D3E">
      <w:start w:val="1"/>
      <w:numFmt w:val="bullet"/>
      <w:lvlText w:val=""/>
      <w:lvlJc w:val="left"/>
      <w:pPr>
        <w:ind w:left="1931" w:hanging="360"/>
      </w:pPr>
      <w:rPr>
        <w:rFonts w:ascii="Symbol" w:hAnsi="Symbol" w:hint="default"/>
      </w:rPr>
    </w:lvl>
    <w:lvl w:ilvl="1" w:tplc="5F328990">
      <w:numFmt w:val="bullet"/>
      <w:lvlText w:val="-"/>
      <w:lvlJc w:val="left"/>
      <w:pPr>
        <w:ind w:left="2651" w:hanging="360"/>
      </w:pPr>
      <w:rPr>
        <w:rFonts w:ascii="Times New Roman" w:eastAsia="Times New Roman" w:hAnsi="Times New Roman" w:cs="Times New Roman" w:hint="default"/>
      </w:rPr>
    </w:lvl>
    <w:lvl w:ilvl="2" w:tplc="04060005" w:tentative="1">
      <w:start w:val="1"/>
      <w:numFmt w:val="bullet"/>
      <w:lvlText w:val=""/>
      <w:lvlJc w:val="left"/>
      <w:pPr>
        <w:ind w:left="3371" w:hanging="360"/>
      </w:pPr>
      <w:rPr>
        <w:rFonts w:ascii="Wingdings" w:hAnsi="Wingdings" w:hint="default"/>
      </w:rPr>
    </w:lvl>
    <w:lvl w:ilvl="3" w:tplc="04060001" w:tentative="1">
      <w:start w:val="1"/>
      <w:numFmt w:val="bullet"/>
      <w:lvlText w:val=""/>
      <w:lvlJc w:val="left"/>
      <w:pPr>
        <w:ind w:left="4091" w:hanging="360"/>
      </w:pPr>
      <w:rPr>
        <w:rFonts w:ascii="Symbol" w:hAnsi="Symbol" w:hint="default"/>
      </w:rPr>
    </w:lvl>
    <w:lvl w:ilvl="4" w:tplc="04060003" w:tentative="1">
      <w:start w:val="1"/>
      <w:numFmt w:val="bullet"/>
      <w:lvlText w:val="o"/>
      <w:lvlJc w:val="left"/>
      <w:pPr>
        <w:ind w:left="4811" w:hanging="360"/>
      </w:pPr>
      <w:rPr>
        <w:rFonts w:ascii="Courier New" w:hAnsi="Courier New" w:cs="Courier New" w:hint="default"/>
      </w:rPr>
    </w:lvl>
    <w:lvl w:ilvl="5" w:tplc="04060005" w:tentative="1">
      <w:start w:val="1"/>
      <w:numFmt w:val="bullet"/>
      <w:lvlText w:val=""/>
      <w:lvlJc w:val="left"/>
      <w:pPr>
        <w:ind w:left="5531" w:hanging="360"/>
      </w:pPr>
      <w:rPr>
        <w:rFonts w:ascii="Wingdings" w:hAnsi="Wingdings" w:hint="default"/>
      </w:rPr>
    </w:lvl>
    <w:lvl w:ilvl="6" w:tplc="04060001" w:tentative="1">
      <w:start w:val="1"/>
      <w:numFmt w:val="bullet"/>
      <w:lvlText w:val=""/>
      <w:lvlJc w:val="left"/>
      <w:pPr>
        <w:ind w:left="6251" w:hanging="360"/>
      </w:pPr>
      <w:rPr>
        <w:rFonts w:ascii="Symbol" w:hAnsi="Symbol" w:hint="default"/>
      </w:rPr>
    </w:lvl>
    <w:lvl w:ilvl="7" w:tplc="04060003" w:tentative="1">
      <w:start w:val="1"/>
      <w:numFmt w:val="bullet"/>
      <w:lvlText w:val="o"/>
      <w:lvlJc w:val="left"/>
      <w:pPr>
        <w:ind w:left="6971" w:hanging="360"/>
      </w:pPr>
      <w:rPr>
        <w:rFonts w:ascii="Courier New" w:hAnsi="Courier New" w:cs="Courier New" w:hint="default"/>
      </w:rPr>
    </w:lvl>
    <w:lvl w:ilvl="8" w:tplc="04060005" w:tentative="1">
      <w:start w:val="1"/>
      <w:numFmt w:val="bullet"/>
      <w:lvlText w:val=""/>
      <w:lvlJc w:val="left"/>
      <w:pPr>
        <w:ind w:left="7691" w:hanging="360"/>
      </w:pPr>
      <w:rPr>
        <w:rFonts w:ascii="Wingdings" w:hAnsi="Wingdings" w:hint="default"/>
      </w:rPr>
    </w:lvl>
  </w:abstractNum>
  <w:abstractNum w:abstractNumId="8" w15:restartNumberingAfterBreak="0">
    <w:nsid w:val="5B632C0D"/>
    <w:multiLevelType w:val="hybridMultilevel"/>
    <w:tmpl w:val="70F01FC8"/>
    <w:lvl w:ilvl="0" w:tplc="A7001842">
      <w:numFmt w:val="bullet"/>
      <w:lvlText w:val="-"/>
      <w:lvlJc w:val="left"/>
      <w:pPr>
        <w:ind w:left="784" w:hanging="562"/>
      </w:pPr>
      <w:rPr>
        <w:rFonts w:ascii="Times New Roman" w:eastAsia="Times New Roman" w:hAnsi="Times New Roman" w:cs="Times New Roman" w:hint="default"/>
        <w:w w:val="100"/>
        <w:sz w:val="22"/>
        <w:szCs w:val="22"/>
      </w:rPr>
    </w:lvl>
    <w:lvl w:ilvl="1" w:tplc="FF420F20">
      <w:numFmt w:val="bullet"/>
      <w:lvlText w:val="•"/>
      <w:lvlJc w:val="left"/>
      <w:pPr>
        <w:ind w:left="1672" w:hanging="562"/>
      </w:pPr>
    </w:lvl>
    <w:lvl w:ilvl="2" w:tplc="BE764ED2">
      <w:numFmt w:val="bullet"/>
      <w:lvlText w:val="•"/>
      <w:lvlJc w:val="left"/>
      <w:pPr>
        <w:ind w:left="2565" w:hanging="562"/>
      </w:pPr>
    </w:lvl>
    <w:lvl w:ilvl="3" w:tplc="3802F804">
      <w:numFmt w:val="bullet"/>
      <w:lvlText w:val="•"/>
      <w:lvlJc w:val="left"/>
      <w:pPr>
        <w:ind w:left="3457" w:hanging="562"/>
      </w:pPr>
    </w:lvl>
    <w:lvl w:ilvl="4" w:tplc="4BAEBB7A">
      <w:numFmt w:val="bullet"/>
      <w:lvlText w:val="•"/>
      <w:lvlJc w:val="left"/>
      <w:pPr>
        <w:ind w:left="4350" w:hanging="562"/>
      </w:pPr>
    </w:lvl>
    <w:lvl w:ilvl="5" w:tplc="AF1AEF22">
      <w:numFmt w:val="bullet"/>
      <w:lvlText w:val="•"/>
      <w:lvlJc w:val="left"/>
      <w:pPr>
        <w:ind w:left="5242" w:hanging="562"/>
      </w:pPr>
    </w:lvl>
    <w:lvl w:ilvl="6" w:tplc="9B9AEA7E">
      <w:numFmt w:val="bullet"/>
      <w:lvlText w:val="•"/>
      <w:lvlJc w:val="left"/>
      <w:pPr>
        <w:ind w:left="6135" w:hanging="562"/>
      </w:pPr>
    </w:lvl>
    <w:lvl w:ilvl="7" w:tplc="8A9ABE92">
      <w:numFmt w:val="bullet"/>
      <w:lvlText w:val="•"/>
      <w:lvlJc w:val="left"/>
      <w:pPr>
        <w:ind w:left="7027" w:hanging="562"/>
      </w:pPr>
    </w:lvl>
    <w:lvl w:ilvl="8" w:tplc="8FDED4CE">
      <w:numFmt w:val="bullet"/>
      <w:lvlText w:val="•"/>
      <w:lvlJc w:val="left"/>
      <w:pPr>
        <w:ind w:left="7920" w:hanging="562"/>
      </w:pPr>
    </w:lvl>
  </w:abstractNum>
  <w:abstractNum w:abstractNumId="9"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0" w15:restartNumberingAfterBreak="0">
    <w:nsid w:val="7461750F"/>
    <w:multiLevelType w:val="multilevel"/>
    <w:tmpl w:val="0F64B806"/>
    <w:lvl w:ilvl="0">
      <w:start w:val="1"/>
      <w:numFmt w:val="decimal"/>
      <w:lvlText w:val="%1"/>
      <w:lvlJc w:val="left"/>
      <w:pPr>
        <w:ind w:left="420" w:hanging="420"/>
      </w:pPr>
      <w:rPr>
        <w:strike w:val="0"/>
        <w:dstrike w:val="0"/>
        <w:u w:val="none"/>
        <w:effect w:val="none"/>
      </w:rPr>
    </w:lvl>
    <w:lvl w:ilvl="1">
      <w:start w:val="21"/>
      <w:numFmt w:val="decimal"/>
      <w:lvlText w:val="%1.%2"/>
      <w:lvlJc w:val="left"/>
      <w:pPr>
        <w:ind w:left="420" w:hanging="42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strike w:val="0"/>
        <w:dstrike w:val="0"/>
        <w:u w:val="none"/>
        <w:effect w:val="none"/>
      </w:rPr>
    </w:lvl>
    <w:lvl w:ilvl="4">
      <w:start w:val="1"/>
      <w:numFmt w:val="decimal"/>
      <w:lvlText w:val="%1.%2.%3.%4.%5"/>
      <w:lvlJc w:val="left"/>
      <w:pPr>
        <w:ind w:left="720" w:hanging="720"/>
      </w:pPr>
      <w:rPr>
        <w:strike w:val="0"/>
        <w:dstrike w:val="0"/>
        <w:u w:val="none"/>
        <w:effect w:val="none"/>
      </w:rPr>
    </w:lvl>
    <w:lvl w:ilvl="5">
      <w:start w:val="1"/>
      <w:numFmt w:val="decimal"/>
      <w:lvlText w:val="%1.%2.%3.%4.%5.%6"/>
      <w:lvlJc w:val="left"/>
      <w:pPr>
        <w:ind w:left="1080" w:hanging="1080"/>
      </w:pPr>
      <w:rPr>
        <w:strike w:val="0"/>
        <w:dstrike w:val="0"/>
        <w:u w:val="none"/>
        <w:effect w:val="none"/>
      </w:rPr>
    </w:lvl>
    <w:lvl w:ilvl="6">
      <w:start w:val="1"/>
      <w:numFmt w:val="decimal"/>
      <w:lvlText w:val="%1.%2.%3.%4.%5.%6.%7"/>
      <w:lvlJc w:val="left"/>
      <w:pPr>
        <w:ind w:left="1080" w:hanging="1080"/>
      </w:pPr>
      <w:rPr>
        <w:strike w:val="0"/>
        <w:dstrike w:val="0"/>
        <w:u w:val="none"/>
        <w:effect w:val="none"/>
      </w:rPr>
    </w:lvl>
    <w:lvl w:ilvl="7">
      <w:start w:val="1"/>
      <w:numFmt w:val="decimal"/>
      <w:lvlText w:val="%1.%2.%3.%4.%5.%6.%7.%8"/>
      <w:lvlJc w:val="left"/>
      <w:pPr>
        <w:ind w:left="1440" w:hanging="1440"/>
      </w:pPr>
      <w:rPr>
        <w:strike w:val="0"/>
        <w:dstrike w:val="0"/>
        <w:u w:val="none"/>
        <w:effect w:val="none"/>
      </w:rPr>
    </w:lvl>
    <w:lvl w:ilvl="8">
      <w:start w:val="1"/>
      <w:numFmt w:val="decimal"/>
      <w:lvlText w:val="%1.%2.%3.%4.%5.%6.%7.%8.%9"/>
      <w:lvlJc w:val="left"/>
      <w:pPr>
        <w:ind w:left="1440" w:hanging="1440"/>
      </w:pPr>
      <w:rPr>
        <w:strike w:val="0"/>
        <w:dstrike w:val="0"/>
        <w:u w:val="none"/>
        <w:effect w:val="none"/>
      </w:rPr>
    </w:lvl>
  </w:abstractNum>
  <w:num w:numId="1">
    <w:abstractNumId w:val="4"/>
  </w:num>
  <w:num w:numId="2">
    <w:abstractNumId w:val="0"/>
  </w:num>
  <w:num w:numId="3">
    <w:abstractNumId w:val="9"/>
  </w:num>
  <w:num w:numId="4">
    <w:abstractNumId w:val="1"/>
  </w:num>
  <w:num w:numId="5">
    <w:abstractNumId w:val="8"/>
  </w:num>
  <w:num w:numId="6">
    <w:abstractNumId w:val="10"/>
    <w:lvlOverride w:ilvl="0">
      <w:startOverride w:val="1"/>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C3"/>
    <w:rsid w:val="00056601"/>
    <w:rsid w:val="000C3846"/>
    <w:rsid w:val="000C6218"/>
    <w:rsid w:val="000D3C9D"/>
    <w:rsid w:val="000F0D47"/>
    <w:rsid w:val="000F185E"/>
    <w:rsid w:val="001242DE"/>
    <w:rsid w:val="00180A12"/>
    <w:rsid w:val="00214331"/>
    <w:rsid w:val="00214CF4"/>
    <w:rsid w:val="00272ED8"/>
    <w:rsid w:val="00281F03"/>
    <w:rsid w:val="0029458A"/>
    <w:rsid w:val="002A1587"/>
    <w:rsid w:val="002B27C5"/>
    <w:rsid w:val="002F6D9C"/>
    <w:rsid w:val="00303008"/>
    <w:rsid w:val="00373B55"/>
    <w:rsid w:val="00393F9C"/>
    <w:rsid w:val="003A108F"/>
    <w:rsid w:val="003D727E"/>
    <w:rsid w:val="003E0341"/>
    <w:rsid w:val="003E0988"/>
    <w:rsid w:val="003E3402"/>
    <w:rsid w:val="003F4736"/>
    <w:rsid w:val="00401B49"/>
    <w:rsid w:val="0042292D"/>
    <w:rsid w:val="00437D5B"/>
    <w:rsid w:val="00440254"/>
    <w:rsid w:val="004860D3"/>
    <w:rsid w:val="004A3BF4"/>
    <w:rsid w:val="004A5DB3"/>
    <w:rsid w:val="004E7E1B"/>
    <w:rsid w:val="005152D9"/>
    <w:rsid w:val="00533AD4"/>
    <w:rsid w:val="00534849"/>
    <w:rsid w:val="00560102"/>
    <w:rsid w:val="00562EA1"/>
    <w:rsid w:val="005A498B"/>
    <w:rsid w:val="00617BB8"/>
    <w:rsid w:val="006207FF"/>
    <w:rsid w:val="0063448B"/>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414C3"/>
    <w:rsid w:val="009925C9"/>
    <w:rsid w:val="00A179D0"/>
    <w:rsid w:val="00A358A3"/>
    <w:rsid w:val="00A46747"/>
    <w:rsid w:val="00A80446"/>
    <w:rsid w:val="00A85D26"/>
    <w:rsid w:val="00A9153A"/>
    <w:rsid w:val="00AB4376"/>
    <w:rsid w:val="00AC033C"/>
    <w:rsid w:val="00AD2E36"/>
    <w:rsid w:val="00B45DC5"/>
    <w:rsid w:val="00BA5DCC"/>
    <w:rsid w:val="00BD3490"/>
    <w:rsid w:val="00C26226"/>
    <w:rsid w:val="00C3571D"/>
    <w:rsid w:val="00C54F0B"/>
    <w:rsid w:val="00C82621"/>
    <w:rsid w:val="00CB1423"/>
    <w:rsid w:val="00D02508"/>
    <w:rsid w:val="00D778CC"/>
    <w:rsid w:val="00D82FE9"/>
    <w:rsid w:val="00D97B77"/>
    <w:rsid w:val="00DB6A85"/>
    <w:rsid w:val="00E06B32"/>
    <w:rsid w:val="00E1290F"/>
    <w:rsid w:val="00E36A80"/>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40B2E"/>
  <w15:chartTrackingRefBased/>
  <w15:docId w15:val="{02564892-FD2B-4851-BF20-463C0699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EMEAEnBodyText">
    <w:name w:val="EMEA En Body Text"/>
    <w:basedOn w:val="Normal"/>
    <w:rsid w:val="003A108F"/>
    <w:pPr>
      <w:spacing w:before="120" w:after="120"/>
      <w:jc w:val="both"/>
    </w:pPr>
    <w:rPr>
      <w:sz w:val="22"/>
      <w:lang w:val="en-US" w:eastAsia="en-US"/>
    </w:rPr>
  </w:style>
  <w:style w:type="character" w:styleId="Hyperlink">
    <w:name w:val="Hyperlink"/>
    <w:semiHidden/>
    <w:unhideWhenUsed/>
    <w:rsid w:val="003A108F"/>
    <w:rPr>
      <w:color w:val="0000FF"/>
      <w:u w:val="single"/>
    </w:rPr>
  </w:style>
  <w:style w:type="paragraph" w:styleId="Brdtekst">
    <w:name w:val="Body Text"/>
    <w:basedOn w:val="Normal"/>
    <w:link w:val="BrdtekstTegn"/>
    <w:semiHidden/>
    <w:unhideWhenUsed/>
    <w:rsid w:val="003A108F"/>
    <w:rPr>
      <w:i/>
      <w:color w:val="008000"/>
      <w:sz w:val="22"/>
      <w:lang w:val="en-GB" w:eastAsia="en-US"/>
    </w:rPr>
  </w:style>
  <w:style w:type="character" w:customStyle="1" w:styleId="BrdtekstTegn">
    <w:name w:val="Brødtekst Tegn"/>
    <w:basedOn w:val="Standardskrifttypeiafsnit"/>
    <w:link w:val="Brdtekst"/>
    <w:semiHidden/>
    <w:rsid w:val="003A108F"/>
    <w:rPr>
      <w:i/>
      <w:color w:val="008000"/>
      <w:sz w:val="22"/>
      <w:lang w:val="en-GB" w:eastAsia="en-US"/>
    </w:rPr>
  </w:style>
  <w:style w:type="table" w:styleId="Tabel-Gitter">
    <w:name w:val="Table Grid"/>
    <w:basedOn w:val="Tabel-Normal"/>
    <w:rsid w:val="003A108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1"/>
    <w:qFormat/>
    <w:rsid w:val="003A108F"/>
    <w:pPr>
      <w:tabs>
        <w:tab w:val="left" w:pos="567"/>
      </w:tabs>
      <w:spacing w:line="260" w:lineRule="exact"/>
      <w:ind w:left="720"/>
      <w:contextualSpacing/>
    </w:pPr>
    <w:rPr>
      <w:sz w:val="22"/>
      <w:lang w:val="en-GB" w:eastAsia="en-US"/>
    </w:rPr>
  </w:style>
  <w:style w:type="paragraph" w:customStyle="1" w:styleId="TableParagraph">
    <w:name w:val="Table Paragraph"/>
    <w:basedOn w:val="Normal"/>
    <w:uiPriority w:val="1"/>
    <w:qFormat/>
    <w:rsid w:val="003A108F"/>
    <w:pPr>
      <w:widowControl w:val="0"/>
      <w:autoSpaceDE w:val="0"/>
      <w:autoSpaceDN w:val="0"/>
      <w:spacing w:before="3"/>
      <w:ind w:left="69"/>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1363">
      <w:bodyDiv w:val="1"/>
      <w:marLeft w:val="0"/>
      <w:marRight w:val="0"/>
      <w:marTop w:val="0"/>
      <w:marBottom w:val="0"/>
      <w:divBdr>
        <w:top w:val="none" w:sz="0" w:space="0" w:color="auto"/>
        <w:left w:val="none" w:sz="0" w:space="0" w:color="auto"/>
        <w:bottom w:val="none" w:sz="0" w:space="0" w:color="auto"/>
        <w:right w:val="none" w:sz="0" w:space="0" w:color="auto"/>
      </w:divBdr>
    </w:div>
    <w:div w:id="27266725">
      <w:bodyDiv w:val="1"/>
      <w:marLeft w:val="0"/>
      <w:marRight w:val="0"/>
      <w:marTop w:val="0"/>
      <w:marBottom w:val="0"/>
      <w:divBdr>
        <w:top w:val="none" w:sz="0" w:space="0" w:color="auto"/>
        <w:left w:val="none" w:sz="0" w:space="0" w:color="auto"/>
        <w:bottom w:val="none" w:sz="0" w:space="0" w:color="auto"/>
        <w:right w:val="none" w:sz="0" w:space="0" w:color="auto"/>
      </w:divBdr>
    </w:div>
    <w:div w:id="92014268">
      <w:bodyDiv w:val="1"/>
      <w:marLeft w:val="0"/>
      <w:marRight w:val="0"/>
      <w:marTop w:val="0"/>
      <w:marBottom w:val="0"/>
      <w:divBdr>
        <w:top w:val="none" w:sz="0" w:space="0" w:color="auto"/>
        <w:left w:val="none" w:sz="0" w:space="0" w:color="auto"/>
        <w:bottom w:val="none" w:sz="0" w:space="0" w:color="auto"/>
        <w:right w:val="none" w:sz="0" w:space="0" w:color="auto"/>
      </w:divBdr>
    </w:div>
    <w:div w:id="129055073">
      <w:bodyDiv w:val="1"/>
      <w:marLeft w:val="0"/>
      <w:marRight w:val="0"/>
      <w:marTop w:val="0"/>
      <w:marBottom w:val="0"/>
      <w:divBdr>
        <w:top w:val="none" w:sz="0" w:space="0" w:color="auto"/>
        <w:left w:val="none" w:sz="0" w:space="0" w:color="auto"/>
        <w:bottom w:val="none" w:sz="0" w:space="0" w:color="auto"/>
        <w:right w:val="none" w:sz="0" w:space="0" w:color="auto"/>
      </w:divBdr>
    </w:div>
    <w:div w:id="392194074">
      <w:bodyDiv w:val="1"/>
      <w:marLeft w:val="0"/>
      <w:marRight w:val="0"/>
      <w:marTop w:val="0"/>
      <w:marBottom w:val="0"/>
      <w:divBdr>
        <w:top w:val="none" w:sz="0" w:space="0" w:color="auto"/>
        <w:left w:val="none" w:sz="0" w:space="0" w:color="auto"/>
        <w:bottom w:val="none" w:sz="0" w:space="0" w:color="auto"/>
        <w:right w:val="none" w:sz="0" w:space="0" w:color="auto"/>
      </w:divBdr>
    </w:div>
    <w:div w:id="451679452">
      <w:bodyDiv w:val="1"/>
      <w:marLeft w:val="0"/>
      <w:marRight w:val="0"/>
      <w:marTop w:val="0"/>
      <w:marBottom w:val="0"/>
      <w:divBdr>
        <w:top w:val="none" w:sz="0" w:space="0" w:color="auto"/>
        <w:left w:val="none" w:sz="0" w:space="0" w:color="auto"/>
        <w:bottom w:val="none" w:sz="0" w:space="0" w:color="auto"/>
        <w:right w:val="none" w:sz="0" w:space="0" w:color="auto"/>
      </w:divBdr>
    </w:div>
    <w:div w:id="528223414">
      <w:bodyDiv w:val="1"/>
      <w:marLeft w:val="0"/>
      <w:marRight w:val="0"/>
      <w:marTop w:val="0"/>
      <w:marBottom w:val="0"/>
      <w:divBdr>
        <w:top w:val="none" w:sz="0" w:space="0" w:color="auto"/>
        <w:left w:val="none" w:sz="0" w:space="0" w:color="auto"/>
        <w:bottom w:val="none" w:sz="0" w:space="0" w:color="auto"/>
        <w:right w:val="none" w:sz="0" w:space="0" w:color="auto"/>
      </w:divBdr>
    </w:div>
    <w:div w:id="541869093">
      <w:bodyDiv w:val="1"/>
      <w:marLeft w:val="0"/>
      <w:marRight w:val="0"/>
      <w:marTop w:val="0"/>
      <w:marBottom w:val="0"/>
      <w:divBdr>
        <w:top w:val="none" w:sz="0" w:space="0" w:color="auto"/>
        <w:left w:val="none" w:sz="0" w:space="0" w:color="auto"/>
        <w:bottom w:val="none" w:sz="0" w:space="0" w:color="auto"/>
        <w:right w:val="none" w:sz="0" w:space="0" w:color="auto"/>
      </w:divBdr>
    </w:div>
    <w:div w:id="757870925">
      <w:bodyDiv w:val="1"/>
      <w:marLeft w:val="0"/>
      <w:marRight w:val="0"/>
      <w:marTop w:val="0"/>
      <w:marBottom w:val="0"/>
      <w:divBdr>
        <w:top w:val="none" w:sz="0" w:space="0" w:color="auto"/>
        <w:left w:val="none" w:sz="0" w:space="0" w:color="auto"/>
        <w:bottom w:val="none" w:sz="0" w:space="0" w:color="auto"/>
        <w:right w:val="none" w:sz="0" w:space="0" w:color="auto"/>
      </w:divBdr>
    </w:div>
    <w:div w:id="794105188">
      <w:bodyDiv w:val="1"/>
      <w:marLeft w:val="0"/>
      <w:marRight w:val="0"/>
      <w:marTop w:val="0"/>
      <w:marBottom w:val="0"/>
      <w:divBdr>
        <w:top w:val="none" w:sz="0" w:space="0" w:color="auto"/>
        <w:left w:val="none" w:sz="0" w:space="0" w:color="auto"/>
        <w:bottom w:val="none" w:sz="0" w:space="0" w:color="auto"/>
        <w:right w:val="none" w:sz="0" w:space="0" w:color="auto"/>
      </w:divBdr>
    </w:div>
    <w:div w:id="862404871">
      <w:bodyDiv w:val="1"/>
      <w:marLeft w:val="0"/>
      <w:marRight w:val="0"/>
      <w:marTop w:val="0"/>
      <w:marBottom w:val="0"/>
      <w:divBdr>
        <w:top w:val="none" w:sz="0" w:space="0" w:color="auto"/>
        <w:left w:val="none" w:sz="0" w:space="0" w:color="auto"/>
        <w:bottom w:val="none" w:sz="0" w:space="0" w:color="auto"/>
        <w:right w:val="none" w:sz="0" w:space="0" w:color="auto"/>
      </w:divBdr>
    </w:div>
    <w:div w:id="1155952561">
      <w:bodyDiv w:val="1"/>
      <w:marLeft w:val="0"/>
      <w:marRight w:val="0"/>
      <w:marTop w:val="0"/>
      <w:marBottom w:val="0"/>
      <w:divBdr>
        <w:top w:val="none" w:sz="0" w:space="0" w:color="auto"/>
        <w:left w:val="none" w:sz="0" w:space="0" w:color="auto"/>
        <w:bottom w:val="none" w:sz="0" w:space="0" w:color="auto"/>
        <w:right w:val="none" w:sz="0" w:space="0" w:color="auto"/>
      </w:divBdr>
    </w:div>
    <w:div w:id="1207330739">
      <w:bodyDiv w:val="1"/>
      <w:marLeft w:val="0"/>
      <w:marRight w:val="0"/>
      <w:marTop w:val="0"/>
      <w:marBottom w:val="0"/>
      <w:divBdr>
        <w:top w:val="none" w:sz="0" w:space="0" w:color="auto"/>
        <w:left w:val="none" w:sz="0" w:space="0" w:color="auto"/>
        <w:bottom w:val="none" w:sz="0" w:space="0" w:color="auto"/>
        <w:right w:val="none" w:sz="0" w:space="0" w:color="auto"/>
      </w:divBdr>
    </w:div>
    <w:div w:id="1216233245">
      <w:bodyDiv w:val="1"/>
      <w:marLeft w:val="0"/>
      <w:marRight w:val="0"/>
      <w:marTop w:val="0"/>
      <w:marBottom w:val="0"/>
      <w:divBdr>
        <w:top w:val="none" w:sz="0" w:space="0" w:color="auto"/>
        <w:left w:val="none" w:sz="0" w:space="0" w:color="auto"/>
        <w:bottom w:val="none" w:sz="0" w:space="0" w:color="auto"/>
        <w:right w:val="none" w:sz="0" w:space="0" w:color="auto"/>
      </w:divBdr>
    </w:div>
    <w:div w:id="1335378713">
      <w:bodyDiv w:val="1"/>
      <w:marLeft w:val="0"/>
      <w:marRight w:val="0"/>
      <w:marTop w:val="0"/>
      <w:marBottom w:val="0"/>
      <w:divBdr>
        <w:top w:val="none" w:sz="0" w:space="0" w:color="auto"/>
        <w:left w:val="none" w:sz="0" w:space="0" w:color="auto"/>
        <w:bottom w:val="none" w:sz="0" w:space="0" w:color="auto"/>
        <w:right w:val="none" w:sz="0" w:space="0" w:color="auto"/>
      </w:divBdr>
    </w:div>
    <w:div w:id="1578244268">
      <w:bodyDiv w:val="1"/>
      <w:marLeft w:val="0"/>
      <w:marRight w:val="0"/>
      <w:marTop w:val="0"/>
      <w:marBottom w:val="0"/>
      <w:divBdr>
        <w:top w:val="none" w:sz="0" w:space="0" w:color="auto"/>
        <w:left w:val="none" w:sz="0" w:space="0" w:color="auto"/>
        <w:bottom w:val="none" w:sz="0" w:space="0" w:color="auto"/>
        <w:right w:val="none" w:sz="0" w:space="0" w:color="auto"/>
      </w:divBdr>
    </w:div>
    <w:div w:id="1618830550">
      <w:bodyDiv w:val="1"/>
      <w:marLeft w:val="0"/>
      <w:marRight w:val="0"/>
      <w:marTop w:val="0"/>
      <w:marBottom w:val="0"/>
      <w:divBdr>
        <w:top w:val="none" w:sz="0" w:space="0" w:color="auto"/>
        <w:left w:val="none" w:sz="0" w:space="0" w:color="auto"/>
        <w:bottom w:val="none" w:sz="0" w:space="0" w:color="auto"/>
        <w:right w:val="none" w:sz="0" w:space="0" w:color="auto"/>
      </w:divBdr>
    </w:div>
    <w:div w:id="1896042800">
      <w:bodyDiv w:val="1"/>
      <w:marLeft w:val="0"/>
      <w:marRight w:val="0"/>
      <w:marTop w:val="0"/>
      <w:marBottom w:val="0"/>
      <w:divBdr>
        <w:top w:val="none" w:sz="0" w:space="0" w:color="auto"/>
        <w:left w:val="none" w:sz="0" w:space="0" w:color="auto"/>
        <w:bottom w:val="none" w:sz="0" w:space="0" w:color="auto"/>
        <w:right w:val="none" w:sz="0" w:space="0" w:color="auto"/>
      </w:divBdr>
    </w:div>
    <w:div w:id="1922908619">
      <w:bodyDiv w:val="1"/>
      <w:marLeft w:val="0"/>
      <w:marRight w:val="0"/>
      <w:marTop w:val="0"/>
      <w:marBottom w:val="0"/>
      <w:divBdr>
        <w:top w:val="none" w:sz="0" w:space="0" w:color="auto"/>
        <w:left w:val="none" w:sz="0" w:space="0" w:color="auto"/>
        <w:bottom w:val="none" w:sz="0" w:space="0" w:color="auto"/>
        <w:right w:val="none" w:sz="0" w:space="0" w:color="auto"/>
      </w:divBdr>
    </w:div>
    <w:div w:id="1943026614">
      <w:bodyDiv w:val="1"/>
      <w:marLeft w:val="0"/>
      <w:marRight w:val="0"/>
      <w:marTop w:val="0"/>
      <w:marBottom w:val="0"/>
      <w:divBdr>
        <w:top w:val="none" w:sz="0" w:space="0" w:color="auto"/>
        <w:left w:val="none" w:sz="0" w:space="0" w:color="auto"/>
        <w:bottom w:val="none" w:sz="0" w:space="0" w:color="auto"/>
        <w:right w:val="none" w:sz="0" w:space="0" w:color="auto"/>
      </w:divBdr>
    </w:div>
    <w:div w:id="204270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118</TotalTime>
  <Pages>17</Pages>
  <Words>6202</Words>
  <Characters>36090</Characters>
  <Application>Microsoft Office Word</Application>
  <DocSecurity>0</DocSecurity>
  <Lines>300</Lines>
  <Paragraphs>84</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42208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2022123075, MT</dc:description>
  <cp:lastModifiedBy>Gitte Jørgensen</cp:lastModifiedBy>
  <cp:revision>7</cp:revision>
  <cp:lastPrinted>2006-02-24T09:31:00Z</cp:lastPrinted>
  <dcterms:created xsi:type="dcterms:W3CDTF">2024-07-11T10:32:00Z</dcterms:created>
  <dcterms:modified xsi:type="dcterms:W3CDTF">2024-07-12T11:21:00Z</dcterms:modified>
</cp:coreProperties>
</file>