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DE5" w:rsidRPr="00C84483" w:rsidRDefault="00D43DE5" w:rsidP="00D43DE5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a-DK"/>
        </w:rPr>
        <w:drawing>
          <wp:inline distT="0" distB="0" distL="0" distR="0" wp14:anchorId="2F202AAC" wp14:editId="0011DF68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DE5" w:rsidRPr="00C84483" w:rsidRDefault="00D43DE5" w:rsidP="00D43DE5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D43DE5" w:rsidRPr="00C84483" w:rsidRDefault="00D43DE5" w:rsidP="00D43DE5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A86AFA">
        <w:rPr>
          <w:szCs w:val="24"/>
        </w:rPr>
        <w:t>30. oktober 2023</w:t>
      </w:r>
    </w:p>
    <w:p w:rsidR="00D43DE5" w:rsidRDefault="00D43DE5" w:rsidP="00D43DE5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D43DE5" w:rsidRDefault="00D43DE5" w:rsidP="00D43DE5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A86AFA" w:rsidRPr="00C84483" w:rsidRDefault="00A86AFA" w:rsidP="00D43DE5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D43DE5" w:rsidRPr="00C84483" w:rsidRDefault="00D43DE5" w:rsidP="00D43DE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D43DE5" w:rsidRPr="00C84483" w:rsidRDefault="00D43DE5" w:rsidP="00D43DE5">
      <w:pPr>
        <w:jc w:val="center"/>
        <w:rPr>
          <w:b/>
          <w:sz w:val="24"/>
          <w:szCs w:val="24"/>
        </w:rPr>
      </w:pPr>
    </w:p>
    <w:p w:rsidR="00D43DE5" w:rsidRPr="00C84483" w:rsidRDefault="00D43DE5" w:rsidP="00D43DE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D43DE5" w:rsidRPr="00C84483" w:rsidRDefault="00D43DE5" w:rsidP="00D43DE5">
      <w:pPr>
        <w:jc w:val="center"/>
        <w:rPr>
          <w:b/>
          <w:sz w:val="24"/>
          <w:szCs w:val="24"/>
        </w:rPr>
      </w:pPr>
    </w:p>
    <w:p w:rsidR="00D43DE5" w:rsidRPr="00C84483" w:rsidRDefault="00A86AFA" w:rsidP="00D43DE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Nicolex</w:t>
      </w:r>
      <w:proofErr w:type="spellEnd"/>
      <w:r w:rsidR="00D43DE5">
        <w:rPr>
          <w:b/>
          <w:sz w:val="24"/>
          <w:szCs w:val="24"/>
        </w:rPr>
        <w:t>, mundhulepulver, portionspose</w:t>
      </w:r>
    </w:p>
    <w:p w:rsidR="00D43DE5" w:rsidRDefault="00D43DE5" w:rsidP="00D43DE5">
      <w:pPr>
        <w:jc w:val="both"/>
        <w:rPr>
          <w:sz w:val="24"/>
          <w:szCs w:val="24"/>
        </w:rPr>
      </w:pPr>
    </w:p>
    <w:p w:rsidR="00D43DE5" w:rsidRPr="00C84483" w:rsidRDefault="00D43DE5" w:rsidP="00D43DE5">
      <w:pPr>
        <w:jc w:val="both"/>
        <w:rPr>
          <w:sz w:val="24"/>
          <w:szCs w:val="24"/>
        </w:rPr>
      </w:pPr>
    </w:p>
    <w:p w:rsidR="00D43DE5" w:rsidRPr="00C84483" w:rsidRDefault="00D43DE5" w:rsidP="00D43DE5">
      <w:pPr>
        <w:jc w:val="both"/>
        <w:rPr>
          <w:sz w:val="24"/>
          <w:szCs w:val="24"/>
        </w:rPr>
      </w:pPr>
    </w:p>
    <w:p w:rsidR="00A86AFA" w:rsidRPr="00C84483" w:rsidRDefault="00A86AFA" w:rsidP="00A86AF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r>
        <w:rPr>
          <w:sz w:val="24"/>
          <w:szCs w:val="24"/>
        </w:rPr>
        <w:t>28005</w:t>
      </w: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proofErr w:type="spellStart"/>
      <w:r w:rsidR="00A86AFA">
        <w:rPr>
          <w:sz w:val="24"/>
          <w:szCs w:val="24"/>
        </w:rPr>
        <w:t>Nicolex</w:t>
      </w:r>
      <w:proofErr w:type="spellEnd"/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013AAE" w:rsidRDefault="00D43DE5" w:rsidP="00D43DE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13AAE">
        <w:rPr>
          <w:sz w:val="24"/>
          <w:szCs w:val="24"/>
          <w:u w:val="single"/>
        </w:rPr>
        <w:t>2 mg</w:t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 xml:space="preserve">En portionspose indeholder </w:t>
      </w:r>
      <w:r>
        <w:rPr>
          <w:sz w:val="24"/>
          <w:szCs w:val="24"/>
        </w:rPr>
        <w:t>2 m</w:t>
      </w:r>
      <w:r w:rsidRPr="00C45598">
        <w:rPr>
          <w:sz w:val="24"/>
          <w:szCs w:val="24"/>
        </w:rPr>
        <w:t xml:space="preserve">g </w:t>
      </w:r>
      <w:proofErr w:type="spellStart"/>
      <w:r w:rsidRPr="00C45598">
        <w:rPr>
          <w:sz w:val="24"/>
          <w:szCs w:val="24"/>
        </w:rPr>
        <w:t>ni</w:t>
      </w:r>
      <w:r>
        <w:rPr>
          <w:sz w:val="24"/>
          <w:szCs w:val="24"/>
        </w:rPr>
        <w:t>c</w:t>
      </w:r>
      <w:r w:rsidRPr="00C45598">
        <w:rPr>
          <w:sz w:val="24"/>
          <w:szCs w:val="24"/>
        </w:rPr>
        <w:t>otin</w:t>
      </w:r>
      <w:proofErr w:type="spellEnd"/>
      <w:r w:rsidRPr="00C45598">
        <w:rPr>
          <w:sz w:val="24"/>
          <w:szCs w:val="24"/>
        </w:rPr>
        <w:t>.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013AAE" w:rsidRDefault="00D43DE5" w:rsidP="00D43DE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13AAE">
        <w:rPr>
          <w:sz w:val="24"/>
          <w:szCs w:val="24"/>
          <w:u w:val="single"/>
        </w:rPr>
        <w:t>4 mg</w:t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 xml:space="preserve">En portionspose indeholder 4 mg </w:t>
      </w:r>
      <w:proofErr w:type="spellStart"/>
      <w:r>
        <w:rPr>
          <w:sz w:val="24"/>
          <w:szCs w:val="24"/>
        </w:rPr>
        <w:t>nic</w:t>
      </w:r>
      <w:r w:rsidRPr="00C45598">
        <w:rPr>
          <w:sz w:val="24"/>
          <w:szCs w:val="24"/>
        </w:rPr>
        <w:t>otin</w:t>
      </w:r>
      <w:proofErr w:type="spellEnd"/>
      <w:r w:rsidRPr="00C45598">
        <w:rPr>
          <w:sz w:val="24"/>
          <w:szCs w:val="24"/>
        </w:rPr>
        <w:t>.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>Alle hjælpestoffer er anført under pkt. 6.1.</w:t>
      </w: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</w:p>
    <w:p w:rsidR="00D43DE5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D43DE5" w:rsidRPr="00C73AB8" w:rsidRDefault="00D43DE5" w:rsidP="00D43DE5">
      <w:pPr>
        <w:ind w:left="851"/>
        <w:rPr>
          <w:sz w:val="24"/>
          <w:szCs w:val="24"/>
        </w:rPr>
      </w:pPr>
      <w:r>
        <w:rPr>
          <w:sz w:val="24"/>
          <w:szCs w:val="24"/>
        </w:rPr>
        <w:t>Mundhulepulver i portionspose</w:t>
      </w:r>
    </w:p>
    <w:p w:rsidR="00D43DE5" w:rsidRPr="00C73AB8" w:rsidRDefault="00D43DE5" w:rsidP="00D43DE5">
      <w:pPr>
        <w:ind w:left="851"/>
        <w:rPr>
          <w:sz w:val="24"/>
          <w:szCs w:val="24"/>
        </w:rPr>
      </w:pPr>
    </w:p>
    <w:p w:rsidR="00D43DE5" w:rsidRPr="00C73AB8" w:rsidRDefault="00D43DE5" w:rsidP="00D43DE5">
      <w:pPr>
        <w:ind w:left="851"/>
        <w:rPr>
          <w:sz w:val="24"/>
          <w:szCs w:val="24"/>
        </w:rPr>
      </w:pPr>
      <w:r w:rsidRPr="00C73AB8">
        <w:rPr>
          <w:sz w:val="24"/>
          <w:szCs w:val="24"/>
        </w:rPr>
        <w:t>Rektangulær</w:t>
      </w:r>
      <w:r>
        <w:rPr>
          <w:sz w:val="24"/>
          <w:szCs w:val="24"/>
        </w:rPr>
        <w:t xml:space="preserve"> portionspose fyldt med pulver.</w:t>
      </w: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D43DE5" w:rsidRPr="00C84483" w:rsidRDefault="00D43DE5" w:rsidP="00D43DE5">
      <w:pPr>
        <w:tabs>
          <w:tab w:val="left" w:pos="851"/>
        </w:tabs>
        <w:rPr>
          <w:b/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D43DE5" w:rsidRPr="00C45598" w:rsidRDefault="00A86AFA" w:rsidP="00D43DE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Nicolex</w:t>
      </w:r>
      <w:proofErr w:type="spellEnd"/>
      <w:r w:rsidR="00D43DE5" w:rsidRPr="00C45598">
        <w:rPr>
          <w:sz w:val="24"/>
          <w:szCs w:val="24"/>
        </w:rPr>
        <w:t xml:space="preserve"> mundhulepulver i portionspose er indiceret til voksne for behandling af tobaksafhængighed ved at lindre </w:t>
      </w:r>
      <w:proofErr w:type="spellStart"/>
      <w:r w:rsidR="00D43DE5">
        <w:rPr>
          <w:sz w:val="24"/>
          <w:szCs w:val="24"/>
        </w:rPr>
        <w:t>nicotin</w:t>
      </w:r>
      <w:r w:rsidR="00D43DE5" w:rsidRPr="00C45598">
        <w:rPr>
          <w:sz w:val="24"/>
          <w:szCs w:val="24"/>
        </w:rPr>
        <w:t>trang</w:t>
      </w:r>
      <w:proofErr w:type="spellEnd"/>
      <w:r w:rsidR="00D43DE5" w:rsidRPr="00C45598">
        <w:rPr>
          <w:sz w:val="24"/>
          <w:szCs w:val="24"/>
        </w:rPr>
        <w:t xml:space="preserve"> og abstinenser. </w:t>
      </w:r>
      <w:r w:rsidR="00D43DE5" w:rsidRPr="00C45598"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Nicolex</w:t>
      </w:r>
      <w:proofErr w:type="spellEnd"/>
      <w:r w:rsidR="00D43DE5" w:rsidRPr="00C45598">
        <w:rPr>
          <w:sz w:val="24"/>
          <w:szCs w:val="24"/>
        </w:rPr>
        <w:t xml:space="preserve"> letter rygestop hos rygere, der er motiveret til at holde op</w:t>
      </w:r>
      <w:r w:rsidR="00D43DE5">
        <w:rPr>
          <w:sz w:val="24"/>
          <w:szCs w:val="24"/>
        </w:rPr>
        <w:t>,</w:t>
      </w:r>
      <w:r w:rsidR="00D43DE5" w:rsidRPr="00C45598">
        <w:rPr>
          <w:sz w:val="24"/>
          <w:szCs w:val="24"/>
        </w:rPr>
        <w:t xml:space="preserve"> og letter reduktion </w:t>
      </w:r>
      <w:r w:rsidR="00D43DE5">
        <w:rPr>
          <w:sz w:val="24"/>
          <w:szCs w:val="24"/>
        </w:rPr>
        <w:t xml:space="preserve">af </w:t>
      </w:r>
      <w:r w:rsidR="00D43DE5" w:rsidRPr="00C45598">
        <w:rPr>
          <w:sz w:val="24"/>
          <w:szCs w:val="24"/>
        </w:rPr>
        <w:t>rygning hos rygere, der ikke er i stand til eller villige til at stoppe med at ryge.</w:t>
      </w:r>
    </w:p>
    <w:p w:rsidR="00D43DE5" w:rsidRPr="00C45598" w:rsidRDefault="00A86AFA" w:rsidP="00D43DE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Nicolex</w:t>
      </w:r>
      <w:proofErr w:type="spellEnd"/>
      <w:r w:rsidR="00D43DE5">
        <w:rPr>
          <w:sz w:val="24"/>
          <w:szCs w:val="24"/>
        </w:rPr>
        <w:t xml:space="preserve"> bør fortrinsvis anvendes sammen med et adfærdsmæssigt støtteprogram.</w:t>
      </w:r>
    </w:p>
    <w:p w:rsidR="00D43DE5" w:rsidRDefault="00D43DE5" w:rsidP="00D43D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</w:p>
    <w:p w:rsidR="00A86AFA" w:rsidRPr="00C84483" w:rsidRDefault="00A86AFA" w:rsidP="00A86AF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47668E" w:rsidRDefault="00D43DE5" w:rsidP="00D43DE5">
      <w:pPr>
        <w:tabs>
          <w:tab w:val="left" w:pos="851"/>
        </w:tabs>
        <w:ind w:left="851"/>
        <w:rPr>
          <w:b/>
          <w:sz w:val="24"/>
          <w:szCs w:val="24"/>
        </w:rPr>
      </w:pPr>
      <w:r w:rsidRPr="0047668E">
        <w:rPr>
          <w:b/>
          <w:sz w:val="24"/>
          <w:szCs w:val="24"/>
        </w:rPr>
        <w:t>Dosering</w:t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C45598" w:rsidRDefault="00D43DE5" w:rsidP="00D43DE5">
      <w:pPr>
        <w:tabs>
          <w:tab w:val="left" w:pos="851"/>
        </w:tabs>
        <w:ind w:left="851"/>
        <w:rPr>
          <w:i/>
          <w:sz w:val="24"/>
          <w:szCs w:val="24"/>
        </w:rPr>
      </w:pPr>
      <w:r w:rsidRPr="0047668E">
        <w:rPr>
          <w:sz w:val="24"/>
          <w:szCs w:val="24"/>
          <w:u w:val="single"/>
        </w:rPr>
        <w:t>Voksne og ældre</w:t>
      </w:r>
      <w:r w:rsidRPr="0047668E">
        <w:rPr>
          <w:sz w:val="24"/>
          <w:szCs w:val="24"/>
          <w:u w:val="single"/>
        </w:rPr>
        <w:br/>
      </w:r>
      <w:r w:rsidRPr="00C45598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begyndelsen tages en </w:t>
      </w:r>
      <w:r w:rsidRPr="00C45598">
        <w:rPr>
          <w:sz w:val="24"/>
          <w:szCs w:val="24"/>
        </w:rPr>
        <w:t>pose hver 1-2 timer. Den sædvanlige dosis er 8-12 poser om dagen. Den maksimale daglige dosis er 24 poser</w:t>
      </w:r>
      <w:r w:rsidRPr="00C45598">
        <w:rPr>
          <w:i/>
          <w:sz w:val="24"/>
          <w:szCs w:val="24"/>
        </w:rPr>
        <w:t>.</w:t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 xml:space="preserve"> 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025B67">
        <w:rPr>
          <w:i/>
          <w:sz w:val="24"/>
          <w:szCs w:val="24"/>
        </w:rPr>
        <w:t>Rygestop</w:t>
      </w:r>
      <w:r w:rsidRPr="00025B67">
        <w:rPr>
          <w:i/>
          <w:sz w:val="24"/>
          <w:szCs w:val="24"/>
        </w:rPr>
        <w:br/>
      </w:r>
      <w:r w:rsidRPr="00C45598">
        <w:rPr>
          <w:sz w:val="24"/>
          <w:szCs w:val="24"/>
        </w:rPr>
        <w:t xml:space="preserve">Varigheden af behandling er individuel. Normalt bør behandlingen fortsættes i mindst 3 måneder. </w:t>
      </w:r>
      <w:proofErr w:type="spellStart"/>
      <w:r>
        <w:rPr>
          <w:sz w:val="24"/>
          <w:szCs w:val="24"/>
        </w:rPr>
        <w:t>Nicotin</w:t>
      </w:r>
      <w:r w:rsidRPr="00C45598">
        <w:rPr>
          <w:sz w:val="24"/>
          <w:szCs w:val="24"/>
        </w:rPr>
        <w:t>dosis</w:t>
      </w:r>
      <w:proofErr w:type="spellEnd"/>
      <w:r w:rsidRPr="00C45598">
        <w:rPr>
          <w:sz w:val="24"/>
          <w:szCs w:val="24"/>
        </w:rPr>
        <w:t xml:space="preserve"> bør derefter gradvist red</w:t>
      </w:r>
      <w:r>
        <w:rPr>
          <w:sz w:val="24"/>
          <w:szCs w:val="24"/>
        </w:rPr>
        <w:t>uceres. Behandlingen bør ophøre,</w:t>
      </w:r>
      <w:r w:rsidRPr="00C45598">
        <w:rPr>
          <w:sz w:val="24"/>
          <w:szCs w:val="24"/>
        </w:rPr>
        <w:t xml:space="preserve"> når dosis er re</w:t>
      </w:r>
      <w:r>
        <w:rPr>
          <w:sz w:val="24"/>
          <w:szCs w:val="24"/>
        </w:rPr>
        <w:t>duceret til 1-2 poser om dagen.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 xml:space="preserve">Regelmæssig brug af </w:t>
      </w:r>
      <w:proofErr w:type="spellStart"/>
      <w:r w:rsidR="00A86AFA">
        <w:rPr>
          <w:sz w:val="24"/>
          <w:szCs w:val="24"/>
        </w:rPr>
        <w:t>Nicolex</w:t>
      </w:r>
      <w:proofErr w:type="spellEnd"/>
      <w:r w:rsidRPr="00C45598">
        <w:rPr>
          <w:sz w:val="24"/>
          <w:szCs w:val="24"/>
        </w:rPr>
        <w:t xml:space="preserve"> i mere end et år anbefales generelt ikke. I nogle tilfælde kan det være nødvendigt med behandling i en længere pe</w:t>
      </w:r>
      <w:r>
        <w:rPr>
          <w:sz w:val="24"/>
          <w:szCs w:val="24"/>
        </w:rPr>
        <w:t>riode for at undgå tilbagefald.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Eventuelt</w:t>
      </w:r>
      <w:r w:rsidRPr="00C45598">
        <w:rPr>
          <w:sz w:val="24"/>
          <w:szCs w:val="24"/>
        </w:rPr>
        <w:t xml:space="preserve"> ove</w:t>
      </w:r>
      <w:r>
        <w:rPr>
          <w:sz w:val="24"/>
          <w:szCs w:val="24"/>
        </w:rPr>
        <w:t xml:space="preserve">rskydende poser bør gemmes, da rygetrangen pludselig kan </w:t>
      </w:r>
      <w:r w:rsidRPr="00C45598">
        <w:rPr>
          <w:sz w:val="24"/>
          <w:szCs w:val="24"/>
        </w:rPr>
        <w:t>komme.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C45598" w:rsidRDefault="00D43DE5" w:rsidP="00D43DE5">
      <w:pPr>
        <w:tabs>
          <w:tab w:val="left" w:pos="851"/>
        </w:tabs>
        <w:ind w:left="851"/>
        <w:rPr>
          <w:i/>
          <w:sz w:val="24"/>
          <w:szCs w:val="24"/>
        </w:rPr>
      </w:pPr>
      <w:r w:rsidRPr="00C45598">
        <w:rPr>
          <w:sz w:val="24"/>
          <w:szCs w:val="24"/>
        </w:rPr>
        <w:t xml:space="preserve">Rådgivning og støtte kan øge </w:t>
      </w:r>
      <w:r>
        <w:rPr>
          <w:sz w:val="24"/>
          <w:szCs w:val="24"/>
        </w:rPr>
        <w:t xml:space="preserve">sandsynligheden for at lykkes med </w:t>
      </w:r>
      <w:r w:rsidRPr="00C45598">
        <w:rPr>
          <w:sz w:val="24"/>
          <w:szCs w:val="24"/>
        </w:rPr>
        <w:t>rygestop.</w:t>
      </w:r>
      <w:r w:rsidRPr="00C45598">
        <w:rPr>
          <w:sz w:val="24"/>
          <w:szCs w:val="24"/>
        </w:rPr>
        <w:br/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025B67">
        <w:rPr>
          <w:i/>
          <w:sz w:val="24"/>
          <w:szCs w:val="24"/>
        </w:rPr>
        <w:t>Rygereduktion</w:t>
      </w:r>
      <w:r w:rsidRPr="00025B67">
        <w:rPr>
          <w:i/>
          <w:sz w:val="24"/>
          <w:szCs w:val="24"/>
        </w:rPr>
        <w:br/>
      </w:r>
      <w:proofErr w:type="spellStart"/>
      <w:r w:rsidR="00A86AFA">
        <w:rPr>
          <w:sz w:val="24"/>
          <w:szCs w:val="24"/>
        </w:rPr>
        <w:t>Nicolex</w:t>
      </w:r>
      <w:proofErr w:type="spellEnd"/>
      <w:r w:rsidRPr="00C45598">
        <w:rPr>
          <w:sz w:val="24"/>
          <w:szCs w:val="24"/>
        </w:rPr>
        <w:t xml:space="preserve"> kan bruges mellem rygninger </w:t>
      </w:r>
      <w:r>
        <w:rPr>
          <w:sz w:val="24"/>
          <w:szCs w:val="24"/>
        </w:rPr>
        <w:t>for at forlænge den rygefri periode og for</w:t>
      </w:r>
      <w:r w:rsidRPr="00C45598">
        <w:rPr>
          <w:sz w:val="24"/>
          <w:szCs w:val="24"/>
        </w:rPr>
        <w:t xml:space="preserve"> at begrænse rygning så meget som muligt. Professionel hjælp bør søges, hvis </w:t>
      </w:r>
      <w:r>
        <w:rPr>
          <w:sz w:val="24"/>
          <w:szCs w:val="24"/>
        </w:rPr>
        <w:t>d</w:t>
      </w:r>
      <w:r w:rsidRPr="00C45598">
        <w:rPr>
          <w:sz w:val="24"/>
          <w:szCs w:val="24"/>
        </w:rPr>
        <w:t>et</w:t>
      </w:r>
      <w:r>
        <w:rPr>
          <w:sz w:val="24"/>
          <w:szCs w:val="24"/>
        </w:rPr>
        <w:t xml:space="preserve"> daglige</w:t>
      </w:r>
      <w:r w:rsidRPr="00C45598">
        <w:rPr>
          <w:sz w:val="24"/>
          <w:szCs w:val="24"/>
        </w:rPr>
        <w:t xml:space="preserve"> antal cigaretter ikke er </w:t>
      </w:r>
      <w:r>
        <w:rPr>
          <w:sz w:val="24"/>
          <w:szCs w:val="24"/>
        </w:rPr>
        <w:t>reduceret</w:t>
      </w:r>
      <w:r w:rsidRPr="00C45598">
        <w:rPr>
          <w:sz w:val="24"/>
          <w:szCs w:val="24"/>
        </w:rPr>
        <w:t xml:space="preserve"> efter 6 ugers behandling.</w:t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>Et forsøg på at stoppe med at ryge bør starte, så snart rygeren er motiveret</w:t>
      </w:r>
      <w:r>
        <w:rPr>
          <w:sz w:val="24"/>
          <w:szCs w:val="24"/>
        </w:rPr>
        <w:t xml:space="preserve"> herfor</w:t>
      </w:r>
      <w:r w:rsidRPr="00C45598">
        <w:rPr>
          <w:sz w:val="24"/>
          <w:szCs w:val="24"/>
        </w:rPr>
        <w:t>, dog senest 6 mån</w:t>
      </w:r>
      <w:r>
        <w:rPr>
          <w:sz w:val="24"/>
          <w:szCs w:val="24"/>
        </w:rPr>
        <w:t>eder efter behandlingens start.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 xml:space="preserve">Professionel hjælp bør søges, hvis det ikke er muligt at gøre et seriøst forsøg på </w:t>
      </w:r>
      <w:r>
        <w:rPr>
          <w:sz w:val="24"/>
          <w:szCs w:val="24"/>
        </w:rPr>
        <w:t>rygestop</w:t>
      </w:r>
      <w:r w:rsidRPr="00C45598">
        <w:rPr>
          <w:sz w:val="24"/>
          <w:szCs w:val="24"/>
        </w:rPr>
        <w:t xml:space="preserve"> inden for 9 må</w:t>
      </w:r>
      <w:r>
        <w:rPr>
          <w:sz w:val="24"/>
          <w:szCs w:val="24"/>
        </w:rPr>
        <w:t xml:space="preserve">neder efter behandlingens start. </w:t>
      </w:r>
      <w:r w:rsidRPr="00C45598">
        <w:rPr>
          <w:sz w:val="24"/>
          <w:szCs w:val="24"/>
        </w:rPr>
        <w:t xml:space="preserve">Regelmæssig brug af </w:t>
      </w:r>
      <w:proofErr w:type="spellStart"/>
      <w:r w:rsidR="00A86AFA">
        <w:rPr>
          <w:sz w:val="24"/>
          <w:szCs w:val="24"/>
        </w:rPr>
        <w:t>Nicolex</w:t>
      </w:r>
      <w:proofErr w:type="spellEnd"/>
      <w:r w:rsidRPr="00C45598">
        <w:rPr>
          <w:sz w:val="24"/>
          <w:szCs w:val="24"/>
        </w:rPr>
        <w:t xml:space="preserve"> i mere en</w:t>
      </w:r>
      <w:r>
        <w:rPr>
          <w:sz w:val="24"/>
          <w:szCs w:val="24"/>
        </w:rPr>
        <w:t>d 1 år anbefales generelt ikke.</w:t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 xml:space="preserve">Nogle ex-rygere kan have brug for behandling </w:t>
      </w:r>
      <w:r>
        <w:rPr>
          <w:sz w:val="24"/>
          <w:szCs w:val="24"/>
        </w:rPr>
        <w:t>i</w:t>
      </w:r>
      <w:r w:rsidRPr="00C45598">
        <w:rPr>
          <w:sz w:val="24"/>
          <w:szCs w:val="24"/>
        </w:rPr>
        <w:t xml:space="preserve"> en længere periode for a</w:t>
      </w:r>
      <w:r>
        <w:rPr>
          <w:sz w:val="24"/>
          <w:szCs w:val="24"/>
        </w:rPr>
        <w:t xml:space="preserve">t undgå tilbagefald. Eventuelt </w:t>
      </w:r>
      <w:r w:rsidRPr="00C45598">
        <w:rPr>
          <w:sz w:val="24"/>
          <w:szCs w:val="24"/>
        </w:rPr>
        <w:t>overskydende poser bør gemmes, da</w:t>
      </w:r>
      <w:r>
        <w:rPr>
          <w:sz w:val="24"/>
          <w:szCs w:val="24"/>
        </w:rPr>
        <w:t xml:space="preserve"> rygetrangen pludselig kan </w:t>
      </w:r>
      <w:r w:rsidRPr="00C45598">
        <w:rPr>
          <w:sz w:val="24"/>
          <w:szCs w:val="24"/>
        </w:rPr>
        <w:t>komme.</w:t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025B67" w:rsidRDefault="00D43DE5" w:rsidP="00D43DE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25B67">
        <w:rPr>
          <w:sz w:val="24"/>
          <w:szCs w:val="24"/>
          <w:u w:val="single"/>
        </w:rPr>
        <w:t>Nedsat nyre- og leverfunktion</w:t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 xml:space="preserve">Se </w:t>
      </w:r>
      <w:r>
        <w:rPr>
          <w:sz w:val="24"/>
          <w:szCs w:val="24"/>
        </w:rPr>
        <w:t>pkt.</w:t>
      </w:r>
      <w:r w:rsidRPr="00C45598">
        <w:rPr>
          <w:sz w:val="24"/>
          <w:szCs w:val="24"/>
        </w:rPr>
        <w:t xml:space="preserve"> 4.4.</w:t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025B67">
        <w:rPr>
          <w:sz w:val="24"/>
          <w:szCs w:val="24"/>
          <w:u w:val="single"/>
        </w:rPr>
        <w:t>Pædiatrisk population</w:t>
      </w:r>
      <w:r w:rsidRPr="00025B67">
        <w:rPr>
          <w:sz w:val="24"/>
          <w:szCs w:val="24"/>
          <w:u w:val="single"/>
        </w:rPr>
        <w:br/>
      </w:r>
      <w:r w:rsidRPr="00C45598">
        <w:rPr>
          <w:sz w:val="24"/>
          <w:szCs w:val="24"/>
        </w:rPr>
        <w:t xml:space="preserve">Sikkerhed og virkning af </w:t>
      </w:r>
      <w:proofErr w:type="spellStart"/>
      <w:r w:rsidR="00A86AFA">
        <w:rPr>
          <w:sz w:val="24"/>
          <w:szCs w:val="24"/>
        </w:rPr>
        <w:t>Nicolex</w:t>
      </w:r>
      <w:proofErr w:type="spellEnd"/>
      <w:r w:rsidRPr="00C45598">
        <w:rPr>
          <w:sz w:val="24"/>
          <w:szCs w:val="24"/>
        </w:rPr>
        <w:t xml:space="preserve"> hos børn og unge under 18 år er ikke bekræftet. </w:t>
      </w:r>
      <w:proofErr w:type="spellStart"/>
      <w:r w:rsidR="00A86AFA">
        <w:rPr>
          <w:sz w:val="24"/>
          <w:szCs w:val="24"/>
        </w:rPr>
        <w:t>Nicolex</w:t>
      </w:r>
      <w:proofErr w:type="spellEnd"/>
      <w:r w:rsidRPr="00C45598">
        <w:rPr>
          <w:sz w:val="24"/>
          <w:szCs w:val="24"/>
        </w:rPr>
        <w:t xml:space="preserve"> bør ikke gives til unge under 18 år uden anbefaling fra en læge</w:t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025B67" w:rsidRDefault="00D43DE5" w:rsidP="00D43DE5">
      <w:pPr>
        <w:tabs>
          <w:tab w:val="left" w:pos="851"/>
        </w:tabs>
        <w:ind w:left="851"/>
        <w:rPr>
          <w:b/>
          <w:sz w:val="24"/>
          <w:szCs w:val="24"/>
        </w:rPr>
      </w:pPr>
      <w:r w:rsidRPr="00025B67">
        <w:rPr>
          <w:b/>
          <w:sz w:val="24"/>
          <w:szCs w:val="24"/>
        </w:rPr>
        <w:t>Indgivelsesmåde</w:t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 xml:space="preserve">Brugere bør ikke spise eller drikke, </w:t>
      </w:r>
      <w:r>
        <w:rPr>
          <w:sz w:val="24"/>
          <w:szCs w:val="24"/>
        </w:rPr>
        <w:t>når</w:t>
      </w:r>
      <w:r w:rsidRPr="00C45598">
        <w:rPr>
          <w:sz w:val="24"/>
          <w:szCs w:val="24"/>
        </w:rPr>
        <w:t xml:space="preserve"> posen anvendes. </w:t>
      </w:r>
      <w:r>
        <w:rPr>
          <w:sz w:val="24"/>
          <w:szCs w:val="24"/>
        </w:rPr>
        <w:t>Drikkevarer,</w:t>
      </w:r>
      <w:r w:rsidRPr="00C45598">
        <w:rPr>
          <w:sz w:val="24"/>
          <w:szCs w:val="24"/>
        </w:rPr>
        <w:t xml:space="preserve"> som sænker pH i mundhulen, </w:t>
      </w:r>
      <w:r>
        <w:rPr>
          <w:sz w:val="24"/>
          <w:szCs w:val="24"/>
        </w:rPr>
        <w:t>fx</w:t>
      </w:r>
      <w:r w:rsidRPr="00C45598">
        <w:rPr>
          <w:sz w:val="24"/>
          <w:szCs w:val="24"/>
        </w:rPr>
        <w:t xml:space="preserve"> kaffe, frugtjuice eller sodavand, kan reducere optagelsen af </w:t>
      </w:r>
      <w:proofErr w:type="spellStart"/>
      <w:r>
        <w:rPr>
          <w:sz w:val="24"/>
          <w:szCs w:val="24"/>
        </w:rPr>
        <w:t>nicotin</w:t>
      </w:r>
      <w:proofErr w:type="spellEnd"/>
      <w:r w:rsidRPr="00C45598">
        <w:rPr>
          <w:sz w:val="24"/>
          <w:szCs w:val="24"/>
        </w:rPr>
        <w:t xml:space="preserve"> </w:t>
      </w:r>
      <w:r>
        <w:rPr>
          <w:sz w:val="24"/>
          <w:szCs w:val="24"/>
        </w:rPr>
        <w:t>i mundhulen</w:t>
      </w:r>
      <w:r w:rsidRPr="00C45598">
        <w:rPr>
          <w:sz w:val="24"/>
          <w:szCs w:val="24"/>
        </w:rPr>
        <w:t xml:space="preserve">. For at opnå maksimal optagelse af </w:t>
      </w:r>
      <w:proofErr w:type="spellStart"/>
      <w:r>
        <w:rPr>
          <w:sz w:val="24"/>
          <w:szCs w:val="24"/>
        </w:rPr>
        <w:t>nicotin</w:t>
      </w:r>
      <w:proofErr w:type="spellEnd"/>
      <w:r w:rsidRPr="00C45598">
        <w:rPr>
          <w:sz w:val="24"/>
          <w:szCs w:val="24"/>
        </w:rPr>
        <w:t xml:space="preserve"> bør </w:t>
      </w:r>
      <w:r>
        <w:rPr>
          <w:sz w:val="24"/>
          <w:szCs w:val="24"/>
        </w:rPr>
        <w:t>sådanne drikkevarer</w:t>
      </w:r>
      <w:r w:rsidRPr="00C45598">
        <w:rPr>
          <w:sz w:val="24"/>
          <w:szCs w:val="24"/>
        </w:rPr>
        <w:t xml:space="preserve"> undgås </w:t>
      </w:r>
      <w:r>
        <w:rPr>
          <w:sz w:val="24"/>
          <w:szCs w:val="24"/>
        </w:rPr>
        <w:t xml:space="preserve">i </w:t>
      </w:r>
      <w:r w:rsidRPr="00C45598">
        <w:rPr>
          <w:sz w:val="24"/>
          <w:szCs w:val="24"/>
        </w:rPr>
        <w:t>op til 15 minutter før anvendelse af posen.</w:t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 xml:space="preserve">En pose placeres under overlæben i 30 minutter. For at øge frigivelsen af </w:t>
      </w:r>
      <w:proofErr w:type="spellStart"/>
      <w:r>
        <w:rPr>
          <w:sz w:val="24"/>
          <w:szCs w:val="24"/>
        </w:rPr>
        <w:t>nicotin</w:t>
      </w:r>
      <w:proofErr w:type="spellEnd"/>
      <w:r w:rsidRPr="00C45598">
        <w:rPr>
          <w:sz w:val="24"/>
          <w:szCs w:val="24"/>
        </w:rPr>
        <w:t xml:space="preserve"> kan posen indimellem flyttes rundt med tungen.</w:t>
      </w:r>
    </w:p>
    <w:p w:rsidR="00D43DE5" w:rsidRDefault="00D43DE5" w:rsidP="00D43D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D43DE5" w:rsidRPr="005B1543" w:rsidRDefault="00D43DE5" w:rsidP="00D43DE5">
      <w:pPr>
        <w:pStyle w:val="Listeafsnit"/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5B1543">
        <w:rPr>
          <w:sz w:val="24"/>
          <w:szCs w:val="24"/>
        </w:rPr>
        <w:t>Overfølsomhed over for det aktive stof eller over for et eller flere af hjælpestofferne anført i pkt. 6.1.</w:t>
      </w:r>
    </w:p>
    <w:p w:rsidR="00D43DE5" w:rsidRPr="005B1543" w:rsidRDefault="00D43DE5" w:rsidP="00D43DE5">
      <w:pPr>
        <w:pStyle w:val="Listeafsnit"/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5B1543">
        <w:rPr>
          <w:sz w:val="24"/>
          <w:szCs w:val="24"/>
        </w:rPr>
        <w:t>Nyligt myokardieinfarkt (inden for 3 måneder).</w:t>
      </w:r>
    </w:p>
    <w:p w:rsidR="00D43DE5" w:rsidRDefault="00D43DE5" w:rsidP="00D43DE5">
      <w:pPr>
        <w:pStyle w:val="Listeafsnit"/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5B1543">
        <w:rPr>
          <w:sz w:val="24"/>
          <w:szCs w:val="24"/>
        </w:rPr>
        <w:t>Ustabil eller progressiv</w:t>
      </w:r>
      <w:r>
        <w:rPr>
          <w:sz w:val="24"/>
          <w:szCs w:val="24"/>
        </w:rPr>
        <w:t xml:space="preserve"> angina pectoris.</w:t>
      </w:r>
    </w:p>
    <w:p w:rsidR="00D43DE5" w:rsidRPr="005B1543" w:rsidRDefault="00D43DE5" w:rsidP="00D43DE5">
      <w:pPr>
        <w:pStyle w:val="Listeafsnit"/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5B1543">
        <w:rPr>
          <w:sz w:val="24"/>
          <w:szCs w:val="24"/>
        </w:rPr>
        <w:t>Prinzmetal</w:t>
      </w:r>
      <w:proofErr w:type="spellEnd"/>
      <w:r w:rsidRPr="005B1543">
        <w:rPr>
          <w:sz w:val="24"/>
          <w:szCs w:val="24"/>
        </w:rPr>
        <w:t xml:space="preserve"> variant angina.</w:t>
      </w:r>
    </w:p>
    <w:p w:rsidR="00D43DE5" w:rsidRPr="005B1543" w:rsidRDefault="00D43DE5" w:rsidP="00D43DE5">
      <w:pPr>
        <w:pStyle w:val="Listeafsnit"/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5B1543">
        <w:rPr>
          <w:sz w:val="24"/>
          <w:szCs w:val="24"/>
        </w:rPr>
        <w:t xml:space="preserve">Alvorlige </w:t>
      </w:r>
      <w:proofErr w:type="spellStart"/>
      <w:r w:rsidRPr="005B1543">
        <w:rPr>
          <w:sz w:val="24"/>
          <w:szCs w:val="24"/>
        </w:rPr>
        <w:t>hjertearytmier</w:t>
      </w:r>
      <w:proofErr w:type="spellEnd"/>
      <w:r w:rsidRPr="005B1543">
        <w:rPr>
          <w:sz w:val="24"/>
          <w:szCs w:val="24"/>
        </w:rPr>
        <w:t>.</w:t>
      </w:r>
    </w:p>
    <w:p w:rsidR="00D43DE5" w:rsidRPr="005B1543" w:rsidRDefault="00D43DE5" w:rsidP="00D43DE5">
      <w:pPr>
        <w:pStyle w:val="Listeafsnit"/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5B1543">
        <w:rPr>
          <w:sz w:val="24"/>
          <w:szCs w:val="24"/>
        </w:rPr>
        <w:t>Slagtilfælde i akut fase.</w:t>
      </w: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D43DE5" w:rsidRDefault="00D43DE5" w:rsidP="00D43DE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Fordelene ved rygestop opvejer normalt eventuelle risici ved korrekt administrerede </w:t>
      </w:r>
      <w:proofErr w:type="spellStart"/>
      <w:r>
        <w:rPr>
          <w:sz w:val="24"/>
          <w:szCs w:val="24"/>
        </w:rPr>
        <w:t>nicotinpræparater</w:t>
      </w:r>
      <w:proofErr w:type="spellEnd"/>
      <w:r>
        <w:rPr>
          <w:sz w:val="24"/>
          <w:szCs w:val="24"/>
        </w:rPr>
        <w:t>.</w:t>
      </w:r>
    </w:p>
    <w:p w:rsidR="00D43DE5" w:rsidRDefault="00D43DE5" w:rsidP="00D43DE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43DE5" w:rsidRDefault="00D43DE5" w:rsidP="00D43DE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En læge bør udføre en vurdering af risiko kontra fordele for patienter med følgende tilstande:</w:t>
      </w:r>
    </w:p>
    <w:p w:rsidR="00D43DE5" w:rsidRDefault="00D43DE5" w:rsidP="00D43DE5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A95024">
        <w:rPr>
          <w:iCs/>
          <w:sz w:val="24"/>
          <w:szCs w:val="24"/>
        </w:rPr>
        <w:t xml:space="preserve">Hjertekarsygdomme: Afhængige rygere med </w:t>
      </w:r>
      <w:proofErr w:type="gramStart"/>
      <w:r w:rsidRPr="00A95024">
        <w:rPr>
          <w:iCs/>
          <w:sz w:val="24"/>
          <w:szCs w:val="24"/>
        </w:rPr>
        <w:t>nylig myokardieinfarkt</w:t>
      </w:r>
      <w:proofErr w:type="gramEnd"/>
      <w:r w:rsidRPr="00A95024">
        <w:rPr>
          <w:iCs/>
          <w:sz w:val="24"/>
          <w:szCs w:val="24"/>
        </w:rPr>
        <w:t xml:space="preserve">, ustabil eller aggraverende angina (herunder </w:t>
      </w:r>
      <w:proofErr w:type="spellStart"/>
      <w:r w:rsidRPr="00A95024">
        <w:rPr>
          <w:iCs/>
          <w:sz w:val="24"/>
          <w:szCs w:val="24"/>
        </w:rPr>
        <w:t>Prinzmetals</w:t>
      </w:r>
      <w:proofErr w:type="spellEnd"/>
      <w:r w:rsidRPr="00A95024">
        <w:rPr>
          <w:iCs/>
          <w:sz w:val="24"/>
          <w:szCs w:val="24"/>
        </w:rPr>
        <w:t xml:space="preserve"> angina), svære </w:t>
      </w:r>
      <w:proofErr w:type="spellStart"/>
      <w:r w:rsidRPr="00A95024">
        <w:rPr>
          <w:iCs/>
          <w:sz w:val="24"/>
          <w:szCs w:val="24"/>
        </w:rPr>
        <w:t>hjertearytmier</w:t>
      </w:r>
      <w:proofErr w:type="spellEnd"/>
      <w:r w:rsidRPr="00A95024">
        <w:rPr>
          <w:iCs/>
          <w:sz w:val="24"/>
          <w:szCs w:val="24"/>
        </w:rPr>
        <w:t>, nylig hjerneblødning og/eller ukontrolleret hypertension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skal opfordres til rygestop med anvendelse af ikke-farmakologiske midler (fx rådgivning). Hvis dette ikke hjælper, kan det overvejes at anvende </w:t>
      </w:r>
      <w:proofErr w:type="spellStart"/>
      <w:r w:rsidR="00A86AFA">
        <w:rPr>
          <w:sz w:val="24"/>
          <w:szCs w:val="24"/>
        </w:rPr>
        <w:t>Nicolex</w:t>
      </w:r>
      <w:proofErr w:type="spellEnd"/>
      <w:r>
        <w:rPr>
          <w:sz w:val="24"/>
          <w:szCs w:val="24"/>
        </w:rPr>
        <w:t xml:space="preserve">, men da data vedrørende sikkerheden i denne patientgruppe er begrænsede, bør dette kun ske under nøje opsyn af en læge. </w:t>
      </w:r>
    </w:p>
    <w:p w:rsidR="00D43DE5" w:rsidRDefault="00D43DE5" w:rsidP="00D43DE5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A95024">
        <w:rPr>
          <w:iCs/>
          <w:sz w:val="24"/>
          <w:szCs w:val="24"/>
        </w:rPr>
        <w:t>Allergiske reaktioner:</w:t>
      </w:r>
      <w:r>
        <w:rPr>
          <w:sz w:val="24"/>
          <w:szCs w:val="24"/>
        </w:rPr>
        <w:t xml:space="preserve"> Disponering for </w:t>
      </w:r>
      <w:proofErr w:type="spellStart"/>
      <w:r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urticaria</w:t>
      </w:r>
      <w:proofErr w:type="spellEnd"/>
      <w:r>
        <w:rPr>
          <w:sz w:val="24"/>
          <w:szCs w:val="24"/>
        </w:rPr>
        <w:t>.</w:t>
      </w:r>
    </w:p>
    <w:p w:rsidR="00D43DE5" w:rsidRDefault="00D43DE5" w:rsidP="00D43DE5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A95024">
        <w:rPr>
          <w:iCs/>
          <w:sz w:val="24"/>
          <w:szCs w:val="24"/>
        </w:rPr>
        <w:t>Nedsat nyre- og leverfunktion: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Anvendes med forsigtighed til patienter med moderat til svær nedsat leverfunktion og/eller svær nedsat nyrefunktion, da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nicotin</w:t>
      </w:r>
      <w:proofErr w:type="spellEnd"/>
      <w:r>
        <w:rPr>
          <w:sz w:val="24"/>
          <w:szCs w:val="24"/>
        </w:rPr>
        <w:t xml:space="preserve"> eller dets metabolitter kan være nedsat med mulighed for øgede bivirkninger. </w:t>
      </w:r>
    </w:p>
    <w:p w:rsidR="00D43DE5" w:rsidRDefault="00D43DE5" w:rsidP="00D43DE5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A95024">
        <w:rPr>
          <w:iCs/>
          <w:sz w:val="24"/>
          <w:szCs w:val="24"/>
        </w:rPr>
        <w:t>Mave-tarmsygdom: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Nicotin</w:t>
      </w:r>
      <w:proofErr w:type="spellEnd"/>
      <w:r>
        <w:rPr>
          <w:sz w:val="24"/>
          <w:szCs w:val="24"/>
        </w:rPr>
        <w:t xml:space="preserve"> kan forværre symptomerne hos patienter, der lider af </w:t>
      </w:r>
      <w:proofErr w:type="spellStart"/>
      <w:r>
        <w:rPr>
          <w:sz w:val="24"/>
          <w:szCs w:val="24"/>
        </w:rPr>
        <w:t>øsofagitis</w:t>
      </w:r>
      <w:proofErr w:type="spellEnd"/>
      <w:r>
        <w:rPr>
          <w:sz w:val="24"/>
          <w:szCs w:val="24"/>
        </w:rPr>
        <w:t xml:space="preserve">, gastrisk eller </w:t>
      </w:r>
      <w:proofErr w:type="spellStart"/>
      <w:r>
        <w:rPr>
          <w:sz w:val="24"/>
          <w:szCs w:val="24"/>
        </w:rPr>
        <w:t>peptisk</w:t>
      </w:r>
      <w:proofErr w:type="spellEnd"/>
      <w:r>
        <w:rPr>
          <w:sz w:val="24"/>
          <w:szCs w:val="24"/>
        </w:rPr>
        <w:t xml:space="preserve"> ulcus, og </w:t>
      </w:r>
      <w:proofErr w:type="spellStart"/>
      <w:r>
        <w:rPr>
          <w:sz w:val="24"/>
          <w:szCs w:val="24"/>
        </w:rPr>
        <w:t>nicotinerstatningsprodukter</w:t>
      </w:r>
      <w:proofErr w:type="spellEnd"/>
      <w:r>
        <w:rPr>
          <w:sz w:val="24"/>
          <w:szCs w:val="24"/>
        </w:rPr>
        <w:t xml:space="preserve"> skal anvendes med forsigtighed i forbindelse med disse tilstande. </w:t>
      </w:r>
    </w:p>
    <w:p w:rsidR="00D43DE5" w:rsidRPr="00801DCA" w:rsidRDefault="00D43DE5" w:rsidP="00D43DE5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A95024">
        <w:rPr>
          <w:iCs/>
          <w:sz w:val="24"/>
          <w:szCs w:val="24"/>
        </w:rPr>
        <w:t>Fæokromocytom</w:t>
      </w:r>
      <w:proofErr w:type="spellEnd"/>
      <w:r w:rsidRPr="00A95024">
        <w:rPr>
          <w:iCs/>
          <w:sz w:val="24"/>
          <w:szCs w:val="24"/>
        </w:rPr>
        <w:t xml:space="preserve"> og ukontrolleret </w:t>
      </w:r>
      <w:proofErr w:type="spellStart"/>
      <w:r w:rsidRPr="00A95024">
        <w:rPr>
          <w:iCs/>
          <w:sz w:val="24"/>
          <w:szCs w:val="24"/>
        </w:rPr>
        <w:t>hyperthyreoidisme</w:t>
      </w:r>
      <w:proofErr w:type="spellEnd"/>
      <w:r>
        <w:rPr>
          <w:iCs/>
          <w:sz w:val="24"/>
          <w:szCs w:val="24"/>
        </w:rPr>
        <w:t>.</w:t>
      </w:r>
      <w:r w:rsidRPr="00801DCA">
        <w:rPr>
          <w:iCs/>
          <w:sz w:val="24"/>
          <w:szCs w:val="24"/>
        </w:rPr>
        <w:t xml:space="preserve"> </w:t>
      </w:r>
    </w:p>
    <w:p w:rsidR="00D43DE5" w:rsidRDefault="00D43DE5" w:rsidP="00D43DE5">
      <w:pPr>
        <w:pStyle w:val="Listeafsnit"/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C45598">
        <w:rPr>
          <w:sz w:val="24"/>
          <w:szCs w:val="24"/>
        </w:rPr>
        <w:t>Ni</w:t>
      </w:r>
      <w:r>
        <w:rPr>
          <w:sz w:val="24"/>
          <w:szCs w:val="24"/>
        </w:rPr>
        <w:t>c</w:t>
      </w:r>
      <w:r w:rsidRPr="00C45598">
        <w:rPr>
          <w:sz w:val="24"/>
          <w:szCs w:val="24"/>
        </w:rPr>
        <w:t>otin</w:t>
      </w:r>
      <w:proofErr w:type="spellEnd"/>
      <w:r w:rsidRPr="00C45598">
        <w:rPr>
          <w:sz w:val="24"/>
          <w:szCs w:val="24"/>
        </w:rPr>
        <w:t xml:space="preserve">, både fra </w:t>
      </w:r>
      <w:proofErr w:type="spellStart"/>
      <w:r w:rsidRPr="00C45598">
        <w:rPr>
          <w:sz w:val="24"/>
          <w:szCs w:val="24"/>
        </w:rPr>
        <w:t>ni</w:t>
      </w:r>
      <w:r>
        <w:rPr>
          <w:sz w:val="24"/>
          <w:szCs w:val="24"/>
        </w:rPr>
        <w:t>c</w:t>
      </w:r>
      <w:r w:rsidRPr="00C45598">
        <w:rPr>
          <w:sz w:val="24"/>
          <w:szCs w:val="24"/>
        </w:rPr>
        <w:t>otinerstatnings</w:t>
      </w:r>
      <w:r>
        <w:rPr>
          <w:sz w:val="24"/>
          <w:szCs w:val="24"/>
        </w:rPr>
        <w:t>behandling</w:t>
      </w:r>
      <w:proofErr w:type="spellEnd"/>
      <w:r w:rsidRPr="00C45598">
        <w:rPr>
          <w:sz w:val="24"/>
          <w:szCs w:val="24"/>
        </w:rPr>
        <w:t xml:space="preserve"> og fra rygning, forårsager frigivelse af </w:t>
      </w:r>
      <w:proofErr w:type="spellStart"/>
      <w:r w:rsidRPr="00C45598">
        <w:rPr>
          <w:sz w:val="24"/>
          <w:szCs w:val="24"/>
        </w:rPr>
        <w:t>katekolaminer</w:t>
      </w:r>
      <w:proofErr w:type="spellEnd"/>
      <w:r w:rsidRPr="00C45598">
        <w:rPr>
          <w:sz w:val="24"/>
          <w:szCs w:val="24"/>
        </w:rPr>
        <w:t xml:space="preserve"> fra binyremarven. Derfor </w:t>
      </w:r>
      <w:r>
        <w:rPr>
          <w:sz w:val="24"/>
          <w:szCs w:val="24"/>
        </w:rPr>
        <w:t xml:space="preserve">bør </w:t>
      </w:r>
      <w:proofErr w:type="spellStart"/>
      <w:r w:rsidR="00A86AFA">
        <w:rPr>
          <w:sz w:val="24"/>
          <w:szCs w:val="24"/>
        </w:rPr>
        <w:t>Nicolex</w:t>
      </w:r>
      <w:proofErr w:type="spellEnd"/>
      <w:r w:rsidRPr="00C45598">
        <w:rPr>
          <w:sz w:val="24"/>
          <w:szCs w:val="24"/>
        </w:rPr>
        <w:t xml:space="preserve"> anvendes med forsigtighed hos patienter med </w:t>
      </w:r>
      <w:proofErr w:type="spellStart"/>
      <w:r w:rsidRPr="00C45598">
        <w:rPr>
          <w:sz w:val="24"/>
          <w:szCs w:val="24"/>
        </w:rPr>
        <w:t>hyperthyroidisme</w:t>
      </w:r>
      <w:proofErr w:type="spellEnd"/>
      <w:r w:rsidRPr="00C45598">
        <w:rPr>
          <w:sz w:val="24"/>
          <w:szCs w:val="24"/>
        </w:rPr>
        <w:t xml:space="preserve"> eller </w:t>
      </w:r>
      <w:proofErr w:type="spellStart"/>
      <w:r w:rsidRPr="00C45598">
        <w:rPr>
          <w:sz w:val="24"/>
          <w:szCs w:val="24"/>
        </w:rPr>
        <w:t>fæokromocytom</w:t>
      </w:r>
      <w:proofErr w:type="spellEnd"/>
      <w:r w:rsidRPr="00C45598">
        <w:rPr>
          <w:sz w:val="24"/>
          <w:szCs w:val="24"/>
        </w:rPr>
        <w:t>.</w:t>
      </w:r>
    </w:p>
    <w:p w:rsidR="00D43DE5" w:rsidRDefault="00D43DE5" w:rsidP="00D43DE5">
      <w:pPr>
        <w:numPr>
          <w:ilvl w:val="0"/>
          <w:numId w:val="7"/>
        </w:numPr>
        <w:tabs>
          <w:tab w:val="left" w:pos="851"/>
        </w:tabs>
        <w:ind w:left="1134" w:hanging="283"/>
        <w:rPr>
          <w:b/>
          <w:bCs/>
          <w:i/>
          <w:iCs/>
          <w:sz w:val="24"/>
          <w:szCs w:val="24"/>
        </w:rPr>
      </w:pPr>
      <w:r w:rsidRPr="00A95024">
        <w:rPr>
          <w:iCs/>
          <w:sz w:val="24"/>
          <w:szCs w:val="24"/>
        </w:rPr>
        <w:t>Diabetes mellitus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Patienter med diabetes mellitus skal tilrådes at kontrollere deres blodsukkerniveauer nøjere end ellers, når rygning ophører og behandling med et </w:t>
      </w:r>
      <w:proofErr w:type="spellStart"/>
      <w:r>
        <w:rPr>
          <w:sz w:val="24"/>
          <w:szCs w:val="24"/>
        </w:rPr>
        <w:t>nicotinerstatningsprodukt</w:t>
      </w:r>
      <w:proofErr w:type="spellEnd"/>
      <w:r>
        <w:rPr>
          <w:sz w:val="24"/>
          <w:szCs w:val="24"/>
        </w:rPr>
        <w:t xml:space="preserve"> iværksættes, da en reduktion af den </w:t>
      </w:r>
      <w:proofErr w:type="spellStart"/>
      <w:r>
        <w:rPr>
          <w:sz w:val="24"/>
          <w:szCs w:val="24"/>
        </w:rPr>
        <w:t>nicotininducerede</w:t>
      </w:r>
      <w:proofErr w:type="spellEnd"/>
      <w:r>
        <w:rPr>
          <w:sz w:val="24"/>
          <w:szCs w:val="24"/>
        </w:rPr>
        <w:t xml:space="preserve"> frigivelse af </w:t>
      </w:r>
      <w:proofErr w:type="spellStart"/>
      <w:r>
        <w:rPr>
          <w:sz w:val="24"/>
          <w:szCs w:val="24"/>
        </w:rPr>
        <w:t>katekolamin</w:t>
      </w:r>
      <w:proofErr w:type="spellEnd"/>
      <w:r>
        <w:rPr>
          <w:sz w:val="24"/>
          <w:szCs w:val="24"/>
        </w:rPr>
        <w:t xml:space="preserve"> kan påvirke metabolismen af kulhydrater.  </w:t>
      </w:r>
    </w:p>
    <w:p w:rsidR="00D43DE5" w:rsidRPr="00C45598" w:rsidRDefault="00D43DE5" w:rsidP="00D43DE5">
      <w:pPr>
        <w:tabs>
          <w:tab w:val="left" w:pos="851"/>
        </w:tabs>
        <w:rPr>
          <w:sz w:val="24"/>
          <w:szCs w:val="24"/>
        </w:rPr>
      </w:pP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 xml:space="preserve">Fortsat </w:t>
      </w:r>
      <w:proofErr w:type="spellStart"/>
      <w:r w:rsidRPr="00C45598">
        <w:rPr>
          <w:sz w:val="24"/>
          <w:szCs w:val="24"/>
        </w:rPr>
        <w:t>ni</w:t>
      </w:r>
      <w:r>
        <w:rPr>
          <w:sz w:val="24"/>
          <w:szCs w:val="24"/>
        </w:rPr>
        <w:t>c</w:t>
      </w:r>
      <w:r w:rsidRPr="00C45598">
        <w:rPr>
          <w:sz w:val="24"/>
          <w:szCs w:val="24"/>
        </w:rPr>
        <w:t>otinafhængighed</w:t>
      </w:r>
      <w:proofErr w:type="spellEnd"/>
      <w:r w:rsidRPr="00C45598">
        <w:rPr>
          <w:sz w:val="24"/>
          <w:szCs w:val="24"/>
        </w:rPr>
        <w:t xml:space="preserve"> kan opstå, men i mindre omfang. Brugen af </w:t>
      </w:r>
      <w:proofErr w:type="spellStart"/>
      <w:r w:rsidRPr="00C45598">
        <w:rPr>
          <w:sz w:val="24"/>
          <w:szCs w:val="24"/>
        </w:rPr>
        <w:t>ni</w:t>
      </w:r>
      <w:r>
        <w:rPr>
          <w:sz w:val="24"/>
          <w:szCs w:val="24"/>
        </w:rPr>
        <w:t>c</w:t>
      </w:r>
      <w:r w:rsidRPr="00C45598">
        <w:rPr>
          <w:sz w:val="24"/>
          <w:szCs w:val="24"/>
        </w:rPr>
        <w:t>otin</w:t>
      </w:r>
      <w:proofErr w:type="spellEnd"/>
      <w:r w:rsidRPr="00C45598">
        <w:rPr>
          <w:sz w:val="24"/>
          <w:szCs w:val="24"/>
        </w:rPr>
        <w:t xml:space="preserve"> i sig selv er dog mindre skadelig end rygning/brug af tobak.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F06171" w:rsidRDefault="00D43DE5" w:rsidP="00D43DE5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F06171">
        <w:rPr>
          <w:iCs/>
          <w:sz w:val="24"/>
          <w:szCs w:val="24"/>
          <w:u w:val="single"/>
        </w:rPr>
        <w:t>Pædiatrisk population</w:t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>
        <w:rPr>
          <w:i/>
          <w:iCs/>
          <w:sz w:val="24"/>
          <w:szCs w:val="24"/>
        </w:rPr>
        <w:t>Risiko for børn: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Nicotindoser</w:t>
      </w:r>
      <w:proofErr w:type="spellEnd"/>
      <w:r>
        <w:rPr>
          <w:sz w:val="24"/>
          <w:szCs w:val="24"/>
        </w:rPr>
        <w:t xml:space="preserve"> som tåles af rygere, kan hos børn forårsage alvorlig toksicitet, som kan være dødelig. Produkter, der indeholder </w:t>
      </w:r>
      <w:proofErr w:type="spellStart"/>
      <w:r>
        <w:rPr>
          <w:sz w:val="24"/>
          <w:szCs w:val="24"/>
        </w:rPr>
        <w:t>nicotin</w:t>
      </w:r>
      <w:proofErr w:type="spellEnd"/>
      <w:r>
        <w:rPr>
          <w:sz w:val="24"/>
          <w:szCs w:val="24"/>
        </w:rPr>
        <w:t>, bør ikke efterlades, hvor de kan blive håndteret eller indtaget af børn (se pkt. 4.9).</w:t>
      </w:r>
    </w:p>
    <w:p w:rsidR="00D43DE5" w:rsidRPr="00A86AFA" w:rsidRDefault="00D43DE5" w:rsidP="00D43DE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 xml:space="preserve">Rygning (men ikke </w:t>
      </w:r>
      <w:proofErr w:type="spellStart"/>
      <w:r>
        <w:rPr>
          <w:sz w:val="24"/>
          <w:szCs w:val="24"/>
        </w:rPr>
        <w:t>nicotin</w:t>
      </w:r>
      <w:proofErr w:type="spellEnd"/>
      <w:r w:rsidRPr="00C45598">
        <w:rPr>
          <w:sz w:val="24"/>
          <w:szCs w:val="24"/>
        </w:rPr>
        <w:t xml:space="preserve">) er forbundet med øget aktivitet af CYP1A2. Efter rygestop, kan udskillelse </w:t>
      </w:r>
      <w:r>
        <w:rPr>
          <w:sz w:val="24"/>
          <w:szCs w:val="24"/>
        </w:rPr>
        <w:t>af</w:t>
      </w:r>
      <w:r w:rsidRPr="00C45598">
        <w:rPr>
          <w:sz w:val="24"/>
          <w:szCs w:val="24"/>
        </w:rPr>
        <w:t xml:space="preserve"> visse lægemidler, der </w:t>
      </w:r>
      <w:proofErr w:type="spellStart"/>
      <w:r w:rsidRPr="00C45598">
        <w:rPr>
          <w:sz w:val="24"/>
          <w:szCs w:val="24"/>
        </w:rPr>
        <w:t>metaboliseres</w:t>
      </w:r>
      <w:proofErr w:type="spellEnd"/>
      <w:r w:rsidRPr="00C45598">
        <w:rPr>
          <w:sz w:val="24"/>
          <w:szCs w:val="24"/>
        </w:rPr>
        <w:t xml:space="preserve"> via CYP1A2</w:t>
      </w:r>
      <w:r>
        <w:rPr>
          <w:sz w:val="24"/>
          <w:szCs w:val="24"/>
        </w:rPr>
        <w:t>, nedsættes</w:t>
      </w:r>
      <w:r w:rsidRPr="00C45598">
        <w:rPr>
          <w:sz w:val="24"/>
          <w:szCs w:val="24"/>
        </w:rPr>
        <w:t xml:space="preserve">. Dette kan føre til en stigning i plasmaniveauerne for nogle lægemidler. Stigningen kan have en potentiel klinisk betydning for produkter med et snævert terapeutisk vindue, </w:t>
      </w:r>
      <w:r>
        <w:rPr>
          <w:sz w:val="24"/>
          <w:szCs w:val="24"/>
        </w:rPr>
        <w:t>fx</w:t>
      </w:r>
      <w:r w:rsidRPr="00C45598">
        <w:rPr>
          <w:sz w:val="24"/>
          <w:szCs w:val="24"/>
        </w:rPr>
        <w:t xml:space="preserve"> </w:t>
      </w:r>
      <w:proofErr w:type="spellStart"/>
      <w:r w:rsidRPr="00C45598">
        <w:rPr>
          <w:sz w:val="24"/>
          <w:szCs w:val="24"/>
        </w:rPr>
        <w:t>theophyllin</w:t>
      </w:r>
      <w:proofErr w:type="spellEnd"/>
      <w:r w:rsidRPr="00C45598">
        <w:rPr>
          <w:sz w:val="24"/>
          <w:szCs w:val="24"/>
        </w:rPr>
        <w:t xml:space="preserve">, </w:t>
      </w:r>
      <w:proofErr w:type="spellStart"/>
      <w:r w:rsidRPr="00C45598">
        <w:rPr>
          <w:sz w:val="24"/>
          <w:szCs w:val="24"/>
        </w:rPr>
        <w:t>tacrin</w:t>
      </w:r>
      <w:proofErr w:type="spellEnd"/>
      <w:r w:rsidRPr="00C45598">
        <w:rPr>
          <w:sz w:val="24"/>
          <w:szCs w:val="24"/>
        </w:rPr>
        <w:t xml:space="preserve">, </w:t>
      </w:r>
      <w:proofErr w:type="spellStart"/>
      <w:r w:rsidRPr="00C45598">
        <w:rPr>
          <w:sz w:val="24"/>
          <w:szCs w:val="24"/>
        </w:rPr>
        <w:t>clozapin</w:t>
      </w:r>
      <w:proofErr w:type="spellEnd"/>
      <w:r w:rsidRPr="00C45598">
        <w:rPr>
          <w:sz w:val="24"/>
          <w:szCs w:val="24"/>
        </w:rPr>
        <w:t xml:space="preserve"> og </w:t>
      </w:r>
      <w:proofErr w:type="spellStart"/>
      <w:r w:rsidRPr="00C45598">
        <w:rPr>
          <w:sz w:val="24"/>
          <w:szCs w:val="24"/>
        </w:rPr>
        <w:t>ropinirol</w:t>
      </w:r>
      <w:proofErr w:type="spellEnd"/>
      <w:r w:rsidRPr="00C45598">
        <w:rPr>
          <w:sz w:val="24"/>
          <w:szCs w:val="24"/>
        </w:rPr>
        <w:t xml:space="preserve">. 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>Plasmaniveauerne af andre lægemidler</w:t>
      </w:r>
      <w:r>
        <w:rPr>
          <w:sz w:val="24"/>
          <w:szCs w:val="24"/>
        </w:rPr>
        <w:t>, som</w:t>
      </w:r>
      <w:r w:rsidRPr="00C45598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elvist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via CYP1A2 som fx</w:t>
      </w:r>
      <w:r w:rsidRPr="00C45598">
        <w:rPr>
          <w:sz w:val="24"/>
          <w:szCs w:val="24"/>
        </w:rPr>
        <w:t xml:space="preserve"> </w:t>
      </w:r>
      <w:proofErr w:type="spellStart"/>
      <w:r w:rsidRPr="00C45598">
        <w:rPr>
          <w:sz w:val="24"/>
          <w:szCs w:val="24"/>
        </w:rPr>
        <w:t>imipramin</w:t>
      </w:r>
      <w:proofErr w:type="spellEnd"/>
      <w:r w:rsidRPr="00C45598">
        <w:rPr>
          <w:sz w:val="24"/>
          <w:szCs w:val="24"/>
        </w:rPr>
        <w:t xml:space="preserve">, </w:t>
      </w:r>
      <w:proofErr w:type="spellStart"/>
      <w:r w:rsidRPr="00C45598">
        <w:rPr>
          <w:sz w:val="24"/>
          <w:szCs w:val="24"/>
        </w:rPr>
        <w:t>olanzapin</w:t>
      </w:r>
      <w:proofErr w:type="spellEnd"/>
      <w:r w:rsidRPr="00C45598">
        <w:rPr>
          <w:sz w:val="24"/>
          <w:szCs w:val="24"/>
        </w:rPr>
        <w:t xml:space="preserve">, </w:t>
      </w:r>
      <w:proofErr w:type="spellStart"/>
      <w:r w:rsidRPr="00C45598">
        <w:rPr>
          <w:sz w:val="24"/>
          <w:szCs w:val="24"/>
        </w:rPr>
        <w:t>clomipramin</w:t>
      </w:r>
      <w:proofErr w:type="spellEnd"/>
      <w:r w:rsidRPr="00C45598">
        <w:rPr>
          <w:sz w:val="24"/>
          <w:szCs w:val="24"/>
        </w:rPr>
        <w:t xml:space="preserve"> og </w:t>
      </w:r>
      <w:proofErr w:type="spellStart"/>
      <w:r w:rsidRPr="00C45598">
        <w:rPr>
          <w:sz w:val="24"/>
          <w:szCs w:val="24"/>
        </w:rPr>
        <w:t>fluvoxamin</w:t>
      </w:r>
      <w:proofErr w:type="spellEnd"/>
      <w:r>
        <w:rPr>
          <w:sz w:val="24"/>
          <w:szCs w:val="24"/>
        </w:rPr>
        <w:t>,</w:t>
      </w:r>
      <w:r w:rsidRPr="00C45598">
        <w:rPr>
          <w:sz w:val="24"/>
          <w:szCs w:val="24"/>
        </w:rPr>
        <w:t xml:space="preserve"> kan ligeledes øges </w:t>
      </w:r>
      <w:r>
        <w:rPr>
          <w:sz w:val="24"/>
          <w:szCs w:val="24"/>
        </w:rPr>
        <w:t>ved</w:t>
      </w:r>
      <w:r w:rsidRPr="00C45598">
        <w:rPr>
          <w:sz w:val="24"/>
          <w:szCs w:val="24"/>
        </w:rPr>
        <w:t xml:space="preserve"> rygeophør. Der mangler data til bekræftelse af dette og den mulige kliniske betydning af denne effekt for disse stoffer er ukendt. 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 xml:space="preserve">Begrænsede data indikerer, at metabolismen af </w:t>
      </w:r>
      <w:proofErr w:type="spellStart"/>
      <w:r w:rsidRPr="00C45598">
        <w:rPr>
          <w:sz w:val="24"/>
          <w:szCs w:val="24"/>
        </w:rPr>
        <w:t>flecainid</w:t>
      </w:r>
      <w:proofErr w:type="spellEnd"/>
      <w:r w:rsidRPr="00C45598">
        <w:rPr>
          <w:sz w:val="24"/>
          <w:szCs w:val="24"/>
        </w:rPr>
        <w:t xml:space="preserve"> og </w:t>
      </w:r>
      <w:proofErr w:type="spellStart"/>
      <w:r w:rsidRPr="00C45598">
        <w:rPr>
          <w:sz w:val="24"/>
          <w:szCs w:val="24"/>
        </w:rPr>
        <w:t>pentazocin</w:t>
      </w:r>
      <w:proofErr w:type="spellEnd"/>
      <w:r w:rsidRPr="00C45598">
        <w:rPr>
          <w:sz w:val="24"/>
          <w:szCs w:val="24"/>
        </w:rPr>
        <w:t xml:space="preserve"> også kan induceres ved rygning.</w:t>
      </w: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</w:p>
    <w:p w:rsidR="00A86AFA" w:rsidRPr="00C84483" w:rsidRDefault="00A86AFA" w:rsidP="00A86AF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45598">
        <w:rPr>
          <w:sz w:val="24"/>
          <w:szCs w:val="24"/>
          <w:u w:val="single"/>
        </w:rPr>
        <w:t>Graviditet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C45598">
        <w:rPr>
          <w:sz w:val="24"/>
          <w:szCs w:val="24"/>
        </w:rPr>
        <w:t>Rygning under graviditet er forbundet med risici såsom intrauterin væksthæmning, for tidlig fødsel eller fosterdød</w:t>
      </w:r>
      <w:r>
        <w:rPr>
          <w:sz w:val="24"/>
          <w:szCs w:val="24"/>
        </w:rPr>
        <w:t>.</w:t>
      </w:r>
      <w:r w:rsidRPr="00C45598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C45598">
        <w:rPr>
          <w:sz w:val="24"/>
          <w:szCs w:val="24"/>
        </w:rPr>
        <w:t>yg</w:t>
      </w:r>
      <w:r>
        <w:rPr>
          <w:sz w:val="24"/>
          <w:szCs w:val="24"/>
        </w:rPr>
        <w:t>estop</w:t>
      </w:r>
      <w:r w:rsidRPr="00C45598">
        <w:rPr>
          <w:sz w:val="24"/>
          <w:szCs w:val="24"/>
        </w:rPr>
        <w:t xml:space="preserve"> er den mest effektive intervention for at forbedre sundheden for både den gravide ryger og hendes barn. </w:t>
      </w:r>
      <w:r>
        <w:rPr>
          <w:sz w:val="24"/>
          <w:szCs w:val="24"/>
        </w:rPr>
        <w:t>Jo</w:t>
      </w:r>
      <w:r w:rsidRPr="00C45598">
        <w:rPr>
          <w:sz w:val="24"/>
          <w:szCs w:val="24"/>
        </w:rPr>
        <w:t xml:space="preserve"> tidligere </w:t>
      </w:r>
      <w:r>
        <w:rPr>
          <w:sz w:val="24"/>
          <w:szCs w:val="24"/>
        </w:rPr>
        <w:t xml:space="preserve">opnået rygestop desto </w:t>
      </w:r>
      <w:r w:rsidRPr="00C45598">
        <w:rPr>
          <w:sz w:val="24"/>
          <w:szCs w:val="24"/>
        </w:rPr>
        <w:t>bedre.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Nic</w:t>
      </w:r>
      <w:r w:rsidRPr="00C45598" w:rsidDel="000559BF">
        <w:rPr>
          <w:sz w:val="24"/>
          <w:szCs w:val="24"/>
        </w:rPr>
        <w:t>otin</w:t>
      </w:r>
      <w:proofErr w:type="spellEnd"/>
      <w:r w:rsidRPr="00C45598" w:rsidDel="000559BF">
        <w:rPr>
          <w:sz w:val="24"/>
          <w:szCs w:val="24"/>
        </w:rPr>
        <w:t xml:space="preserve"> passe</w:t>
      </w:r>
      <w:r>
        <w:rPr>
          <w:sz w:val="24"/>
          <w:szCs w:val="24"/>
        </w:rPr>
        <w:t>rer over til fosteret og påvirker det</w:t>
      </w:r>
      <w:r w:rsidRPr="00C45598" w:rsidDel="000559BF">
        <w:rPr>
          <w:sz w:val="24"/>
          <w:szCs w:val="24"/>
        </w:rPr>
        <w:t>s vejrtrækning</w:t>
      </w:r>
      <w:r>
        <w:rPr>
          <w:sz w:val="24"/>
          <w:szCs w:val="24"/>
        </w:rPr>
        <w:t>s</w:t>
      </w:r>
      <w:r w:rsidRPr="00C45598" w:rsidDel="000559BF">
        <w:rPr>
          <w:sz w:val="24"/>
          <w:szCs w:val="24"/>
        </w:rPr>
        <w:t xml:space="preserve">bevægelser og </w:t>
      </w:r>
      <w:r>
        <w:rPr>
          <w:sz w:val="24"/>
          <w:szCs w:val="24"/>
        </w:rPr>
        <w:t>kredsløb</w:t>
      </w:r>
      <w:r w:rsidRPr="00C45598" w:rsidDel="000559BF">
        <w:rPr>
          <w:sz w:val="24"/>
          <w:szCs w:val="24"/>
        </w:rPr>
        <w:t xml:space="preserve">. Effekten på kredsløbet er dosisafhængig. </w:t>
      </w:r>
      <w:r w:rsidRPr="00C45598" w:rsidDel="000559BF">
        <w:rPr>
          <w:sz w:val="24"/>
          <w:szCs w:val="24"/>
        </w:rPr>
        <w:br/>
      </w:r>
      <w:r w:rsidRPr="00C45598" w:rsidDel="000559BF">
        <w:rPr>
          <w:sz w:val="24"/>
          <w:szCs w:val="24"/>
        </w:rPr>
        <w:br/>
        <w:t xml:space="preserve">Den gravide ryger skal derfor altid rådes til at stoppe med at ryge helt uden brug af </w:t>
      </w:r>
      <w:proofErr w:type="spellStart"/>
      <w:r w:rsidRPr="00C45598" w:rsidDel="000559BF">
        <w:rPr>
          <w:sz w:val="24"/>
          <w:szCs w:val="24"/>
        </w:rPr>
        <w:t>ni</w:t>
      </w:r>
      <w:r>
        <w:rPr>
          <w:sz w:val="24"/>
          <w:szCs w:val="24"/>
        </w:rPr>
        <w:t>c</w:t>
      </w:r>
      <w:r w:rsidRPr="00C45598" w:rsidDel="000559BF">
        <w:rPr>
          <w:sz w:val="24"/>
          <w:szCs w:val="24"/>
        </w:rPr>
        <w:t>otin</w:t>
      </w:r>
      <w:r>
        <w:rPr>
          <w:sz w:val="24"/>
          <w:szCs w:val="24"/>
        </w:rPr>
        <w:t>erstatningsprodukter</w:t>
      </w:r>
      <w:proofErr w:type="spellEnd"/>
      <w:r w:rsidRPr="00C45598" w:rsidDel="000559BF">
        <w:rPr>
          <w:sz w:val="24"/>
          <w:szCs w:val="24"/>
        </w:rPr>
        <w:t xml:space="preserve">. Risikoen ved fortsat rygning kan udgøre en større risiko for fosteret sammenlignet med anvendelsen af substitution i et overvåget rygestopprogram. </w:t>
      </w:r>
      <w:r>
        <w:rPr>
          <w:sz w:val="24"/>
          <w:szCs w:val="24"/>
        </w:rPr>
        <w:t xml:space="preserve">En gravid ryger bør kun bruge </w:t>
      </w:r>
      <w:proofErr w:type="spellStart"/>
      <w:r w:rsidR="00A86AFA">
        <w:rPr>
          <w:sz w:val="24"/>
          <w:szCs w:val="24"/>
        </w:rPr>
        <w:t>Nicolex</w:t>
      </w:r>
      <w:proofErr w:type="spellEnd"/>
      <w:r>
        <w:rPr>
          <w:sz w:val="24"/>
          <w:szCs w:val="24"/>
        </w:rPr>
        <w:t>,</w:t>
      </w:r>
      <w:r w:rsidRPr="00C45598" w:rsidDel="000559BF">
        <w:rPr>
          <w:sz w:val="24"/>
          <w:szCs w:val="24"/>
        </w:rPr>
        <w:t xml:space="preserve"> </w:t>
      </w:r>
      <w:r>
        <w:rPr>
          <w:sz w:val="24"/>
          <w:szCs w:val="24"/>
        </w:rPr>
        <w:t>hvis det initieres af læge eller</w:t>
      </w:r>
      <w:r w:rsidRPr="00C45598" w:rsidDel="000559BF">
        <w:rPr>
          <w:sz w:val="24"/>
          <w:szCs w:val="24"/>
        </w:rPr>
        <w:t xml:space="preserve"> sundhedspersonale.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45598">
        <w:rPr>
          <w:sz w:val="24"/>
          <w:szCs w:val="24"/>
          <w:u w:val="single"/>
        </w:rPr>
        <w:t>Amning</w:t>
      </w:r>
    </w:p>
    <w:p w:rsidR="00D43DE5" w:rsidRPr="004C4487" w:rsidRDefault="00D43DE5" w:rsidP="00D43DE5">
      <w:pPr>
        <w:ind w:left="851"/>
        <w:rPr>
          <w:sz w:val="24"/>
          <w:szCs w:val="24"/>
        </w:rPr>
      </w:pPr>
      <w:proofErr w:type="spellStart"/>
      <w:r w:rsidRPr="004C4487">
        <w:rPr>
          <w:sz w:val="24"/>
          <w:szCs w:val="24"/>
        </w:rPr>
        <w:t>Nicotin</w:t>
      </w:r>
      <w:proofErr w:type="spellEnd"/>
      <w:r w:rsidRPr="004C4487">
        <w:rPr>
          <w:sz w:val="24"/>
          <w:szCs w:val="24"/>
        </w:rPr>
        <w:t xml:space="preserve"> passerer </w:t>
      </w:r>
      <w:r>
        <w:rPr>
          <w:sz w:val="24"/>
          <w:szCs w:val="24"/>
        </w:rPr>
        <w:t xml:space="preserve">frit </w:t>
      </w:r>
      <w:r w:rsidRPr="004C4487">
        <w:rPr>
          <w:sz w:val="24"/>
          <w:szCs w:val="24"/>
        </w:rPr>
        <w:t xml:space="preserve">over i modermælk i mængder, som kan påvirke barnet, selv ved terapeutiske doser. </w:t>
      </w:r>
      <w:proofErr w:type="spellStart"/>
      <w:r w:rsidR="00A86AFA">
        <w:rPr>
          <w:sz w:val="24"/>
          <w:szCs w:val="24"/>
        </w:rPr>
        <w:t>Nicolex</w:t>
      </w:r>
      <w:proofErr w:type="spellEnd"/>
      <w:r>
        <w:rPr>
          <w:sz w:val="24"/>
          <w:szCs w:val="24"/>
        </w:rPr>
        <w:t xml:space="preserve"> </w:t>
      </w:r>
      <w:r w:rsidRPr="004C4487">
        <w:rPr>
          <w:sz w:val="24"/>
          <w:szCs w:val="24"/>
        </w:rPr>
        <w:t xml:space="preserve">bør derfor undgås under amning. Hvis rygestop ikke lykkes hos ammende kvinder, bør brugen af </w:t>
      </w:r>
      <w:proofErr w:type="spellStart"/>
      <w:r w:rsidR="00A86AFA">
        <w:rPr>
          <w:sz w:val="24"/>
          <w:szCs w:val="24"/>
        </w:rPr>
        <w:t>Nicolex</w:t>
      </w:r>
      <w:proofErr w:type="spellEnd"/>
      <w:r>
        <w:rPr>
          <w:sz w:val="24"/>
          <w:szCs w:val="24"/>
        </w:rPr>
        <w:t xml:space="preserve"> </w:t>
      </w:r>
      <w:r w:rsidRPr="004C4487">
        <w:rPr>
          <w:sz w:val="24"/>
          <w:szCs w:val="24"/>
        </w:rPr>
        <w:t>kun påbe</w:t>
      </w:r>
      <w:r>
        <w:rPr>
          <w:sz w:val="24"/>
          <w:szCs w:val="24"/>
        </w:rPr>
        <w:t>gyndes efter lægeanvisning. Hvis der anvendes</w:t>
      </w:r>
      <w:r w:rsidRPr="004C4487">
        <w:rPr>
          <w:sz w:val="24"/>
          <w:szCs w:val="24"/>
        </w:rPr>
        <w:t xml:space="preserve"> </w:t>
      </w:r>
      <w:proofErr w:type="spellStart"/>
      <w:r w:rsidRPr="004C4487">
        <w:rPr>
          <w:sz w:val="24"/>
          <w:szCs w:val="24"/>
        </w:rPr>
        <w:t>nicotin</w:t>
      </w:r>
      <w:r>
        <w:rPr>
          <w:sz w:val="24"/>
          <w:szCs w:val="24"/>
        </w:rPr>
        <w:t>erstatningsprodukter</w:t>
      </w:r>
      <w:proofErr w:type="spellEnd"/>
      <w:r w:rsidRPr="004C44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forbindelse med amning, </w:t>
      </w:r>
      <w:r w:rsidRPr="004C4487">
        <w:rPr>
          <w:sz w:val="24"/>
          <w:szCs w:val="24"/>
        </w:rPr>
        <w:t xml:space="preserve">bør </w:t>
      </w:r>
      <w:proofErr w:type="spellStart"/>
      <w:r w:rsidR="00A86AFA">
        <w:rPr>
          <w:sz w:val="24"/>
          <w:szCs w:val="24"/>
        </w:rPr>
        <w:t>Nicolex</w:t>
      </w:r>
      <w:proofErr w:type="spellEnd"/>
      <w:r>
        <w:rPr>
          <w:sz w:val="24"/>
          <w:szCs w:val="24"/>
        </w:rPr>
        <w:t xml:space="preserve"> tages umiddelbar</w:t>
      </w:r>
      <w:r w:rsidRPr="004C4487">
        <w:rPr>
          <w:sz w:val="24"/>
          <w:szCs w:val="24"/>
        </w:rPr>
        <w:t xml:space="preserve"> efter amning og ikke i</w:t>
      </w:r>
      <w:r>
        <w:rPr>
          <w:sz w:val="24"/>
          <w:szCs w:val="24"/>
        </w:rPr>
        <w:t>nden for</w:t>
      </w:r>
      <w:r w:rsidRPr="004C4487">
        <w:rPr>
          <w:sz w:val="24"/>
          <w:szCs w:val="24"/>
        </w:rPr>
        <w:t xml:space="preserve"> to timer før amning.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45598">
        <w:rPr>
          <w:sz w:val="24"/>
          <w:szCs w:val="24"/>
          <w:u w:val="single"/>
        </w:rPr>
        <w:t>Fertilitet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Rygning øger risikoen for ufrugtbarhed hos mænd og kvinder.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 undersøgelser har vist, at </w:t>
      </w:r>
      <w:proofErr w:type="spellStart"/>
      <w:r>
        <w:rPr>
          <w:sz w:val="24"/>
          <w:szCs w:val="24"/>
        </w:rPr>
        <w:t>nicotin</w:t>
      </w:r>
      <w:proofErr w:type="spellEnd"/>
      <w:r>
        <w:rPr>
          <w:sz w:val="24"/>
          <w:szCs w:val="24"/>
        </w:rPr>
        <w:t xml:space="preserve"> kan påvirke mænds sædkvalitet. Nedsat sædkvalitet og reduceret fertilitet er påvist hos rotter.</w:t>
      </w:r>
    </w:p>
    <w:p w:rsidR="00D43DE5" w:rsidRPr="00C45598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A86AFA" w:rsidRPr="00C84483" w:rsidRDefault="00A86AFA" w:rsidP="00A86AF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D43DE5" w:rsidRPr="00C45598" w:rsidRDefault="00A86AFA" w:rsidP="00D43DE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Nicolex</w:t>
      </w:r>
      <w:proofErr w:type="spellEnd"/>
      <w:r w:rsidR="00D43DE5" w:rsidRPr="00C45598">
        <w:rPr>
          <w:sz w:val="24"/>
          <w:szCs w:val="24"/>
        </w:rPr>
        <w:t xml:space="preserve"> påvirker ikke eller kun i ubetydelig grad evnen til at føre motorkøretøj og betjene maskiner.</w:t>
      </w:r>
    </w:p>
    <w:p w:rsidR="00D43DE5" w:rsidRPr="00C84483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D43DE5" w:rsidRPr="00C45598" w:rsidRDefault="00A86AFA" w:rsidP="00D43DE5">
      <w:pPr>
        <w:pStyle w:val="Sidehoved"/>
        <w:tabs>
          <w:tab w:val="left" w:pos="851"/>
        </w:tabs>
        <w:ind w:left="851"/>
        <w:rPr>
          <w:szCs w:val="24"/>
        </w:rPr>
      </w:pPr>
      <w:proofErr w:type="spellStart"/>
      <w:r>
        <w:rPr>
          <w:szCs w:val="24"/>
        </w:rPr>
        <w:t>Nicolex</w:t>
      </w:r>
      <w:proofErr w:type="spellEnd"/>
      <w:r w:rsidR="00D43DE5" w:rsidRPr="00C45598">
        <w:rPr>
          <w:szCs w:val="24"/>
        </w:rPr>
        <w:t xml:space="preserve"> kan forårsage bivirkninger svarende til dem, der er forbundet med </w:t>
      </w:r>
      <w:proofErr w:type="spellStart"/>
      <w:r w:rsidR="00D43DE5">
        <w:rPr>
          <w:szCs w:val="24"/>
        </w:rPr>
        <w:t>nicotin</w:t>
      </w:r>
      <w:proofErr w:type="spellEnd"/>
      <w:r w:rsidR="00D43DE5">
        <w:rPr>
          <w:szCs w:val="24"/>
        </w:rPr>
        <w:t xml:space="preserve"> administreret på andre måder</w:t>
      </w:r>
      <w:r w:rsidR="00D43DE5" w:rsidRPr="00C45598">
        <w:rPr>
          <w:szCs w:val="24"/>
        </w:rPr>
        <w:t>. Bivirkningerne er dosisafhængige. De fleste bivirk</w:t>
      </w:r>
      <w:r w:rsidR="00D43DE5">
        <w:rPr>
          <w:szCs w:val="24"/>
        </w:rPr>
        <w:t>ninger rapporteret af patienter forekommer</w:t>
      </w:r>
      <w:r w:rsidR="00D43DE5" w:rsidRPr="00C45598">
        <w:rPr>
          <w:szCs w:val="24"/>
        </w:rPr>
        <w:t xml:space="preserve"> i løbet af de første</w:t>
      </w:r>
      <w:r w:rsidR="00D43DE5">
        <w:rPr>
          <w:szCs w:val="24"/>
        </w:rPr>
        <w:t xml:space="preserve"> 3-4 uger efter behandlingen er påbegyndt</w:t>
      </w:r>
      <w:r w:rsidR="00D43DE5" w:rsidRPr="00C45598">
        <w:rPr>
          <w:szCs w:val="24"/>
        </w:rPr>
        <w:t xml:space="preserve">. </w:t>
      </w:r>
    </w:p>
    <w:p w:rsidR="00D43DE5" w:rsidRPr="00C45598" w:rsidRDefault="00D43DE5" w:rsidP="00D43DE5">
      <w:pPr>
        <w:pStyle w:val="Sidehoved"/>
        <w:tabs>
          <w:tab w:val="left" w:pos="851"/>
        </w:tabs>
        <w:ind w:left="851"/>
        <w:rPr>
          <w:szCs w:val="24"/>
        </w:rPr>
      </w:pPr>
    </w:p>
    <w:p w:rsidR="00D43DE5" w:rsidRDefault="00D43DE5" w:rsidP="00D43DE5">
      <w:pPr>
        <w:pStyle w:val="Sidehoved"/>
        <w:tabs>
          <w:tab w:val="left" w:pos="851"/>
        </w:tabs>
        <w:ind w:left="851"/>
        <w:rPr>
          <w:szCs w:val="24"/>
        </w:rPr>
      </w:pPr>
      <w:r w:rsidRPr="00C45598">
        <w:rPr>
          <w:szCs w:val="24"/>
        </w:rPr>
        <w:t xml:space="preserve">Hyppigheden af bivirkninger i henhold til </w:t>
      </w:r>
      <w:r>
        <w:rPr>
          <w:szCs w:val="24"/>
        </w:rPr>
        <w:t xml:space="preserve">systemorganklasser i henhold til </w:t>
      </w:r>
      <w:proofErr w:type="spellStart"/>
      <w:r w:rsidRPr="00C45598">
        <w:rPr>
          <w:szCs w:val="24"/>
        </w:rPr>
        <w:t>MedDRA</w:t>
      </w:r>
      <w:proofErr w:type="spellEnd"/>
      <w:r w:rsidRPr="00C45598">
        <w:rPr>
          <w:szCs w:val="24"/>
        </w:rPr>
        <w:t>-</w:t>
      </w:r>
      <w:r>
        <w:rPr>
          <w:szCs w:val="24"/>
        </w:rPr>
        <w:t>databasen:</w:t>
      </w:r>
    </w:p>
    <w:p w:rsidR="00D43DE5" w:rsidRDefault="00D43DE5" w:rsidP="00D43DE5">
      <w:pPr>
        <w:pStyle w:val="Sidehoved"/>
        <w:tabs>
          <w:tab w:val="left" w:pos="851"/>
        </w:tabs>
        <w:ind w:left="851"/>
        <w:rPr>
          <w:szCs w:val="24"/>
        </w:rPr>
      </w:pPr>
      <w:r>
        <w:rPr>
          <w:szCs w:val="24"/>
        </w:rPr>
        <w:t>Meget almindelig (≥ 1/10)</w:t>
      </w:r>
    </w:p>
    <w:p w:rsidR="00D43DE5" w:rsidRDefault="00D43DE5" w:rsidP="00D43DE5">
      <w:pPr>
        <w:pStyle w:val="Sidehoved"/>
        <w:tabs>
          <w:tab w:val="left" w:pos="851"/>
        </w:tabs>
        <w:ind w:left="851"/>
        <w:rPr>
          <w:szCs w:val="24"/>
        </w:rPr>
      </w:pPr>
      <w:r>
        <w:rPr>
          <w:szCs w:val="24"/>
        </w:rPr>
        <w:t>A</w:t>
      </w:r>
      <w:r w:rsidRPr="00C45598">
        <w:rPr>
          <w:szCs w:val="24"/>
        </w:rPr>
        <w:t>lmindelig (≥ 1/100 til &lt;1/10)</w:t>
      </w:r>
    </w:p>
    <w:p w:rsidR="00D43DE5" w:rsidRDefault="00D43DE5" w:rsidP="00D43DE5">
      <w:pPr>
        <w:pStyle w:val="Sidehoved"/>
        <w:tabs>
          <w:tab w:val="left" w:pos="851"/>
        </w:tabs>
        <w:ind w:left="851"/>
        <w:rPr>
          <w:szCs w:val="24"/>
        </w:rPr>
      </w:pPr>
      <w:r>
        <w:rPr>
          <w:szCs w:val="24"/>
        </w:rPr>
        <w:t>I</w:t>
      </w:r>
      <w:r w:rsidRPr="00C45598">
        <w:rPr>
          <w:szCs w:val="24"/>
        </w:rPr>
        <w:t>kke almindelig (≥ 1/1</w:t>
      </w:r>
      <w:r>
        <w:rPr>
          <w:szCs w:val="24"/>
        </w:rPr>
        <w:t>.</w:t>
      </w:r>
      <w:r w:rsidRPr="00C45598">
        <w:rPr>
          <w:szCs w:val="24"/>
        </w:rPr>
        <w:t>000 til &lt;1/100)</w:t>
      </w:r>
    </w:p>
    <w:p w:rsidR="00D43DE5" w:rsidRDefault="00D43DE5" w:rsidP="00D43DE5">
      <w:pPr>
        <w:pStyle w:val="Sidehoved"/>
        <w:tabs>
          <w:tab w:val="left" w:pos="851"/>
        </w:tabs>
        <w:ind w:left="851"/>
        <w:rPr>
          <w:szCs w:val="24"/>
        </w:rPr>
      </w:pPr>
      <w:r>
        <w:rPr>
          <w:szCs w:val="24"/>
        </w:rPr>
        <w:t>Sjælden (≥ 1/10.</w:t>
      </w:r>
      <w:r w:rsidRPr="00C45598">
        <w:rPr>
          <w:szCs w:val="24"/>
        </w:rPr>
        <w:t>000 til &lt;1/</w:t>
      </w:r>
      <w:r>
        <w:rPr>
          <w:szCs w:val="24"/>
        </w:rPr>
        <w:t>1 000)</w:t>
      </w:r>
    </w:p>
    <w:p w:rsidR="00D43DE5" w:rsidRDefault="00D43DE5" w:rsidP="00D43DE5">
      <w:pPr>
        <w:pStyle w:val="Sidehoved"/>
        <w:tabs>
          <w:tab w:val="left" w:pos="851"/>
        </w:tabs>
        <w:ind w:left="851"/>
        <w:rPr>
          <w:szCs w:val="24"/>
        </w:rPr>
      </w:pPr>
      <w:r>
        <w:rPr>
          <w:szCs w:val="24"/>
        </w:rPr>
        <w:t>M</w:t>
      </w:r>
      <w:r w:rsidRPr="00C45598">
        <w:rPr>
          <w:szCs w:val="24"/>
        </w:rPr>
        <w:t>eget sjælden (&lt;1/10</w:t>
      </w:r>
      <w:r>
        <w:rPr>
          <w:szCs w:val="24"/>
        </w:rPr>
        <w:t>.</w:t>
      </w:r>
      <w:r w:rsidRPr="00C45598">
        <w:rPr>
          <w:szCs w:val="24"/>
        </w:rPr>
        <w:t>000), ikke kendt (kan ikke estimeres ud fra forhåndenværende data).</w:t>
      </w:r>
    </w:p>
    <w:p w:rsidR="00D43DE5" w:rsidRPr="00C45598" w:rsidRDefault="00D43DE5" w:rsidP="00D43DE5">
      <w:pPr>
        <w:pStyle w:val="Sidehoved"/>
        <w:tabs>
          <w:tab w:val="left" w:pos="851"/>
        </w:tabs>
        <w:ind w:left="851"/>
        <w:rPr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969"/>
      </w:tblGrid>
      <w:tr w:rsidR="00D43DE5" w:rsidRPr="00C45598" w:rsidTr="003B4B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Default="00D43DE5" w:rsidP="003B4BCE">
            <w:pPr>
              <w:pStyle w:val="Sidehoved"/>
              <w:ind w:left="34"/>
              <w:rPr>
                <w:b/>
                <w:szCs w:val="24"/>
              </w:rPr>
            </w:pPr>
            <w:r>
              <w:rPr>
                <w:b/>
                <w:szCs w:val="24"/>
              </w:rPr>
              <w:t>Systemorganklasse</w:t>
            </w:r>
          </w:p>
          <w:p w:rsidR="00D43DE5" w:rsidRPr="00C3637A" w:rsidRDefault="00D43DE5" w:rsidP="003B4BCE">
            <w:pPr>
              <w:pStyle w:val="Sidehoved"/>
              <w:ind w:left="34"/>
              <w:rPr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3637A" w:rsidRDefault="00D43DE5" w:rsidP="003B4BCE">
            <w:pPr>
              <w:pStyle w:val="Sidehoved"/>
              <w:ind w:left="34"/>
              <w:rPr>
                <w:b/>
                <w:szCs w:val="24"/>
              </w:rPr>
            </w:pPr>
            <w:r w:rsidRPr="00C3637A">
              <w:rPr>
                <w:b/>
                <w:szCs w:val="24"/>
              </w:rPr>
              <w:t>Bivirkninger</w:t>
            </w:r>
          </w:p>
        </w:tc>
      </w:tr>
      <w:tr w:rsidR="00D43DE5" w:rsidRPr="00C45598" w:rsidTr="003B4BCE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b/>
                <w:szCs w:val="24"/>
              </w:rPr>
            </w:pPr>
            <w:r w:rsidRPr="00C45598">
              <w:rPr>
                <w:b/>
                <w:szCs w:val="24"/>
              </w:rPr>
              <w:t>Nervesystemet</w:t>
            </w:r>
          </w:p>
        </w:tc>
      </w:tr>
      <w:tr w:rsidR="00D43DE5" w:rsidRPr="00C45598" w:rsidTr="003B4B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  <w:r w:rsidRPr="00C45598">
              <w:rPr>
                <w:szCs w:val="24"/>
              </w:rPr>
              <w:t>Almindelige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  <w:r w:rsidRPr="00C45598">
              <w:rPr>
                <w:szCs w:val="24"/>
              </w:rPr>
              <w:t>Svimmelhed, hovedpine</w:t>
            </w:r>
          </w:p>
        </w:tc>
      </w:tr>
      <w:tr w:rsidR="00D43DE5" w:rsidRPr="00C45598" w:rsidTr="003B4BCE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b/>
                <w:szCs w:val="24"/>
              </w:rPr>
            </w:pPr>
            <w:r w:rsidRPr="00C45598">
              <w:rPr>
                <w:b/>
                <w:szCs w:val="24"/>
              </w:rPr>
              <w:t>Hjerte</w:t>
            </w:r>
          </w:p>
        </w:tc>
      </w:tr>
      <w:tr w:rsidR="00D43DE5" w:rsidRPr="00C45598" w:rsidTr="003B4B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  <w:r w:rsidRPr="00C45598">
              <w:rPr>
                <w:szCs w:val="24"/>
              </w:rPr>
              <w:t>Ikke almindelig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  <w:r w:rsidRPr="00C45598">
              <w:rPr>
                <w:szCs w:val="24"/>
              </w:rPr>
              <w:t>Hjertebanken</w:t>
            </w:r>
          </w:p>
        </w:tc>
      </w:tr>
      <w:tr w:rsidR="00D43DE5" w:rsidRPr="00C45598" w:rsidTr="003B4B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  <w:r w:rsidRPr="00C45598">
              <w:rPr>
                <w:szCs w:val="24"/>
              </w:rPr>
              <w:t>Sjælden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Atrieflimmer</w:t>
            </w:r>
            <w:proofErr w:type="spellEnd"/>
          </w:p>
        </w:tc>
      </w:tr>
      <w:tr w:rsidR="00D43DE5" w:rsidRPr="00C45598" w:rsidTr="003B4BCE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b/>
                <w:szCs w:val="24"/>
              </w:rPr>
            </w:pPr>
            <w:r w:rsidRPr="00C45598">
              <w:rPr>
                <w:b/>
                <w:szCs w:val="24"/>
              </w:rPr>
              <w:t>Mave-tarm</w:t>
            </w:r>
            <w:r>
              <w:rPr>
                <w:b/>
                <w:szCs w:val="24"/>
              </w:rPr>
              <w:t>-</w:t>
            </w:r>
            <w:r w:rsidRPr="00C45598">
              <w:rPr>
                <w:b/>
                <w:szCs w:val="24"/>
              </w:rPr>
              <w:t>kanalen</w:t>
            </w:r>
          </w:p>
        </w:tc>
      </w:tr>
      <w:tr w:rsidR="00D43DE5" w:rsidRPr="00C45598" w:rsidTr="003B4B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  <w:r w:rsidRPr="00C45598">
              <w:rPr>
                <w:szCs w:val="24"/>
              </w:rPr>
              <w:t>Almindelig</w:t>
            </w:r>
          </w:p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  <w:proofErr w:type="spellStart"/>
            <w:r w:rsidRPr="00C45598">
              <w:rPr>
                <w:szCs w:val="24"/>
              </w:rPr>
              <w:t>Gastrointestinale</w:t>
            </w:r>
            <w:proofErr w:type="spellEnd"/>
            <w:r w:rsidRPr="00C45598">
              <w:rPr>
                <w:szCs w:val="24"/>
              </w:rPr>
              <w:t xml:space="preserve"> gener, hikke, kvalme, opkastning.</w:t>
            </w:r>
          </w:p>
        </w:tc>
      </w:tr>
      <w:tr w:rsidR="00D43DE5" w:rsidRPr="00C45598" w:rsidTr="003B4BCE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Hud og subkutane </w:t>
            </w:r>
            <w:r w:rsidRPr="00C45598">
              <w:rPr>
                <w:b/>
                <w:szCs w:val="24"/>
              </w:rPr>
              <w:t xml:space="preserve">væv </w:t>
            </w:r>
          </w:p>
        </w:tc>
      </w:tr>
      <w:tr w:rsidR="00D43DE5" w:rsidRPr="00C45598" w:rsidTr="003B4B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  <w:r w:rsidRPr="00C45598">
              <w:rPr>
                <w:szCs w:val="24"/>
              </w:rPr>
              <w:t>Ikke almindelig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  <w:proofErr w:type="spellStart"/>
            <w:r w:rsidRPr="00C45598">
              <w:rPr>
                <w:szCs w:val="24"/>
              </w:rPr>
              <w:t>Erytem</w:t>
            </w:r>
            <w:proofErr w:type="spellEnd"/>
            <w:r w:rsidRPr="00C45598">
              <w:rPr>
                <w:szCs w:val="24"/>
              </w:rPr>
              <w:t>, nældefeber</w:t>
            </w:r>
          </w:p>
        </w:tc>
      </w:tr>
      <w:tr w:rsidR="00D43DE5" w:rsidRPr="00C45598" w:rsidTr="003B4BCE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  <w:r w:rsidRPr="00C45598">
              <w:rPr>
                <w:b/>
                <w:szCs w:val="24"/>
              </w:rPr>
              <w:t>Almene sympt</w:t>
            </w:r>
            <w:r>
              <w:rPr>
                <w:b/>
                <w:szCs w:val="24"/>
              </w:rPr>
              <w:t>omer og reaktioner på administrationss</w:t>
            </w:r>
            <w:r w:rsidRPr="00C45598">
              <w:rPr>
                <w:b/>
                <w:szCs w:val="24"/>
              </w:rPr>
              <w:t>tedet</w:t>
            </w:r>
          </w:p>
        </w:tc>
      </w:tr>
      <w:tr w:rsidR="00D43DE5" w:rsidRPr="00C45598" w:rsidTr="003B4B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  <w:r w:rsidRPr="00C45598">
              <w:rPr>
                <w:szCs w:val="24"/>
              </w:rPr>
              <w:t>Almindelig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  <w:r w:rsidRPr="00C45598">
              <w:rPr>
                <w:szCs w:val="24"/>
              </w:rPr>
              <w:t>Irritation i mund og svælg</w:t>
            </w:r>
          </w:p>
        </w:tc>
      </w:tr>
      <w:tr w:rsidR="00D43DE5" w:rsidRPr="00C45598" w:rsidTr="003B4B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  <w:r w:rsidRPr="00C45598">
              <w:rPr>
                <w:szCs w:val="24"/>
              </w:rPr>
              <w:t>Sjælden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E5" w:rsidRPr="00C45598" w:rsidRDefault="00D43DE5" w:rsidP="003B4BCE">
            <w:pPr>
              <w:pStyle w:val="Sidehoved"/>
              <w:ind w:left="34"/>
              <w:rPr>
                <w:szCs w:val="24"/>
              </w:rPr>
            </w:pPr>
            <w:r w:rsidRPr="00C45598">
              <w:rPr>
                <w:szCs w:val="24"/>
              </w:rPr>
              <w:t xml:space="preserve">Allergisk reaktion som </w:t>
            </w:r>
            <w:r>
              <w:rPr>
                <w:szCs w:val="24"/>
              </w:rPr>
              <w:t>fx</w:t>
            </w:r>
            <w:r w:rsidRPr="00C45598">
              <w:rPr>
                <w:szCs w:val="24"/>
              </w:rPr>
              <w:t xml:space="preserve"> </w:t>
            </w:r>
            <w:proofErr w:type="spellStart"/>
            <w:r w:rsidRPr="00C45598">
              <w:rPr>
                <w:szCs w:val="24"/>
              </w:rPr>
              <w:t>angioødem</w:t>
            </w:r>
            <w:proofErr w:type="spellEnd"/>
          </w:p>
        </w:tc>
      </w:tr>
    </w:tbl>
    <w:p w:rsidR="00D43DE5" w:rsidRPr="00C45598" w:rsidRDefault="00D43DE5" w:rsidP="00D43DE5">
      <w:pPr>
        <w:pStyle w:val="Sidehoved"/>
        <w:tabs>
          <w:tab w:val="left" w:pos="851"/>
        </w:tabs>
        <w:ind w:left="851"/>
        <w:rPr>
          <w:szCs w:val="24"/>
        </w:rPr>
      </w:pPr>
    </w:p>
    <w:p w:rsidR="00D43DE5" w:rsidRPr="00C45598" w:rsidRDefault="00D43DE5" w:rsidP="00D43DE5">
      <w:pPr>
        <w:pStyle w:val="Sidehoved"/>
        <w:tabs>
          <w:tab w:val="left" w:pos="851"/>
        </w:tabs>
        <w:ind w:left="851"/>
        <w:rPr>
          <w:szCs w:val="24"/>
        </w:rPr>
      </w:pPr>
      <w:r w:rsidRPr="00C45598">
        <w:rPr>
          <w:szCs w:val="24"/>
        </w:rPr>
        <w:t xml:space="preserve">Nogle </w:t>
      </w:r>
      <w:r>
        <w:rPr>
          <w:szCs w:val="24"/>
        </w:rPr>
        <w:t xml:space="preserve">rapporterede </w:t>
      </w:r>
      <w:r w:rsidRPr="00C45598">
        <w:rPr>
          <w:szCs w:val="24"/>
        </w:rPr>
        <w:t>symptomer, såsom svimmelhed, hovedpine og søvnlø</w:t>
      </w:r>
      <w:r>
        <w:rPr>
          <w:szCs w:val="24"/>
        </w:rPr>
        <w:t xml:space="preserve">shed, </w:t>
      </w:r>
      <w:r w:rsidRPr="00C45598">
        <w:rPr>
          <w:szCs w:val="24"/>
        </w:rPr>
        <w:t xml:space="preserve">kan være relateret til abstinenssymptomer forbundet med rygestop. Øget hyppighed af </w:t>
      </w:r>
      <w:proofErr w:type="spellStart"/>
      <w:r>
        <w:rPr>
          <w:szCs w:val="24"/>
        </w:rPr>
        <w:t>aftøs</w:t>
      </w:r>
      <w:proofErr w:type="spellEnd"/>
      <w:r>
        <w:rPr>
          <w:szCs w:val="24"/>
        </w:rPr>
        <w:t xml:space="preserve"> ulcus</w:t>
      </w:r>
      <w:r w:rsidRPr="00C45598">
        <w:rPr>
          <w:szCs w:val="24"/>
        </w:rPr>
        <w:t xml:space="preserve"> kan forekomme, når rygning er stoppet. Årsagssammenhængen er uklar.</w:t>
      </w:r>
    </w:p>
    <w:p w:rsidR="00D43DE5" w:rsidRDefault="00D43DE5" w:rsidP="00D43DE5">
      <w:pPr>
        <w:tabs>
          <w:tab w:val="left" w:pos="1304"/>
          <w:tab w:val="center" w:pos="4819"/>
          <w:tab w:val="right" w:pos="9638"/>
        </w:tabs>
        <w:spacing w:line="240" w:lineRule="atLeast"/>
        <w:ind w:left="851" w:hanging="851"/>
        <w:rPr>
          <w:sz w:val="24"/>
          <w:szCs w:val="24"/>
          <w:lang w:eastAsia="da-DK"/>
        </w:rPr>
      </w:pPr>
    </w:p>
    <w:p w:rsidR="00D43DE5" w:rsidRDefault="00D43DE5" w:rsidP="00D43DE5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D43DE5" w:rsidRDefault="00D43DE5" w:rsidP="00D43DE5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1D2406">
        <w:rPr>
          <w:sz w:val="24"/>
          <w:szCs w:val="24"/>
        </w:rPr>
        <w:t>S</w:t>
      </w:r>
      <w:r>
        <w:rPr>
          <w:sz w:val="24"/>
          <w:szCs w:val="24"/>
        </w:rPr>
        <w:t>undhedsperson</w:t>
      </w:r>
      <w:r w:rsidR="001D2406">
        <w:rPr>
          <w:sz w:val="24"/>
          <w:szCs w:val="24"/>
        </w:rPr>
        <w:t>er</w:t>
      </w:r>
      <w:r>
        <w:rPr>
          <w:sz w:val="24"/>
          <w:szCs w:val="24"/>
        </w:rPr>
        <w:t xml:space="preserve"> anmodes om at indberette alle formodede bivirkninger via:</w:t>
      </w:r>
    </w:p>
    <w:p w:rsidR="00D43DE5" w:rsidRDefault="00D43DE5" w:rsidP="00D43DE5">
      <w:pPr>
        <w:ind w:left="851"/>
        <w:rPr>
          <w:sz w:val="24"/>
          <w:szCs w:val="24"/>
        </w:rPr>
      </w:pPr>
    </w:p>
    <w:p w:rsidR="00D43DE5" w:rsidRDefault="00D43DE5" w:rsidP="00D43DE5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D43DE5" w:rsidRDefault="00D43DE5" w:rsidP="00D43DE5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D43DE5" w:rsidRDefault="00D43DE5" w:rsidP="00D43DE5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D43DE5" w:rsidRPr="00210871" w:rsidRDefault="00D43DE5" w:rsidP="001D2406">
      <w:pPr>
        <w:ind w:left="851"/>
        <w:rPr>
          <w:sz w:val="24"/>
          <w:szCs w:val="24"/>
        </w:rPr>
      </w:pPr>
      <w:r w:rsidRPr="00210871">
        <w:rPr>
          <w:sz w:val="24"/>
          <w:szCs w:val="24"/>
        </w:rPr>
        <w:t xml:space="preserve">Websted: </w:t>
      </w:r>
      <w:hyperlink r:id="rId8" w:history="1">
        <w:r w:rsidRPr="00210871">
          <w:rPr>
            <w:rStyle w:val="Hyperlink"/>
            <w:color w:val="0000FF"/>
          </w:rPr>
          <w:t>www.meldenbivirkning.dk</w:t>
        </w:r>
      </w:hyperlink>
    </w:p>
    <w:p w:rsidR="00D43DE5" w:rsidRPr="00210871" w:rsidRDefault="00D43DE5" w:rsidP="00D43DE5">
      <w:pPr>
        <w:rPr>
          <w:rFonts w:ascii="Calibri" w:eastAsiaTheme="minorHAnsi" w:hAnsi="Calibri"/>
          <w:sz w:val="22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A95024">
        <w:rPr>
          <w:sz w:val="24"/>
          <w:szCs w:val="24"/>
        </w:rPr>
        <w:t xml:space="preserve">Symptomer på overdosering med </w:t>
      </w:r>
      <w:proofErr w:type="spellStart"/>
      <w:r w:rsidRPr="00A95024">
        <w:rPr>
          <w:sz w:val="24"/>
          <w:szCs w:val="24"/>
        </w:rPr>
        <w:t>nicotin</w:t>
      </w:r>
      <w:proofErr w:type="spellEnd"/>
      <w:r w:rsidRPr="00A95024">
        <w:rPr>
          <w:sz w:val="24"/>
          <w:szCs w:val="24"/>
        </w:rPr>
        <w:t xml:space="preserve"> kan forekomme hos patienter med lavt indtag af </w:t>
      </w:r>
      <w:proofErr w:type="spellStart"/>
      <w:r w:rsidRPr="00A95024">
        <w:rPr>
          <w:sz w:val="24"/>
          <w:szCs w:val="24"/>
        </w:rPr>
        <w:t>nicotin</w:t>
      </w:r>
      <w:proofErr w:type="spellEnd"/>
      <w:r w:rsidRPr="00A95024">
        <w:rPr>
          <w:sz w:val="24"/>
          <w:szCs w:val="24"/>
        </w:rPr>
        <w:t xml:space="preserve"> før behandlingen, eller hvis andre </w:t>
      </w:r>
      <w:proofErr w:type="spellStart"/>
      <w:r w:rsidRPr="00A95024">
        <w:rPr>
          <w:sz w:val="24"/>
          <w:szCs w:val="24"/>
        </w:rPr>
        <w:t>nicotinkilder</w:t>
      </w:r>
      <w:proofErr w:type="spellEnd"/>
      <w:r w:rsidRPr="00A95024">
        <w:rPr>
          <w:sz w:val="24"/>
          <w:szCs w:val="24"/>
        </w:rPr>
        <w:t xml:space="preserve"> anvendes </w:t>
      </w:r>
      <w:r>
        <w:rPr>
          <w:sz w:val="24"/>
          <w:szCs w:val="24"/>
        </w:rPr>
        <w:t>samtidigt.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9B4154">
        <w:rPr>
          <w:sz w:val="24"/>
          <w:szCs w:val="24"/>
        </w:rPr>
        <w:t xml:space="preserve">Symptomer på overdosering svarer til dem, der ses ved akut </w:t>
      </w:r>
      <w:proofErr w:type="spellStart"/>
      <w:r>
        <w:rPr>
          <w:sz w:val="24"/>
          <w:szCs w:val="24"/>
        </w:rPr>
        <w:t>nicotin</w:t>
      </w:r>
      <w:r w:rsidRPr="009B4154">
        <w:rPr>
          <w:sz w:val="24"/>
          <w:szCs w:val="24"/>
        </w:rPr>
        <w:t>forgiftning</w:t>
      </w:r>
      <w:proofErr w:type="spellEnd"/>
      <w:r w:rsidRPr="009B4154">
        <w:rPr>
          <w:sz w:val="24"/>
          <w:szCs w:val="24"/>
        </w:rPr>
        <w:t xml:space="preserve"> og omfatter kvalme, </w:t>
      </w:r>
      <w:proofErr w:type="spellStart"/>
      <w:r w:rsidRPr="009B4154">
        <w:rPr>
          <w:sz w:val="24"/>
          <w:szCs w:val="24"/>
        </w:rPr>
        <w:t>savlen</w:t>
      </w:r>
      <w:proofErr w:type="spellEnd"/>
      <w:r w:rsidRPr="009B4154">
        <w:rPr>
          <w:sz w:val="24"/>
          <w:szCs w:val="24"/>
        </w:rPr>
        <w:t>, mavesmerter, diarré, svedudbrud, hovedpine, svimmelhed, høre</w:t>
      </w:r>
      <w:r>
        <w:rPr>
          <w:sz w:val="24"/>
          <w:szCs w:val="24"/>
        </w:rPr>
        <w:t>forstyrrelser</w:t>
      </w:r>
      <w:r w:rsidRPr="009B4154">
        <w:rPr>
          <w:sz w:val="24"/>
          <w:szCs w:val="24"/>
        </w:rPr>
        <w:t xml:space="preserve"> og udtalt svaghed. Ved høje doser kan disse symptomer følges af hypotension, svag og uregelmæssig puls, åndedrætsbesvær, træthed, kredsløbskollaps og krampe</w:t>
      </w:r>
      <w:r>
        <w:rPr>
          <w:sz w:val="24"/>
          <w:szCs w:val="24"/>
        </w:rPr>
        <w:t>anfald</w:t>
      </w:r>
      <w:r w:rsidRPr="009B4154">
        <w:rPr>
          <w:sz w:val="24"/>
          <w:szCs w:val="24"/>
        </w:rPr>
        <w:t xml:space="preserve">. 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Nicotin</w:t>
      </w:r>
      <w:r w:rsidRPr="009B4154">
        <w:rPr>
          <w:sz w:val="24"/>
          <w:szCs w:val="24"/>
        </w:rPr>
        <w:t>doser</w:t>
      </w:r>
      <w:proofErr w:type="spellEnd"/>
      <w:r w:rsidRPr="009B4154">
        <w:rPr>
          <w:sz w:val="24"/>
          <w:szCs w:val="24"/>
        </w:rPr>
        <w:t>, som tåles af voksne rygere under igangværende behandling</w:t>
      </w:r>
      <w:r>
        <w:rPr>
          <w:sz w:val="24"/>
          <w:szCs w:val="24"/>
        </w:rPr>
        <w:t>,</w:t>
      </w:r>
      <w:r w:rsidRPr="009B4154">
        <w:rPr>
          <w:sz w:val="24"/>
          <w:szCs w:val="24"/>
        </w:rPr>
        <w:t xml:space="preserve"> kan forårsage alvorlige forgiftningssymptomer hos små børn og kan vise sig </w:t>
      </w:r>
      <w:r>
        <w:rPr>
          <w:sz w:val="24"/>
          <w:szCs w:val="24"/>
        </w:rPr>
        <w:t xml:space="preserve">at være </w:t>
      </w:r>
      <w:r w:rsidRPr="009B4154">
        <w:rPr>
          <w:sz w:val="24"/>
          <w:szCs w:val="24"/>
        </w:rPr>
        <w:t>fatal</w:t>
      </w:r>
      <w:r>
        <w:rPr>
          <w:sz w:val="24"/>
          <w:szCs w:val="24"/>
        </w:rPr>
        <w:t>e</w:t>
      </w:r>
      <w:r w:rsidRPr="009B4154">
        <w:rPr>
          <w:sz w:val="24"/>
          <w:szCs w:val="24"/>
        </w:rPr>
        <w:t xml:space="preserve">. </w:t>
      </w:r>
    </w:p>
    <w:p w:rsidR="00A86AFA" w:rsidRDefault="00A86AF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7B797B" w:rsidRDefault="00D43DE5" w:rsidP="00D43DE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797B">
        <w:rPr>
          <w:sz w:val="24"/>
          <w:szCs w:val="24"/>
          <w:u w:val="single"/>
        </w:rPr>
        <w:t>Behandling af overdosis</w:t>
      </w: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Administration af </w:t>
      </w:r>
      <w:proofErr w:type="spellStart"/>
      <w:r>
        <w:rPr>
          <w:sz w:val="24"/>
          <w:szCs w:val="24"/>
        </w:rPr>
        <w:t>nicotin</w:t>
      </w:r>
      <w:proofErr w:type="spellEnd"/>
      <w:r w:rsidRPr="009B4154">
        <w:rPr>
          <w:sz w:val="24"/>
          <w:szCs w:val="24"/>
        </w:rPr>
        <w:t xml:space="preserve"> skal stoppes øjeblikkeligt, og patienten skal behandles symptomatisk. Aktivt kul reducerer den </w:t>
      </w:r>
      <w:proofErr w:type="spellStart"/>
      <w:r w:rsidRPr="009B4154">
        <w:rPr>
          <w:sz w:val="24"/>
          <w:szCs w:val="24"/>
        </w:rPr>
        <w:t>gastrointestinale</w:t>
      </w:r>
      <w:proofErr w:type="spellEnd"/>
      <w:r w:rsidRPr="009B4154">
        <w:rPr>
          <w:sz w:val="24"/>
          <w:szCs w:val="24"/>
        </w:rPr>
        <w:t xml:space="preserve"> absorption af </w:t>
      </w:r>
      <w:proofErr w:type="spellStart"/>
      <w:r>
        <w:rPr>
          <w:sz w:val="24"/>
          <w:szCs w:val="24"/>
        </w:rPr>
        <w:t>nicotin</w:t>
      </w:r>
      <w:proofErr w:type="spellEnd"/>
      <w:r w:rsidRPr="009B4154">
        <w:rPr>
          <w:sz w:val="24"/>
          <w:szCs w:val="24"/>
        </w:rPr>
        <w:t>.</w:t>
      </w: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D43DE5" w:rsidRPr="00C84483" w:rsidRDefault="00D43DE5" w:rsidP="00D43DE5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>
        <w:rPr>
          <w:sz w:val="24"/>
          <w:szCs w:val="24"/>
        </w:rPr>
        <w:t>HF</w:t>
      </w:r>
    </w:p>
    <w:p w:rsidR="00A86AFA" w:rsidRDefault="00A86AFA" w:rsidP="00A86AFA">
      <w:pPr>
        <w:tabs>
          <w:tab w:val="left" w:pos="851"/>
        </w:tabs>
        <w:ind w:left="851"/>
        <w:rPr>
          <w:sz w:val="24"/>
          <w:szCs w:val="24"/>
        </w:rPr>
      </w:pPr>
    </w:p>
    <w:p w:rsidR="00A86AFA" w:rsidRPr="00C84483" w:rsidRDefault="00A86AFA" w:rsidP="00A86AFA">
      <w:pPr>
        <w:tabs>
          <w:tab w:val="left" w:pos="851"/>
        </w:tabs>
        <w:ind w:left="851"/>
        <w:rPr>
          <w:sz w:val="24"/>
          <w:szCs w:val="24"/>
        </w:rPr>
      </w:pPr>
    </w:p>
    <w:p w:rsidR="00A86AFA" w:rsidRPr="00C84483" w:rsidRDefault="00A86AFA" w:rsidP="00A86AF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A86AFA" w:rsidRPr="00C84483" w:rsidRDefault="00A86AFA" w:rsidP="00A86AFA">
      <w:pPr>
        <w:tabs>
          <w:tab w:val="left" w:pos="851"/>
        </w:tabs>
        <w:ind w:left="851"/>
        <w:rPr>
          <w:sz w:val="24"/>
          <w:szCs w:val="24"/>
        </w:rPr>
      </w:pPr>
    </w:p>
    <w:p w:rsidR="00A86AFA" w:rsidRPr="00C84483" w:rsidRDefault="00A86AFA" w:rsidP="00A86AFA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A86AFA" w:rsidRPr="009B4154" w:rsidRDefault="00A86AFA" w:rsidP="00A86AFA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r w:rsidRPr="009B4154">
        <w:rPr>
          <w:sz w:val="24"/>
          <w:szCs w:val="24"/>
        </w:rPr>
        <w:t xml:space="preserve">Midler mod </w:t>
      </w:r>
      <w:proofErr w:type="spellStart"/>
      <w:r>
        <w:rPr>
          <w:sz w:val="24"/>
          <w:szCs w:val="24"/>
        </w:rPr>
        <w:t>nicotin</w:t>
      </w:r>
      <w:r w:rsidRPr="009B4154">
        <w:rPr>
          <w:sz w:val="24"/>
          <w:szCs w:val="24"/>
        </w:rPr>
        <w:t>afhængighed</w:t>
      </w:r>
      <w:proofErr w:type="spellEnd"/>
      <w:r>
        <w:rPr>
          <w:sz w:val="24"/>
          <w:szCs w:val="24"/>
        </w:rPr>
        <w:t xml:space="preserve">, </w:t>
      </w:r>
      <w:r w:rsidRPr="009B4154">
        <w:rPr>
          <w:sz w:val="24"/>
          <w:szCs w:val="24"/>
        </w:rPr>
        <w:t>ATC-kode: N07BA01</w:t>
      </w:r>
      <w:r>
        <w:rPr>
          <w:sz w:val="24"/>
          <w:szCs w:val="24"/>
        </w:rPr>
        <w:t>.</w:t>
      </w:r>
    </w:p>
    <w:p w:rsidR="00A86AFA" w:rsidRDefault="00A86AFA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4C4487">
        <w:rPr>
          <w:sz w:val="24"/>
          <w:szCs w:val="24"/>
        </w:rPr>
        <w:t>Efter daglig anvendelse i en længere periode fører pludselig</w:t>
      </w:r>
      <w:r>
        <w:rPr>
          <w:sz w:val="24"/>
          <w:szCs w:val="24"/>
        </w:rPr>
        <w:t>t</w:t>
      </w:r>
      <w:r w:rsidRPr="004C4487">
        <w:rPr>
          <w:sz w:val="24"/>
          <w:szCs w:val="24"/>
        </w:rPr>
        <w:t xml:space="preserve"> ophør af tobaksprodukter til fire eller flere af følgende karak</w:t>
      </w:r>
      <w:r>
        <w:rPr>
          <w:sz w:val="24"/>
          <w:szCs w:val="24"/>
        </w:rPr>
        <w:t xml:space="preserve">teristiske abstinenssymptomer: </w:t>
      </w:r>
      <w:proofErr w:type="spellStart"/>
      <w:r>
        <w:rPr>
          <w:sz w:val="24"/>
          <w:szCs w:val="24"/>
        </w:rPr>
        <w:t>D</w:t>
      </w:r>
      <w:r w:rsidRPr="004C4487">
        <w:rPr>
          <w:sz w:val="24"/>
          <w:szCs w:val="24"/>
        </w:rPr>
        <w:t>ysfori</w:t>
      </w:r>
      <w:proofErr w:type="spellEnd"/>
      <w:r w:rsidRPr="004C4487">
        <w:rPr>
          <w:sz w:val="24"/>
          <w:szCs w:val="24"/>
        </w:rPr>
        <w:t xml:space="preserve"> eller nedsat sindsstemning</w:t>
      </w:r>
      <w:r>
        <w:rPr>
          <w:sz w:val="24"/>
          <w:szCs w:val="24"/>
        </w:rPr>
        <w:t>,</w:t>
      </w:r>
      <w:r w:rsidRPr="004C4487">
        <w:rPr>
          <w:sz w:val="24"/>
          <w:szCs w:val="24"/>
        </w:rPr>
        <w:t xml:space="preserve"> søvnløshed</w:t>
      </w:r>
      <w:r>
        <w:rPr>
          <w:sz w:val="24"/>
          <w:szCs w:val="24"/>
        </w:rPr>
        <w:t>,</w:t>
      </w:r>
      <w:r w:rsidRPr="004C4487">
        <w:rPr>
          <w:sz w:val="24"/>
          <w:szCs w:val="24"/>
        </w:rPr>
        <w:t xml:space="preserve"> irritabilitet</w:t>
      </w:r>
      <w:r>
        <w:rPr>
          <w:sz w:val="24"/>
          <w:szCs w:val="24"/>
        </w:rPr>
        <w:t>,</w:t>
      </w:r>
      <w:r w:rsidRPr="004C4487">
        <w:rPr>
          <w:sz w:val="24"/>
          <w:szCs w:val="24"/>
        </w:rPr>
        <w:t xml:space="preserve"> frustration eller </w:t>
      </w:r>
      <w:r>
        <w:rPr>
          <w:sz w:val="24"/>
          <w:szCs w:val="24"/>
        </w:rPr>
        <w:t>aggression,</w:t>
      </w:r>
      <w:r w:rsidRPr="004C4487">
        <w:rPr>
          <w:sz w:val="24"/>
          <w:szCs w:val="24"/>
        </w:rPr>
        <w:t xml:space="preserve"> angst</w:t>
      </w:r>
      <w:r>
        <w:rPr>
          <w:sz w:val="24"/>
          <w:szCs w:val="24"/>
        </w:rPr>
        <w:t>,</w:t>
      </w:r>
      <w:r w:rsidRPr="004C4487">
        <w:rPr>
          <w:sz w:val="24"/>
          <w:szCs w:val="24"/>
        </w:rPr>
        <w:t xml:space="preserve"> koncentrations</w:t>
      </w:r>
      <w:r>
        <w:rPr>
          <w:sz w:val="24"/>
          <w:szCs w:val="24"/>
        </w:rPr>
        <w:t>besvær,</w:t>
      </w:r>
      <w:r w:rsidRPr="004C4487">
        <w:rPr>
          <w:sz w:val="24"/>
          <w:szCs w:val="24"/>
        </w:rPr>
        <w:t xml:space="preserve"> rastløshed eller utålmodighed</w:t>
      </w:r>
      <w:r>
        <w:rPr>
          <w:sz w:val="24"/>
          <w:szCs w:val="24"/>
        </w:rPr>
        <w:t>,</w:t>
      </w:r>
      <w:r w:rsidRPr="004C4487">
        <w:rPr>
          <w:sz w:val="24"/>
          <w:szCs w:val="24"/>
        </w:rPr>
        <w:t xml:space="preserve"> nedsat hjerterytme og</w:t>
      </w:r>
      <w:r>
        <w:rPr>
          <w:sz w:val="24"/>
          <w:szCs w:val="24"/>
        </w:rPr>
        <w:t xml:space="preserve"> øget appetit eller vægtøgning.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4487">
        <w:rPr>
          <w:sz w:val="24"/>
          <w:szCs w:val="24"/>
        </w:rPr>
        <w:t>Nicotintrang</w:t>
      </w:r>
      <w:proofErr w:type="spellEnd"/>
      <w:r w:rsidRPr="004C4487">
        <w:rPr>
          <w:sz w:val="24"/>
          <w:szCs w:val="24"/>
        </w:rPr>
        <w:t xml:space="preserve">, som er anerkendt som et klinisk relevant symptom, er ligeledes et vigtigt element i </w:t>
      </w:r>
      <w:proofErr w:type="spellStart"/>
      <w:r w:rsidRPr="004C4487">
        <w:rPr>
          <w:sz w:val="24"/>
          <w:szCs w:val="24"/>
        </w:rPr>
        <w:t>nicotinafvænning</w:t>
      </w:r>
      <w:proofErr w:type="spellEnd"/>
      <w:r w:rsidRPr="004C4487">
        <w:rPr>
          <w:sz w:val="24"/>
          <w:szCs w:val="24"/>
        </w:rPr>
        <w:t>.</w:t>
      </w: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9B4154">
        <w:rPr>
          <w:sz w:val="24"/>
          <w:szCs w:val="24"/>
        </w:rPr>
        <w:t xml:space="preserve">Kliniske </w:t>
      </w:r>
      <w:r>
        <w:rPr>
          <w:sz w:val="24"/>
          <w:szCs w:val="24"/>
        </w:rPr>
        <w:t>studier</w:t>
      </w:r>
      <w:r w:rsidRPr="009B4154">
        <w:rPr>
          <w:sz w:val="24"/>
          <w:szCs w:val="24"/>
        </w:rPr>
        <w:t xml:space="preserve"> har vist, at </w:t>
      </w:r>
      <w:proofErr w:type="spellStart"/>
      <w:r w:rsidRPr="009B4154">
        <w:rPr>
          <w:sz w:val="24"/>
          <w:szCs w:val="24"/>
        </w:rPr>
        <w:t>ni</w:t>
      </w:r>
      <w:r>
        <w:rPr>
          <w:sz w:val="24"/>
          <w:szCs w:val="24"/>
        </w:rPr>
        <w:t>c</w:t>
      </w:r>
      <w:r w:rsidRPr="009B4154">
        <w:rPr>
          <w:sz w:val="24"/>
          <w:szCs w:val="24"/>
        </w:rPr>
        <w:t>otinsubstitution</w:t>
      </w:r>
      <w:proofErr w:type="spellEnd"/>
      <w:r w:rsidRPr="009B4154">
        <w:rPr>
          <w:sz w:val="24"/>
          <w:szCs w:val="24"/>
        </w:rPr>
        <w:t xml:space="preserve"> kan hjælpe rygere med at afholde sig fra rygning ved at lindre disse abstinenssymptomer.</w:t>
      </w: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9B4154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Pr="009B4154">
        <w:rPr>
          <w:sz w:val="24"/>
          <w:szCs w:val="24"/>
        </w:rPr>
        <w:t xml:space="preserve"> 6 ugers rygestop og tolerance studie med 48 patienter blev udført med ad libitum brug af </w:t>
      </w:r>
      <w:proofErr w:type="spellStart"/>
      <w:r>
        <w:rPr>
          <w:sz w:val="24"/>
          <w:szCs w:val="24"/>
        </w:rPr>
        <w:t>nicotin</w:t>
      </w:r>
      <w:proofErr w:type="spellEnd"/>
      <w:r>
        <w:rPr>
          <w:sz w:val="24"/>
          <w:szCs w:val="24"/>
        </w:rPr>
        <w:t xml:space="preserve"> 4 mg</w:t>
      </w:r>
      <w:r w:rsidRPr="009B4154">
        <w:rPr>
          <w:sz w:val="24"/>
          <w:szCs w:val="24"/>
        </w:rPr>
        <w:t xml:space="preserve"> mundhulepulver i portionspose. Antallet af anvendte poser per uge viste en gennemsnitlig reduktion på 56 %, og den samlede tid for brug blev reduceret med 44</w:t>
      </w:r>
      <w:r>
        <w:rPr>
          <w:sz w:val="24"/>
          <w:szCs w:val="24"/>
        </w:rPr>
        <w:t xml:space="preserve"> </w:t>
      </w:r>
      <w:r w:rsidRPr="009B4154">
        <w:rPr>
          <w:sz w:val="24"/>
          <w:szCs w:val="24"/>
        </w:rPr>
        <w:t>% sammenlignet med baseline. Under de</w:t>
      </w:r>
      <w:r>
        <w:rPr>
          <w:sz w:val="24"/>
          <w:szCs w:val="24"/>
        </w:rPr>
        <w:t>n</w:t>
      </w:r>
      <w:r w:rsidRPr="009B4154">
        <w:rPr>
          <w:sz w:val="24"/>
          <w:szCs w:val="24"/>
        </w:rPr>
        <w:t xml:space="preserve"> 6 ugers studieperiode er antallet af patienter med læsioner, der er forbundet med rygning</w:t>
      </w:r>
      <w:r>
        <w:rPr>
          <w:sz w:val="24"/>
          <w:szCs w:val="24"/>
        </w:rPr>
        <w:t>,</w:t>
      </w:r>
      <w:r w:rsidRPr="009B4154">
        <w:rPr>
          <w:sz w:val="24"/>
          <w:szCs w:val="24"/>
        </w:rPr>
        <w:t xml:space="preserve"> faldet. I</w:t>
      </w:r>
      <w:r>
        <w:rPr>
          <w:sz w:val="24"/>
          <w:szCs w:val="24"/>
        </w:rPr>
        <w:t>n</w:t>
      </w:r>
      <w:r w:rsidRPr="009B4154">
        <w:rPr>
          <w:sz w:val="24"/>
          <w:szCs w:val="24"/>
        </w:rPr>
        <w:t xml:space="preserve">gen udviklede specifik læsion på det sted, hvor </w:t>
      </w:r>
      <w:proofErr w:type="spellStart"/>
      <w:r>
        <w:rPr>
          <w:sz w:val="24"/>
          <w:szCs w:val="24"/>
        </w:rPr>
        <w:t>nicotin</w:t>
      </w:r>
      <w:proofErr w:type="spellEnd"/>
      <w:r w:rsidRPr="009B4154">
        <w:rPr>
          <w:sz w:val="24"/>
          <w:szCs w:val="24"/>
        </w:rPr>
        <w:t xml:space="preserve"> posen blev placeret</w:t>
      </w:r>
      <w:r>
        <w:rPr>
          <w:sz w:val="24"/>
          <w:szCs w:val="24"/>
        </w:rPr>
        <w:t>.</w:t>
      </w: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B4154">
        <w:rPr>
          <w:sz w:val="24"/>
          <w:szCs w:val="24"/>
          <w:u w:val="single"/>
        </w:rPr>
        <w:t>Absorption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9B4154">
        <w:rPr>
          <w:sz w:val="24"/>
          <w:szCs w:val="24"/>
        </w:rPr>
        <w:t xml:space="preserve">Mængden af frigivet </w:t>
      </w:r>
      <w:proofErr w:type="spellStart"/>
      <w:r>
        <w:rPr>
          <w:sz w:val="24"/>
          <w:szCs w:val="24"/>
        </w:rPr>
        <w:t>nicotin</w:t>
      </w:r>
      <w:proofErr w:type="spellEnd"/>
      <w:r w:rsidRPr="009B4154">
        <w:rPr>
          <w:sz w:val="24"/>
          <w:szCs w:val="24"/>
        </w:rPr>
        <w:t xml:space="preserve">, som absorberes fra en </w:t>
      </w:r>
      <w:proofErr w:type="spellStart"/>
      <w:r>
        <w:rPr>
          <w:sz w:val="24"/>
          <w:szCs w:val="24"/>
        </w:rPr>
        <w:t>nicotin</w:t>
      </w:r>
      <w:r w:rsidRPr="009B4154">
        <w:rPr>
          <w:sz w:val="24"/>
          <w:szCs w:val="24"/>
        </w:rPr>
        <w:t>pose</w:t>
      </w:r>
      <w:proofErr w:type="spellEnd"/>
      <w:r>
        <w:rPr>
          <w:sz w:val="24"/>
          <w:szCs w:val="24"/>
        </w:rPr>
        <w:t>,</w:t>
      </w:r>
      <w:r w:rsidRPr="009B4154">
        <w:rPr>
          <w:sz w:val="24"/>
          <w:szCs w:val="24"/>
        </w:rPr>
        <w:t xml:space="preserve"> afhænger af mængden af </w:t>
      </w:r>
      <w:proofErr w:type="spellStart"/>
      <w:r>
        <w:rPr>
          <w:sz w:val="24"/>
          <w:szCs w:val="24"/>
        </w:rPr>
        <w:t>nicotin</w:t>
      </w:r>
      <w:proofErr w:type="spellEnd"/>
      <w:r>
        <w:rPr>
          <w:sz w:val="24"/>
          <w:szCs w:val="24"/>
        </w:rPr>
        <w:t>, som</w:t>
      </w:r>
      <w:r w:rsidRPr="009B4154">
        <w:rPr>
          <w:sz w:val="24"/>
          <w:szCs w:val="24"/>
        </w:rPr>
        <w:t xml:space="preserve"> frigives i mundhulen</w:t>
      </w:r>
      <w:r>
        <w:rPr>
          <w:sz w:val="24"/>
          <w:szCs w:val="24"/>
        </w:rPr>
        <w:t>,</w:t>
      </w:r>
      <w:r w:rsidRPr="009B4154">
        <w:rPr>
          <w:sz w:val="24"/>
          <w:szCs w:val="24"/>
        </w:rPr>
        <w:t xml:space="preserve"> og </w:t>
      </w:r>
      <w:r>
        <w:rPr>
          <w:sz w:val="24"/>
          <w:szCs w:val="24"/>
        </w:rPr>
        <w:t>hvor meget af det, som</w:t>
      </w:r>
      <w:r w:rsidRPr="009B4154">
        <w:rPr>
          <w:sz w:val="24"/>
          <w:szCs w:val="24"/>
        </w:rPr>
        <w:t xml:space="preserve"> synkes. Hovedparten af </w:t>
      </w:r>
      <w:proofErr w:type="gramStart"/>
      <w:r>
        <w:rPr>
          <w:sz w:val="24"/>
          <w:szCs w:val="24"/>
        </w:rPr>
        <w:t xml:space="preserve">den </w:t>
      </w:r>
      <w:proofErr w:type="spellStart"/>
      <w:r>
        <w:rPr>
          <w:sz w:val="24"/>
          <w:szCs w:val="24"/>
        </w:rPr>
        <w:t>nicotin</w:t>
      </w:r>
      <w:proofErr w:type="spellEnd"/>
      <w:proofErr w:type="gramEnd"/>
      <w:r w:rsidRPr="009B4154">
        <w:rPr>
          <w:sz w:val="24"/>
          <w:szCs w:val="24"/>
        </w:rPr>
        <w:t>, som frigive</w:t>
      </w:r>
      <w:r>
        <w:rPr>
          <w:sz w:val="24"/>
          <w:szCs w:val="24"/>
        </w:rPr>
        <w:t xml:space="preserve">s, </w:t>
      </w:r>
      <w:r w:rsidRPr="009B4154">
        <w:rPr>
          <w:sz w:val="24"/>
          <w:szCs w:val="24"/>
        </w:rPr>
        <w:t xml:space="preserve">absorberes </w:t>
      </w:r>
      <w:r>
        <w:rPr>
          <w:sz w:val="24"/>
          <w:szCs w:val="24"/>
        </w:rPr>
        <w:t>via</w:t>
      </w:r>
      <w:r w:rsidRPr="009B4154">
        <w:rPr>
          <w:sz w:val="24"/>
          <w:szCs w:val="24"/>
        </w:rPr>
        <w:t xml:space="preserve"> mundslimhinden. Den system</w:t>
      </w:r>
      <w:r>
        <w:rPr>
          <w:sz w:val="24"/>
          <w:szCs w:val="24"/>
        </w:rPr>
        <w:t xml:space="preserve">iske biotilgængelighed af </w:t>
      </w:r>
      <w:proofErr w:type="spellStart"/>
      <w:r>
        <w:rPr>
          <w:sz w:val="24"/>
          <w:szCs w:val="24"/>
        </w:rPr>
        <w:t>nicotin</w:t>
      </w:r>
      <w:proofErr w:type="spellEnd"/>
      <w:r>
        <w:rPr>
          <w:sz w:val="24"/>
          <w:szCs w:val="24"/>
        </w:rPr>
        <w:t>, der synkes,</w:t>
      </w:r>
      <w:r w:rsidRPr="009B4154">
        <w:rPr>
          <w:sz w:val="24"/>
          <w:szCs w:val="24"/>
        </w:rPr>
        <w:t xml:space="preserve"> er </w:t>
      </w:r>
      <w:r>
        <w:rPr>
          <w:sz w:val="24"/>
          <w:szCs w:val="24"/>
        </w:rPr>
        <w:t>mindre</w:t>
      </w:r>
      <w:r w:rsidRPr="009B4154">
        <w:rPr>
          <w:sz w:val="24"/>
          <w:szCs w:val="24"/>
        </w:rPr>
        <w:t xml:space="preserve"> på grund af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eliminering</w:t>
      </w:r>
      <w:r w:rsidRPr="009B4154">
        <w:rPr>
          <w:sz w:val="24"/>
          <w:szCs w:val="24"/>
        </w:rPr>
        <w:t xml:space="preserve">. De høje og hurtigt stigende </w:t>
      </w:r>
      <w:proofErr w:type="spellStart"/>
      <w:r>
        <w:rPr>
          <w:sz w:val="24"/>
          <w:szCs w:val="24"/>
        </w:rPr>
        <w:t>nicotin</w:t>
      </w:r>
      <w:r w:rsidRPr="009B4154">
        <w:rPr>
          <w:sz w:val="24"/>
          <w:szCs w:val="24"/>
        </w:rPr>
        <w:t>koncentrationer</w:t>
      </w:r>
      <w:proofErr w:type="spellEnd"/>
      <w:r>
        <w:rPr>
          <w:sz w:val="24"/>
          <w:szCs w:val="24"/>
        </w:rPr>
        <w:t>, der ses</w:t>
      </w:r>
      <w:r w:rsidRPr="009B4154">
        <w:rPr>
          <w:sz w:val="24"/>
          <w:szCs w:val="24"/>
        </w:rPr>
        <w:t xml:space="preserve"> efter rygning</w:t>
      </w:r>
      <w:r>
        <w:rPr>
          <w:sz w:val="24"/>
          <w:szCs w:val="24"/>
        </w:rPr>
        <w:t>,</w:t>
      </w:r>
      <w:r w:rsidRPr="009B4154">
        <w:rPr>
          <w:sz w:val="24"/>
          <w:szCs w:val="24"/>
        </w:rPr>
        <w:t xml:space="preserve"> </w:t>
      </w:r>
      <w:r>
        <w:rPr>
          <w:sz w:val="24"/>
          <w:szCs w:val="24"/>
        </w:rPr>
        <w:t>ses</w:t>
      </w:r>
      <w:r w:rsidRPr="009B4154">
        <w:rPr>
          <w:sz w:val="24"/>
          <w:szCs w:val="24"/>
        </w:rPr>
        <w:t xml:space="preserve"> sjældent efter b</w:t>
      </w:r>
      <w:r>
        <w:rPr>
          <w:sz w:val="24"/>
          <w:szCs w:val="24"/>
        </w:rPr>
        <w:t>rug af en pose</w:t>
      </w:r>
      <w:r w:rsidRPr="009B4154">
        <w:rPr>
          <w:sz w:val="24"/>
          <w:szCs w:val="24"/>
        </w:rPr>
        <w:t xml:space="preserve">. 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Maksimal</w:t>
      </w:r>
      <w:r w:rsidRPr="009B4154">
        <w:rPr>
          <w:sz w:val="24"/>
          <w:szCs w:val="24"/>
        </w:rPr>
        <w:t xml:space="preserve"> koncentration i blod</w:t>
      </w:r>
      <w:r>
        <w:rPr>
          <w:sz w:val="24"/>
          <w:szCs w:val="24"/>
        </w:rPr>
        <w:t>et ses</w:t>
      </w:r>
      <w:r w:rsidRPr="009B4154">
        <w:rPr>
          <w:sz w:val="24"/>
          <w:szCs w:val="24"/>
        </w:rPr>
        <w:t xml:space="preserve"> efter 30 minutters brug og er </w:t>
      </w:r>
      <w:r>
        <w:rPr>
          <w:sz w:val="24"/>
          <w:szCs w:val="24"/>
        </w:rPr>
        <w:t xml:space="preserve">på det tidspunkt </w:t>
      </w:r>
      <w:r w:rsidRPr="009B4154">
        <w:rPr>
          <w:sz w:val="24"/>
          <w:szCs w:val="24"/>
        </w:rPr>
        <w:t xml:space="preserve">sammenlignelig med </w:t>
      </w:r>
      <w:r>
        <w:rPr>
          <w:sz w:val="24"/>
          <w:szCs w:val="24"/>
        </w:rPr>
        <w:t xml:space="preserve">den </w:t>
      </w:r>
      <w:r w:rsidRPr="009B4154">
        <w:rPr>
          <w:sz w:val="24"/>
          <w:szCs w:val="24"/>
        </w:rPr>
        <w:t xml:space="preserve">koncentration, som </w:t>
      </w:r>
      <w:r>
        <w:rPr>
          <w:sz w:val="24"/>
          <w:szCs w:val="24"/>
        </w:rPr>
        <w:t>ses</w:t>
      </w:r>
      <w:r w:rsidRPr="009B4154">
        <w:rPr>
          <w:sz w:val="24"/>
          <w:szCs w:val="24"/>
        </w:rPr>
        <w:t xml:space="preserve"> 20-30 minutter efter ryg</w:t>
      </w:r>
      <w:r>
        <w:rPr>
          <w:sz w:val="24"/>
          <w:szCs w:val="24"/>
        </w:rPr>
        <w:t>ning af en cigaret</w:t>
      </w:r>
      <w:r w:rsidRPr="009B4154">
        <w:rPr>
          <w:sz w:val="24"/>
          <w:szCs w:val="24"/>
        </w:rPr>
        <w:t xml:space="preserve"> (medium styrke).</w:t>
      </w: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B4154">
        <w:rPr>
          <w:sz w:val="24"/>
          <w:szCs w:val="24"/>
          <w:u w:val="single"/>
        </w:rPr>
        <w:t>Fordeling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9B4154">
        <w:rPr>
          <w:sz w:val="24"/>
          <w:szCs w:val="24"/>
        </w:rPr>
        <w:t xml:space="preserve">Fordelingsvolumen efter intravenøs indgivelse af </w:t>
      </w:r>
      <w:proofErr w:type="spellStart"/>
      <w:r>
        <w:rPr>
          <w:sz w:val="24"/>
          <w:szCs w:val="24"/>
        </w:rPr>
        <w:t>nicotin</w:t>
      </w:r>
      <w:proofErr w:type="spellEnd"/>
      <w:r w:rsidRPr="009B4154">
        <w:rPr>
          <w:sz w:val="24"/>
          <w:szCs w:val="24"/>
        </w:rPr>
        <w:t xml:space="preserve"> er ca</w:t>
      </w:r>
      <w:r>
        <w:rPr>
          <w:sz w:val="24"/>
          <w:szCs w:val="24"/>
        </w:rPr>
        <w:t>.</w:t>
      </w:r>
      <w:r w:rsidRPr="009B4154">
        <w:rPr>
          <w:sz w:val="24"/>
          <w:szCs w:val="24"/>
        </w:rPr>
        <w:t xml:space="preserve"> (2 -) 3 l / kg. Plasmaproteinbindingen for </w:t>
      </w:r>
      <w:proofErr w:type="spellStart"/>
      <w:r>
        <w:rPr>
          <w:sz w:val="24"/>
          <w:szCs w:val="24"/>
        </w:rPr>
        <w:t>nicotin</w:t>
      </w:r>
      <w:proofErr w:type="spellEnd"/>
      <w:r w:rsidRPr="009B4154">
        <w:rPr>
          <w:sz w:val="24"/>
          <w:szCs w:val="24"/>
        </w:rPr>
        <w:t xml:space="preserve"> er mindre end 5</w:t>
      </w:r>
      <w:r>
        <w:rPr>
          <w:sz w:val="24"/>
          <w:szCs w:val="24"/>
        </w:rPr>
        <w:t xml:space="preserve"> %.</w:t>
      </w: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9B4154">
        <w:rPr>
          <w:sz w:val="24"/>
          <w:szCs w:val="24"/>
        </w:rPr>
        <w:t>Andre sygdomme eller samtidig brug af andre lægemidler, som påvirker niveauet af plasmaproteiner</w:t>
      </w:r>
      <w:r>
        <w:rPr>
          <w:sz w:val="24"/>
          <w:szCs w:val="24"/>
        </w:rPr>
        <w:t>,</w:t>
      </w:r>
      <w:r w:rsidRPr="009B4154">
        <w:rPr>
          <w:sz w:val="24"/>
          <w:szCs w:val="24"/>
        </w:rPr>
        <w:t xml:space="preserve"> forventes ikke at have nogen væsentlig indvirkning på </w:t>
      </w:r>
      <w:proofErr w:type="spellStart"/>
      <w:r>
        <w:rPr>
          <w:sz w:val="24"/>
          <w:szCs w:val="24"/>
        </w:rPr>
        <w:t>nicotins</w:t>
      </w:r>
      <w:proofErr w:type="spellEnd"/>
      <w:r>
        <w:rPr>
          <w:sz w:val="24"/>
          <w:szCs w:val="24"/>
        </w:rPr>
        <w:t xml:space="preserve"> kinetik</w:t>
      </w:r>
      <w:r w:rsidRPr="009B4154">
        <w:rPr>
          <w:sz w:val="24"/>
          <w:szCs w:val="24"/>
        </w:rPr>
        <w:t>.</w:t>
      </w: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B4154">
        <w:rPr>
          <w:sz w:val="24"/>
          <w:szCs w:val="24"/>
          <w:u w:val="single"/>
        </w:rPr>
        <w:t>Biotransformation</w:t>
      </w:r>
    </w:p>
    <w:p w:rsidR="00D43DE5" w:rsidRPr="002571DA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Nicotin</w:t>
      </w:r>
      <w:proofErr w:type="spellEnd"/>
      <w:r w:rsidRPr="009B4154">
        <w:rPr>
          <w:sz w:val="24"/>
          <w:szCs w:val="24"/>
        </w:rPr>
        <w:t xml:space="preserve"> </w:t>
      </w:r>
      <w:proofErr w:type="spellStart"/>
      <w:r w:rsidRPr="009B4154">
        <w:rPr>
          <w:sz w:val="24"/>
          <w:szCs w:val="24"/>
        </w:rPr>
        <w:t>metaboliseres</w:t>
      </w:r>
      <w:proofErr w:type="spellEnd"/>
      <w:r w:rsidRPr="009B4154">
        <w:rPr>
          <w:sz w:val="24"/>
          <w:szCs w:val="24"/>
        </w:rPr>
        <w:t xml:space="preserve"> hovedsageligt i leveren</w:t>
      </w:r>
      <w:r>
        <w:rPr>
          <w:sz w:val="24"/>
          <w:szCs w:val="24"/>
        </w:rPr>
        <w:t>,</w:t>
      </w:r>
      <w:r w:rsidRPr="009B4154">
        <w:rPr>
          <w:sz w:val="24"/>
          <w:szCs w:val="24"/>
        </w:rPr>
        <w:t xml:space="preserve"> og </w:t>
      </w:r>
      <w:proofErr w:type="spellStart"/>
      <w:r w:rsidRPr="009B4154">
        <w:rPr>
          <w:sz w:val="24"/>
          <w:szCs w:val="24"/>
        </w:rPr>
        <w:t>plasma</w:t>
      </w:r>
      <w:r>
        <w:rPr>
          <w:sz w:val="24"/>
          <w:szCs w:val="24"/>
        </w:rPr>
        <w:t>clearance</w:t>
      </w:r>
      <w:proofErr w:type="spellEnd"/>
      <w:r w:rsidRPr="009B4154">
        <w:rPr>
          <w:sz w:val="24"/>
          <w:szCs w:val="24"/>
        </w:rPr>
        <w:t xml:space="preserve"> </w:t>
      </w:r>
      <w:r>
        <w:rPr>
          <w:sz w:val="24"/>
          <w:szCs w:val="24"/>
        </w:rPr>
        <w:t>er i gennemsnit cirka</w:t>
      </w:r>
      <w:r w:rsidRPr="009B4154">
        <w:rPr>
          <w:sz w:val="24"/>
          <w:szCs w:val="24"/>
        </w:rPr>
        <w:t xml:space="preserve"> 70 l/time. </w:t>
      </w:r>
      <w:proofErr w:type="spellStart"/>
      <w:r>
        <w:rPr>
          <w:sz w:val="24"/>
          <w:szCs w:val="24"/>
        </w:rPr>
        <w:t>Nicotin</w:t>
      </w:r>
      <w:proofErr w:type="spellEnd"/>
      <w:r w:rsidRPr="009B4154">
        <w:rPr>
          <w:sz w:val="24"/>
          <w:szCs w:val="24"/>
        </w:rPr>
        <w:t xml:space="preserve"> </w:t>
      </w:r>
      <w:proofErr w:type="spellStart"/>
      <w:r w:rsidRPr="009B4154">
        <w:rPr>
          <w:sz w:val="24"/>
          <w:szCs w:val="24"/>
        </w:rPr>
        <w:t>metaboliseres</w:t>
      </w:r>
      <w:proofErr w:type="spellEnd"/>
      <w:r w:rsidRPr="009B4154">
        <w:rPr>
          <w:sz w:val="24"/>
          <w:szCs w:val="24"/>
        </w:rPr>
        <w:t xml:space="preserve"> også i nyrer og lunger. Mere end 20 metab</w:t>
      </w:r>
      <w:r>
        <w:rPr>
          <w:sz w:val="24"/>
          <w:szCs w:val="24"/>
        </w:rPr>
        <w:t>olitter er blevet identificeret</w:t>
      </w:r>
      <w:r w:rsidRPr="009B4154">
        <w:rPr>
          <w:sz w:val="24"/>
          <w:szCs w:val="24"/>
        </w:rPr>
        <w:t xml:space="preserve"> og men</w:t>
      </w:r>
      <w:r>
        <w:rPr>
          <w:sz w:val="24"/>
          <w:szCs w:val="24"/>
        </w:rPr>
        <w:t xml:space="preserve">es alle at være mindre aktive end </w:t>
      </w:r>
      <w:proofErr w:type="spellStart"/>
      <w:r>
        <w:rPr>
          <w:sz w:val="24"/>
          <w:szCs w:val="24"/>
        </w:rPr>
        <w:t>nicotin</w:t>
      </w:r>
      <w:proofErr w:type="spellEnd"/>
      <w:r w:rsidRPr="009B4154">
        <w:rPr>
          <w:sz w:val="24"/>
          <w:szCs w:val="24"/>
        </w:rPr>
        <w:t xml:space="preserve">. Den primære metabolit er </w:t>
      </w:r>
      <w:proofErr w:type="spellStart"/>
      <w:r w:rsidRPr="009B4154">
        <w:rPr>
          <w:sz w:val="24"/>
          <w:szCs w:val="24"/>
        </w:rPr>
        <w:t>cotinin</w:t>
      </w:r>
      <w:proofErr w:type="spellEnd"/>
      <w:r w:rsidRPr="009B4154">
        <w:rPr>
          <w:sz w:val="24"/>
          <w:szCs w:val="24"/>
        </w:rPr>
        <w:t xml:space="preserve">, som har en halveringstid på 15-20 timer og som </w:t>
      </w:r>
      <w:r>
        <w:rPr>
          <w:sz w:val="24"/>
          <w:szCs w:val="24"/>
        </w:rPr>
        <w:t>giver plasmakoncentrationer, der er cirka</w:t>
      </w:r>
      <w:r w:rsidRPr="009B4154">
        <w:rPr>
          <w:sz w:val="24"/>
          <w:szCs w:val="24"/>
        </w:rPr>
        <w:t xml:space="preserve"> 10 gange højere end </w:t>
      </w:r>
      <w:r>
        <w:rPr>
          <w:sz w:val="24"/>
          <w:szCs w:val="24"/>
        </w:rPr>
        <w:t xml:space="preserve">for </w:t>
      </w:r>
      <w:proofErr w:type="spellStart"/>
      <w:r>
        <w:rPr>
          <w:sz w:val="24"/>
          <w:szCs w:val="24"/>
        </w:rPr>
        <w:t>nicotin</w:t>
      </w:r>
      <w:proofErr w:type="spellEnd"/>
      <w:r w:rsidRPr="009B4154">
        <w:rPr>
          <w:sz w:val="24"/>
          <w:szCs w:val="24"/>
        </w:rPr>
        <w:t>.</w:t>
      </w: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B4154">
        <w:rPr>
          <w:sz w:val="24"/>
          <w:szCs w:val="24"/>
          <w:u w:val="single"/>
        </w:rPr>
        <w:t>Elimination</w:t>
      </w: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9B4154">
        <w:rPr>
          <w:sz w:val="24"/>
          <w:szCs w:val="24"/>
        </w:rPr>
        <w:t xml:space="preserve">De </w:t>
      </w:r>
      <w:r>
        <w:rPr>
          <w:sz w:val="24"/>
          <w:szCs w:val="24"/>
        </w:rPr>
        <w:t>vigtigste metabolitter i urinen</w:t>
      </w:r>
      <w:r w:rsidRPr="009B4154">
        <w:rPr>
          <w:sz w:val="24"/>
          <w:szCs w:val="24"/>
        </w:rPr>
        <w:t xml:space="preserve"> er </w:t>
      </w:r>
      <w:proofErr w:type="spellStart"/>
      <w:r w:rsidRPr="009B4154">
        <w:rPr>
          <w:sz w:val="24"/>
          <w:szCs w:val="24"/>
        </w:rPr>
        <w:t>cotinin</w:t>
      </w:r>
      <w:proofErr w:type="spellEnd"/>
      <w:r w:rsidRPr="009B4154">
        <w:rPr>
          <w:sz w:val="24"/>
          <w:szCs w:val="24"/>
        </w:rPr>
        <w:t xml:space="preserve"> (15</w:t>
      </w:r>
      <w:r>
        <w:rPr>
          <w:sz w:val="24"/>
          <w:szCs w:val="24"/>
        </w:rPr>
        <w:t xml:space="preserve"> </w:t>
      </w:r>
      <w:r w:rsidRPr="009B4154">
        <w:rPr>
          <w:sz w:val="24"/>
          <w:szCs w:val="24"/>
        </w:rPr>
        <w:t>% af dosis) og trans-3-hydroxycotinin (45</w:t>
      </w:r>
      <w:r w:rsidR="00A86AFA">
        <w:rPr>
          <w:sz w:val="24"/>
          <w:szCs w:val="24"/>
        </w:rPr>
        <w:t> </w:t>
      </w:r>
      <w:r w:rsidRPr="009B4154">
        <w:rPr>
          <w:sz w:val="24"/>
          <w:szCs w:val="24"/>
        </w:rPr>
        <w:t>% af dosis). Omkring 10</w:t>
      </w:r>
      <w:r>
        <w:rPr>
          <w:sz w:val="24"/>
          <w:szCs w:val="24"/>
        </w:rPr>
        <w:t xml:space="preserve"> </w:t>
      </w:r>
      <w:r w:rsidRPr="009B4154">
        <w:rPr>
          <w:sz w:val="24"/>
          <w:szCs w:val="24"/>
        </w:rPr>
        <w:t xml:space="preserve">% af </w:t>
      </w:r>
      <w:proofErr w:type="spellStart"/>
      <w:r>
        <w:rPr>
          <w:sz w:val="24"/>
          <w:szCs w:val="24"/>
        </w:rPr>
        <w:t>nicotin</w:t>
      </w:r>
      <w:proofErr w:type="spellEnd"/>
      <w:r w:rsidRPr="009B4154">
        <w:rPr>
          <w:sz w:val="24"/>
          <w:szCs w:val="24"/>
        </w:rPr>
        <w:t xml:space="preserve"> udskilles uændret i urinen. Så meget som 30</w:t>
      </w:r>
      <w:r>
        <w:rPr>
          <w:sz w:val="24"/>
          <w:szCs w:val="24"/>
        </w:rPr>
        <w:t xml:space="preserve"> </w:t>
      </w:r>
      <w:r w:rsidRPr="009B4154">
        <w:rPr>
          <w:sz w:val="24"/>
          <w:szCs w:val="24"/>
        </w:rPr>
        <w:t xml:space="preserve">% af </w:t>
      </w:r>
      <w:proofErr w:type="spellStart"/>
      <w:r>
        <w:rPr>
          <w:sz w:val="24"/>
          <w:szCs w:val="24"/>
        </w:rPr>
        <w:t>nicotinen</w:t>
      </w:r>
      <w:proofErr w:type="spellEnd"/>
      <w:r w:rsidRPr="009B4154">
        <w:rPr>
          <w:sz w:val="24"/>
          <w:szCs w:val="24"/>
        </w:rPr>
        <w:t xml:space="preserve"> kan udskilles i urinen ved øget diurese og </w:t>
      </w:r>
      <w:proofErr w:type="spellStart"/>
      <w:r>
        <w:rPr>
          <w:sz w:val="24"/>
          <w:szCs w:val="24"/>
        </w:rPr>
        <w:t>surgøring</w:t>
      </w:r>
      <w:proofErr w:type="spellEnd"/>
      <w:r w:rsidRPr="009B4154">
        <w:rPr>
          <w:sz w:val="24"/>
          <w:szCs w:val="24"/>
        </w:rPr>
        <w:t xml:space="preserve"> af urinen </w:t>
      </w:r>
      <w:r>
        <w:rPr>
          <w:sz w:val="24"/>
          <w:szCs w:val="24"/>
        </w:rPr>
        <w:t xml:space="preserve">til et niveau </w:t>
      </w:r>
      <w:r w:rsidRPr="009B4154">
        <w:rPr>
          <w:sz w:val="24"/>
          <w:szCs w:val="24"/>
        </w:rPr>
        <w:t>under pH 5.</w:t>
      </w:r>
      <w:r w:rsidRPr="009B4154">
        <w:rPr>
          <w:sz w:val="24"/>
          <w:szCs w:val="24"/>
        </w:rPr>
        <w:br/>
        <w:t xml:space="preserve">Halveringstiden af </w:t>
      </w:r>
      <w:proofErr w:type="spellStart"/>
      <w:r>
        <w:rPr>
          <w:sz w:val="24"/>
          <w:szCs w:val="24"/>
        </w:rPr>
        <w:t>nicotin</w:t>
      </w:r>
      <w:proofErr w:type="spellEnd"/>
      <w:r w:rsidRPr="009B4154">
        <w:rPr>
          <w:sz w:val="24"/>
          <w:szCs w:val="24"/>
        </w:rPr>
        <w:t xml:space="preserve"> er cirka 2 timer.</w:t>
      </w: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D43DE5" w:rsidRDefault="00D43DE5" w:rsidP="00D43DE5">
      <w:pPr>
        <w:tabs>
          <w:tab w:val="left" w:pos="567"/>
        </w:tabs>
        <w:ind w:left="851"/>
        <w:rPr>
          <w:noProof/>
          <w:sz w:val="24"/>
          <w:szCs w:val="24"/>
        </w:rPr>
      </w:pPr>
      <w:r w:rsidRPr="009B4154">
        <w:rPr>
          <w:sz w:val="24"/>
          <w:szCs w:val="24"/>
          <w:u w:val="single"/>
        </w:rPr>
        <w:t>Særlige populationer</w:t>
      </w:r>
      <w:r w:rsidRPr="009B4154">
        <w:rPr>
          <w:sz w:val="24"/>
          <w:szCs w:val="24"/>
        </w:rPr>
        <w:t xml:space="preserve"> </w:t>
      </w:r>
      <w:r w:rsidRPr="009B4154">
        <w:rPr>
          <w:sz w:val="24"/>
          <w:szCs w:val="24"/>
        </w:rPr>
        <w:br/>
        <w:t>S</w:t>
      </w:r>
      <w:r>
        <w:rPr>
          <w:sz w:val="24"/>
          <w:szCs w:val="24"/>
        </w:rPr>
        <w:t>vært</w:t>
      </w:r>
      <w:r w:rsidRPr="009B4154">
        <w:rPr>
          <w:sz w:val="24"/>
          <w:szCs w:val="24"/>
        </w:rPr>
        <w:t xml:space="preserve"> nedsat nyrefunktion antages at øve indflydelse på den samlede </w:t>
      </w:r>
      <w:proofErr w:type="spellStart"/>
      <w:r w:rsidRPr="009B4154">
        <w:rPr>
          <w:sz w:val="24"/>
          <w:szCs w:val="24"/>
        </w:rPr>
        <w:t>ni</w:t>
      </w:r>
      <w:r>
        <w:rPr>
          <w:sz w:val="24"/>
          <w:szCs w:val="24"/>
        </w:rPr>
        <w:t>c</w:t>
      </w:r>
      <w:r w:rsidRPr="009B4154">
        <w:rPr>
          <w:sz w:val="24"/>
          <w:szCs w:val="24"/>
        </w:rPr>
        <w:t>otin</w:t>
      </w:r>
      <w:r>
        <w:rPr>
          <w:sz w:val="24"/>
          <w:szCs w:val="24"/>
        </w:rPr>
        <w:t>clearance</w:t>
      </w:r>
      <w:proofErr w:type="spellEnd"/>
      <w:r w:rsidRPr="009B4154">
        <w:rPr>
          <w:sz w:val="24"/>
          <w:szCs w:val="24"/>
        </w:rPr>
        <w:t xml:space="preserve">. </w:t>
      </w:r>
      <w:r w:rsidRPr="009B4154">
        <w:rPr>
          <w:sz w:val="24"/>
          <w:szCs w:val="24"/>
        </w:rPr>
        <w:br/>
      </w:r>
      <w:r w:rsidRPr="002F1B9A">
        <w:rPr>
          <w:noProof/>
          <w:sz w:val="24"/>
          <w:szCs w:val="24"/>
        </w:rPr>
        <w:t>Nicotins farmakokinetiske egeskaber er ikke påvirket hos cirr</w:t>
      </w:r>
      <w:r>
        <w:rPr>
          <w:noProof/>
          <w:sz w:val="24"/>
          <w:szCs w:val="24"/>
        </w:rPr>
        <w:t>otiske patienter med mild lever</w:t>
      </w:r>
      <w:r w:rsidRPr="002F1B9A">
        <w:rPr>
          <w:noProof/>
          <w:sz w:val="24"/>
          <w:szCs w:val="24"/>
        </w:rPr>
        <w:t>insufficiens (Child grad 5)</w:t>
      </w:r>
      <w:r>
        <w:rPr>
          <w:noProof/>
          <w:sz w:val="24"/>
          <w:szCs w:val="24"/>
        </w:rPr>
        <w:t>,</w:t>
      </w:r>
      <w:r w:rsidRPr="002F1B9A">
        <w:rPr>
          <w:noProof/>
          <w:sz w:val="24"/>
          <w:szCs w:val="24"/>
        </w:rPr>
        <w:t xml:space="preserve"> og omsætningen af nicotin er nedsat hos cirroti</w:t>
      </w:r>
      <w:r>
        <w:rPr>
          <w:noProof/>
          <w:sz w:val="24"/>
          <w:szCs w:val="24"/>
        </w:rPr>
        <w:t>ske patienter med moderat leverinsufficiens (Child grad 7).</w:t>
      </w:r>
    </w:p>
    <w:p w:rsidR="00D43DE5" w:rsidRPr="002F1B9A" w:rsidRDefault="00D43DE5" w:rsidP="00D43DE5">
      <w:pPr>
        <w:tabs>
          <w:tab w:val="left" w:pos="567"/>
        </w:tabs>
        <w:ind w:left="851"/>
        <w:rPr>
          <w:noProof/>
          <w:sz w:val="24"/>
          <w:szCs w:val="24"/>
        </w:rPr>
      </w:pPr>
      <w:r w:rsidRPr="002F1B9A">
        <w:rPr>
          <w:noProof/>
          <w:sz w:val="24"/>
          <w:szCs w:val="24"/>
        </w:rPr>
        <w:t>Forhøjede nicotinniveauer er set hos hæmodialysepatienter, som er rygere.</w:t>
      </w:r>
    </w:p>
    <w:p w:rsidR="00D43DE5" w:rsidRPr="009B4154" w:rsidRDefault="00D43DE5" w:rsidP="00D43DE5">
      <w:pPr>
        <w:tabs>
          <w:tab w:val="left" w:pos="851"/>
          <w:tab w:val="left" w:pos="5976"/>
        </w:tabs>
        <w:ind w:left="851"/>
        <w:rPr>
          <w:sz w:val="24"/>
          <w:szCs w:val="24"/>
          <w:u w:val="single"/>
        </w:rPr>
      </w:pPr>
      <w:r w:rsidRPr="009B4154">
        <w:rPr>
          <w:sz w:val="24"/>
          <w:szCs w:val="24"/>
        </w:rPr>
        <w:br/>
      </w:r>
      <w:r>
        <w:rPr>
          <w:sz w:val="24"/>
          <w:szCs w:val="24"/>
        </w:rPr>
        <w:t>En m</w:t>
      </w:r>
      <w:r w:rsidRPr="009B4154">
        <w:rPr>
          <w:sz w:val="24"/>
          <w:szCs w:val="24"/>
        </w:rPr>
        <w:t>indre reduktion</w:t>
      </w:r>
      <w:r>
        <w:rPr>
          <w:sz w:val="24"/>
          <w:szCs w:val="24"/>
        </w:rPr>
        <w:t xml:space="preserve"> i </w:t>
      </w:r>
      <w:r w:rsidRPr="009B4154">
        <w:rPr>
          <w:sz w:val="24"/>
          <w:szCs w:val="24"/>
        </w:rPr>
        <w:t xml:space="preserve">total </w:t>
      </w:r>
      <w:proofErr w:type="spellStart"/>
      <w:r w:rsidRPr="009B4154">
        <w:rPr>
          <w:sz w:val="24"/>
          <w:szCs w:val="24"/>
        </w:rPr>
        <w:t>ni</w:t>
      </w:r>
      <w:r>
        <w:rPr>
          <w:sz w:val="24"/>
          <w:szCs w:val="24"/>
        </w:rPr>
        <w:t>c</w:t>
      </w:r>
      <w:r w:rsidRPr="009B4154">
        <w:rPr>
          <w:sz w:val="24"/>
          <w:szCs w:val="24"/>
        </w:rPr>
        <w:t>otin</w:t>
      </w:r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</w:t>
      </w:r>
      <w:r w:rsidRPr="009B4154">
        <w:rPr>
          <w:sz w:val="24"/>
          <w:szCs w:val="24"/>
        </w:rPr>
        <w:t>er påvist hos raske, ældre brugere, men</w:t>
      </w:r>
      <w:r>
        <w:rPr>
          <w:sz w:val="24"/>
          <w:szCs w:val="24"/>
        </w:rPr>
        <w:t xml:space="preserve"> dosis</w:t>
      </w:r>
      <w:r w:rsidRPr="009B4154">
        <w:rPr>
          <w:sz w:val="24"/>
          <w:szCs w:val="24"/>
        </w:rPr>
        <w:t>juster</w:t>
      </w:r>
      <w:r>
        <w:rPr>
          <w:sz w:val="24"/>
          <w:szCs w:val="24"/>
        </w:rPr>
        <w:t>ing er ikke nødvendig.</w:t>
      </w:r>
      <w:r w:rsidRPr="009B4154">
        <w:rPr>
          <w:sz w:val="24"/>
          <w:szCs w:val="24"/>
        </w:rPr>
        <w:br/>
      </w:r>
      <w:r w:rsidRPr="009B4154">
        <w:rPr>
          <w:sz w:val="24"/>
          <w:szCs w:val="24"/>
        </w:rPr>
        <w:br/>
        <w:t xml:space="preserve">Der er ikke observeret forskelle i </w:t>
      </w:r>
      <w:proofErr w:type="spellStart"/>
      <w:r w:rsidRPr="009B4154">
        <w:rPr>
          <w:sz w:val="24"/>
          <w:szCs w:val="24"/>
        </w:rPr>
        <w:t>ni</w:t>
      </w:r>
      <w:r>
        <w:rPr>
          <w:sz w:val="24"/>
          <w:szCs w:val="24"/>
        </w:rPr>
        <w:t>c</w:t>
      </w:r>
      <w:r w:rsidRPr="009B4154">
        <w:rPr>
          <w:sz w:val="24"/>
          <w:szCs w:val="24"/>
        </w:rPr>
        <w:t>otin</w:t>
      </w:r>
      <w:r>
        <w:rPr>
          <w:sz w:val="24"/>
          <w:szCs w:val="24"/>
        </w:rPr>
        <w:t>s</w:t>
      </w:r>
      <w:proofErr w:type="spellEnd"/>
      <w:r w:rsidRPr="009B4154">
        <w:rPr>
          <w:sz w:val="24"/>
          <w:szCs w:val="24"/>
        </w:rPr>
        <w:t xml:space="preserve"> kinetik mellem mænd og kvinder.</w:t>
      </w:r>
    </w:p>
    <w:p w:rsidR="00D43DE5" w:rsidRPr="00C84483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A86AFA" w:rsidRPr="00C84483" w:rsidRDefault="00A86AFA" w:rsidP="00A86AF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Der er positive fund</w:t>
      </w:r>
      <w:r w:rsidRPr="009B4154">
        <w:rPr>
          <w:sz w:val="24"/>
          <w:szCs w:val="24"/>
        </w:rPr>
        <w:t xml:space="preserve"> i nogle </w:t>
      </w:r>
      <w:r w:rsidRPr="009B4154">
        <w:rPr>
          <w:i/>
          <w:sz w:val="24"/>
          <w:szCs w:val="24"/>
        </w:rPr>
        <w:t xml:space="preserve">in </w:t>
      </w:r>
      <w:proofErr w:type="spellStart"/>
      <w:r w:rsidRPr="009B4154">
        <w:rPr>
          <w:i/>
          <w:sz w:val="24"/>
          <w:szCs w:val="24"/>
        </w:rPr>
        <w:t>vitro</w:t>
      </w:r>
      <w:proofErr w:type="spellEnd"/>
      <w:r w:rsidRPr="009B4154">
        <w:rPr>
          <w:sz w:val="24"/>
          <w:szCs w:val="24"/>
        </w:rPr>
        <w:t xml:space="preserve"> </w:t>
      </w:r>
      <w:proofErr w:type="spellStart"/>
      <w:r w:rsidRPr="009B4154">
        <w:rPr>
          <w:sz w:val="24"/>
          <w:szCs w:val="24"/>
        </w:rPr>
        <w:t>genotoksicitetstests</w:t>
      </w:r>
      <w:proofErr w:type="spellEnd"/>
      <w:r w:rsidRPr="009B4154">
        <w:rPr>
          <w:sz w:val="24"/>
          <w:szCs w:val="24"/>
        </w:rPr>
        <w:t xml:space="preserve">, men der er også negative resultater med samme testsystemer. </w:t>
      </w:r>
      <w:proofErr w:type="spellStart"/>
      <w:r>
        <w:rPr>
          <w:sz w:val="24"/>
          <w:szCs w:val="24"/>
        </w:rPr>
        <w:t>Nicotin</w:t>
      </w:r>
      <w:proofErr w:type="spellEnd"/>
      <w:r w:rsidRPr="009B4154">
        <w:rPr>
          <w:sz w:val="24"/>
          <w:szCs w:val="24"/>
        </w:rPr>
        <w:t xml:space="preserve"> var negativt i </w:t>
      </w:r>
      <w:r w:rsidRPr="009B4154">
        <w:rPr>
          <w:i/>
          <w:sz w:val="24"/>
          <w:szCs w:val="24"/>
        </w:rPr>
        <w:t xml:space="preserve">in </w:t>
      </w:r>
      <w:proofErr w:type="spellStart"/>
      <w:r w:rsidRPr="009B4154">
        <w:rPr>
          <w:i/>
          <w:sz w:val="24"/>
          <w:szCs w:val="24"/>
        </w:rPr>
        <w:t>vivo</w:t>
      </w:r>
      <w:proofErr w:type="spellEnd"/>
      <w:r w:rsidRPr="009B4154">
        <w:rPr>
          <w:sz w:val="24"/>
          <w:szCs w:val="24"/>
        </w:rPr>
        <w:t xml:space="preserve"> tests. </w:t>
      </w:r>
      <w:r w:rsidRPr="009B4154">
        <w:rPr>
          <w:sz w:val="24"/>
          <w:szCs w:val="24"/>
        </w:rPr>
        <w:br/>
        <w:t xml:space="preserve">Dyreforsøg har vist, at </w:t>
      </w:r>
      <w:proofErr w:type="spellStart"/>
      <w:r>
        <w:rPr>
          <w:sz w:val="24"/>
          <w:szCs w:val="24"/>
        </w:rPr>
        <w:t>nicotin</w:t>
      </w:r>
      <w:r w:rsidRPr="009B4154">
        <w:rPr>
          <w:sz w:val="24"/>
          <w:szCs w:val="24"/>
        </w:rPr>
        <w:t>eksponering</w:t>
      </w:r>
      <w:proofErr w:type="spellEnd"/>
      <w:r w:rsidRPr="009B4154">
        <w:rPr>
          <w:sz w:val="24"/>
          <w:szCs w:val="24"/>
        </w:rPr>
        <w:t xml:space="preserve"> resultere</w:t>
      </w:r>
      <w:r>
        <w:rPr>
          <w:sz w:val="24"/>
          <w:szCs w:val="24"/>
        </w:rPr>
        <w:t>r</w:t>
      </w:r>
      <w:r w:rsidRPr="009B4154">
        <w:rPr>
          <w:sz w:val="24"/>
          <w:szCs w:val="24"/>
        </w:rPr>
        <w:t xml:space="preserve"> i nedsat fødselsvægt, nedsat kuldstørrelse og nedsat overlevelse af afkom. </w:t>
      </w:r>
      <w:r w:rsidRPr="009B4154">
        <w:rPr>
          <w:sz w:val="24"/>
          <w:szCs w:val="24"/>
        </w:rPr>
        <w:br/>
        <w:t>Resultate</w:t>
      </w:r>
      <w:r>
        <w:rPr>
          <w:sz w:val="24"/>
          <w:szCs w:val="24"/>
        </w:rPr>
        <w:t xml:space="preserve">r fra </w:t>
      </w:r>
      <w:proofErr w:type="spellStart"/>
      <w:r>
        <w:rPr>
          <w:sz w:val="24"/>
          <w:szCs w:val="24"/>
        </w:rPr>
        <w:t>k</w:t>
      </w:r>
      <w:r w:rsidRPr="009B4154">
        <w:rPr>
          <w:sz w:val="24"/>
          <w:szCs w:val="24"/>
        </w:rPr>
        <w:t>arcinogenicitets</w:t>
      </w:r>
      <w:r>
        <w:rPr>
          <w:sz w:val="24"/>
          <w:szCs w:val="24"/>
        </w:rPr>
        <w:t>studier</w:t>
      </w:r>
      <w:proofErr w:type="spellEnd"/>
      <w:r w:rsidRPr="009B4154">
        <w:rPr>
          <w:sz w:val="24"/>
          <w:szCs w:val="24"/>
        </w:rPr>
        <w:t xml:space="preserve"> gav ingen </w:t>
      </w:r>
      <w:r>
        <w:rPr>
          <w:sz w:val="24"/>
          <w:szCs w:val="24"/>
        </w:rPr>
        <w:t>klar evidens for</w:t>
      </w:r>
      <w:r w:rsidRPr="009B4154">
        <w:rPr>
          <w:sz w:val="24"/>
          <w:szCs w:val="24"/>
        </w:rPr>
        <w:t xml:space="preserve"> en </w:t>
      </w:r>
      <w:proofErr w:type="spellStart"/>
      <w:r w:rsidRPr="009B4154">
        <w:rPr>
          <w:sz w:val="24"/>
          <w:szCs w:val="24"/>
        </w:rPr>
        <w:t>tumorgen</w:t>
      </w:r>
      <w:proofErr w:type="spellEnd"/>
      <w:r w:rsidRPr="009B4154">
        <w:rPr>
          <w:sz w:val="24"/>
          <w:szCs w:val="24"/>
        </w:rPr>
        <w:t xml:space="preserve"> effekt af </w:t>
      </w:r>
      <w:proofErr w:type="spellStart"/>
      <w:r>
        <w:rPr>
          <w:sz w:val="24"/>
          <w:szCs w:val="24"/>
        </w:rPr>
        <w:t>nicotin</w:t>
      </w:r>
      <w:proofErr w:type="spellEnd"/>
      <w:r w:rsidRPr="009B4154">
        <w:rPr>
          <w:sz w:val="24"/>
          <w:szCs w:val="24"/>
        </w:rPr>
        <w:t>.</w:t>
      </w: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D43DE5" w:rsidRPr="00C84483" w:rsidRDefault="00D43DE5" w:rsidP="00D43DE5">
      <w:pPr>
        <w:tabs>
          <w:tab w:val="left" w:pos="851"/>
        </w:tabs>
        <w:rPr>
          <w:b/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D43DE5" w:rsidRPr="009B4154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B4154">
        <w:rPr>
          <w:sz w:val="24"/>
          <w:szCs w:val="24"/>
        </w:rPr>
        <w:t>Alginsyre</w:t>
      </w:r>
      <w:proofErr w:type="spellEnd"/>
      <w:r w:rsidRPr="009B4154">
        <w:rPr>
          <w:sz w:val="24"/>
          <w:szCs w:val="24"/>
        </w:rPr>
        <w:t xml:space="preserve"> </w:t>
      </w:r>
      <w:r w:rsidRPr="009B4154">
        <w:rPr>
          <w:sz w:val="24"/>
          <w:szCs w:val="24"/>
        </w:rPr>
        <w:br/>
      </w:r>
      <w:proofErr w:type="spellStart"/>
      <w:r w:rsidRPr="009B4154">
        <w:rPr>
          <w:sz w:val="24"/>
          <w:szCs w:val="24"/>
        </w:rPr>
        <w:t>Natriumcarbonat</w:t>
      </w:r>
      <w:proofErr w:type="spellEnd"/>
      <w:r w:rsidRPr="009B4154">
        <w:rPr>
          <w:sz w:val="24"/>
          <w:szCs w:val="24"/>
        </w:rPr>
        <w:t>, vandfri</w:t>
      </w:r>
      <w:r w:rsidRPr="009B4154">
        <w:rPr>
          <w:sz w:val="24"/>
          <w:szCs w:val="24"/>
        </w:rPr>
        <w:br/>
      </w:r>
      <w:proofErr w:type="spellStart"/>
      <w:r w:rsidRPr="009B4154">
        <w:rPr>
          <w:sz w:val="24"/>
          <w:szCs w:val="24"/>
        </w:rPr>
        <w:t>Copovidon</w:t>
      </w:r>
      <w:proofErr w:type="spellEnd"/>
      <w:r w:rsidRPr="009B4154">
        <w:rPr>
          <w:sz w:val="24"/>
          <w:szCs w:val="24"/>
        </w:rPr>
        <w:t xml:space="preserve"> </w:t>
      </w:r>
      <w:r w:rsidRPr="009B4154">
        <w:rPr>
          <w:sz w:val="24"/>
          <w:szCs w:val="24"/>
        </w:rPr>
        <w:br/>
        <w:t xml:space="preserve">Cellulose </w:t>
      </w:r>
      <w:r w:rsidRPr="009B4154">
        <w:rPr>
          <w:sz w:val="24"/>
          <w:szCs w:val="24"/>
        </w:rPr>
        <w:br/>
        <w:t xml:space="preserve">Pebermyntesmag </w:t>
      </w:r>
      <w:r w:rsidRPr="009B4154">
        <w:rPr>
          <w:sz w:val="24"/>
          <w:szCs w:val="24"/>
        </w:rPr>
        <w:br/>
      </w:r>
      <w:proofErr w:type="spellStart"/>
      <w:r w:rsidRPr="009B4154">
        <w:rPr>
          <w:sz w:val="24"/>
          <w:szCs w:val="24"/>
        </w:rPr>
        <w:t>Neohesperidin-dihydrochalcon</w:t>
      </w:r>
      <w:proofErr w:type="spellEnd"/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D43DE5" w:rsidRPr="00603F02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603F02">
        <w:rPr>
          <w:sz w:val="24"/>
          <w:szCs w:val="24"/>
        </w:rPr>
        <w:t>Ikke relevant</w:t>
      </w:r>
      <w:r>
        <w:rPr>
          <w:sz w:val="24"/>
          <w:szCs w:val="24"/>
        </w:rPr>
        <w:t>.</w:t>
      </w:r>
    </w:p>
    <w:p w:rsidR="00D43DE5" w:rsidRPr="00C84483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D43DE5" w:rsidRPr="00603F02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 år.</w:t>
      </w:r>
    </w:p>
    <w:p w:rsidR="001D2406" w:rsidRPr="00C84483" w:rsidRDefault="001D2406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D43DE5" w:rsidRPr="00603F02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603F02">
        <w:rPr>
          <w:sz w:val="24"/>
          <w:szCs w:val="24"/>
        </w:rPr>
        <w:t>Hold beholderen tæt tillukket for at beskytte mod fugt.</w:t>
      </w:r>
    </w:p>
    <w:p w:rsidR="00D43DE5" w:rsidRPr="00C84483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A86AFA" w:rsidRPr="00C84483" w:rsidRDefault="00A86AFA" w:rsidP="00A86AF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Portionsp</w:t>
      </w:r>
      <w:r w:rsidRPr="00603F02">
        <w:rPr>
          <w:sz w:val="24"/>
          <w:szCs w:val="24"/>
        </w:rPr>
        <w:t xml:space="preserve">ose i en </w:t>
      </w:r>
      <w:proofErr w:type="spellStart"/>
      <w:r w:rsidRPr="00603F02">
        <w:rPr>
          <w:sz w:val="24"/>
          <w:szCs w:val="24"/>
        </w:rPr>
        <w:t>polypropen</w:t>
      </w:r>
      <w:proofErr w:type="spellEnd"/>
      <w:r w:rsidRPr="00603F02">
        <w:rPr>
          <w:sz w:val="24"/>
          <w:szCs w:val="24"/>
        </w:rPr>
        <w:t xml:space="preserve"> beholder med låg i</w:t>
      </w:r>
      <w:r>
        <w:rPr>
          <w:sz w:val="24"/>
          <w:szCs w:val="24"/>
        </w:rPr>
        <w:t xml:space="preserve"> en lamineret aluminiumkuvert.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 w:rsidRPr="00603F02">
        <w:rPr>
          <w:sz w:val="24"/>
          <w:szCs w:val="24"/>
        </w:rPr>
        <w:t>Posen er fremstillet af ikke-vævet stof bestående af viskose og et akry</w:t>
      </w:r>
      <w:r>
        <w:rPr>
          <w:sz w:val="24"/>
          <w:szCs w:val="24"/>
        </w:rPr>
        <w:t>l</w:t>
      </w:r>
      <w:r w:rsidRPr="00603F02">
        <w:rPr>
          <w:sz w:val="24"/>
          <w:szCs w:val="24"/>
        </w:rPr>
        <w:t>bindemiddel</w:t>
      </w: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D43DE5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Pakningsstørrelser: 20 stk.</w:t>
      </w:r>
    </w:p>
    <w:p w:rsidR="00D43DE5" w:rsidRPr="00603F02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D43DE5" w:rsidRPr="00C84483" w:rsidRDefault="00D43DE5" w:rsidP="00D43DE5">
      <w:pPr>
        <w:tabs>
          <w:tab w:val="left" w:pos="851"/>
        </w:tabs>
        <w:ind w:left="851"/>
        <w:rPr>
          <w:sz w:val="24"/>
          <w:szCs w:val="24"/>
        </w:rPr>
      </w:pPr>
    </w:p>
    <w:p w:rsidR="00A86AFA" w:rsidRPr="00C84483" w:rsidRDefault="00A86AFA" w:rsidP="00A86AF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D43DE5" w:rsidRPr="00603F02" w:rsidRDefault="00D43DE5" w:rsidP="00D43DE5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603F02">
        <w:rPr>
          <w:sz w:val="24"/>
          <w:szCs w:val="24"/>
        </w:rPr>
        <w:t xml:space="preserve">Ingen særlige forholdsregler. </w:t>
      </w:r>
    </w:p>
    <w:p w:rsidR="00D43DE5" w:rsidRPr="00C84483" w:rsidRDefault="00D43DE5" w:rsidP="00D43DE5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1D2406" w:rsidRPr="001D2406" w:rsidRDefault="001D2406" w:rsidP="001D2406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1D2406">
        <w:rPr>
          <w:sz w:val="24"/>
          <w:szCs w:val="24"/>
          <w:lang w:val="en-US"/>
        </w:rPr>
        <w:t>Fertin</w:t>
      </w:r>
      <w:proofErr w:type="spellEnd"/>
      <w:r w:rsidRPr="001D2406">
        <w:rPr>
          <w:sz w:val="24"/>
          <w:szCs w:val="24"/>
          <w:lang w:val="en-US"/>
        </w:rPr>
        <w:t xml:space="preserve"> Pharma A/S</w:t>
      </w:r>
    </w:p>
    <w:p w:rsidR="001D2406" w:rsidRPr="001D2406" w:rsidRDefault="001D2406" w:rsidP="001D2406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1D2406">
        <w:rPr>
          <w:sz w:val="24"/>
          <w:szCs w:val="24"/>
          <w:lang w:val="en-US"/>
        </w:rPr>
        <w:t>Dandyvej</w:t>
      </w:r>
      <w:proofErr w:type="spellEnd"/>
      <w:r w:rsidRPr="001D2406">
        <w:rPr>
          <w:sz w:val="24"/>
          <w:szCs w:val="24"/>
          <w:lang w:val="en-US"/>
        </w:rPr>
        <w:t xml:space="preserve"> 19</w:t>
      </w:r>
    </w:p>
    <w:p w:rsidR="00D43DE5" w:rsidRPr="00210871" w:rsidRDefault="001D2406" w:rsidP="001D2406">
      <w:pPr>
        <w:tabs>
          <w:tab w:val="left" w:pos="851"/>
        </w:tabs>
        <w:ind w:left="851"/>
        <w:rPr>
          <w:sz w:val="24"/>
          <w:szCs w:val="24"/>
        </w:rPr>
      </w:pPr>
      <w:r w:rsidRPr="00210871">
        <w:rPr>
          <w:sz w:val="24"/>
          <w:szCs w:val="24"/>
        </w:rPr>
        <w:t>7100 Vejle</w:t>
      </w:r>
    </w:p>
    <w:p w:rsidR="001D2406" w:rsidRPr="00C84483" w:rsidRDefault="001D2406" w:rsidP="001D2406">
      <w:pPr>
        <w:tabs>
          <w:tab w:val="left" w:pos="851"/>
        </w:tabs>
        <w:ind w:left="851"/>
        <w:rPr>
          <w:sz w:val="24"/>
          <w:szCs w:val="24"/>
        </w:rPr>
      </w:pPr>
    </w:p>
    <w:p w:rsidR="00A86AFA" w:rsidRPr="00C84483" w:rsidRDefault="00A86AFA" w:rsidP="00A86AF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D43DE5" w:rsidRDefault="00D43DE5" w:rsidP="00D43DE5">
      <w:pPr>
        <w:tabs>
          <w:tab w:val="left" w:pos="851"/>
          <w:tab w:val="left" w:pos="1560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>
        <w:rPr>
          <w:sz w:val="24"/>
          <w:szCs w:val="24"/>
        </w:rPr>
        <w:t>2 mg:</w:t>
      </w:r>
      <w:r>
        <w:rPr>
          <w:sz w:val="24"/>
          <w:szCs w:val="24"/>
        </w:rPr>
        <w:tab/>
        <w:t>58256</w:t>
      </w:r>
    </w:p>
    <w:p w:rsidR="00D43DE5" w:rsidRPr="00C84483" w:rsidRDefault="00D43DE5" w:rsidP="00D43DE5">
      <w:pPr>
        <w:tabs>
          <w:tab w:val="left" w:pos="851"/>
          <w:tab w:val="left" w:pos="156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4 mg:</w:t>
      </w:r>
      <w:r>
        <w:rPr>
          <w:sz w:val="24"/>
          <w:szCs w:val="24"/>
        </w:rPr>
        <w:tab/>
        <w:t>51790</w:t>
      </w:r>
    </w:p>
    <w:p w:rsidR="00D43DE5" w:rsidRPr="00C84483" w:rsidRDefault="00D43DE5" w:rsidP="00D43DE5">
      <w:pPr>
        <w:tabs>
          <w:tab w:val="left" w:pos="851"/>
        </w:tabs>
        <w:jc w:val="both"/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r>
        <w:rPr>
          <w:sz w:val="24"/>
          <w:szCs w:val="24"/>
        </w:rPr>
        <w:t>22. juli 2014 (styrken 4 mg)</w:t>
      </w:r>
    </w:p>
    <w:p w:rsidR="00D43DE5" w:rsidRPr="00C84483" w:rsidRDefault="00D43DE5" w:rsidP="00D43DE5">
      <w:pPr>
        <w:tabs>
          <w:tab w:val="left" w:pos="851"/>
        </w:tabs>
        <w:rPr>
          <w:sz w:val="24"/>
          <w:szCs w:val="24"/>
        </w:rPr>
      </w:pPr>
    </w:p>
    <w:p w:rsidR="00D43DE5" w:rsidRPr="00C84483" w:rsidRDefault="00D43DE5" w:rsidP="00D43D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D43DE5" w:rsidRDefault="00D43DE5" w:rsidP="00A86AFA">
      <w:pPr>
        <w:tabs>
          <w:tab w:val="left" w:pos="851"/>
        </w:tabs>
      </w:pPr>
      <w:r w:rsidRPr="00C84483">
        <w:rPr>
          <w:sz w:val="24"/>
          <w:szCs w:val="24"/>
        </w:rPr>
        <w:tab/>
      </w:r>
      <w:r w:rsidR="00A86AFA">
        <w:rPr>
          <w:sz w:val="24"/>
          <w:szCs w:val="24"/>
        </w:rPr>
        <w:t>30. oktober 2023</w:t>
      </w:r>
    </w:p>
    <w:sectPr w:rsidR="009260DE" w:rsidRPr="00D43DE5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DE5" w:rsidRDefault="00D43DE5">
      <w:r>
        <w:separator/>
      </w:r>
    </w:p>
  </w:endnote>
  <w:endnote w:type="continuationSeparator" w:id="0">
    <w:p w:rsidR="00D43DE5" w:rsidRDefault="00D4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A86AFA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>
      <w:rPr>
        <w:i/>
        <w:sz w:val="18"/>
        <w:szCs w:val="18"/>
      </w:rPr>
      <w:t>Nicolex</w:t>
    </w:r>
    <w:proofErr w:type="spellEnd"/>
    <w:r w:rsidR="00EC60AD" w:rsidRPr="00EC60AD">
      <w:rPr>
        <w:i/>
        <w:sz w:val="18"/>
        <w:szCs w:val="18"/>
      </w:rPr>
      <w:t>, mundhulepulver, portionspose 2 mg og 4 mg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DE5" w:rsidRDefault="00D43DE5">
      <w:r>
        <w:separator/>
      </w:r>
    </w:p>
  </w:footnote>
  <w:footnote w:type="continuationSeparator" w:id="0">
    <w:p w:rsidR="00D43DE5" w:rsidRDefault="00D4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6622A2F"/>
    <w:multiLevelType w:val="hybridMultilevel"/>
    <w:tmpl w:val="F7D6781A"/>
    <w:lvl w:ilvl="0" w:tplc="040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5D130D"/>
    <w:multiLevelType w:val="hybridMultilevel"/>
    <w:tmpl w:val="1CCE712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E5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D2406"/>
    <w:rsid w:val="00206CE8"/>
    <w:rsid w:val="00210871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02B69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0858"/>
    <w:rsid w:val="009D1F5A"/>
    <w:rsid w:val="00A86AFA"/>
    <w:rsid w:val="00AE7380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43DE5"/>
    <w:rsid w:val="00E108AA"/>
    <w:rsid w:val="00E31812"/>
    <w:rsid w:val="00E3749A"/>
    <w:rsid w:val="00E7437F"/>
    <w:rsid w:val="00E865B8"/>
    <w:rsid w:val="00EC0B9B"/>
    <w:rsid w:val="00EC60AD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79B5F"/>
  <w15:chartTrackingRefBased/>
  <w15:docId w15:val="{867FBECC-EC89-4309-B59C-20AA79AC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D43DE5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D43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7</TotalTime>
  <Pages>8</Pages>
  <Words>2140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2023074100, var. 8, navneændring fra Nicovel Mint</dc:description>
  <cp:lastModifiedBy>Gitte Jørgensen</cp:lastModifiedBy>
  <cp:revision>3</cp:revision>
  <cp:lastPrinted>2012-08-22T08:53:00Z</cp:lastPrinted>
  <dcterms:created xsi:type="dcterms:W3CDTF">2023-10-30T10:04:00Z</dcterms:created>
  <dcterms:modified xsi:type="dcterms:W3CDTF">2023-10-30T10:12:00Z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