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30A0" w:rsidRDefault="009830A0" w:rsidP="009830A0">
      <w:r>
        <w:rPr>
          <w:noProof/>
          <w:lang w:eastAsia="da-DK"/>
        </w:rPr>
        <w:drawing>
          <wp:inline distT="0" distB="0" distL="0" distR="0" wp14:anchorId="2E6A0BA0" wp14:editId="354CB512">
            <wp:extent cx="2466975" cy="685800"/>
            <wp:effectExtent l="0" t="0" r="9525" b="0"/>
            <wp:docPr id="2" name="Billede 2" descr="C:\Users\ammo.DKLMMU\Desktop\Logo - Ko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mo.DKLMMU\Desktop\Logo - Kop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6975" cy="685800"/>
                    </a:xfrm>
                    <a:prstGeom prst="rect">
                      <a:avLst/>
                    </a:prstGeom>
                    <a:noFill/>
                    <a:ln>
                      <a:noFill/>
                    </a:ln>
                  </pic:spPr>
                </pic:pic>
              </a:graphicData>
            </a:graphic>
          </wp:inline>
        </w:drawing>
      </w:r>
    </w:p>
    <w:p w:rsidR="009830A0" w:rsidRPr="00BE16F5" w:rsidRDefault="009830A0" w:rsidP="009830A0">
      <w:pPr>
        <w:pStyle w:val="Titel"/>
        <w:tabs>
          <w:tab w:val="right" w:pos="9356"/>
        </w:tabs>
        <w:jc w:val="left"/>
        <w:rPr>
          <w:szCs w:val="24"/>
        </w:rPr>
      </w:pPr>
      <w:r>
        <w:rPr>
          <w:b w:val="0"/>
          <w:sz w:val="23"/>
          <w:lang w:eastAsia="en-US"/>
        </w:rPr>
        <w:tab/>
      </w:r>
      <w:r w:rsidR="00CA0F11">
        <w:rPr>
          <w:sz w:val="23"/>
          <w:lang w:eastAsia="en-US"/>
        </w:rPr>
        <w:t>2</w:t>
      </w:r>
      <w:r w:rsidR="00E33D4C">
        <w:rPr>
          <w:sz w:val="23"/>
          <w:lang w:eastAsia="en-US"/>
        </w:rPr>
        <w:t>9</w:t>
      </w:r>
      <w:r w:rsidR="00CA0F11">
        <w:rPr>
          <w:sz w:val="23"/>
          <w:lang w:eastAsia="en-US"/>
        </w:rPr>
        <w:t>. marts 2025</w:t>
      </w:r>
    </w:p>
    <w:p w:rsidR="009830A0" w:rsidRDefault="009830A0" w:rsidP="009830A0">
      <w:pPr>
        <w:pStyle w:val="Titel"/>
        <w:jc w:val="left"/>
        <w:rPr>
          <w:b w:val="0"/>
        </w:rPr>
      </w:pPr>
    </w:p>
    <w:p w:rsidR="0048539A" w:rsidRDefault="0048539A" w:rsidP="009830A0">
      <w:pPr>
        <w:pStyle w:val="Titel"/>
        <w:jc w:val="left"/>
        <w:rPr>
          <w:b w:val="0"/>
        </w:rPr>
      </w:pPr>
    </w:p>
    <w:p w:rsidR="009830A0" w:rsidRPr="00EC0B9B" w:rsidRDefault="009830A0" w:rsidP="009830A0">
      <w:pPr>
        <w:jc w:val="center"/>
        <w:rPr>
          <w:b/>
          <w:sz w:val="24"/>
          <w:szCs w:val="24"/>
        </w:rPr>
      </w:pPr>
      <w:r w:rsidRPr="00EC0B9B">
        <w:rPr>
          <w:b/>
          <w:sz w:val="24"/>
          <w:szCs w:val="24"/>
        </w:rPr>
        <w:t>PRODUKTRESUMÉ</w:t>
      </w:r>
    </w:p>
    <w:p w:rsidR="009830A0" w:rsidRPr="00EC0B9B" w:rsidRDefault="009830A0" w:rsidP="009830A0">
      <w:pPr>
        <w:jc w:val="center"/>
        <w:rPr>
          <w:b/>
          <w:sz w:val="24"/>
          <w:szCs w:val="24"/>
        </w:rPr>
      </w:pPr>
    </w:p>
    <w:p w:rsidR="009830A0" w:rsidRPr="00EC0B9B" w:rsidRDefault="00331844" w:rsidP="00331844">
      <w:pPr>
        <w:tabs>
          <w:tab w:val="left" w:pos="470"/>
          <w:tab w:val="center" w:pos="4819"/>
        </w:tabs>
        <w:rPr>
          <w:b/>
          <w:sz w:val="24"/>
          <w:szCs w:val="24"/>
        </w:rPr>
      </w:pPr>
      <w:r>
        <w:rPr>
          <w:b/>
          <w:sz w:val="24"/>
          <w:szCs w:val="24"/>
        </w:rPr>
        <w:tab/>
      </w:r>
      <w:r>
        <w:rPr>
          <w:b/>
          <w:sz w:val="24"/>
          <w:szCs w:val="24"/>
        </w:rPr>
        <w:tab/>
      </w:r>
      <w:r w:rsidR="009830A0" w:rsidRPr="00EC0B9B">
        <w:rPr>
          <w:b/>
          <w:sz w:val="24"/>
          <w:szCs w:val="24"/>
        </w:rPr>
        <w:t>for</w:t>
      </w:r>
    </w:p>
    <w:p w:rsidR="009830A0" w:rsidRPr="00EC0B9B" w:rsidRDefault="009830A0" w:rsidP="009830A0">
      <w:pPr>
        <w:jc w:val="center"/>
        <w:rPr>
          <w:b/>
          <w:sz w:val="24"/>
          <w:szCs w:val="24"/>
        </w:rPr>
      </w:pPr>
    </w:p>
    <w:p w:rsidR="009830A0" w:rsidRPr="0049104B" w:rsidRDefault="009830A0" w:rsidP="009830A0">
      <w:pPr>
        <w:jc w:val="center"/>
        <w:rPr>
          <w:b/>
          <w:sz w:val="24"/>
          <w:szCs w:val="24"/>
        </w:rPr>
      </w:pPr>
      <w:r>
        <w:rPr>
          <w:b/>
          <w:sz w:val="24"/>
          <w:szCs w:val="24"/>
        </w:rPr>
        <w:t>Nicorette Cooldrops, sugetabletter 4 mg</w:t>
      </w:r>
    </w:p>
    <w:p w:rsidR="009830A0" w:rsidRPr="00EC0B9B" w:rsidRDefault="009830A0" w:rsidP="009830A0">
      <w:pPr>
        <w:jc w:val="both"/>
        <w:rPr>
          <w:sz w:val="24"/>
          <w:szCs w:val="24"/>
        </w:rPr>
      </w:pPr>
    </w:p>
    <w:p w:rsidR="009830A0" w:rsidRPr="00D834E3" w:rsidRDefault="009830A0" w:rsidP="009830A0">
      <w:pPr>
        <w:ind w:left="851" w:hanging="851"/>
        <w:jc w:val="both"/>
        <w:rPr>
          <w:sz w:val="24"/>
          <w:szCs w:val="24"/>
        </w:rPr>
      </w:pPr>
    </w:p>
    <w:p w:rsidR="009830A0" w:rsidRPr="00D834E3" w:rsidRDefault="009830A0" w:rsidP="009830A0">
      <w:pPr>
        <w:numPr>
          <w:ilvl w:val="0"/>
          <w:numId w:val="1"/>
        </w:numPr>
        <w:tabs>
          <w:tab w:val="clear" w:pos="855"/>
        </w:tabs>
        <w:ind w:left="851" w:hanging="851"/>
        <w:rPr>
          <w:b/>
          <w:sz w:val="24"/>
          <w:szCs w:val="24"/>
        </w:rPr>
      </w:pPr>
      <w:r w:rsidRPr="00D834E3">
        <w:rPr>
          <w:b/>
          <w:sz w:val="24"/>
          <w:szCs w:val="24"/>
        </w:rPr>
        <w:t>D.SP.NR.</w:t>
      </w:r>
    </w:p>
    <w:p w:rsidR="009830A0" w:rsidRPr="00D834E3" w:rsidRDefault="009830A0" w:rsidP="009830A0">
      <w:pPr>
        <w:ind w:left="851" w:hanging="851"/>
        <w:rPr>
          <w:sz w:val="24"/>
          <w:szCs w:val="24"/>
        </w:rPr>
      </w:pPr>
      <w:r w:rsidRPr="00D834E3">
        <w:rPr>
          <w:sz w:val="24"/>
          <w:szCs w:val="24"/>
        </w:rPr>
        <w:tab/>
        <w:t>06121</w:t>
      </w:r>
    </w:p>
    <w:p w:rsidR="009830A0" w:rsidRPr="00D834E3" w:rsidRDefault="009830A0" w:rsidP="009830A0">
      <w:pPr>
        <w:ind w:left="851" w:hanging="851"/>
        <w:rPr>
          <w:sz w:val="24"/>
          <w:szCs w:val="24"/>
        </w:rPr>
      </w:pPr>
    </w:p>
    <w:p w:rsidR="009830A0" w:rsidRPr="00D834E3" w:rsidRDefault="009830A0" w:rsidP="009830A0">
      <w:pPr>
        <w:numPr>
          <w:ilvl w:val="0"/>
          <w:numId w:val="1"/>
        </w:numPr>
        <w:tabs>
          <w:tab w:val="clear" w:pos="855"/>
        </w:tabs>
        <w:ind w:left="851" w:hanging="851"/>
        <w:rPr>
          <w:b/>
          <w:sz w:val="24"/>
          <w:szCs w:val="24"/>
        </w:rPr>
      </w:pPr>
      <w:r w:rsidRPr="00D834E3">
        <w:rPr>
          <w:b/>
          <w:sz w:val="24"/>
          <w:szCs w:val="24"/>
        </w:rPr>
        <w:t>LÆGEMIDLETS NAVN</w:t>
      </w:r>
    </w:p>
    <w:p w:rsidR="009830A0" w:rsidRPr="00D834E3" w:rsidRDefault="009830A0" w:rsidP="009830A0">
      <w:pPr>
        <w:ind w:left="851"/>
        <w:rPr>
          <w:sz w:val="24"/>
          <w:szCs w:val="24"/>
        </w:rPr>
      </w:pPr>
      <w:r w:rsidRPr="00D834E3">
        <w:rPr>
          <w:sz w:val="24"/>
          <w:szCs w:val="24"/>
        </w:rPr>
        <w:t>Nicorette Cooldrops</w:t>
      </w:r>
    </w:p>
    <w:p w:rsidR="009830A0" w:rsidRPr="00D834E3" w:rsidRDefault="009830A0" w:rsidP="009830A0">
      <w:pPr>
        <w:ind w:left="851" w:hanging="851"/>
        <w:rPr>
          <w:sz w:val="24"/>
          <w:szCs w:val="24"/>
        </w:rPr>
      </w:pPr>
    </w:p>
    <w:p w:rsidR="009830A0" w:rsidRPr="00D834E3" w:rsidRDefault="009830A0" w:rsidP="009830A0">
      <w:pPr>
        <w:numPr>
          <w:ilvl w:val="0"/>
          <w:numId w:val="1"/>
        </w:numPr>
        <w:tabs>
          <w:tab w:val="clear" w:pos="855"/>
        </w:tabs>
        <w:ind w:left="851" w:hanging="851"/>
        <w:rPr>
          <w:b/>
          <w:sz w:val="24"/>
          <w:szCs w:val="24"/>
        </w:rPr>
      </w:pPr>
      <w:r w:rsidRPr="00D834E3">
        <w:rPr>
          <w:b/>
          <w:sz w:val="24"/>
          <w:szCs w:val="24"/>
        </w:rPr>
        <w:t>KVALITATIV OG KVANTITATIV SAMMENSÆTNING</w:t>
      </w:r>
    </w:p>
    <w:p w:rsidR="009830A0" w:rsidRDefault="009830A0" w:rsidP="009830A0">
      <w:pPr>
        <w:ind w:left="851" w:hanging="851"/>
        <w:jc w:val="both"/>
        <w:rPr>
          <w:spacing w:val="-3"/>
          <w:sz w:val="24"/>
          <w:szCs w:val="24"/>
        </w:rPr>
      </w:pPr>
      <w:r w:rsidRPr="00D834E3">
        <w:rPr>
          <w:sz w:val="24"/>
          <w:szCs w:val="24"/>
        </w:rPr>
        <w:tab/>
      </w:r>
      <w:r w:rsidRPr="00D834E3">
        <w:rPr>
          <w:spacing w:val="-3"/>
          <w:sz w:val="24"/>
          <w:szCs w:val="24"/>
        </w:rPr>
        <w:t xml:space="preserve">1 sugetablet indeholder 4 mg nicotin (som nicotinresinat). </w:t>
      </w:r>
    </w:p>
    <w:p w:rsidR="00CA0F11" w:rsidRDefault="00CA0F11" w:rsidP="009830A0">
      <w:pPr>
        <w:ind w:left="851" w:hanging="851"/>
        <w:jc w:val="both"/>
        <w:rPr>
          <w:spacing w:val="-3"/>
          <w:sz w:val="24"/>
          <w:szCs w:val="24"/>
        </w:rPr>
      </w:pPr>
    </w:p>
    <w:p w:rsidR="00CA0F11" w:rsidRDefault="00CA0F11" w:rsidP="00CA0F11">
      <w:pPr>
        <w:tabs>
          <w:tab w:val="left" w:pos="851"/>
        </w:tabs>
        <w:ind w:left="851"/>
        <w:rPr>
          <w:sz w:val="24"/>
          <w:szCs w:val="24"/>
        </w:rPr>
      </w:pPr>
      <w:r>
        <w:rPr>
          <w:sz w:val="24"/>
          <w:szCs w:val="24"/>
        </w:rPr>
        <w:t>Hjælpestof, som behandleren skal være opmærksom på:</w:t>
      </w:r>
    </w:p>
    <w:p w:rsidR="00CA0F11" w:rsidRDefault="00CA0F11" w:rsidP="00CA0F11">
      <w:pPr>
        <w:tabs>
          <w:tab w:val="left" w:pos="851"/>
        </w:tabs>
        <w:ind w:left="851"/>
        <w:rPr>
          <w:sz w:val="24"/>
          <w:szCs w:val="24"/>
        </w:rPr>
      </w:pPr>
      <w:r>
        <w:rPr>
          <w:sz w:val="24"/>
          <w:szCs w:val="24"/>
        </w:rPr>
        <w:t>- Polysorbat 80 (0,10 mg pr. sugetablet).</w:t>
      </w:r>
    </w:p>
    <w:p w:rsidR="00CA0F11" w:rsidRPr="00D834E3" w:rsidRDefault="00CA0F11" w:rsidP="009830A0">
      <w:pPr>
        <w:ind w:left="851" w:hanging="851"/>
        <w:jc w:val="both"/>
        <w:rPr>
          <w:spacing w:val="-3"/>
          <w:sz w:val="24"/>
          <w:szCs w:val="24"/>
        </w:rPr>
      </w:pPr>
    </w:p>
    <w:p w:rsidR="009830A0" w:rsidRPr="00D834E3" w:rsidRDefault="009830A0" w:rsidP="009830A0">
      <w:pPr>
        <w:spacing w:line="260" w:lineRule="exact"/>
        <w:ind w:left="851" w:hanging="851"/>
        <w:rPr>
          <w:sz w:val="24"/>
          <w:szCs w:val="24"/>
        </w:rPr>
      </w:pPr>
      <w:r w:rsidRPr="00D834E3">
        <w:rPr>
          <w:sz w:val="24"/>
          <w:szCs w:val="24"/>
        </w:rPr>
        <w:tab/>
        <w:t>Alle hjælpestoffer er anført under pkt. 6.1.</w:t>
      </w:r>
    </w:p>
    <w:p w:rsidR="009830A0" w:rsidRPr="00D834E3" w:rsidRDefault="009830A0" w:rsidP="009830A0">
      <w:pPr>
        <w:ind w:left="851" w:hanging="851"/>
        <w:rPr>
          <w:sz w:val="24"/>
          <w:szCs w:val="24"/>
        </w:rPr>
      </w:pPr>
    </w:p>
    <w:p w:rsidR="009830A0" w:rsidRPr="00D834E3" w:rsidRDefault="009830A0" w:rsidP="009830A0">
      <w:pPr>
        <w:numPr>
          <w:ilvl w:val="0"/>
          <w:numId w:val="1"/>
        </w:numPr>
        <w:tabs>
          <w:tab w:val="clear" w:pos="855"/>
        </w:tabs>
        <w:ind w:left="851" w:hanging="851"/>
        <w:rPr>
          <w:b/>
          <w:sz w:val="24"/>
          <w:szCs w:val="24"/>
        </w:rPr>
      </w:pPr>
      <w:r w:rsidRPr="00D834E3">
        <w:rPr>
          <w:b/>
          <w:sz w:val="24"/>
          <w:szCs w:val="24"/>
        </w:rPr>
        <w:t>LÆGEMIDDELFORM</w:t>
      </w:r>
    </w:p>
    <w:p w:rsidR="009830A0" w:rsidRPr="00D834E3" w:rsidRDefault="009830A0" w:rsidP="009830A0">
      <w:pPr>
        <w:ind w:left="851" w:hanging="851"/>
        <w:rPr>
          <w:spacing w:val="-3"/>
          <w:sz w:val="24"/>
          <w:szCs w:val="24"/>
        </w:rPr>
      </w:pPr>
      <w:r w:rsidRPr="00D834E3">
        <w:rPr>
          <w:sz w:val="24"/>
          <w:szCs w:val="24"/>
        </w:rPr>
        <w:tab/>
      </w:r>
      <w:r w:rsidRPr="00D834E3">
        <w:rPr>
          <w:spacing w:val="-3"/>
          <w:sz w:val="24"/>
          <w:szCs w:val="24"/>
        </w:rPr>
        <w:t>Sugetablet.</w:t>
      </w:r>
    </w:p>
    <w:p w:rsidR="00206688" w:rsidRDefault="00206688" w:rsidP="00206688">
      <w:pPr>
        <w:ind w:left="851"/>
        <w:rPr>
          <w:spacing w:val="-3"/>
          <w:sz w:val="24"/>
          <w:szCs w:val="24"/>
        </w:rPr>
      </w:pPr>
      <w:r>
        <w:rPr>
          <w:spacing w:val="-3"/>
          <w:sz w:val="24"/>
          <w:szCs w:val="24"/>
        </w:rPr>
        <w:t>Hvid til råhvid, oval sugetablet. Præget med ”n” på den ene side og ”4” på den anden side.</w:t>
      </w:r>
    </w:p>
    <w:p w:rsidR="009830A0" w:rsidRPr="00D834E3" w:rsidRDefault="00206688" w:rsidP="00206688">
      <w:pPr>
        <w:ind w:left="851"/>
        <w:rPr>
          <w:sz w:val="24"/>
          <w:szCs w:val="24"/>
        </w:rPr>
      </w:pPr>
      <w:r>
        <w:rPr>
          <w:sz w:val="24"/>
          <w:szCs w:val="24"/>
        </w:rPr>
        <w:t>Sugetablettens størrelse måler cirka 14×9×7 mm.</w:t>
      </w:r>
    </w:p>
    <w:p w:rsidR="009830A0" w:rsidRPr="00D834E3" w:rsidRDefault="009830A0" w:rsidP="009830A0">
      <w:pPr>
        <w:ind w:left="851" w:hanging="851"/>
        <w:rPr>
          <w:sz w:val="24"/>
          <w:szCs w:val="24"/>
        </w:rPr>
      </w:pPr>
    </w:p>
    <w:p w:rsidR="009830A0" w:rsidRPr="00D834E3" w:rsidRDefault="009830A0" w:rsidP="009830A0">
      <w:pPr>
        <w:numPr>
          <w:ilvl w:val="0"/>
          <w:numId w:val="1"/>
        </w:numPr>
        <w:tabs>
          <w:tab w:val="clear" w:pos="855"/>
        </w:tabs>
        <w:ind w:left="851" w:hanging="851"/>
        <w:rPr>
          <w:b/>
          <w:sz w:val="24"/>
          <w:szCs w:val="24"/>
        </w:rPr>
      </w:pPr>
      <w:r w:rsidRPr="00D834E3">
        <w:rPr>
          <w:b/>
          <w:sz w:val="24"/>
          <w:szCs w:val="24"/>
        </w:rPr>
        <w:t>KLINISKE OPLYSNINGER</w:t>
      </w:r>
    </w:p>
    <w:p w:rsidR="009830A0" w:rsidRPr="00D834E3" w:rsidRDefault="009830A0" w:rsidP="009830A0">
      <w:pPr>
        <w:ind w:left="851" w:hanging="851"/>
        <w:rPr>
          <w:b/>
          <w:sz w:val="24"/>
          <w:szCs w:val="24"/>
        </w:rPr>
      </w:pPr>
    </w:p>
    <w:p w:rsidR="009830A0" w:rsidRPr="00D834E3" w:rsidRDefault="009830A0" w:rsidP="009830A0">
      <w:pPr>
        <w:numPr>
          <w:ilvl w:val="1"/>
          <w:numId w:val="1"/>
        </w:numPr>
        <w:tabs>
          <w:tab w:val="clear" w:pos="855"/>
        </w:tabs>
        <w:ind w:left="851" w:hanging="851"/>
        <w:rPr>
          <w:b/>
          <w:sz w:val="24"/>
          <w:szCs w:val="24"/>
          <w:u w:val="single"/>
        </w:rPr>
      </w:pPr>
      <w:r w:rsidRPr="00D834E3">
        <w:rPr>
          <w:b/>
          <w:sz w:val="24"/>
          <w:szCs w:val="24"/>
        </w:rPr>
        <w:t>Terapeutiske indikationer</w:t>
      </w:r>
    </w:p>
    <w:p w:rsidR="009830A0" w:rsidRPr="00D834E3" w:rsidRDefault="009830A0" w:rsidP="009830A0">
      <w:pPr>
        <w:ind w:left="851" w:hanging="851"/>
        <w:rPr>
          <w:sz w:val="24"/>
          <w:szCs w:val="24"/>
        </w:rPr>
      </w:pPr>
      <w:r w:rsidRPr="00D834E3">
        <w:rPr>
          <w:sz w:val="24"/>
          <w:szCs w:val="24"/>
        </w:rPr>
        <w:tab/>
      </w:r>
      <w:r w:rsidRPr="00D834E3">
        <w:rPr>
          <w:spacing w:val="-3"/>
          <w:sz w:val="24"/>
          <w:szCs w:val="24"/>
        </w:rPr>
        <w:t>Nicorette Cooldrops</w:t>
      </w:r>
      <w:r w:rsidRPr="00D834E3">
        <w:rPr>
          <w:sz w:val="24"/>
          <w:szCs w:val="24"/>
        </w:rPr>
        <w:t xml:space="preserve"> 4 mg anvendes til behandling af tobaksafhængighed gennem lindring af nicotinabstinenssymptomer og rygetrang hos rygere på 18 år og derover. </w:t>
      </w:r>
    </w:p>
    <w:p w:rsidR="009830A0" w:rsidRPr="00D834E3" w:rsidRDefault="009830A0" w:rsidP="009830A0">
      <w:pPr>
        <w:ind w:left="851"/>
        <w:rPr>
          <w:sz w:val="24"/>
          <w:szCs w:val="24"/>
        </w:rPr>
      </w:pPr>
      <w:r w:rsidRPr="00D834E3">
        <w:rPr>
          <w:sz w:val="24"/>
          <w:szCs w:val="24"/>
        </w:rPr>
        <w:t>Permanent rygeophør er det endelige mål.</w:t>
      </w:r>
    </w:p>
    <w:p w:rsidR="009830A0" w:rsidRPr="00D834E3" w:rsidRDefault="009830A0" w:rsidP="009830A0">
      <w:pPr>
        <w:ind w:left="851" w:hanging="851"/>
        <w:rPr>
          <w:sz w:val="24"/>
          <w:szCs w:val="24"/>
        </w:rPr>
      </w:pPr>
    </w:p>
    <w:p w:rsidR="009830A0" w:rsidRDefault="009830A0" w:rsidP="009830A0">
      <w:pPr>
        <w:ind w:left="851"/>
        <w:rPr>
          <w:sz w:val="24"/>
          <w:szCs w:val="24"/>
        </w:rPr>
      </w:pPr>
      <w:r>
        <w:rPr>
          <w:sz w:val="24"/>
          <w:szCs w:val="24"/>
        </w:rPr>
        <w:t>Nicorette Cooldrops 4 mg skal helst anvendes sammen med rådgivning og støtte.</w:t>
      </w:r>
    </w:p>
    <w:p w:rsidR="009830A0" w:rsidRPr="00D834E3" w:rsidRDefault="009830A0" w:rsidP="009830A0">
      <w:pPr>
        <w:ind w:left="851" w:hanging="851"/>
        <w:rPr>
          <w:sz w:val="24"/>
          <w:szCs w:val="24"/>
        </w:rPr>
      </w:pPr>
    </w:p>
    <w:p w:rsidR="009830A0" w:rsidRPr="00D834E3" w:rsidRDefault="009149D8" w:rsidP="009830A0">
      <w:pPr>
        <w:numPr>
          <w:ilvl w:val="1"/>
          <w:numId w:val="1"/>
        </w:numPr>
        <w:tabs>
          <w:tab w:val="clear" w:pos="855"/>
        </w:tabs>
        <w:ind w:left="851" w:hanging="851"/>
        <w:rPr>
          <w:b/>
          <w:sz w:val="24"/>
          <w:szCs w:val="24"/>
        </w:rPr>
      </w:pPr>
      <w:bookmarkStart w:id="0" w:name="_Hlk121742956"/>
      <w:r w:rsidRPr="00BA4587">
        <w:rPr>
          <w:b/>
          <w:sz w:val="24"/>
          <w:szCs w:val="24"/>
        </w:rPr>
        <w:t>Dosering og administration</w:t>
      </w:r>
      <w:bookmarkEnd w:id="0"/>
    </w:p>
    <w:p w:rsidR="009830A0" w:rsidRPr="00D834E3" w:rsidRDefault="009830A0" w:rsidP="009830A0">
      <w:pPr>
        <w:ind w:left="851" w:hanging="851"/>
        <w:rPr>
          <w:sz w:val="24"/>
          <w:szCs w:val="24"/>
          <w:u w:val="single"/>
        </w:rPr>
      </w:pPr>
      <w:r w:rsidRPr="00D834E3">
        <w:rPr>
          <w:sz w:val="24"/>
          <w:szCs w:val="24"/>
        </w:rPr>
        <w:tab/>
      </w:r>
      <w:r w:rsidRPr="00D834E3">
        <w:rPr>
          <w:sz w:val="24"/>
          <w:szCs w:val="24"/>
          <w:u w:val="single"/>
        </w:rPr>
        <w:t>Dosering</w:t>
      </w:r>
    </w:p>
    <w:p w:rsidR="009830A0" w:rsidRPr="00D834E3" w:rsidRDefault="009830A0" w:rsidP="009830A0">
      <w:pPr>
        <w:ind w:left="851"/>
        <w:rPr>
          <w:sz w:val="24"/>
          <w:szCs w:val="24"/>
        </w:rPr>
      </w:pPr>
      <w:r w:rsidRPr="00D834E3">
        <w:rPr>
          <w:sz w:val="24"/>
          <w:szCs w:val="24"/>
        </w:rPr>
        <w:t>Valg af sugetablettens styrke afhænger af personens rygevaner.</w:t>
      </w:r>
    </w:p>
    <w:p w:rsidR="009830A0" w:rsidRPr="00D834E3" w:rsidRDefault="009830A0" w:rsidP="009830A0">
      <w:pPr>
        <w:ind w:left="851" w:hanging="851"/>
        <w:rPr>
          <w:sz w:val="24"/>
          <w:szCs w:val="24"/>
        </w:rPr>
      </w:pPr>
    </w:p>
    <w:p w:rsidR="009830A0" w:rsidRPr="00206688" w:rsidRDefault="009830A0" w:rsidP="009830A0">
      <w:pPr>
        <w:ind w:left="851"/>
        <w:rPr>
          <w:sz w:val="24"/>
          <w:szCs w:val="24"/>
          <w:u w:val="single"/>
        </w:rPr>
      </w:pPr>
      <w:r w:rsidRPr="00206688">
        <w:rPr>
          <w:i/>
          <w:sz w:val="24"/>
          <w:szCs w:val="24"/>
          <w:u w:val="single"/>
        </w:rPr>
        <w:t>Voksne</w:t>
      </w:r>
    </w:p>
    <w:p w:rsidR="009830A0" w:rsidRDefault="009830A0" w:rsidP="009830A0">
      <w:pPr>
        <w:ind w:left="851"/>
        <w:rPr>
          <w:sz w:val="24"/>
          <w:szCs w:val="24"/>
        </w:rPr>
      </w:pPr>
      <w:r>
        <w:rPr>
          <w:sz w:val="24"/>
          <w:szCs w:val="24"/>
        </w:rPr>
        <w:t xml:space="preserve">Nicorette Cooldrops 4 mg er egnede til rygere med høj nicotinafhængighed, dvs. de der ryger dagens første cigaret indenfor 30 minutter efter, de er vågnet, eller de der ryger mere end 20 cigaretter om dagen. </w:t>
      </w:r>
    </w:p>
    <w:p w:rsidR="009830A0" w:rsidRDefault="009830A0" w:rsidP="009830A0">
      <w:pPr>
        <w:ind w:left="851"/>
        <w:rPr>
          <w:sz w:val="24"/>
          <w:szCs w:val="24"/>
        </w:rPr>
      </w:pPr>
      <w:r>
        <w:rPr>
          <w:sz w:val="24"/>
          <w:szCs w:val="24"/>
        </w:rPr>
        <w:lastRenderedPageBreak/>
        <w:t>Sugetabletter bør ikke anvendes længere end 9 måneder. Hvis der stadig er brug for behandling, bør en sundhedsfaglig person kontaktes.</w:t>
      </w:r>
    </w:p>
    <w:p w:rsidR="009830A0" w:rsidRDefault="009830A0" w:rsidP="009830A0">
      <w:pPr>
        <w:ind w:left="851"/>
        <w:rPr>
          <w:sz w:val="24"/>
          <w:szCs w:val="24"/>
        </w:rPr>
      </w:pPr>
      <w:r>
        <w:rPr>
          <w:sz w:val="24"/>
          <w:szCs w:val="24"/>
        </w:rPr>
        <w:t>Rådgivning og støtte vil normalt forbedre succesraten.</w:t>
      </w:r>
    </w:p>
    <w:p w:rsidR="009830A0" w:rsidRDefault="009830A0" w:rsidP="009830A0">
      <w:pPr>
        <w:ind w:left="851" w:hanging="851"/>
        <w:rPr>
          <w:sz w:val="24"/>
          <w:szCs w:val="24"/>
        </w:rPr>
      </w:pPr>
    </w:p>
    <w:p w:rsidR="009830A0" w:rsidRDefault="009830A0" w:rsidP="009830A0">
      <w:pPr>
        <w:ind w:left="851"/>
        <w:rPr>
          <w:i/>
          <w:sz w:val="24"/>
          <w:szCs w:val="24"/>
        </w:rPr>
      </w:pPr>
      <w:r>
        <w:rPr>
          <w:i/>
          <w:sz w:val="24"/>
          <w:szCs w:val="24"/>
        </w:rPr>
        <w:t>Øjeblikkeligt rygeophør:</w:t>
      </w:r>
    </w:p>
    <w:p w:rsidR="009830A0" w:rsidRDefault="009830A0" w:rsidP="009830A0">
      <w:pPr>
        <w:ind w:left="851"/>
        <w:rPr>
          <w:sz w:val="24"/>
          <w:szCs w:val="24"/>
        </w:rPr>
      </w:pPr>
      <w:r>
        <w:rPr>
          <w:sz w:val="24"/>
          <w:szCs w:val="24"/>
        </w:rPr>
        <w:t>Patienten bør holde helt op med at ryge under behandlingen med Nicorette Cooldrops.</w:t>
      </w:r>
    </w:p>
    <w:p w:rsidR="009830A0" w:rsidRDefault="009830A0" w:rsidP="009830A0">
      <w:pPr>
        <w:ind w:left="851" w:hanging="851"/>
        <w:rPr>
          <w:sz w:val="24"/>
          <w:szCs w:val="24"/>
        </w:rPr>
      </w:pPr>
    </w:p>
    <w:p w:rsidR="009830A0" w:rsidRDefault="009830A0" w:rsidP="009830A0">
      <w:pPr>
        <w:ind w:left="851"/>
        <w:rPr>
          <w:sz w:val="24"/>
          <w:szCs w:val="24"/>
        </w:rPr>
      </w:pPr>
      <w:r>
        <w:rPr>
          <w:sz w:val="24"/>
          <w:szCs w:val="24"/>
        </w:rPr>
        <w:t>Sugetabletterne anvendes, så snart der opstår rygetrang.</w:t>
      </w:r>
    </w:p>
    <w:p w:rsidR="009830A0" w:rsidRDefault="009830A0" w:rsidP="009830A0">
      <w:pPr>
        <w:ind w:left="851"/>
        <w:rPr>
          <w:sz w:val="24"/>
          <w:szCs w:val="24"/>
        </w:rPr>
      </w:pPr>
      <w:r>
        <w:rPr>
          <w:sz w:val="24"/>
          <w:szCs w:val="24"/>
        </w:rPr>
        <w:t>Der bør dagligt anvendes et tilstrækkeligt antal sugetabletter, rygere har normalt behov for 8-12 sugetabletter, dog må der ikke anvendes flere end 15.</w:t>
      </w:r>
    </w:p>
    <w:p w:rsidR="009830A0" w:rsidRDefault="009830A0" w:rsidP="009830A0">
      <w:pPr>
        <w:ind w:left="851" w:hanging="851"/>
        <w:rPr>
          <w:sz w:val="24"/>
          <w:szCs w:val="24"/>
        </w:rPr>
      </w:pPr>
    </w:p>
    <w:p w:rsidR="009830A0" w:rsidRDefault="009830A0" w:rsidP="009830A0">
      <w:pPr>
        <w:ind w:left="851"/>
        <w:rPr>
          <w:sz w:val="24"/>
          <w:szCs w:val="24"/>
        </w:rPr>
      </w:pPr>
      <w:r>
        <w:rPr>
          <w:sz w:val="24"/>
          <w:szCs w:val="24"/>
        </w:rPr>
        <w:t>Behandlingsvarigheden er individuel, men op til 6 ugers behandling anbefales for at bryde rygeafhængigheden. Nicotindosis bør derefter nedtrappes gradvist ved at reducere det totale antal sugetabletter, der dagligt anvendes. Behandlingen bør afsluttes, når forbruget er nedsat til 1-2 sugetabletter om dagen.</w:t>
      </w:r>
    </w:p>
    <w:p w:rsidR="009830A0" w:rsidRDefault="009830A0" w:rsidP="009830A0">
      <w:pPr>
        <w:ind w:left="851" w:hanging="851"/>
        <w:rPr>
          <w:sz w:val="24"/>
          <w:szCs w:val="24"/>
        </w:rPr>
      </w:pPr>
    </w:p>
    <w:p w:rsidR="009830A0" w:rsidRDefault="009830A0" w:rsidP="009830A0">
      <w:pPr>
        <w:ind w:left="851"/>
        <w:rPr>
          <w:i/>
          <w:sz w:val="24"/>
          <w:szCs w:val="24"/>
        </w:rPr>
      </w:pPr>
      <w:r>
        <w:rPr>
          <w:sz w:val="24"/>
          <w:szCs w:val="24"/>
        </w:rPr>
        <w:t>Brug en sugetablet, så snart der opstår rygetrang, for at opretholde fuldstændig afholdenhed fra at ryge. Tiloversblevne sugetabletter beholdes i tilfælde af pludselig rygetrang og tages i situationer, hvor der opstår en trang til at ryge.</w:t>
      </w:r>
    </w:p>
    <w:p w:rsidR="009830A0" w:rsidRDefault="009830A0" w:rsidP="009830A0">
      <w:pPr>
        <w:ind w:left="851" w:hanging="851"/>
        <w:rPr>
          <w:i/>
          <w:sz w:val="24"/>
          <w:szCs w:val="24"/>
        </w:rPr>
      </w:pPr>
    </w:p>
    <w:p w:rsidR="009830A0" w:rsidRDefault="009830A0" w:rsidP="009830A0">
      <w:pPr>
        <w:ind w:left="851"/>
        <w:rPr>
          <w:b/>
          <w:sz w:val="24"/>
          <w:szCs w:val="24"/>
        </w:rPr>
      </w:pPr>
      <w:r>
        <w:rPr>
          <w:i/>
          <w:sz w:val="24"/>
          <w:szCs w:val="24"/>
        </w:rPr>
        <w:t xml:space="preserve">Gradvist rygeophør ved gradvis reduktion af rygning: </w:t>
      </w:r>
      <w:r>
        <w:rPr>
          <w:b/>
          <w:sz w:val="24"/>
          <w:szCs w:val="24"/>
        </w:rPr>
        <w:t xml:space="preserve"> </w:t>
      </w:r>
    </w:p>
    <w:p w:rsidR="009830A0" w:rsidRDefault="009830A0" w:rsidP="009830A0">
      <w:pPr>
        <w:ind w:left="851"/>
        <w:rPr>
          <w:spacing w:val="-3"/>
          <w:sz w:val="24"/>
          <w:szCs w:val="24"/>
        </w:rPr>
      </w:pPr>
      <w:r>
        <w:rPr>
          <w:spacing w:val="-3"/>
          <w:sz w:val="24"/>
          <w:szCs w:val="24"/>
        </w:rPr>
        <w:t>For rygere der er uvillige eller ude af stand til øjeblikkeligt at stoppe med at ryge.</w:t>
      </w:r>
    </w:p>
    <w:p w:rsidR="009830A0" w:rsidRDefault="009830A0" w:rsidP="009830A0">
      <w:pPr>
        <w:ind w:left="851" w:hanging="851"/>
        <w:rPr>
          <w:spacing w:val="-3"/>
          <w:sz w:val="24"/>
          <w:szCs w:val="24"/>
        </w:rPr>
      </w:pPr>
    </w:p>
    <w:p w:rsidR="009830A0" w:rsidRDefault="009830A0" w:rsidP="009830A0">
      <w:pPr>
        <w:ind w:left="851"/>
        <w:rPr>
          <w:spacing w:val="-3"/>
          <w:sz w:val="24"/>
          <w:szCs w:val="24"/>
        </w:rPr>
      </w:pPr>
      <w:r>
        <w:rPr>
          <w:spacing w:val="-3"/>
          <w:sz w:val="24"/>
          <w:szCs w:val="24"/>
        </w:rPr>
        <w:t>Brug en sugetablet mellem rygeperioderne for at styre rygetrangen og forlænge de rygefri intervaller med det formål at reducere rygningen så meget som muligt.</w:t>
      </w:r>
    </w:p>
    <w:p w:rsidR="009830A0" w:rsidRDefault="009830A0" w:rsidP="009830A0">
      <w:pPr>
        <w:ind w:left="851" w:hanging="851"/>
        <w:rPr>
          <w:spacing w:val="-3"/>
          <w:sz w:val="24"/>
          <w:szCs w:val="24"/>
        </w:rPr>
      </w:pPr>
    </w:p>
    <w:p w:rsidR="009830A0" w:rsidRDefault="009830A0" w:rsidP="009830A0">
      <w:pPr>
        <w:ind w:left="851"/>
        <w:rPr>
          <w:spacing w:val="-3"/>
          <w:sz w:val="24"/>
          <w:szCs w:val="24"/>
        </w:rPr>
      </w:pPr>
      <w:r>
        <w:rPr>
          <w:spacing w:val="-3"/>
          <w:sz w:val="24"/>
          <w:szCs w:val="24"/>
        </w:rPr>
        <w:t>Antallet af sugetabletter per dag varierer og afhænger af patientens behov, men bør dog ikke overstige 15 sugetabletter dagligt.</w:t>
      </w:r>
    </w:p>
    <w:p w:rsidR="009830A0" w:rsidRDefault="009830A0" w:rsidP="009830A0">
      <w:pPr>
        <w:ind w:left="851" w:hanging="851"/>
        <w:rPr>
          <w:spacing w:val="-3"/>
          <w:sz w:val="24"/>
          <w:szCs w:val="24"/>
        </w:rPr>
      </w:pPr>
    </w:p>
    <w:p w:rsidR="009830A0" w:rsidRDefault="009830A0" w:rsidP="009830A0">
      <w:pPr>
        <w:ind w:left="851"/>
        <w:rPr>
          <w:spacing w:val="-3"/>
          <w:sz w:val="24"/>
          <w:szCs w:val="24"/>
        </w:rPr>
      </w:pPr>
      <w:r>
        <w:rPr>
          <w:spacing w:val="-3"/>
          <w:sz w:val="24"/>
          <w:szCs w:val="24"/>
        </w:rPr>
        <w:t>Hvis det daglige antal af cigaretter ikke er reduceret efter 6 uger, bør der søges professionel hjælp.</w:t>
      </w:r>
    </w:p>
    <w:p w:rsidR="009830A0" w:rsidRDefault="009830A0" w:rsidP="009830A0">
      <w:pPr>
        <w:ind w:left="851" w:hanging="851"/>
        <w:rPr>
          <w:spacing w:val="-3"/>
          <w:sz w:val="24"/>
          <w:szCs w:val="24"/>
        </w:rPr>
      </w:pPr>
    </w:p>
    <w:p w:rsidR="009830A0" w:rsidRDefault="009830A0" w:rsidP="009830A0">
      <w:pPr>
        <w:ind w:left="851"/>
        <w:rPr>
          <w:spacing w:val="-3"/>
          <w:sz w:val="24"/>
          <w:szCs w:val="24"/>
        </w:rPr>
      </w:pPr>
      <w:r>
        <w:rPr>
          <w:spacing w:val="-3"/>
          <w:sz w:val="24"/>
          <w:szCs w:val="24"/>
        </w:rPr>
        <w:t>Det mindskede tobaksforbrug bør føre til fuldstændigt rygeophør. Ophør bør forsøges, så snart rygeren er klar til det, dog ikke senere end efter 6 måneders behandling. Når antallet af cigaretter er reduceret tilstrækkeligt til at rygeren føler sig i stand til fuldstændig at holde op med at ryge, bør anvisningerne for ”øjeblikkeligt ophør” som angivet ovenfor påbegyndes.</w:t>
      </w:r>
    </w:p>
    <w:p w:rsidR="009830A0" w:rsidRDefault="009830A0" w:rsidP="009830A0">
      <w:pPr>
        <w:ind w:left="851"/>
        <w:rPr>
          <w:spacing w:val="-3"/>
          <w:sz w:val="24"/>
          <w:szCs w:val="24"/>
        </w:rPr>
      </w:pPr>
      <w:r>
        <w:rPr>
          <w:spacing w:val="-3"/>
          <w:sz w:val="24"/>
          <w:szCs w:val="24"/>
        </w:rPr>
        <w:t>Hvis forsøget på komplet rygeophør ikke er påbegyndt inden for 6 måneder, efter behandlingen er påbegyndt, anbefales det at konsultere sundhedspersonale.</w:t>
      </w:r>
    </w:p>
    <w:p w:rsidR="009830A0" w:rsidRDefault="009830A0" w:rsidP="009830A0">
      <w:pPr>
        <w:ind w:left="851"/>
        <w:rPr>
          <w:spacing w:val="-3"/>
          <w:sz w:val="24"/>
          <w:szCs w:val="24"/>
        </w:rPr>
      </w:pPr>
    </w:p>
    <w:p w:rsidR="009830A0" w:rsidRDefault="009830A0" w:rsidP="009830A0">
      <w:pPr>
        <w:ind w:left="851"/>
        <w:rPr>
          <w:i/>
          <w:sz w:val="24"/>
          <w:szCs w:val="24"/>
        </w:rPr>
      </w:pPr>
      <w:r>
        <w:rPr>
          <w:i/>
          <w:sz w:val="24"/>
          <w:szCs w:val="24"/>
        </w:rPr>
        <w:t>Pædiatrisk population</w:t>
      </w:r>
    </w:p>
    <w:p w:rsidR="009830A0" w:rsidRDefault="009830A0" w:rsidP="009830A0">
      <w:pPr>
        <w:ind w:left="851"/>
        <w:rPr>
          <w:sz w:val="24"/>
          <w:szCs w:val="24"/>
        </w:rPr>
      </w:pPr>
      <w:r>
        <w:rPr>
          <w:sz w:val="24"/>
          <w:szCs w:val="24"/>
        </w:rPr>
        <w:t xml:space="preserve">Nicorette Cooldrops 4 mg bør kun anvendes til unge (12-17 år) efter lægens anvisning. </w:t>
      </w:r>
    </w:p>
    <w:p w:rsidR="009830A0" w:rsidRDefault="009830A0" w:rsidP="009830A0">
      <w:pPr>
        <w:ind w:left="851"/>
        <w:rPr>
          <w:sz w:val="24"/>
          <w:szCs w:val="24"/>
        </w:rPr>
      </w:pPr>
      <w:r>
        <w:rPr>
          <w:sz w:val="24"/>
          <w:szCs w:val="24"/>
        </w:rPr>
        <w:t>Nicorette Cooldrops må ikke anvendes til børn under 12 år.</w:t>
      </w:r>
    </w:p>
    <w:p w:rsidR="009830A0" w:rsidRDefault="009830A0" w:rsidP="009830A0">
      <w:pPr>
        <w:ind w:left="851" w:hanging="851"/>
        <w:rPr>
          <w:sz w:val="24"/>
          <w:szCs w:val="24"/>
        </w:rPr>
      </w:pPr>
    </w:p>
    <w:p w:rsidR="009830A0" w:rsidRDefault="009830A0" w:rsidP="009830A0">
      <w:pPr>
        <w:ind w:left="851"/>
        <w:rPr>
          <w:sz w:val="24"/>
          <w:szCs w:val="24"/>
        </w:rPr>
      </w:pPr>
      <w:r>
        <w:rPr>
          <w:sz w:val="24"/>
          <w:szCs w:val="24"/>
        </w:rPr>
        <w:t>Sikkerhed og effekt af Nicorette Cooldrops 4 mg hos børn og unge er ikke undersøgt.</w:t>
      </w:r>
    </w:p>
    <w:p w:rsidR="009830A0" w:rsidRDefault="009830A0" w:rsidP="009830A0">
      <w:pPr>
        <w:ind w:left="851" w:hanging="851"/>
        <w:rPr>
          <w:i/>
          <w:sz w:val="24"/>
          <w:szCs w:val="24"/>
        </w:rPr>
      </w:pPr>
    </w:p>
    <w:p w:rsidR="009830A0" w:rsidRDefault="009830A0" w:rsidP="009830A0">
      <w:pPr>
        <w:ind w:left="851"/>
        <w:rPr>
          <w:sz w:val="24"/>
          <w:szCs w:val="24"/>
          <w:u w:val="single"/>
        </w:rPr>
      </w:pPr>
      <w:r>
        <w:rPr>
          <w:sz w:val="24"/>
          <w:szCs w:val="24"/>
          <w:u w:val="single"/>
        </w:rPr>
        <w:t>Administration</w:t>
      </w:r>
    </w:p>
    <w:p w:rsidR="009830A0" w:rsidRDefault="009830A0" w:rsidP="009830A0">
      <w:pPr>
        <w:ind w:left="851"/>
        <w:rPr>
          <w:sz w:val="24"/>
          <w:szCs w:val="24"/>
        </w:rPr>
      </w:pPr>
      <w:r>
        <w:rPr>
          <w:sz w:val="24"/>
          <w:szCs w:val="24"/>
        </w:rPr>
        <w:t>Til anvendelse i mundhulen.</w:t>
      </w:r>
    </w:p>
    <w:p w:rsidR="009830A0" w:rsidRDefault="009830A0" w:rsidP="009830A0">
      <w:pPr>
        <w:ind w:left="851"/>
        <w:rPr>
          <w:sz w:val="24"/>
          <w:szCs w:val="24"/>
        </w:rPr>
      </w:pPr>
      <w:r>
        <w:rPr>
          <w:sz w:val="24"/>
          <w:szCs w:val="24"/>
        </w:rPr>
        <w:t>En sugetablet skal placeres i munden og opløses. Sugetabletten flyttes løbende fra én side af munden til den anden, hvilket gentages, indtil sugetabletten er helt opløst (det tager ca. 16-19 minutter). Sugetabletten må ikke tygges eller synkes.</w:t>
      </w:r>
    </w:p>
    <w:p w:rsidR="009830A0" w:rsidRDefault="009830A0" w:rsidP="009830A0">
      <w:pPr>
        <w:ind w:left="851" w:hanging="851"/>
        <w:rPr>
          <w:sz w:val="24"/>
          <w:szCs w:val="24"/>
        </w:rPr>
      </w:pPr>
    </w:p>
    <w:p w:rsidR="009830A0" w:rsidRDefault="009830A0" w:rsidP="009830A0">
      <w:pPr>
        <w:ind w:left="851"/>
        <w:rPr>
          <w:sz w:val="24"/>
          <w:szCs w:val="24"/>
        </w:rPr>
      </w:pPr>
      <w:r>
        <w:rPr>
          <w:sz w:val="24"/>
          <w:szCs w:val="24"/>
        </w:rPr>
        <w:lastRenderedPageBreak/>
        <w:t xml:space="preserve">Mad og drikke må ikke indtages, mens en sugetablet er i munden. </w:t>
      </w:r>
    </w:p>
    <w:p w:rsidR="009830A0" w:rsidRPr="00D834E3" w:rsidRDefault="009830A0" w:rsidP="009830A0">
      <w:pPr>
        <w:ind w:left="851" w:hanging="851"/>
        <w:rPr>
          <w:sz w:val="24"/>
          <w:szCs w:val="24"/>
        </w:rPr>
      </w:pPr>
    </w:p>
    <w:p w:rsidR="009830A0" w:rsidRPr="00D834E3" w:rsidRDefault="009830A0" w:rsidP="004C03F9">
      <w:pPr>
        <w:keepNext/>
        <w:numPr>
          <w:ilvl w:val="1"/>
          <w:numId w:val="1"/>
        </w:numPr>
        <w:tabs>
          <w:tab w:val="clear" w:pos="855"/>
        </w:tabs>
        <w:ind w:left="851" w:hanging="851"/>
        <w:rPr>
          <w:b/>
          <w:sz w:val="24"/>
          <w:szCs w:val="24"/>
        </w:rPr>
      </w:pPr>
      <w:r w:rsidRPr="00D834E3">
        <w:rPr>
          <w:b/>
          <w:sz w:val="24"/>
          <w:szCs w:val="24"/>
        </w:rPr>
        <w:t>Kontraindikationer</w:t>
      </w:r>
    </w:p>
    <w:p w:rsidR="009830A0" w:rsidRDefault="009830A0" w:rsidP="009830A0">
      <w:pPr>
        <w:pStyle w:val="Listeafsnit"/>
        <w:numPr>
          <w:ilvl w:val="0"/>
          <w:numId w:val="6"/>
        </w:numPr>
        <w:ind w:left="1276" w:hanging="425"/>
        <w:rPr>
          <w:szCs w:val="24"/>
        </w:rPr>
      </w:pPr>
      <w:r w:rsidRPr="00D834E3">
        <w:rPr>
          <w:szCs w:val="24"/>
        </w:rPr>
        <w:t xml:space="preserve">Overfølsomhed over for nicotin eller over for et eller flere af </w:t>
      </w:r>
      <w:r>
        <w:rPr>
          <w:szCs w:val="24"/>
        </w:rPr>
        <w:t>hjælpestofferne anført i pkt. 6.1.</w:t>
      </w:r>
    </w:p>
    <w:p w:rsidR="009830A0" w:rsidRPr="00D834E3" w:rsidRDefault="009830A0" w:rsidP="009830A0">
      <w:pPr>
        <w:pStyle w:val="Listeafsnit"/>
        <w:numPr>
          <w:ilvl w:val="0"/>
          <w:numId w:val="6"/>
        </w:numPr>
        <w:ind w:left="1276" w:hanging="425"/>
        <w:rPr>
          <w:szCs w:val="24"/>
        </w:rPr>
      </w:pPr>
      <w:r w:rsidRPr="00D834E3">
        <w:rPr>
          <w:szCs w:val="24"/>
        </w:rPr>
        <w:t>Børn under 12 år.</w:t>
      </w:r>
    </w:p>
    <w:p w:rsidR="009830A0" w:rsidRPr="00D834E3" w:rsidRDefault="009830A0" w:rsidP="009830A0">
      <w:pPr>
        <w:pStyle w:val="Listeafsnit"/>
        <w:numPr>
          <w:ilvl w:val="0"/>
          <w:numId w:val="6"/>
        </w:numPr>
        <w:ind w:left="1276" w:hanging="425"/>
        <w:rPr>
          <w:szCs w:val="24"/>
        </w:rPr>
      </w:pPr>
      <w:r w:rsidRPr="00D834E3">
        <w:rPr>
          <w:szCs w:val="24"/>
        </w:rPr>
        <w:t>Personer, der aldrig har røget.</w:t>
      </w:r>
    </w:p>
    <w:p w:rsidR="009830A0" w:rsidRPr="00D834E3" w:rsidRDefault="009830A0" w:rsidP="009830A0">
      <w:pPr>
        <w:ind w:left="851" w:hanging="851"/>
        <w:rPr>
          <w:sz w:val="24"/>
          <w:szCs w:val="24"/>
        </w:rPr>
      </w:pPr>
    </w:p>
    <w:p w:rsidR="009830A0" w:rsidRPr="00D834E3" w:rsidRDefault="009830A0" w:rsidP="009830A0">
      <w:pPr>
        <w:numPr>
          <w:ilvl w:val="1"/>
          <w:numId w:val="1"/>
        </w:numPr>
        <w:tabs>
          <w:tab w:val="clear" w:pos="855"/>
        </w:tabs>
        <w:ind w:left="851" w:hanging="851"/>
        <w:rPr>
          <w:b/>
          <w:sz w:val="24"/>
          <w:szCs w:val="24"/>
        </w:rPr>
      </w:pPr>
      <w:r w:rsidRPr="00D834E3">
        <w:rPr>
          <w:b/>
          <w:sz w:val="24"/>
          <w:szCs w:val="24"/>
        </w:rPr>
        <w:t>Særlige advarsler og forsigtighedsregler vedrørende brugen</w:t>
      </w:r>
    </w:p>
    <w:p w:rsidR="009830A0" w:rsidRDefault="009830A0" w:rsidP="009830A0">
      <w:pPr>
        <w:ind w:left="851" w:hanging="851"/>
        <w:rPr>
          <w:sz w:val="24"/>
          <w:szCs w:val="24"/>
        </w:rPr>
      </w:pPr>
      <w:r>
        <w:rPr>
          <w:sz w:val="24"/>
          <w:szCs w:val="24"/>
        </w:rPr>
        <w:tab/>
        <w:t>Fordelene ved rygeophør opvejer sædvanligvis eventuelle risici forbundet med korrekt anvendelse af nicotinsubstitutionsbehandling.</w:t>
      </w:r>
    </w:p>
    <w:p w:rsidR="009830A0" w:rsidRPr="00D834E3" w:rsidRDefault="009830A0" w:rsidP="009830A0">
      <w:pPr>
        <w:ind w:left="851" w:hanging="851"/>
        <w:rPr>
          <w:sz w:val="24"/>
          <w:szCs w:val="24"/>
        </w:rPr>
      </w:pPr>
    </w:p>
    <w:p w:rsidR="009830A0" w:rsidRDefault="009830A0" w:rsidP="009830A0">
      <w:pPr>
        <w:ind w:left="851"/>
        <w:rPr>
          <w:sz w:val="24"/>
          <w:szCs w:val="24"/>
        </w:rPr>
      </w:pPr>
      <w:r>
        <w:rPr>
          <w:sz w:val="24"/>
          <w:szCs w:val="24"/>
        </w:rPr>
        <w:t>En risk-benefit-vurdering bør foretages af passende sundhedspersonale for patienter med følgende tilstande:</w:t>
      </w:r>
    </w:p>
    <w:p w:rsidR="009830A0" w:rsidRDefault="009830A0" w:rsidP="009830A0">
      <w:pPr>
        <w:pStyle w:val="Listeafsnit"/>
        <w:numPr>
          <w:ilvl w:val="0"/>
          <w:numId w:val="7"/>
        </w:numPr>
        <w:ind w:left="1276" w:hanging="425"/>
        <w:rPr>
          <w:szCs w:val="24"/>
        </w:rPr>
      </w:pPr>
      <w:r>
        <w:rPr>
          <w:i/>
          <w:szCs w:val="24"/>
        </w:rPr>
        <w:t xml:space="preserve">Kardiovaskulære sygdomme: Afhængige rygere med nylig myokardieinfarkt, ustabil eller forværret angina inkl. Prinzmetals angina, svære hjertearytmier, nylig apopleksi og/eller ukontrolleret hypertension </w:t>
      </w:r>
      <w:r>
        <w:rPr>
          <w:szCs w:val="24"/>
        </w:rPr>
        <w:t>bør tilskyndes til rygestop ved hjælp af ikke-farmakologiske metoder (som f.eks. rådgivning). Hvis dette mislykkes, kan behandling med Nicorette Cooldrops overvejes, men da sikkerhedsdata for denne patientgruppe er begrænset, bør behandlingen kun påbegyndes under nøje medicinsk overvågning.</w:t>
      </w:r>
    </w:p>
    <w:p w:rsidR="009830A0" w:rsidRDefault="009830A0" w:rsidP="009830A0">
      <w:pPr>
        <w:pStyle w:val="Listeafsnit"/>
        <w:numPr>
          <w:ilvl w:val="0"/>
          <w:numId w:val="7"/>
        </w:numPr>
        <w:ind w:left="1276" w:hanging="425"/>
        <w:rPr>
          <w:szCs w:val="24"/>
        </w:rPr>
      </w:pPr>
      <w:r>
        <w:rPr>
          <w:i/>
          <w:szCs w:val="24"/>
        </w:rPr>
        <w:t xml:space="preserve">Diabetes mellitus: </w:t>
      </w:r>
      <w:r>
        <w:rPr>
          <w:szCs w:val="24"/>
        </w:rPr>
        <w:t>Patienter med diabetes mellitus bør rådes til at kontrollere deres blodsukkerniveau mere nøje end normalt, når rygningen stoppes og nicotinsubstitutionsbehandlingen påbegyndes, da reduktion i nicotininduceret catecholaminfrigivelse kan påvirke kulhydratmetabolismen.</w:t>
      </w:r>
    </w:p>
    <w:p w:rsidR="009830A0" w:rsidRDefault="009830A0" w:rsidP="009830A0">
      <w:pPr>
        <w:pStyle w:val="Listeafsnit"/>
        <w:numPr>
          <w:ilvl w:val="0"/>
          <w:numId w:val="7"/>
        </w:numPr>
        <w:ind w:left="1276" w:hanging="425"/>
        <w:rPr>
          <w:szCs w:val="24"/>
        </w:rPr>
      </w:pPr>
      <w:r>
        <w:rPr>
          <w:i/>
          <w:szCs w:val="24"/>
        </w:rPr>
        <w:t>Allergiske reaktioner:</w:t>
      </w:r>
      <w:r>
        <w:rPr>
          <w:szCs w:val="24"/>
        </w:rPr>
        <w:t xml:space="preserve"> Disponering for angioødem og urticaria.</w:t>
      </w:r>
    </w:p>
    <w:p w:rsidR="009830A0" w:rsidRDefault="009830A0" w:rsidP="009830A0">
      <w:pPr>
        <w:pStyle w:val="Listeafsnit"/>
        <w:numPr>
          <w:ilvl w:val="0"/>
          <w:numId w:val="8"/>
        </w:numPr>
        <w:ind w:left="1276" w:hanging="425"/>
        <w:rPr>
          <w:szCs w:val="24"/>
        </w:rPr>
      </w:pPr>
      <w:r>
        <w:rPr>
          <w:i/>
          <w:szCs w:val="24"/>
        </w:rPr>
        <w:t xml:space="preserve">Nedsat nyre- og leverfunktion: </w:t>
      </w:r>
      <w:r>
        <w:rPr>
          <w:szCs w:val="24"/>
        </w:rPr>
        <w:t>Anvendes med forsigtighed hos</w:t>
      </w:r>
      <w:r>
        <w:rPr>
          <w:i/>
          <w:szCs w:val="24"/>
        </w:rPr>
        <w:t xml:space="preserve"> </w:t>
      </w:r>
      <w:r>
        <w:rPr>
          <w:szCs w:val="24"/>
        </w:rPr>
        <w:t>patienter med moderat til svært nedsat leverfunktion og/eller svært nedsat nyrefunktion, da clearance af nicotin eller dets metabolitter kan være nedsat, hvilket kan føre til øgede bivirkninger.</w:t>
      </w:r>
    </w:p>
    <w:p w:rsidR="00FA430B" w:rsidRDefault="00FA430B" w:rsidP="00FA430B">
      <w:pPr>
        <w:pStyle w:val="Listeafsnit"/>
        <w:numPr>
          <w:ilvl w:val="0"/>
          <w:numId w:val="8"/>
        </w:numPr>
        <w:ind w:left="1276" w:hanging="425"/>
        <w:rPr>
          <w:szCs w:val="24"/>
        </w:rPr>
      </w:pPr>
      <w:r>
        <w:rPr>
          <w:i/>
          <w:szCs w:val="24"/>
        </w:rPr>
        <w:t xml:space="preserve">Fæokromocytom og ukontrolleret hypertyreose: </w:t>
      </w:r>
      <w:r>
        <w:rPr>
          <w:szCs w:val="24"/>
        </w:rPr>
        <w:t>Anvendes med forsigtighed hos patienter med ukontrolleret hypertyreose eller fæokromocytom, da nicotin medfører frigivelse af catecholaminer.</w:t>
      </w:r>
    </w:p>
    <w:p w:rsidR="00FA430B" w:rsidRDefault="00FA430B" w:rsidP="00FA430B">
      <w:pPr>
        <w:pStyle w:val="Listeafsnit"/>
        <w:numPr>
          <w:ilvl w:val="0"/>
          <w:numId w:val="8"/>
        </w:numPr>
        <w:ind w:left="1276" w:hanging="425"/>
        <w:rPr>
          <w:szCs w:val="24"/>
        </w:rPr>
      </w:pPr>
      <w:r>
        <w:rPr>
          <w:i/>
          <w:szCs w:val="24"/>
        </w:rPr>
        <w:t xml:space="preserve">Mave-tarm-sygdomme: </w:t>
      </w:r>
      <w:r>
        <w:rPr>
          <w:szCs w:val="24"/>
        </w:rPr>
        <w:t>Slugt nicotin kan forværre symptomer hos patienter, der lider af øsofagitis og gastrisk eller peptisk ulcus, og orale nicotinsubstitutionspræparater bør bruges med varsomhed under disse omstændigheder.</w:t>
      </w:r>
    </w:p>
    <w:p w:rsidR="00FA430B" w:rsidRPr="00A82FAF" w:rsidRDefault="00FA430B" w:rsidP="00FA430B">
      <w:pPr>
        <w:pStyle w:val="Listeafsnit"/>
        <w:numPr>
          <w:ilvl w:val="0"/>
          <w:numId w:val="8"/>
        </w:numPr>
        <w:ind w:left="1276" w:hanging="425"/>
        <w:rPr>
          <w:szCs w:val="24"/>
        </w:rPr>
      </w:pPr>
      <w:r>
        <w:rPr>
          <w:i/>
          <w:iCs/>
          <w:szCs w:val="24"/>
        </w:rPr>
        <w:t>Krampea</w:t>
      </w:r>
      <w:r w:rsidRPr="003F46CF">
        <w:rPr>
          <w:i/>
          <w:iCs/>
          <w:szCs w:val="24"/>
        </w:rPr>
        <w:t>nfald</w:t>
      </w:r>
      <w:r w:rsidRPr="00A82FAF">
        <w:rPr>
          <w:szCs w:val="24"/>
        </w:rPr>
        <w:t>: Brug med forsigtighed hos personer, der får antikonvulsiv behandling eller med epilepsi i anamnesen, da tilfælde af kramper er blevet rapporteret i forbindelse med ni</w:t>
      </w:r>
      <w:r>
        <w:rPr>
          <w:szCs w:val="24"/>
        </w:rPr>
        <w:t>c</w:t>
      </w:r>
      <w:r w:rsidRPr="00A82FAF">
        <w:rPr>
          <w:szCs w:val="24"/>
        </w:rPr>
        <w:t>otin (se pkt.</w:t>
      </w:r>
      <w:r>
        <w:rPr>
          <w:szCs w:val="24"/>
        </w:rPr>
        <w:t> </w:t>
      </w:r>
      <w:r w:rsidRPr="00A82FAF">
        <w:rPr>
          <w:szCs w:val="24"/>
        </w:rPr>
        <w:t>4.8).</w:t>
      </w:r>
    </w:p>
    <w:p w:rsidR="009830A0" w:rsidRDefault="009830A0" w:rsidP="009830A0">
      <w:pPr>
        <w:ind w:left="851" w:hanging="851"/>
        <w:rPr>
          <w:i/>
          <w:sz w:val="24"/>
          <w:szCs w:val="24"/>
        </w:rPr>
      </w:pPr>
    </w:p>
    <w:p w:rsidR="00B93B35" w:rsidRPr="00826BCF" w:rsidRDefault="00B93B35" w:rsidP="00B93B35">
      <w:pPr>
        <w:ind w:left="851"/>
        <w:rPr>
          <w:sz w:val="24"/>
          <w:szCs w:val="24"/>
        </w:rPr>
      </w:pPr>
      <w:r>
        <w:rPr>
          <w:sz w:val="24"/>
          <w:szCs w:val="24"/>
        </w:rPr>
        <w:t>Sugetabletter</w:t>
      </w:r>
      <w:r w:rsidRPr="007D7C9B">
        <w:rPr>
          <w:sz w:val="24"/>
          <w:szCs w:val="24"/>
        </w:rPr>
        <w:t xml:space="preserve"> kan udgøre en kvælningsfare. Brug med forsigtighed hos personer med aspirations- og synkeproblemer.</w:t>
      </w:r>
    </w:p>
    <w:p w:rsidR="00B93B35" w:rsidRDefault="00B93B35" w:rsidP="009830A0">
      <w:pPr>
        <w:ind w:left="851"/>
        <w:rPr>
          <w:sz w:val="24"/>
          <w:szCs w:val="24"/>
          <w:u w:val="single"/>
        </w:rPr>
      </w:pPr>
    </w:p>
    <w:p w:rsidR="009830A0" w:rsidRDefault="009830A0" w:rsidP="009830A0">
      <w:pPr>
        <w:ind w:left="851"/>
        <w:rPr>
          <w:sz w:val="24"/>
          <w:szCs w:val="24"/>
          <w:u w:val="single"/>
        </w:rPr>
      </w:pPr>
      <w:r>
        <w:rPr>
          <w:sz w:val="24"/>
          <w:szCs w:val="24"/>
          <w:u w:val="single"/>
        </w:rPr>
        <w:t>Pædiatrisk population</w:t>
      </w:r>
    </w:p>
    <w:p w:rsidR="009830A0" w:rsidRDefault="009830A0" w:rsidP="009830A0">
      <w:pPr>
        <w:ind w:left="851"/>
        <w:rPr>
          <w:sz w:val="24"/>
          <w:szCs w:val="24"/>
        </w:rPr>
      </w:pPr>
      <w:r>
        <w:rPr>
          <w:i/>
          <w:sz w:val="24"/>
          <w:szCs w:val="24"/>
        </w:rPr>
        <w:t xml:space="preserve">Risiko for børn: </w:t>
      </w:r>
      <w:r>
        <w:rPr>
          <w:sz w:val="24"/>
          <w:szCs w:val="24"/>
        </w:rPr>
        <w:t>Nicotindoser, som tåles af rygere, kan forårsage svære forgiftningssymptomer eller være dødelige for børn. Nicotinholdige produkter bør opbevares utilgængeligt for børn, se pkt. 4.9 Overdosering.</w:t>
      </w:r>
    </w:p>
    <w:p w:rsidR="009830A0" w:rsidRDefault="009830A0" w:rsidP="009830A0">
      <w:pPr>
        <w:ind w:left="851"/>
        <w:rPr>
          <w:i/>
          <w:iCs/>
          <w:sz w:val="24"/>
          <w:szCs w:val="24"/>
        </w:rPr>
      </w:pPr>
    </w:p>
    <w:p w:rsidR="009830A0" w:rsidRDefault="009830A0" w:rsidP="009830A0">
      <w:pPr>
        <w:ind w:left="851"/>
        <w:rPr>
          <w:iCs/>
          <w:sz w:val="24"/>
          <w:szCs w:val="24"/>
        </w:rPr>
      </w:pPr>
      <w:r>
        <w:rPr>
          <w:i/>
          <w:iCs/>
          <w:sz w:val="24"/>
          <w:szCs w:val="24"/>
        </w:rPr>
        <w:t>Rygestop:</w:t>
      </w:r>
      <w:r>
        <w:rPr>
          <w:sz w:val="24"/>
          <w:szCs w:val="24"/>
        </w:rPr>
        <w:t xml:space="preserve"> </w:t>
      </w:r>
      <w:r>
        <w:rPr>
          <w:iCs/>
          <w:sz w:val="24"/>
          <w:szCs w:val="24"/>
        </w:rPr>
        <w:t xml:space="preserve">Polycycliske aromatiske hydrocarboner i tobaksrøg inducerer metabolismen af lægemidler, der metaboliseres af CYP 1A2 (og muligvis af CYP 1A1). Når en ryger holder op med at ryge, kan dette resultere i en langsommere metabolisme og en deraf følgende stigning i koncentrationen af sådanne lægemidler i blodet.  </w:t>
      </w:r>
    </w:p>
    <w:p w:rsidR="009830A0" w:rsidRDefault="009830A0" w:rsidP="009830A0">
      <w:pPr>
        <w:ind w:left="851"/>
        <w:rPr>
          <w:i/>
          <w:sz w:val="24"/>
          <w:szCs w:val="24"/>
        </w:rPr>
      </w:pPr>
    </w:p>
    <w:p w:rsidR="00206688" w:rsidRDefault="00206688" w:rsidP="00206688">
      <w:pPr>
        <w:ind w:left="851"/>
        <w:rPr>
          <w:sz w:val="24"/>
          <w:szCs w:val="24"/>
        </w:rPr>
      </w:pPr>
      <w:r>
        <w:rPr>
          <w:i/>
          <w:sz w:val="24"/>
          <w:szCs w:val="24"/>
        </w:rPr>
        <w:t xml:space="preserve">Overført afhængighed: </w:t>
      </w:r>
      <w:r>
        <w:rPr>
          <w:sz w:val="24"/>
          <w:szCs w:val="24"/>
        </w:rPr>
        <w:t>Overført afhængighed er sjælden og er både mindre skadelig og lettere at bryde end rygeafhængighed.</w:t>
      </w:r>
    </w:p>
    <w:p w:rsidR="00206688" w:rsidRDefault="00206688" w:rsidP="00206688">
      <w:pPr>
        <w:ind w:left="851"/>
        <w:rPr>
          <w:sz w:val="24"/>
          <w:szCs w:val="24"/>
        </w:rPr>
      </w:pPr>
    </w:p>
    <w:p w:rsidR="00206688" w:rsidRDefault="00206688" w:rsidP="00206688">
      <w:pPr>
        <w:ind w:left="851"/>
        <w:rPr>
          <w:sz w:val="24"/>
          <w:szCs w:val="24"/>
        </w:rPr>
      </w:pPr>
      <w:r>
        <w:rPr>
          <w:sz w:val="24"/>
          <w:szCs w:val="24"/>
        </w:rPr>
        <w:t>Hjælpestoffer:</w:t>
      </w:r>
    </w:p>
    <w:p w:rsidR="009830A0" w:rsidRDefault="00206688" w:rsidP="009924AA">
      <w:pPr>
        <w:ind w:left="851" w:hanging="851"/>
        <w:rPr>
          <w:sz w:val="24"/>
          <w:szCs w:val="24"/>
        </w:rPr>
      </w:pPr>
      <w:r>
        <w:rPr>
          <w:sz w:val="24"/>
          <w:szCs w:val="24"/>
        </w:rPr>
        <w:tab/>
        <w:t>Dette lægemiddel indeholder mindre end 1 mmol (23 mg) natrium pr. sugetablet, dvs. det er i det væsentlige natrium-frit.</w:t>
      </w:r>
    </w:p>
    <w:p w:rsidR="009830A0" w:rsidRDefault="00CA0F11" w:rsidP="00CA0F11">
      <w:pPr>
        <w:ind w:left="851"/>
        <w:rPr>
          <w:sz w:val="24"/>
          <w:szCs w:val="24"/>
        </w:rPr>
      </w:pPr>
      <w:r>
        <w:rPr>
          <w:sz w:val="24"/>
          <w:szCs w:val="24"/>
        </w:rPr>
        <w:t>Dette lægemiddel indeholder polysorbat, som kan fremkalde allergiske reaktioner.</w:t>
      </w:r>
    </w:p>
    <w:p w:rsidR="00CA0F11" w:rsidRPr="00D834E3" w:rsidRDefault="00CA0F11" w:rsidP="009830A0">
      <w:pPr>
        <w:ind w:left="851" w:hanging="851"/>
        <w:rPr>
          <w:sz w:val="24"/>
          <w:szCs w:val="24"/>
        </w:rPr>
      </w:pPr>
    </w:p>
    <w:p w:rsidR="009830A0" w:rsidRPr="00D834E3" w:rsidRDefault="009830A0" w:rsidP="009830A0">
      <w:pPr>
        <w:numPr>
          <w:ilvl w:val="1"/>
          <w:numId w:val="1"/>
        </w:numPr>
        <w:tabs>
          <w:tab w:val="clear" w:pos="855"/>
        </w:tabs>
        <w:ind w:left="851" w:hanging="851"/>
        <w:rPr>
          <w:b/>
          <w:sz w:val="24"/>
          <w:szCs w:val="24"/>
        </w:rPr>
      </w:pPr>
      <w:r w:rsidRPr="00D834E3">
        <w:rPr>
          <w:b/>
          <w:sz w:val="24"/>
          <w:szCs w:val="24"/>
        </w:rPr>
        <w:t>Interaktion med andre lægemidler og andre former for interaktion</w:t>
      </w:r>
    </w:p>
    <w:p w:rsidR="009830A0" w:rsidRDefault="009830A0" w:rsidP="009830A0">
      <w:pPr>
        <w:ind w:left="851" w:hanging="851"/>
        <w:rPr>
          <w:sz w:val="24"/>
          <w:szCs w:val="24"/>
        </w:rPr>
      </w:pPr>
      <w:r>
        <w:rPr>
          <w:sz w:val="24"/>
          <w:szCs w:val="24"/>
        </w:rPr>
        <w:tab/>
        <w:t xml:space="preserve">Der er ikke definitivt fastslået nogen klinisk relevante interaktioner mellem </w:t>
      </w:r>
      <w:r w:rsidR="00FA430B">
        <w:rPr>
          <w:sz w:val="24"/>
          <w:szCs w:val="24"/>
        </w:rPr>
        <w:t>nicotinsubstitutionsprodukter</w:t>
      </w:r>
      <w:r>
        <w:rPr>
          <w:sz w:val="24"/>
          <w:szCs w:val="24"/>
        </w:rPr>
        <w:t xml:space="preserve"> og andre lægemidler. Imidlertid kan nicotin muligvis forstærke adenosins hæmodynamiske effekt dvs. øge blodtryk og hjertefrekvens og desuden medføre øget smertereaktion (angina pectoris lignende brystsmerter) udløst af administration af adenosin. Se pkt. 4.4 for mere information om ændret metabolisme af bestemte lægemidler ved rygestop.  </w:t>
      </w:r>
    </w:p>
    <w:p w:rsidR="009830A0" w:rsidRPr="00D834E3" w:rsidRDefault="009830A0" w:rsidP="009830A0">
      <w:pPr>
        <w:ind w:left="851" w:hanging="851"/>
        <w:rPr>
          <w:sz w:val="24"/>
          <w:szCs w:val="24"/>
        </w:rPr>
      </w:pPr>
    </w:p>
    <w:p w:rsidR="009830A0" w:rsidRPr="00D834E3" w:rsidRDefault="009149D8" w:rsidP="009830A0">
      <w:pPr>
        <w:numPr>
          <w:ilvl w:val="1"/>
          <w:numId w:val="1"/>
        </w:numPr>
        <w:tabs>
          <w:tab w:val="clear" w:pos="855"/>
        </w:tabs>
        <w:ind w:left="851" w:hanging="851"/>
        <w:rPr>
          <w:b/>
          <w:sz w:val="24"/>
          <w:szCs w:val="24"/>
        </w:rPr>
      </w:pPr>
      <w:bookmarkStart w:id="1" w:name="_Hlk121742971"/>
      <w:r w:rsidRPr="00BA4587">
        <w:rPr>
          <w:b/>
          <w:noProof/>
          <w:sz w:val="24"/>
          <w:szCs w:val="24"/>
        </w:rPr>
        <w:t>Fertilitet, g</w:t>
      </w:r>
      <w:r w:rsidRPr="00BA4587">
        <w:rPr>
          <w:b/>
          <w:sz w:val="24"/>
          <w:szCs w:val="24"/>
        </w:rPr>
        <w:t>raviditet og amning</w:t>
      </w:r>
      <w:bookmarkEnd w:id="1"/>
    </w:p>
    <w:p w:rsidR="009830A0" w:rsidRPr="00D834E3" w:rsidRDefault="009830A0" w:rsidP="009830A0">
      <w:pPr>
        <w:ind w:left="851" w:hanging="851"/>
        <w:rPr>
          <w:sz w:val="24"/>
          <w:szCs w:val="24"/>
          <w:u w:val="single"/>
        </w:rPr>
      </w:pPr>
      <w:r w:rsidRPr="00D834E3">
        <w:rPr>
          <w:sz w:val="24"/>
          <w:szCs w:val="24"/>
        </w:rPr>
        <w:tab/>
      </w:r>
      <w:r w:rsidRPr="00D834E3">
        <w:rPr>
          <w:sz w:val="24"/>
          <w:szCs w:val="24"/>
          <w:u w:val="single"/>
        </w:rPr>
        <w:t>Fertile kvinder/kontraception til mænd og kvinder</w:t>
      </w:r>
    </w:p>
    <w:p w:rsidR="009830A0" w:rsidRPr="00D834E3" w:rsidRDefault="009830A0" w:rsidP="009830A0">
      <w:pPr>
        <w:ind w:left="851"/>
        <w:rPr>
          <w:sz w:val="24"/>
          <w:szCs w:val="24"/>
        </w:rPr>
      </w:pPr>
      <w:r w:rsidRPr="00D834E3">
        <w:rPr>
          <w:sz w:val="24"/>
          <w:szCs w:val="24"/>
        </w:rPr>
        <w:t>I modsætning til de velkendte skadelige virkninger af rygning på human konception og graviditet er virkningerne af nicotinsubstitutionsbehandling ukendte. Så selvom det til dato ikke er fundet nødvendigt med specifikke råd omkring anvendelse af prævention til kvinder, er det mest fornuftige råd til kvinder, der ønsker at blive gravide, at de skal lade være med at ryge og heller ikke benytte nicotinsubstitutionsbehandling.</w:t>
      </w:r>
    </w:p>
    <w:p w:rsidR="009830A0" w:rsidRPr="00D834E3" w:rsidRDefault="009830A0" w:rsidP="009830A0">
      <w:pPr>
        <w:ind w:left="851"/>
        <w:rPr>
          <w:sz w:val="24"/>
          <w:szCs w:val="24"/>
        </w:rPr>
      </w:pPr>
      <w:r w:rsidRPr="00D834E3">
        <w:rPr>
          <w:sz w:val="24"/>
          <w:szCs w:val="24"/>
        </w:rPr>
        <w:t xml:space="preserve">Mens rygning kan have negative effekter på den mandlige fertilitet, er der ingen beviser for at særlig prævention er påkrævet under nicotinsubstitutionsbehandling til mænd. </w:t>
      </w:r>
    </w:p>
    <w:p w:rsidR="009830A0" w:rsidRPr="00D834E3" w:rsidRDefault="009830A0" w:rsidP="009830A0">
      <w:pPr>
        <w:ind w:left="851" w:hanging="851"/>
        <w:rPr>
          <w:sz w:val="24"/>
          <w:szCs w:val="24"/>
        </w:rPr>
      </w:pPr>
    </w:p>
    <w:p w:rsidR="009830A0" w:rsidRDefault="009830A0" w:rsidP="009830A0">
      <w:pPr>
        <w:ind w:left="851"/>
        <w:rPr>
          <w:sz w:val="24"/>
          <w:szCs w:val="24"/>
          <w:u w:val="single"/>
        </w:rPr>
      </w:pPr>
      <w:r>
        <w:rPr>
          <w:sz w:val="24"/>
          <w:szCs w:val="24"/>
          <w:u w:val="single"/>
        </w:rPr>
        <w:t>Graviditet</w:t>
      </w:r>
    </w:p>
    <w:p w:rsidR="009830A0" w:rsidRDefault="009830A0" w:rsidP="009830A0">
      <w:pPr>
        <w:tabs>
          <w:tab w:val="left" w:pos="851"/>
        </w:tabs>
        <w:ind w:left="851"/>
        <w:rPr>
          <w:sz w:val="24"/>
          <w:szCs w:val="24"/>
        </w:rPr>
      </w:pPr>
      <w:r>
        <w:rPr>
          <w:sz w:val="24"/>
          <w:szCs w:val="24"/>
        </w:rPr>
        <w:t>Rygning under graviditet er forbundet med visse risici såsom forsinket intrauterin vækst, præmatur fødsel eller fosterdød. Rygestop er det mest effektive middel til forbedring af både den gravide rygers og barnets helbred. Jo tidligere, der opnås afholdenhed, desto bedre.</w:t>
      </w:r>
    </w:p>
    <w:p w:rsidR="009830A0" w:rsidRDefault="009830A0" w:rsidP="009830A0">
      <w:pPr>
        <w:tabs>
          <w:tab w:val="left" w:pos="851"/>
        </w:tabs>
        <w:ind w:left="851"/>
        <w:rPr>
          <w:sz w:val="24"/>
          <w:szCs w:val="24"/>
        </w:rPr>
      </w:pPr>
      <w:r>
        <w:rPr>
          <w:sz w:val="24"/>
          <w:szCs w:val="24"/>
        </w:rPr>
        <w:t xml:space="preserve">Nicotin passerer videre til fosteret og påvirker dets åndedrætsbevægelser og kredsløb. Virkningen på kredsløbet er dosisafhængig. </w:t>
      </w:r>
    </w:p>
    <w:p w:rsidR="009830A0" w:rsidRDefault="009830A0" w:rsidP="009830A0">
      <w:pPr>
        <w:tabs>
          <w:tab w:val="left" w:pos="851"/>
        </w:tabs>
        <w:ind w:left="851" w:hanging="851"/>
        <w:rPr>
          <w:sz w:val="24"/>
          <w:szCs w:val="24"/>
        </w:rPr>
      </w:pPr>
    </w:p>
    <w:p w:rsidR="00206688" w:rsidRDefault="00206688" w:rsidP="00206688">
      <w:pPr>
        <w:tabs>
          <w:tab w:val="left" w:pos="851"/>
        </w:tabs>
        <w:ind w:left="851"/>
        <w:rPr>
          <w:sz w:val="24"/>
          <w:szCs w:val="24"/>
        </w:rPr>
      </w:pPr>
      <w:r>
        <w:rPr>
          <w:sz w:val="24"/>
          <w:szCs w:val="24"/>
        </w:rPr>
        <w:t xml:space="preserve">Den gravide ryger skal derfor altid rådes til at holde helt op med at ryge uden anvendelse af nicotinsubstitutionsprodukter. Risikoen ved fortsat rygning udgør en større risiko for fosteret end anvendelsen af nicotinsubstitutionsprodukter i et kontrolleret rygestopprogram. Rygestop med dette lægemiddel hos en gravid ryger bør kun initieres efter samråd med en sundhedsfaglig person. </w:t>
      </w:r>
    </w:p>
    <w:p w:rsidR="00206688" w:rsidRDefault="00206688" w:rsidP="00206688">
      <w:pPr>
        <w:ind w:left="851" w:hanging="851"/>
        <w:rPr>
          <w:sz w:val="24"/>
          <w:szCs w:val="24"/>
        </w:rPr>
      </w:pPr>
    </w:p>
    <w:p w:rsidR="00206688" w:rsidRDefault="00206688" w:rsidP="00206688">
      <w:pPr>
        <w:ind w:left="851"/>
        <w:rPr>
          <w:i/>
          <w:sz w:val="24"/>
          <w:szCs w:val="24"/>
        </w:rPr>
      </w:pPr>
      <w:r>
        <w:rPr>
          <w:sz w:val="24"/>
          <w:szCs w:val="24"/>
          <w:u w:val="single"/>
        </w:rPr>
        <w:t xml:space="preserve">Amning </w:t>
      </w:r>
    </w:p>
    <w:p w:rsidR="00206688" w:rsidRDefault="00206688" w:rsidP="00206688">
      <w:pPr>
        <w:tabs>
          <w:tab w:val="left" w:pos="851"/>
        </w:tabs>
        <w:ind w:left="851"/>
        <w:rPr>
          <w:sz w:val="24"/>
          <w:szCs w:val="24"/>
        </w:rPr>
      </w:pPr>
      <w:r>
        <w:rPr>
          <w:sz w:val="24"/>
          <w:szCs w:val="24"/>
        </w:rPr>
        <w:t xml:space="preserve">Nicotin passerer frit over i modermælken i mængder, som kan påvirke barnet, selv ved terapeutiske doser. Anvendelse af Nicorette Cooldrops sugetabletter bør derfor undgås under amning. Såfremt rygestop ikke lykkes, bør ammende rygere kun anvende Nicorette Cooldrops sugetabletter efter anvisninger af en sundhedsfaglig person. Hvis </w:t>
      </w:r>
      <w:r w:rsidR="00FA430B">
        <w:rPr>
          <w:sz w:val="24"/>
          <w:szCs w:val="24"/>
        </w:rPr>
        <w:t>nicotinsubstitutionsterapi</w:t>
      </w:r>
      <w:r>
        <w:rPr>
          <w:sz w:val="24"/>
          <w:szCs w:val="24"/>
        </w:rPr>
        <w:t xml:space="preserve"> anvendes skal Nicorette Cooldrops bruges umiddelbart efter amningen og ikke i to timer inden amning.</w:t>
      </w:r>
    </w:p>
    <w:p w:rsidR="00206688" w:rsidRDefault="00206688" w:rsidP="00206688">
      <w:pPr>
        <w:ind w:left="851"/>
        <w:rPr>
          <w:sz w:val="24"/>
          <w:szCs w:val="24"/>
        </w:rPr>
      </w:pPr>
    </w:p>
    <w:p w:rsidR="00206688" w:rsidRDefault="00206688" w:rsidP="00CA0F11">
      <w:pPr>
        <w:keepNext/>
        <w:tabs>
          <w:tab w:val="left" w:pos="851"/>
        </w:tabs>
        <w:ind w:left="851"/>
        <w:rPr>
          <w:sz w:val="24"/>
          <w:szCs w:val="24"/>
          <w:u w:val="single"/>
        </w:rPr>
      </w:pPr>
      <w:r>
        <w:rPr>
          <w:sz w:val="24"/>
          <w:szCs w:val="24"/>
          <w:u w:val="single"/>
        </w:rPr>
        <w:lastRenderedPageBreak/>
        <w:t>Fertilitet</w:t>
      </w:r>
    </w:p>
    <w:p w:rsidR="00206688" w:rsidRDefault="00206688" w:rsidP="00206688">
      <w:pPr>
        <w:ind w:left="851" w:hanging="851"/>
        <w:rPr>
          <w:sz w:val="24"/>
          <w:szCs w:val="24"/>
        </w:rPr>
      </w:pPr>
      <w:r>
        <w:rPr>
          <w:sz w:val="24"/>
          <w:szCs w:val="24"/>
        </w:rPr>
        <w:tab/>
        <w:t xml:space="preserve">Rygning øger risikoen for ufrugtbarhed hos mænd og kvinder. </w:t>
      </w:r>
      <w:r>
        <w:rPr>
          <w:i/>
          <w:sz w:val="24"/>
          <w:szCs w:val="24"/>
        </w:rPr>
        <w:t>In vitro</w:t>
      </w:r>
      <w:r>
        <w:rPr>
          <w:sz w:val="24"/>
          <w:szCs w:val="24"/>
        </w:rPr>
        <w:t xml:space="preserve"> undersøgelser har vist, at nicotin kan påvirke menneskers sædkvalitet. Nedsat sædkvalitet og reduceret fertilitet er påvist hos rotter (se pkt. 5.3).</w:t>
      </w:r>
    </w:p>
    <w:p w:rsidR="009830A0" w:rsidRPr="00D834E3" w:rsidRDefault="009830A0" w:rsidP="009830A0">
      <w:pPr>
        <w:ind w:left="851" w:hanging="851"/>
        <w:rPr>
          <w:sz w:val="24"/>
          <w:szCs w:val="24"/>
        </w:rPr>
      </w:pPr>
    </w:p>
    <w:p w:rsidR="009830A0" w:rsidRPr="00D834E3" w:rsidRDefault="009149D8" w:rsidP="009830A0">
      <w:pPr>
        <w:numPr>
          <w:ilvl w:val="1"/>
          <w:numId w:val="1"/>
        </w:numPr>
        <w:tabs>
          <w:tab w:val="clear" w:pos="855"/>
        </w:tabs>
        <w:ind w:left="851" w:hanging="851"/>
        <w:rPr>
          <w:b/>
          <w:sz w:val="24"/>
          <w:szCs w:val="24"/>
        </w:rPr>
      </w:pPr>
      <w:bookmarkStart w:id="2" w:name="_Hlk121750171"/>
      <w:r w:rsidRPr="00BA4587">
        <w:rPr>
          <w:b/>
          <w:sz w:val="24"/>
          <w:szCs w:val="24"/>
        </w:rPr>
        <w:t xml:space="preserve">Virkning på evnen til at føre motorkøretøj </w:t>
      </w:r>
      <w:r w:rsidRPr="00BA4587">
        <w:rPr>
          <w:b/>
          <w:noProof/>
          <w:sz w:val="24"/>
          <w:szCs w:val="24"/>
        </w:rPr>
        <w:t>og</w:t>
      </w:r>
      <w:r w:rsidRPr="00BA4587">
        <w:rPr>
          <w:b/>
          <w:sz w:val="24"/>
          <w:szCs w:val="24"/>
        </w:rPr>
        <w:t xml:space="preserve"> betjene maskiner</w:t>
      </w:r>
      <w:bookmarkEnd w:id="2"/>
    </w:p>
    <w:p w:rsidR="009830A0" w:rsidRPr="00D834E3" w:rsidRDefault="009830A0" w:rsidP="009830A0">
      <w:pPr>
        <w:ind w:left="851" w:hanging="851"/>
        <w:rPr>
          <w:sz w:val="24"/>
          <w:szCs w:val="24"/>
        </w:rPr>
      </w:pPr>
      <w:r w:rsidRPr="00D834E3">
        <w:rPr>
          <w:sz w:val="24"/>
          <w:szCs w:val="24"/>
        </w:rPr>
        <w:tab/>
        <w:t>Ikke mærkning.</w:t>
      </w:r>
    </w:p>
    <w:p w:rsidR="009830A0" w:rsidRDefault="009830A0" w:rsidP="009830A0">
      <w:pPr>
        <w:ind w:left="851"/>
        <w:rPr>
          <w:sz w:val="24"/>
          <w:szCs w:val="24"/>
        </w:rPr>
      </w:pPr>
      <w:r w:rsidRPr="00D834E3">
        <w:rPr>
          <w:sz w:val="24"/>
          <w:szCs w:val="24"/>
        </w:rPr>
        <w:t>Nicorette Cooldrops påvirker ikke eller kun i ubetydelig grad evnen til at føre motorkøretøj eller betjene maskiner. Dog skal brugere af nicotinsubstitutionsbehandling være opmærksomme på, at rygestop kan medføre adfærdsændringer.</w:t>
      </w:r>
    </w:p>
    <w:p w:rsidR="009830A0" w:rsidRPr="00D834E3" w:rsidRDefault="009830A0" w:rsidP="009924AA">
      <w:pPr>
        <w:rPr>
          <w:sz w:val="24"/>
          <w:szCs w:val="24"/>
        </w:rPr>
      </w:pPr>
    </w:p>
    <w:p w:rsidR="009830A0" w:rsidRPr="00D834E3" w:rsidRDefault="009830A0" w:rsidP="009830A0">
      <w:pPr>
        <w:numPr>
          <w:ilvl w:val="1"/>
          <w:numId w:val="1"/>
        </w:numPr>
        <w:tabs>
          <w:tab w:val="clear" w:pos="855"/>
        </w:tabs>
        <w:ind w:left="851" w:hanging="851"/>
        <w:rPr>
          <w:b/>
          <w:sz w:val="24"/>
          <w:szCs w:val="24"/>
        </w:rPr>
      </w:pPr>
      <w:r w:rsidRPr="00D834E3">
        <w:rPr>
          <w:b/>
          <w:sz w:val="24"/>
          <w:szCs w:val="24"/>
        </w:rPr>
        <w:t>Bivirkninger</w:t>
      </w:r>
    </w:p>
    <w:p w:rsidR="009830A0" w:rsidRDefault="009830A0" w:rsidP="009830A0">
      <w:pPr>
        <w:tabs>
          <w:tab w:val="left" w:pos="851"/>
        </w:tabs>
        <w:ind w:left="855"/>
        <w:rPr>
          <w:sz w:val="24"/>
          <w:szCs w:val="24"/>
        </w:rPr>
      </w:pPr>
      <w:r>
        <w:rPr>
          <w:sz w:val="24"/>
          <w:szCs w:val="24"/>
          <w:u w:val="single"/>
        </w:rPr>
        <w:t>Effekter af rygestop</w:t>
      </w:r>
    </w:p>
    <w:p w:rsidR="009830A0" w:rsidRDefault="009830A0" w:rsidP="009830A0">
      <w:pPr>
        <w:tabs>
          <w:tab w:val="left" w:pos="851"/>
        </w:tabs>
        <w:ind w:left="851" w:hanging="851"/>
        <w:rPr>
          <w:sz w:val="24"/>
          <w:szCs w:val="24"/>
        </w:rPr>
      </w:pPr>
      <w:r>
        <w:rPr>
          <w:sz w:val="24"/>
          <w:szCs w:val="24"/>
        </w:rPr>
        <w:tab/>
        <w:t>Uanset de anvendte midler er der en række kendte symptomer forbundet med at holde op med at ryge. Disse omfatter følelsesmæssige eller kognitive effekter som dysfori eller nedtrykt sindstilstand, søvnforstyrrelser, irritabilitet, frustration eller vrede, angst, koncentrationsbesvær og uro eller utålmodighed.  Der kan også være fysiske effekter såsom nedsat hjerterytme, øget appetit eller vægtstigning, svimmelhed eller presyncopale symptomer, hoste, forstoppelse, gingival blødning eller aftøs ulceration eller nasopharyngitis. Derudover, og af klinisk betydning, kan nicotintrang resultere i stor rygetrang.</w:t>
      </w:r>
    </w:p>
    <w:p w:rsidR="009830A0" w:rsidRDefault="009830A0" w:rsidP="009830A0">
      <w:pPr>
        <w:tabs>
          <w:tab w:val="left" w:pos="851"/>
        </w:tabs>
        <w:ind w:left="851" w:hanging="851"/>
        <w:rPr>
          <w:sz w:val="24"/>
          <w:szCs w:val="24"/>
        </w:rPr>
      </w:pPr>
    </w:p>
    <w:p w:rsidR="009830A0" w:rsidRDefault="009830A0" w:rsidP="009830A0">
      <w:pPr>
        <w:tabs>
          <w:tab w:val="left" w:pos="851"/>
        </w:tabs>
        <w:ind w:left="851"/>
        <w:rPr>
          <w:sz w:val="24"/>
          <w:szCs w:val="24"/>
        </w:rPr>
      </w:pPr>
      <w:r>
        <w:rPr>
          <w:sz w:val="24"/>
          <w:szCs w:val="24"/>
        </w:rPr>
        <w:t>Nicorette Cooldrops sugetabletter kan medføre bivirkninger, der svarer til de bivirkninger, der er forbundet med nicotin anvendt på andre måder. De fleste bivirkninger indberettet af forsøgspersoner opstår i den tidlige fase af behandlingen og er hovedsageligt dosisafhængige. Irritation i mundhule og svælg kan opleves, men aftager hos de fleste forsøgspersoner ved fortsat anvendelse.</w:t>
      </w:r>
    </w:p>
    <w:p w:rsidR="009830A0" w:rsidRDefault="009830A0" w:rsidP="009830A0">
      <w:pPr>
        <w:tabs>
          <w:tab w:val="left" w:pos="851"/>
        </w:tabs>
        <w:ind w:left="851"/>
        <w:rPr>
          <w:sz w:val="24"/>
          <w:szCs w:val="24"/>
        </w:rPr>
      </w:pPr>
      <w:r>
        <w:rPr>
          <w:sz w:val="24"/>
          <w:szCs w:val="24"/>
        </w:rPr>
        <w:t>Allergiske reaktioner (herunder symptomer på anafylaksi) forekommer sjældent ved brug af Nicorette Cooldrops.</w:t>
      </w:r>
    </w:p>
    <w:p w:rsidR="009830A0" w:rsidRDefault="009830A0" w:rsidP="009830A0">
      <w:pPr>
        <w:tabs>
          <w:tab w:val="left" w:pos="851"/>
        </w:tabs>
        <w:ind w:left="851"/>
        <w:rPr>
          <w:sz w:val="24"/>
          <w:szCs w:val="24"/>
        </w:rPr>
      </w:pPr>
    </w:p>
    <w:p w:rsidR="009830A0" w:rsidRDefault="009830A0" w:rsidP="009830A0">
      <w:pPr>
        <w:tabs>
          <w:tab w:val="left" w:pos="851"/>
        </w:tabs>
        <w:ind w:left="851"/>
        <w:rPr>
          <w:sz w:val="24"/>
          <w:szCs w:val="24"/>
        </w:rPr>
      </w:pPr>
      <w:r>
        <w:rPr>
          <w:sz w:val="24"/>
          <w:szCs w:val="24"/>
        </w:rPr>
        <w:t>Bivirkninger observeret i patienter behandlet med nicotinprodukter anvendt i mundhulen ved kliniske forsøg og i post-marketing brug er nævnt i nedenstående skema. Frekvensen er estimeret fra kliniske forsøg for bivirkninger observeret i post-marketing brug.</w:t>
      </w:r>
    </w:p>
    <w:p w:rsidR="009830A0" w:rsidRDefault="009830A0" w:rsidP="009830A0">
      <w:pPr>
        <w:ind w:left="851"/>
        <w:rPr>
          <w:sz w:val="24"/>
          <w:szCs w:val="24"/>
        </w:rPr>
      </w:pPr>
    </w:p>
    <w:p w:rsidR="009830A0" w:rsidRDefault="009830A0" w:rsidP="009830A0">
      <w:pPr>
        <w:ind w:left="851"/>
        <w:rPr>
          <w:sz w:val="24"/>
          <w:szCs w:val="24"/>
        </w:rPr>
      </w:pPr>
      <w:r>
        <w:rPr>
          <w:sz w:val="24"/>
          <w:szCs w:val="24"/>
        </w:rPr>
        <w:t>Inden for hver frekvensgruppe er bivirkningerne opstillet efter faldende alvorlighed:</w:t>
      </w:r>
    </w:p>
    <w:p w:rsidR="00206688" w:rsidRDefault="00206688" w:rsidP="00206688">
      <w:pPr>
        <w:ind w:left="851"/>
        <w:rPr>
          <w:sz w:val="24"/>
          <w:szCs w:val="24"/>
        </w:rPr>
      </w:pPr>
      <w:r>
        <w:rPr>
          <w:sz w:val="24"/>
          <w:szCs w:val="24"/>
        </w:rPr>
        <w:t xml:space="preserve">Meget almindelig ((≥1/10), almindelig (≥1/100 til &lt;1/10), ikke almindelig (≥ 1/1.000 til &lt; 1/100), sjælden (≥1/10.000 til &lt;1/1.000), meget sjælden (&lt;1/10.000) eller ikke kendt (kan ikke estimeres ud fra forhåndenværende data). </w:t>
      </w:r>
    </w:p>
    <w:p w:rsidR="009830A0" w:rsidRDefault="009830A0" w:rsidP="009830A0">
      <w:pPr>
        <w:ind w:left="851" w:hanging="851"/>
        <w:rPr>
          <w:sz w:val="24"/>
          <w:szCs w:val="24"/>
        </w:rPr>
      </w:pPr>
    </w:p>
    <w:tbl>
      <w:tblPr>
        <w:tblW w:w="9072" w:type="dxa"/>
        <w:tblInd w:w="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5040"/>
      </w:tblGrid>
      <w:tr w:rsidR="009830A0" w:rsidTr="003B4BCE">
        <w:trPr>
          <w:cantSplit/>
          <w:trHeight w:val="277"/>
        </w:trPr>
        <w:tc>
          <w:tcPr>
            <w:tcW w:w="403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9830A0" w:rsidRDefault="009830A0" w:rsidP="003B4BCE">
            <w:pPr>
              <w:tabs>
                <w:tab w:val="left" w:pos="851"/>
              </w:tabs>
              <w:rPr>
                <w:b/>
                <w:sz w:val="24"/>
                <w:szCs w:val="24"/>
              </w:rPr>
            </w:pPr>
            <w:r>
              <w:rPr>
                <w:b/>
                <w:sz w:val="24"/>
                <w:szCs w:val="24"/>
              </w:rPr>
              <w:t>Systemorganklasse</w:t>
            </w:r>
          </w:p>
        </w:tc>
        <w:tc>
          <w:tcPr>
            <w:tcW w:w="504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9830A0" w:rsidRDefault="009830A0" w:rsidP="003B4BCE">
            <w:pPr>
              <w:tabs>
                <w:tab w:val="left" w:pos="851"/>
              </w:tabs>
              <w:rPr>
                <w:b/>
                <w:sz w:val="24"/>
                <w:szCs w:val="24"/>
              </w:rPr>
            </w:pPr>
            <w:r>
              <w:rPr>
                <w:b/>
                <w:sz w:val="24"/>
                <w:szCs w:val="24"/>
              </w:rPr>
              <w:t>Bivirkning</w:t>
            </w:r>
          </w:p>
        </w:tc>
      </w:tr>
      <w:tr w:rsidR="009830A0" w:rsidTr="003B4BCE">
        <w:trPr>
          <w:cantSplit/>
          <w:trHeight w:val="277"/>
        </w:trPr>
        <w:tc>
          <w:tcPr>
            <w:tcW w:w="403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9830A0" w:rsidRDefault="009830A0" w:rsidP="003B4BCE">
            <w:pPr>
              <w:tabs>
                <w:tab w:val="left" w:pos="851"/>
              </w:tabs>
              <w:rPr>
                <w:sz w:val="24"/>
                <w:szCs w:val="24"/>
              </w:rPr>
            </w:pPr>
            <w:r>
              <w:rPr>
                <w:b/>
                <w:sz w:val="24"/>
                <w:szCs w:val="24"/>
              </w:rPr>
              <w:t>Immunsystemet</w:t>
            </w:r>
          </w:p>
          <w:p w:rsidR="009830A0" w:rsidRDefault="009830A0" w:rsidP="003B4BCE">
            <w:pPr>
              <w:tabs>
                <w:tab w:val="left" w:pos="851"/>
              </w:tabs>
              <w:rPr>
                <w:sz w:val="24"/>
                <w:szCs w:val="24"/>
              </w:rPr>
            </w:pPr>
            <w:r>
              <w:rPr>
                <w:sz w:val="24"/>
                <w:szCs w:val="24"/>
              </w:rPr>
              <w:t>Almindelig</w:t>
            </w:r>
          </w:p>
          <w:p w:rsidR="009830A0" w:rsidRDefault="009830A0" w:rsidP="003B4BCE">
            <w:pPr>
              <w:tabs>
                <w:tab w:val="left" w:pos="851"/>
              </w:tabs>
              <w:rPr>
                <w:sz w:val="24"/>
                <w:szCs w:val="24"/>
              </w:rPr>
            </w:pPr>
          </w:p>
          <w:p w:rsidR="009830A0" w:rsidRDefault="009830A0" w:rsidP="003B4BCE">
            <w:pPr>
              <w:tabs>
                <w:tab w:val="left" w:pos="851"/>
              </w:tabs>
              <w:rPr>
                <w:sz w:val="24"/>
                <w:szCs w:val="24"/>
              </w:rPr>
            </w:pPr>
            <w:r>
              <w:rPr>
                <w:sz w:val="24"/>
                <w:szCs w:val="24"/>
              </w:rPr>
              <w:t>Ikke kendt</w:t>
            </w:r>
          </w:p>
        </w:tc>
        <w:tc>
          <w:tcPr>
            <w:tcW w:w="504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9830A0" w:rsidRDefault="009830A0" w:rsidP="003B4BCE">
            <w:pPr>
              <w:tabs>
                <w:tab w:val="left" w:pos="851"/>
              </w:tabs>
              <w:rPr>
                <w:sz w:val="24"/>
                <w:szCs w:val="24"/>
              </w:rPr>
            </w:pPr>
          </w:p>
          <w:p w:rsidR="009830A0" w:rsidRDefault="009830A0" w:rsidP="003B4BCE">
            <w:pPr>
              <w:tabs>
                <w:tab w:val="left" w:pos="851"/>
              </w:tabs>
              <w:rPr>
                <w:sz w:val="24"/>
                <w:szCs w:val="24"/>
              </w:rPr>
            </w:pPr>
            <w:r>
              <w:rPr>
                <w:sz w:val="24"/>
                <w:szCs w:val="24"/>
              </w:rPr>
              <w:t xml:space="preserve"> Hypersensitivitet</w:t>
            </w:r>
          </w:p>
          <w:p w:rsidR="009830A0" w:rsidRDefault="009830A0" w:rsidP="003B4BCE">
            <w:pPr>
              <w:tabs>
                <w:tab w:val="left" w:pos="851"/>
              </w:tabs>
              <w:rPr>
                <w:sz w:val="24"/>
                <w:szCs w:val="24"/>
              </w:rPr>
            </w:pPr>
          </w:p>
          <w:p w:rsidR="009830A0" w:rsidRDefault="009830A0" w:rsidP="003B4BCE">
            <w:pPr>
              <w:tabs>
                <w:tab w:val="left" w:pos="851"/>
              </w:tabs>
              <w:rPr>
                <w:sz w:val="24"/>
                <w:szCs w:val="24"/>
              </w:rPr>
            </w:pPr>
            <w:r>
              <w:rPr>
                <w:sz w:val="24"/>
                <w:szCs w:val="24"/>
              </w:rPr>
              <w:t>Allergiske reaktioner herunder angioødem og anafylaktisk reaktion</w:t>
            </w:r>
          </w:p>
        </w:tc>
      </w:tr>
      <w:tr w:rsidR="009830A0" w:rsidTr="003B4BCE">
        <w:trPr>
          <w:cantSplit/>
          <w:trHeight w:val="683"/>
        </w:trPr>
        <w:tc>
          <w:tcPr>
            <w:tcW w:w="403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9830A0" w:rsidRDefault="009830A0" w:rsidP="003B4BCE">
            <w:pPr>
              <w:tabs>
                <w:tab w:val="left" w:pos="851"/>
              </w:tabs>
              <w:rPr>
                <w:b/>
                <w:sz w:val="24"/>
                <w:szCs w:val="24"/>
              </w:rPr>
            </w:pPr>
            <w:r>
              <w:rPr>
                <w:b/>
                <w:sz w:val="24"/>
                <w:szCs w:val="24"/>
              </w:rPr>
              <w:t>Psykiatriske sygdomme</w:t>
            </w:r>
          </w:p>
          <w:p w:rsidR="009830A0" w:rsidRDefault="009830A0" w:rsidP="003B4BCE">
            <w:pPr>
              <w:tabs>
                <w:tab w:val="left" w:pos="851"/>
              </w:tabs>
              <w:rPr>
                <w:sz w:val="24"/>
                <w:szCs w:val="24"/>
              </w:rPr>
            </w:pPr>
            <w:r>
              <w:rPr>
                <w:sz w:val="24"/>
                <w:szCs w:val="24"/>
              </w:rPr>
              <w:t>Ikke almindelig</w:t>
            </w:r>
          </w:p>
        </w:tc>
        <w:tc>
          <w:tcPr>
            <w:tcW w:w="504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9830A0" w:rsidRDefault="009830A0" w:rsidP="003B4BCE">
            <w:pPr>
              <w:tabs>
                <w:tab w:val="left" w:pos="851"/>
              </w:tabs>
              <w:rPr>
                <w:sz w:val="24"/>
                <w:szCs w:val="24"/>
              </w:rPr>
            </w:pPr>
          </w:p>
          <w:p w:rsidR="009830A0" w:rsidRDefault="009830A0" w:rsidP="003B4BCE">
            <w:pPr>
              <w:tabs>
                <w:tab w:val="left" w:pos="851"/>
              </w:tabs>
              <w:rPr>
                <w:sz w:val="24"/>
                <w:szCs w:val="24"/>
                <w:lang w:val="en-GB"/>
              </w:rPr>
            </w:pPr>
            <w:r>
              <w:rPr>
                <w:sz w:val="24"/>
                <w:szCs w:val="24"/>
              </w:rPr>
              <w:t>Unormale drømme</w:t>
            </w:r>
          </w:p>
        </w:tc>
      </w:tr>
      <w:tr w:rsidR="009830A0" w:rsidTr="003B4BCE">
        <w:trPr>
          <w:cantSplit/>
          <w:trHeight w:val="1222"/>
        </w:trPr>
        <w:tc>
          <w:tcPr>
            <w:tcW w:w="403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9830A0" w:rsidRDefault="009830A0" w:rsidP="003B4BCE">
            <w:pPr>
              <w:tabs>
                <w:tab w:val="left" w:pos="851"/>
              </w:tabs>
              <w:rPr>
                <w:b/>
                <w:sz w:val="24"/>
                <w:szCs w:val="24"/>
              </w:rPr>
            </w:pPr>
            <w:r>
              <w:rPr>
                <w:b/>
                <w:sz w:val="24"/>
                <w:szCs w:val="24"/>
              </w:rPr>
              <w:lastRenderedPageBreak/>
              <w:t>Nervesystemet</w:t>
            </w:r>
          </w:p>
          <w:p w:rsidR="009830A0" w:rsidRDefault="009830A0" w:rsidP="003B4BCE">
            <w:pPr>
              <w:tabs>
                <w:tab w:val="left" w:pos="851"/>
              </w:tabs>
              <w:rPr>
                <w:sz w:val="24"/>
                <w:szCs w:val="24"/>
              </w:rPr>
            </w:pPr>
            <w:r>
              <w:rPr>
                <w:sz w:val="24"/>
                <w:szCs w:val="24"/>
              </w:rPr>
              <w:t>Meget almindelig</w:t>
            </w:r>
          </w:p>
          <w:p w:rsidR="009830A0" w:rsidRDefault="009830A0" w:rsidP="003B4BCE">
            <w:pPr>
              <w:tabs>
                <w:tab w:val="left" w:pos="851"/>
              </w:tabs>
              <w:rPr>
                <w:sz w:val="24"/>
                <w:szCs w:val="24"/>
              </w:rPr>
            </w:pPr>
          </w:p>
          <w:p w:rsidR="009830A0" w:rsidRDefault="009830A0" w:rsidP="003B4BCE">
            <w:pPr>
              <w:tabs>
                <w:tab w:val="left" w:pos="851"/>
              </w:tabs>
              <w:rPr>
                <w:sz w:val="24"/>
                <w:szCs w:val="24"/>
              </w:rPr>
            </w:pPr>
            <w:r>
              <w:rPr>
                <w:sz w:val="24"/>
                <w:szCs w:val="24"/>
              </w:rPr>
              <w:t>Almindelig</w:t>
            </w:r>
          </w:p>
          <w:p w:rsidR="00FA430B" w:rsidRDefault="00FA430B" w:rsidP="003B4BCE">
            <w:pPr>
              <w:tabs>
                <w:tab w:val="left" w:pos="851"/>
              </w:tabs>
              <w:rPr>
                <w:sz w:val="24"/>
                <w:szCs w:val="24"/>
              </w:rPr>
            </w:pPr>
          </w:p>
          <w:p w:rsidR="00FA430B" w:rsidRDefault="00FA430B" w:rsidP="003B4BCE">
            <w:pPr>
              <w:tabs>
                <w:tab w:val="left" w:pos="851"/>
              </w:tabs>
              <w:rPr>
                <w:sz w:val="24"/>
                <w:szCs w:val="24"/>
              </w:rPr>
            </w:pPr>
            <w:r>
              <w:rPr>
                <w:sz w:val="24"/>
                <w:szCs w:val="24"/>
              </w:rPr>
              <w:t>Ikke kendt</w:t>
            </w:r>
          </w:p>
        </w:tc>
        <w:tc>
          <w:tcPr>
            <w:tcW w:w="504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9830A0" w:rsidRDefault="009830A0" w:rsidP="003B4BCE">
            <w:pPr>
              <w:tabs>
                <w:tab w:val="left" w:pos="851"/>
              </w:tabs>
              <w:rPr>
                <w:sz w:val="24"/>
                <w:szCs w:val="24"/>
              </w:rPr>
            </w:pPr>
          </w:p>
          <w:p w:rsidR="009830A0" w:rsidRDefault="009830A0" w:rsidP="003B4BCE">
            <w:pPr>
              <w:tabs>
                <w:tab w:val="left" w:pos="851"/>
              </w:tabs>
              <w:rPr>
                <w:sz w:val="24"/>
                <w:szCs w:val="24"/>
              </w:rPr>
            </w:pPr>
            <w:r>
              <w:rPr>
                <w:sz w:val="24"/>
                <w:szCs w:val="24"/>
              </w:rPr>
              <w:t xml:space="preserve">Hovedpine </w:t>
            </w:r>
          </w:p>
          <w:p w:rsidR="009830A0" w:rsidRDefault="009830A0" w:rsidP="003B4BCE">
            <w:pPr>
              <w:tabs>
                <w:tab w:val="left" w:pos="851"/>
              </w:tabs>
              <w:rPr>
                <w:sz w:val="24"/>
                <w:szCs w:val="24"/>
                <w:lang w:val="en-GB"/>
              </w:rPr>
            </w:pPr>
          </w:p>
          <w:p w:rsidR="009830A0" w:rsidRDefault="009830A0" w:rsidP="003B4BCE">
            <w:pPr>
              <w:tabs>
                <w:tab w:val="left" w:pos="851"/>
              </w:tabs>
              <w:rPr>
                <w:sz w:val="24"/>
                <w:szCs w:val="24"/>
                <w:lang w:val="en-GB"/>
              </w:rPr>
            </w:pPr>
            <w:r>
              <w:rPr>
                <w:sz w:val="24"/>
                <w:szCs w:val="24"/>
                <w:lang w:val="en-GB"/>
              </w:rPr>
              <w:t>D</w:t>
            </w:r>
            <w:r>
              <w:rPr>
                <w:sz w:val="24"/>
                <w:szCs w:val="24"/>
              </w:rPr>
              <w:t>ysgeusi, p</w:t>
            </w:r>
            <w:r>
              <w:rPr>
                <w:sz w:val="24"/>
                <w:szCs w:val="24"/>
                <w:lang w:val="en-GB"/>
              </w:rPr>
              <w:t>aræstesi.</w:t>
            </w:r>
          </w:p>
          <w:p w:rsidR="00FA430B" w:rsidRDefault="00FA430B" w:rsidP="003B4BCE">
            <w:pPr>
              <w:tabs>
                <w:tab w:val="left" w:pos="851"/>
              </w:tabs>
              <w:rPr>
                <w:sz w:val="24"/>
                <w:szCs w:val="24"/>
                <w:lang w:val="en-GB"/>
              </w:rPr>
            </w:pPr>
          </w:p>
          <w:p w:rsidR="00FA430B" w:rsidRDefault="00FA430B" w:rsidP="003B4BCE">
            <w:pPr>
              <w:tabs>
                <w:tab w:val="left" w:pos="851"/>
              </w:tabs>
              <w:rPr>
                <w:sz w:val="24"/>
                <w:szCs w:val="24"/>
                <w:lang w:val="en-GB"/>
              </w:rPr>
            </w:pPr>
            <w:r>
              <w:rPr>
                <w:bCs/>
                <w:szCs w:val="24"/>
              </w:rPr>
              <w:t>Krampeanfald</w:t>
            </w:r>
            <w:r w:rsidRPr="00405982">
              <w:rPr>
                <w:bCs/>
                <w:szCs w:val="24"/>
              </w:rPr>
              <w:t>*</w:t>
            </w:r>
          </w:p>
        </w:tc>
      </w:tr>
      <w:tr w:rsidR="009830A0" w:rsidTr="003B4BCE">
        <w:trPr>
          <w:cantSplit/>
          <w:trHeight w:val="631"/>
        </w:trPr>
        <w:tc>
          <w:tcPr>
            <w:tcW w:w="403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9830A0" w:rsidRDefault="009830A0" w:rsidP="003B4BCE">
            <w:pPr>
              <w:tabs>
                <w:tab w:val="left" w:pos="851"/>
              </w:tabs>
              <w:rPr>
                <w:b/>
                <w:sz w:val="24"/>
                <w:szCs w:val="24"/>
              </w:rPr>
            </w:pPr>
            <w:r>
              <w:rPr>
                <w:b/>
                <w:sz w:val="24"/>
                <w:szCs w:val="24"/>
              </w:rPr>
              <w:t>Øjne</w:t>
            </w:r>
          </w:p>
          <w:p w:rsidR="009830A0" w:rsidRDefault="009830A0" w:rsidP="003B4BCE">
            <w:pPr>
              <w:tabs>
                <w:tab w:val="left" w:pos="851"/>
              </w:tabs>
              <w:rPr>
                <w:b/>
                <w:sz w:val="24"/>
                <w:szCs w:val="24"/>
              </w:rPr>
            </w:pPr>
            <w:r>
              <w:rPr>
                <w:sz w:val="24"/>
                <w:szCs w:val="24"/>
              </w:rPr>
              <w:t>Ikke kendt</w:t>
            </w:r>
          </w:p>
        </w:tc>
        <w:tc>
          <w:tcPr>
            <w:tcW w:w="504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9830A0" w:rsidRDefault="009830A0" w:rsidP="003B4BCE">
            <w:pPr>
              <w:tabs>
                <w:tab w:val="left" w:pos="851"/>
              </w:tabs>
              <w:rPr>
                <w:sz w:val="24"/>
                <w:szCs w:val="24"/>
              </w:rPr>
            </w:pPr>
          </w:p>
          <w:p w:rsidR="009830A0" w:rsidRDefault="009830A0" w:rsidP="003B4BCE">
            <w:pPr>
              <w:tabs>
                <w:tab w:val="left" w:pos="851"/>
              </w:tabs>
              <w:rPr>
                <w:sz w:val="24"/>
                <w:szCs w:val="24"/>
                <w:lang w:val="en-GB"/>
              </w:rPr>
            </w:pPr>
            <w:r>
              <w:rPr>
                <w:sz w:val="24"/>
                <w:szCs w:val="24"/>
              </w:rPr>
              <w:t>Sløret syn, øget tåreflåd</w:t>
            </w:r>
          </w:p>
        </w:tc>
      </w:tr>
      <w:tr w:rsidR="00206688" w:rsidTr="003B4BCE">
        <w:trPr>
          <w:cantSplit/>
          <w:trHeight w:val="846"/>
        </w:trPr>
        <w:tc>
          <w:tcPr>
            <w:tcW w:w="403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206688" w:rsidRDefault="00206688" w:rsidP="00206688">
            <w:pPr>
              <w:tabs>
                <w:tab w:val="left" w:pos="851"/>
              </w:tabs>
              <w:rPr>
                <w:b/>
                <w:sz w:val="24"/>
                <w:szCs w:val="24"/>
              </w:rPr>
            </w:pPr>
            <w:r>
              <w:rPr>
                <w:b/>
                <w:sz w:val="24"/>
                <w:szCs w:val="24"/>
              </w:rPr>
              <w:t>Hjerte</w:t>
            </w:r>
          </w:p>
          <w:p w:rsidR="00206688" w:rsidRDefault="00206688" w:rsidP="00206688">
            <w:pPr>
              <w:tabs>
                <w:tab w:val="left" w:pos="851"/>
              </w:tabs>
              <w:rPr>
                <w:sz w:val="24"/>
                <w:szCs w:val="24"/>
              </w:rPr>
            </w:pPr>
            <w:r>
              <w:rPr>
                <w:sz w:val="24"/>
                <w:szCs w:val="24"/>
              </w:rPr>
              <w:t>Ikke almindelig</w:t>
            </w:r>
          </w:p>
          <w:p w:rsidR="00206688" w:rsidRDefault="00206688" w:rsidP="00206688">
            <w:pPr>
              <w:tabs>
                <w:tab w:val="left" w:pos="851"/>
              </w:tabs>
              <w:rPr>
                <w:b/>
                <w:sz w:val="24"/>
                <w:szCs w:val="24"/>
              </w:rPr>
            </w:pPr>
          </w:p>
        </w:tc>
        <w:tc>
          <w:tcPr>
            <w:tcW w:w="504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206688" w:rsidRDefault="00206688" w:rsidP="00206688">
            <w:pPr>
              <w:tabs>
                <w:tab w:val="left" w:pos="851"/>
              </w:tabs>
              <w:rPr>
                <w:b/>
                <w:sz w:val="24"/>
                <w:szCs w:val="24"/>
              </w:rPr>
            </w:pPr>
          </w:p>
          <w:p w:rsidR="00206688" w:rsidRDefault="00206688" w:rsidP="00206688">
            <w:pPr>
              <w:tabs>
                <w:tab w:val="left" w:pos="851"/>
              </w:tabs>
              <w:rPr>
                <w:sz w:val="24"/>
                <w:szCs w:val="24"/>
                <w:lang w:val="en-GB"/>
              </w:rPr>
            </w:pPr>
            <w:r>
              <w:rPr>
                <w:sz w:val="24"/>
                <w:szCs w:val="24"/>
                <w:lang w:val="en-GB"/>
              </w:rPr>
              <w:t>Palpitationer, takykardi, atrieflimren</w:t>
            </w:r>
          </w:p>
          <w:p w:rsidR="00206688" w:rsidRDefault="00206688" w:rsidP="00206688">
            <w:pPr>
              <w:tabs>
                <w:tab w:val="left" w:pos="851"/>
              </w:tabs>
              <w:rPr>
                <w:sz w:val="24"/>
                <w:szCs w:val="24"/>
                <w:lang w:val="en-GB"/>
              </w:rPr>
            </w:pPr>
          </w:p>
        </w:tc>
      </w:tr>
      <w:tr w:rsidR="009830A0" w:rsidTr="003B4BCE">
        <w:trPr>
          <w:cantSplit/>
          <w:trHeight w:val="619"/>
        </w:trPr>
        <w:tc>
          <w:tcPr>
            <w:tcW w:w="403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9830A0" w:rsidRDefault="009830A0" w:rsidP="003B4BCE">
            <w:pPr>
              <w:tabs>
                <w:tab w:val="left" w:pos="851"/>
              </w:tabs>
              <w:rPr>
                <w:b/>
                <w:sz w:val="24"/>
                <w:szCs w:val="24"/>
              </w:rPr>
            </w:pPr>
            <w:r>
              <w:rPr>
                <w:b/>
                <w:sz w:val="24"/>
                <w:szCs w:val="24"/>
              </w:rPr>
              <w:t>Vaskulære sygdomme</w:t>
            </w:r>
          </w:p>
          <w:p w:rsidR="009830A0" w:rsidRDefault="009830A0" w:rsidP="003B4BCE">
            <w:pPr>
              <w:tabs>
                <w:tab w:val="left" w:pos="851"/>
              </w:tabs>
              <w:rPr>
                <w:b/>
                <w:sz w:val="24"/>
                <w:szCs w:val="24"/>
              </w:rPr>
            </w:pPr>
            <w:r>
              <w:rPr>
                <w:sz w:val="24"/>
                <w:szCs w:val="24"/>
              </w:rPr>
              <w:t>Ikke almindelig</w:t>
            </w:r>
          </w:p>
        </w:tc>
        <w:tc>
          <w:tcPr>
            <w:tcW w:w="504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9830A0" w:rsidRDefault="009830A0" w:rsidP="003B4BCE">
            <w:pPr>
              <w:tabs>
                <w:tab w:val="left" w:pos="851"/>
              </w:tabs>
              <w:rPr>
                <w:b/>
                <w:sz w:val="24"/>
                <w:szCs w:val="24"/>
              </w:rPr>
            </w:pPr>
          </w:p>
          <w:p w:rsidR="009830A0" w:rsidRDefault="009830A0" w:rsidP="003B4BCE">
            <w:pPr>
              <w:tabs>
                <w:tab w:val="left" w:pos="851"/>
              </w:tabs>
              <w:rPr>
                <w:sz w:val="24"/>
                <w:szCs w:val="24"/>
                <w:lang w:val="en-GB"/>
              </w:rPr>
            </w:pPr>
            <w:r>
              <w:rPr>
                <w:sz w:val="24"/>
                <w:szCs w:val="24"/>
                <w:lang w:val="en-GB"/>
              </w:rPr>
              <w:t>Rødmen, hypertension</w:t>
            </w:r>
          </w:p>
        </w:tc>
      </w:tr>
      <w:tr w:rsidR="009830A0" w:rsidTr="003B4BCE">
        <w:trPr>
          <w:cantSplit/>
          <w:trHeight w:val="845"/>
        </w:trPr>
        <w:tc>
          <w:tcPr>
            <w:tcW w:w="403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9830A0" w:rsidRDefault="009830A0" w:rsidP="003B4BCE">
            <w:pPr>
              <w:tabs>
                <w:tab w:val="left" w:pos="851"/>
              </w:tabs>
              <w:rPr>
                <w:b/>
                <w:sz w:val="24"/>
                <w:szCs w:val="24"/>
              </w:rPr>
            </w:pPr>
            <w:r>
              <w:rPr>
                <w:b/>
                <w:sz w:val="24"/>
                <w:szCs w:val="24"/>
              </w:rPr>
              <w:t>Luftveje, thorax og mediastinum</w:t>
            </w:r>
          </w:p>
          <w:p w:rsidR="009830A0" w:rsidRDefault="009830A0" w:rsidP="003B4BCE">
            <w:pPr>
              <w:tabs>
                <w:tab w:val="left" w:pos="851"/>
              </w:tabs>
              <w:rPr>
                <w:sz w:val="24"/>
                <w:szCs w:val="24"/>
              </w:rPr>
            </w:pPr>
            <w:r>
              <w:rPr>
                <w:sz w:val="24"/>
                <w:szCs w:val="24"/>
              </w:rPr>
              <w:t>Meget almindelig</w:t>
            </w:r>
          </w:p>
          <w:p w:rsidR="009830A0" w:rsidRDefault="009830A0" w:rsidP="003B4BCE">
            <w:pPr>
              <w:tabs>
                <w:tab w:val="left" w:pos="851"/>
              </w:tabs>
              <w:rPr>
                <w:sz w:val="24"/>
                <w:szCs w:val="24"/>
              </w:rPr>
            </w:pPr>
          </w:p>
          <w:p w:rsidR="009830A0" w:rsidRDefault="009830A0" w:rsidP="003B4BCE">
            <w:pPr>
              <w:tabs>
                <w:tab w:val="left" w:pos="851"/>
              </w:tabs>
              <w:rPr>
                <w:sz w:val="24"/>
                <w:szCs w:val="24"/>
              </w:rPr>
            </w:pPr>
            <w:r>
              <w:rPr>
                <w:sz w:val="24"/>
                <w:szCs w:val="24"/>
              </w:rPr>
              <w:t>Ikke almindelig</w:t>
            </w:r>
          </w:p>
          <w:p w:rsidR="009830A0" w:rsidRDefault="009830A0" w:rsidP="003B4BCE">
            <w:pPr>
              <w:tabs>
                <w:tab w:val="left" w:pos="851"/>
              </w:tabs>
              <w:rPr>
                <w:b/>
                <w:sz w:val="24"/>
                <w:szCs w:val="24"/>
              </w:rPr>
            </w:pPr>
          </w:p>
        </w:tc>
        <w:tc>
          <w:tcPr>
            <w:tcW w:w="504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9830A0" w:rsidRDefault="009830A0" w:rsidP="003B4BCE">
            <w:pPr>
              <w:tabs>
                <w:tab w:val="left" w:pos="851"/>
              </w:tabs>
              <w:rPr>
                <w:sz w:val="24"/>
                <w:szCs w:val="24"/>
              </w:rPr>
            </w:pPr>
          </w:p>
          <w:p w:rsidR="009830A0" w:rsidRDefault="009830A0" w:rsidP="003B4BCE">
            <w:pPr>
              <w:tabs>
                <w:tab w:val="left" w:pos="851"/>
              </w:tabs>
              <w:rPr>
                <w:sz w:val="24"/>
                <w:szCs w:val="24"/>
              </w:rPr>
            </w:pPr>
            <w:r>
              <w:rPr>
                <w:sz w:val="24"/>
                <w:szCs w:val="24"/>
              </w:rPr>
              <w:t xml:space="preserve">Hoste, hikke, irritation i halsen </w:t>
            </w:r>
          </w:p>
          <w:p w:rsidR="009830A0" w:rsidRDefault="009830A0" w:rsidP="003B4BCE">
            <w:pPr>
              <w:tabs>
                <w:tab w:val="left" w:pos="851"/>
              </w:tabs>
              <w:rPr>
                <w:sz w:val="24"/>
                <w:szCs w:val="24"/>
              </w:rPr>
            </w:pPr>
          </w:p>
          <w:p w:rsidR="009830A0" w:rsidRDefault="009830A0" w:rsidP="003B4BCE">
            <w:pPr>
              <w:tabs>
                <w:tab w:val="left" w:pos="851"/>
              </w:tabs>
              <w:rPr>
                <w:sz w:val="24"/>
                <w:szCs w:val="24"/>
              </w:rPr>
            </w:pPr>
            <w:r>
              <w:rPr>
                <w:sz w:val="24"/>
                <w:szCs w:val="24"/>
              </w:rPr>
              <w:t>Bronkospasme, dysfoni, dyspnø, tilstoppet næse, smerter i svælget, nysen, spænding i halsen</w:t>
            </w:r>
          </w:p>
        </w:tc>
      </w:tr>
      <w:tr w:rsidR="009830A0" w:rsidTr="003B4BCE">
        <w:trPr>
          <w:cantSplit/>
          <w:trHeight w:val="1771"/>
        </w:trPr>
        <w:tc>
          <w:tcPr>
            <w:tcW w:w="403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9830A0" w:rsidRDefault="009830A0" w:rsidP="003B4BCE">
            <w:pPr>
              <w:tabs>
                <w:tab w:val="left" w:pos="851"/>
              </w:tabs>
              <w:rPr>
                <w:sz w:val="24"/>
                <w:szCs w:val="24"/>
              </w:rPr>
            </w:pPr>
            <w:r>
              <w:rPr>
                <w:b/>
                <w:sz w:val="24"/>
                <w:szCs w:val="24"/>
              </w:rPr>
              <w:t>Mave-tarmkanalen</w:t>
            </w:r>
            <w:r>
              <w:rPr>
                <w:sz w:val="24"/>
                <w:szCs w:val="24"/>
              </w:rPr>
              <w:t xml:space="preserve"> </w:t>
            </w:r>
          </w:p>
          <w:p w:rsidR="009830A0" w:rsidRDefault="009830A0" w:rsidP="003B4BCE">
            <w:pPr>
              <w:tabs>
                <w:tab w:val="left" w:pos="851"/>
              </w:tabs>
              <w:rPr>
                <w:sz w:val="24"/>
                <w:szCs w:val="24"/>
              </w:rPr>
            </w:pPr>
            <w:r>
              <w:rPr>
                <w:sz w:val="24"/>
                <w:szCs w:val="24"/>
              </w:rPr>
              <w:t>Meget almindelig</w:t>
            </w:r>
          </w:p>
          <w:p w:rsidR="009830A0" w:rsidRDefault="009830A0" w:rsidP="003B4BCE">
            <w:pPr>
              <w:tabs>
                <w:tab w:val="left" w:pos="851"/>
              </w:tabs>
              <w:rPr>
                <w:sz w:val="24"/>
                <w:szCs w:val="24"/>
              </w:rPr>
            </w:pPr>
          </w:p>
          <w:p w:rsidR="009830A0" w:rsidRDefault="009830A0" w:rsidP="003B4BCE">
            <w:pPr>
              <w:tabs>
                <w:tab w:val="left" w:pos="851"/>
              </w:tabs>
              <w:rPr>
                <w:sz w:val="24"/>
                <w:szCs w:val="24"/>
              </w:rPr>
            </w:pPr>
            <w:r>
              <w:rPr>
                <w:sz w:val="24"/>
                <w:szCs w:val="24"/>
              </w:rPr>
              <w:t>Almindelig</w:t>
            </w:r>
          </w:p>
          <w:p w:rsidR="009830A0" w:rsidRDefault="009830A0" w:rsidP="003B4BCE">
            <w:pPr>
              <w:tabs>
                <w:tab w:val="left" w:pos="851"/>
              </w:tabs>
              <w:rPr>
                <w:sz w:val="24"/>
                <w:szCs w:val="24"/>
              </w:rPr>
            </w:pPr>
          </w:p>
          <w:p w:rsidR="009830A0" w:rsidRDefault="009830A0" w:rsidP="003B4BCE">
            <w:pPr>
              <w:tabs>
                <w:tab w:val="left" w:pos="851"/>
              </w:tabs>
              <w:rPr>
                <w:sz w:val="24"/>
                <w:szCs w:val="24"/>
              </w:rPr>
            </w:pPr>
          </w:p>
          <w:p w:rsidR="009830A0" w:rsidRDefault="009830A0" w:rsidP="003B4BCE">
            <w:pPr>
              <w:tabs>
                <w:tab w:val="left" w:pos="851"/>
              </w:tabs>
              <w:rPr>
                <w:sz w:val="24"/>
                <w:szCs w:val="24"/>
              </w:rPr>
            </w:pPr>
          </w:p>
          <w:p w:rsidR="009830A0" w:rsidRDefault="009830A0" w:rsidP="003B4BCE">
            <w:pPr>
              <w:tabs>
                <w:tab w:val="left" w:pos="851"/>
              </w:tabs>
              <w:rPr>
                <w:sz w:val="24"/>
                <w:szCs w:val="24"/>
              </w:rPr>
            </w:pPr>
            <w:r>
              <w:rPr>
                <w:sz w:val="24"/>
                <w:szCs w:val="24"/>
              </w:rPr>
              <w:t>Ikke almindelig</w:t>
            </w:r>
          </w:p>
          <w:p w:rsidR="009830A0" w:rsidRDefault="009830A0" w:rsidP="003B4BCE">
            <w:pPr>
              <w:tabs>
                <w:tab w:val="left" w:pos="851"/>
              </w:tabs>
              <w:rPr>
                <w:sz w:val="24"/>
                <w:szCs w:val="24"/>
              </w:rPr>
            </w:pPr>
          </w:p>
          <w:p w:rsidR="009830A0" w:rsidRDefault="009830A0" w:rsidP="003B4BCE">
            <w:pPr>
              <w:tabs>
                <w:tab w:val="left" w:pos="851"/>
              </w:tabs>
              <w:rPr>
                <w:sz w:val="24"/>
                <w:szCs w:val="24"/>
              </w:rPr>
            </w:pPr>
          </w:p>
          <w:p w:rsidR="009830A0" w:rsidRDefault="009830A0" w:rsidP="003B4BCE">
            <w:pPr>
              <w:tabs>
                <w:tab w:val="left" w:pos="851"/>
              </w:tabs>
              <w:rPr>
                <w:sz w:val="24"/>
                <w:szCs w:val="24"/>
              </w:rPr>
            </w:pPr>
            <w:r>
              <w:rPr>
                <w:sz w:val="24"/>
                <w:szCs w:val="24"/>
              </w:rPr>
              <w:t>Sjælden</w:t>
            </w:r>
          </w:p>
          <w:p w:rsidR="009830A0" w:rsidRDefault="009830A0" w:rsidP="003B4BCE">
            <w:pPr>
              <w:tabs>
                <w:tab w:val="left" w:pos="851"/>
              </w:tabs>
              <w:rPr>
                <w:sz w:val="24"/>
                <w:szCs w:val="24"/>
              </w:rPr>
            </w:pPr>
          </w:p>
          <w:p w:rsidR="009830A0" w:rsidRDefault="009830A0" w:rsidP="003B4BCE">
            <w:pPr>
              <w:tabs>
                <w:tab w:val="left" w:pos="851"/>
              </w:tabs>
              <w:rPr>
                <w:sz w:val="24"/>
                <w:szCs w:val="24"/>
              </w:rPr>
            </w:pPr>
          </w:p>
          <w:p w:rsidR="009830A0" w:rsidRDefault="009830A0" w:rsidP="003B4BCE">
            <w:pPr>
              <w:tabs>
                <w:tab w:val="left" w:pos="851"/>
              </w:tabs>
              <w:rPr>
                <w:sz w:val="24"/>
                <w:szCs w:val="24"/>
              </w:rPr>
            </w:pPr>
            <w:r>
              <w:rPr>
                <w:sz w:val="24"/>
                <w:szCs w:val="24"/>
              </w:rPr>
              <w:t>Ikke kendt</w:t>
            </w:r>
          </w:p>
        </w:tc>
        <w:tc>
          <w:tcPr>
            <w:tcW w:w="504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9830A0" w:rsidRDefault="009830A0" w:rsidP="003B4BCE">
            <w:pPr>
              <w:tabs>
                <w:tab w:val="left" w:pos="851"/>
              </w:tabs>
              <w:rPr>
                <w:sz w:val="24"/>
                <w:szCs w:val="24"/>
              </w:rPr>
            </w:pPr>
          </w:p>
          <w:p w:rsidR="009830A0" w:rsidRDefault="009830A0" w:rsidP="003B4BCE">
            <w:pPr>
              <w:tabs>
                <w:tab w:val="left" w:pos="851"/>
              </w:tabs>
              <w:rPr>
                <w:sz w:val="24"/>
                <w:szCs w:val="24"/>
              </w:rPr>
            </w:pPr>
            <w:r>
              <w:rPr>
                <w:sz w:val="24"/>
                <w:szCs w:val="24"/>
              </w:rPr>
              <w:t>Kvalme, irritation i mund/hals og tunge</w:t>
            </w:r>
          </w:p>
          <w:p w:rsidR="009830A0" w:rsidRDefault="009830A0" w:rsidP="003B4BCE">
            <w:pPr>
              <w:tabs>
                <w:tab w:val="left" w:pos="851"/>
              </w:tabs>
              <w:rPr>
                <w:sz w:val="24"/>
                <w:szCs w:val="24"/>
              </w:rPr>
            </w:pPr>
          </w:p>
          <w:p w:rsidR="009830A0" w:rsidRDefault="009830A0" w:rsidP="003B4BCE">
            <w:pPr>
              <w:tabs>
                <w:tab w:val="left" w:pos="851"/>
              </w:tabs>
              <w:rPr>
                <w:sz w:val="24"/>
                <w:szCs w:val="24"/>
              </w:rPr>
            </w:pPr>
            <w:r>
              <w:rPr>
                <w:sz w:val="24"/>
                <w:szCs w:val="24"/>
              </w:rPr>
              <w:t>Abdominalsmerter, mundtørhed, diarré, dyspepsi, flatulens, øget spytsekretion, stomatitis, opkastning, halsbrand</w:t>
            </w:r>
          </w:p>
          <w:p w:rsidR="009830A0" w:rsidRDefault="009830A0" w:rsidP="003B4BCE">
            <w:pPr>
              <w:tabs>
                <w:tab w:val="left" w:pos="851"/>
              </w:tabs>
              <w:rPr>
                <w:sz w:val="24"/>
                <w:szCs w:val="24"/>
              </w:rPr>
            </w:pPr>
          </w:p>
          <w:p w:rsidR="009830A0" w:rsidRDefault="009830A0" w:rsidP="003B4BCE">
            <w:pPr>
              <w:tabs>
                <w:tab w:val="left" w:pos="851"/>
              </w:tabs>
              <w:rPr>
                <w:sz w:val="24"/>
                <w:szCs w:val="24"/>
              </w:rPr>
            </w:pPr>
            <w:r>
              <w:rPr>
                <w:sz w:val="24"/>
                <w:szCs w:val="24"/>
              </w:rPr>
              <w:t>Eruktation, glossitis, eksfoliation og blærer i mundhulen, oral paræstesi</w:t>
            </w:r>
          </w:p>
          <w:p w:rsidR="009830A0" w:rsidRDefault="009830A0" w:rsidP="003B4BCE">
            <w:pPr>
              <w:tabs>
                <w:tab w:val="left" w:pos="851"/>
              </w:tabs>
              <w:rPr>
                <w:sz w:val="24"/>
                <w:szCs w:val="24"/>
              </w:rPr>
            </w:pPr>
          </w:p>
          <w:p w:rsidR="009830A0" w:rsidRDefault="009830A0" w:rsidP="003B4BCE">
            <w:pPr>
              <w:tabs>
                <w:tab w:val="left" w:pos="851"/>
              </w:tabs>
              <w:rPr>
                <w:sz w:val="24"/>
                <w:szCs w:val="24"/>
              </w:rPr>
            </w:pPr>
            <w:r>
              <w:rPr>
                <w:sz w:val="24"/>
                <w:szCs w:val="24"/>
              </w:rPr>
              <w:t>Dysfagi, oral hypoæstesi, opkastningsfornemmelser</w:t>
            </w:r>
          </w:p>
          <w:p w:rsidR="009830A0" w:rsidRDefault="009830A0" w:rsidP="003B4BCE">
            <w:pPr>
              <w:tabs>
                <w:tab w:val="left" w:pos="851"/>
              </w:tabs>
              <w:rPr>
                <w:sz w:val="24"/>
                <w:szCs w:val="24"/>
              </w:rPr>
            </w:pPr>
          </w:p>
          <w:p w:rsidR="009830A0" w:rsidRDefault="009830A0" w:rsidP="003B4BCE">
            <w:pPr>
              <w:tabs>
                <w:tab w:val="left" w:pos="851"/>
              </w:tabs>
              <w:rPr>
                <w:sz w:val="24"/>
                <w:szCs w:val="24"/>
              </w:rPr>
            </w:pPr>
            <w:r>
              <w:rPr>
                <w:sz w:val="24"/>
                <w:szCs w:val="24"/>
              </w:rPr>
              <w:t>Halstørhed, gastrointestinal ubehag, læbesmerter</w:t>
            </w:r>
          </w:p>
        </w:tc>
      </w:tr>
      <w:tr w:rsidR="00206688" w:rsidTr="003B4BCE">
        <w:trPr>
          <w:cantSplit/>
          <w:trHeight w:val="277"/>
        </w:trPr>
        <w:tc>
          <w:tcPr>
            <w:tcW w:w="403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206688" w:rsidRDefault="00206688" w:rsidP="00206688">
            <w:pPr>
              <w:tabs>
                <w:tab w:val="left" w:pos="851"/>
              </w:tabs>
              <w:rPr>
                <w:b/>
                <w:sz w:val="24"/>
                <w:szCs w:val="24"/>
              </w:rPr>
            </w:pPr>
            <w:r>
              <w:rPr>
                <w:b/>
                <w:sz w:val="24"/>
                <w:szCs w:val="24"/>
              </w:rPr>
              <w:t>Hud og subkutane væv</w:t>
            </w:r>
          </w:p>
          <w:p w:rsidR="00206688" w:rsidRDefault="00206688" w:rsidP="00206688">
            <w:pPr>
              <w:tabs>
                <w:tab w:val="left" w:pos="851"/>
              </w:tabs>
              <w:rPr>
                <w:sz w:val="24"/>
                <w:szCs w:val="24"/>
              </w:rPr>
            </w:pPr>
            <w:r>
              <w:rPr>
                <w:sz w:val="24"/>
                <w:szCs w:val="24"/>
              </w:rPr>
              <w:t>Ikke almindelig</w:t>
            </w:r>
          </w:p>
          <w:p w:rsidR="00206688" w:rsidRDefault="00206688" w:rsidP="00206688">
            <w:pPr>
              <w:tabs>
                <w:tab w:val="left" w:pos="851"/>
              </w:tabs>
              <w:rPr>
                <w:sz w:val="24"/>
                <w:szCs w:val="24"/>
              </w:rPr>
            </w:pPr>
          </w:p>
          <w:p w:rsidR="00206688" w:rsidRDefault="00206688" w:rsidP="00206688">
            <w:pPr>
              <w:tabs>
                <w:tab w:val="left" w:pos="851"/>
              </w:tabs>
              <w:rPr>
                <w:sz w:val="24"/>
                <w:szCs w:val="24"/>
              </w:rPr>
            </w:pPr>
            <w:r>
              <w:rPr>
                <w:sz w:val="24"/>
                <w:szCs w:val="24"/>
              </w:rPr>
              <w:t>Ikke kendt</w:t>
            </w:r>
          </w:p>
          <w:p w:rsidR="00206688" w:rsidRDefault="00206688" w:rsidP="00206688">
            <w:pPr>
              <w:tabs>
                <w:tab w:val="left" w:pos="851"/>
              </w:tabs>
              <w:rPr>
                <w:sz w:val="24"/>
                <w:szCs w:val="24"/>
              </w:rPr>
            </w:pPr>
          </w:p>
        </w:tc>
        <w:tc>
          <w:tcPr>
            <w:tcW w:w="504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206688" w:rsidRDefault="00206688" w:rsidP="00206688">
            <w:pPr>
              <w:tabs>
                <w:tab w:val="left" w:pos="851"/>
              </w:tabs>
              <w:rPr>
                <w:sz w:val="24"/>
                <w:szCs w:val="24"/>
              </w:rPr>
            </w:pPr>
          </w:p>
          <w:p w:rsidR="00206688" w:rsidRDefault="00206688" w:rsidP="00206688">
            <w:pPr>
              <w:tabs>
                <w:tab w:val="left" w:pos="851"/>
              </w:tabs>
              <w:rPr>
                <w:sz w:val="24"/>
                <w:szCs w:val="24"/>
              </w:rPr>
            </w:pPr>
            <w:r>
              <w:rPr>
                <w:sz w:val="24"/>
                <w:szCs w:val="24"/>
              </w:rPr>
              <w:t>Hyperhydrose, pruritus, udslæt, urticaria</w:t>
            </w:r>
          </w:p>
          <w:p w:rsidR="00206688" w:rsidRDefault="00206688" w:rsidP="00206688">
            <w:pPr>
              <w:tabs>
                <w:tab w:val="left" w:pos="851"/>
              </w:tabs>
              <w:rPr>
                <w:sz w:val="24"/>
                <w:szCs w:val="24"/>
              </w:rPr>
            </w:pPr>
          </w:p>
          <w:p w:rsidR="00206688" w:rsidRDefault="00206688" w:rsidP="00206688">
            <w:pPr>
              <w:tabs>
                <w:tab w:val="left" w:pos="851"/>
              </w:tabs>
              <w:rPr>
                <w:sz w:val="24"/>
                <w:szCs w:val="24"/>
              </w:rPr>
            </w:pPr>
            <w:r>
              <w:rPr>
                <w:sz w:val="24"/>
                <w:szCs w:val="24"/>
              </w:rPr>
              <w:t>Erytem</w:t>
            </w:r>
          </w:p>
          <w:p w:rsidR="00206688" w:rsidRDefault="00206688" w:rsidP="00206688">
            <w:pPr>
              <w:tabs>
                <w:tab w:val="left" w:pos="851"/>
              </w:tabs>
              <w:rPr>
                <w:sz w:val="24"/>
                <w:szCs w:val="24"/>
              </w:rPr>
            </w:pPr>
          </w:p>
        </w:tc>
      </w:tr>
      <w:tr w:rsidR="009830A0" w:rsidTr="003B4BCE">
        <w:trPr>
          <w:cantSplit/>
          <w:trHeight w:val="277"/>
        </w:trPr>
        <w:tc>
          <w:tcPr>
            <w:tcW w:w="403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9830A0" w:rsidRDefault="009830A0" w:rsidP="003B4BCE">
            <w:pPr>
              <w:tabs>
                <w:tab w:val="left" w:pos="851"/>
              </w:tabs>
              <w:rPr>
                <w:b/>
                <w:sz w:val="24"/>
                <w:szCs w:val="24"/>
              </w:rPr>
            </w:pPr>
            <w:r>
              <w:rPr>
                <w:b/>
                <w:sz w:val="24"/>
                <w:szCs w:val="24"/>
              </w:rPr>
              <w:t>Almene symptomer og reaktioner på administrationsstedet</w:t>
            </w:r>
          </w:p>
          <w:p w:rsidR="009830A0" w:rsidRDefault="009830A0" w:rsidP="003B4BCE">
            <w:pPr>
              <w:tabs>
                <w:tab w:val="left" w:pos="851"/>
              </w:tabs>
              <w:rPr>
                <w:sz w:val="24"/>
                <w:szCs w:val="24"/>
              </w:rPr>
            </w:pPr>
            <w:r>
              <w:rPr>
                <w:sz w:val="24"/>
                <w:szCs w:val="24"/>
              </w:rPr>
              <w:t>Almindelig</w:t>
            </w:r>
          </w:p>
          <w:p w:rsidR="009830A0" w:rsidRDefault="009830A0" w:rsidP="003B4BCE">
            <w:pPr>
              <w:tabs>
                <w:tab w:val="left" w:pos="851"/>
              </w:tabs>
              <w:rPr>
                <w:sz w:val="24"/>
                <w:szCs w:val="24"/>
              </w:rPr>
            </w:pPr>
          </w:p>
          <w:p w:rsidR="009830A0" w:rsidRDefault="009830A0" w:rsidP="003B4BCE">
            <w:pPr>
              <w:tabs>
                <w:tab w:val="left" w:pos="851"/>
              </w:tabs>
              <w:rPr>
                <w:sz w:val="24"/>
                <w:szCs w:val="24"/>
              </w:rPr>
            </w:pPr>
            <w:r>
              <w:rPr>
                <w:sz w:val="24"/>
                <w:szCs w:val="24"/>
              </w:rPr>
              <w:t>Ikke almindelig</w:t>
            </w:r>
          </w:p>
        </w:tc>
        <w:tc>
          <w:tcPr>
            <w:tcW w:w="504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9830A0" w:rsidRDefault="009830A0" w:rsidP="003B4BCE">
            <w:pPr>
              <w:tabs>
                <w:tab w:val="left" w:pos="851"/>
              </w:tabs>
              <w:rPr>
                <w:sz w:val="24"/>
                <w:szCs w:val="24"/>
              </w:rPr>
            </w:pPr>
          </w:p>
          <w:p w:rsidR="009830A0" w:rsidRDefault="009830A0" w:rsidP="003B4BCE">
            <w:pPr>
              <w:tabs>
                <w:tab w:val="left" w:pos="851"/>
              </w:tabs>
              <w:rPr>
                <w:sz w:val="24"/>
                <w:szCs w:val="24"/>
              </w:rPr>
            </w:pPr>
          </w:p>
          <w:p w:rsidR="009830A0" w:rsidRDefault="009830A0" w:rsidP="003B4BCE">
            <w:pPr>
              <w:tabs>
                <w:tab w:val="left" w:pos="851"/>
              </w:tabs>
              <w:rPr>
                <w:sz w:val="24"/>
                <w:szCs w:val="24"/>
              </w:rPr>
            </w:pPr>
            <w:r>
              <w:rPr>
                <w:sz w:val="24"/>
                <w:szCs w:val="24"/>
              </w:rPr>
              <w:t xml:space="preserve">Brændende fornemmelse, træthed </w:t>
            </w:r>
          </w:p>
          <w:p w:rsidR="009830A0" w:rsidRDefault="009830A0" w:rsidP="003B4BCE">
            <w:pPr>
              <w:tabs>
                <w:tab w:val="left" w:pos="851"/>
              </w:tabs>
              <w:rPr>
                <w:sz w:val="24"/>
                <w:szCs w:val="24"/>
              </w:rPr>
            </w:pPr>
          </w:p>
          <w:p w:rsidR="009830A0" w:rsidRDefault="009830A0" w:rsidP="003B4BCE">
            <w:pPr>
              <w:tabs>
                <w:tab w:val="left" w:pos="851"/>
              </w:tabs>
              <w:rPr>
                <w:sz w:val="24"/>
                <w:szCs w:val="24"/>
              </w:rPr>
            </w:pPr>
            <w:r>
              <w:rPr>
                <w:sz w:val="24"/>
                <w:szCs w:val="24"/>
              </w:rPr>
              <w:t>Asteni, brystsmerter og ubehag, malaise</w:t>
            </w:r>
          </w:p>
        </w:tc>
      </w:tr>
    </w:tbl>
    <w:p w:rsidR="00FA430B" w:rsidRDefault="009830A0" w:rsidP="00FA430B">
      <w:pPr>
        <w:pStyle w:val="Sidehoved"/>
        <w:tabs>
          <w:tab w:val="left" w:pos="1304"/>
        </w:tabs>
        <w:ind w:left="851" w:hanging="851"/>
        <w:rPr>
          <w:szCs w:val="24"/>
        </w:rPr>
      </w:pPr>
      <w:r>
        <w:rPr>
          <w:szCs w:val="24"/>
        </w:rPr>
        <w:tab/>
      </w:r>
      <w:r w:rsidR="00FA430B" w:rsidRPr="00A82FAF">
        <w:rPr>
          <w:szCs w:val="24"/>
        </w:rPr>
        <w:t xml:space="preserve">* Tilfælde af </w:t>
      </w:r>
      <w:r w:rsidR="00FA430B">
        <w:rPr>
          <w:szCs w:val="24"/>
        </w:rPr>
        <w:t>krampe</w:t>
      </w:r>
      <w:r w:rsidR="00FA430B" w:rsidRPr="00A82FAF">
        <w:rPr>
          <w:szCs w:val="24"/>
        </w:rPr>
        <w:t>anfald er blevet rapporteret hos forsøgspersoner, der fik antikonvulsiv behandling eller med epilepsi i anamnesen.</w:t>
      </w:r>
    </w:p>
    <w:p w:rsidR="009830A0" w:rsidRDefault="009830A0" w:rsidP="009830A0">
      <w:pPr>
        <w:pStyle w:val="Sidehoved"/>
        <w:tabs>
          <w:tab w:val="left" w:pos="1304"/>
        </w:tabs>
        <w:ind w:left="851" w:hanging="851"/>
        <w:rPr>
          <w:szCs w:val="24"/>
        </w:rPr>
      </w:pPr>
    </w:p>
    <w:p w:rsidR="009830A0" w:rsidRDefault="009830A0" w:rsidP="009830A0">
      <w:pPr>
        <w:autoSpaceDE w:val="0"/>
        <w:autoSpaceDN w:val="0"/>
        <w:adjustRightInd w:val="0"/>
        <w:ind w:firstLine="851"/>
        <w:rPr>
          <w:sz w:val="24"/>
          <w:szCs w:val="24"/>
          <w:u w:val="single"/>
        </w:rPr>
      </w:pPr>
      <w:r>
        <w:rPr>
          <w:noProof/>
          <w:sz w:val="24"/>
          <w:szCs w:val="24"/>
          <w:u w:val="single"/>
        </w:rPr>
        <w:t>Indberetning af formodede bivirkninger</w:t>
      </w:r>
    </w:p>
    <w:p w:rsidR="00206688" w:rsidRDefault="009830A0" w:rsidP="009830A0">
      <w:pPr>
        <w:pStyle w:val="Sidehoved"/>
        <w:tabs>
          <w:tab w:val="left" w:pos="851"/>
        </w:tabs>
        <w:ind w:left="851"/>
        <w:rPr>
          <w:szCs w:val="24"/>
        </w:rPr>
      </w:pPr>
      <w:r>
        <w:rPr>
          <w:noProof/>
          <w:szCs w:val="24"/>
        </w:rPr>
        <w:t>Når lægemidlet er godkendt, er indberetning af formodede bivirkninger vigtig.</w:t>
      </w:r>
      <w:r>
        <w:rPr>
          <w:szCs w:val="24"/>
        </w:rPr>
        <w:t xml:space="preserve"> </w:t>
      </w:r>
      <w:r>
        <w:rPr>
          <w:noProof/>
          <w:szCs w:val="24"/>
        </w:rPr>
        <w:t>Det muliggør løbende overvågning af benefit/risk-forholdet for lægemidlet.</w:t>
      </w:r>
      <w:r>
        <w:rPr>
          <w:szCs w:val="24"/>
        </w:rPr>
        <w:t xml:space="preserve"> </w:t>
      </w:r>
      <w:r w:rsidR="009924AA">
        <w:rPr>
          <w:szCs w:val="24"/>
        </w:rPr>
        <w:t>S</w:t>
      </w:r>
      <w:r>
        <w:rPr>
          <w:noProof/>
          <w:szCs w:val="24"/>
        </w:rPr>
        <w:t>undhedsperson</w:t>
      </w:r>
      <w:r w:rsidR="009924AA">
        <w:rPr>
          <w:noProof/>
          <w:szCs w:val="24"/>
        </w:rPr>
        <w:t>er</w:t>
      </w:r>
      <w:r>
        <w:rPr>
          <w:noProof/>
          <w:szCs w:val="24"/>
        </w:rPr>
        <w:t xml:space="preserve"> anmodes om at indberette alle formodede bivirkninger via:</w:t>
      </w:r>
      <w:r>
        <w:rPr>
          <w:szCs w:val="24"/>
        </w:rPr>
        <w:t xml:space="preserve"> </w:t>
      </w:r>
    </w:p>
    <w:p w:rsidR="009830A0" w:rsidRDefault="009830A0" w:rsidP="009830A0">
      <w:pPr>
        <w:pStyle w:val="Sidehoved"/>
        <w:tabs>
          <w:tab w:val="left" w:pos="851"/>
        </w:tabs>
        <w:ind w:left="851"/>
        <w:rPr>
          <w:szCs w:val="24"/>
        </w:rPr>
      </w:pPr>
      <w:r>
        <w:rPr>
          <w:szCs w:val="24"/>
        </w:rPr>
        <w:lastRenderedPageBreak/>
        <w:t>Lægemiddelstyrelsen</w:t>
      </w:r>
    </w:p>
    <w:p w:rsidR="009830A0" w:rsidRDefault="009830A0" w:rsidP="009830A0">
      <w:pPr>
        <w:pStyle w:val="Sidehoved"/>
        <w:tabs>
          <w:tab w:val="left" w:pos="851"/>
        </w:tabs>
        <w:ind w:left="851"/>
        <w:rPr>
          <w:szCs w:val="24"/>
        </w:rPr>
      </w:pPr>
      <w:r>
        <w:rPr>
          <w:szCs w:val="24"/>
        </w:rPr>
        <w:t>Axel Heides Gade 1</w:t>
      </w:r>
    </w:p>
    <w:p w:rsidR="009830A0" w:rsidRDefault="009830A0" w:rsidP="009830A0">
      <w:pPr>
        <w:pStyle w:val="Sidehoved"/>
        <w:tabs>
          <w:tab w:val="left" w:pos="851"/>
        </w:tabs>
        <w:ind w:left="851"/>
        <w:rPr>
          <w:szCs w:val="24"/>
        </w:rPr>
      </w:pPr>
      <w:r>
        <w:rPr>
          <w:szCs w:val="24"/>
        </w:rPr>
        <w:t>DK-2300 København S</w:t>
      </w:r>
    </w:p>
    <w:p w:rsidR="009830A0" w:rsidRPr="00516F4D" w:rsidRDefault="009830A0" w:rsidP="009830A0">
      <w:pPr>
        <w:pStyle w:val="Sidehoved"/>
        <w:tabs>
          <w:tab w:val="left" w:pos="851"/>
        </w:tabs>
        <w:ind w:left="851"/>
        <w:rPr>
          <w:szCs w:val="24"/>
        </w:rPr>
      </w:pPr>
      <w:r w:rsidRPr="00516F4D">
        <w:rPr>
          <w:szCs w:val="24"/>
        </w:rPr>
        <w:t xml:space="preserve">Websted: </w:t>
      </w:r>
      <w:hyperlink r:id="rId8" w:history="1">
        <w:r w:rsidRPr="00516F4D">
          <w:rPr>
            <w:rStyle w:val="Hyperlink"/>
            <w:szCs w:val="24"/>
          </w:rPr>
          <w:t>www.meldenbivirkning.dk</w:t>
        </w:r>
      </w:hyperlink>
    </w:p>
    <w:p w:rsidR="009830A0" w:rsidRPr="00516F4D" w:rsidRDefault="009830A0" w:rsidP="009830A0">
      <w:pPr>
        <w:pStyle w:val="Sidehoved"/>
        <w:tabs>
          <w:tab w:val="left" w:pos="1304"/>
        </w:tabs>
        <w:ind w:left="851" w:hanging="851"/>
        <w:rPr>
          <w:szCs w:val="24"/>
        </w:rPr>
      </w:pPr>
    </w:p>
    <w:p w:rsidR="009830A0" w:rsidRPr="00D834E3" w:rsidRDefault="009830A0" w:rsidP="009830A0">
      <w:pPr>
        <w:numPr>
          <w:ilvl w:val="1"/>
          <w:numId w:val="1"/>
        </w:numPr>
        <w:tabs>
          <w:tab w:val="clear" w:pos="855"/>
        </w:tabs>
        <w:ind w:left="851" w:hanging="851"/>
        <w:rPr>
          <w:b/>
          <w:sz w:val="24"/>
          <w:szCs w:val="24"/>
        </w:rPr>
      </w:pPr>
      <w:r w:rsidRPr="00D834E3">
        <w:rPr>
          <w:b/>
          <w:sz w:val="24"/>
          <w:szCs w:val="24"/>
        </w:rPr>
        <w:t>Overdosering</w:t>
      </w:r>
    </w:p>
    <w:p w:rsidR="00206688" w:rsidRDefault="009830A0" w:rsidP="00206688">
      <w:pPr>
        <w:ind w:left="851" w:hanging="851"/>
        <w:rPr>
          <w:b/>
          <w:sz w:val="24"/>
          <w:szCs w:val="24"/>
        </w:rPr>
      </w:pPr>
      <w:r w:rsidRPr="00D834E3">
        <w:rPr>
          <w:sz w:val="24"/>
          <w:szCs w:val="24"/>
        </w:rPr>
        <w:tab/>
      </w:r>
      <w:r w:rsidR="00206688">
        <w:rPr>
          <w:sz w:val="24"/>
          <w:szCs w:val="24"/>
        </w:rPr>
        <w:t>Den akutte mindste letale orale nicotindosis hos mennesker menes at være 40-60 mg.</w:t>
      </w:r>
    </w:p>
    <w:p w:rsidR="00206688" w:rsidRDefault="00206688" w:rsidP="00206688">
      <w:pPr>
        <w:ind w:left="851"/>
        <w:rPr>
          <w:sz w:val="24"/>
          <w:szCs w:val="24"/>
        </w:rPr>
      </w:pPr>
      <w:r>
        <w:rPr>
          <w:sz w:val="24"/>
          <w:szCs w:val="24"/>
        </w:rPr>
        <w:t>Når nicotin anvendes korrekt, kan der forekomme symptomer på overdosering hos patienter, der har haft et lavt nicotinindtag før behandling, eller hvis anden nicotinkilde bruges samtidig.</w:t>
      </w:r>
    </w:p>
    <w:p w:rsidR="00206688" w:rsidRDefault="00206688" w:rsidP="00206688">
      <w:pPr>
        <w:ind w:left="851"/>
        <w:rPr>
          <w:sz w:val="24"/>
          <w:szCs w:val="24"/>
        </w:rPr>
      </w:pPr>
    </w:p>
    <w:p w:rsidR="00206688" w:rsidRDefault="00206688" w:rsidP="00206688">
      <w:pPr>
        <w:ind w:left="851"/>
        <w:rPr>
          <w:i/>
          <w:sz w:val="24"/>
          <w:szCs w:val="24"/>
          <w:u w:val="single"/>
        </w:rPr>
      </w:pPr>
      <w:r>
        <w:rPr>
          <w:i/>
          <w:sz w:val="24"/>
          <w:szCs w:val="24"/>
          <w:u w:val="single"/>
        </w:rPr>
        <w:t>Pædiatrisk population</w:t>
      </w:r>
    </w:p>
    <w:p w:rsidR="00206688" w:rsidRDefault="00206688" w:rsidP="00206688">
      <w:pPr>
        <w:ind w:left="851"/>
        <w:rPr>
          <w:sz w:val="24"/>
          <w:szCs w:val="24"/>
        </w:rPr>
      </w:pPr>
      <w:r>
        <w:rPr>
          <w:sz w:val="24"/>
          <w:szCs w:val="24"/>
        </w:rPr>
        <w:t>Nicotindoser, som kan tåles af voksne rygere under behandling, kan forårsage svære forgiftningssymptomer hos børn og kan være dødelige. Mistanke om nicotinforgiftning hos et barn skal betragtes som en medicinsk nødsituation og behandles omgående.</w:t>
      </w:r>
    </w:p>
    <w:p w:rsidR="00206688" w:rsidRDefault="00206688" w:rsidP="00206688">
      <w:pPr>
        <w:ind w:left="851"/>
        <w:rPr>
          <w:sz w:val="24"/>
          <w:szCs w:val="24"/>
        </w:rPr>
      </w:pPr>
    </w:p>
    <w:p w:rsidR="00206688" w:rsidRDefault="00206688" w:rsidP="00206688">
      <w:pPr>
        <w:ind w:left="851"/>
        <w:rPr>
          <w:i/>
          <w:sz w:val="24"/>
          <w:szCs w:val="24"/>
          <w:u w:val="single"/>
        </w:rPr>
      </w:pPr>
      <w:r>
        <w:rPr>
          <w:i/>
          <w:sz w:val="24"/>
          <w:szCs w:val="24"/>
          <w:u w:val="single"/>
        </w:rPr>
        <w:t>Symptomer</w:t>
      </w:r>
    </w:p>
    <w:p w:rsidR="00206688" w:rsidRDefault="00206688" w:rsidP="00206688">
      <w:pPr>
        <w:ind w:left="851"/>
        <w:rPr>
          <w:sz w:val="24"/>
          <w:szCs w:val="24"/>
        </w:rPr>
      </w:pPr>
      <w:r>
        <w:rPr>
          <w:sz w:val="24"/>
          <w:szCs w:val="24"/>
        </w:rPr>
        <w:t>Symptomer på overdosering er de samme som ved akut</w:t>
      </w:r>
      <w:r>
        <w:rPr>
          <w:b/>
          <w:sz w:val="24"/>
          <w:szCs w:val="24"/>
        </w:rPr>
        <w:t xml:space="preserve"> </w:t>
      </w:r>
      <w:r>
        <w:rPr>
          <w:sz w:val="24"/>
          <w:szCs w:val="24"/>
        </w:rPr>
        <w:t>nicotinforgiftning og omfatter kvalme, opkastning, øget spytsekretion, mavesmerter, diarré, svedudbrud, hovedpine, svimmelhed, høreforstyrrelser og markant svækkelse. Ved høje doser kan disse symptomer efterfølges af hypotension, svag og uregelmæssig puls, vejrtrækningsbesvær, afkræftelse, kredsløbskollaps og letale krampeanfald.</w:t>
      </w:r>
    </w:p>
    <w:p w:rsidR="00206688" w:rsidRDefault="00206688" w:rsidP="00206688">
      <w:pPr>
        <w:ind w:left="851"/>
        <w:rPr>
          <w:i/>
          <w:sz w:val="24"/>
          <w:szCs w:val="24"/>
        </w:rPr>
      </w:pPr>
    </w:p>
    <w:p w:rsidR="00206688" w:rsidRDefault="00206688" w:rsidP="00206688">
      <w:pPr>
        <w:ind w:left="851"/>
        <w:rPr>
          <w:i/>
          <w:sz w:val="24"/>
          <w:szCs w:val="24"/>
          <w:u w:val="single"/>
        </w:rPr>
      </w:pPr>
      <w:r>
        <w:rPr>
          <w:i/>
          <w:sz w:val="24"/>
          <w:szCs w:val="24"/>
          <w:u w:val="single"/>
        </w:rPr>
        <w:t>Behandling ved overdosering</w:t>
      </w:r>
    </w:p>
    <w:p w:rsidR="00206688" w:rsidRDefault="00206688" w:rsidP="00206688">
      <w:pPr>
        <w:ind w:left="851"/>
        <w:rPr>
          <w:sz w:val="24"/>
          <w:szCs w:val="24"/>
        </w:rPr>
      </w:pPr>
      <w:r>
        <w:rPr>
          <w:sz w:val="24"/>
          <w:szCs w:val="24"/>
        </w:rPr>
        <w:t xml:space="preserve">Administration af nicotin skal stoppes øjeblikkeligt og patienten bør behandles symptomatisk. Hvis en meget stor mængde nicotin er slugt reducerer aktivt kul absorptionen af nicotin fra mave-tarmkanalen. </w:t>
      </w:r>
    </w:p>
    <w:p w:rsidR="009830A0" w:rsidRPr="00D834E3" w:rsidRDefault="009830A0" w:rsidP="00206688">
      <w:pPr>
        <w:ind w:left="851" w:hanging="851"/>
        <w:rPr>
          <w:sz w:val="24"/>
          <w:szCs w:val="24"/>
        </w:rPr>
      </w:pPr>
    </w:p>
    <w:p w:rsidR="009830A0" w:rsidRPr="00D834E3" w:rsidRDefault="009830A0" w:rsidP="009830A0">
      <w:pPr>
        <w:numPr>
          <w:ilvl w:val="1"/>
          <w:numId w:val="1"/>
        </w:numPr>
        <w:tabs>
          <w:tab w:val="clear" w:pos="855"/>
        </w:tabs>
        <w:ind w:left="851" w:hanging="851"/>
        <w:rPr>
          <w:b/>
          <w:sz w:val="24"/>
          <w:szCs w:val="24"/>
        </w:rPr>
      </w:pPr>
      <w:r w:rsidRPr="00D834E3">
        <w:rPr>
          <w:b/>
          <w:sz w:val="24"/>
          <w:szCs w:val="24"/>
        </w:rPr>
        <w:t>Udlevering</w:t>
      </w:r>
    </w:p>
    <w:p w:rsidR="009830A0" w:rsidRPr="00D834E3" w:rsidRDefault="009830A0" w:rsidP="009830A0">
      <w:pPr>
        <w:ind w:left="851" w:hanging="851"/>
        <w:rPr>
          <w:sz w:val="24"/>
          <w:szCs w:val="24"/>
        </w:rPr>
      </w:pPr>
      <w:r w:rsidRPr="00D834E3">
        <w:rPr>
          <w:sz w:val="24"/>
          <w:szCs w:val="24"/>
        </w:rPr>
        <w:tab/>
        <w:t>HF</w:t>
      </w:r>
    </w:p>
    <w:p w:rsidR="009830A0" w:rsidRPr="00D834E3" w:rsidRDefault="009830A0" w:rsidP="009830A0">
      <w:pPr>
        <w:ind w:left="851" w:hanging="851"/>
        <w:rPr>
          <w:sz w:val="24"/>
          <w:szCs w:val="24"/>
        </w:rPr>
      </w:pPr>
    </w:p>
    <w:p w:rsidR="009830A0" w:rsidRPr="00D834E3" w:rsidRDefault="009830A0" w:rsidP="009830A0">
      <w:pPr>
        <w:ind w:left="851" w:hanging="851"/>
        <w:rPr>
          <w:sz w:val="24"/>
          <w:szCs w:val="24"/>
        </w:rPr>
      </w:pPr>
    </w:p>
    <w:p w:rsidR="009830A0" w:rsidRPr="00D834E3" w:rsidRDefault="009830A0" w:rsidP="009830A0">
      <w:pPr>
        <w:numPr>
          <w:ilvl w:val="0"/>
          <w:numId w:val="1"/>
        </w:numPr>
        <w:tabs>
          <w:tab w:val="clear" w:pos="855"/>
        </w:tabs>
        <w:ind w:left="851" w:hanging="851"/>
        <w:rPr>
          <w:b/>
          <w:sz w:val="24"/>
          <w:szCs w:val="24"/>
        </w:rPr>
      </w:pPr>
      <w:r w:rsidRPr="00D834E3">
        <w:rPr>
          <w:b/>
          <w:sz w:val="24"/>
          <w:szCs w:val="24"/>
        </w:rPr>
        <w:t>FARMAKOLOGISKE EGENSKABER</w:t>
      </w:r>
    </w:p>
    <w:p w:rsidR="009830A0" w:rsidRPr="00D834E3" w:rsidRDefault="009830A0" w:rsidP="009149D8">
      <w:pPr>
        <w:rPr>
          <w:sz w:val="24"/>
          <w:szCs w:val="24"/>
        </w:rPr>
      </w:pPr>
    </w:p>
    <w:p w:rsidR="009830A0" w:rsidRPr="00CA0F11" w:rsidRDefault="009830A0" w:rsidP="009830A0">
      <w:pPr>
        <w:numPr>
          <w:ilvl w:val="1"/>
          <w:numId w:val="2"/>
        </w:numPr>
        <w:tabs>
          <w:tab w:val="clear" w:pos="2159"/>
        </w:tabs>
        <w:ind w:left="851" w:hanging="851"/>
        <w:rPr>
          <w:b/>
          <w:sz w:val="24"/>
          <w:szCs w:val="24"/>
        </w:rPr>
      </w:pPr>
      <w:r w:rsidRPr="00D834E3">
        <w:rPr>
          <w:b/>
          <w:sz w:val="24"/>
          <w:szCs w:val="24"/>
        </w:rPr>
        <w:t>Farmakodynamiske egenskaber</w:t>
      </w:r>
      <w:r w:rsidR="009149D8">
        <w:rPr>
          <w:b/>
          <w:sz w:val="24"/>
          <w:szCs w:val="24"/>
        </w:rPr>
        <w:br/>
      </w:r>
      <w:bookmarkStart w:id="3" w:name="_Hlk121753973"/>
      <w:r w:rsidR="009149D8">
        <w:rPr>
          <w:sz w:val="24"/>
          <w:szCs w:val="24"/>
        </w:rPr>
        <w:t>Farmakoterapeutisk klassifikation:</w:t>
      </w:r>
      <w:bookmarkEnd w:id="3"/>
      <w:r w:rsidR="009149D8">
        <w:rPr>
          <w:sz w:val="24"/>
          <w:szCs w:val="24"/>
        </w:rPr>
        <w:t xml:space="preserve"> Midler mod nicotinafhængighed</w:t>
      </w:r>
      <w:r w:rsidR="00CA0F11">
        <w:rPr>
          <w:sz w:val="24"/>
          <w:szCs w:val="24"/>
        </w:rPr>
        <w:t>,</w:t>
      </w:r>
      <w:r w:rsidR="009149D8" w:rsidRPr="009149D8">
        <w:rPr>
          <w:sz w:val="24"/>
          <w:szCs w:val="24"/>
        </w:rPr>
        <w:t xml:space="preserve"> </w:t>
      </w:r>
      <w:r w:rsidR="009149D8">
        <w:rPr>
          <w:sz w:val="24"/>
          <w:szCs w:val="24"/>
        </w:rPr>
        <w:t xml:space="preserve">ATC-kode: N07B A01. </w:t>
      </w:r>
    </w:p>
    <w:p w:rsidR="00CA0F11" w:rsidRPr="00D834E3" w:rsidRDefault="00CA0F11" w:rsidP="00CA0F11">
      <w:pPr>
        <w:ind w:left="851"/>
        <w:rPr>
          <w:b/>
          <w:sz w:val="24"/>
          <w:szCs w:val="24"/>
        </w:rPr>
      </w:pPr>
    </w:p>
    <w:p w:rsidR="009830A0" w:rsidRPr="00D834E3" w:rsidRDefault="009830A0" w:rsidP="009830A0">
      <w:pPr>
        <w:ind w:left="851" w:hanging="851"/>
        <w:rPr>
          <w:sz w:val="24"/>
          <w:szCs w:val="24"/>
        </w:rPr>
      </w:pPr>
      <w:r w:rsidRPr="00D834E3">
        <w:rPr>
          <w:sz w:val="24"/>
          <w:szCs w:val="24"/>
        </w:rPr>
        <w:tab/>
        <w:t xml:space="preserve">Nicotin, den vigtigste alkaloid i tobaksprodukter og et naturligt forekommende autonomt stof, er en nicotinreceptoragonist i det perifere og centrale nervesystem, som har udpræget effekt </w:t>
      </w:r>
      <w:r>
        <w:rPr>
          <w:sz w:val="24"/>
          <w:szCs w:val="24"/>
        </w:rPr>
        <w:t xml:space="preserve">på centralnervesystemet og det </w:t>
      </w:r>
      <w:r w:rsidRPr="00D834E3">
        <w:rPr>
          <w:sz w:val="24"/>
          <w:szCs w:val="24"/>
        </w:rPr>
        <w:t xml:space="preserve">kardiovaskulære system. Ved indtagelse gennem tobaksprodukter har det vist sig at være vanedannende, og efter ophør af brug opstår der rygetrang og abstinenser, der omfatter nedtrykthed, søvnløshed, irritabilitet, frustration eller vrede, angst, koncentrationsbesvær, rastløshed og øget appetit eller vægtøgning. Sugetabletterne erstatter noget af nicotinen fra tobakken og hjælper med at reducere rygetrangen og abstinenssymptomerne. </w:t>
      </w:r>
    </w:p>
    <w:p w:rsidR="009830A0" w:rsidRPr="00D834E3" w:rsidRDefault="009830A0" w:rsidP="009830A0">
      <w:pPr>
        <w:ind w:left="851" w:hanging="851"/>
        <w:rPr>
          <w:sz w:val="24"/>
          <w:szCs w:val="24"/>
        </w:rPr>
      </w:pPr>
    </w:p>
    <w:p w:rsidR="009830A0" w:rsidRPr="00D834E3" w:rsidRDefault="009830A0" w:rsidP="009830A0">
      <w:pPr>
        <w:ind w:left="851" w:hanging="851"/>
        <w:rPr>
          <w:sz w:val="24"/>
          <w:szCs w:val="24"/>
        </w:rPr>
      </w:pPr>
      <w:r w:rsidRPr="00D834E3">
        <w:rPr>
          <w:sz w:val="24"/>
          <w:szCs w:val="24"/>
        </w:rPr>
        <w:tab/>
        <w:t>Andelen der er stoppet med at ryge i kliniske studier er som følger:</w:t>
      </w:r>
    </w:p>
    <w:tbl>
      <w:tblPr>
        <w:tblW w:w="0" w:type="auto"/>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96"/>
        <w:gridCol w:w="907"/>
        <w:gridCol w:w="993"/>
        <w:gridCol w:w="1612"/>
        <w:gridCol w:w="939"/>
        <w:gridCol w:w="1041"/>
        <w:gridCol w:w="1620"/>
      </w:tblGrid>
      <w:tr w:rsidR="009830A0" w:rsidRPr="00D834E3" w:rsidTr="003B4BCE">
        <w:tc>
          <w:tcPr>
            <w:tcW w:w="1496" w:type="dxa"/>
          </w:tcPr>
          <w:p w:rsidR="009830A0" w:rsidRPr="00D834E3" w:rsidRDefault="009830A0" w:rsidP="003B4BCE">
            <w:pPr>
              <w:pStyle w:val="Default"/>
              <w:rPr>
                <w:color w:val="auto"/>
                <w:lang w:val="da-DK"/>
              </w:rPr>
            </w:pPr>
          </w:p>
        </w:tc>
        <w:tc>
          <w:tcPr>
            <w:tcW w:w="3512" w:type="dxa"/>
            <w:gridSpan w:val="3"/>
          </w:tcPr>
          <w:p w:rsidR="009830A0" w:rsidRPr="00D834E3" w:rsidRDefault="009830A0" w:rsidP="003B4BCE">
            <w:pPr>
              <w:pStyle w:val="Default"/>
              <w:rPr>
                <w:color w:val="auto"/>
                <w:lang w:val="da-DK"/>
              </w:rPr>
            </w:pPr>
            <w:r w:rsidRPr="00D834E3">
              <w:rPr>
                <w:color w:val="auto"/>
                <w:lang w:val="da-DK"/>
              </w:rPr>
              <w:t>Nicotin sugetablet 2 mg</w:t>
            </w:r>
          </w:p>
        </w:tc>
        <w:tc>
          <w:tcPr>
            <w:tcW w:w="3600" w:type="dxa"/>
            <w:gridSpan w:val="3"/>
          </w:tcPr>
          <w:p w:rsidR="009830A0" w:rsidRPr="00D834E3" w:rsidRDefault="009830A0" w:rsidP="003B4BCE">
            <w:pPr>
              <w:pStyle w:val="Default"/>
              <w:rPr>
                <w:color w:val="auto"/>
                <w:lang w:val="da-DK"/>
              </w:rPr>
            </w:pPr>
            <w:r w:rsidRPr="00D834E3">
              <w:rPr>
                <w:color w:val="auto"/>
                <w:lang w:val="da-DK"/>
              </w:rPr>
              <w:t>Nicotin sugetablet 4 mg</w:t>
            </w:r>
          </w:p>
        </w:tc>
      </w:tr>
      <w:tr w:rsidR="009830A0" w:rsidRPr="00D834E3" w:rsidTr="003B4BCE">
        <w:tc>
          <w:tcPr>
            <w:tcW w:w="1496" w:type="dxa"/>
          </w:tcPr>
          <w:p w:rsidR="009830A0" w:rsidRPr="00D834E3" w:rsidRDefault="009830A0" w:rsidP="003B4BCE">
            <w:pPr>
              <w:pStyle w:val="Default"/>
              <w:rPr>
                <w:color w:val="auto"/>
                <w:lang w:val="da-DK"/>
              </w:rPr>
            </w:pPr>
            <w:r w:rsidRPr="00D834E3">
              <w:rPr>
                <w:color w:val="auto"/>
                <w:lang w:val="da-DK"/>
              </w:rPr>
              <w:t>Behandlings</w:t>
            </w:r>
            <w:r w:rsidRPr="00D834E3">
              <w:rPr>
                <w:color w:val="auto"/>
                <w:lang w:val="da-DK"/>
              </w:rPr>
              <w:softHyphen/>
              <w:t>varighed</w:t>
            </w:r>
          </w:p>
        </w:tc>
        <w:tc>
          <w:tcPr>
            <w:tcW w:w="907" w:type="dxa"/>
          </w:tcPr>
          <w:p w:rsidR="009830A0" w:rsidRPr="00D834E3" w:rsidRDefault="009830A0" w:rsidP="003B4BCE">
            <w:pPr>
              <w:pStyle w:val="Default"/>
              <w:rPr>
                <w:color w:val="auto"/>
                <w:lang w:val="da-DK"/>
              </w:rPr>
            </w:pPr>
            <w:r w:rsidRPr="00D834E3">
              <w:rPr>
                <w:color w:val="auto"/>
                <w:lang w:val="da-DK"/>
              </w:rPr>
              <w:t>Aktivt stof</w:t>
            </w:r>
          </w:p>
        </w:tc>
        <w:tc>
          <w:tcPr>
            <w:tcW w:w="993" w:type="dxa"/>
          </w:tcPr>
          <w:p w:rsidR="009830A0" w:rsidRPr="00D834E3" w:rsidRDefault="009830A0" w:rsidP="003B4BCE">
            <w:pPr>
              <w:pStyle w:val="Default"/>
              <w:rPr>
                <w:color w:val="auto"/>
                <w:lang w:val="da-DK"/>
              </w:rPr>
            </w:pPr>
            <w:r w:rsidRPr="00D834E3">
              <w:rPr>
                <w:color w:val="auto"/>
                <w:lang w:val="da-DK"/>
              </w:rPr>
              <w:t>Placebo</w:t>
            </w:r>
          </w:p>
        </w:tc>
        <w:tc>
          <w:tcPr>
            <w:tcW w:w="1612" w:type="dxa"/>
          </w:tcPr>
          <w:p w:rsidR="009830A0" w:rsidRPr="00D834E3" w:rsidRDefault="009830A0" w:rsidP="003B4BCE">
            <w:pPr>
              <w:pStyle w:val="Default"/>
              <w:rPr>
                <w:color w:val="auto"/>
                <w:lang w:val="da-DK"/>
              </w:rPr>
            </w:pPr>
            <w:r w:rsidRPr="00D834E3">
              <w:rPr>
                <w:color w:val="auto"/>
                <w:lang w:val="da-DK"/>
              </w:rPr>
              <w:t xml:space="preserve">Odds ratios, korrigeret for </w:t>
            </w:r>
            <w:r w:rsidRPr="00D834E3">
              <w:rPr>
                <w:lang w:val="da-DK"/>
              </w:rPr>
              <w:lastRenderedPageBreak/>
              <w:t>variationer mellem centre</w:t>
            </w:r>
          </w:p>
        </w:tc>
        <w:tc>
          <w:tcPr>
            <w:tcW w:w="939" w:type="dxa"/>
          </w:tcPr>
          <w:p w:rsidR="009830A0" w:rsidRPr="00D834E3" w:rsidRDefault="009830A0" w:rsidP="003B4BCE">
            <w:pPr>
              <w:pStyle w:val="Default"/>
              <w:rPr>
                <w:color w:val="auto"/>
                <w:lang w:val="da-DK"/>
              </w:rPr>
            </w:pPr>
            <w:r w:rsidRPr="00D834E3">
              <w:rPr>
                <w:color w:val="auto"/>
                <w:lang w:val="da-DK"/>
              </w:rPr>
              <w:lastRenderedPageBreak/>
              <w:t>Aktivt stof</w:t>
            </w:r>
          </w:p>
        </w:tc>
        <w:tc>
          <w:tcPr>
            <w:tcW w:w="1041" w:type="dxa"/>
          </w:tcPr>
          <w:p w:rsidR="009830A0" w:rsidRPr="00D834E3" w:rsidRDefault="009830A0" w:rsidP="003B4BCE">
            <w:pPr>
              <w:pStyle w:val="Default"/>
              <w:rPr>
                <w:color w:val="auto"/>
                <w:lang w:val="da-DK"/>
              </w:rPr>
            </w:pPr>
            <w:r w:rsidRPr="00D834E3">
              <w:rPr>
                <w:color w:val="auto"/>
                <w:lang w:val="da-DK"/>
              </w:rPr>
              <w:t>Placebo</w:t>
            </w:r>
          </w:p>
        </w:tc>
        <w:tc>
          <w:tcPr>
            <w:tcW w:w="1620" w:type="dxa"/>
          </w:tcPr>
          <w:p w:rsidR="009830A0" w:rsidRPr="00D834E3" w:rsidRDefault="009830A0" w:rsidP="003B4BCE">
            <w:pPr>
              <w:pStyle w:val="Default"/>
              <w:rPr>
                <w:color w:val="auto"/>
                <w:lang w:val="da-DK"/>
              </w:rPr>
            </w:pPr>
            <w:r w:rsidRPr="00D834E3">
              <w:rPr>
                <w:color w:val="auto"/>
                <w:lang w:val="da-DK"/>
              </w:rPr>
              <w:t xml:space="preserve">Odds ratios, korrigeret for </w:t>
            </w:r>
            <w:r w:rsidRPr="00D834E3">
              <w:rPr>
                <w:lang w:val="da-DK"/>
              </w:rPr>
              <w:lastRenderedPageBreak/>
              <w:t>variationer mellem centre</w:t>
            </w:r>
          </w:p>
        </w:tc>
      </w:tr>
      <w:tr w:rsidR="009830A0" w:rsidRPr="00D834E3" w:rsidTr="003B4BCE">
        <w:tc>
          <w:tcPr>
            <w:tcW w:w="1496" w:type="dxa"/>
          </w:tcPr>
          <w:p w:rsidR="009830A0" w:rsidRPr="00D834E3" w:rsidRDefault="009830A0" w:rsidP="003B4BCE">
            <w:pPr>
              <w:pStyle w:val="Default"/>
              <w:rPr>
                <w:color w:val="auto"/>
                <w:lang w:val="da-DK"/>
              </w:rPr>
            </w:pPr>
            <w:r w:rsidRPr="00D834E3">
              <w:rPr>
                <w:color w:val="auto"/>
                <w:lang w:val="da-DK"/>
              </w:rPr>
              <w:lastRenderedPageBreak/>
              <w:t>6 uger</w:t>
            </w:r>
          </w:p>
        </w:tc>
        <w:tc>
          <w:tcPr>
            <w:tcW w:w="907" w:type="dxa"/>
          </w:tcPr>
          <w:p w:rsidR="009830A0" w:rsidRPr="00D834E3" w:rsidRDefault="009830A0" w:rsidP="003B4BCE">
            <w:pPr>
              <w:pStyle w:val="Default"/>
              <w:rPr>
                <w:color w:val="auto"/>
                <w:lang w:val="da-DK"/>
              </w:rPr>
            </w:pPr>
            <w:r w:rsidRPr="00D834E3">
              <w:rPr>
                <w:color w:val="auto"/>
                <w:lang w:val="da-DK"/>
              </w:rPr>
              <w:t>46,0 %</w:t>
            </w:r>
          </w:p>
        </w:tc>
        <w:tc>
          <w:tcPr>
            <w:tcW w:w="993" w:type="dxa"/>
          </w:tcPr>
          <w:p w:rsidR="009830A0" w:rsidRPr="00D834E3" w:rsidRDefault="009830A0" w:rsidP="003B4BCE">
            <w:pPr>
              <w:pStyle w:val="Default"/>
              <w:rPr>
                <w:color w:val="auto"/>
                <w:lang w:val="da-DK"/>
              </w:rPr>
            </w:pPr>
            <w:r w:rsidRPr="00D834E3">
              <w:rPr>
                <w:color w:val="auto"/>
                <w:lang w:val="da-DK"/>
              </w:rPr>
              <w:t>29,7 %</w:t>
            </w:r>
          </w:p>
        </w:tc>
        <w:tc>
          <w:tcPr>
            <w:tcW w:w="1612" w:type="dxa"/>
          </w:tcPr>
          <w:p w:rsidR="009830A0" w:rsidRPr="00D834E3" w:rsidRDefault="009830A0" w:rsidP="003B4BCE">
            <w:pPr>
              <w:pStyle w:val="Default"/>
              <w:rPr>
                <w:color w:val="auto"/>
                <w:lang w:val="da-DK"/>
              </w:rPr>
            </w:pPr>
            <w:r w:rsidRPr="00D834E3">
              <w:rPr>
                <w:color w:val="auto"/>
                <w:lang w:val="da-DK"/>
              </w:rPr>
              <w:t>2,10</w:t>
            </w:r>
          </w:p>
        </w:tc>
        <w:tc>
          <w:tcPr>
            <w:tcW w:w="939" w:type="dxa"/>
          </w:tcPr>
          <w:p w:rsidR="009830A0" w:rsidRPr="00D834E3" w:rsidRDefault="009830A0" w:rsidP="003B4BCE">
            <w:pPr>
              <w:pStyle w:val="Default"/>
              <w:rPr>
                <w:color w:val="auto"/>
                <w:lang w:val="da-DK"/>
              </w:rPr>
            </w:pPr>
            <w:r w:rsidRPr="00D834E3">
              <w:rPr>
                <w:color w:val="auto"/>
                <w:lang w:val="da-DK"/>
              </w:rPr>
              <w:t>48,7 %</w:t>
            </w:r>
          </w:p>
        </w:tc>
        <w:tc>
          <w:tcPr>
            <w:tcW w:w="1041" w:type="dxa"/>
          </w:tcPr>
          <w:p w:rsidR="009830A0" w:rsidRPr="00D834E3" w:rsidRDefault="009830A0" w:rsidP="003B4BCE">
            <w:pPr>
              <w:pStyle w:val="Default"/>
              <w:rPr>
                <w:color w:val="auto"/>
                <w:lang w:val="da-DK"/>
              </w:rPr>
            </w:pPr>
            <w:r w:rsidRPr="00D834E3">
              <w:rPr>
                <w:color w:val="auto"/>
                <w:lang w:val="da-DK"/>
              </w:rPr>
              <w:t>20,8 %</w:t>
            </w:r>
          </w:p>
        </w:tc>
        <w:tc>
          <w:tcPr>
            <w:tcW w:w="1620" w:type="dxa"/>
          </w:tcPr>
          <w:p w:rsidR="009830A0" w:rsidRPr="00D834E3" w:rsidRDefault="009830A0" w:rsidP="003B4BCE">
            <w:pPr>
              <w:pStyle w:val="Default"/>
              <w:rPr>
                <w:color w:val="auto"/>
                <w:lang w:val="da-DK"/>
              </w:rPr>
            </w:pPr>
            <w:r w:rsidRPr="00D834E3">
              <w:rPr>
                <w:color w:val="auto"/>
                <w:lang w:val="da-DK"/>
              </w:rPr>
              <w:t>3,69</w:t>
            </w:r>
          </w:p>
        </w:tc>
      </w:tr>
      <w:tr w:rsidR="009830A0" w:rsidRPr="00D834E3" w:rsidTr="003B4BCE">
        <w:tc>
          <w:tcPr>
            <w:tcW w:w="1496" w:type="dxa"/>
          </w:tcPr>
          <w:p w:rsidR="009830A0" w:rsidRPr="00D834E3" w:rsidRDefault="009830A0" w:rsidP="003B4BCE">
            <w:pPr>
              <w:pStyle w:val="Default"/>
              <w:rPr>
                <w:color w:val="auto"/>
                <w:lang w:val="da-DK"/>
              </w:rPr>
            </w:pPr>
            <w:r w:rsidRPr="00D834E3">
              <w:rPr>
                <w:color w:val="auto"/>
                <w:lang w:val="da-DK"/>
              </w:rPr>
              <w:t>6 måneder</w:t>
            </w:r>
          </w:p>
        </w:tc>
        <w:tc>
          <w:tcPr>
            <w:tcW w:w="907" w:type="dxa"/>
          </w:tcPr>
          <w:p w:rsidR="009830A0" w:rsidRPr="00D834E3" w:rsidRDefault="009830A0" w:rsidP="003B4BCE">
            <w:pPr>
              <w:pStyle w:val="Default"/>
              <w:rPr>
                <w:color w:val="auto"/>
                <w:lang w:val="da-DK"/>
              </w:rPr>
            </w:pPr>
            <w:r w:rsidRPr="00D834E3">
              <w:rPr>
                <w:color w:val="auto"/>
                <w:lang w:val="da-DK"/>
              </w:rPr>
              <w:t>24,2 %</w:t>
            </w:r>
          </w:p>
        </w:tc>
        <w:tc>
          <w:tcPr>
            <w:tcW w:w="993" w:type="dxa"/>
          </w:tcPr>
          <w:p w:rsidR="009830A0" w:rsidRPr="00D834E3" w:rsidRDefault="009830A0" w:rsidP="003B4BCE">
            <w:pPr>
              <w:pStyle w:val="Default"/>
              <w:rPr>
                <w:color w:val="auto"/>
                <w:lang w:val="da-DK"/>
              </w:rPr>
            </w:pPr>
            <w:r w:rsidRPr="00D834E3">
              <w:rPr>
                <w:color w:val="auto"/>
                <w:lang w:val="da-DK"/>
              </w:rPr>
              <w:t>14,4 %</w:t>
            </w:r>
          </w:p>
        </w:tc>
        <w:tc>
          <w:tcPr>
            <w:tcW w:w="1612" w:type="dxa"/>
          </w:tcPr>
          <w:p w:rsidR="009830A0" w:rsidRPr="00D834E3" w:rsidRDefault="009830A0" w:rsidP="003B4BCE">
            <w:pPr>
              <w:pStyle w:val="Default"/>
              <w:rPr>
                <w:color w:val="auto"/>
                <w:lang w:val="da-DK"/>
              </w:rPr>
            </w:pPr>
            <w:r w:rsidRPr="00D834E3">
              <w:rPr>
                <w:color w:val="auto"/>
                <w:lang w:val="da-DK"/>
              </w:rPr>
              <w:t>1,96</w:t>
            </w:r>
          </w:p>
        </w:tc>
        <w:tc>
          <w:tcPr>
            <w:tcW w:w="939" w:type="dxa"/>
          </w:tcPr>
          <w:p w:rsidR="009830A0" w:rsidRPr="00D834E3" w:rsidRDefault="009830A0" w:rsidP="003B4BCE">
            <w:pPr>
              <w:pStyle w:val="Default"/>
              <w:rPr>
                <w:color w:val="auto"/>
                <w:lang w:val="da-DK"/>
              </w:rPr>
            </w:pPr>
            <w:r w:rsidRPr="00D834E3">
              <w:rPr>
                <w:color w:val="auto"/>
                <w:lang w:val="da-DK"/>
              </w:rPr>
              <w:t>23,6 %</w:t>
            </w:r>
          </w:p>
        </w:tc>
        <w:tc>
          <w:tcPr>
            <w:tcW w:w="1041" w:type="dxa"/>
          </w:tcPr>
          <w:p w:rsidR="009830A0" w:rsidRPr="00D834E3" w:rsidRDefault="009830A0" w:rsidP="003B4BCE">
            <w:pPr>
              <w:pStyle w:val="Default"/>
              <w:rPr>
                <w:color w:val="auto"/>
                <w:lang w:val="da-DK"/>
              </w:rPr>
            </w:pPr>
            <w:r w:rsidRPr="00D834E3">
              <w:rPr>
                <w:color w:val="auto"/>
                <w:lang w:val="da-DK"/>
              </w:rPr>
              <w:t>10,2 %</w:t>
            </w:r>
          </w:p>
        </w:tc>
        <w:tc>
          <w:tcPr>
            <w:tcW w:w="1620" w:type="dxa"/>
          </w:tcPr>
          <w:p w:rsidR="009830A0" w:rsidRPr="00D834E3" w:rsidRDefault="009830A0" w:rsidP="003B4BCE">
            <w:pPr>
              <w:pStyle w:val="Default"/>
              <w:rPr>
                <w:color w:val="auto"/>
                <w:lang w:val="da-DK"/>
              </w:rPr>
            </w:pPr>
            <w:r w:rsidRPr="00D834E3">
              <w:rPr>
                <w:color w:val="auto"/>
                <w:lang w:val="da-DK"/>
              </w:rPr>
              <w:t>2,76</w:t>
            </w:r>
          </w:p>
        </w:tc>
      </w:tr>
    </w:tbl>
    <w:p w:rsidR="009830A0" w:rsidRDefault="009830A0" w:rsidP="00CA0F11">
      <w:pPr>
        <w:rPr>
          <w:sz w:val="24"/>
          <w:szCs w:val="24"/>
        </w:rPr>
      </w:pPr>
    </w:p>
    <w:p w:rsidR="00CA0F11" w:rsidRPr="00D834E3" w:rsidRDefault="00CA0F11" w:rsidP="00CA0F11">
      <w:pPr>
        <w:pStyle w:val="Default"/>
        <w:ind w:left="851"/>
        <w:rPr>
          <w:color w:val="auto"/>
          <w:lang w:val="da-DK"/>
        </w:rPr>
      </w:pPr>
      <w:r>
        <w:rPr>
          <w:color w:val="auto"/>
          <w:lang w:val="da-DK"/>
        </w:rPr>
        <w:t xml:space="preserve">En </w:t>
      </w:r>
      <w:r w:rsidRPr="000002DB">
        <w:rPr>
          <w:color w:val="auto"/>
          <w:lang w:val="da-DK"/>
        </w:rPr>
        <w:t xml:space="preserve">undersøgelse, der inkluderede Nicorette </w:t>
      </w:r>
      <w:r>
        <w:rPr>
          <w:color w:val="auto"/>
          <w:lang w:val="da-DK"/>
        </w:rPr>
        <w:t>4</w:t>
      </w:r>
      <w:r w:rsidRPr="000002DB">
        <w:rPr>
          <w:color w:val="auto"/>
          <w:lang w:val="da-DK"/>
        </w:rPr>
        <w:t xml:space="preserve"> mg sugetabletter, målte lindring af rygetrang hos 9</w:t>
      </w:r>
      <w:r>
        <w:rPr>
          <w:color w:val="auto"/>
          <w:lang w:val="da-DK"/>
        </w:rPr>
        <w:t>7</w:t>
      </w:r>
      <w:r w:rsidRPr="000002DB">
        <w:rPr>
          <w:color w:val="auto"/>
          <w:lang w:val="da-DK"/>
        </w:rPr>
        <w:t xml:space="preserve"> forsøgspersoner.</w:t>
      </w:r>
      <w:r w:rsidRPr="00E31C21">
        <w:rPr>
          <w:lang w:val="da-DK"/>
        </w:rPr>
        <w:t xml:space="preserve"> </w:t>
      </w:r>
      <w:r w:rsidRPr="00482CD5">
        <w:rPr>
          <w:color w:val="auto"/>
          <w:lang w:val="da-DK"/>
        </w:rPr>
        <w:t>48 % af forsøgspersonerne i undersøgelsen oplevede lindring af rygetrang 2 minutter efter at have lagt en Nicorette 4 mg sugetablet i munden, 7</w:t>
      </w:r>
      <w:r>
        <w:rPr>
          <w:color w:val="auto"/>
          <w:lang w:val="da-DK"/>
        </w:rPr>
        <w:t>6</w:t>
      </w:r>
      <w:r w:rsidRPr="00482CD5">
        <w:rPr>
          <w:color w:val="auto"/>
          <w:lang w:val="da-DK"/>
        </w:rPr>
        <w:t xml:space="preserve"> % efter 5 minutter og efter 1 time, følte </w:t>
      </w:r>
      <w:r>
        <w:rPr>
          <w:color w:val="auto"/>
          <w:lang w:val="da-DK"/>
        </w:rPr>
        <w:t>79</w:t>
      </w:r>
      <w:r w:rsidRPr="00482CD5">
        <w:rPr>
          <w:color w:val="auto"/>
          <w:lang w:val="da-DK"/>
        </w:rPr>
        <w:t xml:space="preserve"> % af forsøgspersonerne stadig enten ingen eller meget lidt rygetrang</w:t>
      </w:r>
      <w:r w:rsidRPr="00D834E3">
        <w:rPr>
          <w:color w:val="auto"/>
          <w:lang w:val="da-DK"/>
        </w:rPr>
        <w:t>.</w:t>
      </w:r>
    </w:p>
    <w:p w:rsidR="00CA0F11" w:rsidRPr="00D834E3" w:rsidRDefault="00CA0F11" w:rsidP="009830A0">
      <w:pPr>
        <w:ind w:left="851" w:hanging="851"/>
        <w:rPr>
          <w:sz w:val="24"/>
          <w:szCs w:val="24"/>
        </w:rPr>
      </w:pPr>
    </w:p>
    <w:p w:rsidR="009830A0" w:rsidRPr="00D834E3" w:rsidRDefault="009830A0" w:rsidP="009830A0">
      <w:pPr>
        <w:numPr>
          <w:ilvl w:val="1"/>
          <w:numId w:val="3"/>
        </w:numPr>
        <w:tabs>
          <w:tab w:val="clear" w:pos="855"/>
        </w:tabs>
        <w:ind w:left="851" w:hanging="851"/>
        <w:rPr>
          <w:b/>
          <w:sz w:val="24"/>
          <w:szCs w:val="24"/>
        </w:rPr>
      </w:pPr>
      <w:r w:rsidRPr="00D834E3">
        <w:rPr>
          <w:b/>
          <w:sz w:val="24"/>
          <w:szCs w:val="24"/>
        </w:rPr>
        <w:t>Farmakokinetiske egenskaber</w:t>
      </w:r>
    </w:p>
    <w:p w:rsidR="009830A0" w:rsidRPr="00D834E3" w:rsidRDefault="009830A0" w:rsidP="009830A0">
      <w:pPr>
        <w:ind w:left="851" w:hanging="851"/>
        <w:rPr>
          <w:sz w:val="24"/>
          <w:szCs w:val="24"/>
          <w:u w:val="single"/>
        </w:rPr>
      </w:pPr>
      <w:r w:rsidRPr="00D834E3">
        <w:rPr>
          <w:b/>
          <w:i/>
          <w:sz w:val="24"/>
          <w:szCs w:val="24"/>
        </w:rPr>
        <w:tab/>
      </w:r>
      <w:r w:rsidRPr="00D834E3">
        <w:rPr>
          <w:sz w:val="24"/>
          <w:szCs w:val="24"/>
          <w:u w:val="single"/>
        </w:rPr>
        <w:t>Absorption</w:t>
      </w:r>
    </w:p>
    <w:p w:rsidR="009830A0" w:rsidRDefault="009830A0" w:rsidP="009830A0">
      <w:pPr>
        <w:ind w:left="851" w:hanging="851"/>
        <w:rPr>
          <w:sz w:val="24"/>
          <w:szCs w:val="24"/>
        </w:rPr>
      </w:pPr>
      <w:r>
        <w:rPr>
          <w:sz w:val="24"/>
          <w:szCs w:val="24"/>
        </w:rPr>
        <w:tab/>
        <w:t>Nicorette Cooldrops opløses fuldstændigt i mundhulen og hele den mængde nicotin, sugetabletten indeholder, bliver tilgængelig for bukkal absorption eller indtagelse (synkning). En Nicorette Cooldrops sugetablet opløses fuldstændig i løbet af typisk 16-19 minutter. Maksimal plasmakoncentration af nicotin efter indtagelse af en enkelt dosis Nicorette Cooldrops er ca. 5 ng/ml. Nicorette Cooldrops, der ikke indtages ifølge instruktionerne (tygget; bevaret i munden og slugt; tygget og øjeblikkeligt slugt), medfører en langsommere og noget reduceret absorption af nicotin.</w:t>
      </w:r>
    </w:p>
    <w:p w:rsidR="009830A0" w:rsidRPr="00D834E3" w:rsidRDefault="009830A0" w:rsidP="009830A0">
      <w:pPr>
        <w:ind w:left="851" w:hanging="851"/>
        <w:rPr>
          <w:sz w:val="24"/>
          <w:szCs w:val="24"/>
        </w:rPr>
      </w:pPr>
    </w:p>
    <w:p w:rsidR="009830A0" w:rsidRPr="00D834E3" w:rsidRDefault="009830A0" w:rsidP="009830A0">
      <w:pPr>
        <w:ind w:left="851" w:hanging="851"/>
        <w:rPr>
          <w:sz w:val="24"/>
          <w:szCs w:val="24"/>
          <w:u w:val="single"/>
        </w:rPr>
      </w:pPr>
      <w:r w:rsidRPr="00D834E3">
        <w:rPr>
          <w:sz w:val="24"/>
          <w:szCs w:val="24"/>
        </w:rPr>
        <w:tab/>
      </w:r>
      <w:r w:rsidRPr="00D834E3">
        <w:rPr>
          <w:sz w:val="24"/>
          <w:szCs w:val="24"/>
          <w:u w:val="single"/>
        </w:rPr>
        <w:t>Distribution</w:t>
      </w:r>
    </w:p>
    <w:p w:rsidR="009830A0" w:rsidRPr="00D834E3" w:rsidRDefault="009830A0" w:rsidP="009830A0">
      <w:pPr>
        <w:ind w:left="851" w:hanging="851"/>
        <w:rPr>
          <w:sz w:val="24"/>
          <w:szCs w:val="24"/>
        </w:rPr>
      </w:pPr>
      <w:r w:rsidRPr="00D834E3">
        <w:rPr>
          <w:sz w:val="24"/>
          <w:szCs w:val="24"/>
        </w:rPr>
        <w:tab/>
        <w:t>Da plasmaproteinbindingen af nicotin er lav (4,9 %-20 %) er distributionsvolumenet højt (2,5 l/kg). Distributionen af nicotin til vævene er pH-afhængig. Den højeste nicotinkoncentration findes i hjerne, mave, nyrer og lever.</w:t>
      </w:r>
    </w:p>
    <w:p w:rsidR="009830A0" w:rsidRPr="00D834E3" w:rsidRDefault="009830A0" w:rsidP="009830A0">
      <w:pPr>
        <w:ind w:left="851" w:hanging="851"/>
        <w:rPr>
          <w:sz w:val="24"/>
          <w:szCs w:val="24"/>
          <w:u w:val="single"/>
        </w:rPr>
      </w:pPr>
      <w:r w:rsidRPr="00D834E3">
        <w:rPr>
          <w:sz w:val="24"/>
          <w:szCs w:val="24"/>
        </w:rPr>
        <w:tab/>
      </w:r>
    </w:p>
    <w:p w:rsidR="009830A0" w:rsidRPr="00D834E3" w:rsidRDefault="009830A0" w:rsidP="009830A0">
      <w:pPr>
        <w:ind w:left="851"/>
        <w:rPr>
          <w:sz w:val="24"/>
          <w:szCs w:val="24"/>
          <w:u w:val="single"/>
        </w:rPr>
      </w:pPr>
      <w:r w:rsidRPr="00D834E3">
        <w:rPr>
          <w:sz w:val="24"/>
          <w:szCs w:val="24"/>
          <w:u w:val="single"/>
        </w:rPr>
        <w:t>Biotransformation</w:t>
      </w:r>
    </w:p>
    <w:p w:rsidR="009830A0" w:rsidRPr="00D834E3" w:rsidRDefault="009830A0" w:rsidP="009830A0">
      <w:pPr>
        <w:ind w:left="851" w:hanging="851"/>
        <w:rPr>
          <w:sz w:val="24"/>
          <w:szCs w:val="24"/>
        </w:rPr>
      </w:pPr>
      <w:r w:rsidRPr="00D834E3">
        <w:rPr>
          <w:b/>
          <w:i/>
          <w:sz w:val="24"/>
          <w:szCs w:val="24"/>
        </w:rPr>
        <w:tab/>
      </w:r>
      <w:r w:rsidRPr="00D834E3">
        <w:rPr>
          <w:sz w:val="24"/>
          <w:szCs w:val="24"/>
        </w:rPr>
        <w:t xml:space="preserve">Nicotin metaboliseres i udtalt grad til en lang række metabolitter, alle mindre aktive end det oprindelige stof. Metabolismen af nicotin sker primært i leveren, men også i lungerne og nyrerne. Nicotin metaboliseres primært til cotinin, men også til nicotin-N-oxid. Cotinin har en halveringstid på 15-20 timer og koncentrationen i blodet er 10 gange højre end for nicotin. Cotinin oxideres yderligere til trans-3-hydroxycotinin, som er den nicotin-metabolit, som forekommer i størst mængde i urinen. Både nicotin og cotinin glukuronideres.  </w:t>
      </w:r>
    </w:p>
    <w:p w:rsidR="009830A0" w:rsidRPr="00D834E3" w:rsidRDefault="009830A0" w:rsidP="009830A0">
      <w:pPr>
        <w:ind w:left="851" w:hanging="851"/>
        <w:rPr>
          <w:sz w:val="24"/>
          <w:szCs w:val="24"/>
        </w:rPr>
      </w:pPr>
    </w:p>
    <w:p w:rsidR="009830A0" w:rsidRPr="00D834E3" w:rsidRDefault="009830A0" w:rsidP="009830A0">
      <w:pPr>
        <w:ind w:left="851" w:hanging="851"/>
        <w:rPr>
          <w:sz w:val="24"/>
          <w:szCs w:val="24"/>
          <w:u w:val="single"/>
        </w:rPr>
      </w:pPr>
      <w:r w:rsidRPr="00D834E3">
        <w:rPr>
          <w:b/>
          <w:i/>
          <w:sz w:val="24"/>
          <w:szCs w:val="24"/>
        </w:rPr>
        <w:tab/>
      </w:r>
      <w:r w:rsidRPr="00D834E3">
        <w:rPr>
          <w:sz w:val="24"/>
          <w:szCs w:val="24"/>
          <w:u w:val="single"/>
        </w:rPr>
        <w:t>Udskillelse</w:t>
      </w:r>
    </w:p>
    <w:p w:rsidR="009830A0" w:rsidRPr="00D834E3" w:rsidRDefault="009830A0" w:rsidP="009830A0">
      <w:pPr>
        <w:ind w:left="851"/>
        <w:rPr>
          <w:sz w:val="24"/>
          <w:szCs w:val="24"/>
        </w:rPr>
      </w:pPr>
      <w:r w:rsidRPr="00D834E3">
        <w:rPr>
          <w:sz w:val="24"/>
          <w:szCs w:val="24"/>
        </w:rPr>
        <w:t xml:space="preserve">Eliminationshalveringstiden for nicotin er ca. 2 timer (i intervallet 1-4 timer). </w:t>
      </w:r>
      <w:r w:rsidRPr="00D834E3">
        <w:rPr>
          <w:sz w:val="24"/>
          <w:szCs w:val="24"/>
          <w:lang w:val="en-US"/>
        </w:rPr>
        <w:t xml:space="preserve">Total clearance for nicotin ligger i intervallet fra ca. 62-89 l/time. </w:t>
      </w:r>
      <w:r w:rsidRPr="00D834E3">
        <w:rPr>
          <w:sz w:val="24"/>
          <w:szCs w:val="24"/>
        </w:rPr>
        <w:t>Ikke-renal clearance for nicotin er estimeret til at være omkring 75 % af total clearance. Nicotin og dets metabolitter udskilles næsten udelukkende i urinen. Den renale udskillelse af uomdannet nicotin er i høj grad afhængig af urinens pH, med en større udskillelse ved lav pH.</w:t>
      </w:r>
    </w:p>
    <w:p w:rsidR="009830A0" w:rsidRPr="00D834E3" w:rsidRDefault="009830A0" w:rsidP="009830A0">
      <w:pPr>
        <w:ind w:left="851" w:hanging="851"/>
        <w:rPr>
          <w:sz w:val="24"/>
          <w:szCs w:val="24"/>
        </w:rPr>
      </w:pPr>
    </w:p>
    <w:p w:rsidR="009830A0" w:rsidRPr="00D834E3" w:rsidRDefault="009149D8" w:rsidP="009830A0">
      <w:pPr>
        <w:numPr>
          <w:ilvl w:val="1"/>
          <w:numId w:val="4"/>
        </w:numPr>
        <w:tabs>
          <w:tab w:val="clear" w:pos="855"/>
        </w:tabs>
        <w:ind w:left="851" w:hanging="851"/>
        <w:rPr>
          <w:b/>
          <w:sz w:val="24"/>
          <w:szCs w:val="24"/>
        </w:rPr>
      </w:pPr>
      <w:bookmarkStart w:id="4" w:name="_Hlk121750318"/>
      <w:r w:rsidRPr="00BA4587">
        <w:rPr>
          <w:b/>
          <w:sz w:val="24"/>
          <w:szCs w:val="24"/>
        </w:rPr>
        <w:t>Non-kliniske sikkerhedsdata</w:t>
      </w:r>
      <w:bookmarkEnd w:id="4"/>
    </w:p>
    <w:p w:rsidR="00206688" w:rsidRDefault="009830A0" w:rsidP="00206688">
      <w:pPr>
        <w:ind w:left="851" w:hanging="851"/>
        <w:rPr>
          <w:spacing w:val="-3"/>
          <w:sz w:val="24"/>
          <w:szCs w:val="24"/>
        </w:rPr>
      </w:pPr>
      <w:r w:rsidRPr="00D834E3">
        <w:rPr>
          <w:sz w:val="24"/>
          <w:szCs w:val="24"/>
        </w:rPr>
        <w:tab/>
      </w:r>
      <w:r w:rsidR="00206688">
        <w:rPr>
          <w:spacing w:val="-3"/>
          <w:sz w:val="24"/>
          <w:szCs w:val="24"/>
        </w:rPr>
        <w:t>Nicotins generelle toksicitet er velkendt og taget i betragtning i den anbefalede dosering. Nicotin var ikke mutagent i relevante studier. Resultaterne</w:t>
      </w:r>
      <w:r w:rsidR="00206688">
        <w:rPr>
          <w:b/>
          <w:spacing w:val="-3"/>
          <w:sz w:val="24"/>
          <w:szCs w:val="24"/>
        </w:rPr>
        <w:t xml:space="preserve"> </w:t>
      </w:r>
      <w:r w:rsidR="00206688">
        <w:rPr>
          <w:spacing w:val="-3"/>
          <w:sz w:val="24"/>
          <w:szCs w:val="24"/>
        </w:rPr>
        <w:t>af karcinogenicitetsstudier viste ingen tydelige tegn på en tumorfremkaldende effekt af nicotin. I studier på drægtige dyr viste nicotin maternel toksicitet og som følge deraf let føtal toksicitet. Yderligere virkninger omfattede præ- og postnatal væksthæmning samt forsinkelser og ændringer i postnatal udvikling af centralnervesystemet.</w:t>
      </w:r>
    </w:p>
    <w:p w:rsidR="00206688" w:rsidRDefault="00206688" w:rsidP="00206688">
      <w:pPr>
        <w:ind w:left="851" w:hanging="851"/>
        <w:rPr>
          <w:spacing w:val="-3"/>
          <w:sz w:val="24"/>
          <w:szCs w:val="24"/>
        </w:rPr>
      </w:pPr>
    </w:p>
    <w:p w:rsidR="00206688" w:rsidRDefault="00206688" w:rsidP="00206688">
      <w:pPr>
        <w:ind w:left="851"/>
        <w:rPr>
          <w:spacing w:val="-3"/>
          <w:sz w:val="24"/>
          <w:szCs w:val="24"/>
        </w:rPr>
      </w:pPr>
      <w:r>
        <w:rPr>
          <w:spacing w:val="-3"/>
          <w:sz w:val="24"/>
          <w:szCs w:val="24"/>
        </w:rPr>
        <w:lastRenderedPageBreak/>
        <w:t>Studier på gnavere af hunkøn har vist, at nicotin kan formindske antallet af oocytter i æggelederne, reducere koncentrationen af østradiol i serum, og kan resultere i en række ændringer i ovaria og uterus. Studier på han-rotter har vist, at nicotin kan reducere testisvægt, forårsage en reversibel nedgang i Sertoli-celleantal med svækkelse af spermatogenese, og kan resultere i en række forskellige ændringer i bitestiklen og sædlederen.</w:t>
      </w:r>
    </w:p>
    <w:p w:rsidR="00206688" w:rsidRDefault="00206688" w:rsidP="00206688">
      <w:pPr>
        <w:ind w:left="851" w:hanging="851"/>
        <w:rPr>
          <w:spacing w:val="-3"/>
          <w:sz w:val="24"/>
          <w:szCs w:val="24"/>
        </w:rPr>
      </w:pPr>
    </w:p>
    <w:p w:rsidR="00206688" w:rsidRDefault="00206688" w:rsidP="00206688">
      <w:pPr>
        <w:ind w:left="851"/>
        <w:rPr>
          <w:spacing w:val="-3"/>
          <w:sz w:val="24"/>
          <w:szCs w:val="24"/>
        </w:rPr>
      </w:pPr>
      <w:r>
        <w:rPr>
          <w:spacing w:val="-3"/>
          <w:sz w:val="24"/>
          <w:szCs w:val="24"/>
        </w:rPr>
        <w:t xml:space="preserve">Virkningerne observeredes udelukkende efter eksponering for nicotin i mængder, der var større end dem, der fås ved anbefalet brug af Nicorette sugetabletter. </w:t>
      </w:r>
    </w:p>
    <w:p w:rsidR="009830A0" w:rsidRPr="00D834E3" w:rsidRDefault="009830A0" w:rsidP="00206688">
      <w:pPr>
        <w:ind w:left="851" w:hanging="851"/>
        <w:rPr>
          <w:sz w:val="24"/>
          <w:szCs w:val="24"/>
        </w:rPr>
      </w:pPr>
    </w:p>
    <w:p w:rsidR="009830A0" w:rsidRPr="00D834E3" w:rsidRDefault="009830A0" w:rsidP="009830A0">
      <w:pPr>
        <w:ind w:left="851" w:hanging="851"/>
        <w:rPr>
          <w:sz w:val="24"/>
          <w:szCs w:val="24"/>
        </w:rPr>
      </w:pPr>
    </w:p>
    <w:p w:rsidR="009830A0" w:rsidRPr="00D834E3" w:rsidRDefault="009830A0" w:rsidP="009830A0">
      <w:pPr>
        <w:numPr>
          <w:ilvl w:val="0"/>
          <w:numId w:val="3"/>
        </w:numPr>
        <w:tabs>
          <w:tab w:val="clear" w:pos="855"/>
        </w:tabs>
        <w:ind w:left="851" w:hanging="851"/>
        <w:rPr>
          <w:b/>
          <w:sz w:val="24"/>
          <w:szCs w:val="24"/>
        </w:rPr>
      </w:pPr>
      <w:r w:rsidRPr="00D834E3">
        <w:rPr>
          <w:b/>
          <w:sz w:val="24"/>
          <w:szCs w:val="24"/>
        </w:rPr>
        <w:t>FARMACEUTISKE OPLYSNINGER</w:t>
      </w:r>
    </w:p>
    <w:p w:rsidR="009830A0" w:rsidRPr="00D834E3" w:rsidRDefault="009830A0" w:rsidP="009830A0">
      <w:pPr>
        <w:ind w:left="851" w:hanging="851"/>
        <w:rPr>
          <w:b/>
          <w:sz w:val="24"/>
          <w:szCs w:val="24"/>
        </w:rPr>
      </w:pPr>
    </w:p>
    <w:p w:rsidR="009830A0" w:rsidRPr="00D834E3" w:rsidRDefault="009830A0" w:rsidP="009830A0">
      <w:pPr>
        <w:numPr>
          <w:ilvl w:val="1"/>
          <w:numId w:val="5"/>
        </w:numPr>
        <w:tabs>
          <w:tab w:val="clear" w:pos="855"/>
        </w:tabs>
        <w:ind w:left="851" w:hanging="851"/>
        <w:rPr>
          <w:b/>
          <w:sz w:val="24"/>
          <w:szCs w:val="24"/>
        </w:rPr>
      </w:pPr>
      <w:r w:rsidRPr="00D834E3">
        <w:rPr>
          <w:b/>
          <w:sz w:val="24"/>
          <w:szCs w:val="24"/>
        </w:rPr>
        <w:t>Hjælpestoffer</w:t>
      </w:r>
    </w:p>
    <w:p w:rsidR="00206688" w:rsidRDefault="009830A0" w:rsidP="00206688">
      <w:pPr>
        <w:ind w:left="851" w:hanging="851"/>
        <w:rPr>
          <w:sz w:val="24"/>
          <w:szCs w:val="24"/>
        </w:rPr>
      </w:pPr>
      <w:r w:rsidRPr="00D834E3">
        <w:rPr>
          <w:sz w:val="24"/>
          <w:szCs w:val="24"/>
        </w:rPr>
        <w:tab/>
      </w:r>
      <w:r w:rsidR="00206688">
        <w:rPr>
          <w:sz w:val="24"/>
          <w:szCs w:val="24"/>
        </w:rPr>
        <w:t>Sugetabletkerne:</w:t>
      </w:r>
    </w:p>
    <w:p w:rsidR="00206688" w:rsidRDefault="00206688" w:rsidP="00206688">
      <w:pPr>
        <w:ind w:left="851"/>
        <w:rPr>
          <w:sz w:val="24"/>
          <w:szCs w:val="24"/>
        </w:rPr>
      </w:pPr>
      <w:r>
        <w:rPr>
          <w:sz w:val="24"/>
          <w:szCs w:val="24"/>
        </w:rPr>
        <w:t>Mannitol (E 421)</w:t>
      </w:r>
    </w:p>
    <w:p w:rsidR="00206688" w:rsidRDefault="00206688" w:rsidP="00206688">
      <w:pPr>
        <w:ind w:left="851"/>
        <w:rPr>
          <w:sz w:val="24"/>
          <w:szCs w:val="24"/>
        </w:rPr>
      </w:pPr>
      <w:r>
        <w:rPr>
          <w:sz w:val="24"/>
          <w:szCs w:val="24"/>
        </w:rPr>
        <w:t>Xanthangummi</w:t>
      </w:r>
    </w:p>
    <w:p w:rsidR="00206688" w:rsidRDefault="00206688" w:rsidP="00206688">
      <w:pPr>
        <w:ind w:left="851"/>
        <w:rPr>
          <w:sz w:val="24"/>
          <w:szCs w:val="24"/>
        </w:rPr>
      </w:pPr>
      <w:r>
        <w:rPr>
          <w:sz w:val="24"/>
          <w:szCs w:val="24"/>
        </w:rPr>
        <w:t>Winterfresh RDE4-149, spraytørret (Akaciegummi (E 414), Pebermynte, menthol- og eukalyptusaroma)</w:t>
      </w:r>
    </w:p>
    <w:p w:rsidR="00206688" w:rsidRPr="00823355" w:rsidRDefault="00206688" w:rsidP="00206688">
      <w:pPr>
        <w:ind w:left="851"/>
        <w:rPr>
          <w:sz w:val="24"/>
          <w:szCs w:val="24"/>
          <w:lang w:val="sv-SE"/>
        </w:rPr>
      </w:pPr>
      <w:r w:rsidRPr="00823355">
        <w:rPr>
          <w:sz w:val="24"/>
          <w:szCs w:val="24"/>
          <w:lang w:val="sv-SE"/>
        </w:rPr>
        <w:t>Natriumcarbonat, vandfri (E 500i)</w:t>
      </w:r>
    </w:p>
    <w:p w:rsidR="00206688" w:rsidRPr="00823355" w:rsidRDefault="00206688" w:rsidP="00206688">
      <w:pPr>
        <w:ind w:left="851"/>
        <w:rPr>
          <w:sz w:val="24"/>
          <w:szCs w:val="24"/>
          <w:lang w:val="sv-SE"/>
        </w:rPr>
      </w:pPr>
      <w:r w:rsidRPr="00823355">
        <w:rPr>
          <w:sz w:val="24"/>
          <w:szCs w:val="24"/>
          <w:lang w:val="sv-SE"/>
        </w:rPr>
        <w:t>Sucralose (E 955)</w:t>
      </w:r>
    </w:p>
    <w:p w:rsidR="00206688" w:rsidRDefault="00206688" w:rsidP="00206688">
      <w:pPr>
        <w:ind w:left="851"/>
        <w:rPr>
          <w:sz w:val="24"/>
          <w:szCs w:val="24"/>
          <w:lang w:val="en-US"/>
        </w:rPr>
      </w:pPr>
      <w:r>
        <w:rPr>
          <w:sz w:val="24"/>
          <w:szCs w:val="24"/>
          <w:lang w:val="en-US"/>
        </w:rPr>
        <w:t>Acesulfamkalium (E 950)</w:t>
      </w:r>
    </w:p>
    <w:p w:rsidR="00206688" w:rsidRDefault="00206688" w:rsidP="00206688">
      <w:pPr>
        <w:ind w:left="851"/>
        <w:rPr>
          <w:sz w:val="24"/>
          <w:szCs w:val="24"/>
          <w:lang w:val="en-US"/>
        </w:rPr>
      </w:pPr>
      <w:r>
        <w:rPr>
          <w:sz w:val="24"/>
          <w:szCs w:val="24"/>
          <w:lang w:val="en-US"/>
        </w:rPr>
        <w:t>Magnesiumstearat (E 470b)</w:t>
      </w:r>
    </w:p>
    <w:p w:rsidR="00206688" w:rsidRDefault="00206688" w:rsidP="00206688">
      <w:pPr>
        <w:ind w:left="851"/>
        <w:rPr>
          <w:sz w:val="24"/>
          <w:szCs w:val="24"/>
          <w:lang w:val="en-US"/>
        </w:rPr>
      </w:pPr>
    </w:p>
    <w:p w:rsidR="00206688" w:rsidRDefault="00206688" w:rsidP="00206688">
      <w:pPr>
        <w:ind w:left="851"/>
        <w:rPr>
          <w:sz w:val="24"/>
          <w:szCs w:val="24"/>
        </w:rPr>
      </w:pPr>
      <w:r>
        <w:rPr>
          <w:sz w:val="24"/>
          <w:szCs w:val="24"/>
        </w:rPr>
        <w:t>Coatning:</w:t>
      </w:r>
    </w:p>
    <w:p w:rsidR="00206688" w:rsidRDefault="00206688" w:rsidP="00206688">
      <w:pPr>
        <w:ind w:left="851"/>
        <w:rPr>
          <w:sz w:val="24"/>
          <w:szCs w:val="24"/>
        </w:rPr>
      </w:pPr>
      <w:r>
        <w:rPr>
          <w:sz w:val="24"/>
          <w:szCs w:val="24"/>
        </w:rPr>
        <w:t>Hypromellose (E 464)</w:t>
      </w:r>
    </w:p>
    <w:p w:rsidR="00206688" w:rsidRDefault="00206688" w:rsidP="00206688">
      <w:pPr>
        <w:ind w:left="851"/>
        <w:rPr>
          <w:sz w:val="24"/>
          <w:szCs w:val="24"/>
        </w:rPr>
      </w:pPr>
      <w:r>
        <w:rPr>
          <w:sz w:val="24"/>
          <w:szCs w:val="24"/>
        </w:rPr>
        <w:t>Winterfresh RDE4-149 (Pebermynte, menthol- og eukalyptusaroma)</w:t>
      </w:r>
    </w:p>
    <w:p w:rsidR="00206688" w:rsidRDefault="00206688" w:rsidP="00206688">
      <w:pPr>
        <w:ind w:left="851"/>
        <w:rPr>
          <w:sz w:val="24"/>
          <w:szCs w:val="24"/>
        </w:rPr>
      </w:pPr>
      <w:r>
        <w:rPr>
          <w:sz w:val="24"/>
          <w:szCs w:val="24"/>
        </w:rPr>
        <w:t>Titandioxid (E 171)</w:t>
      </w:r>
    </w:p>
    <w:p w:rsidR="00206688" w:rsidRDefault="00206688" w:rsidP="00206688">
      <w:pPr>
        <w:ind w:left="851"/>
        <w:rPr>
          <w:sz w:val="24"/>
          <w:szCs w:val="24"/>
        </w:rPr>
      </w:pPr>
      <w:r>
        <w:rPr>
          <w:sz w:val="24"/>
          <w:szCs w:val="24"/>
        </w:rPr>
        <w:t>Sucralose (E 955)</w:t>
      </w:r>
    </w:p>
    <w:p w:rsidR="00206688" w:rsidRDefault="00206688" w:rsidP="00206688">
      <w:pPr>
        <w:ind w:left="851"/>
        <w:rPr>
          <w:sz w:val="24"/>
          <w:szCs w:val="24"/>
        </w:rPr>
      </w:pPr>
      <w:r>
        <w:rPr>
          <w:sz w:val="24"/>
          <w:szCs w:val="24"/>
        </w:rPr>
        <w:t xml:space="preserve">Cellulose, mikrokrystallinsk (E 460) </w:t>
      </w:r>
    </w:p>
    <w:p w:rsidR="00206688" w:rsidRDefault="00206688" w:rsidP="00206688">
      <w:pPr>
        <w:ind w:left="851"/>
        <w:rPr>
          <w:sz w:val="24"/>
          <w:szCs w:val="24"/>
        </w:rPr>
      </w:pPr>
      <w:r>
        <w:rPr>
          <w:sz w:val="24"/>
          <w:szCs w:val="24"/>
        </w:rPr>
        <w:t>Kaliumaluminiumsilikat (E 555)</w:t>
      </w:r>
    </w:p>
    <w:p w:rsidR="00206688" w:rsidRPr="00823355" w:rsidRDefault="00206688" w:rsidP="00206688">
      <w:pPr>
        <w:ind w:left="851"/>
        <w:rPr>
          <w:sz w:val="24"/>
          <w:szCs w:val="24"/>
        </w:rPr>
      </w:pPr>
      <w:r w:rsidRPr="00823355">
        <w:rPr>
          <w:sz w:val="24"/>
          <w:szCs w:val="24"/>
        </w:rPr>
        <w:t>Acesulfamkalium (E 950)</w:t>
      </w:r>
    </w:p>
    <w:p w:rsidR="00206688" w:rsidRDefault="00206688" w:rsidP="00206688">
      <w:pPr>
        <w:ind w:left="851"/>
        <w:rPr>
          <w:sz w:val="24"/>
          <w:szCs w:val="24"/>
        </w:rPr>
      </w:pPr>
      <w:r>
        <w:rPr>
          <w:sz w:val="24"/>
          <w:szCs w:val="24"/>
        </w:rPr>
        <w:t>Polysorbat 80 (E 433)</w:t>
      </w:r>
    </w:p>
    <w:p w:rsidR="009830A0" w:rsidRPr="00D834E3" w:rsidRDefault="009830A0" w:rsidP="00206688">
      <w:pPr>
        <w:ind w:left="851" w:hanging="851"/>
        <w:rPr>
          <w:sz w:val="24"/>
          <w:szCs w:val="24"/>
        </w:rPr>
      </w:pPr>
    </w:p>
    <w:p w:rsidR="009830A0" w:rsidRPr="00D834E3" w:rsidRDefault="009830A0" w:rsidP="009830A0">
      <w:pPr>
        <w:numPr>
          <w:ilvl w:val="1"/>
          <w:numId w:val="5"/>
        </w:numPr>
        <w:tabs>
          <w:tab w:val="clear" w:pos="855"/>
        </w:tabs>
        <w:ind w:left="851" w:hanging="851"/>
        <w:rPr>
          <w:b/>
          <w:sz w:val="24"/>
          <w:szCs w:val="24"/>
        </w:rPr>
      </w:pPr>
      <w:r w:rsidRPr="00D834E3">
        <w:rPr>
          <w:b/>
          <w:sz w:val="24"/>
          <w:szCs w:val="24"/>
        </w:rPr>
        <w:t>Uforligeligheder</w:t>
      </w:r>
    </w:p>
    <w:p w:rsidR="009830A0" w:rsidRPr="00D834E3" w:rsidRDefault="009830A0" w:rsidP="009830A0">
      <w:pPr>
        <w:ind w:left="851" w:hanging="851"/>
        <w:rPr>
          <w:sz w:val="24"/>
          <w:szCs w:val="24"/>
        </w:rPr>
      </w:pPr>
      <w:r w:rsidRPr="00D834E3">
        <w:rPr>
          <w:sz w:val="24"/>
          <w:szCs w:val="24"/>
        </w:rPr>
        <w:tab/>
        <w:t>Ikke relevant.</w:t>
      </w:r>
    </w:p>
    <w:p w:rsidR="009830A0" w:rsidRPr="00D834E3" w:rsidRDefault="009830A0" w:rsidP="009830A0">
      <w:pPr>
        <w:ind w:left="851" w:hanging="851"/>
        <w:rPr>
          <w:sz w:val="24"/>
          <w:szCs w:val="24"/>
        </w:rPr>
      </w:pPr>
    </w:p>
    <w:p w:rsidR="008D692F" w:rsidRDefault="009830A0" w:rsidP="008D692F">
      <w:pPr>
        <w:numPr>
          <w:ilvl w:val="1"/>
          <w:numId w:val="5"/>
        </w:numPr>
        <w:tabs>
          <w:tab w:val="clear" w:pos="855"/>
        </w:tabs>
        <w:ind w:left="851" w:hanging="851"/>
        <w:rPr>
          <w:b/>
          <w:sz w:val="24"/>
          <w:szCs w:val="24"/>
        </w:rPr>
      </w:pPr>
      <w:r w:rsidRPr="00D834E3">
        <w:rPr>
          <w:b/>
          <w:sz w:val="24"/>
          <w:szCs w:val="24"/>
        </w:rPr>
        <w:t>Opbevaringstid</w:t>
      </w:r>
    </w:p>
    <w:p w:rsidR="008D692F" w:rsidRPr="008D692F" w:rsidRDefault="008D692F" w:rsidP="008D692F">
      <w:pPr>
        <w:ind w:left="851"/>
        <w:rPr>
          <w:sz w:val="24"/>
          <w:szCs w:val="24"/>
        </w:rPr>
      </w:pPr>
      <w:r w:rsidRPr="008D692F">
        <w:rPr>
          <w:sz w:val="24"/>
          <w:szCs w:val="24"/>
        </w:rPr>
        <w:t>Polypropylen beholder: 3 år.</w:t>
      </w:r>
    </w:p>
    <w:p w:rsidR="008D692F" w:rsidRDefault="008D692F" w:rsidP="008D692F">
      <w:pPr>
        <w:ind w:left="851"/>
        <w:rPr>
          <w:sz w:val="24"/>
          <w:szCs w:val="24"/>
        </w:rPr>
      </w:pPr>
      <w:r w:rsidRPr="008D692F">
        <w:rPr>
          <w:sz w:val="24"/>
          <w:szCs w:val="24"/>
        </w:rPr>
        <w:t>Papæske: 3 år. Anvendes inden for 3 måneder efter fjernelse af indpakningen.</w:t>
      </w:r>
    </w:p>
    <w:p w:rsidR="008D692F" w:rsidRPr="008D692F" w:rsidRDefault="008D692F" w:rsidP="008D692F">
      <w:pPr>
        <w:ind w:left="851"/>
        <w:rPr>
          <w:b/>
          <w:sz w:val="24"/>
          <w:szCs w:val="24"/>
        </w:rPr>
      </w:pPr>
    </w:p>
    <w:p w:rsidR="009830A0" w:rsidRPr="00D834E3" w:rsidRDefault="009830A0" w:rsidP="009830A0">
      <w:pPr>
        <w:numPr>
          <w:ilvl w:val="1"/>
          <w:numId w:val="5"/>
        </w:numPr>
        <w:tabs>
          <w:tab w:val="clear" w:pos="855"/>
        </w:tabs>
        <w:ind w:left="851" w:hanging="851"/>
        <w:rPr>
          <w:b/>
          <w:sz w:val="24"/>
          <w:szCs w:val="24"/>
        </w:rPr>
      </w:pPr>
      <w:r w:rsidRPr="00D834E3">
        <w:rPr>
          <w:b/>
          <w:sz w:val="24"/>
          <w:szCs w:val="24"/>
        </w:rPr>
        <w:t>Særlige opbevaringsforhold</w:t>
      </w:r>
    </w:p>
    <w:p w:rsidR="008D692F" w:rsidRDefault="009830A0" w:rsidP="008D692F">
      <w:pPr>
        <w:ind w:left="851" w:hanging="851"/>
        <w:rPr>
          <w:sz w:val="24"/>
          <w:szCs w:val="24"/>
        </w:rPr>
      </w:pPr>
      <w:r w:rsidRPr="00D834E3">
        <w:rPr>
          <w:sz w:val="24"/>
          <w:szCs w:val="24"/>
        </w:rPr>
        <w:tab/>
      </w:r>
      <w:r w:rsidR="008D692F">
        <w:rPr>
          <w:sz w:val="24"/>
          <w:szCs w:val="24"/>
        </w:rPr>
        <w:t>Polypropylenbeholder: Sugetabletterne opbevares i den originale pakning for at beskytte mod fugt.</w:t>
      </w:r>
    </w:p>
    <w:p w:rsidR="008D692F" w:rsidRDefault="008D692F" w:rsidP="008D692F">
      <w:pPr>
        <w:ind w:left="851" w:hanging="851"/>
        <w:rPr>
          <w:sz w:val="24"/>
          <w:szCs w:val="24"/>
        </w:rPr>
      </w:pPr>
      <w:r>
        <w:rPr>
          <w:sz w:val="24"/>
          <w:szCs w:val="24"/>
        </w:rPr>
        <w:tab/>
        <w:t>Papæske: Sugetabletterne opbevares i den originale yderpakning for at beskytte mod fugt.</w:t>
      </w:r>
    </w:p>
    <w:p w:rsidR="009830A0" w:rsidRPr="00D834E3" w:rsidRDefault="009830A0" w:rsidP="009830A0">
      <w:pPr>
        <w:ind w:left="851" w:hanging="851"/>
        <w:rPr>
          <w:sz w:val="24"/>
          <w:szCs w:val="24"/>
        </w:rPr>
      </w:pPr>
    </w:p>
    <w:p w:rsidR="009149D8" w:rsidRDefault="009149D8" w:rsidP="009149D8">
      <w:pPr>
        <w:numPr>
          <w:ilvl w:val="1"/>
          <w:numId w:val="5"/>
        </w:numPr>
        <w:tabs>
          <w:tab w:val="clear" w:pos="855"/>
        </w:tabs>
        <w:ind w:left="851" w:hanging="851"/>
        <w:rPr>
          <w:b/>
          <w:sz w:val="24"/>
          <w:szCs w:val="24"/>
        </w:rPr>
      </w:pPr>
      <w:bookmarkStart w:id="5" w:name="_Hlk121743052"/>
      <w:r w:rsidRPr="00BA4587">
        <w:rPr>
          <w:b/>
          <w:sz w:val="24"/>
          <w:szCs w:val="24"/>
        </w:rPr>
        <w:t>Emballagetype og pakningsstørrelser</w:t>
      </w:r>
      <w:bookmarkEnd w:id="5"/>
    </w:p>
    <w:p w:rsidR="008D692F" w:rsidRPr="008D692F" w:rsidRDefault="008D692F" w:rsidP="008D692F">
      <w:pPr>
        <w:ind w:left="851"/>
        <w:rPr>
          <w:sz w:val="24"/>
          <w:szCs w:val="24"/>
        </w:rPr>
      </w:pPr>
      <w:r w:rsidRPr="008D692F">
        <w:rPr>
          <w:sz w:val="24"/>
          <w:szCs w:val="24"/>
        </w:rPr>
        <w:t>Beholder af polypropylen med silicagel indeholdende 20 sugetabletter.</w:t>
      </w:r>
    </w:p>
    <w:p w:rsidR="008D692F" w:rsidRPr="008D692F" w:rsidRDefault="008D692F" w:rsidP="008D692F">
      <w:pPr>
        <w:ind w:left="851"/>
        <w:rPr>
          <w:sz w:val="24"/>
          <w:szCs w:val="24"/>
        </w:rPr>
      </w:pPr>
      <w:r w:rsidRPr="008D692F">
        <w:rPr>
          <w:sz w:val="24"/>
          <w:szCs w:val="24"/>
        </w:rPr>
        <w:t>Pakningsstørrelser: 20 (1x20), 80 (4x20) og 160 (8x20) sugetabletter.</w:t>
      </w:r>
    </w:p>
    <w:p w:rsidR="008D692F" w:rsidRPr="008D692F" w:rsidRDefault="008D692F" w:rsidP="008D692F">
      <w:pPr>
        <w:ind w:left="851"/>
        <w:rPr>
          <w:sz w:val="24"/>
          <w:szCs w:val="24"/>
        </w:rPr>
      </w:pPr>
      <w:r w:rsidRPr="008D692F">
        <w:rPr>
          <w:sz w:val="24"/>
          <w:szCs w:val="24"/>
        </w:rPr>
        <w:tab/>
      </w:r>
    </w:p>
    <w:p w:rsidR="008D692F" w:rsidRPr="008D692F" w:rsidRDefault="008D692F" w:rsidP="008D692F">
      <w:pPr>
        <w:ind w:left="851"/>
        <w:rPr>
          <w:sz w:val="24"/>
          <w:szCs w:val="24"/>
        </w:rPr>
      </w:pPr>
      <w:r w:rsidRPr="008D692F">
        <w:rPr>
          <w:sz w:val="24"/>
          <w:szCs w:val="24"/>
        </w:rPr>
        <w:t>Papæske indeholdende 40 sugetabletter.</w:t>
      </w:r>
    </w:p>
    <w:p w:rsidR="008D692F" w:rsidRPr="008D692F" w:rsidRDefault="008D692F" w:rsidP="008D692F">
      <w:pPr>
        <w:ind w:left="851"/>
        <w:rPr>
          <w:sz w:val="24"/>
          <w:szCs w:val="24"/>
        </w:rPr>
      </w:pPr>
      <w:r w:rsidRPr="008D692F">
        <w:rPr>
          <w:sz w:val="24"/>
          <w:szCs w:val="24"/>
        </w:rPr>
        <w:t>Pakningsstørrelser: 40 (1x40), 80 (2x40) og 160 (4x40) sugetabletter.</w:t>
      </w:r>
    </w:p>
    <w:p w:rsidR="008D692F" w:rsidRPr="008D692F" w:rsidRDefault="008D692F" w:rsidP="008D692F">
      <w:pPr>
        <w:ind w:left="851"/>
        <w:rPr>
          <w:sz w:val="24"/>
          <w:szCs w:val="24"/>
        </w:rPr>
      </w:pPr>
    </w:p>
    <w:p w:rsidR="00206688" w:rsidRDefault="008D692F" w:rsidP="008D692F">
      <w:pPr>
        <w:ind w:left="851"/>
        <w:rPr>
          <w:sz w:val="24"/>
          <w:szCs w:val="24"/>
        </w:rPr>
      </w:pPr>
      <w:r w:rsidRPr="008D692F">
        <w:rPr>
          <w:sz w:val="24"/>
          <w:szCs w:val="24"/>
        </w:rPr>
        <w:t>Ikke alle pakningsstørrelser er nødvendigvis markedsført.</w:t>
      </w:r>
    </w:p>
    <w:p w:rsidR="009830A0" w:rsidRPr="00D834E3" w:rsidRDefault="009830A0" w:rsidP="00206688">
      <w:pPr>
        <w:ind w:left="851" w:hanging="851"/>
        <w:rPr>
          <w:sz w:val="24"/>
          <w:szCs w:val="24"/>
        </w:rPr>
      </w:pPr>
    </w:p>
    <w:p w:rsidR="009830A0" w:rsidRPr="00D834E3" w:rsidRDefault="009149D8" w:rsidP="009830A0">
      <w:pPr>
        <w:numPr>
          <w:ilvl w:val="1"/>
          <w:numId w:val="5"/>
        </w:numPr>
        <w:tabs>
          <w:tab w:val="clear" w:pos="855"/>
        </w:tabs>
        <w:ind w:left="851" w:hanging="851"/>
        <w:rPr>
          <w:b/>
          <w:sz w:val="24"/>
          <w:szCs w:val="24"/>
        </w:rPr>
      </w:pPr>
      <w:bookmarkStart w:id="6" w:name="_Hlk121754038"/>
      <w:r w:rsidRPr="00BA4587">
        <w:rPr>
          <w:b/>
          <w:noProof/>
          <w:sz w:val="24"/>
          <w:szCs w:val="24"/>
        </w:rPr>
        <w:t>Regler for bortskaffelse og anden håndtering</w:t>
      </w:r>
      <w:bookmarkEnd w:id="6"/>
    </w:p>
    <w:p w:rsidR="009830A0" w:rsidRPr="00D834E3" w:rsidRDefault="009830A0" w:rsidP="009830A0">
      <w:pPr>
        <w:ind w:left="851" w:hanging="851"/>
        <w:rPr>
          <w:sz w:val="24"/>
          <w:szCs w:val="24"/>
        </w:rPr>
      </w:pPr>
      <w:r w:rsidRPr="00D834E3">
        <w:rPr>
          <w:sz w:val="24"/>
          <w:szCs w:val="24"/>
        </w:rPr>
        <w:tab/>
        <w:t>Ingen særlige forholdsregler.</w:t>
      </w:r>
    </w:p>
    <w:p w:rsidR="009830A0" w:rsidRPr="00D834E3" w:rsidRDefault="009830A0" w:rsidP="009830A0">
      <w:pPr>
        <w:ind w:left="851" w:hanging="851"/>
        <w:rPr>
          <w:sz w:val="24"/>
          <w:szCs w:val="24"/>
        </w:rPr>
      </w:pPr>
    </w:p>
    <w:p w:rsidR="00206688" w:rsidRDefault="00206688" w:rsidP="00206688">
      <w:pPr>
        <w:ind w:left="851"/>
        <w:rPr>
          <w:sz w:val="24"/>
          <w:szCs w:val="24"/>
        </w:rPr>
      </w:pPr>
      <w:r>
        <w:rPr>
          <w:sz w:val="24"/>
          <w:szCs w:val="24"/>
        </w:rPr>
        <w:t>Tilbageværende ikke anvendt lægemiddel kan have skadelige virkninger på vandmiljøet.</w:t>
      </w:r>
    </w:p>
    <w:p w:rsidR="009830A0" w:rsidRPr="00D834E3" w:rsidRDefault="00206688" w:rsidP="00206688">
      <w:pPr>
        <w:ind w:left="851" w:hanging="851"/>
        <w:rPr>
          <w:sz w:val="24"/>
          <w:szCs w:val="24"/>
        </w:rPr>
      </w:pPr>
      <w:r>
        <w:rPr>
          <w:sz w:val="24"/>
          <w:szCs w:val="24"/>
        </w:rPr>
        <w:tab/>
        <w:t>Ikke anvendt lægemiddel samt affald heraf skal bortskaffes i henhold til lokale retningslinjer.</w:t>
      </w:r>
    </w:p>
    <w:p w:rsidR="009830A0" w:rsidRPr="00D834E3" w:rsidRDefault="009830A0" w:rsidP="009830A0">
      <w:pPr>
        <w:ind w:left="851" w:hanging="851"/>
        <w:jc w:val="both"/>
        <w:rPr>
          <w:sz w:val="24"/>
          <w:szCs w:val="24"/>
        </w:rPr>
      </w:pPr>
    </w:p>
    <w:p w:rsidR="009830A0" w:rsidRPr="00D834E3" w:rsidRDefault="009830A0" w:rsidP="009830A0">
      <w:pPr>
        <w:ind w:left="851" w:hanging="851"/>
        <w:rPr>
          <w:b/>
          <w:sz w:val="24"/>
          <w:szCs w:val="24"/>
        </w:rPr>
      </w:pPr>
      <w:r w:rsidRPr="00D834E3">
        <w:rPr>
          <w:b/>
          <w:sz w:val="24"/>
          <w:szCs w:val="24"/>
        </w:rPr>
        <w:t>7.</w:t>
      </w:r>
      <w:r w:rsidRPr="00D834E3">
        <w:rPr>
          <w:b/>
          <w:sz w:val="24"/>
          <w:szCs w:val="24"/>
        </w:rPr>
        <w:tab/>
        <w:t>INDEHAVER AF MARKEDSFØRINGSTILLADELSEN</w:t>
      </w:r>
    </w:p>
    <w:p w:rsidR="009830A0" w:rsidRPr="00D834E3" w:rsidRDefault="009830A0" w:rsidP="009830A0">
      <w:pPr>
        <w:ind w:left="851" w:hanging="851"/>
        <w:jc w:val="both"/>
        <w:rPr>
          <w:sz w:val="24"/>
          <w:szCs w:val="24"/>
        </w:rPr>
      </w:pPr>
      <w:r w:rsidRPr="00D834E3">
        <w:rPr>
          <w:sz w:val="24"/>
          <w:szCs w:val="24"/>
        </w:rPr>
        <w:tab/>
        <w:t>McNeil Denmark ApS</w:t>
      </w:r>
    </w:p>
    <w:p w:rsidR="009924AA" w:rsidRDefault="009830A0" w:rsidP="009924AA">
      <w:pPr>
        <w:tabs>
          <w:tab w:val="left" w:pos="851"/>
        </w:tabs>
        <w:rPr>
          <w:bCs/>
          <w:sz w:val="24"/>
          <w:szCs w:val="24"/>
        </w:rPr>
      </w:pPr>
      <w:r w:rsidRPr="00D834E3">
        <w:rPr>
          <w:sz w:val="24"/>
          <w:szCs w:val="24"/>
        </w:rPr>
        <w:tab/>
      </w:r>
      <w:r w:rsidR="009924AA" w:rsidRPr="001631CE">
        <w:rPr>
          <w:bCs/>
          <w:sz w:val="24"/>
          <w:szCs w:val="24"/>
        </w:rPr>
        <w:t>Transformervej 14</w:t>
      </w:r>
    </w:p>
    <w:p w:rsidR="009924AA" w:rsidRDefault="009924AA" w:rsidP="009924AA">
      <w:pPr>
        <w:tabs>
          <w:tab w:val="left" w:pos="851"/>
        </w:tabs>
        <w:rPr>
          <w:bCs/>
          <w:sz w:val="24"/>
          <w:szCs w:val="24"/>
        </w:rPr>
      </w:pPr>
      <w:r>
        <w:rPr>
          <w:bCs/>
          <w:sz w:val="24"/>
          <w:szCs w:val="24"/>
        </w:rPr>
        <w:tab/>
      </w:r>
      <w:r w:rsidRPr="001631CE">
        <w:rPr>
          <w:bCs/>
          <w:sz w:val="24"/>
          <w:szCs w:val="24"/>
        </w:rPr>
        <w:t>2860 Søborg</w:t>
      </w:r>
    </w:p>
    <w:p w:rsidR="009830A0" w:rsidRPr="00D834E3" w:rsidRDefault="009830A0" w:rsidP="009924AA">
      <w:pPr>
        <w:ind w:left="851" w:hanging="851"/>
        <w:jc w:val="both"/>
        <w:rPr>
          <w:sz w:val="24"/>
          <w:szCs w:val="24"/>
        </w:rPr>
      </w:pPr>
    </w:p>
    <w:p w:rsidR="009830A0" w:rsidRPr="00D834E3" w:rsidRDefault="009830A0" w:rsidP="009830A0">
      <w:pPr>
        <w:ind w:left="851" w:hanging="851"/>
        <w:rPr>
          <w:b/>
          <w:sz w:val="24"/>
          <w:szCs w:val="24"/>
        </w:rPr>
      </w:pPr>
      <w:r w:rsidRPr="00D834E3">
        <w:rPr>
          <w:b/>
          <w:sz w:val="24"/>
          <w:szCs w:val="24"/>
        </w:rPr>
        <w:t>8.</w:t>
      </w:r>
      <w:r w:rsidRPr="00D834E3">
        <w:rPr>
          <w:b/>
          <w:sz w:val="24"/>
          <w:szCs w:val="24"/>
        </w:rPr>
        <w:tab/>
        <w:t>MARKEDSFØRINGSTILLADELSESNUMMER (</w:t>
      </w:r>
      <w:r w:rsidR="009149D8">
        <w:rPr>
          <w:b/>
          <w:sz w:val="24"/>
          <w:szCs w:val="24"/>
        </w:rPr>
        <w:t>-</w:t>
      </w:r>
      <w:r w:rsidRPr="00D834E3">
        <w:rPr>
          <w:b/>
          <w:sz w:val="24"/>
          <w:szCs w:val="24"/>
        </w:rPr>
        <w:t>NUMRE)</w:t>
      </w:r>
    </w:p>
    <w:p w:rsidR="009830A0" w:rsidRPr="00D834E3" w:rsidRDefault="009830A0" w:rsidP="009830A0">
      <w:pPr>
        <w:ind w:left="851" w:hanging="851"/>
        <w:rPr>
          <w:sz w:val="24"/>
          <w:szCs w:val="24"/>
        </w:rPr>
      </w:pPr>
      <w:r w:rsidRPr="00D834E3">
        <w:rPr>
          <w:sz w:val="24"/>
          <w:szCs w:val="24"/>
        </w:rPr>
        <w:tab/>
        <w:t>47834</w:t>
      </w:r>
    </w:p>
    <w:p w:rsidR="009830A0" w:rsidRPr="00D834E3" w:rsidRDefault="009830A0" w:rsidP="009830A0">
      <w:pPr>
        <w:ind w:left="851" w:hanging="851"/>
        <w:jc w:val="both"/>
        <w:rPr>
          <w:sz w:val="24"/>
          <w:szCs w:val="24"/>
        </w:rPr>
      </w:pPr>
    </w:p>
    <w:p w:rsidR="009830A0" w:rsidRPr="00D834E3" w:rsidRDefault="009830A0" w:rsidP="009830A0">
      <w:pPr>
        <w:ind w:left="851" w:hanging="851"/>
        <w:rPr>
          <w:b/>
          <w:sz w:val="24"/>
          <w:szCs w:val="24"/>
        </w:rPr>
      </w:pPr>
      <w:r w:rsidRPr="00D834E3">
        <w:rPr>
          <w:b/>
          <w:sz w:val="24"/>
          <w:szCs w:val="24"/>
        </w:rPr>
        <w:t>9.</w:t>
      </w:r>
      <w:r w:rsidRPr="00D834E3">
        <w:rPr>
          <w:b/>
          <w:sz w:val="24"/>
          <w:szCs w:val="24"/>
        </w:rPr>
        <w:tab/>
        <w:t>DATO FOR FØRSTE MARKEDSFØRINGSTILLADELSE</w:t>
      </w:r>
    </w:p>
    <w:p w:rsidR="009830A0" w:rsidRPr="00D834E3" w:rsidRDefault="009830A0" w:rsidP="009830A0">
      <w:pPr>
        <w:ind w:left="851" w:hanging="851"/>
        <w:rPr>
          <w:sz w:val="24"/>
          <w:szCs w:val="24"/>
        </w:rPr>
      </w:pPr>
      <w:r w:rsidRPr="00D834E3">
        <w:rPr>
          <w:sz w:val="24"/>
          <w:szCs w:val="24"/>
        </w:rPr>
        <w:tab/>
        <w:t>13. januar 2012</w:t>
      </w:r>
    </w:p>
    <w:p w:rsidR="009830A0" w:rsidRPr="00D834E3" w:rsidRDefault="009830A0" w:rsidP="009830A0">
      <w:pPr>
        <w:ind w:left="851" w:hanging="851"/>
        <w:rPr>
          <w:sz w:val="24"/>
          <w:szCs w:val="24"/>
        </w:rPr>
      </w:pPr>
    </w:p>
    <w:p w:rsidR="009830A0" w:rsidRPr="00D834E3" w:rsidRDefault="009830A0" w:rsidP="009830A0">
      <w:pPr>
        <w:ind w:left="851" w:hanging="851"/>
        <w:rPr>
          <w:b/>
          <w:sz w:val="24"/>
          <w:szCs w:val="24"/>
        </w:rPr>
      </w:pPr>
      <w:r w:rsidRPr="00D834E3">
        <w:rPr>
          <w:b/>
          <w:sz w:val="24"/>
          <w:szCs w:val="24"/>
        </w:rPr>
        <w:t>10.</w:t>
      </w:r>
      <w:r w:rsidRPr="00D834E3">
        <w:rPr>
          <w:b/>
          <w:sz w:val="24"/>
          <w:szCs w:val="24"/>
        </w:rPr>
        <w:tab/>
        <w:t>DATO FOR ÆNDRING AF TEKSTEN</w:t>
      </w:r>
    </w:p>
    <w:p w:rsidR="009260DE" w:rsidRPr="009149D8" w:rsidRDefault="00CA0F11" w:rsidP="00CA0F11">
      <w:pPr>
        <w:ind w:left="851" w:hanging="851"/>
        <w:rPr>
          <w:sz w:val="24"/>
          <w:szCs w:val="24"/>
        </w:rPr>
      </w:pPr>
      <w:r>
        <w:rPr>
          <w:sz w:val="24"/>
          <w:szCs w:val="24"/>
        </w:rPr>
        <w:tab/>
        <w:t>2</w:t>
      </w:r>
      <w:r w:rsidR="00E33D4C">
        <w:rPr>
          <w:sz w:val="24"/>
          <w:szCs w:val="24"/>
        </w:rPr>
        <w:t>9</w:t>
      </w:r>
      <w:bookmarkStart w:id="7" w:name="_GoBack"/>
      <w:bookmarkEnd w:id="7"/>
      <w:r>
        <w:rPr>
          <w:sz w:val="24"/>
          <w:szCs w:val="24"/>
        </w:rPr>
        <w:t>. marts 2025</w:t>
      </w:r>
    </w:p>
    <w:sectPr w:rsidR="009260DE" w:rsidRPr="009149D8"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30A0" w:rsidRDefault="009830A0">
      <w:r>
        <w:separator/>
      </w:r>
    </w:p>
  </w:endnote>
  <w:endnote w:type="continuationSeparator" w:id="0">
    <w:p w:rsidR="009830A0" w:rsidRDefault="00983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982FB8">
      <w:rPr>
        <w:i/>
        <w:noProof/>
        <w:sz w:val="18"/>
        <w:szCs w:val="18"/>
      </w:rPr>
      <w:t>Nicorette Cooldrops, sugetabletter 4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30A0" w:rsidRDefault="009830A0">
      <w:r>
        <w:separator/>
      </w:r>
    </w:p>
  </w:footnote>
  <w:footnote w:type="continuationSeparator" w:id="0">
    <w:p w:rsidR="009830A0" w:rsidRDefault="009830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9201C5"/>
    <w:multiLevelType w:val="hybridMultilevel"/>
    <w:tmpl w:val="BE7C3F06"/>
    <w:lvl w:ilvl="0" w:tplc="04060001">
      <w:start w:val="1"/>
      <w:numFmt w:val="bullet"/>
      <w:lvlText w:val=""/>
      <w:lvlJc w:val="left"/>
      <w:pPr>
        <w:ind w:left="1575" w:hanging="360"/>
      </w:pPr>
      <w:rPr>
        <w:rFonts w:ascii="Symbol" w:hAnsi="Symbol" w:hint="default"/>
      </w:rPr>
    </w:lvl>
    <w:lvl w:ilvl="1" w:tplc="04060003" w:tentative="1">
      <w:start w:val="1"/>
      <w:numFmt w:val="bullet"/>
      <w:lvlText w:val="o"/>
      <w:lvlJc w:val="left"/>
      <w:pPr>
        <w:ind w:left="2295" w:hanging="360"/>
      </w:pPr>
      <w:rPr>
        <w:rFonts w:ascii="Courier New" w:hAnsi="Courier New" w:cs="Courier New" w:hint="default"/>
      </w:rPr>
    </w:lvl>
    <w:lvl w:ilvl="2" w:tplc="04060005" w:tentative="1">
      <w:start w:val="1"/>
      <w:numFmt w:val="bullet"/>
      <w:lvlText w:val=""/>
      <w:lvlJc w:val="left"/>
      <w:pPr>
        <w:ind w:left="3015" w:hanging="360"/>
      </w:pPr>
      <w:rPr>
        <w:rFonts w:ascii="Wingdings" w:hAnsi="Wingdings" w:hint="default"/>
      </w:rPr>
    </w:lvl>
    <w:lvl w:ilvl="3" w:tplc="04060001" w:tentative="1">
      <w:start w:val="1"/>
      <w:numFmt w:val="bullet"/>
      <w:lvlText w:val=""/>
      <w:lvlJc w:val="left"/>
      <w:pPr>
        <w:ind w:left="3735" w:hanging="360"/>
      </w:pPr>
      <w:rPr>
        <w:rFonts w:ascii="Symbol" w:hAnsi="Symbol" w:hint="default"/>
      </w:rPr>
    </w:lvl>
    <w:lvl w:ilvl="4" w:tplc="04060003" w:tentative="1">
      <w:start w:val="1"/>
      <w:numFmt w:val="bullet"/>
      <w:lvlText w:val="o"/>
      <w:lvlJc w:val="left"/>
      <w:pPr>
        <w:ind w:left="4455" w:hanging="360"/>
      </w:pPr>
      <w:rPr>
        <w:rFonts w:ascii="Courier New" w:hAnsi="Courier New" w:cs="Courier New" w:hint="default"/>
      </w:rPr>
    </w:lvl>
    <w:lvl w:ilvl="5" w:tplc="04060005" w:tentative="1">
      <w:start w:val="1"/>
      <w:numFmt w:val="bullet"/>
      <w:lvlText w:val=""/>
      <w:lvlJc w:val="left"/>
      <w:pPr>
        <w:ind w:left="5175" w:hanging="360"/>
      </w:pPr>
      <w:rPr>
        <w:rFonts w:ascii="Wingdings" w:hAnsi="Wingdings" w:hint="default"/>
      </w:rPr>
    </w:lvl>
    <w:lvl w:ilvl="6" w:tplc="04060001" w:tentative="1">
      <w:start w:val="1"/>
      <w:numFmt w:val="bullet"/>
      <w:lvlText w:val=""/>
      <w:lvlJc w:val="left"/>
      <w:pPr>
        <w:ind w:left="5895" w:hanging="360"/>
      </w:pPr>
      <w:rPr>
        <w:rFonts w:ascii="Symbol" w:hAnsi="Symbol" w:hint="default"/>
      </w:rPr>
    </w:lvl>
    <w:lvl w:ilvl="7" w:tplc="04060003" w:tentative="1">
      <w:start w:val="1"/>
      <w:numFmt w:val="bullet"/>
      <w:lvlText w:val="o"/>
      <w:lvlJc w:val="left"/>
      <w:pPr>
        <w:ind w:left="6615" w:hanging="360"/>
      </w:pPr>
      <w:rPr>
        <w:rFonts w:ascii="Courier New" w:hAnsi="Courier New" w:cs="Courier New" w:hint="default"/>
      </w:rPr>
    </w:lvl>
    <w:lvl w:ilvl="8" w:tplc="04060005" w:tentative="1">
      <w:start w:val="1"/>
      <w:numFmt w:val="bullet"/>
      <w:lvlText w:val=""/>
      <w:lvlJc w:val="left"/>
      <w:pPr>
        <w:ind w:left="7335"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3DFC1EA3"/>
    <w:multiLevelType w:val="hybridMultilevel"/>
    <w:tmpl w:val="6180D62C"/>
    <w:lvl w:ilvl="0" w:tplc="CA50119E">
      <w:start w:val="4"/>
      <w:numFmt w:val="bullet"/>
      <w:lvlText w:val=""/>
      <w:lvlJc w:val="left"/>
      <w:pPr>
        <w:ind w:left="1215" w:hanging="360"/>
      </w:pPr>
      <w:rPr>
        <w:rFonts w:ascii="Symbol" w:eastAsia="Times New Roman" w:hAnsi="Symbol" w:cs="Times New Roman"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50936972"/>
    <w:multiLevelType w:val="hybridMultilevel"/>
    <w:tmpl w:val="2C4020EE"/>
    <w:lvl w:ilvl="0" w:tplc="04060001">
      <w:start w:val="1"/>
      <w:numFmt w:val="bullet"/>
      <w:lvlText w:val=""/>
      <w:lvlJc w:val="left"/>
      <w:pPr>
        <w:ind w:left="1576" w:hanging="360"/>
      </w:pPr>
      <w:rPr>
        <w:rFonts w:ascii="Symbol" w:hAnsi="Symbol" w:hint="default"/>
      </w:rPr>
    </w:lvl>
    <w:lvl w:ilvl="1" w:tplc="04060003" w:tentative="1">
      <w:start w:val="1"/>
      <w:numFmt w:val="bullet"/>
      <w:lvlText w:val="o"/>
      <w:lvlJc w:val="left"/>
      <w:pPr>
        <w:ind w:left="2296" w:hanging="360"/>
      </w:pPr>
      <w:rPr>
        <w:rFonts w:ascii="Courier New" w:hAnsi="Courier New" w:cs="Courier New" w:hint="default"/>
      </w:rPr>
    </w:lvl>
    <w:lvl w:ilvl="2" w:tplc="04060005" w:tentative="1">
      <w:start w:val="1"/>
      <w:numFmt w:val="bullet"/>
      <w:lvlText w:val=""/>
      <w:lvlJc w:val="left"/>
      <w:pPr>
        <w:ind w:left="3016" w:hanging="360"/>
      </w:pPr>
      <w:rPr>
        <w:rFonts w:ascii="Wingdings" w:hAnsi="Wingdings" w:hint="default"/>
      </w:rPr>
    </w:lvl>
    <w:lvl w:ilvl="3" w:tplc="04060001" w:tentative="1">
      <w:start w:val="1"/>
      <w:numFmt w:val="bullet"/>
      <w:lvlText w:val=""/>
      <w:lvlJc w:val="left"/>
      <w:pPr>
        <w:ind w:left="3736" w:hanging="360"/>
      </w:pPr>
      <w:rPr>
        <w:rFonts w:ascii="Symbol" w:hAnsi="Symbol" w:hint="default"/>
      </w:rPr>
    </w:lvl>
    <w:lvl w:ilvl="4" w:tplc="04060003" w:tentative="1">
      <w:start w:val="1"/>
      <w:numFmt w:val="bullet"/>
      <w:lvlText w:val="o"/>
      <w:lvlJc w:val="left"/>
      <w:pPr>
        <w:ind w:left="4456" w:hanging="360"/>
      </w:pPr>
      <w:rPr>
        <w:rFonts w:ascii="Courier New" w:hAnsi="Courier New" w:cs="Courier New" w:hint="default"/>
      </w:rPr>
    </w:lvl>
    <w:lvl w:ilvl="5" w:tplc="04060005" w:tentative="1">
      <w:start w:val="1"/>
      <w:numFmt w:val="bullet"/>
      <w:lvlText w:val=""/>
      <w:lvlJc w:val="left"/>
      <w:pPr>
        <w:ind w:left="5176" w:hanging="360"/>
      </w:pPr>
      <w:rPr>
        <w:rFonts w:ascii="Wingdings" w:hAnsi="Wingdings" w:hint="default"/>
      </w:rPr>
    </w:lvl>
    <w:lvl w:ilvl="6" w:tplc="04060001" w:tentative="1">
      <w:start w:val="1"/>
      <w:numFmt w:val="bullet"/>
      <w:lvlText w:val=""/>
      <w:lvlJc w:val="left"/>
      <w:pPr>
        <w:ind w:left="5896" w:hanging="360"/>
      </w:pPr>
      <w:rPr>
        <w:rFonts w:ascii="Symbol" w:hAnsi="Symbol" w:hint="default"/>
      </w:rPr>
    </w:lvl>
    <w:lvl w:ilvl="7" w:tplc="04060003" w:tentative="1">
      <w:start w:val="1"/>
      <w:numFmt w:val="bullet"/>
      <w:lvlText w:val="o"/>
      <w:lvlJc w:val="left"/>
      <w:pPr>
        <w:ind w:left="6616" w:hanging="360"/>
      </w:pPr>
      <w:rPr>
        <w:rFonts w:ascii="Courier New" w:hAnsi="Courier New" w:cs="Courier New" w:hint="default"/>
      </w:rPr>
    </w:lvl>
    <w:lvl w:ilvl="8" w:tplc="04060005" w:tentative="1">
      <w:start w:val="1"/>
      <w:numFmt w:val="bullet"/>
      <w:lvlText w:val=""/>
      <w:lvlJc w:val="left"/>
      <w:pPr>
        <w:ind w:left="7336" w:hanging="360"/>
      </w:pPr>
      <w:rPr>
        <w:rFonts w:ascii="Wingdings" w:hAnsi="Wingdings" w:hint="default"/>
      </w:rPr>
    </w:lvl>
  </w:abstractNum>
  <w:abstractNum w:abstractNumId="7"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0A0"/>
    <w:rsid w:val="000259B9"/>
    <w:rsid w:val="00041491"/>
    <w:rsid w:val="00050D16"/>
    <w:rsid w:val="00074F2A"/>
    <w:rsid w:val="000A1CA8"/>
    <w:rsid w:val="000A466B"/>
    <w:rsid w:val="000B058C"/>
    <w:rsid w:val="000E4EE6"/>
    <w:rsid w:val="001428EA"/>
    <w:rsid w:val="001454E2"/>
    <w:rsid w:val="0015128F"/>
    <w:rsid w:val="00177E15"/>
    <w:rsid w:val="001B09AD"/>
    <w:rsid w:val="00206688"/>
    <w:rsid w:val="00206CE8"/>
    <w:rsid w:val="0021526C"/>
    <w:rsid w:val="00225D3E"/>
    <w:rsid w:val="00283A2B"/>
    <w:rsid w:val="002B30AD"/>
    <w:rsid w:val="002C2C01"/>
    <w:rsid w:val="002F552B"/>
    <w:rsid w:val="003277D9"/>
    <w:rsid w:val="00331844"/>
    <w:rsid w:val="00385005"/>
    <w:rsid w:val="003A29AE"/>
    <w:rsid w:val="003A32D7"/>
    <w:rsid w:val="003B4074"/>
    <w:rsid w:val="003C769A"/>
    <w:rsid w:val="003E096D"/>
    <w:rsid w:val="003F1838"/>
    <w:rsid w:val="0045746C"/>
    <w:rsid w:val="0048539A"/>
    <w:rsid w:val="0049104B"/>
    <w:rsid w:val="004B7633"/>
    <w:rsid w:val="004C03F9"/>
    <w:rsid w:val="004E3B12"/>
    <w:rsid w:val="00516F4D"/>
    <w:rsid w:val="00532310"/>
    <w:rsid w:val="00560ECC"/>
    <w:rsid w:val="00565F0F"/>
    <w:rsid w:val="00594A86"/>
    <w:rsid w:val="00596D86"/>
    <w:rsid w:val="005A501C"/>
    <w:rsid w:val="00637F5A"/>
    <w:rsid w:val="006560B1"/>
    <w:rsid w:val="006756DD"/>
    <w:rsid w:val="00737275"/>
    <w:rsid w:val="00740EEC"/>
    <w:rsid w:val="0078011A"/>
    <w:rsid w:val="00782AF4"/>
    <w:rsid w:val="00790EE7"/>
    <w:rsid w:val="007B6649"/>
    <w:rsid w:val="0081546F"/>
    <w:rsid w:val="00823355"/>
    <w:rsid w:val="0082576E"/>
    <w:rsid w:val="008B11FC"/>
    <w:rsid w:val="008D692F"/>
    <w:rsid w:val="00905291"/>
    <w:rsid w:val="00907F75"/>
    <w:rsid w:val="009149D8"/>
    <w:rsid w:val="009260DE"/>
    <w:rsid w:val="0093258A"/>
    <w:rsid w:val="00982FB8"/>
    <w:rsid w:val="009830A0"/>
    <w:rsid w:val="009924AA"/>
    <w:rsid w:val="009C7BA3"/>
    <w:rsid w:val="009D1F5A"/>
    <w:rsid w:val="00B003BF"/>
    <w:rsid w:val="00B3140A"/>
    <w:rsid w:val="00B373D7"/>
    <w:rsid w:val="00B93B35"/>
    <w:rsid w:val="00BC0656"/>
    <w:rsid w:val="00BC3F30"/>
    <w:rsid w:val="00BE16F5"/>
    <w:rsid w:val="00C36276"/>
    <w:rsid w:val="00C42586"/>
    <w:rsid w:val="00C60CCD"/>
    <w:rsid w:val="00C84483"/>
    <w:rsid w:val="00C95551"/>
    <w:rsid w:val="00CA0F11"/>
    <w:rsid w:val="00CB20D7"/>
    <w:rsid w:val="00D020B0"/>
    <w:rsid w:val="00D11748"/>
    <w:rsid w:val="00D366CF"/>
    <w:rsid w:val="00E108AA"/>
    <w:rsid w:val="00E31812"/>
    <w:rsid w:val="00E33D4C"/>
    <w:rsid w:val="00E3749A"/>
    <w:rsid w:val="00E7437F"/>
    <w:rsid w:val="00E865B8"/>
    <w:rsid w:val="00EC0B9B"/>
    <w:rsid w:val="00ED5E9F"/>
    <w:rsid w:val="00F66D4F"/>
    <w:rsid w:val="00FA430B"/>
    <w:rsid w:val="00FB6D01"/>
    <w:rsid w:val="00FD1DD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F28E61"/>
  <w15:chartTrackingRefBased/>
  <w15:docId w15:val="{81ACB0E2-89B5-4038-9710-76A663E3E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Listeafsnit">
    <w:name w:val="List Paragraph"/>
    <w:basedOn w:val="Normal"/>
    <w:uiPriority w:val="34"/>
    <w:qFormat/>
    <w:rsid w:val="009830A0"/>
    <w:pPr>
      <w:ind w:left="720" w:hanging="851"/>
      <w:contextualSpacing/>
    </w:pPr>
    <w:rPr>
      <w:sz w:val="24"/>
      <w:lang w:eastAsia="da-DK"/>
    </w:rPr>
  </w:style>
  <w:style w:type="paragraph" w:customStyle="1" w:styleId="Default">
    <w:name w:val="Default"/>
    <w:rsid w:val="009830A0"/>
    <w:pPr>
      <w:autoSpaceDE w:val="0"/>
      <w:autoSpaceDN w:val="0"/>
      <w:adjustRightInd w:val="0"/>
    </w:pPr>
    <w:rPr>
      <w:rFonts w:eastAsia="SimSun"/>
      <w:color w:val="000000"/>
      <w:sz w:val="24"/>
      <w:szCs w:val="24"/>
      <w:lang w:val="sv-SE" w:eastAsia="en-US"/>
    </w:rPr>
  </w:style>
  <w:style w:type="character" w:styleId="Hyperlink">
    <w:name w:val="Hyperlink"/>
    <w:basedOn w:val="Standardskrifttypeiafsnit"/>
    <w:uiPriority w:val="99"/>
    <w:semiHidden/>
    <w:unhideWhenUsed/>
    <w:rsid w:val="009830A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904028">
      <w:bodyDiv w:val="1"/>
      <w:marLeft w:val="0"/>
      <w:marRight w:val="0"/>
      <w:marTop w:val="0"/>
      <w:marBottom w:val="0"/>
      <w:divBdr>
        <w:top w:val="none" w:sz="0" w:space="0" w:color="auto"/>
        <w:left w:val="none" w:sz="0" w:space="0" w:color="auto"/>
        <w:bottom w:val="none" w:sz="0" w:space="0" w:color="auto"/>
        <w:right w:val="none" w:sz="0" w:space="0" w:color="auto"/>
      </w:divBdr>
    </w:div>
    <w:div w:id="143006383">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89757543">
      <w:bodyDiv w:val="1"/>
      <w:marLeft w:val="0"/>
      <w:marRight w:val="0"/>
      <w:marTop w:val="0"/>
      <w:marBottom w:val="0"/>
      <w:divBdr>
        <w:top w:val="none" w:sz="0" w:space="0" w:color="auto"/>
        <w:left w:val="none" w:sz="0" w:space="0" w:color="auto"/>
        <w:bottom w:val="none" w:sz="0" w:space="0" w:color="auto"/>
        <w:right w:val="none" w:sz="0" w:space="0" w:color="auto"/>
      </w:divBdr>
    </w:div>
    <w:div w:id="214393850">
      <w:bodyDiv w:val="1"/>
      <w:marLeft w:val="0"/>
      <w:marRight w:val="0"/>
      <w:marTop w:val="0"/>
      <w:marBottom w:val="0"/>
      <w:divBdr>
        <w:top w:val="none" w:sz="0" w:space="0" w:color="auto"/>
        <w:left w:val="none" w:sz="0" w:space="0" w:color="auto"/>
        <w:bottom w:val="none" w:sz="0" w:space="0" w:color="auto"/>
        <w:right w:val="none" w:sz="0" w:space="0" w:color="auto"/>
      </w:divBdr>
    </w:div>
    <w:div w:id="251624093">
      <w:bodyDiv w:val="1"/>
      <w:marLeft w:val="0"/>
      <w:marRight w:val="0"/>
      <w:marTop w:val="0"/>
      <w:marBottom w:val="0"/>
      <w:divBdr>
        <w:top w:val="none" w:sz="0" w:space="0" w:color="auto"/>
        <w:left w:val="none" w:sz="0" w:space="0" w:color="auto"/>
        <w:bottom w:val="none" w:sz="0" w:space="0" w:color="auto"/>
        <w:right w:val="none" w:sz="0" w:space="0" w:color="auto"/>
      </w:divBdr>
    </w:div>
    <w:div w:id="591860379">
      <w:bodyDiv w:val="1"/>
      <w:marLeft w:val="0"/>
      <w:marRight w:val="0"/>
      <w:marTop w:val="0"/>
      <w:marBottom w:val="0"/>
      <w:divBdr>
        <w:top w:val="none" w:sz="0" w:space="0" w:color="auto"/>
        <w:left w:val="none" w:sz="0" w:space="0" w:color="auto"/>
        <w:bottom w:val="none" w:sz="0" w:space="0" w:color="auto"/>
        <w:right w:val="none" w:sz="0" w:space="0" w:color="auto"/>
      </w:divBdr>
    </w:div>
    <w:div w:id="651983312">
      <w:bodyDiv w:val="1"/>
      <w:marLeft w:val="0"/>
      <w:marRight w:val="0"/>
      <w:marTop w:val="0"/>
      <w:marBottom w:val="0"/>
      <w:divBdr>
        <w:top w:val="none" w:sz="0" w:space="0" w:color="auto"/>
        <w:left w:val="none" w:sz="0" w:space="0" w:color="auto"/>
        <w:bottom w:val="none" w:sz="0" w:space="0" w:color="auto"/>
        <w:right w:val="none" w:sz="0" w:space="0" w:color="auto"/>
      </w:divBdr>
    </w:div>
    <w:div w:id="1047605734">
      <w:bodyDiv w:val="1"/>
      <w:marLeft w:val="0"/>
      <w:marRight w:val="0"/>
      <w:marTop w:val="0"/>
      <w:marBottom w:val="0"/>
      <w:divBdr>
        <w:top w:val="none" w:sz="0" w:space="0" w:color="auto"/>
        <w:left w:val="none" w:sz="0" w:space="0" w:color="auto"/>
        <w:bottom w:val="none" w:sz="0" w:space="0" w:color="auto"/>
        <w:right w:val="none" w:sz="0" w:space="0" w:color="auto"/>
      </w:divBdr>
    </w:div>
    <w:div w:id="1313678927">
      <w:bodyDiv w:val="1"/>
      <w:marLeft w:val="0"/>
      <w:marRight w:val="0"/>
      <w:marTop w:val="0"/>
      <w:marBottom w:val="0"/>
      <w:divBdr>
        <w:top w:val="none" w:sz="0" w:space="0" w:color="auto"/>
        <w:left w:val="none" w:sz="0" w:space="0" w:color="auto"/>
        <w:bottom w:val="none" w:sz="0" w:space="0" w:color="auto"/>
        <w:right w:val="none" w:sz="0" w:space="0" w:color="auto"/>
      </w:divBdr>
    </w:div>
    <w:div w:id="1404522246">
      <w:bodyDiv w:val="1"/>
      <w:marLeft w:val="0"/>
      <w:marRight w:val="0"/>
      <w:marTop w:val="0"/>
      <w:marBottom w:val="0"/>
      <w:divBdr>
        <w:top w:val="none" w:sz="0" w:space="0" w:color="auto"/>
        <w:left w:val="none" w:sz="0" w:space="0" w:color="auto"/>
        <w:bottom w:val="none" w:sz="0" w:space="0" w:color="auto"/>
        <w:right w:val="none" w:sz="0" w:space="0" w:color="auto"/>
      </w:divBdr>
    </w:div>
    <w:div w:id="1476795988">
      <w:bodyDiv w:val="1"/>
      <w:marLeft w:val="0"/>
      <w:marRight w:val="0"/>
      <w:marTop w:val="0"/>
      <w:marBottom w:val="0"/>
      <w:divBdr>
        <w:top w:val="none" w:sz="0" w:space="0" w:color="auto"/>
        <w:left w:val="none" w:sz="0" w:space="0" w:color="auto"/>
        <w:bottom w:val="none" w:sz="0" w:space="0" w:color="auto"/>
        <w:right w:val="none" w:sz="0" w:space="0" w:color="auto"/>
      </w:divBdr>
    </w:div>
    <w:div w:id="1522233907">
      <w:bodyDiv w:val="1"/>
      <w:marLeft w:val="0"/>
      <w:marRight w:val="0"/>
      <w:marTop w:val="0"/>
      <w:marBottom w:val="0"/>
      <w:divBdr>
        <w:top w:val="none" w:sz="0" w:space="0" w:color="auto"/>
        <w:left w:val="none" w:sz="0" w:space="0" w:color="auto"/>
        <w:bottom w:val="none" w:sz="0" w:space="0" w:color="auto"/>
        <w:right w:val="none" w:sz="0" w:space="0" w:color="auto"/>
      </w:divBdr>
    </w:div>
    <w:div w:id="1765883471">
      <w:bodyDiv w:val="1"/>
      <w:marLeft w:val="0"/>
      <w:marRight w:val="0"/>
      <w:marTop w:val="0"/>
      <w:marBottom w:val="0"/>
      <w:divBdr>
        <w:top w:val="none" w:sz="0" w:space="0" w:color="auto"/>
        <w:left w:val="none" w:sz="0" w:space="0" w:color="auto"/>
        <w:bottom w:val="none" w:sz="0" w:space="0" w:color="auto"/>
        <w:right w:val="none" w:sz="0" w:space="0" w:color="auto"/>
      </w:divBdr>
    </w:div>
    <w:div w:id="1800104544">
      <w:bodyDiv w:val="1"/>
      <w:marLeft w:val="0"/>
      <w:marRight w:val="0"/>
      <w:marTop w:val="0"/>
      <w:marBottom w:val="0"/>
      <w:divBdr>
        <w:top w:val="none" w:sz="0" w:space="0" w:color="auto"/>
        <w:left w:val="none" w:sz="0" w:space="0" w:color="auto"/>
        <w:bottom w:val="none" w:sz="0" w:space="0" w:color="auto"/>
        <w:right w:val="none" w:sz="0" w:space="0" w:color="auto"/>
      </w:divBdr>
    </w:div>
    <w:div w:id="1891988375">
      <w:bodyDiv w:val="1"/>
      <w:marLeft w:val="0"/>
      <w:marRight w:val="0"/>
      <w:marTop w:val="0"/>
      <w:marBottom w:val="0"/>
      <w:divBdr>
        <w:top w:val="none" w:sz="0" w:space="0" w:color="auto"/>
        <w:left w:val="none" w:sz="0" w:space="0" w:color="auto"/>
        <w:bottom w:val="none" w:sz="0" w:space="0" w:color="auto"/>
        <w:right w:val="none" w:sz="0" w:space="0" w:color="auto"/>
      </w:divBdr>
    </w:div>
    <w:div w:id="2083747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2999</Words>
  <Characters>18296</Characters>
  <Application>Microsoft Office Word</Application>
  <DocSecurity>0</DocSecurity>
  <Lines>152</Lines>
  <Paragraphs>42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Line Aabo Würtz</dc:creator>
  <cp:keywords/>
  <dc:description>2024111015 - pkt. 2, 4.4, 5.1</dc:description>
  <cp:lastModifiedBy>Line Aaboe Würtz</cp:lastModifiedBy>
  <cp:revision>4</cp:revision>
  <cp:lastPrinted>2012-08-22T08:53:00Z</cp:lastPrinted>
  <dcterms:created xsi:type="dcterms:W3CDTF">2025-03-26T14:39:00Z</dcterms:created>
  <dcterms:modified xsi:type="dcterms:W3CDTF">2025-03-29T13:20:00Z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ies>
</file>