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557572" w14:textId="77777777" w:rsidR="009260DE" w:rsidRPr="008F49E1" w:rsidRDefault="0021526C" w:rsidP="009260DE">
      <w:pPr>
        <w:rPr>
          <w:sz w:val="24"/>
          <w:szCs w:val="24"/>
        </w:rPr>
      </w:pPr>
      <w:bookmarkStart w:id="0" w:name="_GoBack"/>
      <w:bookmarkEnd w:id="0"/>
      <w:r w:rsidRPr="009260DE">
        <w:rPr>
          <w:noProof/>
          <w:sz w:val="24"/>
          <w:szCs w:val="24"/>
          <w:lang w:eastAsia="da-DK"/>
        </w:rPr>
        <w:drawing>
          <wp:anchor distT="0" distB="0" distL="114300" distR="114300" simplePos="0" relativeHeight="251658240" behindDoc="0" locked="0" layoutInCell="1" allowOverlap="1" wp14:anchorId="36CAB5FA" wp14:editId="19B40380">
            <wp:simplePos x="0" y="0"/>
            <wp:positionH relativeFrom="column">
              <wp:posOffset>0</wp:posOffset>
            </wp:positionH>
            <wp:positionV relativeFrom="paragraph">
              <wp:posOffset>76200</wp:posOffset>
            </wp:positionV>
            <wp:extent cx="2428875" cy="685800"/>
            <wp:effectExtent l="0" t="0" r="9525" b="0"/>
            <wp:wrapSquare wrapText="bothSides"/>
            <wp:docPr id="1" name="Billede 3" descr="C:\Users\marh\AppData\Local\Microsoft\Windows\Temporary Internet Files\Content.Outlook\3DQ1N8R9\LMST_auto_s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3" descr="C:\Users\marh\AppData\Local\Microsoft\Windows\Temporary Internet Files\Content.Outlook\3DQ1N8R9\LMST_auto_stor.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28875" cy="685800"/>
                    </a:xfrm>
                    <a:prstGeom prst="rect">
                      <a:avLst/>
                    </a:prstGeom>
                    <a:noFill/>
                    <a:ln>
                      <a:noFill/>
                    </a:ln>
                  </pic:spPr>
                </pic:pic>
              </a:graphicData>
            </a:graphic>
          </wp:anchor>
        </w:drawing>
      </w:r>
      <w:r w:rsidR="00C60CCD">
        <w:rPr>
          <w:sz w:val="24"/>
          <w:szCs w:val="24"/>
        </w:rPr>
        <w:br w:type="textWrapping" w:clear="all"/>
      </w:r>
    </w:p>
    <w:p w14:paraId="218752E2" w14:textId="77777777" w:rsidR="009260DE" w:rsidRPr="00C84483" w:rsidRDefault="009260DE" w:rsidP="009260DE">
      <w:pPr>
        <w:pStyle w:val="Titel"/>
        <w:tabs>
          <w:tab w:val="right" w:pos="9356"/>
        </w:tabs>
        <w:jc w:val="left"/>
        <w:rPr>
          <w:b w:val="0"/>
          <w:szCs w:val="24"/>
          <w:lang w:eastAsia="en-US"/>
        </w:rPr>
      </w:pPr>
    </w:p>
    <w:p w14:paraId="5F8371FB" w14:textId="1A11E82D" w:rsidR="009260DE" w:rsidRPr="00C84483" w:rsidRDefault="009260DE" w:rsidP="009260DE">
      <w:pPr>
        <w:pStyle w:val="Titel"/>
        <w:tabs>
          <w:tab w:val="right" w:pos="9356"/>
        </w:tabs>
        <w:jc w:val="left"/>
        <w:rPr>
          <w:b w:val="0"/>
          <w:szCs w:val="24"/>
          <w:lang w:eastAsia="en-US"/>
        </w:rPr>
      </w:pPr>
      <w:r w:rsidRPr="00C84483">
        <w:rPr>
          <w:b w:val="0"/>
          <w:szCs w:val="24"/>
          <w:lang w:eastAsia="en-US"/>
        </w:rPr>
        <w:tab/>
      </w:r>
      <w:r w:rsidR="000E50C7">
        <w:rPr>
          <w:szCs w:val="24"/>
        </w:rPr>
        <w:t>6. marts 2026</w:t>
      </w:r>
    </w:p>
    <w:p w14:paraId="50B887C5" w14:textId="77777777" w:rsidR="009260DE" w:rsidRPr="00C84483" w:rsidRDefault="009260DE" w:rsidP="009260DE">
      <w:pPr>
        <w:pStyle w:val="Titel"/>
        <w:tabs>
          <w:tab w:val="left" w:pos="8222"/>
        </w:tabs>
        <w:jc w:val="left"/>
        <w:rPr>
          <w:b w:val="0"/>
          <w:szCs w:val="24"/>
        </w:rPr>
      </w:pPr>
    </w:p>
    <w:p w14:paraId="523D6562" w14:textId="77777777" w:rsidR="009260DE" w:rsidRPr="00C84483" w:rsidRDefault="009260DE" w:rsidP="009260DE">
      <w:pPr>
        <w:pStyle w:val="Titel"/>
        <w:jc w:val="left"/>
        <w:rPr>
          <w:b w:val="0"/>
          <w:szCs w:val="24"/>
        </w:rPr>
      </w:pPr>
    </w:p>
    <w:p w14:paraId="1867521F" w14:textId="77777777" w:rsidR="009260DE" w:rsidRPr="00C84483" w:rsidRDefault="009260DE" w:rsidP="009260DE">
      <w:pPr>
        <w:pStyle w:val="Titel"/>
        <w:jc w:val="left"/>
        <w:rPr>
          <w:b w:val="0"/>
          <w:szCs w:val="24"/>
        </w:rPr>
      </w:pPr>
    </w:p>
    <w:p w14:paraId="4EC629DB" w14:textId="77777777" w:rsidR="009260DE" w:rsidRPr="00C84483" w:rsidRDefault="009260DE" w:rsidP="009260DE">
      <w:pPr>
        <w:jc w:val="center"/>
        <w:rPr>
          <w:b/>
          <w:sz w:val="24"/>
          <w:szCs w:val="24"/>
        </w:rPr>
      </w:pPr>
      <w:r w:rsidRPr="00C84483">
        <w:rPr>
          <w:b/>
          <w:sz w:val="24"/>
          <w:szCs w:val="24"/>
        </w:rPr>
        <w:t>PRODUKTRESUMÉ</w:t>
      </w:r>
    </w:p>
    <w:p w14:paraId="2340920C" w14:textId="77777777" w:rsidR="009260DE" w:rsidRPr="00C84483" w:rsidRDefault="009260DE" w:rsidP="009260DE">
      <w:pPr>
        <w:jc w:val="center"/>
        <w:rPr>
          <w:b/>
          <w:sz w:val="24"/>
          <w:szCs w:val="24"/>
        </w:rPr>
      </w:pPr>
    </w:p>
    <w:p w14:paraId="7F2FA7E1" w14:textId="77777777" w:rsidR="009260DE" w:rsidRDefault="009260DE" w:rsidP="009260DE">
      <w:pPr>
        <w:jc w:val="center"/>
        <w:rPr>
          <w:b/>
          <w:sz w:val="24"/>
          <w:szCs w:val="24"/>
        </w:rPr>
      </w:pPr>
      <w:r w:rsidRPr="00C84483">
        <w:rPr>
          <w:b/>
          <w:sz w:val="24"/>
          <w:szCs w:val="24"/>
        </w:rPr>
        <w:t>for</w:t>
      </w:r>
    </w:p>
    <w:p w14:paraId="6248548D" w14:textId="77777777" w:rsidR="000B058C" w:rsidRPr="00C84483" w:rsidRDefault="000B058C" w:rsidP="009260DE">
      <w:pPr>
        <w:jc w:val="center"/>
        <w:rPr>
          <w:b/>
          <w:sz w:val="24"/>
          <w:szCs w:val="24"/>
        </w:rPr>
      </w:pPr>
    </w:p>
    <w:p w14:paraId="0BE0A222" w14:textId="275BB50D" w:rsidR="009260DE" w:rsidRPr="00C84483" w:rsidRDefault="00C0758E" w:rsidP="009260DE">
      <w:pPr>
        <w:jc w:val="center"/>
        <w:rPr>
          <w:b/>
          <w:sz w:val="24"/>
          <w:szCs w:val="24"/>
        </w:rPr>
      </w:pPr>
      <w:r>
        <w:rPr>
          <w:b/>
          <w:sz w:val="24"/>
          <w:szCs w:val="24"/>
        </w:rPr>
        <w:t>Nil</w:t>
      </w:r>
      <w:r w:rsidR="00F937B5">
        <w:rPr>
          <w:b/>
          <w:sz w:val="24"/>
          <w:szCs w:val="24"/>
        </w:rPr>
        <w:t>l</w:t>
      </w:r>
      <w:r>
        <w:rPr>
          <w:b/>
          <w:sz w:val="24"/>
          <w:szCs w:val="24"/>
        </w:rPr>
        <w:t>eto, pulver og solvens til injektionsvæske, opløsning</w:t>
      </w:r>
    </w:p>
    <w:p w14:paraId="43B89DF6" w14:textId="77777777" w:rsidR="009260DE" w:rsidRPr="00C84483" w:rsidRDefault="009260DE" w:rsidP="009260DE">
      <w:pPr>
        <w:jc w:val="both"/>
        <w:rPr>
          <w:sz w:val="24"/>
          <w:szCs w:val="24"/>
        </w:rPr>
      </w:pPr>
    </w:p>
    <w:p w14:paraId="1C90B545" w14:textId="77777777" w:rsidR="009260DE" w:rsidRPr="00C84483" w:rsidRDefault="009260DE" w:rsidP="009260DE">
      <w:pPr>
        <w:jc w:val="both"/>
        <w:rPr>
          <w:sz w:val="24"/>
          <w:szCs w:val="24"/>
        </w:rPr>
      </w:pPr>
    </w:p>
    <w:p w14:paraId="7686D5CE" w14:textId="77777777" w:rsidR="009260DE" w:rsidRPr="00C84483" w:rsidRDefault="009260DE" w:rsidP="009260DE">
      <w:pPr>
        <w:tabs>
          <w:tab w:val="left" w:pos="851"/>
        </w:tabs>
        <w:ind w:left="851" w:hanging="851"/>
        <w:rPr>
          <w:b/>
          <w:sz w:val="24"/>
          <w:szCs w:val="24"/>
        </w:rPr>
      </w:pPr>
      <w:r w:rsidRPr="00C84483">
        <w:rPr>
          <w:b/>
          <w:sz w:val="24"/>
          <w:szCs w:val="24"/>
        </w:rPr>
        <w:t>0.</w:t>
      </w:r>
      <w:r w:rsidRPr="00C84483">
        <w:rPr>
          <w:b/>
          <w:sz w:val="24"/>
          <w:szCs w:val="24"/>
        </w:rPr>
        <w:tab/>
        <w:t>D.SP.NR.</w:t>
      </w:r>
    </w:p>
    <w:p w14:paraId="2DC53374" w14:textId="77777777" w:rsidR="009260DE" w:rsidRPr="00C84483" w:rsidRDefault="00C0758E" w:rsidP="009260DE">
      <w:pPr>
        <w:tabs>
          <w:tab w:val="left" w:pos="851"/>
        </w:tabs>
        <w:ind w:left="851"/>
        <w:rPr>
          <w:sz w:val="24"/>
          <w:szCs w:val="24"/>
        </w:rPr>
      </w:pPr>
      <w:r>
        <w:rPr>
          <w:sz w:val="24"/>
          <w:szCs w:val="24"/>
        </w:rPr>
        <w:t>34207</w:t>
      </w:r>
    </w:p>
    <w:p w14:paraId="0153A71C" w14:textId="77777777" w:rsidR="009260DE" w:rsidRPr="00C84483" w:rsidRDefault="009260DE" w:rsidP="009260DE">
      <w:pPr>
        <w:tabs>
          <w:tab w:val="left" w:pos="851"/>
        </w:tabs>
        <w:ind w:left="851"/>
        <w:rPr>
          <w:sz w:val="24"/>
          <w:szCs w:val="24"/>
        </w:rPr>
      </w:pPr>
    </w:p>
    <w:p w14:paraId="013E98F8" w14:textId="77777777" w:rsidR="009260DE" w:rsidRPr="00C84483" w:rsidRDefault="009260DE" w:rsidP="009260DE">
      <w:pPr>
        <w:tabs>
          <w:tab w:val="left" w:pos="851"/>
        </w:tabs>
        <w:ind w:left="851" w:hanging="851"/>
        <w:rPr>
          <w:b/>
          <w:sz w:val="24"/>
          <w:szCs w:val="24"/>
        </w:rPr>
      </w:pPr>
      <w:r w:rsidRPr="00C84483">
        <w:rPr>
          <w:b/>
          <w:sz w:val="24"/>
          <w:szCs w:val="24"/>
        </w:rPr>
        <w:t>1.</w:t>
      </w:r>
      <w:r w:rsidRPr="00C84483">
        <w:rPr>
          <w:b/>
          <w:sz w:val="24"/>
          <w:szCs w:val="24"/>
        </w:rPr>
        <w:tab/>
        <w:t>LÆGEMIDLETS NAVN</w:t>
      </w:r>
    </w:p>
    <w:p w14:paraId="597F139F" w14:textId="77777777" w:rsidR="009260DE" w:rsidRPr="00C84483" w:rsidRDefault="00C0758E" w:rsidP="009260DE">
      <w:pPr>
        <w:tabs>
          <w:tab w:val="left" w:pos="851"/>
        </w:tabs>
        <w:ind w:left="851"/>
        <w:rPr>
          <w:sz w:val="24"/>
          <w:szCs w:val="24"/>
        </w:rPr>
      </w:pPr>
      <w:r>
        <w:rPr>
          <w:sz w:val="24"/>
          <w:szCs w:val="24"/>
        </w:rPr>
        <w:t>Nilleto</w:t>
      </w:r>
    </w:p>
    <w:p w14:paraId="7B20A292" w14:textId="77777777" w:rsidR="009260DE" w:rsidRPr="00C84483" w:rsidRDefault="009260DE" w:rsidP="009260DE">
      <w:pPr>
        <w:tabs>
          <w:tab w:val="left" w:pos="851"/>
        </w:tabs>
        <w:ind w:left="851"/>
        <w:rPr>
          <w:sz w:val="24"/>
          <w:szCs w:val="24"/>
        </w:rPr>
      </w:pPr>
    </w:p>
    <w:p w14:paraId="2E09AA89" w14:textId="77777777" w:rsidR="009260DE" w:rsidRPr="00C84483" w:rsidRDefault="009260DE" w:rsidP="009260DE">
      <w:pPr>
        <w:tabs>
          <w:tab w:val="left" w:pos="851"/>
        </w:tabs>
        <w:ind w:left="851" w:hanging="851"/>
        <w:rPr>
          <w:b/>
          <w:sz w:val="24"/>
          <w:szCs w:val="24"/>
        </w:rPr>
      </w:pPr>
      <w:r w:rsidRPr="00C84483">
        <w:rPr>
          <w:b/>
          <w:sz w:val="24"/>
          <w:szCs w:val="24"/>
        </w:rPr>
        <w:t>2.</w:t>
      </w:r>
      <w:r w:rsidRPr="00C84483">
        <w:rPr>
          <w:b/>
          <w:sz w:val="24"/>
          <w:szCs w:val="24"/>
        </w:rPr>
        <w:tab/>
        <w:t>KVALITATIV OG KVANTITATIV SAMMENSÆTNING</w:t>
      </w:r>
    </w:p>
    <w:p w14:paraId="43E00809" w14:textId="77777777" w:rsidR="00C0758E" w:rsidRDefault="00C0758E" w:rsidP="00C0758E">
      <w:pPr>
        <w:tabs>
          <w:tab w:val="left" w:pos="851"/>
        </w:tabs>
        <w:ind w:left="851"/>
        <w:rPr>
          <w:sz w:val="24"/>
          <w:szCs w:val="24"/>
        </w:rPr>
      </w:pPr>
      <w:r w:rsidRPr="00C0758E">
        <w:rPr>
          <w:sz w:val="24"/>
          <w:szCs w:val="24"/>
        </w:rPr>
        <w:t>Et hætteglas med pulver indeholder 5 mg teduglutid.</w:t>
      </w:r>
    </w:p>
    <w:p w14:paraId="04A118F1" w14:textId="77777777" w:rsidR="00C0758E" w:rsidRPr="00C0758E" w:rsidRDefault="00C0758E" w:rsidP="00C0758E">
      <w:pPr>
        <w:tabs>
          <w:tab w:val="left" w:pos="851"/>
        </w:tabs>
        <w:ind w:left="851"/>
        <w:rPr>
          <w:sz w:val="24"/>
          <w:szCs w:val="24"/>
        </w:rPr>
      </w:pPr>
    </w:p>
    <w:p w14:paraId="33467698" w14:textId="77777777" w:rsidR="00C0758E" w:rsidRPr="00C0758E" w:rsidRDefault="00C0758E" w:rsidP="00C0758E">
      <w:pPr>
        <w:tabs>
          <w:tab w:val="left" w:pos="851"/>
        </w:tabs>
        <w:ind w:left="851"/>
        <w:rPr>
          <w:sz w:val="24"/>
          <w:szCs w:val="24"/>
        </w:rPr>
      </w:pPr>
      <w:r w:rsidRPr="00C0758E">
        <w:rPr>
          <w:sz w:val="24"/>
          <w:szCs w:val="24"/>
        </w:rPr>
        <w:t>Efter rekonstitution indeholder 1 hætteglas 5 mg teduglutid i 0,5 ml injektionsvæske, svarende til en koncentration på 10 mg/ml.</w:t>
      </w:r>
    </w:p>
    <w:p w14:paraId="31408308" w14:textId="77777777" w:rsidR="00C0758E" w:rsidRPr="00C0758E" w:rsidRDefault="00C0758E" w:rsidP="00C0758E">
      <w:pPr>
        <w:tabs>
          <w:tab w:val="left" w:pos="851"/>
        </w:tabs>
        <w:ind w:left="851"/>
        <w:rPr>
          <w:sz w:val="24"/>
          <w:szCs w:val="24"/>
        </w:rPr>
      </w:pPr>
    </w:p>
    <w:p w14:paraId="12EF8D45" w14:textId="77777777" w:rsidR="00C0758E" w:rsidRPr="00C0758E" w:rsidRDefault="00C0758E" w:rsidP="00C0758E">
      <w:pPr>
        <w:tabs>
          <w:tab w:val="left" w:pos="851"/>
        </w:tabs>
        <w:ind w:left="851"/>
        <w:rPr>
          <w:sz w:val="24"/>
          <w:szCs w:val="24"/>
        </w:rPr>
      </w:pPr>
      <w:r w:rsidRPr="00C0758E">
        <w:rPr>
          <w:sz w:val="24"/>
          <w:szCs w:val="24"/>
        </w:rPr>
        <w:t>Alle hjælpestoffer er anført under pkt. 6.1.</w:t>
      </w:r>
    </w:p>
    <w:p w14:paraId="0B0B4EDC" w14:textId="77777777" w:rsidR="009260DE" w:rsidRPr="00C84483" w:rsidRDefault="009260DE" w:rsidP="009260DE">
      <w:pPr>
        <w:tabs>
          <w:tab w:val="left" w:pos="851"/>
        </w:tabs>
        <w:ind w:left="851"/>
        <w:rPr>
          <w:sz w:val="24"/>
          <w:szCs w:val="24"/>
        </w:rPr>
      </w:pPr>
    </w:p>
    <w:p w14:paraId="4BDD09A4" w14:textId="77777777" w:rsidR="009260DE" w:rsidRPr="00C84483" w:rsidRDefault="009260DE" w:rsidP="009260DE">
      <w:pPr>
        <w:tabs>
          <w:tab w:val="left" w:pos="851"/>
        </w:tabs>
        <w:ind w:left="851" w:hanging="851"/>
        <w:rPr>
          <w:b/>
          <w:sz w:val="24"/>
          <w:szCs w:val="24"/>
        </w:rPr>
      </w:pPr>
      <w:r w:rsidRPr="00C84483">
        <w:rPr>
          <w:b/>
          <w:sz w:val="24"/>
          <w:szCs w:val="24"/>
        </w:rPr>
        <w:t>3.</w:t>
      </w:r>
      <w:r w:rsidRPr="00C84483">
        <w:rPr>
          <w:b/>
          <w:sz w:val="24"/>
          <w:szCs w:val="24"/>
        </w:rPr>
        <w:tab/>
        <w:t>LÆGEMIDDELFORM</w:t>
      </w:r>
    </w:p>
    <w:p w14:paraId="79C7A97F" w14:textId="77777777" w:rsidR="00C0758E" w:rsidRPr="00C0758E" w:rsidRDefault="00C0758E" w:rsidP="00C0758E">
      <w:pPr>
        <w:tabs>
          <w:tab w:val="left" w:pos="851"/>
        </w:tabs>
        <w:ind w:left="851"/>
        <w:rPr>
          <w:sz w:val="24"/>
          <w:szCs w:val="24"/>
        </w:rPr>
      </w:pPr>
      <w:r w:rsidRPr="00C0758E">
        <w:rPr>
          <w:sz w:val="24"/>
          <w:szCs w:val="24"/>
        </w:rPr>
        <w:t>Pulver og solvens til injektionsvæske, opløsning</w:t>
      </w:r>
    </w:p>
    <w:p w14:paraId="7BBE73EE" w14:textId="77777777" w:rsidR="00C0758E" w:rsidRPr="00C0758E" w:rsidRDefault="00C0758E" w:rsidP="00C0758E">
      <w:pPr>
        <w:tabs>
          <w:tab w:val="left" w:pos="851"/>
        </w:tabs>
        <w:ind w:left="851"/>
        <w:rPr>
          <w:sz w:val="24"/>
          <w:szCs w:val="24"/>
        </w:rPr>
      </w:pPr>
    </w:p>
    <w:p w14:paraId="547268F8" w14:textId="77777777" w:rsidR="00C0758E" w:rsidRPr="00C0758E" w:rsidRDefault="00C0758E" w:rsidP="00C0758E">
      <w:pPr>
        <w:tabs>
          <w:tab w:val="left" w:pos="851"/>
        </w:tabs>
        <w:ind w:left="851"/>
        <w:rPr>
          <w:sz w:val="24"/>
          <w:szCs w:val="24"/>
        </w:rPr>
      </w:pPr>
      <w:r w:rsidRPr="00C0758E">
        <w:rPr>
          <w:sz w:val="24"/>
          <w:szCs w:val="24"/>
        </w:rPr>
        <w:t>Pulveret er hvidt, og solvensen er klar og farveløs.</w:t>
      </w:r>
    </w:p>
    <w:p w14:paraId="4431E782" w14:textId="77777777" w:rsidR="009260DE" w:rsidRPr="00C84483" w:rsidRDefault="009260DE" w:rsidP="009260DE">
      <w:pPr>
        <w:tabs>
          <w:tab w:val="left" w:pos="851"/>
        </w:tabs>
        <w:ind w:left="851"/>
        <w:rPr>
          <w:sz w:val="24"/>
          <w:szCs w:val="24"/>
        </w:rPr>
      </w:pPr>
    </w:p>
    <w:p w14:paraId="498B31E7" w14:textId="77777777" w:rsidR="009260DE" w:rsidRPr="00C84483" w:rsidRDefault="009260DE" w:rsidP="009260DE">
      <w:pPr>
        <w:tabs>
          <w:tab w:val="left" w:pos="851"/>
        </w:tabs>
        <w:ind w:left="851"/>
        <w:rPr>
          <w:sz w:val="24"/>
          <w:szCs w:val="24"/>
        </w:rPr>
      </w:pPr>
    </w:p>
    <w:p w14:paraId="7C065649" w14:textId="77777777" w:rsidR="009260DE" w:rsidRPr="00C84483" w:rsidRDefault="009260DE" w:rsidP="009260DE">
      <w:pPr>
        <w:tabs>
          <w:tab w:val="left" w:pos="851"/>
        </w:tabs>
        <w:ind w:left="851" w:hanging="851"/>
        <w:rPr>
          <w:b/>
          <w:sz w:val="24"/>
          <w:szCs w:val="24"/>
        </w:rPr>
      </w:pPr>
      <w:r w:rsidRPr="00C84483">
        <w:rPr>
          <w:b/>
          <w:sz w:val="24"/>
          <w:szCs w:val="24"/>
        </w:rPr>
        <w:t>4.</w:t>
      </w:r>
      <w:r w:rsidRPr="00C84483">
        <w:rPr>
          <w:b/>
          <w:sz w:val="24"/>
          <w:szCs w:val="24"/>
        </w:rPr>
        <w:tab/>
        <w:t>KLINISKE OPLYSNINGER</w:t>
      </w:r>
    </w:p>
    <w:p w14:paraId="1A2939E4" w14:textId="77777777" w:rsidR="009260DE" w:rsidRPr="00C84483" w:rsidRDefault="009260DE" w:rsidP="009260DE">
      <w:pPr>
        <w:tabs>
          <w:tab w:val="left" w:pos="851"/>
        </w:tabs>
        <w:ind w:left="851"/>
        <w:rPr>
          <w:b/>
          <w:sz w:val="24"/>
          <w:szCs w:val="24"/>
        </w:rPr>
      </w:pPr>
    </w:p>
    <w:p w14:paraId="3A9E8D9C" w14:textId="77777777" w:rsidR="009260DE" w:rsidRPr="00C84483" w:rsidRDefault="009260DE" w:rsidP="009260DE">
      <w:pPr>
        <w:tabs>
          <w:tab w:val="left" w:pos="851"/>
        </w:tabs>
        <w:ind w:left="851" w:hanging="851"/>
        <w:rPr>
          <w:b/>
          <w:sz w:val="24"/>
          <w:szCs w:val="24"/>
          <w:u w:val="single"/>
        </w:rPr>
      </w:pPr>
      <w:r w:rsidRPr="00C84483">
        <w:rPr>
          <w:b/>
          <w:sz w:val="24"/>
          <w:szCs w:val="24"/>
        </w:rPr>
        <w:t>4.1</w:t>
      </w:r>
      <w:r w:rsidRPr="00C84483">
        <w:rPr>
          <w:b/>
          <w:sz w:val="24"/>
          <w:szCs w:val="24"/>
        </w:rPr>
        <w:tab/>
        <w:t>Terapeutiske indikationer</w:t>
      </w:r>
    </w:p>
    <w:p w14:paraId="6FAB72D5" w14:textId="77777777" w:rsidR="00C0758E" w:rsidRPr="00C0758E" w:rsidRDefault="00C0758E" w:rsidP="00C0758E">
      <w:pPr>
        <w:tabs>
          <w:tab w:val="left" w:pos="851"/>
        </w:tabs>
        <w:ind w:left="851"/>
        <w:rPr>
          <w:sz w:val="24"/>
          <w:szCs w:val="24"/>
        </w:rPr>
      </w:pPr>
      <w:r w:rsidRPr="00C0758E">
        <w:rPr>
          <w:sz w:val="24"/>
          <w:szCs w:val="24"/>
        </w:rPr>
        <w:t>Nilleto er indiceret til behandling af patienter på 4 måneders korrigeret svangerskabsalder og derover med korttarmssyndrom (</w:t>
      </w:r>
      <w:r w:rsidRPr="00C0758E">
        <w:rPr>
          <w:i/>
          <w:sz w:val="24"/>
          <w:szCs w:val="24"/>
        </w:rPr>
        <w:t xml:space="preserve">short bowel syndrome, </w:t>
      </w:r>
      <w:r w:rsidRPr="00C0758E">
        <w:rPr>
          <w:sz w:val="24"/>
          <w:szCs w:val="24"/>
        </w:rPr>
        <w:t>SBS). Patienten skal være stabil, og tarmen skal have adapteret sig post-operativt.</w:t>
      </w:r>
    </w:p>
    <w:p w14:paraId="1F615B6E" w14:textId="77777777" w:rsidR="009260DE" w:rsidRPr="00C84483" w:rsidRDefault="009260DE" w:rsidP="009260DE">
      <w:pPr>
        <w:tabs>
          <w:tab w:val="left" w:pos="851"/>
        </w:tabs>
        <w:ind w:left="851"/>
        <w:rPr>
          <w:sz w:val="24"/>
          <w:szCs w:val="24"/>
        </w:rPr>
      </w:pPr>
    </w:p>
    <w:p w14:paraId="74FD3CC9" w14:textId="77777777" w:rsidR="009260DE" w:rsidRPr="00C84483" w:rsidRDefault="009260DE" w:rsidP="009260DE">
      <w:pPr>
        <w:tabs>
          <w:tab w:val="left" w:pos="851"/>
        </w:tabs>
        <w:ind w:left="851" w:hanging="851"/>
        <w:rPr>
          <w:b/>
          <w:sz w:val="24"/>
          <w:szCs w:val="24"/>
        </w:rPr>
      </w:pPr>
      <w:r w:rsidRPr="00C84483">
        <w:rPr>
          <w:b/>
          <w:sz w:val="24"/>
          <w:szCs w:val="24"/>
        </w:rPr>
        <w:t>4.2</w:t>
      </w:r>
      <w:r w:rsidRPr="00C84483">
        <w:rPr>
          <w:b/>
          <w:sz w:val="24"/>
          <w:szCs w:val="24"/>
        </w:rPr>
        <w:tab/>
        <w:t xml:space="preserve">Dosering og </w:t>
      </w:r>
      <w:r w:rsidR="002C1EC0">
        <w:rPr>
          <w:b/>
          <w:sz w:val="24"/>
          <w:szCs w:val="24"/>
        </w:rPr>
        <w:t>administration</w:t>
      </w:r>
    </w:p>
    <w:p w14:paraId="3211E335" w14:textId="77777777" w:rsidR="00C0758E" w:rsidRPr="00CD50D5" w:rsidRDefault="00C0758E" w:rsidP="00CD50D5">
      <w:pPr>
        <w:pStyle w:val="Brdtekst"/>
        <w:ind w:left="851"/>
        <w:rPr>
          <w:spacing w:val="-2"/>
          <w:sz w:val="24"/>
          <w:szCs w:val="24"/>
        </w:rPr>
      </w:pPr>
      <w:r w:rsidRPr="00CD50D5">
        <w:rPr>
          <w:sz w:val="24"/>
          <w:szCs w:val="24"/>
        </w:rPr>
        <w:t>Behandlingen</w:t>
      </w:r>
      <w:r w:rsidRPr="00CD50D5">
        <w:rPr>
          <w:spacing w:val="-4"/>
          <w:sz w:val="24"/>
          <w:szCs w:val="24"/>
        </w:rPr>
        <w:t xml:space="preserve"> </w:t>
      </w:r>
      <w:r w:rsidRPr="00CD50D5">
        <w:rPr>
          <w:sz w:val="24"/>
          <w:szCs w:val="24"/>
        </w:rPr>
        <w:t>skal</w:t>
      </w:r>
      <w:r w:rsidRPr="00CD50D5">
        <w:rPr>
          <w:spacing w:val="-6"/>
          <w:sz w:val="24"/>
          <w:szCs w:val="24"/>
        </w:rPr>
        <w:t xml:space="preserve"> </w:t>
      </w:r>
      <w:r w:rsidRPr="00CD50D5">
        <w:rPr>
          <w:sz w:val="24"/>
          <w:szCs w:val="24"/>
        </w:rPr>
        <w:t>varetages</w:t>
      </w:r>
      <w:r w:rsidRPr="00CD50D5">
        <w:rPr>
          <w:spacing w:val="-3"/>
          <w:sz w:val="24"/>
          <w:szCs w:val="24"/>
        </w:rPr>
        <w:t xml:space="preserve"> </w:t>
      </w:r>
      <w:r w:rsidRPr="00CD50D5">
        <w:rPr>
          <w:sz w:val="24"/>
          <w:szCs w:val="24"/>
        </w:rPr>
        <w:t>af</w:t>
      </w:r>
      <w:r w:rsidRPr="00CD50D5">
        <w:rPr>
          <w:spacing w:val="-9"/>
          <w:sz w:val="24"/>
          <w:szCs w:val="24"/>
        </w:rPr>
        <w:t xml:space="preserve"> </w:t>
      </w:r>
      <w:r w:rsidRPr="00CD50D5">
        <w:rPr>
          <w:sz w:val="24"/>
          <w:szCs w:val="24"/>
        </w:rPr>
        <w:t>sundhedspersonale</w:t>
      </w:r>
      <w:r w:rsidRPr="00CD50D5">
        <w:rPr>
          <w:spacing w:val="-8"/>
          <w:sz w:val="24"/>
          <w:szCs w:val="24"/>
        </w:rPr>
        <w:t xml:space="preserve"> </w:t>
      </w:r>
      <w:r w:rsidRPr="00CD50D5">
        <w:rPr>
          <w:sz w:val="24"/>
          <w:szCs w:val="24"/>
        </w:rPr>
        <w:t>med</w:t>
      </w:r>
      <w:r w:rsidRPr="00CD50D5">
        <w:rPr>
          <w:spacing w:val="-7"/>
          <w:sz w:val="24"/>
          <w:szCs w:val="24"/>
        </w:rPr>
        <w:t xml:space="preserve"> </w:t>
      </w:r>
      <w:r w:rsidRPr="00CD50D5">
        <w:rPr>
          <w:sz w:val="24"/>
          <w:szCs w:val="24"/>
        </w:rPr>
        <w:t>erfaring</w:t>
      </w:r>
      <w:r w:rsidRPr="00CD50D5">
        <w:rPr>
          <w:spacing w:val="-9"/>
          <w:sz w:val="24"/>
          <w:szCs w:val="24"/>
        </w:rPr>
        <w:t xml:space="preserve"> </w:t>
      </w:r>
      <w:r w:rsidRPr="00CD50D5">
        <w:rPr>
          <w:sz w:val="24"/>
          <w:szCs w:val="24"/>
        </w:rPr>
        <w:t>i</w:t>
      </w:r>
      <w:r w:rsidRPr="00CD50D5">
        <w:rPr>
          <w:spacing w:val="-4"/>
          <w:sz w:val="24"/>
          <w:szCs w:val="24"/>
        </w:rPr>
        <w:t xml:space="preserve"> </w:t>
      </w:r>
      <w:r w:rsidRPr="00CD50D5">
        <w:rPr>
          <w:sz w:val="24"/>
          <w:szCs w:val="24"/>
        </w:rPr>
        <w:t>behandling</w:t>
      </w:r>
      <w:r w:rsidRPr="00CD50D5">
        <w:rPr>
          <w:spacing w:val="-8"/>
          <w:sz w:val="24"/>
          <w:szCs w:val="24"/>
        </w:rPr>
        <w:t xml:space="preserve"> </w:t>
      </w:r>
      <w:r w:rsidRPr="00CD50D5">
        <w:rPr>
          <w:sz w:val="24"/>
          <w:szCs w:val="24"/>
        </w:rPr>
        <w:t>af</w:t>
      </w:r>
      <w:r w:rsidRPr="00CD50D5">
        <w:rPr>
          <w:spacing w:val="-9"/>
          <w:sz w:val="24"/>
          <w:szCs w:val="24"/>
        </w:rPr>
        <w:t xml:space="preserve"> </w:t>
      </w:r>
      <w:r w:rsidRPr="00CD50D5">
        <w:rPr>
          <w:sz w:val="24"/>
          <w:szCs w:val="24"/>
        </w:rPr>
        <w:t xml:space="preserve">korttarmssyndrom </w:t>
      </w:r>
      <w:r w:rsidRPr="00CD50D5">
        <w:rPr>
          <w:spacing w:val="-2"/>
          <w:sz w:val="24"/>
          <w:szCs w:val="24"/>
        </w:rPr>
        <w:t>(SBS).</w:t>
      </w:r>
    </w:p>
    <w:p w14:paraId="73462937" w14:textId="77777777" w:rsidR="00C0758E" w:rsidRPr="00CD50D5" w:rsidRDefault="00C0758E" w:rsidP="00CD50D5">
      <w:pPr>
        <w:pStyle w:val="Brdtekst"/>
        <w:ind w:left="851"/>
        <w:rPr>
          <w:sz w:val="24"/>
          <w:szCs w:val="24"/>
        </w:rPr>
      </w:pPr>
    </w:p>
    <w:p w14:paraId="65A80F53" w14:textId="77777777" w:rsidR="00C0758E" w:rsidRPr="00CD50D5" w:rsidRDefault="00C0758E" w:rsidP="00CD50D5">
      <w:pPr>
        <w:pStyle w:val="Brdtekst"/>
        <w:ind w:left="851"/>
        <w:rPr>
          <w:sz w:val="24"/>
          <w:szCs w:val="24"/>
        </w:rPr>
      </w:pPr>
      <w:r w:rsidRPr="00CD50D5">
        <w:rPr>
          <w:sz w:val="24"/>
          <w:szCs w:val="24"/>
        </w:rPr>
        <w:t>Behandlingen</w:t>
      </w:r>
      <w:r w:rsidRPr="00CD50D5">
        <w:rPr>
          <w:spacing w:val="-4"/>
          <w:sz w:val="24"/>
          <w:szCs w:val="24"/>
        </w:rPr>
        <w:t xml:space="preserve"> </w:t>
      </w:r>
      <w:r w:rsidRPr="00CD50D5">
        <w:rPr>
          <w:sz w:val="24"/>
          <w:szCs w:val="24"/>
        </w:rPr>
        <w:t>bør</w:t>
      </w:r>
      <w:r w:rsidRPr="00CD50D5">
        <w:rPr>
          <w:spacing w:val="-4"/>
          <w:sz w:val="24"/>
          <w:szCs w:val="24"/>
        </w:rPr>
        <w:t xml:space="preserve"> </w:t>
      </w:r>
      <w:r w:rsidRPr="00CD50D5">
        <w:rPr>
          <w:sz w:val="24"/>
          <w:szCs w:val="24"/>
        </w:rPr>
        <w:t>ikke</w:t>
      </w:r>
      <w:r w:rsidRPr="00CD50D5">
        <w:rPr>
          <w:spacing w:val="-3"/>
          <w:sz w:val="24"/>
          <w:szCs w:val="24"/>
        </w:rPr>
        <w:t xml:space="preserve"> </w:t>
      </w:r>
      <w:r w:rsidRPr="00CD50D5">
        <w:rPr>
          <w:sz w:val="24"/>
          <w:szCs w:val="24"/>
        </w:rPr>
        <w:t>påbegyndes,</w:t>
      </w:r>
      <w:r w:rsidRPr="00CD50D5">
        <w:rPr>
          <w:spacing w:val="-4"/>
          <w:sz w:val="24"/>
          <w:szCs w:val="24"/>
        </w:rPr>
        <w:t xml:space="preserve"> </w:t>
      </w:r>
      <w:r w:rsidRPr="00CD50D5">
        <w:rPr>
          <w:sz w:val="24"/>
          <w:szCs w:val="24"/>
        </w:rPr>
        <w:t>før</w:t>
      </w:r>
      <w:r w:rsidRPr="00CD50D5">
        <w:rPr>
          <w:spacing w:val="-4"/>
          <w:sz w:val="24"/>
          <w:szCs w:val="24"/>
        </w:rPr>
        <w:t xml:space="preserve"> </w:t>
      </w:r>
      <w:r w:rsidRPr="00CD50D5">
        <w:rPr>
          <w:sz w:val="24"/>
          <w:szCs w:val="24"/>
        </w:rPr>
        <w:t>det</w:t>
      </w:r>
      <w:r w:rsidRPr="00CD50D5">
        <w:rPr>
          <w:spacing w:val="-1"/>
          <w:sz w:val="24"/>
          <w:szCs w:val="24"/>
        </w:rPr>
        <w:t xml:space="preserve"> </w:t>
      </w:r>
      <w:r w:rsidRPr="00CD50D5">
        <w:rPr>
          <w:sz w:val="24"/>
          <w:szCs w:val="24"/>
        </w:rPr>
        <w:t>er</w:t>
      </w:r>
      <w:r w:rsidRPr="00CD50D5">
        <w:rPr>
          <w:spacing w:val="-4"/>
          <w:sz w:val="24"/>
          <w:szCs w:val="24"/>
        </w:rPr>
        <w:t xml:space="preserve"> </w:t>
      </w:r>
      <w:r w:rsidRPr="00CD50D5">
        <w:rPr>
          <w:sz w:val="24"/>
          <w:szCs w:val="24"/>
        </w:rPr>
        <w:t>rimeligt</w:t>
      </w:r>
      <w:r w:rsidRPr="00CD50D5">
        <w:rPr>
          <w:spacing w:val="-5"/>
          <w:sz w:val="24"/>
          <w:szCs w:val="24"/>
        </w:rPr>
        <w:t xml:space="preserve"> </w:t>
      </w:r>
      <w:r w:rsidRPr="00CD50D5">
        <w:rPr>
          <w:sz w:val="24"/>
          <w:szCs w:val="24"/>
        </w:rPr>
        <w:t>at</w:t>
      </w:r>
      <w:r w:rsidRPr="00CD50D5">
        <w:rPr>
          <w:spacing w:val="-4"/>
          <w:sz w:val="24"/>
          <w:szCs w:val="24"/>
        </w:rPr>
        <w:t xml:space="preserve"> </w:t>
      </w:r>
      <w:r w:rsidRPr="00CD50D5">
        <w:rPr>
          <w:sz w:val="24"/>
          <w:szCs w:val="24"/>
        </w:rPr>
        <w:t>antage,</w:t>
      </w:r>
      <w:r w:rsidRPr="00CD50D5">
        <w:rPr>
          <w:spacing w:val="-4"/>
          <w:sz w:val="24"/>
          <w:szCs w:val="24"/>
        </w:rPr>
        <w:t xml:space="preserve"> </w:t>
      </w:r>
      <w:r w:rsidRPr="00CD50D5">
        <w:rPr>
          <w:sz w:val="24"/>
          <w:szCs w:val="24"/>
        </w:rPr>
        <w:t>at</w:t>
      </w:r>
      <w:r w:rsidRPr="00CD50D5">
        <w:rPr>
          <w:spacing w:val="-4"/>
          <w:sz w:val="24"/>
          <w:szCs w:val="24"/>
        </w:rPr>
        <w:t xml:space="preserve"> </w:t>
      </w:r>
      <w:r w:rsidRPr="00CD50D5">
        <w:rPr>
          <w:sz w:val="24"/>
          <w:szCs w:val="24"/>
        </w:rPr>
        <w:t>patienten</w:t>
      </w:r>
      <w:r w:rsidRPr="00CD50D5">
        <w:rPr>
          <w:spacing w:val="-6"/>
          <w:sz w:val="24"/>
          <w:szCs w:val="24"/>
        </w:rPr>
        <w:t xml:space="preserve"> </w:t>
      </w:r>
      <w:r w:rsidRPr="00CD50D5">
        <w:rPr>
          <w:sz w:val="24"/>
          <w:szCs w:val="24"/>
        </w:rPr>
        <w:t>er</w:t>
      </w:r>
      <w:r w:rsidRPr="00CD50D5">
        <w:rPr>
          <w:spacing w:val="-4"/>
          <w:sz w:val="24"/>
          <w:szCs w:val="24"/>
        </w:rPr>
        <w:t xml:space="preserve"> </w:t>
      </w:r>
      <w:r w:rsidRPr="00CD50D5">
        <w:rPr>
          <w:sz w:val="24"/>
          <w:szCs w:val="24"/>
        </w:rPr>
        <w:t>stabil</w:t>
      </w:r>
      <w:r w:rsidRPr="00CD50D5">
        <w:rPr>
          <w:spacing w:val="-6"/>
          <w:sz w:val="24"/>
          <w:szCs w:val="24"/>
        </w:rPr>
        <w:t xml:space="preserve"> </w:t>
      </w:r>
      <w:r w:rsidRPr="00CD50D5">
        <w:rPr>
          <w:sz w:val="24"/>
          <w:szCs w:val="24"/>
        </w:rPr>
        <w:t>efter</w:t>
      </w:r>
      <w:r w:rsidRPr="00CD50D5">
        <w:rPr>
          <w:spacing w:val="-6"/>
          <w:sz w:val="24"/>
          <w:szCs w:val="24"/>
        </w:rPr>
        <w:t xml:space="preserve"> </w:t>
      </w:r>
      <w:r w:rsidRPr="00CD50D5">
        <w:rPr>
          <w:sz w:val="24"/>
          <w:szCs w:val="24"/>
        </w:rPr>
        <w:t>en</w:t>
      </w:r>
      <w:r w:rsidRPr="00CD50D5">
        <w:rPr>
          <w:spacing w:val="-5"/>
          <w:sz w:val="24"/>
          <w:szCs w:val="24"/>
        </w:rPr>
        <w:t xml:space="preserve"> </w:t>
      </w:r>
      <w:r w:rsidRPr="00CD50D5">
        <w:rPr>
          <w:sz w:val="24"/>
          <w:szCs w:val="24"/>
        </w:rPr>
        <w:t>periode, hvor tarmen har adapteret sig. Intravenøs væske og ernæring skal være optimeret og stabiliseret, før behandlingen påbegyndes.</w:t>
      </w:r>
    </w:p>
    <w:p w14:paraId="7B60D62A" w14:textId="77777777" w:rsidR="00C0758E" w:rsidRPr="00CD50D5" w:rsidRDefault="00C0758E" w:rsidP="00CD50D5">
      <w:pPr>
        <w:pStyle w:val="Brdtekst"/>
        <w:ind w:left="851"/>
        <w:rPr>
          <w:sz w:val="24"/>
          <w:szCs w:val="24"/>
        </w:rPr>
      </w:pPr>
    </w:p>
    <w:p w14:paraId="4D05027E" w14:textId="77777777" w:rsidR="00C0758E" w:rsidRPr="00CD50D5" w:rsidRDefault="00C0758E" w:rsidP="00CD50D5">
      <w:pPr>
        <w:pStyle w:val="Brdtekst"/>
        <w:ind w:left="851"/>
        <w:rPr>
          <w:sz w:val="24"/>
          <w:szCs w:val="24"/>
        </w:rPr>
      </w:pPr>
      <w:r w:rsidRPr="00CD50D5">
        <w:rPr>
          <w:sz w:val="24"/>
          <w:szCs w:val="24"/>
        </w:rPr>
        <w:t>Lægens kliniske vurdering bør indeholde individuelle mål for behandlingen og patientpræferencer. Behandlingen bør stoppes, hvis der ikke opnås en generel forbedring af patientens tilstand. Alle patienter</w:t>
      </w:r>
      <w:r w:rsidRPr="00CD50D5">
        <w:rPr>
          <w:spacing w:val="-8"/>
          <w:sz w:val="24"/>
          <w:szCs w:val="24"/>
        </w:rPr>
        <w:t xml:space="preserve"> </w:t>
      </w:r>
      <w:r w:rsidRPr="00CD50D5">
        <w:rPr>
          <w:sz w:val="24"/>
          <w:szCs w:val="24"/>
        </w:rPr>
        <w:t>skal</w:t>
      </w:r>
      <w:r w:rsidRPr="00CD50D5">
        <w:rPr>
          <w:spacing w:val="-4"/>
          <w:sz w:val="24"/>
          <w:szCs w:val="24"/>
        </w:rPr>
        <w:t xml:space="preserve"> </w:t>
      </w:r>
      <w:r w:rsidRPr="00CD50D5">
        <w:rPr>
          <w:sz w:val="24"/>
          <w:szCs w:val="24"/>
        </w:rPr>
        <w:t>løbende</w:t>
      </w:r>
      <w:r w:rsidRPr="00CD50D5">
        <w:rPr>
          <w:spacing w:val="-6"/>
          <w:sz w:val="24"/>
          <w:szCs w:val="24"/>
        </w:rPr>
        <w:t xml:space="preserve"> </w:t>
      </w:r>
      <w:r w:rsidRPr="00CD50D5">
        <w:rPr>
          <w:sz w:val="24"/>
          <w:szCs w:val="24"/>
        </w:rPr>
        <w:t>monitoreres</w:t>
      </w:r>
      <w:r w:rsidRPr="00CD50D5">
        <w:rPr>
          <w:spacing w:val="-4"/>
          <w:sz w:val="24"/>
          <w:szCs w:val="24"/>
        </w:rPr>
        <w:t xml:space="preserve"> </w:t>
      </w:r>
      <w:r w:rsidRPr="00CD50D5">
        <w:rPr>
          <w:sz w:val="24"/>
          <w:szCs w:val="24"/>
        </w:rPr>
        <w:t>tæt</w:t>
      </w:r>
      <w:r w:rsidRPr="00CD50D5">
        <w:rPr>
          <w:spacing w:val="-3"/>
          <w:sz w:val="24"/>
          <w:szCs w:val="24"/>
        </w:rPr>
        <w:t xml:space="preserve"> </w:t>
      </w:r>
      <w:r w:rsidRPr="00CD50D5">
        <w:rPr>
          <w:sz w:val="24"/>
          <w:szCs w:val="24"/>
        </w:rPr>
        <w:t>for</w:t>
      </w:r>
      <w:r w:rsidRPr="00CD50D5">
        <w:rPr>
          <w:spacing w:val="-4"/>
          <w:sz w:val="24"/>
          <w:szCs w:val="24"/>
        </w:rPr>
        <w:t xml:space="preserve"> </w:t>
      </w:r>
      <w:r w:rsidRPr="00CD50D5">
        <w:rPr>
          <w:sz w:val="24"/>
          <w:szCs w:val="24"/>
        </w:rPr>
        <w:t>effekt</w:t>
      </w:r>
      <w:r w:rsidRPr="00CD50D5">
        <w:rPr>
          <w:spacing w:val="-5"/>
          <w:sz w:val="24"/>
          <w:szCs w:val="24"/>
        </w:rPr>
        <w:t xml:space="preserve"> </w:t>
      </w:r>
      <w:r w:rsidRPr="00CD50D5">
        <w:rPr>
          <w:sz w:val="24"/>
          <w:szCs w:val="24"/>
        </w:rPr>
        <w:t>og</w:t>
      </w:r>
      <w:r w:rsidRPr="00CD50D5">
        <w:rPr>
          <w:spacing w:val="-5"/>
          <w:sz w:val="24"/>
          <w:szCs w:val="24"/>
        </w:rPr>
        <w:t xml:space="preserve"> </w:t>
      </w:r>
      <w:r w:rsidRPr="00CD50D5">
        <w:rPr>
          <w:sz w:val="24"/>
          <w:szCs w:val="24"/>
        </w:rPr>
        <w:t>sikkerhed</w:t>
      </w:r>
      <w:r w:rsidRPr="00CD50D5">
        <w:rPr>
          <w:spacing w:val="-2"/>
          <w:sz w:val="24"/>
          <w:szCs w:val="24"/>
        </w:rPr>
        <w:t xml:space="preserve"> </w:t>
      </w:r>
      <w:r w:rsidRPr="00CD50D5">
        <w:rPr>
          <w:sz w:val="24"/>
          <w:szCs w:val="24"/>
        </w:rPr>
        <w:t>i</w:t>
      </w:r>
      <w:r w:rsidRPr="00CD50D5">
        <w:rPr>
          <w:spacing w:val="-3"/>
          <w:sz w:val="24"/>
          <w:szCs w:val="24"/>
        </w:rPr>
        <w:t xml:space="preserve"> </w:t>
      </w:r>
      <w:r w:rsidRPr="00CD50D5">
        <w:rPr>
          <w:sz w:val="24"/>
          <w:szCs w:val="24"/>
        </w:rPr>
        <w:t>henhold</w:t>
      </w:r>
      <w:r w:rsidRPr="00CD50D5">
        <w:rPr>
          <w:spacing w:val="-9"/>
          <w:sz w:val="24"/>
          <w:szCs w:val="24"/>
        </w:rPr>
        <w:t xml:space="preserve"> </w:t>
      </w:r>
      <w:r w:rsidRPr="00CD50D5">
        <w:rPr>
          <w:sz w:val="24"/>
          <w:szCs w:val="24"/>
        </w:rPr>
        <w:t>til</w:t>
      </w:r>
      <w:r w:rsidRPr="00CD50D5">
        <w:rPr>
          <w:spacing w:val="-3"/>
          <w:sz w:val="24"/>
          <w:szCs w:val="24"/>
        </w:rPr>
        <w:t xml:space="preserve"> </w:t>
      </w:r>
      <w:r w:rsidRPr="00CD50D5">
        <w:rPr>
          <w:sz w:val="24"/>
          <w:szCs w:val="24"/>
        </w:rPr>
        <w:t>de</w:t>
      </w:r>
      <w:r w:rsidRPr="00CD50D5">
        <w:rPr>
          <w:spacing w:val="-7"/>
          <w:sz w:val="24"/>
          <w:szCs w:val="24"/>
        </w:rPr>
        <w:t xml:space="preserve"> </w:t>
      </w:r>
      <w:r w:rsidRPr="00CD50D5">
        <w:rPr>
          <w:sz w:val="24"/>
          <w:szCs w:val="24"/>
        </w:rPr>
        <w:t>kliniske</w:t>
      </w:r>
      <w:r w:rsidRPr="00CD50D5">
        <w:rPr>
          <w:spacing w:val="-6"/>
          <w:sz w:val="24"/>
          <w:szCs w:val="24"/>
        </w:rPr>
        <w:t xml:space="preserve"> </w:t>
      </w:r>
      <w:r w:rsidRPr="00CD50D5">
        <w:rPr>
          <w:sz w:val="24"/>
          <w:szCs w:val="24"/>
        </w:rPr>
        <w:t>retningslinjer</w:t>
      </w:r>
      <w:r w:rsidRPr="00CD50D5">
        <w:rPr>
          <w:spacing w:val="-4"/>
          <w:sz w:val="24"/>
          <w:szCs w:val="24"/>
        </w:rPr>
        <w:t xml:space="preserve"> </w:t>
      </w:r>
      <w:r w:rsidRPr="00CD50D5">
        <w:rPr>
          <w:sz w:val="24"/>
          <w:szCs w:val="24"/>
        </w:rPr>
        <w:t xml:space="preserve">for </w:t>
      </w:r>
      <w:r w:rsidRPr="00CD50D5">
        <w:rPr>
          <w:spacing w:val="-2"/>
          <w:sz w:val="24"/>
          <w:szCs w:val="24"/>
        </w:rPr>
        <w:t>behandlingen.</w:t>
      </w:r>
    </w:p>
    <w:p w14:paraId="543D71B7" w14:textId="77777777" w:rsidR="00C0758E" w:rsidRPr="00CD50D5" w:rsidRDefault="00C0758E" w:rsidP="00CD50D5">
      <w:pPr>
        <w:pStyle w:val="Brdtekst"/>
        <w:ind w:left="851"/>
        <w:rPr>
          <w:sz w:val="24"/>
          <w:szCs w:val="24"/>
        </w:rPr>
      </w:pPr>
    </w:p>
    <w:p w14:paraId="5440606E" w14:textId="77777777" w:rsidR="00C0758E" w:rsidRPr="00CD50D5" w:rsidRDefault="00C0758E" w:rsidP="00CD50D5">
      <w:pPr>
        <w:pStyle w:val="Brdtekst"/>
        <w:ind w:left="851"/>
        <w:rPr>
          <w:sz w:val="24"/>
          <w:szCs w:val="24"/>
        </w:rPr>
      </w:pPr>
      <w:r w:rsidRPr="00CD50D5">
        <w:rPr>
          <w:spacing w:val="-2"/>
          <w:sz w:val="24"/>
          <w:szCs w:val="24"/>
          <w:u w:val="single"/>
        </w:rPr>
        <w:t>Dosering</w:t>
      </w:r>
    </w:p>
    <w:p w14:paraId="44C04BD4" w14:textId="77777777" w:rsidR="00C0758E" w:rsidRPr="00CD50D5" w:rsidRDefault="00C0758E" w:rsidP="00CD50D5">
      <w:pPr>
        <w:pStyle w:val="Brdtekst"/>
        <w:ind w:left="851"/>
        <w:rPr>
          <w:sz w:val="24"/>
          <w:szCs w:val="24"/>
        </w:rPr>
      </w:pPr>
    </w:p>
    <w:p w14:paraId="2029E520" w14:textId="77777777" w:rsidR="00C0758E" w:rsidRPr="00211BF4" w:rsidRDefault="00C0758E" w:rsidP="00CD50D5">
      <w:pPr>
        <w:ind w:left="851"/>
        <w:rPr>
          <w:i/>
          <w:sz w:val="24"/>
          <w:szCs w:val="24"/>
        </w:rPr>
      </w:pPr>
      <w:r w:rsidRPr="00211BF4">
        <w:rPr>
          <w:i/>
          <w:spacing w:val="-2"/>
          <w:sz w:val="24"/>
          <w:szCs w:val="24"/>
        </w:rPr>
        <w:t>Voksne</w:t>
      </w:r>
    </w:p>
    <w:p w14:paraId="0247BFB1" w14:textId="77777777" w:rsidR="00C0758E" w:rsidRPr="00CD50D5" w:rsidRDefault="00C0758E" w:rsidP="00CD50D5">
      <w:pPr>
        <w:pStyle w:val="Brdtekst"/>
        <w:ind w:left="851"/>
        <w:rPr>
          <w:sz w:val="24"/>
          <w:szCs w:val="24"/>
        </w:rPr>
      </w:pPr>
      <w:r w:rsidRPr="00CD50D5">
        <w:rPr>
          <w:sz w:val="24"/>
          <w:szCs w:val="24"/>
        </w:rPr>
        <w:t>Den anbefalede dosis af Nilleto er 0,05 mg/kg kropsvægt 1 gang dagligt. Injektionsvoluminet i forhold til kropsvægt er angivet i tabel 1 nedenfor. Da populationen med korttarmssyndrom</w:t>
      </w:r>
      <w:r w:rsidRPr="00CD50D5">
        <w:rPr>
          <w:spacing w:val="-1"/>
          <w:sz w:val="24"/>
          <w:szCs w:val="24"/>
        </w:rPr>
        <w:t xml:space="preserve"> </w:t>
      </w:r>
      <w:r w:rsidRPr="00CD50D5">
        <w:rPr>
          <w:sz w:val="24"/>
          <w:szCs w:val="24"/>
        </w:rPr>
        <w:t>er</w:t>
      </w:r>
      <w:r w:rsidRPr="00CD50D5">
        <w:rPr>
          <w:spacing w:val="-2"/>
          <w:sz w:val="24"/>
          <w:szCs w:val="24"/>
        </w:rPr>
        <w:t xml:space="preserve"> </w:t>
      </w:r>
      <w:r w:rsidRPr="00CD50D5">
        <w:rPr>
          <w:sz w:val="24"/>
          <w:szCs w:val="24"/>
        </w:rPr>
        <w:t>meget</w:t>
      </w:r>
      <w:r w:rsidRPr="00CD50D5">
        <w:rPr>
          <w:spacing w:val="-4"/>
          <w:sz w:val="24"/>
          <w:szCs w:val="24"/>
        </w:rPr>
        <w:t xml:space="preserve"> </w:t>
      </w:r>
      <w:r w:rsidRPr="00CD50D5">
        <w:rPr>
          <w:sz w:val="24"/>
          <w:szCs w:val="24"/>
        </w:rPr>
        <w:t>heterogen,</w:t>
      </w:r>
      <w:r w:rsidRPr="00CD50D5">
        <w:rPr>
          <w:spacing w:val="-2"/>
          <w:sz w:val="24"/>
          <w:szCs w:val="24"/>
        </w:rPr>
        <w:t xml:space="preserve"> </w:t>
      </w:r>
      <w:r w:rsidRPr="00CD50D5">
        <w:rPr>
          <w:sz w:val="24"/>
          <w:szCs w:val="24"/>
        </w:rPr>
        <w:t>bør</w:t>
      </w:r>
      <w:r w:rsidRPr="00CD50D5">
        <w:rPr>
          <w:spacing w:val="-6"/>
          <w:sz w:val="24"/>
          <w:szCs w:val="24"/>
        </w:rPr>
        <w:t xml:space="preserve"> </w:t>
      </w:r>
      <w:r w:rsidRPr="00CD50D5">
        <w:rPr>
          <w:sz w:val="24"/>
          <w:szCs w:val="24"/>
        </w:rPr>
        <w:t>det</w:t>
      </w:r>
      <w:r w:rsidRPr="00CD50D5">
        <w:rPr>
          <w:spacing w:val="-3"/>
          <w:sz w:val="24"/>
          <w:szCs w:val="24"/>
        </w:rPr>
        <w:t xml:space="preserve"> </w:t>
      </w:r>
      <w:r w:rsidRPr="00CD50D5">
        <w:rPr>
          <w:sz w:val="24"/>
          <w:szCs w:val="24"/>
        </w:rPr>
        <w:t>vurderes,</w:t>
      </w:r>
      <w:r w:rsidRPr="00CD50D5">
        <w:rPr>
          <w:spacing w:val="-7"/>
          <w:sz w:val="24"/>
          <w:szCs w:val="24"/>
        </w:rPr>
        <w:t xml:space="preserve"> </w:t>
      </w:r>
      <w:r w:rsidRPr="00CD50D5">
        <w:rPr>
          <w:sz w:val="24"/>
          <w:szCs w:val="24"/>
        </w:rPr>
        <w:t>om</w:t>
      </w:r>
      <w:r w:rsidRPr="00CD50D5">
        <w:rPr>
          <w:spacing w:val="-4"/>
          <w:sz w:val="24"/>
          <w:szCs w:val="24"/>
        </w:rPr>
        <w:t xml:space="preserve"> </w:t>
      </w:r>
      <w:r w:rsidRPr="00CD50D5">
        <w:rPr>
          <w:sz w:val="24"/>
          <w:szCs w:val="24"/>
        </w:rPr>
        <w:t>en</w:t>
      </w:r>
      <w:r w:rsidRPr="00CD50D5">
        <w:rPr>
          <w:spacing w:val="-7"/>
          <w:sz w:val="24"/>
          <w:szCs w:val="24"/>
        </w:rPr>
        <w:t xml:space="preserve"> </w:t>
      </w:r>
      <w:r w:rsidRPr="00CD50D5">
        <w:rPr>
          <w:sz w:val="24"/>
          <w:szCs w:val="24"/>
        </w:rPr>
        <w:t>omhyggelig</w:t>
      </w:r>
      <w:r w:rsidRPr="00CD50D5">
        <w:rPr>
          <w:spacing w:val="-4"/>
          <w:sz w:val="24"/>
          <w:szCs w:val="24"/>
        </w:rPr>
        <w:t xml:space="preserve"> </w:t>
      </w:r>
      <w:r w:rsidRPr="00CD50D5">
        <w:rPr>
          <w:sz w:val="24"/>
          <w:szCs w:val="24"/>
        </w:rPr>
        <w:t>overvåget</w:t>
      </w:r>
      <w:r w:rsidRPr="00CD50D5">
        <w:rPr>
          <w:spacing w:val="-3"/>
          <w:sz w:val="24"/>
          <w:szCs w:val="24"/>
        </w:rPr>
        <w:t xml:space="preserve"> </w:t>
      </w:r>
      <w:r w:rsidRPr="00CD50D5">
        <w:rPr>
          <w:sz w:val="24"/>
          <w:szCs w:val="24"/>
        </w:rPr>
        <w:t>nedtitrering</w:t>
      </w:r>
      <w:r w:rsidRPr="00CD50D5">
        <w:rPr>
          <w:spacing w:val="-9"/>
          <w:sz w:val="24"/>
          <w:szCs w:val="24"/>
        </w:rPr>
        <w:t xml:space="preserve"> </w:t>
      </w:r>
      <w:r w:rsidRPr="00CD50D5">
        <w:rPr>
          <w:sz w:val="24"/>
          <w:szCs w:val="24"/>
        </w:rPr>
        <w:t>af daglig dosis bør foretages hos nogle patienter for at optimere behandlingstolerancen. Hvis en dosis glemmes, skal denne dosis injiceres så hurtigt som muligt samme dag.</w:t>
      </w:r>
    </w:p>
    <w:p w14:paraId="15918C38" w14:textId="77777777" w:rsidR="00C0758E" w:rsidRPr="00CD50D5" w:rsidRDefault="00C0758E" w:rsidP="00CD50D5">
      <w:pPr>
        <w:pStyle w:val="Brdtekst"/>
        <w:ind w:left="851"/>
        <w:rPr>
          <w:sz w:val="24"/>
          <w:szCs w:val="24"/>
        </w:rPr>
      </w:pPr>
      <w:r w:rsidRPr="00CD50D5">
        <w:rPr>
          <w:sz w:val="24"/>
          <w:szCs w:val="24"/>
        </w:rPr>
        <w:t>Behandlingseffekten skal evalueres efter 6 måneder. Begrænsede data fra kliniske studier har vist, at det</w:t>
      </w:r>
      <w:r w:rsidRPr="00CD50D5">
        <w:rPr>
          <w:spacing w:val="-2"/>
          <w:sz w:val="24"/>
          <w:szCs w:val="24"/>
        </w:rPr>
        <w:t xml:space="preserve"> </w:t>
      </w:r>
      <w:r w:rsidRPr="00CD50D5">
        <w:rPr>
          <w:sz w:val="24"/>
          <w:szCs w:val="24"/>
        </w:rPr>
        <w:t>kan</w:t>
      </w:r>
      <w:r w:rsidRPr="00CD50D5">
        <w:rPr>
          <w:spacing w:val="-6"/>
          <w:sz w:val="24"/>
          <w:szCs w:val="24"/>
        </w:rPr>
        <w:t xml:space="preserve"> </w:t>
      </w:r>
      <w:r w:rsidRPr="00CD50D5">
        <w:rPr>
          <w:sz w:val="24"/>
          <w:szCs w:val="24"/>
        </w:rPr>
        <w:t>tage</w:t>
      </w:r>
      <w:r w:rsidRPr="00CD50D5">
        <w:rPr>
          <w:spacing w:val="-8"/>
          <w:sz w:val="24"/>
          <w:szCs w:val="24"/>
        </w:rPr>
        <w:t xml:space="preserve"> </w:t>
      </w:r>
      <w:r w:rsidRPr="00CD50D5">
        <w:rPr>
          <w:sz w:val="24"/>
          <w:szCs w:val="24"/>
        </w:rPr>
        <w:t>længere</w:t>
      </w:r>
      <w:r w:rsidRPr="00CD50D5">
        <w:rPr>
          <w:spacing w:val="-5"/>
          <w:sz w:val="24"/>
          <w:szCs w:val="24"/>
        </w:rPr>
        <w:t xml:space="preserve"> </w:t>
      </w:r>
      <w:r w:rsidRPr="00CD50D5">
        <w:rPr>
          <w:sz w:val="24"/>
          <w:szCs w:val="24"/>
        </w:rPr>
        <w:t>tid</w:t>
      </w:r>
      <w:r w:rsidRPr="00CD50D5">
        <w:rPr>
          <w:spacing w:val="-8"/>
          <w:sz w:val="24"/>
          <w:szCs w:val="24"/>
        </w:rPr>
        <w:t xml:space="preserve"> </w:t>
      </w:r>
      <w:r w:rsidRPr="00CD50D5">
        <w:rPr>
          <w:sz w:val="24"/>
          <w:szCs w:val="24"/>
        </w:rPr>
        <w:t>for</w:t>
      </w:r>
      <w:r w:rsidRPr="00CD50D5">
        <w:rPr>
          <w:spacing w:val="-7"/>
          <w:sz w:val="24"/>
          <w:szCs w:val="24"/>
        </w:rPr>
        <w:t xml:space="preserve"> </w:t>
      </w:r>
      <w:r w:rsidRPr="00CD50D5">
        <w:rPr>
          <w:sz w:val="24"/>
          <w:szCs w:val="24"/>
        </w:rPr>
        <w:t>nogle</w:t>
      </w:r>
      <w:r w:rsidRPr="00CD50D5">
        <w:rPr>
          <w:spacing w:val="-6"/>
          <w:sz w:val="24"/>
          <w:szCs w:val="24"/>
        </w:rPr>
        <w:t xml:space="preserve"> </w:t>
      </w:r>
      <w:r w:rsidRPr="00CD50D5">
        <w:rPr>
          <w:sz w:val="24"/>
          <w:szCs w:val="24"/>
        </w:rPr>
        <w:t>patienter</w:t>
      </w:r>
      <w:r w:rsidRPr="00CD50D5">
        <w:rPr>
          <w:spacing w:val="-4"/>
          <w:sz w:val="24"/>
          <w:szCs w:val="24"/>
        </w:rPr>
        <w:t xml:space="preserve"> </w:t>
      </w:r>
      <w:r w:rsidRPr="00CD50D5">
        <w:rPr>
          <w:sz w:val="24"/>
          <w:szCs w:val="24"/>
        </w:rPr>
        <w:t>at</w:t>
      </w:r>
      <w:r w:rsidRPr="00CD50D5">
        <w:rPr>
          <w:spacing w:val="-3"/>
          <w:sz w:val="24"/>
          <w:szCs w:val="24"/>
        </w:rPr>
        <w:t xml:space="preserve"> </w:t>
      </w:r>
      <w:r w:rsidRPr="00CD50D5">
        <w:rPr>
          <w:sz w:val="24"/>
          <w:szCs w:val="24"/>
        </w:rPr>
        <w:t>respondere</w:t>
      </w:r>
      <w:r w:rsidRPr="00CD50D5">
        <w:rPr>
          <w:spacing w:val="-3"/>
          <w:sz w:val="24"/>
          <w:szCs w:val="24"/>
        </w:rPr>
        <w:t xml:space="preserve"> </w:t>
      </w:r>
      <w:r w:rsidRPr="00CD50D5">
        <w:rPr>
          <w:sz w:val="24"/>
          <w:szCs w:val="24"/>
        </w:rPr>
        <w:t>på</w:t>
      </w:r>
      <w:r w:rsidRPr="00CD50D5">
        <w:rPr>
          <w:spacing w:val="-6"/>
          <w:sz w:val="24"/>
          <w:szCs w:val="24"/>
        </w:rPr>
        <w:t xml:space="preserve"> </w:t>
      </w:r>
      <w:r w:rsidRPr="00CD50D5">
        <w:rPr>
          <w:sz w:val="24"/>
          <w:szCs w:val="24"/>
        </w:rPr>
        <w:t>behandlingen</w:t>
      </w:r>
      <w:r w:rsidRPr="00CD50D5">
        <w:rPr>
          <w:spacing w:val="-3"/>
          <w:sz w:val="24"/>
          <w:szCs w:val="24"/>
        </w:rPr>
        <w:t xml:space="preserve"> </w:t>
      </w:r>
      <w:r w:rsidRPr="00CD50D5">
        <w:rPr>
          <w:sz w:val="24"/>
          <w:szCs w:val="24"/>
        </w:rPr>
        <w:t>(dvs.</w:t>
      </w:r>
      <w:r w:rsidRPr="00CD50D5">
        <w:rPr>
          <w:spacing w:val="-3"/>
          <w:sz w:val="24"/>
          <w:szCs w:val="24"/>
        </w:rPr>
        <w:t xml:space="preserve"> </w:t>
      </w:r>
      <w:r w:rsidRPr="00CD50D5">
        <w:rPr>
          <w:sz w:val="24"/>
          <w:szCs w:val="24"/>
        </w:rPr>
        <w:t>de</w:t>
      </w:r>
      <w:r w:rsidRPr="00CD50D5">
        <w:rPr>
          <w:spacing w:val="-8"/>
          <w:sz w:val="24"/>
          <w:szCs w:val="24"/>
        </w:rPr>
        <w:t xml:space="preserve"> </w:t>
      </w:r>
      <w:r w:rsidRPr="00CD50D5">
        <w:rPr>
          <w:sz w:val="24"/>
          <w:szCs w:val="24"/>
        </w:rPr>
        <w:t>patienter,</w:t>
      </w:r>
      <w:r w:rsidRPr="00CD50D5">
        <w:rPr>
          <w:spacing w:val="-8"/>
          <w:sz w:val="24"/>
          <w:szCs w:val="24"/>
        </w:rPr>
        <w:t xml:space="preserve"> </w:t>
      </w:r>
      <w:r w:rsidRPr="00CD50D5">
        <w:rPr>
          <w:sz w:val="24"/>
          <w:szCs w:val="24"/>
        </w:rPr>
        <w:t>hvor</w:t>
      </w:r>
      <w:r w:rsidRPr="00CD50D5">
        <w:rPr>
          <w:spacing w:val="-3"/>
          <w:sz w:val="24"/>
          <w:szCs w:val="24"/>
        </w:rPr>
        <w:t xml:space="preserve"> </w:t>
      </w:r>
      <w:r w:rsidRPr="00CD50D5">
        <w:rPr>
          <w:sz w:val="24"/>
          <w:szCs w:val="24"/>
        </w:rPr>
        <w:t xml:space="preserve">der stadig er </w:t>
      </w:r>
      <w:r w:rsidRPr="00CD50D5">
        <w:rPr>
          <w:i/>
          <w:sz w:val="24"/>
          <w:szCs w:val="24"/>
        </w:rPr>
        <w:t>colon</w:t>
      </w:r>
      <w:r w:rsidRPr="00CD50D5">
        <w:rPr>
          <w:i/>
          <w:sz w:val="24"/>
          <w:szCs w:val="24"/>
        </w:rPr>
        <w:noBreakHyphen/>
        <w:t>in</w:t>
      </w:r>
      <w:r w:rsidRPr="00CD50D5">
        <w:rPr>
          <w:i/>
          <w:sz w:val="24"/>
          <w:szCs w:val="24"/>
        </w:rPr>
        <w:noBreakHyphen/>
        <w:t xml:space="preserve">continuity </w:t>
      </w:r>
      <w:r w:rsidRPr="00CD50D5">
        <w:rPr>
          <w:sz w:val="24"/>
          <w:szCs w:val="24"/>
        </w:rPr>
        <w:t>eller distal/terminal ileum til stede). Hvis der ikke opnås nogen samlet forbedring efter 12 måneder, skal behovet for fortsat behandling overvejes igen.</w:t>
      </w:r>
    </w:p>
    <w:p w14:paraId="0BBD0C8D" w14:textId="77777777" w:rsidR="00C0758E" w:rsidRPr="00CD50D5" w:rsidRDefault="00C0758E" w:rsidP="00CD50D5">
      <w:pPr>
        <w:pStyle w:val="Brdtekst"/>
        <w:ind w:left="851"/>
        <w:rPr>
          <w:sz w:val="24"/>
          <w:szCs w:val="24"/>
        </w:rPr>
      </w:pPr>
      <w:r w:rsidRPr="00CD50D5">
        <w:rPr>
          <w:sz w:val="24"/>
          <w:szCs w:val="24"/>
        </w:rPr>
        <w:t>Fortsat</w:t>
      </w:r>
      <w:r w:rsidRPr="00CD50D5">
        <w:rPr>
          <w:spacing w:val="-14"/>
          <w:sz w:val="24"/>
          <w:szCs w:val="24"/>
        </w:rPr>
        <w:t xml:space="preserve"> </w:t>
      </w:r>
      <w:r w:rsidRPr="00CD50D5">
        <w:rPr>
          <w:sz w:val="24"/>
          <w:szCs w:val="24"/>
        </w:rPr>
        <w:t>behandling</w:t>
      </w:r>
      <w:r w:rsidRPr="00CD50D5">
        <w:rPr>
          <w:spacing w:val="-8"/>
          <w:sz w:val="24"/>
          <w:szCs w:val="24"/>
        </w:rPr>
        <w:t xml:space="preserve"> </w:t>
      </w:r>
      <w:r w:rsidRPr="00CD50D5">
        <w:rPr>
          <w:sz w:val="24"/>
          <w:szCs w:val="24"/>
        </w:rPr>
        <w:t>anbefales</w:t>
      </w:r>
      <w:r w:rsidRPr="00CD50D5">
        <w:rPr>
          <w:spacing w:val="-5"/>
          <w:sz w:val="24"/>
          <w:szCs w:val="24"/>
        </w:rPr>
        <w:t xml:space="preserve"> </w:t>
      </w:r>
      <w:r w:rsidRPr="00CD50D5">
        <w:rPr>
          <w:sz w:val="24"/>
          <w:szCs w:val="24"/>
        </w:rPr>
        <w:t>til</w:t>
      </w:r>
      <w:r w:rsidRPr="00CD50D5">
        <w:rPr>
          <w:spacing w:val="-4"/>
          <w:sz w:val="24"/>
          <w:szCs w:val="24"/>
        </w:rPr>
        <w:t xml:space="preserve"> </w:t>
      </w:r>
      <w:r w:rsidRPr="00CD50D5">
        <w:rPr>
          <w:sz w:val="24"/>
          <w:szCs w:val="24"/>
        </w:rPr>
        <w:t>patienter,</w:t>
      </w:r>
      <w:r w:rsidRPr="00CD50D5">
        <w:rPr>
          <w:spacing w:val="-10"/>
          <w:sz w:val="24"/>
          <w:szCs w:val="24"/>
        </w:rPr>
        <w:t xml:space="preserve"> </w:t>
      </w:r>
      <w:r w:rsidRPr="00CD50D5">
        <w:rPr>
          <w:sz w:val="24"/>
          <w:szCs w:val="24"/>
        </w:rPr>
        <w:t>der</w:t>
      </w:r>
      <w:r w:rsidRPr="00CD50D5">
        <w:rPr>
          <w:spacing w:val="-7"/>
          <w:sz w:val="24"/>
          <w:szCs w:val="24"/>
        </w:rPr>
        <w:t xml:space="preserve"> </w:t>
      </w:r>
      <w:r w:rsidRPr="00CD50D5">
        <w:rPr>
          <w:sz w:val="24"/>
          <w:szCs w:val="24"/>
        </w:rPr>
        <w:t>er</w:t>
      </w:r>
      <w:r w:rsidRPr="00CD50D5">
        <w:rPr>
          <w:spacing w:val="-9"/>
          <w:sz w:val="24"/>
          <w:szCs w:val="24"/>
        </w:rPr>
        <w:t xml:space="preserve"> </w:t>
      </w:r>
      <w:r w:rsidRPr="00CD50D5">
        <w:rPr>
          <w:sz w:val="24"/>
          <w:szCs w:val="24"/>
        </w:rPr>
        <w:t>vænnet</w:t>
      </w:r>
      <w:r w:rsidRPr="00CD50D5">
        <w:rPr>
          <w:spacing w:val="-9"/>
          <w:sz w:val="24"/>
          <w:szCs w:val="24"/>
        </w:rPr>
        <w:t xml:space="preserve"> </w:t>
      </w:r>
      <w:r w:rsidRPr="00CD50D5">
        <w:rPr>
          <w:sz w:val="24"/>
          <w:szCs w:val="24"/>
        </w:rPr>
        <w:t>fra</w:t>
      </w:r>
      <w:r w:rsidRPr="00CD50D5">
        <w:rPr>
          <w:spacing w:val="-10"/>
          <w:sz w:val="24"/>
          <w:szCs w:val="24"/>
        </w:rPr>
        <w:t xml:space="preserve"> </w:t>
      </w:r>
      <w:r w:rsidRPr="00CD50D5">
        <w:rPr>
          <w:sz w:val="24"/>
          <w:szCs w:val="24"/>
        </w:rPr>
        <w:t>parenteral</w:t>
      </w:r>
      <w:r w:rsidRPr="00CD50D5">
        <w:rPr>
          <w:spacing w:val="-4"/>
          <w:sz w:val="24"/>
          <w:szCs w:val="24"/>
        </w:rPr>
        <w:t xml:space="preserve"> </w:t>
      </w:r>
      <w:r w:rsidRPr="00CD50D5">
        <w:rPr>
          <w:spacing w:val="-2"/>
          <w:sz w:val="24"/>
          <w:szCs w:val="24"/>
        </w:rPr>
        <w:t>ernæring.</w:t>
      </w:r>
    </w:p>
    <w:p w14:paraId="6E973D49" w14:textId="77777777" w:rsidR="00C0758E" w:rsidRPr="00CD50D5" w:rsidRDefault="00C0758E" w:rsidP="00CD50D5">
      <w:pPr>
        <w:pStyle w:val="Brdtekst"/>
        <w:ind w:left="851"/>
        <w:rPr>
          <w:sz w:val="24"/>
          <w:szCs w:val="24"/>
        </w:rPr>
      </w:pPr>
    </w:p>
    <w:p w14:paraId="3B16FEF9" w14:textId="77777777" w:rsidR="00C0758E" w:rsidRPr="00CD50D5" w:rsidRDefault="00C0758E" w:rsidP="00CD50D5">
      <w:pPr>
        <w:pStyle w:val="Overskrift2"/>
        <w:ind w:left="851" w:firstLine="0"/>
        <w:rPr>
          <w:b w:val="0"/>
          <w:bCs w:val="0"/>
          <w:i/>
          <w:iCs/>
          <w:sz w:val="24"/>
          <w:szCs w:val="24"/>
        </w:rPr>
      </w:pPr>
      <w:r w:rsidRPr="00CD50D5">
        <w:rPr>
          <w:b w:val="0"/>
          <w:bCs w:val="0"/>
          <w:i/>
          <w:iCs/>
          <w:spacing w:val="-2"/>
          <w:sz w:val="24"/>
          <w:szCs w:val="24"/>
        </w:rPr>
        <w:t>Tabel 1</w:t>
      </w:r>
    </w:p>
    <w:tbl>
      <w:tblPr>
        <w:tblW w:w="0" w:type="auto"/>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9"/>
        <w:gridCol w:w="2838"/>
      </w:tblGrid>
      <w:tr w:rsidR="00C0758E" w14:paraId="7093D631" w14:textId="77777777" w:rsidTr="00211BF4">
        <w:trPr>
          <w:trHeight w:val="561"/>
        </w:trPr>
        <w:tc>
          <w:tcPr>
            <w:tcW w:w="2269" w:type="dxa"/>
            <w:tcBorders>
              <w:top w:val="single" w:sz="4" w:space="0" w:color="000000"/>
              <w:left w:val="single" w:sz="4" w:space="0" w:color="000000"/>
              <w:bottom w:val="single" w:sz="4" w:space="0" w:color="000000"/>
              <w:right w:val="single" w:sz="4" w:space="0" w:color="000000"/>
            </w:tcBorders>
          </w:tcPr>
          <w:p w14:paraId="7C406E32" w14:textId="77777777" w:rsidR="00C0758E" w:rsidRDefault="00C0758E">
            <w:pPr>
              <w:pStyle w:val="TableParagraph"/>
              <w:spacing w:before="0"/>
              <w:jc w:val="left"/>
              <w:rPr>
                <w:bCs/>
                <w:lang w:val="en-US"/>
              </w:rPr>
            </w:pPr>
          </w:p>
          <w:p w14:paraId="4ED068E7" w14:textId="77777777" w:rsidR="00C0758E" w:rsidRDefault="00C0758E">
            <w:pPr>
              <w:pStyle w:val="TableParagraph"/>
              <w:spacing w:before="0"/>
              <w:rPr>
                <w:lang w:val="en-US"/>
              </w:rPr>
            </w:pPr>
            <w:r>
              <w:rPr>
                <w:spacing w:val="-2"/>
                <w:lang w:val="en-US"/>
              </w:rPr>
              <w:t>Kropsvægt</w:t>
            </w:r>
          </w:p>
        </w:tc>
        <w:tc>
          <w:tcPr>
            <w:tcW w:w="2838" w:type="dxa"/>
            <w:tcBorders>
              <w:top w:val="single" w:sz="4" w:space="0" w:color="000000"/>
              <w:left w:val="single" w:sz="4" w:space="0" w:color="000000"/>
              <w:bottom w:val="single" w:sz="4" w:space="0" w:color="000000"/>
              <w:right w:val="single" w:sz="4" w:space="0" w:color="000000"/>
            </w:tcBorders>
            <w:hideMark/>
          </w:tcPr>
          <w:p w14:paraId="2C553FC2" w14:textId="77777777" w:rsidR="00C0758E" w:rsidRDefault="00C0758E">
            <w:pPr>
              <w:pStyle w:val="TableParagraph"/>
              <w:spacing w:before="0" w:line="252" w:lineRule="exact"/>
              <w:rPr>
                <w:b/>
                <w:lang w:val="en-US"/>
              </w:rPr>
            </w:pPr>
            <w:r>
              <w:rPr>
                <w:b/>
                <w:lang w:val="en-US"/>
              </w:rPr>
              <w:t xml:space="preserve">5 mg </w:t>
            </w:r>
            <w:r>
              <w:rPr>
                <w:b/>
                <w:spacing w:val="-2"/>
                <w:lang w:val="en-US"/>
              </w:rPr>
              <w:t>styrke</w:t>
            </w:r>
          </w:p>
          <w:p w14:paraId="5D7BC726" w14:textId="77777777" w:rsidR="00C0758E" w:rsidRDefault="00C0758E">
            <w:pPr>
              <w:pStyle w:val="TableParagraph"/>
              <w:spacing w:before="0" w:line="252" w:lineRule="exact"/>
              <w:rPr>
                <w:lang w:val="en-US"/>
              </w:rPr>
            </w:pPr>
            <w:r>
              <w:rPr>
                <w:spacing w:val="-2"/>
                <w:lang w:val="en-US"/>
              </w:rPr>
              <w:t>Injektionsvolumen</w:t>
            </w:r>
          </w:p>
        </w:tc>
      </w:tr>
      <w:tr w:rsidR="00C0758E" w14:paraId="1AF673AF" w14:textId="77777777" w:rsidTr="00211BF4">
        <w:trPr>
          <w:trHeight w:val="309"/>
        </w:trPr>
        <w:tc>
          <w:tcPr>
            <w:tcW w:w="2269" w:type="dxa"/>
            <w:tcBorders>
              <w:top w:val="single" w:sz="4" w:space="0" w:color="000000"/>
              <w:left w:val="single" w:sz="4" w:space="0" w:color="000000"/>
              <w:bottom w:val="single" w:sz="4" w:space="0" w:color="000000"/>
              <w:right w:val="single" w:sz="4" w:space="0" w:color="000000"/>
            </w:tcBorders>
            <w:hideMark/>
          </w:tcPr>
          <w:p w14:paraId="728D0A63" w14:textId="77777777" w:rsidR="00C0758E" w:rsidRDefault="00C0758E">
            <w:pPr>
              <w:pStyle w:val="TableParagraph"/>
              <w:spacing w:before="0"/>
              <w:rPr>
                <w:lang w:val="en-US"/>
              </w:rPr>
            </w:pPr>
            <w:r>
              <w:rPr>
                <w:lang w:val="en-US"/>
              </w:rPr>
              <w:t>38</w:t>
            </w:r>
            <w:r>
              <w:rPr>
                <w:lang w:val="en-US"/>
              </w:rPr>
              <w:noBreakHyphen/>
              <w:t>41</w:t>
            </w:r>
            <w:r>
              <w:rPr>
                <w:spacing w:val="-5"/>
                <w:lang w:val="en-US"/>
              </w:rPr>
              <w:t> kg</w:t>
            </w:r>
          </w:p>
        </w:tc>
        <w:tc>
          <w:tcPr>
            <w:tcW w:w="2838" w:type="dxa"/>
            <w:tcBorders>
              <w:top w:val="single" w:sz="4" w:space="0" w:color="000000"/>
              <w:left w:val="single" w:sz="4" w:space="0" w:color="000000"/>
              <w:bottom w:val="single" w:sz="4" w:space="0" w:color="000000"/>
              <w:right w:val="single" w:sz="4" w:space="0" w:color="000000"/>
            </w:tcBorders>
            <w:hideMark/>
          </w:tcPr>
          <w:p w14:paraId="27D46A15" w14:textId="77777777" w:rsidR="00C0758E" w:rsidRDefault="00C0758E">
            <w:pPr>
              <w:pStyle w:val="TableParagraph"/>
              <w:spacing w:before="0"/>
              <w:rPr>
                <w:lang w:val="en-US"/>
              </w:rPr>
            </w:pPr>
            <w:r>
              <w:rPr>
                <w:lang w:val="en-US"/>
              </w:rPr>
              <w:t>0,20 </w:t>
            </w:r>
            <w:r>
              <w:rPr>
                <w:spacing w:val="-5"/>
                <w:lang w:val="en-US"/>
              </w:rPr>
              <w:t>ml</w:t>
            </w:r>
          </w:p>
        </w:tc>
      </w:tr>
      <w:tr w:rsidR="00C0758E" w14:paraId="6931DDB5" w14:textId="77777777" w:rsidTr="00211BF4">
        <w:trPr>
          <w:trHeight w:val="309"/>
        </w:trPr>
        <w:tc>
          <w:tcPr>
            <w:tcW w:w="2269" w:type="dxa"/>
            <w:tcBorders>
              <w:top w:val="single" w:sz="4" w:space="0" w:color="000000"/>
              <w:left w:val="single" w:sz="4" w:space="0" w:color="000000"/>
              <w:bottom w:val="single" w:sz="4" w:space="0" w:color="000000"/>
              <w:right w:val="single" w:sz="4" w:space="0" w:color="000000"/>
            </w:tcBorders>
            <w:hideMark/>
          </w:tcPr>
          <w:p w14:paraId="7BC0C20F" w14:textId="77777777" w:rsidR="00C0758E" w:rsidRDefault="00C0758E">
            <w:pPr>
              <w:pStyle w:val="TableParagraph"/>
              <w:spacing w:before="0"/>
              <w:rPr>
                <w:lang w:val="en-US"/>
              </w:rPr>
            </w:pPr>
            <w:r>
              <w:rPr>
                <w:lang w:val="en-US"/>
              </w:rPr>
              <w:t>42</w:t>
            </w:r>
            <w:r>
              <w:rPr>
                <w:lang w:val="en-US"/>
              </w:rPr>
              <w:noBreakHyphen/>
              <w:t>45</w:t>
            </w:r>
            <w:r>
              <w:rPr>
                <w:spacing w:val="-5"/>
                <w:lang w:val="en-US"/>
              </w:rPr>
              <w:t> kg</w:t>
            </w:r>
          </w:p>
        </w:tc>
        <w:tc>
          <w:tcPr>
            <w:tcW w:w="2838" w:type="dxa"/>
            <w:tcBorders>
              <w:top w:val="single" w:sz="4" w:space="0" w:color="000000"/>
              <w:left w:val="single" w:sz="4" w:space="0" w:color="000000"/>
              <w:bottom w:val="single" w:sz="4" w:space="0" w:color="000000"/>
              <w:right w:val="single" w:sz="4" w:space="0" w:color="000000"/>
            </w:tcBorders>
            <w:hideMark/>
          </w:tcPr>
          <w:p w14:paraId="2CE1B036" w14:textId="77777777" w:rsidR="00C0758E" w:rsidRDefault="00C0758E">
            <w:pPr>
              <w:pStyle w:val="TableParagraph"/>
              <w:spacing w:before="0"/>
              <w:rPr>
                <w:lang w:val="en-US"/>
              </w:rPr>
            </w:pPr>
            <w:r>
              <w:rPr>
                <w:lang w:val="en-US"/>
              </w:rPr>
              <w:t>0,22 </w:t>
            </w:r>
            <w:r>
              <w:rPr>
                <w:spacing w:val="-5"/>
                <w:lang w:val="en-US"/>
              </w:rPr>
              <w:t>ml</w:t>
            </w:r>
          </w:p>
        </w:tc>
      </w:tr>
      <w:tr w:rsidR="00C0758E" w14:paraId="06D160C0" w14:textId="77777777" w:rsidTr="00211BF4">
        <w:trPr>
          <w:trHeight w:val="309"/>
        </w:trPr>
        <w:tc>
          <w:tcPr>
            <w:tcW w:w="2269" w:type="dxa"/>
            <w:tcBorders>
              <w:top w:val="single" w:sz="4" w:space="0" w:color="000000"/>
              <w:left w:val="single" w:sz="4" w:space="0" w:color="000000"/>
              <w:bottom w:val="single" w:sz="4" w:space="0" w:color="000000"/>
              <w:right w:val="single" w:sz="4" w:space="0" w:color="000000"/>
            </w:tcBorders>
            <w:hideMark/>
          </w:tcPr>
          <w:p w14:paraId="39135DA5" w14:textId="77777777" w:rsidR="00C0758E" w:rsidRDefault="00C0758E">
            <w:pPr>
              <w:pStyle w:val="TableParagraph"/>
              <w:spacing w:before="0"/>
              <w:rPr>
                <w:lang w:val="en-US"/>
              </w:rPr>
            </w:pPr>
            <w:r>
              <w:rPr>
                <w:lang w:val="en-US"/>
              </w:rPr>
              <w:t>46</w:t>
            </w:r>
            <w:r>
              <w:rPr>
                <w:lang w:val="en-US"/>
              </w:rPr>
              <w:noBreakHyphen/>
              <w:t>49</w:t>
            </w:r>
            <w:r>
              <w:rPr>
                <w:spacing w:val="-5"/>
                <w:lang w:val="en-US"/>
              </w:rPr>
              <w:t> kg</w:t>
            </w:r>
          </w:p>
        </w:tc>
        <w:tc>
          <w:tcPr>
            <w:tcW w:w="2838" w:type="dxa"/>
            <w:tcBorders>
              <w:top w:val="single" w:sz="4" w:space="0" w:color="000000"/>
              <w:left w:val="single" w:sz="4" w:space="0" w:color="000000"/>
              <w:bottom w:val="single" w:sz="4" w:space="0" w:color="000000"/>
              <w:right w:val="single" w:sz="4" w:space="0" w:color="000000"/>
            </w:tcBorders>
            <w:hideMark/>
          </w:tcPr>
          <w:p w14:paraId="36FC4434" w14:textId="77777777" w:rsidR="00C0758E" w:rsidRDefault="00C0758E">
            <w:pPr>
              <w:pStyle w:val="TableParagraph"/>
              <w:spacing w:before="0"/>
              <w:rPr>
                <w:lang w:val="en-US"/>
              </w:rPr>
            </w:pPr>
            <w:r>
              <w:rPr>
                <w:lang w:val="en-US"/>
              </w:rPr>
              <w:t>0,24 </w:t>
            </w:r>
            <w:r>
              <w:rPr>
                <w:spacing w:val="-5"/>
                <w:lang w:val="en-US"/>
              </w:rPr>
              <w:t>ml</w:t>
            </w:r>
          </w:p>
        </w:tc>
      </w:tr>
      <w:tr w:rsidR="00C0758E" w14:paraId="4C9C94F3" w14:textId="77777777" w:rsidTr="00211BF4">
        <w:trPr>
          <w:trHeight w:val="309"/>
        </w:trPr>
        <w:tc>
          <w:tcPr>
            <w:tcW w:w="2269" w:type="dxa"/>
            <w:tcBorders>
              <w:top w:val="single" w:sz="4" w:space="0" w:color="000000"/>
              <w:left w:val="single" w:sz="4" w:space="0" w:color="000000"/>
              <w:bottom w:val="single" w:sz="4" w:space="0" w:color="000000"/>
              <w:right w:val="single" w:sz="4" w:space="0" w:color="000000"/>
            </w:tcBorders>
            <w:hideMark/>
          </w:tcPr>
          <w:p w14:paraId="297961C5" w14:textId="77777777" w:rsidR="00C0758E" w:rsidRDefault="00C0758E">
            <w:pPr>
              <w:pStyle w:val="TableParagraph"/>
              <w:spacing w:before="0"/>
              <w:rPr>
                <w:lang w:val="en-US"/>
              </w:rPr>
            </w:pPr>
            <w:r>
              <w:rPr>
                <w:lang w:val="en-US"/>
              </w:rPr>
              <w:t>50</w:t>
            </w:r>
            <w:r>
              <w:rPr>
                <w:lang w:val="en-US"/>
              </w:rPr>
              <w:noBreakHyphen/>
              <w:t>53</w:t>
            </w:r>
            <w:r>
              <w:rPr>
                <w:spacing w:val="-5"/>
                <w:lang w:val="en-US"/>
              </w:rPr>
              <w:t> kg</w:t>
            </w:r>
          </w:p>
        </w:tc>
        <w:tc>
          <w:tcPr>
            <w:tcW w:w="2838" w:type="dxa"/>
            <w:tcBorders>
              <w:top w:val="single" w:sz="4" w:space="0" w:color="000000"/>
              <w:left w:val="single" w:sz="4" w:space="0" w:color="000000"/>
              <w:bottom w:val="single" w:sz="4" w:space="0" w:color="000000"/>
              <w:right w:val="single" w:sz="4" w:space="0" w:color="000000"/>
            </w:tcBorders>
            <w:hideMark/>
          </w:tcPr>
          <w:p w14:paraId="30A88900" w14:textId="77777777" w:rsidR="00C0758E" w:rsidRDefault="00C0758E">
            <w:pPr>
              <w:pStyle w:val="TableParagraph"/>
              <w:spacing w:before="0"/>
              <w:rPr>
                <w:lang w:val="en-US"/>
              </w:rPr>
            </w:pPr>
            <w:r>
              <w:rPr>
                <w:lang w:val="en-US"/>
              </w:rPr>
              <w:t>0,26 </w:t>
            </w:r>
            <w:r>
              <w:rPr>
                <w:spacing w:val="-5"/>
                <w:lang w:val="en-US"/>
              </w:rPr>
              <w:t>ml</w:t>
            </w:r>
          </w:p>
        </w:tc>
      </w:tr>
      <w:tr w:rsidR="00C0758E" w14:paraId="7D2FF308" w14:textId="77777777" w:rsidTr="00211BF4">
        <w:trPr>
          <w:trHeight w:val="309"/>
        </w:trPr>
        <w:tc>
          <w:tcPr>
            <w:tcW w:w="2269" w:type="dxa"/>
            <w:tcBorders>
              <w:top w:val="single" w:sz="4" w:space="0" w:color="000000"/>
              <w:left w:val="single" w:sz="4" w:space="0" w:color="000000"/>
              <w:bottom w:val="single" w:sz="4" w:space="0" w:color="000000"/>
              <w:right w:val="single" w:sz="4" w:space="0" w:color="000000"/>
            </w:tcBorders>
            <w:hideMark/>
          </w:tcPr>
          <w:p w14:paraId="2E0B00DA" w14:textId="77777777" w:rsidR="00C0758E" w:rsidRDefault="00C0758E">
            <w:pPr>
              <w:pStyle w:val="TableParagraph"/>
              <w:spacing w:before="0"/>
              <w:rPr>
                <w:lang w:val="en-US"/>
              </w:rPr>
            </w:pPr>
            <w:r>
              <w:rPr>
                <w:lang w:val="en-US"/>
              </w:rPr>
              <w:t>54</w:t>
            </w:r>
            <w:r>
              <w:rPr>
                <w:lang w:val="en-US"/>
              </w:rPr>
              <w:noBreakHyphen/>
              <w:t>57</w:t>
            </w:r>
            <w:r>
              <w:rPr>
                <w:spacing w:val="-5"/>
                <w:lang w:val="en-US"/>
              </w:rPr>
              <w:t> kg</w:t>
            </w:r>
          </w:p>
        </w:tc>
        <w:tc>
          <w:tcPr>
            <w:tcW w:w="2838" w:type="dxa"/>
            <w:tcBorders>
              <w:top w:val="single" w:sz="4" w:space="0" w:color="000000"/>
              <w:left w:val="single" w:sz="4" w:space="0" w:color="000000"/>
              <w:bottom w:val="single" w:sz="4" w:space="0" w:color="000000"/>
              <w:right w:val="single" w:sz="4" w:space="0" w:color="000000"/>
            </w:tcBorders>
            <w:hideMark/>
          </w:tcPr>
          <w:p w14:paraId="772C651D" w14:textId="77777777" w:rsidR="00C0758E" w:rsidRDefault="00C0758E">
            <w:pPr>
              <w:pStyle w:val="TableParagraph"/>
              <w:spacing w:before="0"/>
              <w:rPr>
                <w:lang w:val="en-US"/>
              </w:rPr>
            </w:pPr>
            <w:r>
              <w:rPr>
                <w:lang w:val="en-US"/>
              </w:rPr>
              <w:t>0,28 </w:t>
            </w:r>
            <w:r>
              <w:rPr>
                <w:spacing w:val="-5"/>
                <w:lang w:val="en-US"/>
              </w:rPr>
              <w:t>ml</w:t>
            </w:r>
          </w:p>
        </w:tc>
      </w:tr>
      <w:tr w:rsidR="00C0758E" w14:paraId="4B3006B9" w14:textId="77777777" w:rsidTr="00211BF4">
        <w:trPr>
          <w:trHeight w:val="309"/>
        </w:trPr>
        <w:tc>
          <w:tcPr>
            <w:tcW w:w="2269" w:type="dxa"/>
            <w:tcBorders>
              <w:top w:val="single" w:sz="4" w:space="0" w:color="000000"/>
              <w:left w:val="single" w:sz="4" w:space="0" w:color="000000"/>
              <w:bottom w:val="single" w:sz="4" w:space="0" w:color="000000"/>
              <w:right w:val="single" w:sz="4" w:space="0" w:color="000000"/>
            </w:tcBorders>
            <w:hideMark/>
          </w:tcPr>
          <w:p w14:paraId="338B7085" w14:textId="77777777" w:rsidR="00C0758E" w:rsidRDefault="00C0758E">
            <w:pPr>
              <w:pStyle w:val="TableParagraph"/>
              <w:spacing w:before="0"/>
              <w:rPr>
                <w:lang w:val="en-US"/>
              </w:rPr>
            </w:pPr>
            <w:r>
              <w:rPr>
                <w:lang w:val="en-US"/>
              </w:rPr>
              <w:t>58</w:t>
            </w:r>
            <w:r>
              <w:rPr>
                <w:lang w:val="en-US"/>
              </w:rPr>
              <w:noBreakHyphen/>
              <w:t>61</w:t>
            </w:r>
            <w:r>
              <w:rPr>
                <w:spacing w:val="-5"/>
                <w:lang w:val="en-US"/>
              </w:rPr>
              <w:t> kg</w:t>
            </w:r>
          </w:p>
        </w:tc>
        <w:tc>
          <w:tcPr>
            <w:tcW w:w="2838" w:type="dxa"/>
            <w:tcBorders>
              <w:top w:val="single" w:sz="4" w:space="0" w:color="000000"/>
              <w:left w:val="single" w:sz="4" w:space="0" w:color="000000"/>
              <w:bottom w:val="single" w:sz="4" w:space="0" w:color="000000"/>
              <w:right w:val="single" w:sz="4" w:space="0" w:color="000000"/>
            </w:tcBorders>
            <w:hideMark/>
          </w:tcPr>
          <w:p w14:paraId="0768667A" w14:textId="77777777" w:rsidR="00C0758E" w:rsidRDefault="00C0758E">
            <w:pPr>
              <w:pStyle w:val="TableParagraph"/>
              <w:spacing w:before="0"/>
              <w:rPr>
                <w:lang w:val="en-US"/>
              </w:rPr>
            </w:pPr>
            <w:r>
              <w:rPr>
                <w:lang w:val="en-US"/>
              </w:rPr>
              <w:t>0,30 </w:t>
            </w:r>
            <w:r>
              <w:rPr>
                <w:spacing w:val="-5"/>
                <w:lang w:val="en-US"/>
              </w:rPr>
              <w:t>ml</w:t>
            </w:r>
          </w:p>
        </w:tc>
      </w:tr>
      <w:tr w:rsidR="00C0758E" w14:paraId="71AFF445" w14:textId="77777777" w:rsidTr="00211BF4">
        <w:trPr>
          <w:trHeight w:val="309"/>
        </w:trPr>
        <w:tc>
          <w:tcPr>
            <w:tcW w:w="2269" w:type="dxa"/>
            <w:tcBorders>
              <w:top w:val="single" w:sz="4" w:space="0" w:color="000000"/>
              <w:left w:val="single" w:sz="4" w:space="0" w:color="000000"/>
              <w:bottom w:val="single" w:sz="4" w:space="0" w:color="000000"/>
              <w:right w:val="single" w:sz="4" w:space="0" w:color="000000"/>
            </w:tcBorders>
            <w:hideMark/>
          </w:tcPr>
          <w:p w14:paraId="0C7ECE16" w14:textId="77777777" w:rsidR="00C0758E" w:rsidRDefault="00C0758E">
            <w:pPr>
              <w:pStyle w:val="TableParagraph"/>
              <w:spacing w:before="0"/>
              <w:rPr>
                <w:lang w:val="en-US"/>
              </w:rPr>
            </w:pPr>
            <w:r>
              <w:rPr>
                <w:lang w:val="en-US"/>
              </w:rPr>
              <w:t>62</w:t>
            </w:r>
            <w:r>
              <w:rPr>
                <w:lang w:val="en-US"/>
              </w:rPr>
              <w:noBreakHyphen/>
              <w:t>65</w:t>
            </w:r>
            <w:r>
              <w:rPr>
                <w:spacing w:val="-5"/>
                <w:lang w:val="en-US"/>
              </w:rPr>
              <w:t> kg</w:t>
            </w:r>
          </w:p>
        </w:tc>
        <w:tc>
          <w:tcPr>
            <w:tcW w:w="2838" w:type="dxa"/>
            <w:tcBorders>
              <w:top w:val="single" w:sz="4" w:space="0" w:color="000000"/>
              <w:left w:val="single" w:sz="4" w:space="0" w:color="000000"/>
              <w:bottom w:val="single" w:sz="4" w:space="0" w:color="000000"/>
              <w:right w:val="single" w:sz="4" w:space="0" w:color="000000"/>
            </w:tcBorders>
            <w:hideMark/>
          </w:tcPr>
          <w:p w14:paraId="77B4E487" w14:textId="77777777" w:rsidR="00C0758E" w:rsidRDefault="00C0758E">
            <w:pPr>
              <w:pStyle w:val="TableParagraph"/>
              <w:spacing w:before="0"/>
              <w:rPr>
                <w:lang w:val="en-US"/>
              </w:rPr>
            </w:pPr>
            <w:r>
              <w:rPr>
                <w:lang w:val="en-US"/>
              </w:rPr>
              <w:t>0,32 </w:t>
            </w:r>
            <w:r>
              <w:rPr>
                <w:spacing w:val="-5"/>
                <w:lang w:val="en-US"/>
              </w:rPr>
              <w:t>ml</w:t>
            </w:r>
          </w:p>
        </w:tc>
      </w:tr>
      <w:tr w:rsidR="00C0758E" w14:paraId="6A6C4098" w14:textId="77777777" w:rsidTr="00211BF4">
        <w:trPr>
          <w:trHeight w:val="309"/>
        </w:trPr>
        <w:tc>
          <w:tcPr>
            <w:tcW w:w="2269" w:type="dxa"/>
            <w:tcBorders>
              <w:top w:val="single" w:sz="4" w:space="0" w:color="000000"/>
              <w:left w:val="single" w:sz="4" w:space="0" w:color="000000"/>
              <w:bottom w:val="single" w:sz="4" w:space="0" w:color="000000"/>
              <w:right w:val="single" w:sz="4" w:space="0" w:color="000000"/>
            </w:tcBorders>
            <w:hideMark/>
          </w:tcPr>
          <w:p w14:paraId="063AE432" w14:textId="77777777" w:rsidR="00C0758E" w:rsidRDefault="00C0758E">
            <w:pPr>
              <w:pStyle w:val="TableParagraph"/>
              <w:spacing w:before="0"/>
              <w:rPr>
                <w:lang w:val="en-US"/>
              </w:rPr>
            </w:pPr>
            <w:r>
              <w:rPr>
                <w:lang w:val="en-US"/>
              </w:rPr>
              <w:t>66</w:t>
            </w:r>
            <w:r>
              <w:rPr>
                <w:lang w:val="en-US"/>
              </w:rPr>
              <w:noBreakHyphen/>
              <w:t>69</w:t>
            </w:r>
            <w:r>
              <w:rPr>
                <w:spacing w:val="-5"/>
                <w:lang w:val="en-US"/>
              </w:rPr>
              <w:t> kg</w:t>
            </w:r>
          </w:p>
        </w:tc>
        <w:tc>
          <w:tcPr>
            <w:tcW w:w="2838" w:type="dxa"/>
            <w:tcBorders>
              <w:top w:val="single" w:sz="4" w:space="0" w:color="000000"/>
              <w:left w:val="single" w:sz="4" w:space="0" w:color="000000"/>
              <w:bottom w:val="single" w:sz="4" w:space="0" w:color="000000"/>
              <w:right w:val="single" w:sz="4" w:space="0" w:color="000000"/>
            </w:tcBorders>
            <w:hideMark/>
          </w:tcPr>
          <w:p w14:paraId="1C50FFA6" w14:textId="77777777" w:rsidR="00C0758E" w:rsidRDefault="00C0758E">
            <w:pPr>
              <w:pStyle w:val="TableParagraph"/>
              <w:spacing w:before="0"/>
              <w:rPr>
                <w:lang w:val="en-US"/>
              </w:rPr>
            </w:pPr>
            <w:r>
              <w:rPr>
                <w:lang w:val="en-US"/>
              </w:rPr>
              <w:t>0,34 </w:t>
            </w:r>
            <w:r>
              <w:rPr>
                <w:spacing w:val="-5"/>
                <w:lang w:val="en-US"/>
              </w:rPr>
              <w:t>ml</w:t>
            </w:r>
          </w:p>
        </w:tc>
      </w:tr>
      <w:tr w:rsidR="00C0758E" w14:paraId="2BFB9812" w14:textId="77777777" w:rsidTr="00211BF4">
        <w:trPr>
          <w:trHeight w:val="306"/>
        </w:trPr>
        <w:tc>
          <w:tcPr>
            <w:tcW w:w="2269" w:type="dxa"/>
            <w:tcBorders>
              <w:top w:val="single" w:sz="4" w:space="0" w:color="000000"/>
              <w:left w:val="single" w:sz="4" w:space="0" w:color="000000"/>
              <w:bottom w:val="single" w:sz="4" w:space="0" w:color="000000"/>
              <w:right w:val="single" w:sz="4" w:space="0" w:color="000000"/>
            </w:tcBorders>
            <w:hideMark/>
          </w:tcPr>
          <w:p w14:paraId="55F6F763" w14:textId="77777777" w:rsidR="00C0758E" w:rsidRDefault="00C0758E">
            <w:pPr>
              <w:pStyle w:val="TableParagraph"/>
              <w:spacing w:before="0"/>
              <w:rPr>
                <w:lang w:val="en-US"/>
              </w:rPr>
            </w:pPr>
            <w:r>
              <w:rPr>
                <w:lang w:val="en-US"/>
              </w:rPr>
              <w:t>70</w:t>
            </w:r>
            <w:r>
              <w:rPr>
                <w:lang w:val="en-US"/>
              </w:rPr>
              <w:noBreakHyphen/>
              <w:t>73</w:t>
            </w:r>
            <w:r>
              <w:rPr>
                <w:spacing w:val="-5"/>
                <w:lang w:val="en-US"/>
              </w:rPr>
              <w:t> kg</w:t>
            </w:r>
          </w:p>
        </w:tc>
        <w:tc>
          <w:tcPr>
            <w:tcW w:w="2838" w:type="dxa"/>
            <w:tcBorders>
              <w:top w:val="single" w:sz="4" w:space="0" w:color="000000"/>
              <w:left w:val="single" w:sz="4" w:space="0" w:color="000000"/>
              <w:bottom w:val="single" w:sz="4" w:space="0" w:color="000000"/>
              <w:right w:val="single" w:sz="4" w:space="0" w:color="000000"/>
            </w:tcBorders>
            <w:hideMark/>
          </w:tcPr>
          <w:p w14:paraId="7E7D6794" w14:textId="77777777" w:rsidR="00C0758E" w:rsidRDefault="00C0758E">
            <w:pPr>
              <w:pStyle w:val="TableParagraph"/>
              <w:spacing w:before="0"/>
              <w:rPr>
                <w:lang w:val="en-US"/>
              </w:rPr>
            </w:pPr>
            <w:r>
              <w:rPr>
                <w:lang w:val="en-US"/>
              </w:rPr>
              <w:t>0,36 </w:t>
            </w:r>
            <w:r>
              <w:rPr>
                <w:spacing w:val="-5"/>
                <w:lang w:val="en-US"/>
              </w:rPr>
              <w:t>ml</w:t>
            </w:r>
          </w:p>
        </w:tc>
      </w:tr>
      <w:tr w:rsidR="00C0758E" w14:paraId="3CB3A00D" w14:textId="77777777" w:rsidTr="00211BF4">
        <w:trPr>
          <w:trHeight w:val="309"/>
        </w:trPr>
        <w:tc>
          <w:tcPr>
            <w:tcW w:w="2269" w:type="dxa"/>
            <w:tcBorders>
              <w:top w:val="single" w:sz="4" w:space="0" w:color="000000"/>
              <w:left w:val="single" w:sz="4" w:space="0" w:color="000000"/>
              <w:bottom w:val="single" w:sz="4" w:space="0" w:color="000000"/>
              <w:right w:val="single" w:sz="4" w:space="0" w:color="000000"/>
            </w:tcBorders>
            <w:hideMark/>
          </w:tcPr>
          <w:p w14:paraId="6E05B564" w14:textId="77777777" w:rsidR="00C0758E" w:rsidRDefault="00C0758E">
            <w:pPr>
              <w:pStyle w:val="TableParagraph"/>
              <w:spacing w:before="0"/>
              <w:rPr>
                <w:lang w:val="en-US"/>
              </w:rPr>
            </w:pPr>
            <w:r>
              <w:rPr>
                <w:lang w:val="en-US"/>
              </w:rPr>
              <w:t>74</w:t>
            </w:r>
            <w:r>
              <w:rPr>
                <w:lang w:val="en-US"/>
              </w:rPr>
              <w:noBreakHyphen/>
              <w:t>77</w:t>
            </w:r>
            <w:r>
              <w:rPr>
                <w:spacing w:val="-5"/>
                <w:lang w:val="en-US"/>
              </w:rPr>
              <w:t> kg</w:t>
            </w:r>
          </w:p>
        </w:tc>
        <w:tc>
          <w:tcPr>
            <w:tcW w:w="2838" w:type="dxa"/>
            <w:tcBorders>
              <w:top w:val="single" w:sz="4" w:space="0" w:color="000000"/>
              <w:left w:val="single" w:sz="4" w:space="0" w:color="000000"/>
              <w:bottom w:val="single" w:sz="4" w:space="0" w:color="000000"/>
              <w:right w:val="single" w:sz="4" w:space="0" w:color="000000"/>
            </w:tcBorders>
            <w:hideMark/>
          </w:tcPr>
          <w:p w14:paraId="6C0CA8C6" w14:textId="77777777" w:rsidR="00C0758E" w:rsidRDefault="00C0758E">
            <w:pPr>
              <w:pStyle w:val="TableParagraph"/>
              <w:spacing w:before="0"/>
              <w:rPr>
                <w:lang w:val="en-US"/>
              </w:rPr>
            </w:pPr>
            <w:r>
              <w:rPr>
                <w:lang w:val="en-US"/>
              </w:rPr>
              <w:t>0,38 </w:t>
            </w:r>
            <w:r>
              <w:rPr>
                <w:spacing w:val="-5"/>
                <w:lang w:val="en-US"/>
              </w:rPr>
              <w:t>ml</w:t>
            </w:r>
          </w:p>
        </w:tc>
      </w:tr>
      <w:tr w:rsidR="00C0758E" w14:paraId="74D2C3D0" w14:textId="77777777" w:rsidTr="00211BF4">
        <w:trPr>
          <w:trHeight w:val="309"/>
        </w:trPr>
        <w:tc>
          <w:tcPr>
            <w:tcW w:w="2269" w:type="dxa"/>
            <w:tcBorders>
              <w:top w:val="single" w:sz="4" w:space="0" w:color="000000"/>
              <w:left w:val="single" w:sz="4" w:space="0" w:color="000000"/>
              <w:bottom w:val="single" w:sz="4" w:space="0" w:color="000000"/>
              <w:right w:val="single" w:sz="4" w:space="0" w:color="000000"/>
            </w:tcBorders>
            <w:hideMark/>
          </w:tcPr>
          <w:p w14:paraId="520FF0C2" w14:textId="77777777" w:rsidR="00C0758E" w:rsidRDefault="00C0758E">
            <w:pPr>
              <w:pStyle w:val="TableParagraph"/>
              <w:spacing w:before="0"/>
              <w:rPr>
                <w:lang w:val="en-US"/>
              </w:rPr>
            </w:pPr>
            <w:r>
              <w:rPr>
                <w:lang w:val="en-US"/>
              </w:rPr>
              <w:t>78</w:t>
            </w:r>
            <w:r>
              <w:rPr>
                <w:lang w:val="en-US"/>
              </w:rPr>
              <w:noBreakHyphen/>
              <w:t>81</w:t>
            </w:r>
            <w:r>
              <w:rPr>
                <w:spacing w:val="-5"/>
                <w:lang w:val="en-US"/>
              </w:rPr>
              <w:t> kg</w:t>
            </w:r>
          </w:p>
        </w:tc>
        <w:tc>
          <w:tcPr>
            <w:tcW w:w="2838" w:type="dxa"/>
            <w:tcBorders>
              <w:top w:val="single" w:sz="4" w:space="0" w:color="000000"/>
              <w:left w:val="single" w:sz="4" w:space="0" w:color="000000"/>
              <w:bottom w:val="single" w:sz="4" w:space="0" w:color="000000"/>
              <w:right w:val="single" w:sz="4" w:space="0" w:color="000000"/>
            </w:tcBorders>
            <w:hideMark/>
          </w:tcPr>
          <w:p w14:paraId="48941ABE" w14:textId="77777777" w:rsidR="00C0758E" w:rsidRDefault="00C0758E">
            <w:pPr>
              <w:pStyle w:val="TableParagraph"/>
              <w:spacing w:before="0"/>
              <w:rPr>
                <w:lang w:val="en-US"/>
              </w:rPr>
            </w:pPr>
            <w:r>
              <w:rPr>
                <w:lang w:val="en-US"/>
              </w:rPr>
              <w:t>0,40 </w:t>
            </w:r>
            <w:r>
              <w:rPr>
                <w:spacing w:val="-5"/>
                <w:lang w:val="en-US"/>
              </w:rPr>
              <w:t>ml</w:t>
            </w:r>
          </w:p>
        </w:tc>
      </w:tr>
      <w:tr w:rsidR="00C0758E" w14:paraId="38125914" w14:textId="77777777" w:rsidTr="00211BF4">
        <w:trPr>
          <w:trHeight w:val="309"/>
        </w:trPr>
        <w:tc>
          <w:tcPr>
            <w:tcW w:w="2269" w:type="dxa"/>
            <w:tcBorders>
              <w:top w:val="single" w:sz="4" w:space="0" w:color="000000"/>
              <w:left w:val="single" w:sz="4" w:space="0" w:color="000000"/>
              <w:bottom w:val="single" w:sz="4" w:space="0" w:color="000000"/>
              <w:right w:val="single" w:sz="4" w:space="0" w:color="000000"/>
            </w:tcBorders>
            <w:hideMark/>
          </w:tcPr>
          <w:p w14:paraId="54AEE5C4" w14:textId="77777777" w:rsidR="00C0758E" w:rsidRDefault="00C0758E">
            <w:pPr>
              <w:pStyle w:val="TableParagraph"/>
              <w:spacing w:before="0"/>
              <w:rPr>
                <w:lang w:val="en-US"/>
              </w:rPr>
            </w:pPr>
            <w:r>
              <w:rPr>
                <w:lang w:val="en-US"/>
              </w:rPr>
              <w:t>82</w:t>
            </w:r>
            <w:r>
              <w:rPr>
                <w:lang w:val="en-US"/>
              </w:rPr>
              <w:noBreakHyphen/>
              <w:t>85</w:t>
            </w:r>
            <w:r>
              <w:rPr>
                <w:spacing w:val="-5"/>
                <w:lang w:val="en-US"/>
              </w:rPr>
              <w:t> kg</w:t>
            </w:r>
          </w:p>
        </w:tc>
        <w:tc>
          <w:tcPr>
            <w:tcW w:w="2838" w:type="dxa"/>
            <w:tcBorders>
              <w:top w:val="single" w:sz="4" w:space="0" w:color="000000"/>
              <w:left w:val="single" w:sz="4" w:space="0" w:color="000000"/>
              <w:bottom w:val="single" w:sz="4" w:space="0" w:color="000000"/>
              <w:right w:val="single" w:sz="4" w:space="0" w:color="000000"/>
            </w:tcBorders>
            <w:hideMark/>
          </w:tcPr>
          <w:p w14:paraId="54B17CEC" w14:textId="77777777" w:rsidR="00C0758E" w:rsidRDefault="00C0758E">
            <w:pPr>
              <w:pStyle w:val="TableParagraph"/>
              <w:spacing w:before="0"/>
              <w:rPr>
                <w:lang w:val="en-US"/>
              </w:rPr>
            </w:pPr>
            <w:r>
              <w:rPr>
                <w:lang w:val="en-US"/>
              </w:rPr>
              <w:t>0,42 </w:t>
            </w:r>
            <w:r>
              <w:rPr>
                <w:spacing w:val="-5"/>
                <w:lang w:val="en-US"/>
              </w:rPr>
              <w:t>ml</w:t>
            </w:r>
          </w:p>
        </w:tc>
      </w:tr>
      <w:tr w:rsidR="00C0758E" w14:paraId="7C0A4FA9" w14:textId="77777777" w:rsidTr="00211BF4">
        <w:trPr>
          <w:trHeight w:val="309"/>
        </w:trPr>
        <w:tc>
          <w:tcPr>
            <w:tcW w:w="2269" w:type="dxa"/>
            <w:tcBorders>
              <w:top w:val="single" w:sz="4" w:space="0" w:color="000000"/>
              <w:left w:val="single" w:sz="4" w:space="0" w:color="000000"/>
              <w:bottom w:val="single" w:sz="4" w:space="0" w:color="000000"/>
              <w:right w:val="single" w:sz="4" w:space="0" w:color="000000"/>
            </w:tcBorders>
            <w:hideMark/>
          </w:tcPr>
          <w:p w14:paraId="32F02AF5" w14:textId="77777777" w:rsidR="00C0758E" w:rsidRDefault="00C0758E">
            <w:pPr>
              <w:pStyle w:val="TableParagraph"/>
              <w:spacing w:before="0"/>
              <w:rPr>
                <w:lang w:val="en-US"/>
              </w:rPr>
            </w:pPr>
            <w:r>
              <w:rPr>
                <w:lang w:val="en-US"/>
              </w:rPr>
              <w:t>86</w:t>
            </w:r>
            <w:r>
              <w:rPr>
                <w:lang w:val="en-US"/>
              </w:rPr>
              <w:noBreakHyphen/>
              <w:t>89</w:t>
            </w:r>
            <w:r>
              <w:rPr>
                <w:spacing w:val="-5"/>
                <w:lang w:val="en-US"/>
              </w:rPr>
              <w:t> kg</w:t>
            </w:r>
          </w:p>
        </w:tc>
        <w:tc>
          <w:tcPr>
            <w:tcW w:w="2838" w:type="dxa"/>
            <w:tcBorders>
              <w:top w:val="single" w:sz="4" w:space="0" w:color="000000"/>
              <w:left w:val="single" w:sz="4" w:space="0" w:color="000000"/>
              <w:bottom w:val="single" w:sz="4" w:space="0" w:color="000000"/>
              <w:right w:val="single" w:sz="4" w:space="0" w:color="000000"/>
            </w:tcBorders>
            <w:hideMark/>
          </w:tcPr>
          <w:p w14:paraId="42ACD8EA" w14:textId="77777777" w:rsidR="00C0758E" w:rsidRDefault="00C0758E">
            <w:pPr>
              <w:pStyle w:val="TableParagraph"/>
              <w:spacing w:before="0"/>
              <w:rPr>
                <w:lang w:val="en-US"/>
              </w:rPr>
            </w:pPr>
            <w:r>
              <w:rPr>
                <w:lang w:val="en-US"/>
              </w:rPr>
              <w:t>0,44 </w:t>
            </w:r>
            <w:r>
              <w:rPr>
                <w:spacing w:val="-5"/>
                <w:lang w:val="en-US"/>
              </w:rPr>
              <w:t>ml</w:t>
            </w:r>
          </w:p>
        </w:tc>
      </w:tr>
      <w:tr w:rsidR="00C0758E" w14:paraId="382B3DAC" w14:textId="77777777" w:rsidTr="00211BF4">
        <w:trPr>
          <w:trHeight w:val="309"/>
        </w:trPr>
        <w:tc>
          <w:tcPr>
            <w:tcW w:w="2269" w:type="dxa"/>
            <w:tcBorders>
              <w:top w:val="single" w:sz="4" w:space="0" w:color="000000"/>
              <w:left w:val="single" w:sz="4" w:space="0" w:color="000000"/>
              <w:bottom w:val="single" w:sz="4" w:space="0" w:color="000000"/>
              <w:right w:val="single" w:sz="4" w:space="0" w:color="000000"/>
            </w:tcBorders>
            <w:hideMark/>
          </w:tcPr>
          <w:p w14:paraId="329F119D" w14:textId="77777777" w:rsidR="00C0758E" w:rsidRDefault="00C0758E">
            <w:pPr>
              <w:pStyle w:val="TableParagraph"/>
              <w:spacing w:before="0"/>
              <w:rPr>
                <w:lang w:val="en-US"/>
              </w:rPr>
            </w:pPr>
            <w:r>
              <w:rPr>
                <w:lang w:val="en-US"/>
              </w:rPr>
              <w:t>90</w:t>
            </w:r>
            <w:r>
              <w:rPr>
                <w:lang w:val="en-US"/>
              </w:rPr>
              <w:noBreakHyphen/>
              <w:t>93</w:t>
            </w:r>
            <w:r>
              <w:rPr>
                <w:spacing w:val="-5"/>
                <w:lang w:val="en-US"/>
              </w:rPr>
              <w:t> kg</w:t>
            </w:r>
          </w:p>
        </w:tc>
        <w:tc>
          <w:tcPr>
            <w:tcW w:w="2838" w:type="dxa"/>
            <w:tcBorders>
              <w:top w:val="single" w:sz="4" w:space="0" w:color="000000"/>
              <w:left w:val="single" w:sz="4" w:space="0" w:color="000000"/>
              <w:bottom w:val="single" w:sz="4" w:space="0" w:color="000000"/>
              <w:right w:val="single" w:sz="4" w:space="0" w:color="000000"/>
            </w:tcBorders>
            <w:hideMark/>
          </w:tcPr>
          <w:p w14:paraId="1B737A65" w14:textId="77777777" w:rsidR="00C0758E" w:rsidRDefault="00C0758E">
            <w:pPr>
              <w:pStyle w:val="TableParagraph"/>
              <w:spacing w:before="0"/>
              <w:rPr>
                <w:lang w:val="en-US"/>
              </w:rPr>
            </w:pPr>
            <w:r>
              <w:rPr>
                <w:lang w:val="en-US"/>
              </w:rPr>
              <w:t>0,46 </w:t>
            </w:r>
            <w:r>
              <w:rPr>
                <w:spacing w:val="-5"/>
                <w:lang w:val="en-US"/>
              </w:rPr>
              <w:t>ml</w:t>
            </w:r>
          </w:p>
        </w:tc>
      </w:tr>
    </w:tbl>
    <w:p w14:paraId="6DE9C62D" w14:textId="77777777" w:rsidR="00C0758E" w:rsidRPr="00C0758E" w:rsidRDefault="00C0758E" w:rsidP="00C0758E">
      <w:pPr>
        <w:pStyle w:val="Brdtekst"/>
        <w:ind w:left="851"/>
        <w:rPr>
          <w:bCs/>
          <w:sz w:val="24"/>
          <w:szCs w:val="24"/>
        </w:rPr>
      </w:pPr>
    </w:p>
    <w:p w14:paraId="3C648C42" w14:textId="77777777" w:rsidR="00C0758E" w:rsidRPr="00211BF4" w:rsidRDefault="00C0758E" w:rsidP="00C0758E">
      <w:pPr>
        <w:ind w:left="851"/>
        <w:rPr>
          <w:i/>
          <w:sz w:val="24"/>
          <w:szCs w:val="24"/>
        </w:rPr>
      </w:pPr>
      <w:r w:rsidRPr="00211BF4">
        <w:rPr>
          <w:i/>
          <w:sz w:val="24"/>
          <w:szCs w:val="24"/>
        </w:rPr>
        <w:t>Pædiatrisk</w:t>
      </w:r>
      <w:r w:rsidRPr="00211BF4">
        <w:rPr>
          <w:i/>
          <w:spacing w:val="-7"/>
          <w:sz w:val="24"/>
          <w:szCs w:val="24"/>
        </w:rPr>
        <w:t xml:space="preserve"> </w:t>
      </w:r>
      <w:r w:rsidRPr="00211BF4">
        <w:rPr>
          <w:i/>
          <w:sz w:val="24"/>
          <w:szCs w:val="24"/>
        </w:rPr>
        <w:t>population</w:t>
      </w:r>
      <w:r w:rsidRPr="00211BF4">
        <w:rPr>
          <w:i/>
          <w:spacing w:val="-4"/>
          <w:sz w:val="24"/>
          <w:szCs w:val="24"/>
        </w:rPr>
        <w:t xml:space="preserve"> </w:t>
      </w:r>
      <w:r w:rsidRPr="00211BF4">
        <w:rPr>
          <w:i/>
          <w:sz w:val="24"/>
          <w:szCs w:val="24"/>
        </w:rPr>
        <w:t>(≥</w:t>
      </w:r>
      <w:r w:rsidRPr="00211BF4">
        <w:rPr>
          <w:i/>
          <w:spacing w:val="-2"/>
          <w:sz w:val="24"/>
          <w:szCs w:val="24"/>
        </w:rPr>
        <w:t> </w:t>
      </w:r>
      <w:r w:rsidRPr="00211BF4">
        <w:rPr>
          <w:i/>
          <w:sz w:val="24"/>
          <w:szCs w:val="24"/>
        </w:rPr>
        <w:t>1</w:t>
      </w:r>
      <w:r w:rsidRPr="00211BF4">
        <w:rPr>
          <w:i/>
          <w:spacing w:val="-6"/>
          <w:sz w:val="24"/>
          <w:szCs w:val="24"/>
        </w:rPr>
        <w:t> </w:t>
      </w:r>
      <w:r w:rsidRPr="00211BF4">
        <w:rPr>
          <w:i/>
          <w:spacing w:val="-5"/>
          <w:sz w:val="24"/>
          <w:szCs w:val="24"/>
        </w:rPr>
        <w:t>år)</w:t>
      </w:r>
    </w:p>
    <w:p w14:paraId="786586A1" w14:textId="77777777" w:rsidR="00C0758E" w:rsidRPr="00C0758E" w:rsidRDefault="00C0758E" w:rsidP="00C0758E">
      <w:pPr>
        <w:pStyle w:val="Brdtekst"/>
        <w:ind w:left="851"/>
        <w:rPr>
          <w:sz w:val="24"/>
          <w:szCs w:val="24"/>
        </w:rPr>
      </w:pPr>
      <w:r w:rsidRPr="00C0758E">
        <w:rPr>
          <w:sz w:val="24"/>
          <w:szCs w:val="24"/>
        </w:rPr>
        <w:t>Behandlingen</w:t>
      </w:r>
      <w:r w:rsidRPr="00C0758E">
        <w:rPr>
          <w:spacing w:val="-4"/>
          <w:sz w:val="24"/>
          <w:szCs w:val="24"/>
        </w:rPr>
        <w:t xml:space="preserve"> </w:t>
      </w:r>
      <w:r w:rsidRPr="00C0758E">
        <w:rPr>
          <w:sz w:val="24"/>
          <w:szCs w:val="24"/>
        </w:rPr>
        <w:t>skal</w:t>
      </w:r>
      <w:r w:rsidRPr="00C0758E">
        <w:rPr>
          <w:spacing w:val="-8"/>
          <w:sz w:val="24"/>
          <w:szCs w:val="24"/>
        </w:rPr>
        <w:t xml:space="preserve"> </w:t>
      </w:r>
      <w:r w:rsidRPr="00C0758E">
        <w:rPr>
          <w:sz w:val="24"/>
          <w:szCs w:val="24"/>
        </w:rPr>
        <w:t>initieres</w:t>
      </w:r>
      <w:r w:rsidRPr="00C0758E">
        <w:rPr>
          <w:spacing w:val="-8"/>
          <w:sz w:val="24"/>
          <w:szCs w:val="24"/>
        </w:rPr>
        <w:t xml:space="preserve"> </w:t>
      </w:r>
      <w:r w:rsidRPr="00C0758E">
        <w:rPr>
          <w:sz w:val="24"/>
          <w:szCs w:val="24"/>
        </w:rPr>
        <w:t>under</w:t>
      </w:r>
      <w:r w:rsidRPr="00C0758E">
        <w:rPr>
          <w:spacing w:val="-6"/>
          <w:sz w:val="24"/>
          <w:szCs w:val="24"/>
        </w:rPr>
        <w:t xml:space="preserve"> </w:t>
      </w:r>
      <w:r w:rsidRPr="00C0758E">
        <w:rPr>
          <w:sz w:val="24"/>
          <w:szCs w:val="24"/>
        </w:rPr>
        <w:t>supervision</w:t>
      </w:r>
      <w:r w:rsidRPr="00C0758E">
        <w:rPr>
          <w:spacing w:val="-7"/>
          <w:sz w:val="24"/>
          <w:szCs w:val="24"/>
        </w:rPr>
        <w:t xml:space="preserve"> </w:t>
      </w:r>
      <w:r w:rsidRPr="00C0758E">
        <w:rPr>
          <w:sz w:val="24"/>
          <w:szCs w:val="24"/>
        </w:rPr>
        <w:t>af</w:t>
      </w:r>
      <w:r w:rsidRPr="00C0758E">
        <w:rPr>
          <w:spacing w:val="-3"/>
          <w:sz w:val="24"/>
          <w:szCs w:val="24"/>
        </w:rPr>
        <w:t xml:space="preserve"> </w:t>
      </w:r>
      <w:r w:rsidRPr="00C0758E">
        <w:rPr>
          <w:sz w:val="24"/>
          <w:szCs w:val="24"/>
        </w:rPr>
        <w:t>en</w:t>
      </w:r>
      <w:r w:rsidRPr="00C0758E">
        <w:rPr>
          <w:spacing w:val="-12"/>
          <w:sz w:val="24"/>
          <w:szCs w:val="24"/>
        </w:rPr>
        <w:t xml:space="preserve"> </w:t>
      </w:r>
      <w:r w:rsidRPr="00C0758E">
        <w:rPr>
          <w:sz w:val="24"/>
          <w:szCs w:val="24"/>
        </w:rPr>
        <w:t>læge</w:t>
      </w:r>
      <w:r w:rsidRPr="00C0758E">
        <w:rPr>
          <w:spacing w:val="-4"/>
          <w:sz w:val="24"/>
          <w:szCs w:val="24"/>
        </w:rPr>
        <w:t xml:space="preserve"> </w:t>
      </w:r>
      <w:r w:rsidRPr="00C0758E">
        <w:rPr>
          <w:sz w:val="24"/>
          <w:szCs w:val="24"/>
        </w:rPr>
        <w:t>med</w:t>
      </w:r>
      <w:r w:rsidRPr="00C0758E">
        <w:rPr>
          <w:spacing w:val="-4"/>
          <w:sz w:val="24"/>
          <w:szCs w:val="24"/>
        </w:rPr>
        <w:t xml:space="preserve"> </w:t>
      </w:r>
      <w:r w:rsidRPr="00C0758E">
        <w:rPr>
          <w:sz w:val="24"/>
          <w:szCs w:val="24"/>
        </w:rPr>
        <w:t>erfaring</w:t>
      </w:r>
      <w:r w:rsidRPr="00C0758E">
        <w:rPr>
          <w:spacing w:val="-7"/>
          <w:sz w:val="24"/>
          <w:szCs w:val="24"/>
        </w:rPr>
        <w:t xml:space="preserve"> </w:t>
      </w:r>
      <w:r w:rsidRPr="00C0758E">
        <w:rPr>
          <w:sz w:val="24"/>
          <w:szCs w:val="24"/>
        </w:rPr>
        <w:t>i</w:t>
      </w:r>
      <w:r w:rsidRPr="00C0758E">
        <w:rPr>
          <w:spacing w:val="-4"/>
          <w:sz w:val="24"/>
          <w:szCs w:val="24"/>
        </w:rPr>
        <w:t xml:space="preserve"> </w:t>
      </w:r>
      <w:r w:rsidRPr="00C0758E">
        <w:rPr>
          <w:sz w:val="24"/>
          <w:szCs w:val="24"/>
        </w:rPr>
        <w:t>behandling</w:t>
      </w:r>
      <w:r w:rsidRPr="00C0758E">
        <w:rPr>
          <w:spacing w:val="-11"/>
          <w:sz w:val="24"/>
          <w:szCs w:val="24"/>
        </w:rPr>
        <w:t xml:space="preserve"> </w:t>
      </w:r>
      <w:r w:rsidRPr="00C0758E">
        <w:rPr>
          <w:sz w:val="24"/>
          <w:szCs w:val="24"/>
        </w:rPr>
        <w:t>af korttarmssyndrom hos børn og unge.</w:t>
      </w:r>
    </w:p>
    <w:p w14:paraId="69EAD9B4" w14:textId="77777777" w:rsidR="00C0758E" w:rsidRPr="00C0758E" w:rsidRDefault="00C0758E" w:rsidP="00C0758E">
      <w:pPr>
        <w:pStyle w:val="Brdtekst"/>
        <w:ind w:left="851"/>
        <w:rPr>
          <w:sz w:val="24"/>
          <w:szCs w:val="24"/>
        </w:rPr>
      </w:pPr>
    </w:p>
    <w:p w14:paraId="71AEBB1C" w14:textId="77777777" w:rsidR="00C0758E" w:rsidRPr="00C0758E" w:rsidRDefault="00C0758E" w:rsidP="00C0758E">
      <w:pPr>
        <w:pStyle w:val="Brdtekst"/>
        <w:ind w:left="851"/>
        <w:rPr>
          <w:sz w:val="24"/>
          <w:szCs w:val="24"/>
        </w:rPr>
      </w:pPr>
      <w:r w:rsidRPr="00C0758E">
        <w:rPr>
          <w:sz w:val="24"/>
          <w:szCs w:val="24"/>
        </w:rPr>
        <w:t>Den anbefalede dosis af Nilleto til børn og</w:t>
      </w:r>
      <w:r w:rsidRPr="00C0758E">
        <w:rPr>
          <w:spacing w:val="-1"/>
          <w:sz w:val="24"/>
          <w:szCs w:val="24"/>
        </w:rPr>
        <w:t xml:space="preserve"> </w:t>
      </w:r>
      <w:r w:rsidRPr="00C0758E">
        <w:rPr>
          <w:sz w:val="24"/>
          <w:szCs w:val="24"/>
        </w:rPr>
        <w:t>unge (i alderen 1</w:t>
      </w:r>
      <w:r w:rsidRPr="00C0758E">
        <w:rPr>
          <w:spacing w:val="-1"/>
          <w:sz w:val="24"/>
          <w:szCs w:val="24"/>
        </w:rPr>
        <w:t xml:space="preserve"> </w:t>
      </w:r>
      <w:r w:rsidRPr="00C0758E">
        <w:rPr>
          <w:sz w:val="24"/>
          <w:szCs w:val="24"/>
        </w:rPr>
        <w:t xml:space="preserve">til 17 år) er den samme som for voksne (0,05 mg/kg kropsvægt 1 gang dagligt). Injektionsvoluminet i henhold til kropsvægt, når hætteglasset med 5 mg styrke anvendes, er angivet i tabel 2 nedenfor. </w:t>
      </w:r>
    </w:p>
    <w:p w14:paraId="574D1084" w14:textId="77777777" w:rsidR="00C0758E" w:rsidRPr="00C0758E" w:rsidRDefault="00C0758E" w:rsidP="00C0758E">
      <w:pPr>
        <w:pStyle w:val="Brdtekst"/>
        <w:ind w:left="851"/>
        <w:rPr>
          <w:sz w:val="24"/>
          <w:szCs w:val="24"/>
        </w:rPr>
      </w:pPr>
    </w:p>
    <w:p w14:paraId="427F6ECC" w14:textId="77777777" w:rsidR="00C0758E" w:rsidRPr="00C0758E" w:rsidRDefault="00C0758E" w:rsidP="00C0758E">
      <w:pPr>
        <w:pStyle w:val="Brdtekst"/>
        <w:ind w:left="851"/>
        <w:rPr>
          <w:sz w:val="24"/>
          <w:szCs w:val="24"/>
        </w:rPr>
      </w:pPr>
      <w:r w:rsidRPr="00C0758E">
        <w:rPr>
          <w:sz w:val="24"/>
          <w:szCs w:val="24"/>
        </w:rPr>
        <w:t>Til pædiatriske patienter</w:t>
      </w:r>
      <w:r w:rsidRPr="00C0758E">
        <w:rPr>
          <w:spacing w:val="-2"/>
          <w:sz w:val="24"/>
          <w:szCs w:val="24"/>
        </w:rPr>
        <w:t xml:space="preserve"> </w:t>
      </w:r>
      <w:r w:rsidRPr="00C0758E">
        <w:rPr>
          <w:spacing w:val="-5"/>
          <w:sz w:val="24"/>
          <w:szCs w:val="24"/>
        </w:rPr>
        <w:t>(</w:t>
      </w:r>
      <w:r w:rsidRPr="00C0758E">
        <w:rPr>
          <w:sz w:val="24"/>
          <w:szCs w:val="24"/>
        </w:rPr>
        <w:t>kropsvægt</w:t>
      </w:r>
      <w:r w:rsidRPr="00C0758E">
        <w:rPr>
          <w:spacing w:val="-2"/>
          <w:sz w:val="24"/>
          <w:szCs w:val="24"/>
        </w:rPr>
        <w:t xml:space="preserve"> </w:t>
      </w:r>
      <w:r w:rsidRPr="00C0758E">
        <w:rPr>
          <w:sz w:val="24"/>
          <w:szCs w:val="24"/>
        </w:rPr>
        <w:t>&lt; 20</w:t>
      </w:r>
      <w:r w:rsidRPr="00C0758E">
        <w:rPr>
          <w:spacing w:val="-2"/>
          <w:sz w:val="24"/>
          <w:szCs w:val="24"/>
        </w:rPr>
        <w:t> </w:t>
      </w:r>
      <w:r w:rsidRPr="00C0758E">
        <w:rPr>
          <w:sz w:val="24"/>
          <w:szCs w:val="24"/>
        </w:rPr>
        <w:t>kg), fås også et hætteglas</w:t>
      </w:r>
      <w:r w:rsidRPr="00C0758E">
        <w:rPr>
          <w:spacing w:val="-6"/>
          <w:sz w:val="24"/>
          <w:szCs w:val="24"/>
        </w:rPr>
        <w:t xml:space="preserve"> </w:t>
      </w:r>
      <w:r w:rsidRPr="00C0758E">
        <w:rPr>
          <w:sz w:val="24"/>
          <w:szCs w:val="24"/>
        </w:rPr>
        <w:t>med</w:t>
      </w:r>
      <w:r w:rsidRPr="00C0758E">
        <w:rPr>
          <w:spacing w:val="-4"/>
          <w:sz w:val="24"/>
          <w:szCs w:val="24"/>
        </w:rPr>
        <w:t xml:space="preserve"> styrken </w:t>
      </w:r>
      <w:r w:rsidRPr="00C0758E">
        <w:rPr>
          <w:sz w:val="24"/>
          <w:szCs w:val="24"/>
        </w:rPr>
        <w:t>1,25</w:t>
      </w:r>
      <w:r w:rsidRPr="00C0758E">
        <w:rPr>
          <w:spacing w:val="-7"/>
          <w:sz w:val="24"/>
          <w:szCs w:val="24"/>
        </w:rPr>
        <w:t> </w:t>
      </w:r>
      <w:r w:rsidRPr="00C0758E">
        <w:rPr>
          <w:sz w:val="24"/>
          <w:szCs w:val="24"/>
        </w:rPr>
        <w:t xml:space="preserve">mg på </w:t>
      </w:r>
      <w:r w:rsidRPr="00C0758E">
        <w:rPr>
          <w:sz w:val="24"/>
          <w:szCs w:val="24"/>
        </w:rPr>
        <w:lastRenderedPageBreak/>
        <w:t>markedet.</w:t>
      </w:r>
    </w:p>
    <w:p w14:paraId="2DCA4F98" w14:textId="77777777" w:rsidR="00C0758E" w:rsidRPr="00C0758E" w:rsidRDefault="00C0758E" w:rsidP="00C0758E">
      <w:pPr>
        <w:pStyle w:val="Brdtekst"/>
        <w:ind w:left="851"/>
        <w:rPr>
          <w:sz w:val="24"/>
          <w:szCs w:val="24"/>
        </w:rPr>
      </w:pPr>
    </w:p>
    <w:p w14:paraId="7DF58473" w14:textId="39ABBF66" w:rsidR="00C0758E" w:rsidRPr="00C0758E" w:rsidRDefault="00C0758E" w:rsidP="00211BF4">
      <w:pPr>
        <w:pStyle w:val="Brdtekst"/>
        <w:spacing w:line="252" w:lineRule="exact"/>
        <w:ind w:left="851"/>
        <w:rPr>
          <w:sz w:val="24"/>
          <w:szCs w:val="24"/>
        </w:rPr>
      </w:pPr>
      <w:r w:rsidRPr="00C0758E">
        <w:rPr>
          <w:sz w:val="24"/>
          <w:szCs w:val="24"/>
        </w:rPr>
        <w:t>Hvis</w:t>
      </w:r>
      <w:r w:rsidRPr="00C0758E">
        <w:rPr>
          <w:spacing w:val="-10"/>
          <w:sz w:val="24"/>
          <w:szCs w:val="24"/>
        </w:rPr>
        <w:t xml:space="preserve"> </w:t>
      </w:r>
      <w:r w:rsidRPr="00C0758E">
        <w:rPr>
          <w:sz w:val="24"/>
          <w:szCs w:val="24"/>
        </w:rPr>
        <w:t>en</w:t>
      </w:r>
      <w:r w:rsidRPr="00C0758E">
        <w:rPr>
          <w:spacing w:val="-12"/>
          <w:sz w:val="24"/>
          <w:szCs w:val="24"/>
        </w:rPr>
        <w:t xml:space="preserve"> </w:t>
      </w:r>
      <w:r w:rsidRPr="00C0758E">
        <w:rPr>
          <w:sz w:val="24"/>
          <w:szCs w:val="24"/>
        </w:rPr>
        <w:t>dosis</w:t>
      </w:r>
      <w:r w:rsidRPr="00C0758E">
        <w:rPr>
          <w:spacing w:val="-6"/>
          <w:sz w:val="24"/>
          <w:szCs w:val="24"/>
        </w:rPr>
        <w:t xml:space="preserve"> </w:t>
      </w:r>
      <w:r w:rsidRPr="00C0758E">
        <w:rPr>
          <w:sz w:val="24"/>
          <w:szCs w:val="24"/>
        </w:rPr>
        <w:t>glemmes,</w:t>
      </w:r>
      <w:r w:rsidRPr="00C0758E">
        <w:rPr>
          <w:spacing w:val="-11"/>
          <w:sz w:val="24"/>
          <w:szCs w:val="24"/>
        </w:rPr>
        <w:t xml:space="preserve"> </w:t>
      </w:r>
      <w:r w:rsidRPr="00C0758E">
        <w:rPr>
          <w:sz w:val="24"/>
          <w:szCs w:val="24"/>
        </w:rPr>
        <w:t>skal</w:t>
      </w:r>
      <w:r w:rsidRPr="00C0758E">
        <w:rPr>
          <w:spacing w:val="-6"/>
          <w:sz w:val="24"/>
          <w:szCs w:val="24"/>
        </w:rPr>
        <w:t xml:space="preserve"> </w:t>
      </w:r>
      <w:r w:rsidRPr="00C0758E">
        <w:rPr>
          <w:sz w:val="24"/>
          <w:szCs w:val="24"/>
        </w:rPr>
        <w:t>den</w:t>
      </w:r>
      <w:r w:rsidRPr="00C0758E">
        <w:rPr>
          <w:spacing w:val="-11"/>
          <w:sz w:val="24"/>
          <w:szCs w:val="24"/>
        </w:rPr>
        <w:t xml:space="preserve"> </w:t>
      </w:r>
      <w:r w:rsidRPr="00C0758E">
        <w:rPr>
          <w:sz w:val="24"/>
          <w:szCs w:val="24"/>
        </w:rPr>
        <w:t>injiceres</w:t>
      </w:r>
      <w:r w:rsidRPr="00C0758E">
        <w:rPr>
          <w:spacing w:val="-7"/>
          <w:sz w:val="24"/>
          <w:szCs w:val="24"/>
        </w:rPr>
        <w:t xml:space="preserve"> </w:t>
      </w:r>
      <w:r w:rsidRPr="00C0758E">
        <w:rPr>
          <w:sz w:val="24"/>
          <w:szCs w:val="24"/>
        </w:rPr>
        <w:t>snarest</w:t>
      </w:r>
      <w:r w:rsidRPr="00C0758E">
        <w:rPr>
          <w:spacing w:val="-7"/>
          <w:sz w:val="24"/>
          <w:szCs w:val="24"/>
        </w:rPr>
        <w:t xml:space="preserve"> </w:t>
      </w:r>
      <w:r w:rsidRPr="00C0758E">
        <w:rPr>
          <w:sz w:val="24"/>
          <w:szCs w:val="24"/>
        </w:rPr>
        <w:t>muligt</w:t>
      </w:r>
      <w:r w:rsidRPr="00C0758E">
        <w:rPr>
          <w:spacing w:val="-5"/>
          <w:sz w:val="24"/>
          <w:szCs w:val="24"/>
        </w:rPr>
        <w:t xml:space="preserve"> </w:t>
      </w:r>
      <w:r w:rsidRPr="00C0758E">
        <w:rPr>
          <w:sz w:val="24"/>
          <w:szCs w:val="24"/>
        </w:rPr>
        <w:t>samme</w:t>
      </w:r>
      <w:r w:rsidRPr="00C0758E">
        <w:rPr>
          <w:spacing w:val="-9"/>
          <w:sz w:val="24"/>
          <w:szCs w:val="24"/>
        </w:rPr>
        <w:t xml:space="preserve"> </w:t>
      </w:r>
      <w:r w:rsidRPr="00C0758E">
        <w:rPr>
          <w:sz w:val="24"/>
          <w:szCs w:val="24"/>
        </w:rPr>
        <w:t>dag.</w:t>
      </w:r>
      <w:r w:rsidRPr="00C0758E">
        <w:rPr>
          <w:spacing w:val="-7"/>
          <w:sz w:val="24"/>
          <w:szCs w:val="24"/>
        </w:rPr>
        <w:t xml:space="preserve"> </w:t>
      </w:r>
      <w:r w:rsidRPr="00C0758E">
        <w:rPr>
          <w:sz w:val="24"/>
          <w:szCs w:val="24"/>
        </w:rPr>
        <w:t>En</w:t>
      </w:r>
      <w:r w:rsidRPr="00C0758E">
        <w:rPr>
          <w:spacing w:val="-8"/>
          <w:sz w:val="24"/>
          <w:szCs w:val="24"/>
        </w:rPr>
        <w:t xml:space="preserve"> </w:t>
      </w:r>
      <w:r w:rsidRPr="00C0758E">
        <w:rPr>
          <w:sz w:val="24"/>
          <w:szCs w:val="24"/>
        </w:rPr>
        <w:t>behandlingsperiode</w:t>
      </w:r>
      <w:r w:rsidRPr="00C0758E">
        <w:rPr>
          <w:spacing w:val="-5"/>
          <w:sz w:val="24"/>
          <w:szCs w:val="24"/>
        </w:rPr>
        <w:t xml:space="preserve"> på</w:t>
      </w:r>
      <w:r w:rsidR="00211BF4">
        <w:rPr>
          <w:spacing w:val="-5"/>
          <w:sz w:val="24"/>
          <w:szCs w:val="24"/>
        </w:rPr>
        <w:t xml:space="preserve"> </w:t>
      </w:r>
      <w:r w:rsidRPr="00C0758E">
        <w:rPr>
          <w:sz w:val="24"/>
          <w:szCs w:val="24"/>
        </w:rPr>
        <w:t>6</w:t>
      </w:r>
      <w:r w:rsidRPr="00C0758E">
        <w:rPr>
          <w:spacing w:val="-8"/>
          <w:sz w:val="24"/>
          <w:szCs w:val="24"/>
        </w:rPr>
        <w:t> </w:t>
      </w:r>
      <w:r w:rsidRPr="00C0758E">
        <w:rPr>
          <w:sz w:val="24"/>
          <w:szCs w:val="24"/>
        </w:rPr>
        <w:t>måneder</w:t>
      </w:r>
      <w:r w:rsidRPr="00C0758E">
        <w:rPr>
          <w:spacing w:val="-7"/>
          <w:sz w:val="24"/>
          <w:szCs w:val="24"/>
        </w:rPr>
        <w:t xml:space="preserve"> </w:t>
      </w:r>
      <w:r w:rsidRPr="00C0758E">
        <w:rPr>
          <w:sz w:val="24"/>
          <w:szCs w:val="24"/>
        </w:rPr>
        <w:t>anbefales,</w:t>
      </w:r>
      <w:r w:rsidRPr="00C0758E">
        <w:rPr>
          <w:spacing w:val="-7"/>
          <w:sz w:val="24"/>
          <w:szCs w:val="24"/>
        </w:rPr>
        <w:t xml:space="preserve"> </w:t>
      </w:r>
      <w:r w:rsidRPr="00C0758E">
        <w:rPr>
          <w:sz w:val="24"/>
          <w:szCs w:val="24"/>
        </w:rPr>
        <w:t>hvorefter</w:t>
      </w:r>
      <w:r w:rsidRPr="00C0758E">
        <w:rPr>
          <w:spacing w:val="-6"/>
          <w:sz w:val="24"/>
          <w:szCs w:val="24"/>
        </w:rPr>
        <w:t xml:space="preserve"> </w:t>
      </w:r>
      <w:r w:rsidRPr="00C0758E">
        <w:rPr>
          <w:sz w:val="24"/>
          <w:szCs w:val="24"/>
        </w:rPr>
        <w:t>behandlingseffekten</w:t>
      </w:r>
      <w:r w:rsidRPr="00C0758E">
        <w:rPr>
          <w:spacing w:val="-6"/>
          <w:sz w:val="24"/>
          <w:szCs w:val="24"/>
        </w:rPr>
        <w:t xml:space="preserve"> </w:t>
      </w:r>
      <w:r w:rsidRPr="00C0758E">
        <w:rPr>
          <w:sz w:val="24"/>
          <w:szCs w:val="24"/>
        </w:rPr>
        <w:t>skal</w:t>
      </w:r>
      <w:r w:rsidRPr="00C0758E">
        <w:rPr>
          <w:spacing w:val="-4"/>
          <w:sz w:val="24"/>
          <w:szCs w:val="24"/>
        </w:rPr>
        <w:t xml:space="preserve"> </w:t>
      </w:r>
      <w:r w:rsidRPr="00C0758E">
        <w:rPr>
          <w:sz w:val="24"/>
          <w:szCs w:val="24"/>
        </w:rPr>
        <w:t>evalueres.</w:t>
      </w:r>
      <w:r w:rsidRPr="00C0758E">
        <w:rPr>
          <w:spacing w:val="-5"/>
          <w:sz w:val="24"/>
          <w:szCs w:val="24"/>
        </w:rPr>
        <w:t xml:space="preserve"> </w:t>
      </w:r>
      <w:r w:rsidRPr="00C0758E">
        <w:rPr>
          <w:sz w:val="24"/>
          <w:szCs w:val="24"/>
        </w:rPr>
        <w:t>Behandlingen</w:t>
      </w:r>
      <w:r w:rsidRPr="00C0758E">
        <w:rPr>
          <w:spacing w:val="-9"/>
          <w:sz w:val="24"/>
          <w:szCs w:val="24"/>
        </w:rPr>
        <w:t xml:space="preserve"> </w:t>
      </w:r>
      <w:r w:rsidRPr="00C0758E">
        <w:rPr>
          <w:sz w:val="24"/>
          <w:szCs w:val="24"/>
        </w:rPr>
        <w:t>bør</w:t>
      </w:r>
      <w:r w:rsidRPr="00C0758E">
        <w:rPr>
          <w:spacing w:val="-7"/>
          <w:sz w:val="24"/>
          <w:szCs w:val="24"/>
        </w:rPr>
        <w:t xml:space="preserve"> </w:t>
      </w:r>
      <w:r w:rsidRPr="00C0758E">
        <w:rPr>
          <w:sz w:val="24"/>
          <w:szCs w:val="24"/>
        </w:rPr>
        <w:t>evalueres</w:t>
      </w:r>
      <w:r w:rsidRPr="00C0758E">
        <w:rPr>
          <w:spacing w:val="-9"/>
          <w:sz w:val="24"/>
          <w:szCs w:val="24"/>
        </w:rPr>
        <w:t xml:space="preserve"> </w:t>
      </w:r>
      <w:r w:rsidRPr="00C0758E">
        <w:rPr>
          <w:sz w:val="24"/>
          <w:szCs w:val="24"/>
        </w:rPr>
        <w:t>efter 12 uger hos børn under 2 år. Der foreligger ingen data</w:t>
      </w:r>
      <w:r w:rsidRPr="00C0758E">
        <w:rPr>
          <w:spacing w:val="-1"/>
          <w:sz w:val="24"/>
          <w:szCs w:val="24"/>
        </w:rPr>
        <w:t xml:space="preserve"> </w:t>
      </w:r>
      <w:r w:rsidRPr="00C0758E">
        <w:rPr>
          <w:sz w:val="24"/>
          <w:szCs w:val="24"/>
        </w:rPr>
        <w:t>for pædiatriske patienter efter 6 måneder (se pkt. 5.1).</w:t>
      </w:r>
    </w:p>
    <w:p w14:paraId="4EE73BAB" w14:textId="77777777" w:rsidR="00C0758E" w:rsidRPr="00C0758E" w:rsidRDefault="00C0758E" w:rsidP="00C0758E">
      <w:pPr>
        <w:pStyle w:val="Brdtekst"/>
        <w:ind w:left="851"/>
        <w:rPr>
          <w:sz w:val="24"/>
          <w:szCs w:val="24"/>
        </w:rPr>
      </w:pPr>
    </w:p>
    <w:p w14:paraId="17E8EDC2" w14:textId="77777777" w:rsidR="00C0758E" w:rsidRPr="00C0758E" w:rsidRDefault="00C0758E" w:rsidP="00C0758E">
      <w:pPr>
        <w:ind w:left="851"/>
        <w:rPr>
          <w:bCs/>
          <w:sz w:val="24"/>
          <w:szCs w:val="24"/>
        </w:rPr>
      </w:pPr>
      <w:r w:rsidRPr="00C0758E">
        <w:rPr>
          <w:bCs/>
          <w:i/>
          <w:iCs/>
          <w:spacing w:val="-2"/>
          <w:sz w:val="24"/>
          <w:szCs w:val="24"/>
        </w:rPr>
        <w:t>Tabel 2</w:t>
      </w:r>
    </w:p>
    <w:tbl>
      <w:tblPr>
        <w:tblW w:w="0" w:type="auto"/>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9"/>
        <w:gridCol w:w="3123"/>
      </w:tblGrid>
      <w:tr w:rsidR="00C0758E" w14:paraId="71D502C2" w14:textId="77777777" w:rsidTr="00211BF4">
        <w:trPr>
          <w:trHeight w:val="563"/>
        </w:trPr>
        <w:tc>
          <w:tcPr>
            <w:tcW w:w="2269" w:type="dxa"/>
            <w:tcBorders>
              <w:top w:val="single" w:sz="4" w:space="0" w:color="000000"/>
              <w:left w:val="single" w:sz="4" w:space="0" w:color="000000"/>
              <w:bottom w:val="single" w:sz="4" w:space="0" w:color="000000"/>
              <w:right w:val="single" w:sz="4" w:space="0" w:color="000000"/>
            </w:tcBorders>
          </w:tcPr>
          <w:p w14:paraId="5DF5EEC3" w14:textId="77777777" w:rsidR="00C0758E" w:rsidRDefault="00C0758E">
            <w:pPr>
              <w:pStyle w:val="TableParagraph"/>
              <w:spacing w:before="0"/>
              <w:jc w:val="left"/>
              <w:rPr>
                <w:bCs/>
                <w:lang w:val="en-US"/>
              </w:rPr>
            </w:pPr>
          </w:p>
          <w:p w14:paraId="3ED58D06" w14:textId="77777777" w:rsidR="00C0758E" w:rsidRDefault="00C0758E">
            <w:pPr>
              <w:pStyle w:val="TableParagraph"/>
              <w:spacing w:before="0"/>
              <w:rPr>
                <w:lang w:val="en-US"/>
              </w:rPr>
            </w:pPr>
            <w:r>
              <w:rPr>
                <w:spacing w:val="-2"/>
                <w:lang w:val="en-US"/>
              </w:rPr>
              <w:t>Kropsvægt</w:t>
            </w:r>
          </w:p>
        </w:tc>
        <w:tc>
          <w:tcPr>
            <w:tcW w:w="3123" w:type="dxa"/>
            <w:tcBorders>
              <w:top w:val="single" w:sz="4" w:space="0" w:color="000000"/>
              <w:left w:val="single" w:sz="4" w:space="0" w:color="000000"/>
              <w:bottom w:val="single" w:sz="4" w:space="0" w:color="000000"/>
              <w:right w:val="single" w:sz="4" w:space="0" w:color="000000"/>
            </w:tcBorders>
            <w:hideMark/>
          </w:tcPr>
          <w:p w14:paraId="21900562" w14:textId="77777777" w:rsidR="00C0758E" w:rsidRDefault="00C0758E">
            <w:pPr>
              <w:pStyle w:val="TableParagraph"/>
              <w:spacing w:before="0"/>
              <w:rPr>
                <w:b/>
                <w:lang w:val="en-US"/>
              </w:rPr>
            </w:pPr>
            <w:r>
              <w:rPr>
                <w:b/>
                <w:lang w:val="en-US"/>
              </w:rPr>
              <w:t>5</w:t>
            </w:r>
            <w:r>
              <w:rPr>
                <w:b/>
                <w:spacing w:val="-2"/>
                <w:lang w:val="en-US"/>
              </w:rPr>
              <w:t> </w:t>
            </w:r>
            <w:r>
              <w:rPr>
                <w:b/>
                <w:lang w:val="en-US"/>
              </w:rPr>
              <w:t xml:space="preserve">mg </w:t>
            </w:r>
            <w:r>
              <w:rPr>
                <w:b/>
                <w:spacing w:val="-2"/>
                <w:lang w:val="en-US"/>
              </w:rPr>
              <w:t>styrke</w:t>
            </w:r>
          </w:p>
          <w:p w14:paraId="2D2B5127" w14:textId="77777777" w:rsidR="00C0758E" w:rsidRDefault="00C0758E">
            <w:pPr>
              <w:pStyle w:val="TableParagraph"/>
              <w:spacing w:before="0"/>
              <w:rPr>
                <w:lang w:val="en-US"/>
              </w:rPr>
            </w:pPr>
            <w:r>
              <w:rPr>
                <w:spacing w:val="-2"/>
                <w:lang w:val="en-US"/>
              </w:rPr>
              <w:t>Injektionsvolumen</w:t>
            </w:r>
          </w:p>
        </w:tc>
      </w:tr>
      <w:tr w:rsidR="00C0758E" w14:paraId="5AD72A11" w14:textId="77777777" w:rsidTr="00211BF4">
        <w:trPr>
          <w:trHeight w:val="309"/>
        </w:trPr>
        <w:tc>
          <w:tcPr>
            <w:tcW w:w="2269" w:type="dxa"/>
            <w:tcBorders>
              <w:top w:val="single" w:sz="4" w:space="0" w:color="000000"/>
              <w:left w:val="single" w:sz="4" w:space="0" w:color="000000"/>
              <w:bottom w:val="single" w:sz="4" w:space="0" w:color="000000"/>
              <w:right w:val="single" w:sz="4" w:space="0" w:color="000000"/>
            </w:tcBorders>
            <w:hideMark/>
          </w:tcPr>
          <w:p w14:paraId="13D7B228" w14:textId="77777777" w:rsidR="00C0758E" w:rsidRDefault="00C0758E">
            <w:pPr>
              <w:pStyle w:val="TableParagraph"/>
              <w:spacing w:before="0"/>
              <w:rPr>
                <w:lang w:val="en-US"/>
              </w:rPr>
            </w:pPr>
            <w:r>
              <w:rPr>
                <w:lang w:val="en-US"/>
              </w:rPr>
              <w:t>10</w:t>
            </w:r>
            <w:r>
              <w:rPr>
                <w:lang w:val="en-US"/>
              </w:rPr>
              <w:noBreakHyphen/>
              <w:t>11</w:t>
            </w:r>
            <w:r>
              <w:rPr>
                <w:spacing w:val="-5"/>
                <w:lang w:val="en-US"/>
              </w:rPr>
              <w:t> kg</w:t>
            </w:r>
          </w:p>
        </w:tc>
        <w:tc>
          <w:tcPr>
            <w:tcW w:w="3123" w:type="dxa"/>
            <w:tcBorders>
              <w:top w:val="single" w:sz="4" w:space="0" w:color="000000"/>
              <w:left w:val="single" w:sz="4" w:space="0" w:color="000000"/>
              <w:bottom w:val="single" w:sz="4" w:space="0" w:color="000000"/>
              <w:right w:val="single" w:sz="4" w:space="0" w:color="000000"/>
            </w:tcBorders>
            <w:hideMark/>
          </w:tcPr>
          <w:p w14:paraId="54DA6EBD" w14:textId="77777777" w:rsidR="00C0758E" w:rsidRDefault="00C0758E">
            <w:pPr>
              <w:pStyle w:val="TableParagraph"/>
              <w:spacing w:before="0"/>
              <w:rPr>
                <w:lang w:val="en-US"/>
              </w:rPr>
            </w:pPr>
            <w:r>
              <w:rPr>
                <w:lang w:val="en-US"/>
              </w:rPr>
              <w:t>0,05 </w:t>
            </w:r>
            <w:r>
              <w:rPr>
                <w:spacing w:val="-5"/>
                <w:lang w:val="en-US"/>
              </w:rPr>
              <w:t>ml</w:t>
            </w:r>
          </w:p>
        </w:tc>
      </w:tr>
      <w:tr w:rsidR="00C0758E" w14:paraId="6BF08C94" w14:textId="77777777" w:rsidTr="00211BF4">
        <w:trPr>
          <w:trHeight w:val="309"/>
        </w:trPr>
        <w:tc>
          <w:tcPr>
            <w:tcW w:w="2269" w:type="dxa"/>
            <w:tcBorders>
              <w:top w:val="single" w:sz="4" w:space="0" w:color="000000"/>
              <w:left w:val="single" w:sz="4" w:space="0" w:color="000000"/>
              <w:bottom w:val="single" w:sz="4" w:space="0" w:color="000000"/>
              <w:right w:val="single" w:sz="4" w:space="0" w:color="000000"/>
            </w:tcBorders>
            <w:hideMark/>
          </w:tcPr>
          <w:p w14:paraId="0B75AD1D" w14:textId="77777777" w:rsidR="00C0758E" w:rsidRDefault="00C0758E">
            <w:pPr>
              <w:pStyle w:val="TableParagraph"/>
              <w:spacing w:before="0"/>
              <w:rPr>
                <w:lang w:val="en-US"/>
              </w:rPr>
            </w:pPr>
            <w:r>
              <w:rPr>
                <w:lang w:val="en-US"/>
              </w:rPr>
              <w:t>12</w:t>
            </w:r>
            <w:r>
              <w:rPr>
                <w:lang w:val="en-US"/>
              </w:rPr>
              <w:noBreakHyphen/>
              <w:t>13</w:t>
            </w:r>
            <w:r>
              <w:rPr>
                <w:spacing w:val="-5"/>
                <w:lang w:val="en-US"/>
              </w:rPr>
              <w:t> kg</w:t>
            </w:r>
          </w:p>
        </w:tc>
        <w:tc>
          <w:tcPr>
            <w:tcW w:w="3123" w:type="dxa"/>
            <w:tcBorders>
              <w:top w:val="single" w:sz="4" w:space="0" w:color="000000"/>
              <w:left w:val="single" w:sz="4" w:space="0" w:color="000000"/>
              <w:bottom w:val="single" w:sz="4" w:space="0" w:color="000000"/>
              <w:right w:val="single" w:sz="4" w:space="0" w:color="000000"/>
            </w:tcBorders>
            <w:hideMark/>
          </w:tcPr>
          <w:p w14:paraId="3C7EEA55" w14:textId="77777777" w:rsidR="00C0758E" w:rsidRDefault="00C0758E">
            <w:pPr>
              <w:pStyle w:val="TableParagraph"/>
              <w:spacing w:before="0"/>
              <w:rPr>
                <w:lang w:val="en-US"/>
              </w:rPr>
            </w:pPr>
            <w:r>
              <w:rPr>
                <w:lang w:val="en-US"/>
              </w:rPr>
              <w:t>0,06 </w:t>
            </w:r>
            <w:r>
              <w:rPr>
                <w:spacing w:val="-5"/>
                <w:lang w:val="en-US"/>
              </w:rPr>
              <w:t>ml</w:t>
            </w:r>
          </w:p>
        </w:tc>
      </w:tr>
      <w:tr w:rsidR="00C0758E" w14:paraId="528D3658" w14:textId="77777777" w:rsidTr="00211BF4">
        <w:trPr>
          <w:trHeight w:val="306"/>
        </w:trPr>
        <w:tc>
          <w:tcPr>
            <w:tcW w:w="2269" w:type="dxa"/>
            <w:tcBorders>
              <w:top w:val="single" w:sz="4" w:space="0" w:color="000000"/>
              <w:left w:val="single" w:sz="4" w:space="0" w:color="000000"/>
              <w:bottom w:val="single" w:sz="4" w:space="0" w:color="000000"/>
              <w:right w:val="single" w:sz="4" w:space="0" w:color="000000"/>
            </w:tcBorders>
            <w:hideMark/>
          </w:tcPr>
          <w:p w14:paraId="064DF178" w14:textId="77777777" w:rsidR="00C0758E" w:rsidRDefault="00C0758E">
            <w:pPr>
              <w:pStyle w:val="TableParagraph"/>
              <w:spacing w:before="0"/>
              <w:rPr>
                <w:lang w:val="en-US"/>
              </w:rPr>
            </w:pPr>
            <w:r>
              <w:rPr>
                <w:lang w:val="en-US"/>
              </w:rPr>
              <w:t>14</w:t>
            </w:r>
            <w:r>
              <w:rPr>
                <w:lang w:val="en-US"/>
              </w:rPr>
              <w:noBreakHyphen/>
              <w:t>17</w:t>
            </w:r>
            <w:r>
              <w:rPr>
                <w:spacing w:val="-5"/>
                <w:lang w:val="en-US"/>
              </w:rPr>
              <w:t> kg</w:t>
            </w:r>
          </w:p>
        </w:tc>
        <w:tc>
          <w:tcPr>
            <w:tcW w:w="3123" w:type="dxa"/>
            <w:tcBorders>
              <w:top w:val="single" w:sz="4" w:space="0" w:color="000000"/>
              <w:left w:val="single" w:sz="4" w:space="0" w:color="000000"/>
              <w:bottom w:val="single" w:sz="4" w:space="0" w:color="000000"/>
              <w:right w:val="single" w:sz="4" w:space="0" w:color="000000"/>
            </w:tcBorders>
            <w:hideMark/>
          </w:tcPr>
          <w:p w14:paraId="77354B0D" w14:textId="77777777" w:rsidR="00C0758E" w:rsidRDefault="00C0758E">
            <w:pPr>
              <w:pStyle w:val="TableParagraph"/>
              <w:spacing w:before="0"/>
              <w:rPr>
                <w:lang w:val="en-US"/>
              </w:rPr>
            </w:pPr>
            <w:r>
              <w:rPr>
                <w:lang w:val="en-US"/>
              </w:rPr>
              <w:t>0,08 </w:t>
            </w:r>
            <w:r>
              <w:rPr>
                <w:spacing w:val="-5"/>
                <w:lang w:val="en-US"/>
              </w:rPr>
              <w:t>ml</w:t>
            </w:r>
          </w:p>
        </w:tc>
      </w:tr>
      <w:tr w:rsidR="00C0758E" w14:paraId="236AACFA" w14:textId="77777777" w:rsidTr="00211BF4">
        <w:trPr>
          <w:trHeight w:val="309"/>
        </w:trPr>
        <w:tc>
          <w:tcPr>
            <w:tcW w:w="2269" w:type="dxa"/>
            <w:tcBorders>
              <w:top w:val="single" w:sz="4" w:space="0" w:color="000000"/>
              <w:left w:val="single" w:sz="4" w:space="0" w:color="000000"/>
              <w:bottom w:val="single" w:sz="4" w:space="0" w:color="000000"/>
              <w:right w:val="single" w:sz="4" w:space="0" w:color="000000"/>
            </w:tcBorders>
            <w:hideMark/>
          </w:tcPr>
          <w:p w14:paraId="0E6ABB4B" w14:textId="77777777" w:rsidR="00C0758E" w:rsidRDefault="00C0758E">
            <w:pPr>
              <w:pStyle w:val="TableParagraph"/>
              <w:spacing w:before="0"/>
              <w:rPr>
                <w:lang w:val="en-US"/>
              </w:rPr>
            </w:pPr>
            <w:r>
              <w:rPr>
                <w:lang w:val="en-US"/>
              </w:rPr>
              <w:t>18</w:t>
            </w:r>
            <w:r>
              <w:rPr>
                <w:lang w:val="en-US"/>
              </w:rPr>
              <w:noBreakHyphen/>
              <w:t>21</w:t>
            </w:r>
            <w:r>
              <w:rPr>
                <w:spacing w:val="-5"/>
                <w:lang w:val="en-US"/>
              </w:rPr>
              <w:t> kg</w:t>
            </w:r>
          </w:p>
        </w:tc>
        <w:tc>
          <w:tcPr>
            <w:tcW w:w="3123" w:type="dxa"/>
            <w:tcBorders>
              <w:top w:val="single" w:sz="4" w:space="0" w:color="000000"/>
              <w:left w:val="single" w:sz="4" w:space="0" w:color="000000"/>
              <w:bottom w:val="single" w:sz="4" w:space="0" w:color="000000"/>
              <w:right w:val="single" w:sz="4" w:space="0" w:color="000000"/>
            </w:tcBorders>
            <w:hideMark/>
          </w:tcPr>
          <w:p w14:paraId="2F9FE03F" w14:textId="77777777" w:rsidR="00C0758E" w:rsidRDefault="00C0758E">
            <w:pPr>
              <w:pStyle w:val="TableParagraph"/>
              <w:spacing w:before="0"/>
              <w:rPr>
                <w:lang w:val="en-US"/>
              </w:rPr>
            </w:pPr>
            <w:r>
              <w:rPr>
                <w:lang w:val="en-US"/>
              </w:rPr>
              <w:t>0,10 </w:t>
            </w:r>
            <w:r>
              <w:rPr>
                <w:spacing w:val="-5"/>
                <w:lang w:val="en-US"/>
              </w:rPr>
              <w:t>ml</w:t>
            </w:r>
          </w:p>
        </w:tc>
      </w:tr>
      <w:tr w:rsidR="00C0758E" w14:paraId="2EE34751" w14:textId="77777777" w:rsidTr="00211BF4">
        <w:trPr>
          <w:trHeight w:val="309"/>
        </w:trPr>
        <w:tc>
          <w:tcPr>
            <w:tcW w:w="2269" w:type="dxa"/>
            <w:tcBorders>
              <w:top w:val="single" w:sz="4" w:space="0" w:color="000000"/>
              <w:left w:val="single" w:sz="4" w:space="0" w:color="000000"/>
              <w:bottom w:val="single" w:sz="4" w:space="0" w:color="000000"/>
              <w:right w:val="single" w:sz="4" w:space="0" w:color="000000"/>
            </w:tcBorders>
            <w:hideMark/>
          </w:tcPr>
          <w:p w14:paraId="4E7AAF5D" w14:textId="77777777" w:rsidR="00C0758E" w:rsidRDefault="00C0758E">
            <w:pPr>
              <w:pStyle w:val="TableParagraph"/>
              <w:spacing w:before="0"/>
              <w:rPr>
                <w:lang w:val="en-US"/>
              </w:rPr>
            </w:pPr>
            <w:r>
              <w:rPr>
                <w:lang w:val="en-US"/>
              </w:rPr>
              <w:t>22</w:t>
            </w:r>
            <w:r>
              <w:rPr>
                <w:lang w:val="en-US"/>
              </w:rPr>
              <w:noBreakHyphen/>
              <w:t>25</w:t>
            </w:r>
            <w:r>
              <w:rPr>
                <w:spacing w:val="-5"/>
                <w:lang w:val="en-US"/>
              </w:rPr>
              <w:t> kg</w:t>
            </w:r>
          </w:p>
        </w:tc>
        <w:tc>
          <w:tcPr>
            <w:tcW w:w="3123" w:type="dxa"/>
            <w:tcBorders>
              <w:top w:val="single" w:sz="4" w:space="0" w:color="000000"/>
              <w:left w:val="single" w:sz="4" w:space="0" w:color="000000"/>
              <w:bottom w:val="single" w:sz="4" w:space="0" w:color="000000"/>
              <w:right w:val="single" w:sz="4" w:space="0" w:color="000000"/>
            </w:tcBorders>
            <w:hideMark/>
          </w:tcPr>
          <w:p w14:paraId="53A653A2" w14:textId="77777777" w:rsidR="00C0758E" w:rsidRDefault="00C0758E">
            <w:pPr>
              <w:pStyle w:val="TableParagraph"/>
              <w:spacing w:before="0"/>
              <w:rPr>
                <w:lang w:val="en-US"/>
              </w:rPr>
            </w:pPr>
            <w:r>
              <w:rPr>
                <w:lang w:val="en-US"/>
              </w:rPr>
              <w:t>0,12 </w:t>
            </w:r>
            <w:r>
              <w:rPr>
                <w:spacing w:val="-5"/>
                <w:lang w:val="en-US"/>
              </w:rPr>
              <w:t>ml</w:t>
            </w:r>
          </w:p>
        </w:tc>
      </w:tr>
      <w:tr w:rsidR="00C0758E" w14:paraId="2305590C" w14:textId="77777777" w:rsidTr="00211BF4">
        <w:trPr>
          <w:trHeight w:val="309"/>
        </w:trPr>
        <w:tc>
          <w:tcPr>
            <w:tcW w:w="2269" w:type="dxa"/>
            <w:tcBorders>
              <w:top w:val="single" w:sz="4" w:space="0" w:color="000000"/>
              <w:left w:val="single" w:sz="4" w:space="0" w:color="000000"/>
              <w:bottom w:val="single" w:sz="4" w:space="0" w:color="000000"/>
              <w:right w:val="single" w:sz="4" w:space="0" w:color="000000"/>
            </w:tcBorders>
            <w:hideMark/>
          </w:tcPr>
          <w:p w14:paraId="6033C39E" w14:textId="77777777" w:rsidR="00C0758E" w:rsidRDefault="00C0758E">
            <w:pPr>
              <w:pStyle w:val="TableParagraph"/>
              <w:spacing w:before="0"/>
              <w:rPr>
                <w:lang w:val="en-US"/>
              </w:rPr>
            </w:pPr>
            <w:r>
              <w:rPr>
                <w:lang w:val="en-US"/>
              </w:rPr>
              <w:t>26</w:t>
            </w:r>
            <w:r>
              <w:rPr>
                <w:lang w:val="en-US"/>
              </w:rPr>
              <w:noBreakHyphen/>
              <w:t>29</w:t>
            </w:r>
            <w:r>
              <w:rPr>
                <w:spacing w:val="-5"/>
                <w:lang w:val="en-US"/>
              </w:rPr>
              <w:t> kg</w:t>
            </w:r>
          </w:p>
        </w:tc>
        <w:tc>
          <w:tcPr>
            <w:tcW w:w="3123" w:type="dxa"/>
            <w:tcBorders>
              <w:top w:val="single" w:sz="4" w:space="0" w:color="000000"/>
              <w:left w:val="single" w:sz="4" w:space="0" w:color="000000"/>
              <w:bottom w:val="single" w:sz="4" w:space="0" w:color="000000"/>
              <w:right w:val="single" w:sz="4" w:space="0" w:color="000000"/>
            </w:tcBorders>
            <w:hideMark/>
          </w:tcPr>
          <w:p w14:paraId="3CE47265" w14:textId="77777777" w:rsidR="00C0758E" w:rsidRDefault="00C0758E">
            <w:pPr>
              <w:pStyle w:val="TableParagraph"/>
              <w:spacing w:before="0"/>
              <w:rPr>
                <w:lang w:val="en-US"/>
              </w:rPr>
            </w:pPr>
            <w:r>
              <w:rPr>
                <w:lang w:val="en-US"/>
              </w:rPr>
              <w:t>0,14 </w:t>
            </w:r>
            <w:r>
              <w:rPr>
                <w:spacing w:val="-5"/>
                <w:lang w:val="en-US"/>
              </w:rPr>
              <w:t>ml</w:t>
            </w:r>
          </w:p>
        </w:tc>
      </w:tr>
      <w:tr w:rsidR="00C0758E" w14:paraId="4DD217C2" w14:textId="77777777" w:rsidTr="00211BF4">
        <w:trPr>
          <w:trHeight w:val="309"/>
        </w:trPr>
        <w:tc>
          <w:tcPr>
            <w:tcW w:w="2269" w:type="dxa"/>
            <w:tcBorders>
              <w:top w:val="single" w:sz="4" w:space="0" w:color="000000"/>
              <w:left w:val="single" w:sz="4" w:space="0" w:color="000000"/>
              <w:bottom w:val="single" w:sz="4" w:space="0" w:color="000000"/>
              <w:right w:val="single" w:sz="4" w:space="0" w:color="000000"/>
            </w:tcBorders>
            <w:hideMark/>
          </w:tcPr>
          <w:p w14:paraId="1F35D85C" w14:textId="77777777" w:rsidR="00C0758E" w:rsidRDefault="00C0758E">
            <w:pPr>
              <w:pStyle w:val="TableParagraph"/>
              <w:spacing w:before="0"/>
              <w:rPr>
                <w:lang w:val="en-US"/>
              </w:rPr>
            </w:pPr>
            <w:r>
              <w:rPr>
                <w:lang w:val="en-US"/>
              </w:rPr>
              <w:t>30</w:t>
            </w:r>
            <w:r>
              <w:rPr>
                <w:lang w:val="en-US"/>
              </w:rPr>
              <w:noBreakHyphen/>
              <w:t>33</w:t>
            </w:r>
            <w:r>
              <w:rPr>
                <w:spacing w:val="-5"/>
                <w:lang w:val="en-US"/>
              </w:rPr>
              <w:t> kg</w:t>
            </w:r>
          </w:p>
        </w:tc>
        <w:tc>
          <w:tcPr>
            <w:tcW w:w="3123" w:type="dxa"/>
            <w:tcBorders>
              <w:top w:val="single" w:sz="4" w:space="0" w:color="000000"/>
              <w:left w:val="single" w:sz="4" w:space="0" w:color="000000"/>
              <w:bottom w:val="single" w:sz="4" w:space="0" w:color="000000"/>
              <w:right w:val="single" w:sz="4" w:space="0" w:color="000000"/>
            </w:tcBorders>
            <w:hideMark/>
          </w:tcPr>
          <w:p w14:paraId="6FBA0155" w14:textId="77777777" w:rsidR="00C0758E" w:rsidRDefault="00C0758E">
            <w:pPr>
              <w:pStyle w:val="TableParagraph"/>
              <w:spacing w:before="0"/>
              <w:rPr>
                <w:lang w:val="en-US"/>
              </w:rPr>
            </w:pPr>
            <w:r>
              <w:rPr>
                <w:lang w:val="en-US"/>
              </w:rPr>
              <w:t>0,16 </w:t>
            </w:r>
            <w:r>
              <w:rPr>
                <w:spacing w:val="-5"/>
                <w:lang w:val="en-US"/>
              </w:rPr>
              <w:t>ml</w:t>
            </w:r>
          </w:p>
        </w:tc>
      </w:tr>
      <w:tr w:rsidR="00C0758E" w14:paraId="14B96FBA" w14:textId="77777777" w:rsidTr="00211BF4">
        <w:trPr>
          <w:trHeight w:val="309"/>
        </w:trPr>
        <w:tc>
          <w:tcPr>
            <w:tcW w:w="2269" w:type="dxa"/>
            <w:tcBorders>
              <w:top w:val="single" w:sz="4" w:space="0" w:color="000000"/>
              <w:left w:val="single" w:sz="4" w:space="0" w:color="000000"/>
              <w:bottom w:val="single" w:sz="4" w:space="0" w:color="000000"/>
              <w:right w:val="single" w:sz="4" w:space="0" w:color="000000"/>
            </w:tcBorders>
            <w:hideMark/>
          </w:tcPr>
          <w:p w14:paraId="0FE64D50" w14:textId="77777777" w:rsidR="00C0758E" w:rsidRDefault="00C0758E">
            <w:pPr>
              <w:pStyle w:val="TableParagraph"/>
              <w:spacing w:before="0"/>
              <w:rPr>
                <w:lang w:val="en-US"/>
              </w:rPr>
            </w:pPr>
            <w:r>
              <w:rPr>
                <w:lang w:val="en-US"/>
              </w:rPr>
              <w:t>34</w:t>
            </w:r>
            <w:r>
              <w:rPr>
                <w:lang w:val="en-US"/>
              </w:rPr>
              <w:noBreakHyphen/>
              <w:t>37</w:t>
            </w:r>
            <w:r>
              <w:rPr>
                <w:spacing w:val="-5"/>
                <w:lang w:val="en-US"/>
              </w:rPr>
              <w:t> kg</w:t>
            </w:r>
          </w:p>
        </w:tc>
        <w:tc>
          <w:tcPr>
            <w:tcW w:w="3123" w:type="dxa"/>
            <w:tcBorders>
              <w:top w:val="single" w:sz="4" w:space="0" w:color="000000"/>
              <w:left w:val="single" w:sz="4" w:space="0" w:color="000000"/>
              <w:bottom w:val="single" w:sz="4" w:space="0" w:color="000000"/>
              <w:right w:val="single" w:sz="4" w:space="0" w:color="000000"/>
            </w:tcBorders>
            <w:hideMark/>
          </w:tcPr>
          <w:p w14:paraId="1130B5C1" w14:textId="77777777" w:rsidR="00C0758E" w:rsidRDefault="00C0758E">
            <w:pPr>
              <w:pStyle w:val="TableParagraph"/>
              <w:spacing w:before="0"/>
              <w:rPr>
                <w:lang w:val="en-US"/>
              </w:rPr>
            </w:pPr>
            <w:r>
              <w:rPr>
                <w:lang w:val="en-US"/>
              </w:rPr>
              <w:t>0,18 </w:t>
            </w:r>
            <w:r>
              <w:rPr>
                <w:spacing w:val="-5"/>
                <w:lang w:val="en-US"/>
              </w:rPr>
              <w:t>ml</w:t>
            </w:r>
          </w:p>
        </w:tc>
      </w:tr>
      <w:tr w:rsidR="00C0758E" w14:paraId="5BEE5F82" w14:textId="77777777" w:rsidTr="00211BF4">
        <w:trPr>
          <w:trHeight w:val="309"/>
        </w:trPr>
        <w:tc>
          <w:tcPr>
            <w:tcW w:w="2269" w:type="dxa"/>
            <w:tcBorders>
              <w:top w:val="single" w:sz="4" w:space="0" w:color="000000"/>
              <w:left w:val="single" w:sz="4" w:space="0" w:color="000000"/>
              <w:bottom w:val="single" w:sz="4" w:space="0" w:color="000000"/>
              <w:right w:val="single" w:sz="4" w:space="0" w:color="000000"/>
            </w:tcBorders>
            <w:hideMark/>
          </w:tcPr>
          <w:p w14:paraId="28FFF868" w14:textId="77777777" w:rsidR="00C0758E" w:rsidRDefault="00C0758E">
            <w:pPr>
              <w:pStyle w:val="TableParagraph"/>
              <w:spacing w:before="0"/>
              <w:rPr>
                <w:lang w:val="en-US"/>
              </w:rPr>
            </w:pPr>
            <w:r>
              <w:rPr>
                <w:lang w:val="en-US"/>
              </w:rPr>
              <w:t>38</w:t>
            </w:r>
            <w:r>
              <w:rPr>
                <w:lang w:val="en-US"/>
              </w:rPr>
              <w:noBreakHyphen/>
              <w:t>41 </w:t>
            </w:r>
            <w:r>
              <w:rPr>
                <w:spacing w:val="-5"/>
                <w:lang w:val="en-US"/>
              </w:rPr>
              <w:t>kg</w:t>
            </w:r>
          </w:p>
        </w:tc>
        <w:tc>
          <w:tcPr>
            <w:tcW w:w="3123" w:type="dxa"/>
            <w:tcBorders>
              <w:top w:val="single" w:sz="4" w:space="0" w:color="000000"/>
              <w:left w:val="single" w:sz="4" w:space="0" w:color="000000"/>
              <w:bottom w:val="single" w:sz="4" w:space="0" w:color="000000"/>
              <w:right w:val="single" w:sz="4" w:space="0" w:color="000000"/>
            </w:tcBorders>
            <w:hideMark/>
          </w:tcPr>
          <w:p w14:paraId="7EE96C58" w14:textId="77777777" w:rsidR="00C0758E" w:rsidRDefault="00C0758E">
            <w:pPr>
              <w:pStyle w:val="TableParagraph"/>
              <w:spacing w:before="0"/>
              <w:rPr>
                <w:lang w:val="en-US"/>
              </w:rPr>
            </w:pPr>
            <w:r>
              <w:rPr>
                <w:lang w:val="en-US"/>
              </w:rPr>
              <w:t>0,20 </w:t>
            </w:r>
            <w:r>
              <w:rPr>
                <w:spacing w:val="-5"/>
                <w:lang w:val="en-US"/>
              </w:rPr>
              <w:t>ml</w:t>
            </w:r>
          </w:p>
        </w:tc>
      </w:tr>
      <w:tr w:rsidR="00C0758E" w14:paraId="4DC799F9" w14:textId="77777777" w:rsidTr="00211BF4">
        <w:trPr>
          <w:trHeight w:val="309"/>
        </w:trPr>
        <w:tc>
          <w:tcPr>
            <w:tcW w:w="2269" w:type="dxa"/>
            <w:tcBorders>
              <w:top w:val="single" w:sz="4" w:space="0" w:color="000000"/>
              <w:left w:val="single" w:sz="4" w:space="0" w:color="000000"/>
              <w:bottom w:val="single" w:sz="4" w:space="0" w:color="000000"/>
              <w:right w:val="single" w:sz="4" w:space="0" w:color="000000"/>
            </w:tcBorders>
            <w:hideMark/>
          </w:tcPr>
          <w:p w14:paraId="62D2DBA9" w14:textId="77777777" w:rsidR="00C0758E" w:rsidRDefault="00C0758E">
            <w:pPr>
              <w:pStyle w:val="TableParagraph"/>
              <w:spacing w:before="0"/>
              <w:rPr>
                <w:lang w:val="en-US"/>
              </w:rPr>
            </w:pPr>
            <w:r>
              <w:rPr>
                <w:lang w:val="en-US"/>
              </w:rPr>
              <w:t>42</w:t>
            </w:r>
            <w:r>
              <w:rPr>
                <w:lang w:val="en-US"/>
              </w:rPr>
              <w:noBreakHyphen/>
              <w:t>45 </w:t>
            </w:r>
            <w:r>
              <w:rPr>
                <w:spacing w:val="-5"/>
                <w:lang w:val="en-US"/>
              </w:rPr>
              <w:t>kg</w:t>
            </w:r>
          </w:p>
        </w:tc>
        <w:tc>
          <w:tcPr>
            <w:tcW w:w="3123" w:type="dxa"/>
            <w:tcBorders>
              <w:top w:val="single" w:sz="4" w:space="0" w:color="000000"/>
              <w:left w:val="single" w:sz="4" w:space="0" w:color="000000"/>
              <w:bottom w:val="single" w:sz="4" w:space="0" w:color="000000"/>
              <w:right w:val="single" w:sz="4" w:space="0" w:color="000000"/>
            </w:tcBorders>
            <w:hideMark/>
          </w:tcPr>
          <w:p w14:paraId="4E41CFA4" w14:textId="77777777" w:rsidR="00C0758E" w:rsidRDefault="00C0758E">
            <w:pPr>
              <w:pStyle w:val="TableParagraph"/>
              <w:spacing w:before="0"/>
              <w:rPr>
                <w:lang w:val="en-US"/>
              </w:rPr>
            </w:pPr>
            <w:r>
              <w:rPr>
                <w:lang w:val="en-US"/>
              </w:rPr>
              <w:t>0,22 </w:t>
            </w:r>
            <w:r>
              <w:rPr>
                <w:spacing w:val="-5"/>
                <w:lang w:val="en-US"/>
              </w:rPr>
              <w:t>ml</w:t>
            </w:r>
          </w:p>
        </w:tc>
      </w:tr>
      <w:tr w:rsidR="00C0758E" w14:paraId="70F50453" w14:textId="77777777" w:rsidTr="00211BF4">
        <w:trPr>
          <w:trHeight w:val="309"/>
        </w:trPr>
        <w:tc>
          <w:tcPr>
            <w:tcW w:w="2269" w:type="dxa"/>
            <w:tcBorders>
              <w:top w:val="single" w:sz="4" w:space="0" w:color="000000"/>
              <w:left w:val="single" w:sz="4" w:space="0" w:color="000000"/>
              <w:bottom w:val="single" w:sz="4" w:space="0" w:color="000000"/>
              <w:right w:val="single" w:sz="4" w:space="0" w:color="000000"/>
            </w:tcBorders>
            <w:hideMark/>
          </w:tcPr>
          <w:p w14:paraId="7D6AC5A9" w14:textId="77777777" w:rsidR="00C0758E" w:rsidRDefault="00C0758E">
            <w:pPr>
              <w:pStyle w:val="TableParagraph"/>
              <w:spacing w:before="0"/>
              <w:rPr>
                <w:lang w:val="en-US"/>
              </w:rPr>
            </w:pPr>
            <w:r>
              <w:rPr>
                <w:lang w:val="en-US"/>
              </w:rPr>
              <w:t>46</w:t>
            </w:r>
            <w:r>
              <w:rPr>
                <w:lang w:val="en-US"/>
              </w:rPr>
              <w:noBreakHyphen/>
              <w:t>49 </w:t>
            </w:r>
            <w:r>
              <w:rPr>
                <w:spacing w:val="-5"/>
                <w:lang w:val="en-US"/>
              </w:rPr>
              <w:t>kg</w:t>
            </w:r>
          </w:p>
        </w:tc>
        <w:tc>
          <w:tcPr>
            <w:tcW w:w="3123" w:type="dxa"/>
            <w:tcBorders>
              <w:top w:val="single" w:sz="4" w:space="0" w:color="000000"/>
              <w:left w:val="single" w:sz="4" w:space="0" w:color="000000"/>
              <w:bottom w:val="single" w:sz="4" w:space="0" w:color="000000"/>
              <w:right w:val="single" w:sz="4" w:space="0" w:color="000000"/>
            </w:tcBorders>
            <w:hideMark/>
          </w:tcPr>
          <w:p w14:paraId="042DED4B" w14:textId="77777777" w:rsidR="00C0758E" w:rsidRDefault="00C0758E">
            <w:pPr>
              <w:pStyle w:val="TableParagraph"/>
              <w:spacing w:before="0"/>
              <w:rPr>
                <w:lang w:val="en-US"/>
              </w:rPr>
            </w:pPr>
            <w:r>
              <w:rPr>
                <w:lang w:val="en-US"/>
              </w:rPr>
              <w:t>0,24 </w:t>
            </w:r>
            <w:r>
              <w:rPr>
                <w:spacing w:val="-5"/>
                <w:lang w:val="en-US"/>
              </w:rPr>
              <w:t>ml</w:t>
            </w:r>
          </w:p>
        </w:tc>
      </w:tr>
      <w:tr w:rsidR="00C0758E" w14:paraId="3C99255C" w14:textId="77777777" w:rsidTr="00211BF4">
        <w:trPr>
          <w:trHeight w:val="309"/>
        </w:trPr>
        <w:tc>
          <w:tcPr>
            <w:tcW w:w="2269" w:type="dxa"/>
            <w:tcBorders>
              <w:top w:val="single" w:sz="4" w:space="0" w:color="000000"/>
              <w:left w:val="single" w:sz="4" w:space="0" w:color="000000"/>
              <w:bottom w:val="single" w:sz="4" w:space="0" w:color="000000"/>
              <w:right w:val="single" w:sz="4" w:space="0" w:color="000000"/>
            </w:tcBorders>
            <w:hideMark/>
          </w:tcPr>
          <w:p w14:paraId="02B3D932" w14:textId="77777777" w:rsidR="00C0758E" w:rsidRDefault="00C0758E">
            <w:pPr>
              <w:pStyle w:val="TableParagraph"/>
              <w:spacing w:before="0"/>
              <w:rPr>
                <w:lang w:val="en-US"/>
              </w:rPr>
            </w:pPr>
            <w:r>
              <w:rPr>
                <w:lang w:val="en-US"/>
              </w:rPr>
              <w:t>≥ 50 </w:t>
            </w:r>
            <w:r>
              <w:rPr>
                <w:spacing w:val="-5"/>
                <w:lang w:val="en-US"/>
              </w:rPr>
              <w:t>kg</w:t>
            </w:r>
          </w:p>
        </w:tc>
        <w:tc>
          <w:tcPr>
            <w:tcW w:w="3123" w:type="dxa"/>
            <w:tcBorders>
              <w:top w:val="single" w:sz="4" w:space="0" w:color="000000"/>
              <w:left w:val="single" w:sz="4" w:space="0" w:color="000000"/>
              <w:bottom w:val="single" w:sz="4" w:space="0" w:color="000000"/>
              <w:right w:val="single" w:sz="4" w:space="0" w:color="000000"/>
            </w:tcBorders>
            <w:hideMark/>
          </w:tcPr>
          <w:p w14:paraId="489FFC26" w14:textId="77777777" w:rsidR="00C0758E" w:rsidRPr="00C0758E" w:rsidRDefault="00C0758E">
            <w:pPr>
              <w:pStyle w:val="TableParagraph"/>
              <w:spacing w:before="0"/>
            </w:pPr>
            <w:r w:rsidRPr="00C0758E">
              <w:t>Se</w:t>
            </w:r>
            <w:r w:rsidRPr="00C0758E">
              <w:rPr>
                <w:spacing w:val="-4"/>
              </w:rPr>
              <w:t xml:space="preserve"> </w:t>
            </w:r>
            <w:r w:rsidRPr="00C0758E">
              <w:t>tabel 1</w:t>
            </w:r>
            <w:r w:rsidRPr="00C0758E">
              <w:rPr>
                <w:spacing w:val="-8"/>
              </w:rPr>
              <w:t xml:space="preserve"> </w:t>
            </w:r>
            <w:r w:rsidRPr="00C0758E">
              <w:t>under</w:t>
            </w:r>
            <w:r w:rsidRPr="00C0758E">
              <w:rPr>
                <w:spacing w:val="-1"/>
              </w:rPr>
              <w:t xml:space="preserve"> </w:t>
            </w:r>
            <w:r w:rsidRPr="00C0758E">
              <w:t>punktet</w:t>
            </w:r>
            <w:r w:rsidRPr="00C0758E">
              <w:rPr>
                <w:spacing w:val="-3"/>
              </w:rPr>
              <w:t xml:space="preserve"> </w:t>
            </w:r>
            <w:r w:rsidRPr="00C0758E">
              <w:rPr>
                <w:spacing w:val="-2"/>
              </w:rPr>
              <w:t>”Voksne”.</w:t>
            </w:r>
          </w:p>
        </w:tc>
      </w:tr>
    </w:tbl>
    <w:p w14:paraId="5A3B05F3" w14:textId="77777777" w:rsidR="00C0758E" w:rsidRPr="00C0758E" w:rsidRDefault="00C0758E" w:rsidP="00C0758E">
      <w:pPr>
        <w:pStyle w:val="Brdtekst"/>
        <w:ind w:left="851"/>
        <w:rPr>
          <w:bCs/>
          <w:sz w:val="24"/>
          <w:szCs w:val="24"/>
        </w:rPr>
      </w:pPr>
    </w:p>
    <w:p w14:paraId="256018B7" w14:textId="77777777" w:rsidR="00C0758E" w:rsidRPr="00C0758E" w:rsidRDefault="00C0758E" w:rsidP="00C0758E">
      <w:pPr>
        <w:ind w:left="851"/>
        <w:rPr>
          <w:i/>
          <w:sz w:val="24"/>
          <w:szCs w:val="24"/>
        </w:rPr>
      </w:pPr>
      <w:r w:rsidRPr="00C0758E">
        <w:rPr>
          <w:i/>
          <w:sz w:val="24"/>
          <w:szCs w:val="24"/>
        </w:rPr>
        <w:t>Pædiatrisk</w:t>
      </w:r>
      <w:r w:rsidRPr="00C0758E">
        <w:rPr>
          <w:i/>
          <w:spacing w:val="-7"/>
          <w:sz w:val="24"/>
          <w:szCs w:val="24"/>
        </w:rPr>
        <w:t xml:space="preserve"> </w:t>
      </w:r>
      <w:r w:rsidRPr="00C0758E">
        <w:rPr>
          <w:i/>
          <w:sz w:val="24"/>
          <w:szCs w:val="24"/>
        </w:rPr>
        <w:t>population</w:t>
      </w:r>
      <w:r w:rsidRPr="00C0758E">
        <w:rPr>
          <w:i/>
          <w:spacing w:val="-7"/>
          <w:sz w:val="24"/>
          <w:szCs w:val="24"/>
        </w:rPr>
        <w:t xml:space="preserve"> </w:t>
      </w:r>
      <w:r w:rsidRPr="00C0758E">
        <w:rPr>
          <w:i/>
          <w:sz w:val="24"/>
          <w:szCs w:val="24"/>
        </w:rPr>
        <w:t>(i</w:t>
      </w:r>
      <w:r w:rsidRPr="00C0758E">
        <w:rPr>
          <w:i/>
          <w:spacing w:val="-7"/>
          <w:sz w:val="24"/>
          <w:szCs w:val="24"/>
        </w:rPr>
        <w:t xml:space="preserve"> </w:t>
      </w:r>
      <w:r w:rsidRPr="00C0758E">
        <w:rPr>
          <w:i/>
          <w:sz w:val="24"/>
          <w:szCs w:val="24"/>
        </w:rPr>
        <w:t>alderen</w:t>
      </w:r>
      <w:r w:rsidRPr="00C0758E">
        <w:rPr>
          <w:i/>
          <w:spacing w:val="-8"/>
          <w:sz w:val="24"/>
          <w:szCs w:val="24"/>
        </w:rPr>
        <w:t xml:space="preserve"> </w:t>
      </w:r>
      <w:r w:rsidRPr="00C0758E">
        <w:rPr>
          <w:i/>
          <w:sz w:val="24"/>
          <w:szCs w:val="24"/>
        </w:rPr>
        <w:t>4</w:t>
      </w:r>
      <w:r w:rsidRPr="00C0758E">
        <w:rPr>
          <w:i/>
          <w:spacing w:val="-8"/>
          <w:sz w:val="24"/>
          <w:szCs w:val="24"/>
        </w:rPr>
        <w:t> </w:t>
      </w:r>
      <w:r w:rsidRPr="00C0758E">
        <w:rPr>
          <w:i/>
          <w:sz w:val="24"/>
          <w:szCs w:val="24"/>
        </w:rPr>
        <w:t>måneder</w:t>
      </w:r>
      <w:r w:rsidRPr="00C0758E">
        <w:rPr>
          <w:i/>
          <w:spacing w:val="-7"/>
          <w:sz w:val="24"/>
          <w:szCs w:val="24"/>
        </w:rPr>
        <w:t xml:space="preserve"> </w:t>
      </w:r>
      <w:r w:rsidRPr="00C0758E">
        <w:rPr>
          <w:i/>
          <w:sz w:val="24"/>
          <w:szCs w:val="24"/>
        </w:rPr>
        <w:t>til</w:t>
      </w:r>
      <w:r w:rsidRPr="00C0758E">
        <w:rPr>
          <w:i/>
          <w:spacing w:val="-4"/>
          <w:sz w:val="24"/>
          <w:szCs w:val="24"/>
        </w:rPr>
        <w:t xml:space="preserve"> </w:t>
      </w:r>
      <w:r w:rsidRPr="00C0758E">
        <w:rPr>
          <w:i/>
          <w:sz w:val="24"/>
          <w:szCs w:val="24"/>
        </w:rPr>
        <w:t>under</w:t>
      </w:r>
      <w:r w:rsidRPr="00C0758E">
        <w:rPr>
          <w:i/>
          <w:spacing w:val="-6"/>
          <w:sz w:val="24"/>
          <w:szCs w:val="24"/>
        </w:rPr>
        <w:t xml:space="preserve"> </w:t>
      </w:r>
      <w:r w:rsidRPr="00C0758E">
        <w:rPr>
          <w:i/>
          <w:sz w:val="24"/>
          <w:szCs w:val="24"/>
        </w:rPr>
        <w:t>12</w:t>
      </w:r>
      <w:r w:rsidRPr="00C0758E">
        <w:rPr>
          <w:i/>
          <w:spacing w:val="-3"/>
          <w:sz w:val="24"/>
          <w:szCs w:val="24"/>
        </w:rPr>
        <w:t> </w:t>
      </w:r>
      <w:r w:rsidRPr="00C0758E">
        <w:rPr>
          <w:i/>
          <w:spacing w:val="-2"/>
          <w:sz w:val="24"/>
          <w:szCs w:val="24"/>
        </w:rPr>
        <w:t>måneder)</w:t>
      </w:r>
    </w:p>
    <w:p w14:paraId="2272222F" w14:textId="11EAAC8C" w:rsidR="00C0758E" w:rsidRPr="00C0758E" w:rsidRDefault="00C0758E" w:rsidP="00211BF4">
      <w:pPr>
        <w:pStyle w:val="Brdtekst"/>
        <w:spacing w:line="252" w:lineRule="exact"/>
        <w:ind w:left="851"/>
        <w:rPr>
          <w:sz w:val="24"/>
          <w:szCs w:val="24"/>
        </w:rPr>
      </w:pPr>
      <w:r w:rsidRPr="00C0758E">
        <w:rPr>
          <w:sz w:val="24"/>
          <w:szCs w:val="24"/>
        </w:rPr>
        <w:t>Til</w:t>
      </w:r>
      <w:r w:rsidRPr="00C0758E">
        <w:rPr>
          <w:spacing w:val="-5"/>
          <w:sz w:val="24"/>
          <w:szCs w:val="24"/>
        </w:rPr>
        <w:t xml:space="preserve"> </w:t>
      </w:r>
      <w:r w:rsidRPr="00C0758E">
        <w:rPr>
          <w:sz w:val="24"/>
          <w:szCs w:val="24"/>
        </w:rPr>
        <w:t>pædiatriske</w:t>
      </w:r>
      <w:r w:rsidRPr="00C0758E">
        <w:rPr>
          <w:spacing w:val="-5"/>
          <w:sz w:val="24"/>
          <w:szCs w:val="24"/>
        </w:rPr>
        <w:t xml:space="preserve"> </w:t>
      </w:r>
      <w:r w:rsidRPr="00C0758E">
        <w:rPr>
          <w:sz w:val="24"/>
          <w:szCs w:val="24"/>
        </w:rPr>
        <w:t>patienter</w:t>
      </w:r>
      <w:r w:rsidRPr="00C0758E">
        <w:rPr>
          <w:spacing w:val="-6"/>
          <w:sz w:val="24"/>
          <w:szCs w:val="24"/>
        </w:rPr>
        <w:t xml:space="preserve"> </w:t>
      </w:r>
      <w:r w:rsidRPr="00C0758E">
        <w:rPr>
          <w:sz w:val="24"/>
          <w:szCs w:val="24"/>
        </w:rPr>
        <w:t>i</w:t>
      </w:r>
      <w:r w:rsidRPr="00C0758E">
        <w:rPr>
          <w:spacing w:val="-2"/>
          <w:sz w:val="24"/>
          <w:szCs w:val="24"/>
        </w:rPr>
        <w:t xml:space="preserve"> </w:t>
      </w:r>
      <w:r w:rsidRPr="00C0758E">
        <w:rPr>
          <w:sz w:val="24"/>
          <w:szCs w:val="24"/>
        </w:rPr>
        <w:t>alderen</w:t>
      </w:r>
      <w:r w:rsidRPr="00C0758E">
        <w:rPr>
          <w:spacing w:val="-4"/>
          <w:sz w:val="24"/>
          <w:szCs w:val="24"/>
        </w:rPr>
        <w:t xml:space="preserve"> </w:t>
      </w:r>
      <w:r w:rsidRPr="00C0758E">
        <w:rPr>
          <w:sz w:val="24"/>
          <w:szCs w:val="24"/>
        </w:rPr>
        <w:t>4</w:t>
      </w:r>
      <w:r w:rsidRPr="00C0758E">
        <w:rPr>
          <w:spacing w:val="-3"/>
          <w:sz w:val="24"/>
          <w:szCs w:val="24"/>
        </w:rPr>
        <w:t> </w:t>
      </w:r>
      <w:r w:rsidRPr="00C0758E">
        <w:rPr>
          <w:sz w:val="24"/>
          <w:szCs w:val="24"/>
        </w:rPr>
        <w:t>måneder</w:t>
      </w:r>
      <w:r w:rsidRPr="00C0758E">
        <w:rPr>
          <w:spacing w:val="-4"/>
          <w:sz w:val="24"/>
          <w:szCs w:val="24"/>
        </w:rPr>
        <w:t xml:space="preserve"> </w:t>
      </w:r>
      <w:r w:rsidRPr="00C0758E">
        <w:rPr>
          <w:sz w:val="24"/>
          <w:szCs w:val="24"/>
        </w:rPr>
        <w:t>til</w:t>
      </w:r>
      <w:r w:rsidRPr="00C0758E">
        <w:rPr>
          <w:spacing w:val="-5"/>
          <w:sz w:val="24"/>
          <w:szCs w:val="24"/>
        </w:rPr>
        <w:t xml:space="preserve"> </w:t>
      </w:r>
      <w:r w:rsidRPr="00C0758E">
        <w:rPr>
          <w:sz w:val="24"/>
          <w:szCs w:val="24"/>
        </w:rPr>
        <w:t>under</w:t>
      </w:r>
      <w:r w:rsidRPr="00C0758E">
        <w:rPr>
          <w:spacing w:val="-6"/>
          <w:sz w:val="24"/>
          <w:szCs w:val="24"/>
        </w:rPr>
        <w:t xml:space="preserve"> </w:t>
      </w:r>
      <w:r w:rsidRPr="00C0758E">
        <w:rPr>
          <w:sz w:val="24"/>
          <w:szCs w:val="24"/>
        </w:rPr>
        <w:t>12</w:t>
      </w:r>
      <w:r w:rsidRPr="00C0758E">
        <w:rPr>
          <w:spacing w:val="-2"/>
          <w:sz w:val="24"/>
          <w:szCs w:val="24"/>
        </w:rPr>
        <w:t> </w:t>
      </w:r>
      <w:r w:rsidRPr="00C0758E">
        <w:rPr>
          <w:sz w:val="24"/>
          <w:szCs w:val="24"/>
        </w:rPr>
        <w:t>måneder</w:t>
      </w:r>
      <w:r w:rsidRPr="00C0758E">
        <w:rPr>
          <w:spacing w:val="-4"/>
          <w:sz w:val="24"/>
          <w:szCs w:val="24"/>
        </w:rPr>
        <w:t xml:space="preserve"> </w:t>
      </w:r>
      <w:r w:rsidRPr="00C0758E">
        <w:rPr>
          <w:sz w:val="24"/>
          <w:szCs w:val="24"/>
        </w:rPr>
        <w:t>skal</w:t>
      </w:r>
      <w:r w:rsidRPr="00C0758E">
        <w:rPr>
          <w:spacing w:val="-4"/>
          <w:sz w:val="24"/>
          <w:szCs w:val="24"/>
        </w:rPr>
        <w:t xml:space="preserve"> </w:t>
      </w:r>
      <w:r w:rsidRPr="00C0758E">
        <w:rPr>
          <w:sz w:val="24"/>
          <w:szCs w:val="24"/>
        </w:rPr>
        <w:t>teduglutid-hætteglas</w:t>
      </w:r>
      <w:r w:rsidRPr="00C0758E">
        <w:rPr>
          <w:spacing w:val="-5"/>
          <w:sz w:val="24"/>
          <w:szCs w:val="24"/>
        </w:rPr>
        <w:t xml:space="preserve"> med</w:t>
      </w:r>
      <w:r w:rsidR="00211BF4">
        <w:rPr>
          <w:spacing w:val="-5"/>
          <w:sz w:val="24"/>
          <w:szCs w:val="24"/>
        </w:rPr>
        <w:t xml:space="preserve"> </w:t>
      </w:r>
      <w:r w:rsidRPr="00C0758E">
        <w:rPr>
          <w:sz w:val="24"/>
          <w:szCs w:val="24"/>
        </w:rPr>
        <w:t>1,25</w:t>
      </w:r>
      <w:r w:rsidRPr="00C0758E">
        <w:rPr>
          <w:spacing w:val="-5"/>
          <w:sz w:val="24"/>
          <w:szCs w:val="24"/>
        </w:rPr>
        <w:t> </w:t>
      </w:r>
      <w:r w:rsidRPr="00C0758E">
        <w:rPr>
          <w:sz w:val="24"/>
          <w:szCs w:val="24"/>
        </w:rPr>
        <w:t>mg</w:t>
      </w:r>
      <w:r w:rsidRPr="00C0758E">
        <w:rPr>
          <w:spacing w:val="-7"/>
          <w:sz w:val="24"/>
          <w:szCs w:val="24"/>
        </w:rPr>
        <w:t xml:space="preserve"> </w:t>
      </w:r>
      <w:r w:rsidRPr="00C0758E">
        <w:rPr>
          <w:sz w:val="24"/>
          <w:szCs w:val="24"/>
        </w:rPr>
        <w:t>anvendes.</w:t>
      </w:r>
    </w:p>
    <w:p w14:paraId="0F961EFF" w14:textId="77777777" w:rsidR="00C0758E" w:rsidRPr="00C0758E" w:rsidRDefault="00C0758E" w:rsidP="00C0758E">
      <w:pPr>
        <w:pStyle w:val="Brdtekst"/>
        <w:ind w:left="851"/>
        <w:rPr>
          <w:sz w:val="24"/>
          <w:szCs w:val="24"/>
        </w:rPr>
      </w:pPr>
    </w:p>
    <w:p w14:paraId="0D2FDFC7" w14:textId="77777777" w:rsidR="00C0758E" w:rsidRPr="00211BF4" w:rsidRDefault="00C0758E" w:rsidP="00C0758E">
      <w:pPr>
        <w:ind w:left="851"/>
        <w:rPr>
          <w:spacing w:val="-2"/>
          <w:sz w:val="24"/>
          <w:szCs w:val="24"/>
          <w:u w:val="single"/>
        </w:rPr>
      </w:pPr>
      <w:r w:rsidRPr="00211BF4">
        <w:rPr>
          <w:sz w:val="24"/>
          <w:szCs w:val="24"/>
          <w:u w:val="single"/>
        </w:rPr>
        <w:t>Særlige</w:t>
      </w:r>
      <w:r w:rsidRPr="00211BF4">
        <w:rPr>
          <w:spacing w:val="-2"/>
          <w:sz w:val="24"/>
          <w:szCs w:val="24"/>
          <w:u w:val="single"/>
        </w:rPr>
        <w:t xml:space="preserve"> populationer</w:t>
      </w:r>
    </w:p>
    <w:p w14:paraId="00A87F2F" w14:textId="77777777" w:rsidR="00C0758E" w:rsidRPr="00C0758E" w:rsidRDefault="00C0758E" w:rsidP="00C0758E">
      <w:pPr>
        <w:ind w:left="851"/>
        <w:rPr>
          <w:i/>
          <w:sz w:val="24"/>
          <w:szCs w:val="24"/>
        </w:rPr>
      </w:pPr>
    </w:p>
    <w:p w14:paraId="5B23CFCA" w14:textId="77777777" w:rsidR="00C0758E" w:rsidRPr="00C0758E" w:rsidRDefault="00C0758E" w:rsidP="00C0758E">
      <w:pPr>
        <w:ind w:left="851"/>
        <w:rPr>
          <w:i/>
          <w:sz w:val="24"/>
          <w:szCs w:val="24"/>
        </w:rPr>
      </w:pPr>
      <w:r w:rsidRPr="00C0758E">
        <w:rPr>
          <w:i/>
          <w:spacing w:val="-4"/>
          <w:sz w:val="24"/>
          <w:szCs w:val="24"/>
        </w:rPr>
        <w:t>Ældre</w:t>
      </w:r>
    </w:p>
    <w:p w14:paraId="07E76E8D" w14:textId="77777777" w:rsidR="00C0758E" w:rsidRPr="00C0758E" w:rsidRDefault="00C0758E" w:rsidP="00C0758E">
      <w:pPr>
        <w:pStyle w:val="Brdtekst"/>
        <w:ind w:left="851"/>
        <w:rPr>
          <w:sz w:val="24"/>
          <w:szCs w:val="24"/>
        </w:rPr>
      </w:pPr>
      <w:r w:rsidRPr="00C0758E">
        <w:rPr>
          <w:sz w:val="24"/>
          <w:szCs w:val="24"/>
        </w:rPr>
        <w:t>Dosisjustering</w:t>
      </w:r>
      <w:r w:rsidRPr="00C0758E">
        <w:rPr>
          <w:spacing w:val="-11"/>
          <w:sz w:val="24"/>
          <w:szCs w:val="24"/>
        </w:rPr>
        <w:t xml:space="preserve"> </w:t>
      </w:r>
      <w:r w:rsidRPr="00C0758E">
        <w:rPr>
          <w:sz w:val="24"/>
          <w:szCs w:val="24"/>
        </w:rPr>
        <w:t>er</w:t>
      </w:r>
      <w:r w:rsidRPr="00C0758E">
        <w:rPr>
          <w:spacing w:val="-7"/>
          <w:sz w:val="24"/>
          <w:szCs w:val="24"/>
        </w:rPr>
        <w:t xml:space="preserve"> </w:t>
      </w:r>
      <w:r w:rsidRPr="00C0758E">
        <w:rPr>
          <w:sz w:val="24"/>
          <w:szCs w:val="24"/>
        </w:rPr>
        <w:t>ikke</w:t>
      </w:r>
      <w:r w:rsidRPr="00C0758E">
        <w:rPr>
          <w:spacing w:val="-7"/>
          <w:sz w:val="24"/>
          <w:szCs w:val="24"/>
        </w:rPr>
        <w:t xml:space="preserve"> </w:t>
      </w:r>
      <w:r w:rsidRPr="00C0758E">
        <w:rPr>
          <w:sz w:val="24"/>
          <w:szCs w:val="24"/>
        </w:rPr>
        <w:t>nødvendig</w:t>
      </w:r>
      <w:r w:rsidRPr="00C0758E">
        <w:rPr>
          <w:spacing w:val="-10"/>
          <w:sz w:val="24"/>
          <w:szCs w:val="24"/>
        </w:rPr>
        <w:t xml:space="preserve"> </w:t>
      </w:r>
      <w:r w:rsidRPr="00C0758E">
        <w:rPr>
          <w:sz w:val="24"/>
          <w:szCs w:val="24"/>
        </w:rPr>
        <w:t>til</w:t>
      </w:r>
      <w:r w:rsidRPr="00C0758E">
        <w:rPr>
          <w:spacing w:val="-4"/>
          <w:sz w:val="24"/>
          <w:szCs w:val="24"/>
        </w:rPr>
        <w:t xml:space="preserve"> </w:t>
      </w:r>
      <w:r w:rsidRPr="00C0758E">
        <w:rPr>
          <w:sz w:val="24"/>
          <w:szCs w:val="24"/>
        </w:rPr>
        <w:t>patienter</w:t>
      </w:r>
      <w:r w:rsidRPr="00C0758E">
        <w:rPr>
          <w:spacing w:val="-8"/>
          <w:sz w:val="24"/>
          <w:szCs w:val="24"/>
        </w:rPr>
        <w:t xml:space="preserve"> </w:t>
      </w:r>
      <w:r w:rsidRPr="00C0758E">
        <w:rPr>
          <w:sz w:val="24"/>
          <w:szCs w:val="24"/>
        </w:rPr>
        <w:t>over</w:t>
      </w:r>
      <w:r w:rsidRPr="00C0758E">
        <w:rPr>
          <w:spacing w:val="-6"/>
          <w:sz w:val="24"/>
          <w:szCs w:val="24"/>
        </w:rPr>
        <w:t xml:space="preserve"> </w:t>
      </w:r>
      <w:r w:rsidRPr="00C0758E">
        <w:rPr>
          <w:sz w:val="24"/>
          <w:szCs w:val="24"/>
        </w:rPr>
        <w:t>65</w:t>
      </w:r>
      <w:r w:rsidRPr="00C0758E">
        <w:rPr>
          <w:spacing w:val="-1"/>
          <w:sz w:val="24"/>
          <w:szCs w:val="24"/>
        </w:rPr>
        <w:t> </w:t>
      </w:r>
      <w:r w:rsidRPr="00C0758E">
        <w:rPr>
          <w:spacing w:val="-5"/>
          <w:sz w:val="24"/>
          <w:szCs w:val="24"/>
        </w:rPr>
        <w:t>år.</w:t>
      </w:r>
    </w:p>
    <w:p w14:paraId="5488C0F5" w14:textId="77777777" w:rsidR="00C0758E" w:rsidRPr="00C0758E" w:rsidRDefault="00C0758E" w:rsidP="00C0758E">
      <w:pPr>
        <w:pStyle w:val="Brdtekst"/>
        <w:ind w:left="851"/>
        <w:rPr>
          <w:sz w:val="24"/>
          <w:szCs w:val="24"/>
        </w:rPr>
      </w:pPr>
    </w:p>
    <w:p w14:paraId="1D5F5784" w14:textId="77777777" w:rsidR="00C0758E" w:rsidRPr="00C0758E" w:rsidRDefault="00C0758E" w:rsidP="00C0758E">
      <w:pPr>
        <w:spacing w:line="252" w:lineRule="exact"/>
        <w:ind w:left="851"/>
        <w:jc w:val="both"/>
        <w:rPr>
          <w:i/>
          <w:sz w:val="24"/>
          <w:szCs w:val="24"/>
        </w:rPr>
      </w:pPr>
      <w:r w:rsidRPr="00C0758E">
        <w:rPr>
          <w:i/>
          <w:sz w:val="24"/>
          <w:szCs w:val="24"/>
        </w:rPr>
        <w:t>Nedsat</w:t>
      </w:r>
      <w:r w:rsidRPr="00C0758E">
        <w:rPr>
          <w:i/>
          <w:spacing w:val="-7"/>
          <w:sz w:val="24"/>
          <w:szCs w:val="24"/>
        </w:rPr>
        <w:t xml:space="preserve"> </w:t>
      </w:r>
      <w:r w:rsidRPr="00C0758E">
        <w:rPr>
          <w:i/>
          <w:spacing w:val="-2"/>
          <w:sz w:val="24"/>
          <w:szCs w:val="24"/>
        </w:rPr>
        <w:t>nyrefunktion</w:t>
      </w:r>
    </w:p>
    <w:p w14:paraId="6DAD14A1" w14:textId="77777777" w:rsidR="00C0758E" w:rsidRPr="00C0758E" w:rsidRDefault="00C0758E" w:rsidP="00C0758E">
      <w:pPr>
        <w:pStyle w:val="Brdtekst"/>
        <w:ind w:left="851"/>
        <w:jc w:val="both"/>
        <w:rPr>
          <w:sz w:val="24"/>
          <w:szCs w:val="24"/>
        </w:rPr>
      </w:pPr>
      <w:r w:rsidRPr="00C0758E">
        <w:rPr>
          <w:sz w:val="24"/>
          <w:szCs w:val="24"/>
        </w:rPr>
        <w:t>Dosisjustering</w:t>
      </w:r>
      <w:r w:rsidRPr="00C0758E">
        <w:rPr>
          <w:spacing w:val="-9"/>
          <w:sz w:val="24"/>
          <w:szCs w:val="24"/>
        </w:rPr>
        <w:t xml:space="preserve"> </w:t>
      </w:r>
      <w:r w:rsidRPr="00C0758E">
        <w:rPr>
          <w:sz w:val="24"/>
          <w:szCs w:val="24"/>
        </w:rPr>
        <w:t>er</w:t>
      </w:r>
      <w:r w:rsidRPr="00C0758E">
        <w:rPr>
          <w:spacing w:val="-9"/>
          <w:sz w:val="24"/>
          <w:szCs w:val="24"/>
        </w:rPr>
        <w:t xml:space="preserve"> </w:t>
      </w:r>
      <w:r w:rsidRPr="00C0758E">
        <w:rPr>
          <w:sz w:val="24"/>
          <w:szCs w:val="24"/>
        </w:rPr>
        <w:t>ikke</w:t>
      </w:r>
      <w:r w:rsidRPr="00C0758E">
        <w:rPr>
          <w:spacing w:val="-6"/>
          <w:sz w:val="24"/>
          <w:szCs w:val="24"/>
        </w:rPr>
        <w:t xml:space="preserve"> </w:t>
      </w:r>
      <w:r w:rsidRPr="00C0758E">
        <w:rPr>
          <w:sz w:val="24"/>
          <w:szCs w:val="24"/>
        </w:rPr>
        <w:t>nødvendig</w:t>
      </w:r>
      <w:r w:rsidRPr="00C0758E">
        <w:rPr>
          <w:spacing w:val="-9"/>
          <w:sz w:val="24"/>
          <w:szCs w:val="24"/>
        </w:rPr>
        <w:t xml:space="preserve"> </w:t>
      </w:r>
      <w:r w:rsidRPr="00C0758E">
        <w:rPr>
          <w:sz w:val="24"/>
          <w:szCs w:val="24"/>
        </w:rPr>
        <w:t>til</w:t>
      </w:r>
      <w:r w:rsidRPr="00C0758E">
        <w:rPr>
          <w:spacing w:val="-3"/>
          <w:sz w:val="24"/>
          <w:szCs w:val="24"/>
        </w:rPr>
        <w:t xml:space="preserve"> </w:t>
      </w:r>
      <w:r w:rsidRPr="00C0758E">
        <w:rPr>
          <w:sz w:val="24"/>
          <w:szCs w:val="24"/>
        </w:rPr>
        <w:t>voksne</w:t>
      </w:r>
      <w:r w:rsidRPr="00C0758E">
        <w:rPr>
          <w:spacing w:val="-4"/>
          <w:sz w:val="24"/>
          <w:szCs w:val="24"/>
        </w:rPr>
        <w:t xml:space="preserve"> </w:t>
      </w:r>
      <w:r w:rsidRPr="00C0758E">
        <w:rPr>
          <w:sz w:val="24"/>
          <w:szCs w:val="24"/>
        </w:rPr>
        <w:t>og</w:t>
      </w:r>
      <w:r w:rsidRPr="00C0758E">
        <w:rPr>
          <w:spacing w:val="-5"/>
          <w:sz w:val="24"/>
          <w:szCs w:val="24"/>
        </w:rPr>
        <w:t xml:space="preserve"> </w:t>
      </w:r>
      <w:r w:rsidRPr="00C0758E">
        <w:rPr>
          <w:sz w:val="24"/>
          <w:szCs w:val="24"/>
        </w:rPr>
        <w:t>pædiatriske</w:t>
      </w:r>
      <w:r w:rsidRPr="00C0758E">
        <w:rPr>
          <w:spacing w:val="-5"/>
          <w:sz w:val="24"/>
          <w:szCs w:val="24"/>
        </w:rPr>
        <w:t xml:space="preserve"> </w:t>
      </w:r>
      <w:r w:rsidRPr="00C0758E">
        <w:rPr>
          <w:sz w:val="24"/>
          <w:szCs w:val="24"/>
        </w:rPr>
        <w:t>patienter</w:t>
      </w:r>
      <w:r w:rsidRPr="00C0758E">
        <w:rPr>
          <w:spacing w:val="-6"/>
          <w:sz w:val="24"/>
          <w:szCs w:val="24"/>
        </w:rPr>
        <w:t xml:space="preserve"> </w:t>
      </w:r>
      <w:r w:rsidRPr="00C0758E">
        <w:rPr>
          <w:sz w:val="24"/>
          <w:szCs w:val="24"/>
        </w:rPr>
        <w:t>med</w:t>
      </w:r>
      <w:r w:rsidRPr="00C0758E">
        <w:rPr>
          <w:spacing w:val="-7"/>
          <w:sz w:val="24"/>
          <w:szCs w:val="24"/>
        </w:rPr>
        <w:t xml:space="preserve"> </w:t>
      </w:r>
      <w:r w:rsidRPr="00C0758E">
        <w:rPr>
          <w:sz w:val="24"/>
          <w:szCs w:val="24"/>
        </w:rPr>
        <w:t>let</w:t>
      </w:r>
      <w:r w:rsidRPr="00C0758E">
        <w:rPr>
          <w:spacing w:val="-3"/>
          <w:sz w:val="24"/>
          <w:szCs w:val="24"/>
        </w:rPr>
        <w:t xml:space="preserve"> </w:t>
      </w:r>
      <w:r w:rsidRPr="00C0758E">
        <w:rPr>
          <w:sz w:val="24"/>
          <w:szCs w:val="24"/>
        </w:rPr>
        <w:t>nedsat</w:t>
      </w:r>
      <w:r w:rsidRPr="00C0758E">
        <w:rPr>
          <w:spacing w:val="-3"/>
          <w:sz w:val="24"/>
          <w:szCs w:val="24"/>
        </w:rPr>
        <w:t xml:space="preserve"> </w:t>
      </w:r>
      <w:r w:rsidRPr="00C0758E">
        <w:rPr>
          <w:sz w:val="24"/>
          <w:szCs w:val="24"/>
        </w:rPr>
        <w:t>nyrefunktion.</w:t>
      </w:r>
      <w:r w:rsidRPr="00C0758E">
        <w:rPr>
          <w:spacing w:val="-4"/>
          <w:sz w:val="24"/>
          <w:szCs w:val="24"/>
        </w:rPr>
        <w:t xml:space="preserve"> </w:t>
      </w:r>
      <w:r w:rsidRPr="00C0758E">
        <w:rPr>
          <w:sz w:val="24"/>
          <w:szCs w:val="24"/>
        </w:rPr>
        <w:t>Til voksne</w:t>
      </w:r>
      <w:r w:rsidRPr="00C0758E">
        <w:rPr>
          <w:spacing w:val="-7"/>
          <w:sz w:val="24"/>
          <w:szCs w:val="24"/>
        </w:rPr>
        <w:t xml:space="preserve"> </w:t>
      </w:r>
      <w:r w:rsidRPr="00C0758E">
        <w:rPr>
          <w:sz w:val="24"/>
          <w:szCs w:val="24"/>
        </w:rPr>
        <w:t>og</w:t>
      </w:r>
      <w:r w:rsidRPr="00C0758E">
        <w:rPr>
          <w:spacing w:val="-6"/>
          <w:sz w:val="24"/>
          <w:szCs w:val="24"/>
        </w:rPr>
        <w:t xml:space="preserve"> </w:t>
      </w:r>
      <w:r w:rsidRPr="00C0758E">
        <w:rPr>
          <w:sz w:val="24"/>
          <w:szCs w:val="24"/>
        </w:rPr>
        <w:t>pædiatriske</w:t>
      </w:r>
      <w:r w:rsidRPr="00C0758E">
        <w:rPr>
          <w:spacing w:val="-4"/>
          <w:sz w:val="24"/>
          <w:szCs w:val="24"/>
        </w:rPr>
        <w:t xml:space="preserve"> </w:t>
      </w:r>
      <w:r w:rsidRPr="00C0758E">
        <w:rPr>
          <w:sz w:val="24"/>
          <w:szCs w:val="24"/>
        </w:rPr>
        <w:t>patienter</w:t>
      </w:r>
      <w:r w:rsidRPr="00C0758E">
        <w:rPr>
          <w:spacing w:val="-6"/>
          <w:sz w:val="24"/>
          <w:szCs w:val="24"/>
        </w:rPr>
        <w:t xml:space="preserve"> </w:t>
      </w:r>
      <w:r w:rsidRPr="00C0758E">
        <w:rPr>
          <w:sz w:val="24"/>
          <w:szCs w:val="24"/>
        </w:rPr>
        <w:t>med</w:t>
      </w:r>
      <w:r w:rsidRPr="00C0758E">
        <w:rPr>
          <w:spacing w:val="-8"/>
          <w:sz w:val="24"/>
          <w:szCs w:val="24"/>
        </w:rPr>
        <w:t xml:space="preserve"> </w:t>
      </w:r>
      <w:r w:rsidRPr="00C0758E">
        <w:rPr>
          <w:sz w:val="24"/>
          <w:szCs w:val="24"/>
        </w:rPr>
        <w:t>moderat</w:t>
      </w:r>
      <w:r w:rsidRPr="00C0758E">
        <w:rPr>
          <w:spacing w:val="-4"/>
          <w:sz w:val="24"/>
          <w:szCs w:val="24"/>
        </w:rPr>
        <w:t xml:space="preserve"> </w:t>
      </w:r>
      <w:r w:rsidRPr="00C0758E">
        <w:rPr>
          <w:sz w:val="24"/>
          <w:szCs w:val="24"/>
        </w:rPr>
        <w:t>til</w:t>
      </w:r>
      <w:r w:rsidRPr="00C0758E">
        <w:rPr>
          <w:spacing w:val="-9"/>
          <w:sz w:val="24"/>
          <w:szCs w:val="24"/>
        </w:rPr>
        <w:t xml:space="preserve"> </w:t>
      </w:r>
      <w:r w:rsidRPr="00C0758E">
        <w:rPr>
          <w:sz w:val="24"/>
          <w:szCs w:val="24"/>
        </w:rPr>
        <w:t>svært</w:t>
      </w:r>
      <w:r w:rsidRPr="00C0758E">
        <w:rPr>
          <w:spacing w:val="-7"/>
          <w:sz w:val="24"/>
          <w:szCs w:val="24"/>
        </w:rPr>
        <w:t xml:space="preserve"> </w:t>
      </w:r>
      <w:r w:rsidRPr="00C0758E">
        <w:rPr>
          <w:sz w:val="24"/>
          <w:szCs w:val="24"/>
        </w:rPr>
        <w:t>nedsat</w:t>
      </w:r>
      <w:r w:rsidRPr="00C0758E">
        <w:rPr>
          <w:spacing w:val="-2"/>
          <w:sz w:val="24"/>
          <w:szCs w:val="24"/>
        </w:rPr>
        <w:t xml:space="preserve"> </w:t>
      </w:r>
      <w:r w:rsidRPr="00C0758E">
        <w:rPr>
          <w:sz w:val="24"/>
          <w:szCs w:val="24"/>
        </w:rPr>
        <w:t>nyrefunktion</w:t>
      </w:r>
      <w:r w:rsidRPr="00C0758E">
        <w:rPr>
          <w:spacing w:val="-7"/>
          <w:sz w:val="24"/>
          <w:szCs w:val="24"/>
        </w:rPr>
        <w:t xml:space="preserve"> </w:t>
      </w:r>
      <w:r w:rsidRPr="00C0758E">
        <w:rPr>
          <w:sz w:val="24"/>
          <w:szCs w:val="24"/>
        </w:rPr>
        <w:t>(kreatininclearance</w:t>
      </w:r>
      <w:r w:rsidRPr="00C0758E">
        <w:rPr>
          <w:spacing w:val="-3"/>
          <w:sz w:val="24"/>
          <w:szCs w:val="24"/>
        </w:rPr>
        <w:t xml:space="preserve"> </w:t>
      </w:r>
      <w:r w:rsidRPr="00C0758E">
        <w:rPr>
          <w:sz w:val="24"/>
          <w:szCs w:val="24"/>
        </w:rPr>
        <w:t>under 50 ml/min) eller nyresygdom i slutstadiet skal den daglige dosis reduceres med 50 % (se pkt. 5.2).</w:t>
      </w:r>
    </w:p>
    <w:p w14:paraId="23FD4EBD" w14:textId="77777777" w:rsidR="00C0758E" w:rsidRPr="00C0758E" w:rsidRDefault="00C0758E" w:rsidP="00C0758E">
      <w:pPr>
        <w:pStyle w:val="Brdtekst"/>
        <w:ind w:left="851"/>
        <w:rPr>
          <w:sz w:val="24"/>
          <w:szCs w:val="24"/>
        </w:rPr>
      </w:pPr>
    </w:p>
    <w:p w14:paraId="47C27204" w14:textId="77777777" w:rsidR="00C0758E" w:rsidRPr="00C0758E" w:rsidRDefault="00C0758E" w:rsidP="00C0758E">
      <w:pPr>
        <w:spacing w:line="252" w:lineRule="exact"/>
        <w:ind w:left="851"/>
        <w:rPr>
          <w:i/>
          <w:sz w:val="24"/>
          <w:szCs w:val="24"/>
        </w:rPr>
      </w:pPr>
      <w:r w:rsidRPr="00C0758E">
        <w:rPr>
          <w:i/>
          <w:sz w:val="24"/>
          <w:szCs w:val="24"/>
        </w:rPr>
        <w:t>Nedsat</w:t>
      </w:r>
      <w:r w:rsidRPr="00C0758E">
        <w:rPr>
          <w:i/>
          <w:spacing w:val="-5"/>
          <w:sz w:val="24"/>
          <w:szCs w:val="24"/>
        </w:rPr>
        <w:t xml:space="preserve"> </w:t>
      </w:r>
      <w:r w:rsidRPr="00C0758E">
        <w:rPr>
          <w:i/>
          <w:spacing w:val="-2"/>
          <w:sz w:val="24"/>
          <w:szCs w:val="24"/>
        </w:rPr>
        <w:t>leverfunktion</w:t>
      </w:r>
    </w:p>
    <w:p w14:paraId="099CD6A1" w14:textId="77777777" w:rsidR="00C0758E" w:rsidRPr="00C0758E" w:rsidRDefault="00C0758E" w:rsidP="00C0758E">
      <w:pPr>
        <w:pStyle w:val="Brdtekst"/>
        <w:ind w:left="851"/>
        <w:rPr>
          <w:sz w:val="24"/>
          <w:szCs w:val="24"/>
        </w:rPr>
      </w:pPr>
      <w:r w:rsidRPr="00C0758E">
        <w:rPr>
          <w:sz w:val="24"/>
          <w:szCs w:val="24"/>
        </w:rPr>
        <w:t>På</w:t>
      </w:r>
      <w:r w:rsidRPr="00C0758E">
        <w:rPr>
          <w:spacing w:val="-2"/>
          <w:sz w:val="24"/>
          <w:szCs w:val="24"/>
        </w:rPr>
        <w:t xml:space="preserve"> </w:t>
      </w:r>
      <w:r w:rsidRPr="00C0758E">
        <w:rPr>
          <w:sz w:val="24"/>
          <w:szCs w:val="24"/>
        </w:rPr>
        <w:t>baggrund</w:t>
      </w:r>
      <w:r w:rsidRPr="00C0758E">
        <w:rPr>
          <w:spacing w:val="-5"/>
          <w:sz w:val="24"/>
          <w:szCs w:val="24"/>
        </w:rPr>
        <w:t xml:space="preserve"> </w:t>
      </w:r>
      <w:r w:rsidRPr="00C0758E">
        <w:rPr>
          <w:sz w:val="24"/>
          <w:szCs w:val="24"/>
        </w:rPr>
        <w:t>af</w:t>
      </w:r>
      <w:r w:rsidRPr="00C0758E">
        <w:rPr>
          <w:spacing w:val="-1"/>
          <w:sz w:val="24"/>
          <w:szCs w:val="24"/>
        </w:rPr>
        <w:t xml:space="preserve"> </w:t>
      </w:r>
      <w:r w:rsidRPr="00C0758E">
        <w:rPr>
          <w:sz w:val="24"/>
          <w:szCs w:val="24"/>
        </w:rPr>
        <w:t>et</w:t>
      </w:r>
      <w:r w:rsidRPr="00C0758E">
        <w:rPr>
          <w:spacing w:val="-1"/>
          <w:sz w:val="24"/>
          <w:szCs w:val="24"/>
        </w:rPr>
        <w:t xml:space="preserve"> </w:t>
      </w:r>
      <w:r w:rsidRPr="00C0758E">
        <w:rPr>
          <w:sz w:val="24"/>
          <w:szCs w:val="24"/>
        </w:rPr>
        <w:t>studie</w:t>
      </w:r>
      <w:r w:rsidRPr="00C0758E">
        <w:rPr>
          <w:spacing w:val="-2"/>
          <w:sz w:val="24"/>
          <w:szCs w:val="24"/>
        </w:rPr>
        <w:t xml:space="preserve"> </w:t>
      </w:r>
      <w:r w:rsidRPr="00C0758E">
        <w:rPr>
          <w:sz w:val="24"/>
          <w:szCs w:val="24"/>
        </w:rPr>
        <w:t>udført</w:t>
      </w:r>
      <w:r w:rsidRPr="00C0758E">
        <w:rPr>
          <w:spacing w:val="-1"/>
          <w:sz w:val="24"/>
          <w:szCs w:val="24"/>
        </w:rPr>
        <w:t xml:space="preserve"> </w:t>
      </w:r>
      <w:r w:rsidRPr="00C0758E">
        <w:rPr>
          <w:sz w:val="24"/>
          <w:szCs w:val="24"/>
        </w:rPr>
        <w:t>hos</w:t>
      </w:r>
      <w:r w:rsidRPr="00C0758E">
        <w:rPr>
          <w:spacing w:val="-2"/>
          <w:sz w:val="24"/>
          <w:szCs w:val="24"/>
        </w:rPr>
        <w:t xml:space="preserve"> </w:t>
      </w:r>
      <w:r w:rsidRPr="00C0758E">
        <w:rPr>
          <w:sz w:val="24"/>
          <w:szCs w:val="24"/>
        </w:rPr>
        <w:t>Child</w:t>
      </w:r>
      <w:r w:rsidRPr="00C0758E">
        <w:rPr>
          <w:sz w:val="24"/>
          <w:szCs w:val="24"/>
        </w:rPr>
        <w:noBreakHyphen/>
        <w:t>Pugh</w:t>
      </w:r>
      <w:r w:rsidRPr="00C0758E">
        <w:rPr>
          <w:spacing w:val="-2"/>
          <w:sz w:val="24"/>
          <w:szCs w:val="24"/>
        </w:rPr>
        <w:t xml:space="preserve"> </w:t>
      </w:r>
      <w:r w:rsidRPr="00C0758E">
        <w:rPr>
          <w:sz w:val="24"/>
          <w:szCs w:val="24"/>
        </w:rPr>
        <w:t>klasse</w:t>
      </w:r>
      <w:r w:rsidRPr="00C0758E">
        <w:rPr>
          <w:spacing w:val="-4"/>
          <w:sz w:val="24"/>
          <w:szCs w:val="24"/>
        </w:rPr>
        <w:t xml:space="preserve"> </w:t>
      </w:r>
      <w:r w:rsidRPr="00C0758E">
        <w:rPr>
          <w:sz w:val="24"/>
          <w:szCs w:val="24"/>
        </w:rPr>
        <w:t>B-personer</w:t>
      </w:r>
      <w:r w:rsidRPr="00C0758E">
        <w:rPr>
          <w:spacing w:val="-2"/>
          <w:sz w:val="24"/>
          <w:szCs w:val="24"/>
        </w:rPr>
        <w:t xml:space="preserve"> </w:t>
      </w:r>
      <w:r w:rsidRPr="00C0758E">
        <w:rPr>
          <w:sz w:val="24"/>
          <w:szCs w:val="24"/>
        </w:rPr>
        <w:t>er</w:t>
      </w:r>
      <w:r w:rsidRPr="00C0758E">
        <w:rPr>
          <w:spacing w:val="-2"/>
          <w:sz w:val="24"/>
          <w:szCs w:val="24"/>
        </w:rPr>
        <w:t xml:space="preserve"> </w:t>
      </w:r>
      <w:r w:rsidRPr="00C0758E">
        <w:rPr>
          <w:sz w:val="24"/>
          <w:szCs w:val="24"/>
        </w:rPr>
        <w:t>det</w:t>
      </w:r>
      <w:r w:rsidRPr="00C0758E">
        <w:rPr>
          <w:spacing w:val="-1"/>
          <w:sz w:val="24"/>
          <w:szCs w:val="24"/>
        </w:rPr>
        <w:t xml:space="preserve"> </w:t>
      </w:r>
      <w:r w:rsidRPr="00C0758E">
        <w:rPr>
          <w:sz w:val="24"/>
          <w:szCs w:val="24"/>
        </w:rPr>
        <w:t>vist,</w:t>
      </w:r>
      <w:r w:rsidRPr="00C0758E">
        <w:rPr>
          <w:spacing w:val="-5"/>
          <w:sz w:val="24"/>
          <w:szCs w:val="24"/>
        </w:rPr>
        <w:t xml:space="preserve"> </w:t>
      </w:r>
      <w:r w:rsidRPr="00C0758E">
        <w:rPr>
          <w:sz w:val="24"/>
          <w:szCs w:val="24"/>
        </w:rPr>
        <w:t>at</w:t>
      </w:r>
      <w:r w:rsidRPr="00C0758E">
        <w:rPr>
          <w:spacing w:val="-4"/>
          <w:sz w:val="24"/>
          <w:szCs w:val="24"/>
        </w:rPr>
        <w:t xml:space="preserve"> </w:t>
      </w:r>
      <w:r w:rsidRPr="00C0758E">
        <w:rPr>
          <w:sz w:val="24"/>
          <w:szCs w:val="24"/>
        </w:rPr>
        <w:t>dosisjustering</w:t>
      </w:r>
      <w:r w:rsidRPr="00C0758E">
        <w:rPr>
          <w:spacing w:val="-5"/>
          <w:sz w:val="24"/>
          <w:szCs w:val="24"/>
        </w:rPr>
        <w:t xml:space="preserve"> </w:t>
      </w:r>
      <w:r w:rsidRPr="00C0758E">
        <w:rPr>
          <w:sz w:val="24"/>
          <w:szCs w:val="24"/>
        </w:rPr>
        <w:t>ikke</w:t>
      </w:r>
      <w:r w:rsidRPr="00C0758E">
        <w:rPr>
          <w:spacing w:val="-2"/>
          <w:sz w:val="24"/>
          <w:szCs w:val="24"/>
        </w:rPr>
        <w:t xml:space="preserve"> </w:t>
      </w:r>
      <w:r w:rsidRPr="00C0758E">
        <w:rPr>
          <w:sz w:val="24"/>
          <w:szCs w:val="24"/>
        </w:rPr>
        <w:t>er nødvendig til patienter med let til moderat nedsat leverfunktion. Teduglutid er ikke blevet undersøgt hos patienter med svært nedsat leverfunktion (se pkt. 4.4 og 5.2).</w:t>
      </w:r>
    </w:p>
    <w:p w14:paraId="60E2836D" w14:textId="77777777" w:rsidR="00C0758E" w:rsidRPr="00C0758E" w:rsidRDefault="00C0758E" w:rsidP="00C0758E">
      <w:pPr>
        <w:pStyle w:val="Brdtekst"/>
        <w:ind w:left="851"/>
        <w:rPr>
          <w:sz w:val="24"/>
          <w:szCs w:val="24"/>
        </w:rPr>
      </w:pPr>
    </w:p>
    <w:p w14:paraId="6CD8DB7D" w14:textId="77777777" w:rsidR="00C0758E" w:rsidRPr="00C0758E" w:rsidRDefault="00C0758E" w:rsidP="00C0758E">
      <w:pPr>
        <w:spacing w:line="252" w:lineRule="exact"/>
        <w:ind w:left="851"/>
        <w:rPr>
          <w:i/>
          <w:sz w:val="24"/>
          <w:szCs w:val="24"/>
        </w:rPr>
      </w:pPr>
      <w:r w:rsidRPr="00C0758E">
        <w:rPr>
          <w:i/>
          <w:sz w:val="24"/>
          <w:szCs w:val="24"/>
        </w:rPr>
        <w:t>Pædiatrisk</w:t>
      </w:r>
      <w:r w:rsidRPr="00C0758E">
        <w:rPr>
          <w:i/>
          <w:spacing w:val="-7"/>
          <w:sz w:val="24"/>
          <w:szCs w:val="24"/>
        </w:rPr>
        <w:t xml:space="preserve"> </w:t>
      </w:r>
      <w:r w:rsidRPr="00C0758E">
        <w:rPr>
          <w:i/>
          <w:sz w:val="24"/>
          <w:szCs w:val="24"/>
        </w:rPr>
        <w:t>population</w:t>
      </w:r>
      <w:r w:rsidRPr="00C0758E">
        <w:rPr>
          <w:i/>
          <w:spacing w:val="-7"/>
          <w:sz w:val="24"/>
          <w:szCs w:val="24"/>
        </w:rPr>
        <w:t xml:space="preserve"> </w:t>
      </w:r>
      <w:r w:rsidRPr="00C0758E">
        <w:rPr>
          <w:i/>
          <w:sz w:val="24"/>
          <w:szCs w:val="24"/>
        </w:rPr>
        <w:t>(&lt;</w:t>
      </w:r>
      <w:r w:rsidRPr="00C0758E">
        <w:rPr>
          <w:i/>
          <w:spacing w:val="-5"/>
          <w:sz w:val="24"/>
          <w:szCs w:val="24"/>
        </w:rPr>
        <w:t> </w:t>
      </w:r>
      <w:r w:rsidRPr="00C0758E">
        <w:rPr>
          <w:i/>
          <w:sz w:val="24"/>
          <w:szCs w:val="24"/>
        </w:rPr>
        <w:t>4</w:t>
      </w:r>
      <w:r w:rsidRPr="00C0758E">
        <w:rPr>
          <w:i/>
          <w:spacing w:val="-12"/>
          <w:sz w:val="24"/>
          <w:szCs w:val="24"/>
        </w:rPr>
        <w:t> </w:t>
      </w:r>
      <w:r w:rsidRPr="00C0758E">
        <w:rPr>
          <w:i/>
          <w:spacing w:val="-2"/>
          <w:sz w:val="24"/>
          <w:szCs w:val="24"/>
        </w:rPr>
        <w:t>måneder)</w:t>
      </w:r>
    </w:p>
    <w:p w14:paraId="56694405" w14:textId="77777777" w:rsidR="00C0758E" w:rsidRPr="00C0758E" w:rsidRDefault="00C0758E" w:rsidP="00C0758E">
      <w:pPr>
        <w:pStyle w:val="Brdtekst"/>
        <w:ind w:left="851"/>
        <w:rPr>
          <w:sz w:val="24"/>
          <w:szCs w:val="24"/>
        </w:rPr>
      </w:pPr>
      <w:r w:rsidRPr="00C0758E">
        <w:rPr>
          <w:sz w:val="24"/>
          <w:szCs w:val="24"/>
        </w:rPr>
        <w:t>Der</w:t>
      </w:r>
      <w:r w:rsidRPr="00C0758E">
        <w:rPr>
          <w:spacing w:val="-6"/>
          <w:sz w:val="24"/>
          <w:szCs w:val="24"/>
        </w:rPr>
        <w:t xml:space="preserve"> </w:t>
      </w:r>
      <w:r w:rsidRPr="00C0758E">
        <w:rPr>
          <w:sz w:val="24"/>
          <w:szCs w:val="24"/>
        </w:rPr>
        <w:t>foreligger</w:t>
      </w:r>
      <w:r w:rsidRPr="00C0758E">
        <w:rPr>
          <w:spacing w:val="-6"/>
          <w:sz w:val="24"/>
          <w:szCs w:val="24"/>
        </w:rPr>
        <w:t xml:space="preserve"> </w:t>
      </w:r>
      <w:r w:rsidRPr="00C0758E">
        <w:rPr>
          <w:sz w:val="24"/>
          <w:szCs w:val="24"/>
        </w:rPr>
        <w:t>på</w:t>
      </w:r>
      <w:r w:rsidRPr="00C0758E">
        <w:rPr>
          <w:spacing w:val="-10"/>
          <w:sz w:val="24"/>
          <w:szCs w:val="24"/>
        </w:rPr>
        <w:t xml:space="preserve"> </w:t>
      </w:r>
      <w:r w:rsidRPr="00C0758E">
        <w:rPr>
          <w:sz w:val="24"/>
          <w:szCs w:val="24"/>
        </w:rPr>
        <w:t>nuværende</w:t>
      </w:r>
      <w:r w:rsidRPr="00C0758E">
        <w:rPr>
          <w:spacing w:val="-6"/>
          <w:sz w:val="24"/>
          <w:szCs w:val="24"/>
        </w:rPr>
        <w:t xml:space="preserve"> </w:t>
      </w:r>
      <w:r w:rsidRPr="00C0758E">
        <w:rPr>
          <w:sz w:val="24"/>
          <w:szCs w:val="24"/>
        </w:rPr>
        <w:t>tidspunkt</w:t>
      </w:r>
      <w:r w:rsidRPr="00C0758E">
        <w:rPr>
          <w:spacing w:val="-10"/>
          <w:sz w:val="24"/>
          <w:szCs w:val="24"/>
        </w:rPr>
        <w:t xml:space="preserve"> </w:t>
      </w:r>
      <w:r w:rsidRPr="00C0758E">
        <w:rPr>
          <w:sz w:val="24"/>
          <w:szCs w:val="24"/>
        </w:rPr>
        <w:t>ingen</w:t>
      </w:r>
      <w:r w:rsidRPr="00C0758E">
        <w:rPr>
          <w:spacing w:val="-5"/>
          <w:sz w:val="24"/>
          <w:szCs w:val="24"/>
        </w:rPr>
        <w:t xml:space="preserve"> </w:t>
      </w:r>
      <w:r w:rsidRPr="00C0758E">
        <w:rPr>
          <w:sz w:val="24"/>
          <w:szCs w:val="24"/>
        </w:rPr>
        <w:t>data</w:t>
      </w:r>
      <w:r w:rsidRPr="00C0758E">
        <w:rPr>
          <w:spacing w:val="-9"/>
          <w:sz w:val="24"/>
          <w:szCs w:val="24"/>
        </w:rPr>
        <w:t xml:space="preserve"> </w:t>
      </w:r>
      <w:r w:rsidRPr="00C0758E">
        <w:rPr>
          <w:sz w:val="24"/>
          <w:szCs w:val="24"/>
        </w:rPr>
        <w:t>for</w:t>
      </w:r>
      <w:r w:rsidRPr="00C0758E">
        <w:rPr>
          <w:spacing w:val="-7"/>
          <w:sz w:val="24"/>
          <w:szCs w:val="24"/>
        </w:rPr>
        <w:t xml:space="preserve"> </w:t>
      </w:r>
      <w:r w:rsidRPr="00C0758E">
        <w:rPr>
          <w:sz w:val="24"/>
          <w:szCs w:val="24"/>
        </w:rPr>
        <w:t>børn</w:t>
      </w:r>
      <w:r w:rsidRPr="00C0758E">
        <w:rPr>
          <w:spacing w:val="-7"/>
          <w:sz w:val="24"/>
          <w:szCs w:val="24"/>
        </w:rPr>
        <w:t xml:space="preserve"> </w:t>
      </w:r>
      <w:r w:rsidRPr="00C0758E">
        <w:rPr>
          <w:sz w:val="24"/>
          <w:szCs w:val="24"/>
        </w:rPr>
        <w:t>under</w:t>
      </w:r>
      <w:r w:rsidRPr="00C0758E">
        <w:rPr>
          <w:spacing w:val="-6"/>
          <w:sz w:val="24"/>
          <w:szCs w:val="24"/>
        </w:rPr>
        <w:t xml:space="preserve"> </w:t>
      </w:r>
      <w:r w:rsidRPr="00C0758E">
        <w:rPr>
          <w:sz w:val="24"/>
          <w:szCs w:val="24"/>
        </w:rPr>
        <w:t>4</w:t>
      </w:r>
      <w:r w:rsidRPr="00C0758E">
        <w:rPr>
          <w:spacing w:val="-14"/>
          <w:sz w:val="24"/>
          <w:szCs w:val="24"/>
        </w:rPr>
        <w:t> </w:t>
      </w:r>
      <w:r w:rsidRPr="00C0758E">
        <w:rPr>
          <w:sz w:val="24"/>
          <w:szCs w:val="24"/>
        </w:rPr>
        <w:t>måneders</w:t>
      </w:r>
      <w:r w:rsidRPr="00C0758E">
        <w:rPr>
          <w:spacing w:val="-6"/>
          <w:sz w:val="24"/>
          <w:szCs w:val="24"/>
        </w:rPr>
        <w:t xml:space="preserve"> </w:t>
      </w:r>
      <w:r w:rsidRPr="00C0758E">
        <w:rPr>
          <w:sz w:val="24"/>
          <w:szCs w:val="24"/>
        </w:rPr>
        <w:t>korrigeret</w:t>
      </w:r>
      <w:r w:rsidRPr="00C0758E">
        <w:rPr>
          <w:spacing w:val="-4"/>
          <w:sz w:val="24"/>
          <w:szCs w:val="24"/>
        </w:rPr>
        <w:t xml:space="preserve"> </w:t>
      </w:r>
      <w:r w:rsidRPr="00C0758E">
        <w:rPr>
          <w:sz w:val="24"/>
          <w:szCs w:val="24"/>
        </w:rPr>
        <w:t>svangerskabsalder.</w:t>
      </w:r>
    </w:p>
    <w:p w14:paraId="1F63462A" w14:textId="77777777" w:rsidR="00C0758E" w:rsidRPr="00C0758E" w:rsidRDefault="00C0758E" w:rsidP="00C0758E">
      <w:pPr>
        <w:pStyle w:val="Brdtekst"/>
        <w:ind w:left="851"/>
        <w:rPr>
          <w:sz w:val="24"/>
          <w:szCs w:val="24"/>
        </w:rPr>
      </w:pPr>
    </w:p>
    <w:p w14:paraId="3E8784A3" w14:textId="77777777" w:rsidR="00C0758E" w:rsidRPr="00C0758E" w:rsidRDefault="00C0758E" w:rsidP="00C0758E">
      <w:pPr>
        <w:pStyle w:val="Brdtekst"/>
        <w:ind w:left="851"/>
        <w:rPr>
          <w:sz w:val="24"/>
          <w:szCs w:val="24"/>
        </w:rPr>
      </w:pPr>
      <w:r w:rsidRPr="00C0758E">
        <w:rPr>
          <w:spacing w:val="-2"/>
          <w:sz w:val="24"/>
          <w:szCs w:val="24"/>
          <w:u w:val="single"/>
        </w:rPr>
        <w:t>Administration</w:t>
      </w:r>
    </w:p>
    <w:p w14:paraId="6FF830B6" w14:textId="77777777" w:rsidR="00C0758E" w:rsidRPr="00C0758E" w:rsidRDefault="00C0758E" w:rsidP="00C0758E">
      <w:pPr>
        <w:pStyle w:val="Brdtekst"/>
        <w:ind w:left="851"/>
        <w:rPr>
          <w:sz w:val="24"/>
          <w:szCs w:val="24"/>
        </w:rPr>
      </w:pPr>
      <w:r w:rsidRPr="00C0758E">
        <w:rPr>
          <w:sz w:val="24"/>
          <w:szCs w:val="24"/>
        </w:rPr>
        <w:t>Den</w:t>
      </w:r>
      <w:r w:rsidRPr="00C0758E">
        <w:rPr>
          <w:spacing w:val="-2"/>
          <w:sz w:val="24"/>
          <w:szCs w:val="24"/>
        </w:rPr>
        <w:t xml:space="preserve"> </w:t>
      </w:r>
      <w:r w:rsidRPr="00C0758E">
        <w:rPr>
          <w:sz w:val="24"/>
          <w:szCs w:val="24"/>
        </w:rPr>
        <w:t>rekonstituerede</w:t>
      </w:r>
      <w:r w:rsidRPr="00C0758E">
        <w:rPr>
          <w:spacing w:val="-4"/>
          <w:sz w:val="24"/>
          <w:szCs w:val="24"/>
        </w:rPr>
        <w:t xml:space="preserve"> </w:t>
      </w:r>
      <w:r w:rsidRPr="00C0758E">
        <w:rPr>
          <w:sz w:val="24"/>
          <w:szCs w:val="24"/>
        </w:rPr>
        <w:t>injektionsvæske</w:t>
      </w:r>
      <w:r w:rsidRPr="00C0758E">
        <w:rPr>
          <w:spacing w:val="-4"/>
          <w:sz w:val="24"/>
          <w:szCs w:val="24"/>
        </w:rPr>
        <w:t xml:space="preserve"> </w:t>
      </w:r>
      <w:r w:rsidRPr="00C0758E">
        <w:rPr>
          <w:sz w:val="24"/>
          <w:szCs w:val="24"/>
        </w:rPr>
        <w:t>skal</w:t>
      </w:r>
      <w:r w:rsidRPr="00C0758E">
        <w:rPr>
          <w:spacing w:val="-1"/>
          <w:sz w:val="24"/>
          <w:szCs w:val="24"/>
        </w:rPr>
        <w:t xml:space="preserve"> </w:t>
      </w:r>
      <w:r w:rsidRPr="00C0758E">
        <w:rPr>
          <w:sz w:val="24"/>
          <w:szCs w:val="24"/>
        </w:rPr>
        <w:t>administreres</w:t>
      </w:r>
      <w:r w:rsidRPr="00C0758E">
        <w:rPr>
          <w:spacing w:val="-2"/>
          <w:sz w:val="24"/>
          <w:szCs w:val="24"/>
        </w:rPr>
        <w:t xml:space="preserve"> </w:t>
      </w:r>
      <w:r w:rsidRPr="00C0758E">
        <w:rPr>
          <w:sz w:val="24"/>
          <w:szCs w:val="24"/>
        </w:rPr>
        <w:t>1 gang</w:t>
      </w:r>
      <w:r w:rsidRPr="00C0758E">
        <w:rPr>
          <w:spacing w:val="-4"/>
          <w:sz w:val="24"/>
          <w:szCs w:val="24"/>
        </w:rPr>
        <w:t xml:space="preserve"> </w:t>
      </w:r>
      <w:r w:rsidRPr="00C0758E">
        <w:rPr>
          <w:sz w:val="24"/>
          <w:szCs w:val="24"/>
        </w:rPr>
        <w:t>dagligt</w:t>
      </w:r>
      <w:r w:rsidRPr="00C0758E">
        <w:rPr>
          <w:spacing w:val="-1"/>
          <w:sz w:val="24"/>
          <w:szCs w:val="24"/>
        </w:rPr>
        <w:t xml:space="preserve"> </w:t>
      </w:r>
      <w:r w:rsidRPr="00C0758E">
        <w:rPr>
          <w:sz w:val="24"/>
          <w:szCs w:val="24"/>
        </w:rPr>
        <w:t>ved</w:t>
      </w:r>
      <w:r w:rsidRPr="00C0758E">
        <w:rPr>
          <w:spacing w:val="-2"/>
          <w:sz w:val="24"/>
          <w:szCs w:val="24"/>
        </w:rPr>
        <w:t xml:space="preserve"> </w:t>
      </w:r>
      <w:r w:rsidRPr="00C0758E">
        <w:rPr>
          <w:sz w:val="24"/>
          <w:szCs w:val="24"/>
        </w:rPr>
        <w:t>subkutan</w:t>
      </w:r>
      <w:r w:rsidRPr="00C0758E">
        <w:rPr>
          <w:spacing w:val="-2"/>
          <w:sz w:val="24"/>
          <w:szCs w:val="24"/>
        </w:rPr>
        <w:t xml:space="preserve"> </w:t>
      </w:r>
      <w:r w:rsidRPr="00C0758E">
        <w:rPr>
          <w:sz w:val="24"/>
          <w:szCs w:val="24"/>
        </w:rPr>
        <w:t>(s.c.)</w:t>
      </w:r>
      <w:r w:rsidRPr="00C0758E">
        <w:rPr>
          <w:spacing w:val="-4"/>
          <w:sz w:val="24"/>
          <w:szCs w:val="24"/>
        </w:rPr>
        <w:t xml:space="preserve"> </w:t>
      </w:r>
      <w:r w:rsidRPr="00C0758E">
        <w:rPr>
          <w:sz w:val="24"/>
          <w:szCs w:val="24"/>
        </w:rPr>
        <w:lastRenderedPageBreak/>
        <w:t>injektion vekslende mellem en af de fire kvadranter på abdomen. Hvis injektion</w:t>
      </w:r>
      <w:r w:rsidRPr="00C0758E">
        <w:rPr>
          <w:spacing w:val="-1"/>
          <w:sz w:val="24"/>
          <w:szCs w:val="24"/>
        </w:rPr>
        <w:t xml:space="preserve"> </w:t>
      </w:r>
      <w:r w:rsidRPr="00C0758E">
        <w:rPr>
          <w:sz w:val="24"/>
          <w:szCs w:val="24"/>
        </w:rPr>
        <w:t>i abdomens subcutis er besværliggjort pga. smerte, arvæv eller hærdning af væv, kan låret også benyttes som injektionssted. Nilleto må ikke administreres intravenøst eller intramuskulært.</w:t>
      </w:r>
    </w:p>
    <w:p w14:paraId="1F71AB9B" w14:textId="77777777" w:rsidR="00C0758E" w:rsidRPr="00C0758E" w:rsidRDefault="00C0758E" w:rsidP="00C0758E">
      <w:pPr>
        <w:pStyle w:val="Brdtekst"/>
        <w:ind w:left="851"/>
        <w:rPr>
          <w:sz w:val="24"/>
          <w:szCs w:val="24"/>
        </w:rPr>
      </w:pPr>
    </w:p>
    <w:p w14:paraId="66D12BF4" w14:textId="77777777" w:rsidR="00C0758E" w:rsidRPr="00C0758E" w:rsidRDefault="00C0758E" w:rsidP="00C0758E">
      <w:pPr>
        <w:pStyle w:val="Brdtekst"/>
        <w:ind w:left="851"/>
        <w:rPr>
          <w:spacing w:val="-4"/>
          <w:sz w:val="24"/>
          <w:szCs w:val="24"/>
        </w:rPr>
      </w:pPr>
      <w:r w:rsidRPr="00C0758E">
        <w:rPr>
          <w:sz w:val="24"/>
          <w:szCs w:val="24"/>
        </w:rPr>
        <w:t>For</w:t>
      </w:r>
      <w:r w:rsidRPr="00C0758E">
        <w:rPr>
          <w:spacing w:val="-12"/>
          <w:sz w:val="24"/>
          <w:szCs w:val="24"/>
        </w:rPr>
        <w:t xml:space="preserve"> </w:t>
      </w:r>
      <w:r w:rsidRPr="00C0758E">
        <w:rPr>
          <w:sz w:val="24"/>
          <w:szCs w:val="24"/>
        </w:rPr>
        <w:t>instruktioner</w:t>
      </w:r>
      <w:r w:rsidRPr="00C0758E">
        <w:rPr>
          <w:spacing w:val="-8"/>
          <w:sz w:val="24"/>
          <w:szCs w:val="24"/>
        </w:rPr>
        <w:t xml:space="preserve"> </w:t>
      </w:r>
      <w:r w:rsidRPr="00C0758E">
        <w:rPr>
          <w:sz w:val="24"/>
          <w:szCs w:val="24"/>
        </w:rPr>
        <w:t>om</w:t>
      </w:r>
      <w:r w:rsidRPr="00C0758E">
        <w:rPr>
          <w:spacing w:val="-10"/>
          <w:sz w:val="24"/>
          <w:szCs w:val="24"/>
        </w:rPr>
        <w:t xml:space="preserve"> </w:t>
      </w:r>
      <w:r w:rsidRPr="00C0758E">
        <w:rPr>
          <w:sz w:val="24"/>
          <w:szCs w:val="24"/>
        </w:rPr>
        <w:t>rekonstitution</w:t>
      </w:r>
      <w:r w:rsidRPr="00C0758E">
        <w:rPr>
          <w:spacing w:val="-11"/>
          <w:sz w:val="24"/>
          <w:szCs w:val="24"/>
        </w:rPr>
        <w:t xml:space="preserve"> </w:t>
      </w:r>
      <w:r w:rsidRPr="00C0758E">
        <w:rPr>
          <w:sz w:val="24"/>
          <w:szCs w:val="24"/>
        </w:rPr>
        <w:t>af</w:t>
      </w:r>
      <w:r w:rsidRPr="00C0758E">
        <w:rPr>
          <w:spacing w:val="-11"/>
          <w:sz w:val="24"/>
          <w:szCs w:val="24"/>
        </w:rPr>
        <w:t xml:space="preserve"> </w:t>
      </w:r>
      <w:r w:rsidRPr="00C0758E">
        <w:rPr>
          <w:sz w:val="24"/>
          <w:szCs w:val="24"/>
        </w:rPr>
        <w:t>lægemidlet</w:t>
      </w:r>
      <w:r w:rsidRPr="00C0758E">
        <w:rPr>
          <w:spacing w:val="-10"/>
          <w:sz w:val="24"/>
          <w:szCs w:val="24"/>
        </w:rPr>
        <w:t xml:space="preserve"> </w:t>
      </w:r>
      <w:r w:rsidRPr="00C0758E">
        <w:rPr>
          <w:sz w:val="24"/>
          <w:szCs w:val="24"/>
        </w:rPr>
        <w:t>før</w:t>
      </w:r>
      <w:r w:rsidRPr="00C0758E">
        <w:rPr>
          <w:spacing w:val="-10"/>
          <w:sz w:val="24"/>
          <w:szCs w:val="24"/>
        </w:rPr>
        <w:t xml:space="preserve"> </w:t>
      </w:r>
      <w:r w:rsidRPr="00C0758E">
        <w:rPr>
          <w:sz w:val="24"/>
          <w:szCs w:val="24"/>
        </w:rPr>
        <w:t>administration,</w:t>
      </w:r>
      <w:r w:rsidRPr="00C0758E">
        <w:rPr>
          <w:spacing w:val="-11"/>
          <w:sz w:val="24"/>
          <w:szCs w:val="24"/>
        </w:rPr>
        <w:t xml:space="preserve"> </w:t>
      </w:r>
      <w:r w:rsidRPr="00C0758E">
        <w:rPr>
          <w:sz w:val="24"/>
          <w:szCs w:val="24"/>
        </w:rPr>
        <w:t>se</w:t>
      </w:r>
      <w:r w:rsidRPr="00C0758E">
        <w:rPr>
          <w:spacing w:val="-9"/>
          <w:sz w:val="24"/>
          <w:szCs w:val="24"/>
        </w:rPr>
        <w:t xml:space="preserve"> </w:t>
      </w:r>
      <w:r w:rsidRPr="00C0758E">
        <w:rPr>
          <w:sz w:val="24"/>
          <w:szCs w:val="24"/>
        </w:rPr>
        <w:t>pkt.</w:t>
      </w:r>
      <w:r w:rsidRPr="00C0758E">
        <w:rPr>
          <w:spacing w:val="-5"/>
          <w:sz w:val="24"/>
          <w:szCs w:val="24"/>
        </w:rPr>
        <w:t> </w:t>
      </w:r>
      <w:r w:rsidRPr="00C0758E">
        <w:rPr>
          <w:spacing w:val="-4"/>
          <w:sz w:val="24"/>
          <w:szCs w:val="24"/>
        </w:rPr>
        <w:t>6.6.</w:t>
      </w:r>
    </w:p>
    <w:p w14:paraId="019016E5" w14:textId="77777777" w:rsidR="009260DE" w:rsidRPr="00C0758E" w:rsidRDefault="009260DE" w:rsidP="00C0758E">
      <w:pPr>
        <w:tabs>
          <w:tab w:val="left" w:pos="851"/>
        </w:tabs>
        <w:ind w:left="851"/>
        <w:rPr>
          <w:sz w:val="24"/>
          <w:szCs w:val="24"/>
        </w:rPr>
      </w:pPr>
    </w:p>
    <w:p w14:paraId="0FCB0E36" w14:textId="77777777" w:rsidR="009260DE" w:rsidRPr="00C84483" w:rsidRDefault="009260DE" w:rsidP="009260DE">
      <w:pPr>
        <w:tabs>
          <w:tab w:val="left" w:pos="851"/>
        </w:tabs>
        <w:ind w:left="851" w:hanging="851"/>
        <w:rPr>
          <w:b/>
          <w:sz w:val="24"/>
          <w:szCs w:val="24"/>
        </w:rPr>
      </w:pPr>
      <w:r w:rsidRPr="00C84483">
        <w:rPr>
          <w:b/>
          <w:sz w:val="24"/>
          <w:szCs w:val="24"/>
        </w:rPr>
        <w:t>4.3</w:t>
      </w:r>
      <w:r w:rsidRPr="00C84483">
        <w:rPr>
          <w:b/>
          <w:sz w:val="24"/>
          <w:szCs w:val="24"/>
        </w:rPr>
        <w:tab/>
        <w:t>Kontraindikationer</w:t>
      </w:r>
    </w:p>
    <w:p w14:paraId="49AFDBF9" w14:textId="77777777" w:rsidR="00211BF4" w:rsidRDefault="00211BF4" w:rsidP="00211BF4">
      <w:pPr>
        <w:tabs>
          <w:tab w:val="left" w:pos="851"/>
        </w:tabs>
        <w:ind w:left="851"/>
        <w:rPr>
          <w:sz w:val="24"/>
          <w:szCs w:val="24"/>
        </w:rPr>
      </w:pPr>
      <w:r w:rsidRPr="00211BF4">
        <w:rPr>
          <w:sz w:val="24"/>
          <w:szCs w:val="24"/>
        </w:rPr>
        <w:t>Overfølsomhed over for det aktive stof eller over for et eller flere af hjælpestofferne anført i pkt. 6.1.</w:t>
      </w:r>
    </w:p>
    <w:p w14:paraId="1BE1A2F0" w14:textId="2CD6DB82" w:rsidR="00211BF4" w:rsidRPr="00211BF4" w:rsidRDefault="00211BF4" w:rsidP="00211BF4">
      <w:pPr>
        <w:tabs>
          <w:tab w:val="left" w:pos="851"/>
        </w:tabs>
        <w:ind w:left="851"/>
        <w:rPr>
          <w:sz w:val="24"/>
          <w:szCs w:val="24"/>
        </w:rPr>
      </w:pPr>
      <w:r w:rsidRPr="00211BF4">
        <w:rPr>
          <w:sz w:val="24"/>
          <w:szCs w:val="24"/>
        </w:rPr>
        <w:t>Aktiv eller mistænkt malign sygdom.</w:t>
      </w:r>
    </w:p>
    <w:p w14:paraId="0CACB59B" w14:textId="77777777" w:rsidR="00211BF4" w:rsidRPr="00211BF4" w:rsidRDefault="00211BF4" w:rsidP="00211BF4">
      <w:pPr>
        <w:tabs>
          <w:tab w:val="left" w:pos="851"/>
        </w:tabs>
        <w:ind w:left="851"/>
        <w:rPr>
          <w:sz w:val="24"/>
          <w:szCs w:val="24"/>
        </w:rPr>
      </w:pPr>
      <w:r w:rsidRPr="00211BF4">
        <w:rPr>
          <w:sz w:val="24"/>
          <w:szCs w:val="24"/>
        </w:rPr>
        <w:t>Patienter, der inden for de seneste fem år har haft malign sygdom i mave-tarm-kanalen inklusive lever og galdeveje og pancreas.</w:t>
      </w:r>
    </w:p>
    <w:p w14:paraId="4822A2CD" w14:textId="77777777" w:rsidR="009260DE" w:rsidRPr="00C84483" w:rsidRDefault="009260DE" w:rsidP="009260DE">
      <w:pPr>
        <w:tabs>
          <w:tab w:val="left" w:pos="851"/>
        </w:tabs>
        <w:ind w:left="851"/>
        <w:rPr>
          <w:sz w:val="24"/>
          <w:szCs w:val="24"/>
        </w:rPr>
      </w:pPr>
    </w:p>
    <w:p w14:paraId="73CC5C6D" w14:textId="77777777" w:rsidR="009260DE" w:rsidRPr="00C84483" w:rsidRDefault="009260DE" w:rsidP="009260DE">
      <w:pPr>
        <w:tabs>
          <w:tab w:val="left" w:pos="851"/>
        </w:tabs>
        <w:ind w:left="851" w:hanging="851"/>
        <w:rPr>
          <w:b/>
          <w:sz w:val="24"/>
          <w:szCs w:val="24"/>
        </w:rPr>
      </w:pPr>
      <w:r w:rsidRPr="00C84483">
        <w:rPr>
          <w:b/>
          <w:sz w:val="24"/>
          <w:szCs w:val="24"/>
        </w:rPr>
        <w:t>4.4</w:t>
      </w:r>
      <w:r w:rsidRPr="00C84483">
        <w:rPr>
          <w:b/>
          <w:sz w:val="24"/>
          <w:szCs w:val="24"/>
        </w:rPr>
        <w:tab/>
        <w:t>Særlige advarsler og forsigtighedsregler vedrørende brugen</w:t>
      </w:r>
    </w:p>
    <w:p w14:paraId="43E0B6FE" w14:textId="77777777" w:rsidR="00211BF4" w:rsidRPr="00211BF4" w:rsidRDefault="00211BF4" w:rsidP="00211BF4">
      <w:pPr>
        <w:tabs>
          <w:tab w:val="left" w:pos="851"/>
        </w:tabs>
        <w:ind w:left="851"/>
        <w:rPr>
          <w:sz w:val="24"/>
          <w:szCs w:val="24"/>
        </w:rPr>
      </w:pPr>
      <w:r w:rsidRPr="00211BF4">
        <w:rPr>
          <w:sz w:val="24"/>
          <w:szCs w:val="24"/>
        </w:rPr>
        <w:t>Det anbefales kraftigt, at navnet og lotnummeret på præparatet registreres, hver gang Nilleto administreres til en patient, for at opretholde en forbindelse mellem patienten og præparatets lotnummer.</w:t>
      </w:r>
    </w:p>
    <w:p w14:paraId="1ED90E7C" w14:textId="77777777" w:rsidR="00211BF4" w:rsidRPr="00211BF4" w:rsidRDefault="00211BF4" w:rsidP="00211BF4">
      <w:pPr>
        <w:tabs>
          <w:tab w:val="left" w:pos="851"/>
        </w:tabs>
        <w:ind w:left="851"/>
        <w:rPr>
          <w:sz w:val="24"/>
          <w:szCs w:val="24"/>
          <w:u w:val="single"/>
        </w:rPr>
      </w:pPr>
    </w:p>
    <w:p w14:paraId="080D6738" w14:textId="77777777" w:rsidR="00211BF4" w:rsidRPr="00211BF4" w:rsidRDefault="00211BF4" w:rsidP="00211BF4">
      <w:pPr>
        <w:tabs>
          <w:tab w:val="left" w:pos="851"/>
        </w:tabs>
        <w:ind w:left="851"/>
        <w:rPr>
          <w:sz w:val="24"/>
          <w:szCs w:val="24"/>
        </w:rPr>
      </w:pPr>
      <w:r w:rsidRPr="00211BF4">
        <w:rPr>
          <w:sz w:val="24"/>
          <w:szCs w:val="24"/>
          <w:u w:val="single"/>
        </w:rPr>
        <w:t>Voksne</w:t>
      </w:r>
    </w:p>
    <w:p w14:paraId="053D7D5B" w14:textId="77777777" w:rsidR="00211BF4" w:rsidRPr="00211BF4" w:rsidRDefault="00211BF4" w:rsidP="00211BF4">
      <w:pPr>
        <w:tabs>
          <w:tab w:val="left" w:pos="851"/>
        </w:tabs>
        <w:ind w:left="851"/>
        <w:rPr>
          <w:sz w:val="24"/>
          <w:szCs w:val="24"/>
        </w:rPr>
      </w:pPr>
    </w:p>
    <w:p w14:paraId="22FEAD67" w14:textId="77777777" w:rsidR="00211BF4" w:rsidRPr="00211BF4" w:rsidRDefault="00211BF4" w:rsidP="00211BF4">
      <w:pPr>
        <w:tabs>
          <w:tab w:val="left" w:pos="851"/>
        </w:tabs>
        <w:ind w:left="851"/>
        <w:rPr>
          <w:i/>
          <w:sz w:val="24"/>
          <w:szCs w:val="24"/>
        </w:rPr>
      </w:pPr>
      <w:r w:rsidRPr="00211BF4">
        <w:rPr>
          <w:i/>
          <w:sz w:val="24"/>
          <w:szCs w:val="24"/>
        </w:rPr>
        <w:t>Kolorektale polypper</w:t>
      </w:r>
    </w:p>
    <w:p w14:paraId="1F4F1BBE" w14:textId="77777777" w:rsidR="00211BF4" w:rsidRPr="00211BF4" w:rsidRDefault="00211BF4" w:rsidP="00211BF4">
      <w:pPr>
        <w:tabs>
          <w:tab w:val="left" w:pos="851"/>
        </w:tabs>
        <w:ind w:left="851"/>
        <w:rPr>
          <w:sz w:val="24"/>
          <w:szCs w:val="24"/>
        </w:rPr>
      </w:pPr>
      <w:r w:rsidRPr="00211BF4">
        <w:rPr>
          <w:sz w:val="24"/>
          <w:szCs w:val="24"/>
        </w:rPr>
        <w:t>Ved behandlingsstart med Nilleto bør der foretages koloskopi med fjernelse af polypper. Opfølgning med koloskopi (eller alternativ billeddannelse) en gang om året anbefales under de 2 første års behandling med Nilleto. Efterfølgende koloskopier anbefales som minimum med femårs-intervaller. Der bør foretages en individuel vurdering af behovet for eventuelt at øge frekvensen af denne overvågning. Dette skal baseres på patientkarakteristika (f.eks. alder og underliggende sygdom). Se også pkt. 5.1. Hvis der konstateres en polyp, anbefales det at overholde de gældende retningslinjer for polypopfølgning. I tilfælde af malign sygdom skal behandlingen med Nilleto afbrydes (se pkt. 4.3).</w:t>
      </w:r>
    </w:p>
    <w:p w14:paraId="38E7FAE7" w14:textId="77777777" w:rsidR="00211BF4" w:rsidRPr="00211BF4" w:rsidRDefault="00211BF4" w:rsidP="00211BF4">
      <w:pPr>
        <w:tabs>
          <w:tab w:val="left" w:pos="851"/>
        </w:tabs>
        <w:ind w:left="851"/>
        <w:rPr>
          <w:sz w:val="24"/>
          <w:szCs w:val="24"/>
        </w:rPr>
      </w:pPr>
    </w:p>
    <w:p w14:paraId="36913035" w14:textId="77777777" w:rsidR="00211BF4" w:rsidRPr="00211BF4" w:rsidRDefault="00211BF4" w:rsidP="00211BF4">
      <w:pPr>
        <w:tabs>
          <w:tab w:val="left" w:pos="851"/>
        </w:tabs>
        <w:ind w:left="851"/>
        <w:rPr>
          <w:i/>
          <w:sz w:val="24"/>
          <w:szCs w:val="24"/>
        </w:rPr>
      </w:pPr>
      <w:r w:rsidRPr="00211BF4">
        <w:rPr>
          <w:i/>
          <w:sz w:val="24"/>
          <w:szCs w:val="24"/>
        </w:rPr>
        <w:t>Gastrointestinal neoplasi inklusive i lever og galdeveje</w:t>
      </w:r>
    </w:p>
    <w:p w14:paraId="7AF3353F" w14:textId="77777777" w:rsidR="00211BF4" w:rsidRPr="00211BF4" w:rsidRDefault="00211BF4" w:rsidP="00211BF4">
      <w:pPr>
        <w:tabs>
          <w:tab w:val="left" w:pos="851"/>
        </w:tabs>
        <w:ind w:left="851"/>
        <w:rPr>
          <w:sz w:val="24"/>
          <w:szCs w:val="24"/>
        </w:rPr>
      </w:pPr>
      <w:r w:rsidRPr="00211BF4">
        <w:rPr>
          <w:sz w:val="24"/>
          <w:szCs w:val="24"/>
        </w:rPr>
        <w:t>I et karcinogenicitetsstudie med rotter blev der fundet benigne tumorer i tyndtarmen og i de ekstrahepatiske galdegange. Udvikling af polypper i tyndtarmen er også blevet observeret hos menneskelige patienter med korttarmssyndrom flere måneder efter påbegyndelse af behandling med teduglutid. Derfor anbefales øvre gastrointestinal endoskopi eller en anden type billeddannelse før og under behandlingen med teduglutid. Hvis der konstateres neoplasi, bør det fjernes. I tilfælde af malignitet skal behandlingen med Nilleto afbrydes (se pkt. 4.3 og 5.3).</w:t>
      </w:r>
    </w:p>
    <w:p w14:paraId="5F4EA37A" w14:textId="77777777" w:rsidR="00211BF4" w:rsidRPr="00211BF4" w:rsidRDefault="00211BF4" w:rsidP="00211BF4">
      <w:pPr>
        <w:tabs>
          <w:tab w:val="left" w:pos="851"/>
        </w:tabs>
        <w:ind w:left="851"/>
        <w:rPr>
          <w:i/>
          <w:sz w:val="24"/>
          <w:szCs w:val="24"/>
          <w:u w:val="single"/>
        </w:rPr>
      </w:pPr>
    </w:p>
    <w:p w14:paraId="66E2673E" w14:textId="77777777" w:rsidR="00211BF4" w:rsidRPr="00211BF4" w:rsidRDefault="00211BF4" w:rsidP="00211BF4">
      <w:pPr>
        <w:tabs>
          <w:tab w:val="left" w:pos="851"/>
        </w:tabs>
        <w:ind w:left="851"/>
        <w:rPr>
          <w:i/>
          <w:sz w:val="24"/>
          <w:szCs w:val="24"/>
        </w:rPr>
      </w:pPr>
      <w:r w:rsidRPr="00211BF4">
        <w:rPr>
          <w:i/>
          <w:sz w:val="24"/>
          <w:szCs w:val="24"/>
        </w:rPr>
        <w:t>Galdeblære og galdegange</w:t>
      </w:r>
    </w:p>
    <w:p w14:paraId="169FB342" w14:textId="77777777" w:rsidR="00211BF4" w:rsidRPr="00211BF4" w:rsidRDefault="00211BF4" w:rsidP="00211BF4">
      <w:pPr>
        <w:tabs>
          <w:tab w:val="left" w:pos="851"/>
        </w:tabs>
        <w:ind w:left="851"/>
        <w:rPr>
          <w:sz w:val="24"/>
          <w:szCs w:val="24"/>
        </w:rPr>
      </w:pPr>
      <w:r w:rsidRPr="00211BF4">
        <w:rPr>
          <w:sz w:val="24"/>
          <w:szCs w:val="24"/>
        </w:rPr>
        <w:t>Der er rapporteret om tilfælde af kolecystitis, kolangitis og kolelitiasis i kliniske studier. I tilfælde af galdeblære- eller galdevejssymptomer skal den fortsatte behandling med Nilleto revurderes.</w:t>
      </w:r>
    </w:p>
    <w:p w14:paraId="07AC9683" w14:textId="77777777" w:rsidR="00211BF4" w:rsidRPr="00211BF4" w:rsidRDefault="00211BF4" w:rsidP="00211BF4">
      <w:pPr>
        <w:tabs>
          <w:tab w:val="left" w:pos="851"/>
        </w:tabs>
        <w:ind w:left="851"/>
        <w:rPr>
          <w:sz w:val="24"/>
          <w:szCs w:val="24"/>
        </w:rPr>
      </w:pPr>
    </w:p>
    <w:p w14:paraId="0316E786" w14:textId="77777777" w:rsidR="00211BF4" w:rsidRPr="00211BF4" w:rsidRDefault="00211BF4" w:rsidP="00211BF4">
      <w:pPr>
        <w:tabs>
          <w:tab w:val="left" w:pos="851"/>
        </w:tabs>
        <w:ind w:left="851"/>
        <w:rPr>
          <w:i/>
          <w:sz w:val="24"/>
          <w:szCs w:val="24"/>
        </w:rPr>
      </w:pPr>
      <w:r w:rsidRPr="00211BF4">
        <w:rPr>
          <w:i/>
          <w:sz w:val="24"/>
          <w:szCs w:val="24"/>
        </w:rPr>
        <w:t>Pancreassygdomme</w:t>
      </w:r>
    </w:p>
    <w:p w14:paraId="20BCC18B" w14:textId="77777777" w:rsidR="00211BF4" w:rsidRPr="00211BF4" w:rsidRDefault="00211BF4" w:rsidP="00211BF4">
      <w:pPr>
        <w:tabs>
          <w:tab w:val="left" w:pos="851"/>
        </w:tabs>
        <w:ind w:left="851"/>
        <w:rPr>
          <w:sz w:val="24"/>
          <w:szCs w:val="24"/>
        </w:rPr>
      </w:pPr>
      <w:r w:rsidRPr="00211BF4">
        <w:rPr>
          <w:sz w:val="24"/>
          <w:szCs w:val="24"/>
        </w:rPr>
        <w:t>I kliniske studier er rapporteret om pancreasbivirkninger i form af kronisk eller akut pankreatitis, stenose af ductus pancreaticus, pancreasinfektion og forhøjede amylase- og lipase-værdier i blodet. I tilfælde af pancreasbivirkninger skal den fortsatte behandling med Nilleto revurderes.</w:t>
      </w:r>
    </w:p>
    <w:p w14:paraId="0459BE61" w14:textId="77777777" w:rsidR="00211BF4" w:rsidRPr="00211BF4" w:rsidRDefault="00211BF4" w:rsidP="00211BF4">
      <w:pPr>
        <w:tabs>
          <w:tab w:val="left" w:pos="851"/>
        </w:tabs>
        <w:ind w:left="851"/>
        <w:rPr>
          <w:sz w:val="24"/>
          <w:szCs w:val="24"/>
        </w:rPr>
      </w:pPr>
    </w:p>
    <w:p w14:paraId="01E9414B" w14:textId="77777777" w:rsidR="00211BF4" w:rsidRPr="00211BF4" w:rsidRDefault="00211BF4" w:rsidP="00211BF4">
      <w:pPr>
        <w:tabs>
          <w:tab w:val="left" w:pos="851"/>
        </w:tabs>
        <w:ind w:left="851"/>
        <w:rPr>
          <w:i/>
          <w:sz w:val="24"/>
          <w:szCs w:val="24"/>
        </w:rPr>
      </w:pPr>
      <w:r w:rsidRPr="00211BF4">
        <w:rPr>
          <w:i/>
          <w:sz w:val="24"/>
          <w:szCs w:val="24"/>
        </w:rPr>
        <w:t>Overvågning af tyndtarm, galdeblære og galdegange og pancreas</w:t>
      </w:r>
    </w:p>
    <w:p w14:paraId="6C7A9A9B" w14:textId="77777777" w:rsidR="00211BF4" w:rsidRPr="00211BF4" w:rsidRDefault="00211BF4" w:rsidP="00211BF4">
      <w:pPr>
        <w:tabs>
          <w:tab w:val="left" w:pos="851"/>
        </w:tabs>
        <w:ind w:left="851"/>
        <w:rPr>
          <w:sz w:val="24"/>
          <w:szCs w:val="24"/>
        </w:rPr>
      </w:pPr>
      <w:r w:rsidRPr="00211BF4">
        <w:rPr>
          <w:sz w:val="24"/>
          <w:szCs w:val="24"/>
        </w:rPr>
        <w:t>Patienter med korttarmssyndrom skal holdes under tæt overvågning i henhold til kliniske behandlingsvejledninger. Dette inkluderer normalt overvågning af tyndtarmens funktion, galdeblære og galdegange og pancreas efter tegn og symptomer, og hvis der er indikationer for det, yderligere laboratorieundersøgelser og velegnede billeddiagnostiske teknikker.</w:t>
      </w:r>
    </w:p>
    <w:p w14:paraId="368A2DA3" w14:textId="77777777" w:rsidR="00211BF4" w:rsidRPr="00211BF4" w:rsidRDefault="00211BF4" w:rsidP="00211BF4">
      <w:pPr>
        <w:tabs>
          <w:tab w:val="left" w:pos="851"/>
        </w:tabs>
        <w:ind w:left="851"/>
        <w:rPr>
          <w:sz w:val="24"/>
          <w:szCs w:val="24"/>
        </w:rPr>
      </w:pPr>
    </w:p>
    <w:p w14:paraId="6E05A466" w14:textId="77777777" w:rsidR="00211BF4" w:rsidRPr="00211BF4" w:rsidRDefault="00211BF4" w:rsidP="00211BF4">
      <w:pPr>
        <w:tabs>
          <w:tab w:val="left" w:pos="851"/>
        </w:tabs>
        <w:ind w:left="851"/>
        <w:rPr>
          <w:i/>
          <w:sz w:val="24"/>
          <w:szCs w:val="24"/>
        </w:rPr>
      </w:pPr>
      <w:r w:rsidRPr="00211BF4">
        <w:rPr>
          <w:i/>
          <w:sz w:val="24"/>
          <w:szCs w:val="24"/>
        </w:rPr>
        <w:t>Intestinal obstruktion</w:t>
      </w:r>
    </w:p>
    <w:p w14:paraId="6980C341" w14:textId="77777777" w:rsidR="00211BF4" w:rsidRPr="00211BF4" w:rsidRDefault="00211BF4" w:rsidP="00211BF4">
      <w:pPr>
        <w:tabs>
          <w:tab w:val="left" w:pos="851"/>
        </w:tabs>
        <w:ind w:left="851"/>
        <w:rPr>
          <w:sz w:val="24"/>
          <w:szCs w:val="24"/>
        </w:rPr>
      </w:pPr>
      <w:r w:rsidRPr="00211BF4">
        <w:rPr>
          <w:sz w:val="24"/>
          <w:szCs w:val="24"/>
        </w:rPr>
        <w:t>I kliniske studier er rapporteret om tilfælde af intestinal obstruktion. I tilfælde af gentagne intestinale obstruktioner skal behovet for fortsat behandling med Nilleto revurderes.</w:t>
      </w:r>
    </w:p>
    <w:p w14:paraId="0BCF8B87" w14:textId="77777777" w:rsidR="00211BF4" w:rsidRPr="00211BF4" w:rsidRDefault="00211BF4" w:rsidP="00211BF4">
      <w:pPr>
        <w:tabs>
          <w:tab w:val="left" w:pos="851"/>
        </w:tabs>
        <w:ind w:left="851"/>
        <w:rPr>
          <w:sz w:val="24"/>
          <w:szCs w:val="24"/>
        </w:rPr>
      </w:pPr>
    </w:p>
    <w:p w14:paraId="342877A3" w14:textId="77777777" w:rsidR="00211BF4" w:rsidRPr="00211BF4" w:rsidRDefault="00211BF4" w:rsidP="00211BF4">
      <w:pPr>
        <w:tabs>
          <w:tab w:val="left" w:pos="851"/>
        </w:tabs>
        <w:ind w:left="851"/>
        <w:rPr>
          <w:i/>
          <w:sz w:val="24"/>
          <w:szCs w:val="24"/>
        </w:rPr>
      </w:pPr>
      <w:r w:rsidRPr="00211BF4">
        <w:rPr>
          <w:i/>
          <w:sz w:val="24"/>
          <w:szCs w:val="24"/>
        </w:rPr>
        <w:t>Væskeophobning og elektrolytbalance</w:t>
      </w:r>
    </w:p>
    <w:p w14:paraId="0F826788" w14:textId="77777777" w:rsidR="00211BF4" w:rsidRPr="00211BF4" w:rsidRDefault="00211BF4" w:rsidP="00211BF4">
      <w:pPr>
        <w:tabs>
          <w:tab w:val="left" w:pos="851"/>
        </w:tabs>
        <w:ind w:left="851"/>
        <w:rPr>
          <w:sz w:val="24"/>
          <w:szCs w:val="24"/>
        </w:rPr>
      </w:pPr>
      <w:r w:rsidRPr="00211BF4">
        <w:rPr>
          <w:sz w:val="24"/>
          <w:szCs w:val="24"/>
        </w:rPr>
        <w:t>For at undgå væskeophobning eller dehydrering er det nødvendigt at justere parenteral ernæring forsigtigt hos patienter, der tager Nilleto. Elektrolytbalance og væskestatus skal nøje monitoreres under hele behandlingen, især under initial terapeutisk respons og ved seponering af behandlingen med Nilleto.</w:t>
      </w:r>
    </w:p>
    <w:p w14:paraId="18CA928B" w14:textId="77777777" w:rsidR="00211BF4" w:rsidRPr="00211BF4" w:rsidRDefault="00211BF4" w:rsidP="00211BF4">
      <w:pPr>
        <w:tabs>
          <w:tab w:val="left" w:pos="851"/>
        </w:tabs>
        <w:ind w:left="851"/>
        <w:rPr>
          <w:sz w:val="24"/>
          <w:szCs w:val="24"/>
        </w:rPr>
      </w:pPr>
    </w:p>
    <w:p w14:paraId="2E649293" w14:textId="1BBB1951" w:rsidR="00211BF4" w:rsidRPr="00211BF4" w:rsidRDefault="00211BF4" w:rsidP="00211BF4">
      <w:pPr>
        <w:tabs>
          <w:tab w:val="left" w:pos="851"/>
        </w:tabs>
        <w:ind w:left="851"/>
        <w:rPr>
          <w:iCs/>
          <w:sz w:val="24"/>
          <w:szCs w:val="24"/>
        </w:rPr>
      </w:pPr>
      <w:r w:rsidRPr="00211BF4">
        <w:rPr>
          <w:iCs/>
          <w:sz w:val="24"/>
          <w:szCs w:val="24"/>
        </w:rPr>
        <w:t>Væskeophobning</w:t>
      </w:r>
      <w:r>
        <w:rPr>
          <w:iCs/>
          <w:sz w:val="24"/>
          <w:szCs w:val="24"/>
        </w:rPr>
        <w:t>:</w:t>
      </w:r>
    </w:p>
    <w:p w14:paraId="6357CE18" w14:textId="77777777" w:rsidR="00211BF4" w:rsidRPr="00211BF4" w:rsidRDefault="00211BF4" w:rsidP="00211BF4">
      <w:pPr>
        <w:tabs>
          <w:tab w:val="left" w:pos="851"/>
        </w:tabs>
        <w:ind w:left="851"/>
        <w:rPr>
          <w:sz w:val="24"/>
          <w:szCs w:val="24"/>
        </w:rPr>
      </w:pPr>
      <w:r w:rsidRPr="00211BF4">
        <w:rPr>
          <w:sz w:val="24"/>
          <w:szCs w:val="24"/>
        </w:rPr>
        <w:t>Der er blevet observeret væskeophobning i kliniske studier. Bivirkninger med relation til væskeophobning forekom hyppigst i løbet af de første 4 ugers behandling og fortog sig med tiden.</w:t>
      </w:r>
    </w:p>
    <w:p w14:paraId="3A8A4D81" w14:textId="77777777" w:rsidR="00211BF4" w:rsidRPr="00211BF4" w:rsidRDefault="00211BF4" w:rsidP="00211BF4">
      <w:pPr>
        <w:tabs>
          <w:tab w:val="left" w:pos="851"/>
        </w:tabs>
        <w:ind w:left="851"/>
        <w:rPr>
          <w:sz w:val="24"/>
          <w:szCs w:val="24"/>
        </w:rPr>
      </w:pPr>
    </w:p>
    <w:p w14:paraId="66CC1F15" w14:textId="77777777" w:rsidR="00211BF4" w:rsidRPr="00211BF4" w:rsidRDefault="00211BF4" w:rsidP="00211BF4">
      <w:pPr>
        <w:tabs>
          <w:tab w:val="left" w:pos="851"/>
        </w:tabs>
        <w:ind w:left="851"/>
        <w:rPr>
          <w:sz w:val="24"/>
          <w:szCs w:val="24"/>
        </w:rPr>
      </w:pPr>
      <w:r w:rsidRPr="00211BF4">
        <w:rPr>
          <w:sz w:val="24"/>
          <w:szCs w:val="24"/>
        </w:rPr>
        <w:t>På grund af øget væskeabsorption bør patienter med en kardiovaskulær sygdom som f.eks. hjerteinsufficiens og hypertension, især i opstarten af behandlingen, monitoreres med hensyn til væskeophobning. Patienter bør rådes til at kontakte deres læge i tilfælde af pludselig vægtstigning, hævelse i ansigtet, hævede ankler og/eller dyspnø. Generelt kan væskeophobning forebygges ved passende og rettidig vurdering af behov for parenteral ernæring. Denne vurdering bør foretages oftere inden for de første måneder af behandlingen.</w:t>
      </w:r>
    </w:p>
    <w:p w14:paraId="3FD164EF" w14:textId="77777777" w:rsidR="00211BF4" w:rsidRPr="00211BF4" w:rsidRDefault="00211BF4" w:rsidP="00211BF4">
      <w:pPr>
        <w:tabs>
          <w:tab w:val="left" w:pos="851"/>
        </w:tabs>
        <w:ind w:left="851"/>
        <w:rPr>
          <w:sz w:val="24"/>
          <w:szCs w:val="24"/>
        </w:rPr>
      </w:pPr>
    </w:p>
    <w:p w14:paraId="5F1A0BC6" w14:textId="77777777" w:rsidR="00211BF4" w:rsidRPr="00211BF4" w:rsidRDefault="00211BF4" w:rsidP="00211BF4">
      <w:pPr>
        <w:tabs>
          <w:tab w:val="left" w:pos="851"/>
        </w:tabs>
        <w:ind w:left="851"/>
        <w:rPr>
          <w:sz w:val="24"/>
          <w:szCs w:val="24"/>
        </w:rPr>
      </w:pPr>
      <w:r w:rsidRPr="00211BF4">
        <w:rPr>
          <w:sz w:val="24"/>
          <w:szCs w:val="24"/>
        </w:rPr>
        <w:t>Der er blevet observeret kongestiv hjerteinsufficiens i kliniske studier. I tilfælde af signifikant forværring af den kardiovaskulære sygdom skal behovet for fortsat behandling med Nilleto revurderes.</w:t>
      </w:r>
    </w:p>
    <w:p w14:paraId="05429ACD" w14:textId="77777777" w:rsidR="00211BF4" w:rsidRPr="00211BF4" w:rsidRDefault="00211BF4" w:rsidP="00211BF4">
      <w:pPr>
        <w:tabs>
          <w:tab w:val="left" w:pos="851"/>
        </w:tabs>
        <w:ind w:left="851"/>
        <w:rPr>
          <w:sz w:val="24"/>
          <w:szCs w:val="24"/>
        </w:rPr>
      </w:pPr>
    </w:p>
    <w:p w14:paraId="67396537" w14:textId="77777777" w:rsidR="00211BF4" w:rsidRPr="00211BF4" w:rsidRDefault="00211BF4" w:rsidP="00211BF4">
      <w:pPr>
        <w:tabs>
          <w:tab w:val="left" w:pos="851"/>
        </w:tabs>
        <w:ind w:left="851"/>
        <w:rPr>
          <w:iCs/>
          <w:sz w:val="24"/>
          <w:szCs w:val="24"/>
        </w:rPr>
      </w:pPr>
      <w:r w:rsidRPr="00211BF4">
        <w:rPr>
          <w:iCs/>
          <w:sz w:val="24"/>
          <w:szCs w:val="24"/>
        </w:rPr>
        <w:t>Dehydrering:</w:t>
      </w:r>
    </w:p>
    <w:p w14:paraId="1FECD868" w14:textId="77777777" w:rsidR="00211BF4" w:rsidRPr="00211BF4" w:rsidRDefault="00211BF4" w:rsidP="00211BF4">
      <w:pPr>
        <w:tabs>
          <w:tab w:val="left" w:pos="851"/>
        </w:tabs>
        <w:ind w:left="851"/>
        <w:rPr>
          <w:sz w:val="24"/>
          <w:szCs w:val="24"/>
        </w:rPr>
      </w:pPr>
      <w:r w:rsidRPr="00211BF4">
        <w:rPr>
          <w:sz w:val="24"/>
          <w:szCs w:val="24"/>
        </w:rPr>
        <w:t>Patienter med SBS er følsomme overfor dehydrering, der kan føre til akut nyresvigt.</w:t>
      </w:r>
    </w:p>
    <w:p w14:paraId="5C36D70F" w14:textId="77777777" w:rsidR="00211BF4" w:rsidRPr="00211BF4" w:rsidRDefault="00211BF4" w:rsidP="00211BF4">
      <w:pPr>
        <w:tabs>
          <w:tab w:val="left" w:pos="851"/>
        </w:tabs>
        <w:ind w:left="851"/>
        <w:rPr>
          <w:sz w:val="24"/>
          <w:szCs w:val="24"/>
        </w:rPr>
      </w:pPr>
      <w:r w:rsidRPr="00211BF4">
        <w:rPr>
          <w:sz w:val="24"/>
          <w:szCs w:val="24"/>
        </w:rPr>
        <w:t>Hos patienter, der får Nilleto, bør parenteral ernæring reduceres forsigtigt og bør ikke seponeres pludseligt. Patientens væskestatus bør evalueres efter reduktion af parenteral ernæring og tilsvarende justering udføres efter behov.</w:t>
      </w:r>
    </w:p>
    <w:p w14:paraId="3EE54D04" w14:textId="77777777" w:rsidR="00211BF4" w:rsidRPr="00211BF4" w:rsidRDefault="00211BF4" w:rsidP="00211BF4">
      <w:pPr>
        <w:tabs>
          <w:tab w:val="left" w:pos="851"/>
        </w:tabs>
        <w:ind w:left="851"/>
        <w:rPr>
          <w:sz w:val="24"/>
          <w:szCs w:val="24"/>
        </w:rPr>
      </w:pPr>
    </w:p>
    <w:p w14:paraId="7DC861E0" w14:textId="77777777" w:rsidR="00211BF4" w:rsidRPr="00211BF4" w:rsidRDefault="00211BF4" w:rsidP="00211BF4">
      <w:pPr>
        <w:tabs>
          <w:tab w:val="left" w:pos="851"/>
        </w:tabs>
        <w:ind w:left="851"/>
        <w:rPr>
          <w:i/>
          <w:sz w:val="24"/>
          <w:szCs w:val="24"/>
        </w:rPr>
      </w:pPr>
      <w:r w:rsidRPr="00211BF4">
        <w:rPr>
          <w:i/>
          <w:sz w:val="24"/>
          <w:szCs w:val="24"/>
        </w:rPr>
        <w:t>Samtidige lægemidler</w:t>
      </w:r>
    </w:p>
    <w:p w14:paraId="0B5FBCE6" w14:textId="77777777" w:rsidR="00211BF4" w:rsidRPr="00211BF4" w:rsidRDefault="00211BF4" w:rsidP="00211BF4">
      <w:pPr>
        <w:tabs>
          <w:tab w:val="left" w:pos="851"/>
        </w:tabs>
        <w:ind w:left="851"/>
        <w:rPr>
          <w:sz w:val="24"/>
          <w:szCs w:val="24"/>
        </w:rPr>
      </w:pPr>
      <w:r w:rsidRPr="00211BF4">
        <w:rPr>
          <w:sz w:val="24"/>
          <w:szCs w:val="24"/>
        </w:rPr>
        <w:t>Patienter, som samtidig tager orale lægemidler, der kræver titrering, eller som har et smalt terapeutisk indeks, bør monitoreres tæt på grund af potentielt øget absorption (se pkt. 4.5).</w:t>
      </w:r>
    </w:p>
    <w:p w14:paraId="72DE7408" w14:textId="77777777" w:rsidR="00211BF4" w:rsidRPr="00211BF4" w:rsidRDefault="00211BF4" w:rsidP="00211BF4">
      <w:pPr>
        <w:tabs>
          <w:tab w:val="left" w:pos="851"/>
        </w:tabs>
        <w:ind w:left="851"/>
        <w:rPr>
          <w:i/>
          <w:sz w:val="24"/>
          <w:szCs w:val="24"/>
          <w:u w:val="single"/>
        </w:rPr>
      </w:pPr>
    </w:p>
    <w:p w14:paraId="5B1644C0" w14:textId="77777777" w:rsidR="00211BF4" w:rsidRPr="00211BF4" w:rsidRDefault="00211BF4" w:rsidP="00211BF4">
      <w:pPr>
        <w:tabs>
          <w:tab w:val="left" w:pos="851"/>
        </w:tabs>
        <w:ind w:left="851"/>
        <w:rPr>
          <w:i/>
          <w:sz w:val="24"/>
          <w:szCs w:val="24"/>
        </w:rPr>
      </w:pPr>
      <w:r w:rsidRPr="00211BF4">
        <w:rPr>
          <w:i/>
          <w:sz w:val="24"/>
          <w:szCs w:val="24"/>
        </w:rPr>
        <w:t>Særlige kliniske forhold</w:t>
      </w:r>
    </w:p>
    <w:p w14:paraId="00585EAF" w14:textId="77777777" w:rsidR="00211BF4" w:rsidRPr="00211BF4" w:rsidRDefault="00211BF4" w:rsidP="00211BF4">
      <w:pPr>
        <w:tabs>
          <w:tab w:val="left" w:pos="851"/>
        </w:tabs>
        <w:ind w:left="851"/>
        <w:rPr>
          <w:sz w:val="24"/>
          <w:szCs w:val="24"/>
        </w:rPr>
      </w:pPr>
      <w:r w:rsidRPr="00211BF4">
        <w:rPr>
          <w:sz w:val="24"/>
          <w:szCs w:val="24"/>
        </w:rPr>
        <w:t>Teduglutid er ikke undersøgt hos patienter med svære, klinisk ustabile samtidige sygdomme (f.eks. kardiovaskulære, respiratoriske, renale, infektiøse, endokrine og hepatiske eller i centralnervesystemet) eller hos patienter med maligne lidelser inden for de seneste 5 år (se pkt. 4.3). Der skal udvises forsigtighed ved ordination af Nilleto.</w:t>
      </w:r>
    </w:p>
    <w:p w14:paraId="59350663" w14:textId="73C6E65B" w:rsidR="00211BF4" w:rsidRDefault="00211BF4">
      <w:pPr>
        <w:rPr>
          <w:sz w:val="24"/>
          <w:szCs w:val="24"/>
        </w:rPr>
      </w:pPr>
      <w:r>
        <w:rPr>
          <w:sz w:val="24"/>
          <w:szCs w:val="24"/>
        </w:rPr>
        <w:br w:type="page"/>
      </w:r>
    </w:p>
    <w:p w14:paraId="30801829" w14:textId="77777777" w:rsidR="00211BF4" w:rsidRPr="00211BF4" w:rsidRDefault="00211BF4" w:rsidP="00211BF4">
      <w:pPr>
        <w:tabs>
          <w:tab w:val="left" w:pos="851"/>
        </w:tabs>
        <w:ind w:left="851"/>
        <w:rPr>
          <w:sz w:val="24"/>
          <w:szCs w:val="24"/>
        </w:rPr>
      </w:pPr>
    </w:p>
    <w:p w14:paraId="6242E140" w14:textId="77777777" w:rsidR="00211BF4" w:rsidRPr="00211BF4" w:rsidRDefault="00211BF4" w:rsidP="00211BF4">
      <w:pPr>
        <w:tabs>
          <w:tab w:val="left" w:pos="851"/>
        </w:tabs>
        <w:ind w:left="851"/>
        <w:rPr>
          <w:i/>
          <w:sz w:val="24"/>
          <w:szCs w:val="24"/>
        </w:rPr>
      </w:pPr>
      <w:r w:rsidRPr="00211BF4">
        <w:rPr>
          <w:i/>
          <w:sz w:val="24"/>
          <w:szCs w:val="24"/>
        </w:rPr>
        <w:t>Nedsat leverfunktion</w:t>
      </w:r>
    </w:p>
    <w:p w14:paraId="3AC841F2" w14:textId="77777777" w:rsidR="00211BF4" w:rsidRPr="00211BF4" w:rsidRDefault="00211BF4" w:rsidP="00211BF4">
      <w:pPr>
        <w:tabs>
          <w:tab w:val="left" w:pos="851"/>
        </w:tabs>
        <w:ind w:left="851"/>
        <w:rPr>
          <w:sz w:val="24"/>
          <w:szCs w:val="24"/>
        </w:rPr>
      </w:pPr>
      <w:r w:rsidRPr="00211BF4">
        <w:rPr>
          <w:sz w:val="24"/>
          <w:szCs w:val="24"/>
        </w:rPr>
        <w:t>Teduglutid er ikke blevet undersøgt hos patienter med svært nedsat leverfunktion. Data fra personer med moderat nedsat leverfunktion indikerer ikke, at restriktiv anvendelse er nødvendig.</w:t>
      </w:r>
    </w:p>
    <w:p w14:paraId="2F96B7C2" w14:textId="77777777" w:rsidR="00211BF4" w:rsidRPr="00211BF4" w:rsidRDefault="00211BF4" w:rsidP="00211BF4">
      <w:pPr>
        <w:tabs>
          <w:tab w:val="left" w:pos="851"/>
        </w:tabs>
        <w:ind w:left="851"/>
        <w:rPr>
          <w:i/>
          <w:sz w:val="24"/>
          <w:szCs w:val="24"/>
          <w:u w:val="single"/>
        </w:rPr>
      </w:pPr>
    </w:p>
    <w:p w14:paraId="441454F5" w14:textId="77777777" w:rsidR="00211BF4" w:rsidRPr="00211BF4" w:rsidRDefault="00211BF4" w:rsidP="00211BF4">
      <w:pPr>
        <w:tabs>
          <w:tab w:val="left" w:pos="851"/>
        </w:tabs>
        <w:ind w:left="851"/>
        <w:rPr>
          <w:i/>
          <w:sz w:val="24"/>
          <w:szCs w:val="24"/>
        </w:rPr>
      </w:pPr>
      <w:r w:rsidRPr="00211BF4">
        <w:rPr>
          <w:i/>
          <w:sz w:val="24"/>
          <w:szCs w:val="24"/>
        </w:rPr>
        <w:t>Afbrydelse af behandling</w:t>
      </w:r>
    </w:p>
    <w:p w14:paraId="5B0C1FC8" w14:textId="77777777" w:rsidR="00211BF4" w:rsidRPr="00211BF4" w:rsidRDefault="00211BF4" w:rsidP="00211BF4">
      <w:pPr>
        <w:tabs>
          <w:tab w:val="left" w:pos="851"/>
        </w:tabs>
        <w:ind w:left="851"/>
        <w:rPr>
          <w:sz w:val="24"/>
          <w:szCs w:val="24"/>
        </w:rPr>
      </w:pPr>
      <w:r w:rsidRPr="00211BF4">
        <w:rPr>
          <w:sz w:val="24"/>
          <w:szCs w:val="24"/>
        </w:rPr>
        <w:t>På grund af risikoen for dehydrering skal seponering af Nilleto håndteres med forsigtighed.</w:t>
      </w:r>
    </w:p>
    <w:p w14:paraId="7B2C2141" w14:textId="77777777" w:rsidR="00211BF4" w:rsidRPr="00211BF4" w:rsidRDefault="00211BF4" w:rsidP="00211BF4">
      <w:pPr>
        <w:tabs>
          <w:tab w:val="left" w:pos="851"/>
        </w:tabs>
        <w:ind w:left="851"/>
        <w:rPr>
          <w:sz w:val="24"/>
          <w:szCs w:val="24"/>
        </w:rPr>
      </w:pPr>
    </w:p>
    <w:p w14:paraId="6704C681" w14:textId="77777777" w:rsidR="00211BF4" w:rsidRPr="00211BF4" w:rsidRDefault="00211BF4" w:rsidP="00211BF4">
      <w:pPr>
        <w:tabs>
          <w:tab w:val="left" w:pos="851"/>
        </w:tabs>
        <w:ind w:left="851"/>
        <w:rPr>
          <w:i/>
          <w:sz w:val="24"/>
          <w:szCs w:val="24"/>
        </w:rPr>
      </w:pPr>
      <w:r w:rsidRPr="00211BF4">
        <w:rPr>
          <w:i/>
          <w:sz w:val="24"/>
          <w:szCs w:val="24"/>
        </w:rPr>
        <w:t>Overfølsomhed over for tetracyklin ved skift af teduglutid-lægemiddel</w:t>
      </w:r>
    </w:p>
    <w:p w14:paraId="3D402180" w14:textId="77777777" w:rsidR="00211BF4" w:rsidRPr="00211BF4" w:rsidRDefault="00211BF4" w:rsidP="00211BF4">
      <w:pPr>
        <w:tabs>
          <w:tab w:val="left" w:pos="851"/>
        </w:tabs>
        <w:ind w:left="851"/>
        <w:rPr>
          <w:sz w:val="24"/>
          <w:szCs w:val="24"/>
        </w:rPr>
      </w:pPr>
      <w:r w:rsidRPr="00211BF4">
        <w:rPr>
          <w:sz w:val="24"/>
          <w:szCs w:val="24"/>
        </w:rPr>
        <w:t>Nilleto fremstilles syntetisk. Der findes dog et teduglutid-præparat, som fremstilles i</w:t>
      </w:r>
      <w:r w:rsidRPr="00211BF4">
        <w:rPr>
          <w:i/>
          <w:sz w:val="24"/>
          <w:szCs w:val="24"/>
        </w:rPr>
        <w:t xml:space="preserve"> E. coli </w:t>
      </w:r>
      <w:r w:rsidRPr="00211BF4">
        <w:rPr>
          <w:sz w:val="24"/>
          <w:szCs w:val="24"/>
        </w:rPr>
        <w:t>ved hjælp af rekombinant DNA-teknologi, og dette præparat er kontraindiceret hos patienter med overfølsomhed over for tetracyklin. Patienter med kendt overfølsomhed over for tetracyklin skal informeres om de mulige kontraindikationer ved det alternative teduglutid-præparat, hvis de planlægger at skifte fra Nilleto.</w:t>
      </w:r>
    </w:p>
    <w:p w14:paraId="6051EEC9" w14:textId="77777777" w:rsidR="00211BF4" w:rsidRPr="00211BF4" w:rsidRDefault="00211BF4" w:rsidP="00211BF4">
      <w:pPr>
        <w:tabs>
          <w:tab w:val="left" w:pos="851"/>
        </w:tabs>
        <w:ind w:left="851"/>
        <w:rPr>
          <w:sz w:val="24"/>
          <w:szCs w:val="24"/>
        </w:rPr>
      </w:pPr>
    </w:p>
    <w:p w14:paraId="42427334" w14:textId="77777777" w:rsidR="00211BF4" w:rsidRPr="00211BF4" w:rsidRDefault="00211BF4" w:rsidP="00211BF4">
      <w:pPr>
        <w:tabs>
          <w:tab w:val="left" w:pos="851"/>
        </w:tabs>
        <w:ind w:left="851"/>
        <w:rPr>
          <w:sz w:val="24"/>
          <w:szCs w:val="24"/>
        </w:rPr>
      </w:pPr>
      <w:r w:rsidRPr="00211BF4">
        <w:rPr>
          <w:sz w:val="24"/>
          <w:szCs w:val="24"/>
          <w:u w:val="single"/>
        </w:rPr>
        <w:t>Pædiatrisk population</w:t>
      </w:r>
    </w:p>
    <w:p w14:paraId="0A4A7819" w14:textId="77777777" w:rsidR="00211BF4" w:rsidRPr="00211BF4" w:rsidRDefault="00211BF4" w:rsidP="00211BF4">
      <w:pPr>
        <w:tabs>
          <w:tab w:val="left" w:pos="851"/>
        </w:tabs>
        <w:ind w:left="851"/>
        <w:rPr>
          <w:sz w:val="24"/>
          <w:szCs w:val="24"/>
        </w:rPr>
      </w:pPr>
      <w:r w:rsidRPr="00211BF4">
        <w:rPr>
          <w:sz w:val="24"/>
          <w:szCs w:val="24"/>
        </w:rPr>
        <w:t>Se også de generelle forsigtighedsregler for voksne ovenfor.</w:t>
      </w:r>
    </w:p>
    <w:p w14:paraId="65EE0144" w14:textId="77777777" w:rsidR="00211BF4" w:rsidRPr="00211BF4" w:rsidRDefault="00211BF4" w:rsidP="00211BF4">
      <w:pPr>
        <w:tabs>
          <w:tab w:val="left" w:pos="851"/>
        </w:tabs>
        <w:ind w:left="851"/>
        <w:rPr>
          <w:sz w:val="24"/>
          <w:szCs w:val="24"/>
        </w:rPr>
      </w:pPr>
    </w:p>
    <w:p w14:paraId="76B371A8" w14:textId="77777777" w:rsidR="00211BF4" w:rsidRPr="00211BF4" w:rsidRDefault="00211BF4" w:rsidP="00211BF4">
      <w:pPr>
        <w:tabs>
          <w:tab w:val="left" w:pos="851"/>
        </w:tabs>
        <w:ind w:left="851"/>
        <w:rPr>
          <w:i/>
          <w:sz w:val="24"/>
          <w:szCs w:val="24"/>
        </w:rPr>
      </w:pPr>
      <w:r w:rsidRPr="00211BF4">
        <w:rPr>
          <w:i/>
          <w:sz w:val="24"/>
          <w:szCs w:val="24"/>
        </w:rPr>
        <w:t>Kolorektale polypper/neoplasi</w:t>
      </w:r>
    </w:p>
    <w:p w14:paraId="5D1C1FB5" w14:textId="77777777" w:rsidR="00211BF4" w:rsidRPr="00211BF4" w:rsidRDefault="00211BF4" w:rsidP="00211BF4">
      <w:pPr>
        <w:tabs>
          <w:tab w:val="left" w:pos="851"/>
        </w:tabs>
        <w:ind w:left="851"/>
        <w:rPr>
          <w:sz w:val="24"/>
          <w:szCs w:val="24"/>
        </w:rPr>
      </w:pPr>
      <w:r w:rsidRPr="00211BF4">
        <w:rPr>
          <w:sz w:val="24"/>
          <w:szCs w:val="24"/>
        </w:rPr>
        <w:t>Før behandling med Nilleto påbegyndes, skal der udføres analyser af fæces for okkult blod hos alle børn og unge. Koloskopi/sigmoidoskopi er nødvendig, hvis der er evidens for uforklarligt blod i afføringen. Efterfølgende skal der udføres analyser af fæces for okkult blod årligt hos børn og unge, så længe de får Nilleto.</w:t>
      </w:r>
    </w:p>
    <w:p w14:paraId="1AF94F54" w14:textId="77777777" w:rsidR="00211BF4" w:rsidRPr="00211BF4" w:rsidRDefault="00211BF4" w:rsidP="00211BF4">
      <w:pPr>
        <w:tabs>
          <w:tab w:val="left" w:pos="851"/>
        </w:tabs>
        <w:ind w:left="851"/>
        <w:rPr>
          <w:sz w:val="24"/>
          <w:szCs w:val="24"/>
        </w:rPr>
      </w:pPr>
    </w:p>
    <w:p w14:paraId="6965048F" w14:textId="77777777" w:rsidR="00211BF4" w:rsidRPr="00211BF4" w:rsidRDefault="00211BF4" w:rsidP="00211BF4">
      <w:pPr>
        <w:tabs>
          <w:tab w:val="left" w:pos="851"/>
        </w:tabs>
        <w:ind w:left="851"/>
        <w:rPr>
          <w:sz w:val="24"/>
          <w:szCs w:val="24"/>
        </w:rPr>
      </w:pPr>
      <w:r w:rsidRPr="00211BF4">
        <w:rPr>
          <w:sz w:val="24"/>
          <w:szCs w:val="24"/>
        </w:rPr>
        <w:t>Koloskopi/sigmoidoskopi anbefales til alle børn og unge efter et års behandling, hvert 5. år derefter, mens de er i kontinuerlig behandling med Nilleto, og hvis de får ny eller uforklarlig gastrointestinal blødning.</w:t>
      </w:r>
    </w:p>
    <w:p w14:paraId="636CC0E2" w14:textId="77777777" w:rsidR="00211BF4" w:rsidRPr="00211BF4" w:rsidRDefault="00211BF4" w:rsidP="00211BF4">
      <w:pPr>
        <w:tabs>
          <w:tab w:val="left" w:pos="851"/>
        </w:tabs>
        <w:ind w:left="851"/>
        <w:rPr>
          <w:sz w:val="24"/>
          <w:szCs w:val="24"/>
        </w:rPr>
      </w:pPr>
    </w:p>
    <w:p w14:paraId="5E307D42" w14:textId="77777777" w:rsidR="00211BF4" w:rsidRPr="00211BF4" w:rsidRDefault="00211BF4" w:rsidP="00211BF4">
      <w:pPr>
        <w:tabs>
          <w:tab w:val="left" w:pos="851"/>
        </w:tabs>
        <w:ind w:left="851"/>
        <w:rPr>
          <w:sz w:val="24"/>
          <w:szCs w:val="24"/>
        </w:rPr>
      </w:pPr>
      <w:r w:rsidRPr="00211BF4">
        <w:rPr>
          <w:sz w:val="24"/>
          <w:szCs w:val="24"/>
          <w:u w:val="single"/>
        </w:rPr>
        <w:t>Hjælpestoffer</w:t>
      </w:r>
    </w:p>
    <w:p w14:paraId="0542410B" w14:textId="77777777" w:rsidR="00211BF4" w:rsidRPr="00211BF4" w:rsidRDefault="00211BF4" w:rsidP="00211BF4">
      <w:pPr>
        <w:tabs>
          <w:tab w:val="left" w:pos="851"/>
        </w:tabs>
        <w:ind w:left="851"/>
        <w:rPr>
          <w:sz w:val="24"/>
          <w:szCs w:val="24"/>
        </w:rPr>
      </w:pPr>
      <w:r w:rsidRPr="00211BF4">
        <w:rPr>
          <w:sz w:val="24"/>
          <w:szCs w:val="24"/>
        </w:rPr>
        <w:t>Nilleto indeholder mindre end 1 mmol (23 mg) natrium pr. dosis, dvs. det er i det væsentlige natriumfrit.</w:t>
      </w:r>
    </w:p>
    <w:p w14:paraId="3AACF704" w14:textId="77777777" w:rsidR="009260DE" w:rsidRPr="00C84483" w:rsidRDefault="009260DE" w:rsidP="009260DE">
      <w:pPr>
        <w:tabs>
          <w:tab w:val="left" w:pos="851"/>
        </w:tabs>
        <w:ind w:left="851"/>
        <w:rPr>
          <w:sz w:val="24"/>
          <w:szCs w:val="24"/>
        </w:rPr>
      </w:pPr>
    </w:p>
    <w:p w14:paraId="188D2DEC" w14:textId="77777777" w:rsidR="009260DE" w:rsidRPr="00C84483" w:rsidRDefault="009260DE" w:rsidP="009260DE">
      <w:pPr>
        <w:tabs>
          <w:tab w:val="left" w:pos="851"/>
        </w:tabs>
        <w:ind w:left="851" w:hanging="851"/>
        <w:rPr>
          <w:b/>
          <w:sz w:val="24"/>
          <w:szCs w:val="24"/>
        </w:rPr>
      </w:pPr>
      <w:r w:rsidRPr="00C84483">
        <w:rPr>
          <w:b/>
          <w:sz w:val="24"/>
          <w:szCs w:val="24"/>
        </w:rPr>
        <w:t>4.5</w:t>
      </w:r>
      <w:r w:rsidRPr="00C84483">
        <w:rPr>
          <w:b/>
          <w:sz w:val="24"/>
          <w:szCs w:val="24"/>
        </w:rPr>
        <w:tab/>
        <w:t>Interaktion med andre lægemidler og andre former for interaktion</w:t>
      </w:r>
    </w:p>
    <w:p w14:paraId="644E3A37" w14:textId="77777777" w:rsidR="00853234" w:rsidRPr="00853234" w:rsidRDefault="00853234" w:rsidP="00853234">
      <w:pPr>
        <w:tabs>
          <w:tab w:val="left" w:pos="851"/>
        </w:tabs>
        <w:ind w:left="851"/>
        <w:rPr>
          <w:sz w:val="24"/>
          <w:szCs w:val="24"/>
        </w:rPr>
      </w:pPr>
      <w:r w:rsidRPr="00853234">
        <w:rPr>
          <w:sz w:val="24"/>
          <w:szCs w:val="24"/>
        </w:rPr>
        <w:t xml:space="preserve">Der er ikke udført kliniske farmakokinetiske lægemiddelinteraktionsstudier. Et </w:t>
      </w:r>
      <w:r w:rsidRPr="00853234">
        <w:rPr>
          <w:i/>
          <w:sz w:val="24"/>
          <w:szCs w:val="24"/>
        </w:rPr>
        <w:t>in vitro</w:t>
      </w:r>
      <w:r w:rsidRPr="00853234">
        <w:rPr>
          <w:sz w:val="24"/>
          <w:szCs w:val="24"/>
        </w:rPr>
        <w:t>-studie indikerer, at teduglutid ikke hæmmer CYP</w:t>
      </w:r>
      <w:r w:rsidRPr="00853234">
        <w:rPr>
          <w:sz w:val="24"/>
          <w:szCs w:val="24"/>
        </w:rPr>
        <w:noBreakHyphen/>
        <w:t>enzymer. Baseret på teduglutids farmakodynamik er der potentiale for øget absorption af samtidigt indtagede lægemidler (se pkt. 4.4).</w:t>
      </w:r>
    </w:p>
    <w:p w14:paraId="34E2AB9B" w14:textId="77777777" w:rsidR="009260DE" w:rsidRPr="00C84483" w:rsidRDefault="009260DE" w:rsidP="009260DE">
      <w:pPr>
        <w:tabs>
          <w:tab w:val="left" w:pos="851"/>
        </w:tabs>
        <w:ind w:left="851"/>
        <w:rPr>
          <w:sz w:val="24"/>
          <w:szCs w:val="24"/>
        </w:rPr>
      </w:pPr>
    </w:p>
    <w:p w14:paraId="76DE268F" w14:textId="77777777" w:rsidR="009260DE" w:rsidRPr="00C84483" w:rsidRDefault="009260DE" w:rsidP="009260DE">
      <w:pPr>
        <w:tabs>
          <w:tab w:val="left" w:pos="851"/>
        </w:tabs>
        <w:ind w:left="851" w:hanging="851"/>
        <w:rPr>
          <w:b/>
          <w:sz w:val="24"/>
          <w:szCs w:val="24"/>
        </w:rPr>
      </w:pPr>
      <w:r w:rsidRPr="00C84483">
        <w:rPr>
          <w:b/>
          <w:sz w:val="24"/>
          <w:szCs w:val="24"/>
        </w:rPr>
        <w:t>4.6</w:t>
      </w:r>
      <w:r w:rsidRPr="00C84483">
        <w:rPr>
          <w:b/>
          <w:sz w:val="24"/>
          <w:szCs w:val="24"/>
        </w:rPr>
        <w:tab/>
      </w:r>
      <w:r w:rsidR="0071241E">
        <w:rPr>
          <w:b/>
          <w:sz w:val="24"/>
          <w:szCs w:val="24"/>
        </w:rPr>
        <w:t>Fertilitet, g</w:t>
      </w:r>
      <w:r w:rsidRPr="00C84483">
        <w:rPr>
          <w:b/>
          <w:sz w:val="24"/>
          <w:szCs w:val="24"/>
        </w:rPr>
        <w:t>raviditet og amning</w:t>
      </w:r>
    </w:p>
    <w:p w14:paraId="4093E96A" w14:textId="77777777" w:rsidR="00853234" w:rsidRPr="00853234" w:rsidRDefault="00853234" w:rsidP="00853234">
      <w:pPr>
        <w:tabs>
          <w:tab w:val="left" w:pos="851"/>
        </w:tabs>
        <w:ind w:left="851"/>
        <w:rPr>
          <w:bCs/>
          <w:sz w:val="24"/>
          <w:szCs w:val="24"/>
        </w:rPr>
      </w:pPr>
    </w:p>
    <w:p w14:paraId="056E5836" w14:textId="77777777" w:rsidR="00853234" w:rsidRPr="00853234" w:rsidRDefault="00853234" w:rsidP="00853234">
      <w:pPr>
        <w:tabs>
          <w:tab w:val="left" w:pos="851"/>
        </w:tabs>
        <w:ind w:left="851"/>
        <w:rPr>
          <w:sz w:val="24"/>
          <w:szCs w:val="24"/>
        </w:rPr>
      </w:pPr>
      <w:r w:rsidRPr="00853234">
        <w:rPr>
          <w:sz w:val="24"/>
          <w:szCs w:val="24"/>
          <w:u w:val="single"/>
        </w:rPr>
        <w:t>Graviditet</w:t>
      </w:r>
    </w:p>
    <w:p w14:paraId="753AB4C7" w14:textId="77777777" w:rsidR="00853234" w:rsidRPr="00853234" w:rsidRDefault="00853234" w:rsidP="00853234">
      <w:pPr>
        <w:tabs>
          <w:tab w:val="left" w:pos="851"/>
        </w:tabs>
        <w:ind w:left="851"/>
        <w:rPr>
          <w:sz w:val="24"/>
          <w:szCs w:val="24"/>
        </w:rPr>
      </w:pPr>
      <w:r w:rsidRPr="00853234">
        <w:rPr>
          <w:sz w:val="24"/>
          <w:szCs w:val="24"/>
        </w:rPr>
        <w:t>Der er ingen data fra anvendelse af teduglutid til gravide kvinder. Dyreforsøg indikerer hverken direkte eller indirekte skadelige virkninger hvad angår reproduktionstoksicitet (se pkt. 5.3). For en sikkerheds skyld bør Nilleto undgås under graviditeten.</w:t>
      </w:r>
    </w:p>
    <w:p w14:paraId="68363A17" w14:textId="77777777" w:rsidR="00853234" w:rsidRPr="00853234" w:rsidRDefault="00853234" w:rsidP="00853234">
      <w:pPr>
        <w:tabs>
          <w:tab w:val="left" w:pos="851"/>
        </w:tabs>
        <w:ind w:left="851"/>
        <w:rPr>
          <w:sz w:val="24"/>
          <w:szCs w:val="24"/>
        </w:rPr>
      </w:pPr>
    </w:p>
    <w:p w14:paraId="035F71AE" w14:textId="77777777" w:rsidR="00853234" w:rsidRPr="00853234" w:rsidRDefault="00853234" w:rsidP="00853234">
      <w:pPr>
        <w:tabs>
          <w:tab w:val="left" w:pos="851"/>
        </w:tabs>
        <w:ind w:left="851"/>
        <w:rPr>
          <w:sz w:val="24"/>
          <w:szCs w:val="24"/>
        </w:rPr>
      </w:pPr>
      <w:r w:rsidRPr="00853234">
        <w:rPr>
          <w:sz w:val="24"/>
          <w:szCs w:val="24"/>
          <w:u w:val="single"/>
        </w:rPr>
        <w:t>Amning</w:t>
      </w:r>
    </w:p>
    <w:p w14:paraId="7F98D435" w14:textId="77777777" w:rsidR="00853234" w:rsidRPr="00853234" w:rsidRDefault="00853234" w:rsidP="00853234">
      <w:pPr>
        <w:tabs>
          <w:tab w:val="left" w:pos="851"/>
        </w:tabs>
        <w:ind w:left="851"/>
        <w:rPr>
          <w:sz w:val="24"/>
          <w:szCs w:val="24"/>
        </w:rPr>
      </w:pPr>
      <w:r w:rsidRPr="00853234">
        <w:rPr>
          <w:sz w:val="24"/>
          <w:szCs w:val="24"/>
        </w:rPr>
        <w:t>Det er ukendt, om teduglutid udskilles i human mælk. I rotter var den gennemsnitlige teduglutidkoncentration i mælken mindre end 3 % af moderens plasmakoncentration efter en enkelt subkutan injektion på 25 mg/kg. En risiko for ammede nyfødte/spædbørn kan ikke udelukkes. For en sikkerheds skyld bør Nilleto undgås under amning.</w:t>
      </w:r>
    </w:p>
    <w:p w14:paraId="2511F7B5" w14:textId="77777777" w:rsidR="00853234" w:rsidRPr="00853234" w:rsidRDefault="00853234" w:rsidP="00853234">
      <w:pPr>
        <w:tabs>
          <w:tab w:val="left" w:pos="851"/>
        </w:tabs>
        <w:ind w:left="851"/>
        <w:rPr>
          <w:sz w:val="24"/>
          <w:szCs w:val="24"/>
        </w:rPr>
      </w:pPr>
    </w:p>
    <w:p w14:paraId="3D58975F" w14:textId="77777777" w:rsidR="00853234" w:rsidRPr="00853234" w:rsidRDefault="00853234" w:rsidP="00853234">
      <w:pPr>
        <w:tabs>
          <w:tab w:val="left" w:pos="851"/>
        </w:tabs>
        <w:ind w:left="851"/>
        <w:rPr>
          <w:sz w:val="24"/>
          <w:szCs w:val="24"/>
        </w:rPr>
      </w:pPr>
      <w:r w:rsidRPr="00853234">
        <w:rPr>
          <w:sz w:val="24"/>
          <w:szCs w:val="24"/>
          <w:u w:val="single"/>
        </w:rPr>
        <w:t>Fertilitet</w:t>
      </w:r>
    </w:p>
    <w:p w14:paraId="0AB3EF55" w14:textId="77777777" w:rsidR="00853234" w:rsidRPr="00853234" w:rsidRDefault="00853234" w:rsidP="00853234">
      <w:pPr>
        <w:tabs>
          <w:tab w:val="left" w:pos="851"/>
        </w:tabs>
        <w:ind w:left="851"/>
        <w:rPr>
          <w:sz w:val="24"/>
          <w:szCs w:val="24"/>
        </w:rPr>
      </w:pPr>
      <w:r w:rsidRPr="00853234">
        <w:rPr>
          <w:sz w:val="24"/>
          <w:szCs w:val="24"/>
        </w:rPr>
        <w:t>Der er ingen data for teduglutids indvirkning på fertiliteten hos mennesker. Dyrestudier indikerer ingen forringelse af fertiliteten.</w:t>
      </w:r>
    </w:p>
    <w:p w14:paraId="3F32463B" w14:textId="77777777" w:rsidR="009260DE" w:rsidRPr="00C84483" w:rsidRDefault="009260DE" w:rsidP="009260DE">
      <w:pPr>
        <w:tabs>
          <w:tab w:val="left" w:pos="851"/>
        </w:tabs>
        <w:ind w:left="851"/>
        <w:rPr>
          <w:sz w:val="24"/>
          <w:szCs w:val="24"/>
        </w:rPr>
      </w:pPr>
    </w:p>
    <w:p w14:paraId="06BD0906" w14:textId="77777777" w:rsidR="009260DE" w:rsidRPr="00C84483" w:rsidRDefault="009260DE" w:rsidP="009260DE">
      <w:pPr>
        <w:tabs>
          <w:tab w:val="left" w:pos="851"/>
        </w:tabs>
        <w:ind w:left="851" w:hanging="851"/>
        <w:rPr>
          <w:b/>
          <w:sz w:val="24"/>
          <w:szCs w:val="24"/>
        </w:rPr>
      </w:pPr>
      <w:r w:rsidRPr="00C84483">
        <w:rPr>
          <w:b/>
          <w:sz w:val="24"/>
          <w:szCs w:val="24"/>
        </w:rPr>
        <w:t>4.7</w:t>
      </w:r>
      <w:r w:rsidRPr="00C84483">
        <w:rPr>
          <w:b/>
          <w:sz w:val="24"/>
          <w:szCs w:val="24"/>
        </w:rPr>
        <w:tab/>
        <w:t xml:space="preserve">Virkning på evnen til at føre motorkøretøj </w:t>
      </w:r>
      <w:r w:rsidR="0071241E">
        <w:rPr>
          <w:b/>
          <w:sz w:val="24"/>
          <w:szCs w:val="24"/>
        </w:rPr>
        <w:t>og</w:t>
      </w:r>
      <w:r w:rsidRPr="00C84483">
        <w:rPr>
          <w:b/>
          <w:sz w:val="24"/>
          <w:szCs w:val="24"/>
        </w:rPr>
        <w:t xml:space="preserve"> betjene maskiner</w:t>
      </w:r>
    </w:p>
    <w:p w14:paraId="708B1147" w14:textId="77777777" w:rsidR="004E421C" w:rsidRPr="004E421C" w:rsidRDefault="004E421C" w:rsidP="004E421C">
      <w:pPr>
        <w:tabs>
          <w:tab w:val="left" w:pos="851"/>
        </w:tabs>
        <w:ind w:left="851"/>
        <w:rPr>
          <w:sz w:val="24"/>
          <w:szCs w:val="24"/>
        </w:rPr>
      </w:pPr>
      <w:r w:rsidRPr="004E421C">
        <w:rPr>
          <w:sz w:val="24"/>
          <w:szCs w:val="24"/>
        </w:rPr>
        <w:t>Teduglutid påvirker i mindre grad evnen til at føre motorkøretøj og betjene maskiner. Dog er der i kliniske studier rapporteret om tilfælde af synkope (se pkt. 4.8). Sådanne tilfælde kan påvirke evnen til at føre motorkøretøj og betjene maskiner.</w:t>
      </w:r>
    </w:p>
    <w:p w14:paraId="03F1EF50" w14:textId="77777777" w:rsidR="009260DE" w:rsidRPr="00C84483" w:rsidRDefault="009260DE" w:rsidP="009260DE">
      <w:pPr>
        <w:tabs>
          <w:tab w:val="left" w:pos="851"/>
        </w:tabs>
        <w:ind w:left="851"/>
        <w:rPr>
          <w:sz w:val="24"/>
          <w:szCs w:val="24"/>
        </w:rPr>
      </w:pPr>
    </w:p>
    <w:p w14:paraId="73767BBE" w14:textId="77777777" w:rsidR="009260DE" w:rsidRPr="00C84483" w:rsidRDefault="009260DE" w:rsidP="009260DE">
      <w:pPr>
        <w:tabs>
          <w:tab w:val="left" w:pos="851"/>
        </w:tabs>
        <w:ind w:left="851" w:hanging="851"/>
        <w:rPr>
          <w:b/>
          <w:sz w:val="24"/>
          <w:szCs w:val="24"/>
        </w:rPr>
      </w:pPr>
      <w:r w:rsidRPr="00C84483">
        <w:rPr>
          <w:b/>
          <w:sz w:val="24"/>
          <w:szCs w:val="24"/>
        </w:rPr>
        <w:t>4.8</w:t>
      </w:r>
      <w:r w:rsidRPr="00C84483">
        <w:rPr>
          <w:b/>
          <w:sz w:val="24"/>
          <w:szCs w:val="24"/>
        </w:rPr>
        <w:tab/>
        <w:t>Bivirkninger</w:t>
      </w:r>
    </w:p>
    <w:p w14:paraId="50B723BF" w14:textId="77777777" w:rsidR="004E421C" w:rsidRPr="004E421C" w:rsidRDefault="004E421C" w:rsidP="004E421C">
      <w:pPr>
        <w:pStyle w:val="Brdtekst"/>
        <w:ind w:left="851"/>
        <w:rPr>
          <w:bCs/>
          <w:sz w:val="24"/>
          <w:szCs w:val="24"/>
        </w:rPr>
      </w:pPr>
    </w:p>
    <w:p w14:paraId="1CE332C7" w14:textId="77777777" w:rsidR="004E421C" w:rsidRPr="004E421C" w:rsidRDefault="004E421C" w:rsidP="004E421C">
      <w:pPr>
        <w:pStyle w:val="Brdtekst"/>
        <w:ind w:left="851"/>
        <w:rPr>
          <w:sz w:val="24"/>
          <w:szCs w:val="24"/>
        </w:rPr>
      </w:pPr>
      <w:r w:rsidRPr="004E421C">
        <w:rPr>
          <w:sz w:val="24"/>
          <w:szCs w:val="24"/>
          <w:u w:val="single"/>
        </w:rPr>
        <w:t>Sammendrag</w:t>
      </w:r>
      <w:r w:rsidRPr="004E421C">
        <w:rPr>
          <w:spacing w:val="-8"/>
          <w:sz w:val="24"/>
          <w:szCs w:val="24"/>
          <w:u w:val="single"/>
        </w:rPr>
        <w:t xml:space="preserve"> </w:t>
      </w:r>
      <w:r w:rsidRPr="004E421C">
        <w:rPr>
          <w:sz w:val="24"/>
          <w:szCs w:val="24"/>
          <w:u w:val="single"/>
        </w:rPr>
        <w:t>af</w:t>
      </w:r>
      <w:r w:rsidRPr="004E421C">
        <w:rPr>
          <w:spacing w:val="-7"/>
          <w:sz w:val="24"/>
          <w:szCs w:val="24"/>
          <w:u w:val="single"/>
        </w:rPr>
        <w:t xml:space="preserve"> </w:t>
      </w:r>
      <w:r w:rsidRPr="004E421C">
        <w:rPr>
          <w:spacing w:val="-2"/>
          <w:sz w:val="24"/>
          <w:szCs w:val="24"/>
          <w:u w:val="single"/>
        </w:rPr>
        <w:t>sikkerhedsprofilen</w:t>
      </w:r>
    </w:p>
    <w:p w14:paraId="531FAE58" w14:textId="77777777" w:rsidR="004E421C" w:rsidRPr="004E421C" w:rsidRDefault="004E421C" w:rsidP="004E421C">
      <w:pPr>
        <w:pStyle w:val="Brdtekst"/>
        <w:spacing w:line="252" w:lineRule="exact"/>
        <w:ind w:left="851"/>
        <w:rPr>
          <w:sz w:val="24"/>
          <w:szCs w:val="24"/>
        </w:rPr>
      </w:pPr>
      <w:r w:rsidRPr="004E421C">
        <w:rPr>
          <w:sz w:val="24"/>
          <w:szCs w:val="24"/>
        </w:rPr>
        <w:t>Bivirkninger</w:t>
      </w:r>
      <w:r w:rsidRPr="004E421C">
        <w:rPr>
          <w:spacing w:val="-9"/>
          <w:sz w:val="24"/>
          <w:szCs w:val="24"/>
        </w:rPr>
        <w:t xml:space="preserve"> </w:t>
      </w:r>
      <w:r w:rsidRPr="004E421C">
        <w:rPr>
          <w:sz w:val="24"/>
          <w:szCs w:val="24"/>
        </w:rPr>
        <w:t>blev</w:t>
      </w:r>
      <w:r w:rsidRPr="004E421C">
        <w:rPr>
          <w:spacing w:val="-10"/>
          <w:sz w:val="24"/>
          <w:szCs w:val="24"/>
        </w:rPr>
        <w:t xml:space="preserve"> </w:t>
      </w:r>
      <w:r w:rsidRPr="004E421C">
        <w:rPr>
          <w:sz w:val="24"/>
          <w:szCs w:val="24"/>
        </w:rPr>
        <w:t>opsamlet</w:t>
      </w:r>
      <w:r w:rsidRPr="004E421C">
        <w:rPr>
          <w:spacing w:val="-9"/>
          <w:sz w:val="24"/>
          <w:szCs w:val="24"/>
        </w:rPr>
        <w:t xml:space="preserve"> </w:t>
      </w:r>
      <w:r w:rsidRPr="004E421C">
        <w:rPr>
          <w:sz w:val="24"/>
          <w:szCs w:val="24"/>
        </w:rPr>
        <w:t>fra</w:t>
      </w:r>
      <w:r w:rsidRPr="004E421C">
        <w:rPr>
          <w:spacing w:val="-12"/>
          <w:sz w:val="24"/>
          <w:szCs w:val="24"/>
        </w:rPr>
        <w:t xml:space="preserve"> </w:t>
      </w:r>
      <w:r w:rsidRPr="004E421C">
        <w:rPr>
          <w:sz w:val="24"/>
          <w:szCs w:val="24"/>
        </w:rPr>
        <w:t>2</w:t>
      </w:r>
      <w:r w:rsidRPr="004E421C">
        <w:rPr>
          <w:spacing w:val="-9"/>
          <w:sz w:val="24"/>
          <w:szCs w:val="24"/>
        </w:rPr>
        <w:t> </w:t>
      </w:r>
      <w:r w:rsidRPr="004E421C">
        <w:rPr>
          <w:sz w:val="24"/>
          <w:szCs w:val="24"/>
        </w:rPr>
        <w:t>placebo-kontrollerede</w:t>
      </w:r>
      <w:r w:rsidRPr="004E421C">
        <w:rPr>
          <w:spacing w:val="-10"/>
          <w:sz w:val="24"/>
          <w:szCs w:val="24"/>
        </w:rPr>
        <w:t xml:space="preserve"> </w:t>
      </w:r>
      <w:r w:rsidRPr="004E421C">
        <w:rPr>
          <w:sz w:val="24"/>
          <w:szCs w:val="24"/>
        </w:rPr>
        <w:t>kliniske</w:t>
      </w:r>
      <w:r w:rsidRPr="004E421C">
        <w:rPr>
          <w:spacing w:val="-9"/>
          <w:sz w:val="24"/>
          <w:szCs w:val="24"/>
        </w:rPr>
        <w:t xml:space="preserve"> </w:t>
      </w:r>
      <w:r w:rsidRPr="004E421C">
        <w:rPr>
          <w:sz w:val="24"/>
          <w:szCs w:val="24"/>
        </w:rPr>
        <w:t>studier</w:t>
      </w:r>
      <w:r w:rsidRPr="004E421C">
        <w:rPr>
          <w:spacing w:val="-12"/>
          <w:sz w:val="24"/>
          <w:szCs w:val="24"/>
        </w:rPr>
        <w:t xml:space="preserve"> </w:t>
      </w:r>
      <w:r w:rsidRPr="004E421C">
        <w:rPr>
          <w:sz w:val="24"/>
          <w:szCs w:val="24"/>
        </w:rPr>
        <w:t>med</w:t>
      </w:r>
      <w:r w:rsidRPr="004E421C">
        <w:rPr>
          <w:spacing w:val="-7"/>
          <w:sz w:val="24"/>
          <w:szCs w:val="24"/>
        </w:rPr>
        <w:t xml:space="preserve"> </w:t>
      </w:r>
      <w:r w:rsidRPr="004E421C">
        <w:rPr>
          <w:sz w:val="24"/>
          <w:szCs w:val="24"/>
        </w:rPr>
        <w:t>teduglutid</w:t>
      </w:r>
      <w:r w:rsidRPr="004E421C">
        <w:rPr>
          <w:spacing w:val="-11"/>
          <w:sz w:val="24"/>
          <w:szCs w:val="24"/>
        </w:rPr>
        <w:t xml:space="preserve"> </w:t>
      </w:r>
      <w:r w:rsidRPr="004E421C">
        <w:rPr>
          <w:spacing w:val="-5"/>
          <w:sz w:val="24"/>
          <w:szCs w:val="24"/>
        </w:rPr>
        <w:t>hos</w:t>
      </w:r>
    </w:p>
    <w:p w14:paraId="01704CB3" w14:textId="77777777" w:rsidR="004E421C" w:rsidRPr="004E421C" w:rsidRDefault="004E421C" w:rsidP="004E421C">
      <w:pPr>
        <w:pStyle w:val="Brdtekst"/>
        <w:ind w:left="851"/>
        <w:rPr>
          <w:sz w:val="24"/>
          <w:szCs w:val="24"/>
        </w:rPr>
      </w:pPr>
      <w:r w:rsidRPr="004E421C">
        <w:rPr>
          <w:sz w:val="24"/>
          <w:szCs w:val="24"/>
        </w:rPr>
        <w:t>109</w:t>
      </w:r>
      <w:r w:rsidRPr="004E421C">
        <w:rPr>
          <w:spacing w:val="-5"/>
          <w:sz w:val="24"/>
          <w:szCs w:val="24"/>
        </w:rPr>
        <w:t> </w:t>
      </w:r>
      <w:r w:rsidRPr="004E421C">
        <w:rPr>
          <w:sz w:val="24"/>
          <w:szCs w:val="24"/>
        </w:rPr>
        <w:t>patienter</w:t>
      </w:r>
      <w:r w:rsidRPr="004E421C">
        <w:rPr>
          <w:spacing w:val="-8"/>
          <w:sz w:val="24"/>
          <w:szCs w:val="24"/>
        </w:rPr>
        <w:t xml:space="preserve"> </w:t>
      </w:r>
      <w:r w:rsidRPr="004E421C">
        <w:rPr>
          <w:sz w:val="24"/>
          <w:szCs w:val="24"/>
        </w:rPr>
        <w:t>med</w:t>
      </w:r>
      <w:r w:rsidRPr="004E421C">
        <w:rPr>
          <w:spacing w:val="-4"/>
          <w:sz w:val="24"/>
          <w:szCs w:val="24"/>
        </w:rPr>
        <w:t xml:space="preserve"> </w:t>
      </w:r>
      <w:r w:rsidRPr="004E421C">
        <w:rPr>
          <w:sz w:val="24"/>
          <w:szCs w:val="24"/>
        </w:rPr>
        <w:t>korttarmssyndrom,</w:t>
      </w:r>
      <w:r w:rsidRPr="004E421C">
        <w:rPr>
          <w:spacing w:val="-3"/>
          <w:sz w:val="24"/>
          <w:szCs w:val="24"/>
        </w:rPr>
        <w:t xml:space="preserve"> </w:t>
      </w:r>
      <w:r w:rsidRPr="004E421C">
        <w:rPr>
          <w:sz w:val="24"/>
          <w:szCs w:val="24"/>
        </w:rPr>
        <w:t>der</w:t>
      </w:r>
      <w:r w:rsidRPr="004E421C">
        <w:rPr>
          <w:spacing w:val="-4"/>
          <w:sz w:val="24"/>
          <w:szCs w:val="24"/>
        </w:rPr>
        <w:t xml:space="preserve"> </w:t>
      </w:r>
      <w:r w:rsidRPr="004E421C">
        <w:rPr>
          <w:sz w:val="24"/>
          <w:szCs w:val="24"/>
        </w:rPr>
        <w:t>blev</w:t>
      </w:r>
      <w:r w:rsidRPr="004E421C">
        <w:rPr>
          <w:spacing w:val="-6"/>
          <w:sz w:val="24"/>
          <w:szCs w:val="24"/>
        </w:rPr>
        <w:t xml:space="preserve"> </w:t>
      </w:r>
      <w:r w:rsidRPr="004E421C">
        <w:rPr>
          <w:sz w:val="24"/>
          <w:szCs w:val="24"/>
        </w:rPr>
        <w:t>behandlet</w:t>
      </w:r>
      <w:r w:rsidRPr="004E421C">
        <w:rPr>
          <w:spacing w:val="-5"/>
          <w:sz w:val="24"/>
          <w:szCs w:val="24"/>
        </w:rPr>
        <w:t xml:space="preserve"> </w:t>
      </w:r>
      <w:r w:rsidRPr="004E421C">
        <w:rPr>
          <w:sz w:val="24"/>
          <w:szCs w:val="24"/>
        </w:rPr>
        <w:t>med</w:t>
      </w:r>
      <w:r w:rsidRPr="004E421C">
        <w:rPr>
          <w:spacing w:val="-4"/>
          <w:sz w:val="24"/>
          <w:szCs w:val="24"/>
        </w:rPr>
        <w:t xml:space="preserve"> </w:t>
      </w:r>
      <w:r w:rsidRPr="004E421C">
        <w:rPr>
          <w:sz w:val="24"/>
          <w:szCs w:val="24"/>
        </w:rPr>
        <w:t>0,05</w:t>
      </w:r>
      <w:r w:rsidRPr="004E421C">
        <w:rPr>
          <w:spacing w:val="-7"/>
          <w:sz w:val="24"/>
          <w:szCs w:val="24"/>
        </w:rPr>
        <w:t> </w:t>
      </w:r>
      <w:r w:rsidRPr="004E421C">
        <w:rPr>
          <w:sz w:val="24"/>
          <w:szCs w:val="24"/>
        </w:rPr>
        <w:t>mg/kg/dag</w:t>
      </w:r>
      <w:r w:rsidRPr="004E421C">
        <w:rPr>
          <w:spacing w:val="-3"/>
          <w:sz w:val="24"/>
          <w:szCs w:val="24"/>
        </w:rPr>
        <w:t xml:space="preserve"> </w:t>
      </w:r>
      <w:r w:rsidRPr="004E421C">
        <w:rPr>
          <w:sz w:val="24"/>
          <w:szCs w:val="24"/>
        </w:rPr>
        <w:t>og</w:t>
      </w:r>
      <w:r w:rsidRPr="004E421C">
        <w:rPr>
          <w:spacing w:val="-7"/>
          <w:sz w:val="24"/>
          <w:szCs w:val="24"/>
        </w:rPr>
        <w:t xml:space="preserve"> </w:t>
      </w:r>
      <w:r w:rsidRPr="004E421C">
        <w:rPr>
          <w:sz w:val="24"/>
          <w:szCs w:val="24"/>
        </w:rPr>
        <w:t>0,10</w:t>
      </w:r>
      <w:r w:rsidRPr="004E421C">
        <w:rPr>
          <w:spacing w:val="-5"/>
          <w:sz w:val="24"/>
          <w:szCs w:val="24"/>
        </w:rPr>
        <w:t> </w:t>
      </w:r>
      <w:r w:rsidRPr="004E421C">
        <w:rPr>
          <w:sz w:val="24"/>
          <w:szCs w:val="24"/>
        </w:rPr>
        <w:t>mg/kg/dag</w:t>
      </w:r>
      <w:r w:rsidRPr="004E421C">
        <w:rPr>
          <w:spacing w:val="-6"/>
          <w:sz w:val="24"/>
          <w:szCs w:val="24"/>
        </w:rPr>
        <w:t xml:space="preserve"> </w:t>
      </w:r>
      <w:r w:rsidRPr="004E421C">
        <w:rPr>
          <w:sz w:val="24"/>
          <w:szCs w:val="24"/>
        </w:rPr>
        <w:t>i</w:t>
      </w:r>
      <w:r w:rsidRPr="004E421C">
        <w:rPr>
          <w:spacing w:val="-4"/>
          <w:sz w:val="24"/>
          <w:szCs w:val="24"/>
        </w:rPr>
        <w:t xml:space="preserve"> </w:t>
      </w:r>
      <w:r w:rsidRPr="004E421C">
        <w:rPr>
          <w:sz w:val="24"/>
          <w:szCs w:val="24"/>
        </w:rPr>
        <w:t>op til 24 uger. Omkring</w:t>
      </w:r>
      <w:r w:rsidRPr="004E421C">
        <w:rPr>
          <w:spacing w:val="-1"/>
          <w:sz w:val="24"/>
          <w:szCs w:val="24"/>
        </w:rPr>
        <w:t xml:space="preserve"> </w:t>
      </w:r>
      <w:r w:rsidRPr="004E421C">
        <w:rPr>
          <w:sz w:val="24"/>
          <w:szCs w:val="24"/>
        </w:rPr>
        <w:t>52 %</w:t>
      </w:r>
      <w:r w:rsidRPr="004E421C">
        <w:rPr>
          <w:spacing w:val="-3"/>
          <w:sz w:val="24"/>
          <w:szCs w:val="24"/>
        </w:rPr>
        <w:t xml:space="preserve"> </w:t>
      </w:r>
      <w:r w:rsidRPr="004E421C">
        <w:rPr>
          <w:sz w:val="24"/>
          <w:szCs w:val="24"/>
        </w:rPr>
        <w:t>af de patienter, som blev behandlet med teduglutid, oplevede bivirkninger (</w:t>
      </w:r>
      <w:r w:rsidRPr="004E421C">
        <w:rPr>
          <w:i/>
          <w:sz w:val="24"/>
          <w:szCs w:val="24"/>
        </w:rPr>
        <w:t xml:space="preserve">versus </w:t>
      </w:r>
      <w:r w:rsidRPr="004E421C">
        <w:rPr>
          <w:sz w:val="24"/>
          <w:szCs w:val="24"/>
        </w:rPr>
        <w:t>36 % af patienterne i placebogruppen). De hyppigst rapporterede bivirkninger var abdominalsmerter og abdominal distension (45 %), luftvejsinfektioner (28 %) (herunder nasofaryngitis, influenza, infektion i øvre luftveje og infektion i nedre luftveje), kvalme (26 %), reaktioner på injektionsstedet (26 %), hovedpine (16 %) og opkastning (14 %). Omkring 38 % af de behandlede patienter med stomi oplevede gastrointestinale stomi-komplikationer. Hovedparten af disse reaktioner var lette eller moderate.</w:t>
      </w:r>
    </w:p>
    <w:p w14:paraId="4C3B23A0" w14:textId="77777777" w:rsidR="004E421C" w:rsidRPr="004E421C" w:rsidRDefault="004E421C" w:rsidP="004E421C">
      <w:pPr>
        <w:pStyle w:val="Brdtekst"/>
        <w:ind w:left="851"/>
        <w:rPr>
          <w:sz w:val="24"/>
          <w:szCs w:val="24"/>
        </w:rPr>
      </w:pPr>
    </w:p>
    <w:p w14:paraId="13D29E99" w14:textId="77777777" w:rsidR="004E421C" w:rsidRPr="004E421C" w:rsidRDefault="004E421C" w:rsidP="004E421C">
      <w:pPr>
        <w:pStyle w:val="Brdtekst"/>
        <w:ind w:left="851"/>
        <w:rPr>
          <w:sz w:val="24"/>
          <w:szCs w:val="24"/>
        </w:rPr>
      </w:pPr>
      <w:r w:rsidRPr="004E421C">
        <w:rPr>
          <w:sz w:val="24"/>
          <w:szCs w:val="24"/>
        </w:rPr>
        <w:t>Der</w:t>
      </w:r>
      <w:r w:rsidRPr="004E421C">
        <w:rPr>
          <w:spacing w:val="-4"/>
          <w:sz w:val="24"/>
          <w:szCs w:val="24"/>
        </w:rPr>
        <w:t xml:space="preserve"> </w:t>
      </w:r>
      <w:r w:rsidRPr="004E421C">
        <w:rPr>
          <w:sz w:val="24"/>
          <w:szCs w:val="24"/>
        </w:rPr>
        <w:t>er</w:t>
      </w:r>
      <w:r w:rsidRPr="004E421C">
        <w:rPr>
          <w:spacing w:val="-10"/>
          <w:sz w:val="24"/>
          <w:szCs w:val="24"/>
        </w:rPr>
        <w:t xml:space="preserve"> </w:t>
      </w:r>
      <w:r w:rsidRPr="004E421C">
        <w:rPr>
          <w:sz w:val="24"/>
          <w:szCs w:val="24"/>
        </w:rPr>
        <w:t>ikke</w:t>
      </w:r>
      <w:r w:rsidRPr="004E421C">
        <w:rPr>
          <w:spacing w:val="-8"/>
          <w:sz w:val="24"/>
          <w:szCs w:val="24"/>
        </w:rPr>
        <w:t xml:space="preserve"> </w:t>
      </w:r>
      <w:r w:rsidRPr="004E421C">
        <w:rPr>
          <w:sz w:val="24"/>
          <w:szCs w:val="24"/>
        </w:rPr>
        <w:t>blevet</w:t>
      </w:r>
      <w:r w:rsidRPr="004E421C">
        <w:rPr>
          <w:spacing w:val="-4"/>
          <w:sz w:val="24"/>
          <w:szCs w:val="24"/>
        </w:rPr>
        <w:t xml:space="preserve"> </w:t>
      </w:r>
      <w:r w:rsidRPr="004E421C">
        <w:rPr>
          <w:sz w:val="24"/>
          <w:szCs w:val="24"/>
        </w:rPr>
        <w:t>identificeret</w:t>
      </w:r>
      <w:r w:rsidRPr="004E421C">
        <w:rPr>
          <w:spacing w:val="-3"/>
          <w:sz w:val="24"/>
          <w:szCs w:val="24"/>
        </w:rPr>
        <w:t xml:space="preserve"> </w:t>
      </w:r>
      <w:r w:rsidRPr="004E421C">
        <w:rPr>
          <w:sz w:val="24"/>
          <w:szCs w:val="24"/>
        </w:rPr>
        <w:t>nogen</w:t>
      </w:r>
      <w:r w:rsidRPr="004E421C">
        <w:rPr>
          <w:spacing w:val="-3"/>
          <w:sz w:val="24"/>
          <w:szCs w:val="24"/>
        </w:rPr>
        <w:t xml:space="preserve"> </w:t>
      </w:r>
      <w:r w:rsidRPr="004E421C">
        <w:rPr>
          <w:sz w:val="24"/>
          <w:szCs w:val="24"/>
        </w:rPr>
        <w:t>nye</w:t>
      </w:r>
      <w:r w:rsidRPr="004E421C">
        <w:rPr>
          <w:spacing w:val="-8"/>
          <w:sz w:val="24"/>
          <w:szCs w:val="24"/>
        </w:rPr>
        <w:t xml:space="preserve"> </w:t>
      </w:r>
      <w:r w:rsidRPr="004E421C">
        <w:rPr>
          <w:sz w:val="24"/>
          <w:szCs w:val="24"/>
        </w:rPr>
        <w:t>sikkerhedssignaler</w:t>
      </w:r>
      <w:r w:rsidRPr="004E421C">
        <w:rPr>
          <w:spacing w:val="-4"/>
          <w:sz w:val="24"/>
          <w:szCs w:val="24"/>
        </w:rPr>
        <w:t xml:space="preserve"> </w:t>
      </w:r>
      <w:r w:rsidRPr="004E421C">
        <w:rPr>
          <w:sz w:val="24"/>
          <w:szCs w:val="24"/>
        </w:rPr>
        <w:t>hos</w:t>
      </w:r>
      <w:r w:rsidRPr="004E421C">
        <w:rPr>
          <w:spacing w:val="-5"/>
          <w:sz w:val="24"/>
          <w:szCs w:val="24"/>
        </w:rPr>
        <w:t xml:space="preserve"> </w:t>
      </w:r>
      <w:r w:rsidRPr="004E421C">
        <w:rPr>
          <w:sz w:val="24"/>
          <w:szCs w:val="24"/>
        </w:rPr>
        <w:t>patienter</w:t>
      </w:r>
      <w:r w:rsidRPr="004E421C">
        <w:rPr>
          <w:spacing w:val="-4"/>
          <w:sz w:val="24"/>
          <w:szCs w:val="24"/>
        </w:rPr>
        <w:t xml:space="preserve"> </w:t>
      </w:r>
      <w:r w:rsidRPr="004E421C">
        <w:rPr>
          <w:sz w:val="24"/>
          <w:szCs w:val="24"/>
        </w:rPr>
        <w:t>eksponeret</w:t>
      </w:r>
      <w:r w:rsidRPr="004E421C">
        <w:rPr>
          <w:spacing w:val="-4"/>
          <w:sz w:val="24"/>
          <w:szCs w:val="24"/>
        </w:rPr>
        <w:t xml:space="preserve"> </w:t>
      </w:r>
      <w:r w:rsidRPr="004E421C">
        <w:rPr>
          <w:sz w:val="24"/>
          <w:szCs w:val="24"/>
        </w:rPr>
        <w:t>for</w:t>
      </w:r>
      <w:r w:rsidRPr="004E421C">
        <w:rPr>
          <w:spacing w:val="-5"/>
          <w:sz w:val="24"/>
          <w:szCs w:val="24"/>
        </w:rPr>
        <w:t xml:space="preserve"> </w:t>
      </w:r>
      <w:r w:rsidRPr="004E421C">
        <w:rPr>
          <w:sz w:val="24"/>
          <w:szCs w:val="24"/>
        </w:rPr>
        <w:t>0,05</w:t>
      </w:r>
      <w:r w:rsidRPr="004E421C">
        <w:rPr>
          <w:spacing w:val="-6"/>
          <w:sz w:val="24"/>
          <w:szCs w:val="24"/>
        </w:rPr>
        <w:t> </w:t>
      </w:r>
      <w:r w:rsidRPr="004E421C">
        <w:rPr>
          <w:sz w:val="24"/>
          <w:szCs w:val="24"/>
        </w:rPr>
        <w:t>mg/kg teduglutid/dag i op til 30 måneder i et langvarigt åbent forlængelsesstudie.</w:t>
      </w:r>
    </w:p>
    <w:p w14:paraId="121B20FC" w14:textId="77777777" w:rsidR="004E421C" w:rsidRPr="004E421C" w:rsidRDefault="004E421C" w:rsidP="004E421C">
      <w:pPr>
        <w:pStyle w:val="Brdtekst"/>
        <w:ind w:left="851"/>
        <w:rPr>
          <w:sz w:val="24"/>
          <w:szCs w:val="24"/>
          <w:u w:val="single"/>
        </w:rPr>
      </w:pPr>
    </w:p>
    <w:p w14:paraId="35CD2F60" w14:textId="77777777" w:rsidR="004E421C" w:rsidRPr="004E421C" w:rsidRDefault="004E421C" w:rsidP="004E421C">
      <w:pPr>
        <w:pStyle w:val="Brdtekst"/>
        <w:ind w:left="851"/>
        <w:rPr>
          <w:sz w:val="24"/>
          <w:szCs w:val="24"/>
        </w:rPr>
      </w:pPr>
      <w:r w:rsidRPr="004E421C">
        <w:rPr>
          <w:sz w:val="24"/>
          <w:szCs w:val="24"/>
          <w:u w:val="single"/>
        </w:rPr>
        <w:t>Tabel</w:t>
      </w:r>
      <w:r w:rsidRPr="004E421C">
        <w:rPr>
          <w:spacing w:val="-5"/>
          <w:sz w:val="24"/>
          <w:szCs w:val="24"/>
          <w:u w:val="single"/>
        </w:rPr>
        <w:t xml:space="preserve"> </w:t>
      </w:r>
      <w:r w:rsidRPr="004E421C">
        <w:rPr>
          <w:sz w:val="24"/>
          <w:szCs w:val="24"/>
          <w:u w:val="single"/>
        </w:rPr>
        <w:t>over</w:t>
      </w:r>
      <w:r w:rsidRPr="004E421C">
        <w:rPr>
          <w:spacing w:val="-1"/>
          <w:sz w:val="24"/>
          <w:szCs w:val="24"/>
          <w:u w:val="single"/>
        </w:rPr>
        <w:t xml:space="preserve"> </w:t>
      </w:r>
      <w:r w:rsidRPr="004E421C">
        <w:rPr>
          <w:spacing w:val="-2"/>
          <w:sz w:val="24"/>
          <w:szCs w:val="24"/>
          <w:u w:val="single"/>
        </w:rPr>
        <w:t>bivirkninger</w:t>
      </w:r>
    </w:p>
    <w:p w14:paraId="1B9F48D3" w14:textId="77777777" w:rsidR="004E421C" w:rsidRPr="004E421C" w:rsidRDefault="004E421C" w:rsidP="004E421C">
      <w:pPr>
        <w:pStyle w:val="Brdtekst"/>
        <w:ind w:left="851"/>
        <w:rPr>
          <w:sz w:val="24"/>
          <w:szCs w:val="24"/>
        </w:rPr>
      </w:pPr>
      <w:r w:rsidRPr="004E421C">
        <w:rPr>
          <w:sz w:val="24"/>
          <w:szCs w:val="24"/>
        </w:rPr>
        <w:t>Bivirkninger er angivet nedenfor i henhold til MedDRA systemorganklassificering og frekvens. Frekvenserne er defineret som meget almindelig (≥ 1/10); almindelig (≥ 1/100 til &lt; 1/10); ikke almindelig</w:t>
      </w:r>
      <w:r w:rsidRPr="004E421C">
        <w:rPr>
          <w:spacing w:val="-4"/>
          <w:sz w:val="24"/>
          <w:szCs w:val="24"/>
        </w:rPr>
        <w:t xml:space="preserve"> </w:t>
      </w:r>
      <w:r w:rsidRPr="004E421C">
        <w:rPr>
          <w:sz w:val="24"/>
          <w:szCs w:val="24"/>
        </w:rPr>
        <w:t>(≥</w:t>
      </w:r>
      <w:r w:rsidRPr="004E421C">
        <w:rPr>
          <w:spacing w:val="-1"/>
          <w:sz w:val="24"/>
          <w:szCs w:val="24"/>
        </w:rPr>
        <w:t> </w:t>
      </w:r>
      <w:r w:rsidRPr="004E421C">
        <w:rPr>
          <w:sz w:val="24"/>
          <w:szCs w:val="24"/>
        </w:rPr>
        <w:t>1/1.000</w:t>
      </w:r>
      <w:r w:rsidRPr="004E421C">
        <w:rPr>
          <w:spacing w:val="-4"/>
          <w:sz w:val="24"/>
          <w:szCs w:val="24"/>
        </w:rPr>
        <w:t xml:space="preserve"> </w:t>
      </w:r>
      <w:r w:rsidRPr="004E421C">
        <w:rPr>
          <w:sz w:val="24"/>
          <w:szCs w:val="24"/>
        </w:rPr>
        <w:t>til</w:t>
      </w:r>
      <w:r w:rsidRPr="004E421C">
        <w:rPr>
          <w:spacing w:val="-5"/>
          <w:sz w:val="24"/>
          <w:szCs w:val="24"/>
        </w:rPr>
        <w:t xml:space="preserve"> </w:t>
      </w:r>
      <w:r w:rsidRPr="004E421C">
        <w:rPr>
          <w:sz w:val="24"/>
          <w:szCs w:val="24"/>
        </w:rPr>
        <w:t>&lt;</w:t>
      </w:r>
      <w:r w:rsidRPr="004E421C">
        <w:rPr>
          <w:spacing w:val="-4"/>
          <w:sz w:val="24"/>
          <w:szCs w:val="24"/>
        </w:rPr>
        <w:t> </w:t>
      </w:r>
      <w:r w:rsidRPr="004E421C">
        <w:rPr>
          <w:sz w:val="24"/>
          <w:szCs w:val="24"/>
        </w:rPr>
        <w:t>1/100);</w:t>
      </w:r>
      <w:r w:rsidRPr="004E421C">
        <w:rPr>
          <w:spacing w:val="-6"/>
          <w:sz w:val="24"/>
          <w:szCs w:val="24"/>
        </w:rPr>
        <w:t xml:space="preserve"> </w:t>
      </w:r>
      <w:r w:rsidRPr="004E421C">
        <w:rPr>
          <w:sz w:val="24"/>
          <w:szCs w:val="24"/>
        </w:rPr>
        <w:t>sjælden</w:t>
      </w:r>
      <w:r w:rsidRPr="004E421C">
        <w:rPr>
          <w:spacing w:val="-6"/>
          <w:sz w:val="24"/>
          <w:szCs w:val="24"/>
        </w:rPr>
        <w:t xml:space="preserve"> </w:t>
      </w:r>
      <w:r w:rsidRPr="004E421C">
        <w:rPr>
          <w:sz w:val="24"/>
          <w:szCs w:val="24"/>
        </w:rPr>
        <w:t>(≥</w:t>
      </w:r>
      <w:r w:rsidRPr="004E421C">
        <w:rPr>
          <w:spacing w:val="-1"/>
          <w:sz w:val="24"/>
          <w:szCs w:val="24"/>
        </w:rPr>
        <w:t> </w:t>
      </w:r>
      <w:r w:rsidRPr="004E421C">
        <w:rPr>
          <w:sz w:val="24"/>
          <w:szCs w:val="24"/>
        </w:rPr>
        <w:t>1/10.000</w:t>
      </w:r>
      <w:r w:rsidRPr="004E421C">
        <w:rPr>
          <w:spacing w:val="-9"/>
          <w:sz w:val="24"/>
          <w:szCs w:val="24"/>
        </w:rPr>
        <w:t xml:space="preserve"> </w:t>
      </w:r>
      <w:r w:rsidRPr="004E421C">
        <w:rPr>
          <w:sz w:val="24"/>
          <w:szCs w:val="24"/>
        </w:rPr>
        <w:t>til</w:t>
      </w:r>
      <w:r w:rsidRPr="004E421C">
        <w:rPr>
          <w:spacing w:val="-4"/>
          <w:sz w:val="24"/>
          <w:szCs w:val="24"/>
        </w:rPr>
        <w:t xml:space="preserve"> </w:t>
      </w:r>
      <w:r w:rsidRPr="004E421C">
        <w:rPr>
          <w:sz w:val="24"/>
          <w:szCs w:val="24"/>
        </w:rPr>
        <w:t>&lt;</w:t>
      </w:r>
      <w:r w:rsidRPr="004E421C">
        <w:rPr>
          <w:spacing w:val="-2"/>
          <w:sz w:val="24"/>
          <w:szCs w:val="24"/>
        </w:rPr>
        <w:t> </w:t>
      </w:r>
      <w:r w:rsidRPr="004E421C">
        <w:rPr>
          <w:sz w:val="24"/>
          <w:szCs w:val="24"/>
        </w:rPr>
        <w:t>1/1.000);</w:t>
      </w:r>
      <w:r w:rsidRPr="004E421C">
        <w:rPr>
          <w:spacing w:val="-6"/>
          <w:sz w:val="24"/>
          <w:szCs w:val="24"/>
        </w:rPr>
        <w:t xml:space="preserve"> </w:t>
      </w:r>
      <w:r w:rsidRPr="004E421C">
        <w:rPr>
          <w:sz w:val="24"/>
          <w:szCs w:val="24"/>
        </w:rPr>
        <w:t>meget</w:t>
      </w:r>
      <w:r w:rsidRPr="004E421C">
        <w:rPr>
          <w:spacing w:val="-2"/>
          <w:sz w:val="24"/>
          <w:szCs w:val="24"/>
        </w:rPr>
        <w:t xml:space="preserve"> </w:t>
      </w:r>
      <w:r w:rsidRPr="004E421C">
        <w:rPr>
          <w:sz w:val="24"/>
          <w:szCs w:val="24"/>
        </w:rPr>
        <w:t>sjælden</w:t>
      </w:r>
      <w:r w:rsidRPr="004E421C">
        <w:rPr>
          <w:spacing w:val="-4"/>
          <w:sz w:val="24"/>
          <w:szCs w:val="24"/>
        </w:rPr>
        <w:t xml:space="preserve"> </w:t>
      </w:r>
      <w:r w:rsidRPr="004E421C">
        <w:rPr>
          <w:sz w:val="24"/>
          <w:szCs w:val="24"/>
        </w:rPr>
        <w:t>(&lt;</w:t>
      </w:r>
      <w:r w:rsidRPr="004E421C">
        <w:rPr>
          <w:spacing w:val="-2"/>
          <w:sz w:val="24"/>
          <w:szCs w:val="24"/>
        </w:rPr>
        <w:t> </w:t>
      </w:r>
      <w:r w:rsidRPr="004E421C">
        <w:rPr>
          <w:sz w:val="24"/>
          <w:szCs w:val="24"/>
        </w:rPr>
        <w:t>1/10.000);</w:t>
      </w:r>
      <w:r w:rsidRPr="004E421C">
        <w:rPr>
          <w:spacing w:val="-1"/>
          <w:sz w:val="24"/>
          <w:szCs w:val="24"/>
        </w:rPr>
        <w:t xml:space="preserve"> </w:t>
      </w:r>
      <w:r w:rsidRPr="004E421C">
        <w:rPr>
          <w:sz w:val="24"/>
          <w:szCs w:val="24"/>
        </w:rPr>
        <w:t>ikke kendt (kan ikke estimeres ud fra forhåndenværende data). Inden for hver frekvensgruppe er bivirkninger listet efter faldende grad af alvorlighed.</w:t>
      </w:r>
    </w:p>
    <w:p w14:paraId="48B97D0D" w14:textId="77777777" w:rsidR="004E421C" w:rsidRPr="004E421C" w:rsidRDefault="004E421C" w:rsidP="004E421C">
      <w:pPr>
        <w:pStyle w:val="Brdtekst"/>
        <w:ind w:left="851"/>
        <w:rPr>
          <w:sz w:val="24"/>
          <w:szCs w:val="24"/>
        </w:rPr>
      </w:pPr>
      <w:r w:rsidRPr="004E421C">
        <w:rPr>
          <w:sz w:val="24"/>
          <w:szCs w:val="24"/>
        </w:rPr>
        <w:t>Alle</w:t>
      </w:r>
      <w:r w:rsidRPr="004E421C">
        <w:rPr>
          <w:spacing w:val="-13"/>
          <w:sz w:val="24"/>
          <w:szCs w:val="24"/>
        </w:rPr>
        <w:t xml:space="preserve"> </w:t>
      </w:r>
      <w:r w:rsidRPr="004E421C">
        <w:rPr>
          <w:sz w:val="24"/>
          <w:szCs w:val="24"/>
        </w:rPr>
        <w:t>bivirkninger</w:t>
      </w:r>
      <w:r w:rsidRPr="004E421C">
        <w:rPr>
          <w:spacing w:val="-12"/>
          <w:sz w:val="24"/>
          <w:szCs w:val="24"/>
        </w:rPr>
        <w:t xml:space="preserve"> </w:t>
      </w:r>
      <w:r w:rsidRPr="004E421C">
        <w:rPr>
          <w:sz w:val="24"/>
          <w:szCs w:val="24"/>
        </w:rPr>
        <w:t>identificeret</w:t>
      </w:r>
      <w:r w:rsidRPr="004E421C">
        <w:rPr>
          <w:spacing w:val="-11"/>
          <w:sz w:val="24"/>
          <w:szCs w:val="24"/>
        </w:rPr>
        <w:t xml:space="preserve"> </w:t>
      </w:r>
      <w:r w:rsidRPr="004E421C">
        <w:rPr>
          <w:sz w:val="24"/>
          <w:szCs w:val="24"/>
        </w:rPr>
        <w:t>efter</w:t>
      </w:r>
      <w:r w:rsidRPr="004E421C">
        <w:rPr>
          <w:spacing w:val="-11"/>
          <w:sz w:val="24"/>
          <w:szCs w:val="24"/>
        </w:rPr>
        <w:t xml:space="preserve"> </w:t>
      </w:r>
      <w:r w:rsidRPr="004E421C">
        <w:rPr>
          <w:sz w:val="24"/>
          <w:szCs w:val="24"/>
        </w:rPr>
        <w:t>markedsføring</w:t>
      </w:r>
      <w:r w:rsidRPr="004E421C">
        <w:rPr>
          <w:spacing w:val="-9"/>
          <w:sz w:val="24"/>
          <w:szCs w:val="24"/>
        </w:rPr>
        <w:t xml:space="preserve"> </w:t>
      </w:r>
      <w:r w:rsidRPr="004E421C">
        <w:rPr>
          <w:sz w:val="24"/>
          <w:szCs w:val="24"/>
        </w:rPr>
        <w:t>er</w:t>
      </w:r>
      <w:r w:rsidRPr="004E421C">
        <w:rPr>
          <w:spacing w:val="-6"/>
          <w:sz w:val="24"/>
          <w:szCs w:val="24"/>
        </w:rPr>
        <w:t xml:space="preserve"> </w:t>
      </w:r>
      <w:r w:rsidRPr="004E421C">
        <w:rPr>
          <w:sz w:val="24"/>
          <w:szCs w:val="24"/>
        </w:rPr>
        <w:t>anført</w:t>
      </w:r>
      <w:r w:rsidRPr="004E421C">
        <w:rPr>
          <w:spacing w:val="-11"/>
          <w:sz w:val="24"/>
          <w:szCs w:val="24"/>
        </w:rPr>
        <w:t xml:space="preserve"> </w:t>
      </w:r>
      <w:r w:rsidRPr="004E421C">
        <w:rPr>
          <w:sz w:val="24"/>
          <w:szCs w:val="24"/>
        </w:rPr>
        <w:t>med</w:t>
      </w:r>
      <w:r w:rsidRPr="004E421C">
        <w:rPr>
          <w:spacing w:val="-10"/>
          <w:sz w:val="24"/>
          <w:szCs w:val="24"/>
        </w:rPr>
        <w:t xml:space="preserve"> </w:t>
      </w:r>
      <w:r w:rsidRPr="004E421C">
        <w:rPr>
          <w:i/>
          <w:spacing w:val="-2"/>
          <w:sz w:val="24"/>
          <w:szCs w:val="24"/>
        </w:rPr>
        <w:t>kursiv</w:t>
      </w:r>
      <w:r w:rsidRPr="004E421C">
        <w:rPr>
          <w:spacing w:val="-2"/>
          <w:sz w:val="24"/>
          <w:szCs w:val="24"/>
        </w:rPr>
        <w:t>.</w:t>
      </w:r>
    </w:p>
    <w:p w14:paraId="0EFF309F" w14:textId="77777777" w:rsidR="004E421C" w:rsidRDefault="004E421C" w:rsidP="004E421C">
      <w:pPr>
        <w:pStyle w:val="Brdtekst"/>
        <w:ind w:left="0"/>
      </w:pPr>
    </w:p>
    <w:tbl>
      <w:tblPr>
        <w:tblW w:w="9435" w:type="dxa"/>
        <w:tblInd w:w="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91"/>
        <w:gridCol w:w="1985"/>
        <w:gridCol w:w="1702"/>
        <w:gridCol w:w="2410"/>
        <w:gridCol w:w="1647"/>
      </w:tblGrid>
      <w:tr w:rsidR="004E421C" w14:paraId="413FF83D" w14:textId="77777777" w:rsidTr="004E421C">
        <w:trPr>
          <w:trHeight w:val="1068"/>
        </w:trPr>
        <w:tc>
          <w:tcPr>
            <w:tcW w:w="1692" w:type="dxa"/>
            <w:tcBorders>
              <w:top w:val="single" w:sz="4" w:space="0" w:color="000000"/>
              <w:left w:val="single" w:sz="4" w:space="0" w:color="000000"/>
              <w:bottom w:val="single" w:sz="4" w:space="0" w:color="000000"/>
              <w:right w:val="single" w:sz="4" w:space="0" w:color="000000"/>
            </w:tcBorders>
          </w:tcPr>
          <w:p w14:paraId="6EF8EF84" w14:textId="77777777" w:rsidR="004E421C" w:rsidRDefault="004E421C">
            <w:pPr>
              <w:pStyle w:val="TableParagraph"/>
              <w:spacing w:before="0"/>
              <w:rPr>
                <w:b/>
                <w:lang w:val="en-US"/>
              </w:rPr>
            </w:pPr>
            <w:r>
              <w:rPr>
                <w:b/>
                <w:spacing w:val="-2"/>
                <w:lang w:val="en-US"/>
              </w:rPr>
              <w:t>Hyppighed</w:t>
            </w:r>
          </w:p>
          <w:p w14:paraId="5F099E27" w14:textId="77777777" w:rsidR="004E421C" w:rsidRDefault="004E421C">
            <w:pPr>
              <w:pStyle w:val="TableParagraph"/>
              <w:spacing w:before="0"/>
              <w:jc w:val="left"/>
              <w:rPr>
                <w:lang w:val="en-US"/>
              </w:rPr>
            </w:pPr>
          </w:p>
          <w:p w14:paraId="0F051A1C" w14:textId="77777777" w:rsidR="004E421C" w:rsidRDefault="004E421C">
            <w:pPr>
              <w:pStyle w:val="TableParagraph"/>
              <w:spacing w:before="0"/>
              <w:ind w:hanging="3"/>
              <w:rPr>
                <w:b/>
                <w:lang w:val="en-US"/>
              </w:rPr>
            </w:pPr>
            <w:r>
              <w:rPr>
                <w:b/>
                <w:spacing w:val="-2"/>
                <w:lang w:val="en-US"/>
              </w:rPr>
              <w:t>System-</w:t>
            </w:r>
            <w:r>
              <w:rPr>
                <w:b/>
                <w:spacing w:val="-4"/>
                <w:lang w:val="en-US"/>
              </w:rPr>
              <w:t>organklasse</w:t>
            </w:r>
          </w:p>
        </w:tc>
        <w:tc>
          <w:tcPr>
            <w:tcW w:w="1985" w:type="dxa"/>
            <w:tcBorders>
              <w:top w:val="single" w:sz="4" w:space="0" w:color="000000"/>
              <w:left w:val="single" w:sz="4" w:space="0" w:color="000000"/>
              <w:bottom w:val="single" w:sz="4" w:space="0" w:color="000000"/>
              <w:right w:val="single" w:sz="4" w:space="0" w:color="000000"/>
            </w:tcBorders>
            <w:hideMark/>
          </w:tcPr>
          <w:p w14:paraId="51C752C7" w14:textId="77777777" w:rsidR="004E421C" w:rsidRDefault="004E421C">
            <w:pPr>
              <w:pStyle w:val="TableParagraph"/>
              <w:spacing w:before="0"/>
              <w:rPr>
                <w:b/>
                <w:lang w:val="en-US"/>
              </w:rPr>
            </w:pPr>
            <w:r>
              <w:rPr>
                <w:b/>
                <w:lang w:val="en-US"/>
              </w:rPr>
              <w:t>Meget</w:t>
            </w:r>
            <w:r>
              <w:rPr>
                <w:b/>
                <w:spacing w:val="-10"/>
                <w:lang w:val="en-US"/>
              </w:rPr>
              <w:t xml:space="preserve"> </w:t>
            </w:r>
            <w:r>
              <w:rPr>
                <w:b/>
                <w:spacing w:val="-2"/>
                <w:lang w:val="en-US"/>
              </w:rPr>
              <w:t>almindelig</w:t>
            </w:r>
          </w:p>
        </w:tc>
        <w:tc>
          <w:tcPr>
            <w:tcW w:w="1702" w:type="dxa"/>
            <w:tcBorders>
              <w:top w:val="single" w:sz="4" w:space="0" w:color="000000"/>
              <w:left w:val="single" w:sz="4" w:space="0" w:color="000000"/>
              <w:bottom w:val="single" w:sz="4" w:space="0" w:color="000000"/>
              <w:right w:val="single" w:sz="4" w:space="0" w:color="000000"/>
            </w:tcBorders>
            <w:hideMark/>
          </w:tcPr>
          <w:p w14:paraId="66BF7561" w14:textId="77777777" w:rsidR="004E421C" w:rsidRDefault="004E421C">
            <w:pPr>
              <w:pStyle w:val="TableParagraph"/>
              <w:spacing w:before="0"/>
              <w:rPr>
                <w:b/>
                <w:lang w:val="en-US"/>
              </w:rPr>
            </w:pPr>
            <w:r>
              <w:rPr>
                <w:b/>
                <w:spacing w:val="-2"/>
                <w:lang w:val="en-US"/>
              </w:rPr>
              <w:t>Almindelig</w:t>
            </w:r>
          </w:p>
        </w:tc>
        <w:tc>
          <w:tcPr>
            <w:tcW w:w="2410" w:type="dxa"/>
            <w:tcBorders>
              <w:top w:val="single" w:sz="4" w:space="0" w:color="000000"/>
              <w:left w:val="single" w:sz="4" w:space="0" w:color="000000"/>
              <w:bottom w:val="single" w:sz="4" w:space="0" w:color="000000"/>
              <w:right w:val="single" w:sz="4" w:space="0" w:color="000000"/>
            </w:tcBorders>
            <w:hideMark/>
          </w:tcPr>
          <w:p w14:paraId="5A070951" w14:textId="77777777" w:rsidR="004E421C" w:rsidRDefault="004E421C">
            <w:pPr>
              <w:pStyle w:val="TableParagraph"/>
              <w:spacing w:before="0"/>
              <w:rPr>
                <w:b/>
                <w:lang w:val="en-US"/>
              </w:rPr>
            </w:pPr>
            <w:r>
              <w:rPr>
                <w:b/>
                <w:spacing w:val="-5"/>
                <w:lang w:val="en-US"/>
              </w:rPr>
              <w:t>Ikke</w:t>
            </w:r>
            <w:r>
              <w:rPr>
                <w:b/>
                <w:spacing w:val="-7"/>
                <w:lang w:val="en-US"/>
              </w:rPr>
              <w:t xml:space="preserve"> </w:t>
            </w:r>
            <w:r>
              <w:rPr>
                <w:b/>
                <w:spacing w:val="-2"/>
                <w:lang w:val="en-US"/>
              </w:rPr>
              <w:t>almindelig</w:t>
            </w:r>
          </w:p>
        </w:tc>
        <w:tc>
          <w:tcPr>
            <w:tcW w:w="1647" w:type="dxa"/>
            <w:tcBorders>
              <w:top w:val="single" w:sz="4" w:space="0" w:color="000000"/>
              <w:left w:val="single" w:sz="4" w:space="0" w:color="000000"/>
              <w:bottom w:val="single" w:sz="4" w:space="0" w:color="000000"/>
              <w:right w:val="single" w:sz="4" w:space="0" w:color="000000"/>
            </w:tcBorders>
            <w:hideMark/>
          </w:tcPr>
          <w:p w14:paraId="5AFD44A9" w14:textId="77777777" w:rsidR="004E421C" w:rsidRDefault="004E421C">
            <w:pPr>
              <w:pStyle w:val="TableParagraph"/>
              <w:spacing w:before="0"/>
              <w:rPr>
                <w:b/>
                <w:lang w:val="en-US"/>
              </w:rPr>
            </w:pPr>
            <w:r>
              <w:rPr>
                <w:b/>
                <w:lang w:val="en-US"/>
              </w:rPr>
              <w:t>Ikke</w:t>
            </w:r>
            <w:r>
              <w:rPr>
                <w:b/>
                <w:spacing w:val="-7"/>
                <w:lang w:val="en-US"/>
              </w:rPr>
              <w:t xml:space="preserve"> </w:t>
            </w:r>
            <w:r>
              <w:rPr>
                <w:b/>
                <w:spacing w:val="-2"/>
                <w:lang w:val="en-US"/>
              </w:rPr>
              <w:t>kendt</w:t>
            </w:r>
          </w:p>
        </w:tc>
      </w:tr>
      <w:tr w:rsidR="004E421C" w14:paraId="6024F657" w14:textId="77777777" w:rsidTr="004E421C">
        <w:trPr>
          <w:trHeight w:val="813"/>
        </w:trPr>
        <w:tc>
          <w:tcPr>
            <w:tcW w:w="1692" w:type="dxa"/>
            <w:tcBorders>
              <w:top w:val="single" w:sz="4" w:space="0" w:color="000000"/>
              <w:left w:val="single" w:sz="4" w:space="0" w:color="000000"/>
              <w:bottom w:val="single" w:sz="4" w:space="0" w:color="000000"/>
              <w:right w:val="single" w:sz="4" w:space="0" w:color="000000"/>
            </w:tcBorders>
            <w:hideMark/>
          </w:tcPr>
          <w:p w14:paraId="4E2304C4" w14:textId="77777777" w:rsidR="004E421C" w:rsidRDefault="004E421C">
            <w:pPr>
              <w:pStyle w:val="TableParagraph"/>
              <w:spacing w:before="0"/>
              <w:jc w:val="left"/>
              <w:rPr>
                <w:lang w:val="en-US"/>
              </w:rPr>
            </w:pPr>
            <w:r>
              <w:rPr>
                <w:spacing w:val="-2"/>
                <w:lang w:val="en-US"/>
              </w:rPr>
              <w:t>Infektioner</w:t>
            </w:r>
            <w:r>
              <w:rPr>
                <w:spacing w:val="-12"/>
                <w:lang w:val="en-US"/>
              </w:rPr>
              <w:t xml:space="preserve"> </w:t>
            </w:r>
            <w:r>
              <w:rPr>
                <w:spacing w:val="-2"/>
                <w:lang w:val="en-US"/>
              </w:rPr>
              <w:t>og parasitære sygdomme</w:t>
            </w:r>
          </w:p>
        </w:tc>
        <w:tc>
          <w:tcPr>
            <w:tcW w:w="1985" w:type="dxa"/>
            <w:tcBorders>
              <w:top w:val="single" w:sz="4" w:space="0" w:color="000000"/>
              <w:left w:val="single" w:sz="4" w:space="0" w:color="000000"/>
              <w:bottom w:val="single" w:sz="4" w:space="0" w:color="000000"/>
              <w:right w:val="single" w:sz="4" w:space="0" w:color="000000"/>
            </w:tcBorders>
            <w:hideMark/>
          </w:tcPr>
          <w:p w14:paraId="307AAD6B" w14:textId="77777777" w:rsidR="004E421C" w:rsidRDefault="004E421C">
            <w:pPr>
              <w:pStyle w:val="TableParagraph"/>
              <w:spacing w:before="0"/>
              <w:rPr>
                <w:lang w:val="en-US"/>
              </w:rPr>
            </w:pPr>
            <w:r>
              <w:rPr>
                <w:spacing w:val="-2"/>
                <w:lang w:val="en-US"/>
              </w:rPr>
              <w:t>Luftvejsinfektion*</w:t>
            </w:r>
          </w:p>
        </w:tc>
        <w:tc>
          <w:tcPr>
            <w:tcW w:w="1702" w:type="dxa"/>
            <w:tcBorders>
              <w:top w:val="single" w:sz="4" w:space="0" w:color="000000"/>
              <w:left w:val="single" w:sz="4" w:space="0" w:color="000000"/>
              <w:bottom w:val="single" w:sz="4" w:space="0" w:color="000000"/>
              <w:right w:val="single" w:sz="4" w:space="0" w:color="000000"/>
            </w:tcBorders>
            <w:hideMark/>
          </w:tcPr>
          <w:p w14:paraId="6D5BB005" w14:textId="77777777" w:rsidR="004E421C" w:rsidRDefault="004E421C">
            <w:pPr>
              <w:pStyle w:val="TableParagraph"/>
              <w:spacing w:before="0"/>
              <w:ind w:firstLine="124"/>
              <w:jc w:val="left"/>
              <w:rPr>
                <w:i/>
                <w:lang w:val="en-US"/>
              </w:rPr>
            </w:pPr>
            <w:r>
              <w:rPr>
                <w:i/>
                <w:spacing w:val="-2"/>
                <w:lang w:val="en-US"/>
              </w:rPr>
              <w:t>Influenzalignende</w:t>
            </w:r>
            <w:r>
              <w:rPr>
                <w:i/>
                <w:spacing w:val="-4"/>
                <w:lang w:val="en-US"/>
              </w:rPr>
              <w:t xml:space="preserve"> sygdom</w:t>
            </w:r>
          </w:p>
        </w:tc>
        <w:tc>
          <w:tcPr>
            <w:tcW w:w="2410" w:type="dxa"/>
            <w:tcBorders>
              <w:top w:val="single" w:sz="4" w:space="0" w:color="000000"/>
              <w:left w:val="single" w:sz="4" w:space="0" w:color="000000"/>
              <w:bottom w:val="single" w:sz="4" w:space="0" w:color="000000"/>
              <w:right w:val="single" w:sz="4" w:space="0" w:color="000000"/>
            </w:tcBorders>
          </w:tcPr>
          <w:p w14:paraId="717C9AF6" w14:textId="77777777" w:rsidR="004E421C" w:rsidRDefault="004E421C">
            <w:pPr>
              <w:pStyle w:val="TableParagraph"/>
              <w:spacing w:before="0"/>
              <w:jc w:val="left"/>
              <w:rPr>
                <w:lang w:val="en-US"/>
              </w:rPr>
            </w:pPr>
          </w:p>
        </w:tc>
        <w:tc>
          <w:tcPr>
            <w:tcW w:w="1647" w:type="dxa"/>
            <w:tcBorders>
              <w:top w:val="single" w:sz="4" w:space="0" w:color="000000"/>
              <w:left w:val="single" w:sz="4" w:space="0" w:color="000000"/>
              <w:bottom w:val="single" w:sz="4" w:space="0" w:color="000000"/>
              <w:right w:val="single" w:sz="4" w:space="0" w:color="000000"/>
            </w:tcBorders>
          </w:tcPr>
          <w:p w14:paraId="5451C5FA" w14:textId="77777777" w:rsidR="004E421C" w:rsidRDefault="004E421C">
            <w:pPr>
              <w:pStyle w:val="TableParagraph"/>
              <w:spacing w:before="0"/>
              <w:jc w:val="left"/>
              <w:rPr>
                <w:lang w:val="en-US"/>
              </w:rPr>
            </w:pPr>
          </w:p>
        </w:tc>
      </w:tr>
      <w:tr w:rsidR="004E421C" w14:paraId="21F56C54" w14:textId="77777777" w:rsidTr="004E421C">
        <w:trPr>
          <w:trHeight w:val="309"/>
        </w:trPr>
        <w:tc>
          <w:tcPr>
            <w:tcW w:w="1692" w:type="dxa"/>
            <w:tcBorders>
              <w:top w:val="single" w:sz="4" w:space="0" w:color="000000"/>
              <w:left w:val="single" w:sz="4" w:space="0" w:color="000000"/>
              <w:bottom w:val="single" w:sz="4" w:space="0" w:color="000000"/>
              <w:right w:val="single" w:sz="4" w:space="0" w:color="000000"/>
            </w:tcBorders>
            <w:hideMark/>
          </w:tcPr>
          <w:p w14:paraId="050B3E60" w14:textId="77777777" w:rsidR="004E421C" w:rsidRDefault="004E421C">
            <w:pPr>
              <w:pStyle w:val="TableParagraph"/>
              <w:spacing w:before="0"/>
              <w:jc w:val="left"/>
              <w:rPr>
                <w:lang w:val="en-US"/>
              </w:rPr>
            </w:pPr>
            <w:r>
              <w:rPr>
                <w:spacing w:val="-2"/>
                <w:lang w:val="en-US"/>
              </w:rPr>
              <w:t>Immunsystemet</w:t>
            </w:r>
          </w:p>
        </w:tc>
        <w:tc>
          <w:tcPr>
            <w:tcW w:w="1985" w:type="dxa"/>
            <w:tcBorders>
              <w:top w:val="single" w:sz="4" w:space="0" w:color="000000"/>
              <w:left w:val="single" w:sz="4" w:space="0" w:color="000000"/>
              <w:bottom w:val="single" w:sz="4" w:space="0" w:color="000000"/>
              <w:right w:val="single" w:sz="4" w:space="0" w:color="000000"/>
            </w:tcBorders>
          </w:tcPr>
          <w:p w14:paraId="1B64A964" w14:textId="77777777" w:rsidR="004E421C" w:rsidRDefault="004E421C">
            <w:pPr>
              <w:pStyle w:val="TableParagraph"/>
              <w:spacing w:before="0"/>
              <w:jc w:val="left"/>
              <w:rPr>
                <w:lang w:val="en-US"/>
              </w:rPr>
            </w:pPr>
          </w:p>
        </w:tc>
        <w:tc>
          <w:tcPr>
            <w:tcW w:w="1702" w:type="dxa"/>
            <w:tcBorders>
              <w:top w:val="single" w:sz="4" w:space="0" w:color="000000"/>
              <w:left w:val="single" w:sz="4" w:space="0" w:color="000000"/>
              <w:bottom w:val="single" w:sz="4" w:space="0" w:color="000000"/>
              <w:right w:val="single" w:sz="4" w:space="0" w:color="000000"/>
            </w:tcBorders>
          </w:tcPr>
          <w:p w14:paraId="7FC323DC" w14:textId="77777777" w:rsidR="004E421C" w:rsidRDefault="004E421C">
            <w:pPr>
              <w:pStyle w:val="TableParagraph"/>
              <w:spacing w:before="0"/>
              <w:jc w:val="left"/>
              <w:rPr>
                <w:lang w:val="en-US"/>
              </w:rPr>
            </w:pPr>
          </w:p>
        </w:tc>
        <w:tc>
          <w:tcPr>
            <w:tcW w:w="2410" w:type="dxa"/>
            <w:tcBorders>
              <w:top w:val="single" w:sz="4" w:space="0" w:color="000000"/>
              <w:left w:val="single" w:sz="4" w:space="0" w:color="000000"/>
              <w:bottom w:val="single" w:sz="4" w:space="0" w:color="000000"/>
              <w:right w:val="single" w:sz="4" w:space="0" w:color="000000"/>
            </w:tcBorders>
          </w:tcPr>
          <w:p w14:paraId="7C43BA83" w14:textId="77777777" w:rsidR="004E421C" w:rsidRDefault="004E421C">
            <w:pPr>
              <w:pStyle w:val="TableParagraph"/>
              <w:spacing w:before="0"/>
              <w:jc w:val="left"/>
              <w:rPr>
                <w:lang w:val="en-US"/>
              </w:rPr>
            </w:pPr>
          </w:p>
        </w:tc>
        <w:tc>
          <w:tcPr>
            <w:tcW w:w="1647" w:type="dxa"/>
            <w:tcBorders>
              <w:top w:val="single" w:sz="4" w:space="0" w:color="000000"/>
              <w:left w:val="single" w:sz="4" w:space="0" w:color="000000"/>
              <w:bottom w:val="single" w:sz="4" w:space="0" w:color="000000"/>
              <w:right w:val="single" w:sz="4" w:space="0" w:color="000000"/>
            </w:tcBorders>
            <w:hideMark/>
          </w:tcPr>
          <w:p w14:paraId="4D571CB7" w14:textId="77777777" w:rsidR="004E421C" w:rsidRDefault="004E421C">
            <w:pPr>
              <w:pStyle w:val="TableParagraph"/>
              <w:spacing w:before="0"/>
              <w:rPr>
                <w:i/>
                <w:lang w:val="en-US"/>
              </w:rPr>
            </w:pPr>
            <w:r>
              <w:rPr>
                <w:i/>
                <w:spacing w:val="-2"/>
                <w:lang w:val="en-US"/>
              </w:rPr>
              <w:t>Overfølsomhed</w:t>
            </w:r>
          </w:p>
        </w:tc>
      </w:tr>
      <w:tr w:rsidR="004E421C" w14:paraId="2FCBC5E6" w14:textId="77777777" w:rsidTr="004E421C">
        <w:trPr>
          <w:trHeight w:val="563"/>
        </w:trPr>
        <w:tc>
          <w:tcPr>
            <w:tcW w:w="1692" w:type="dxa"/>
            <w:tcBorders>
              <w:top w:val="single" w:sz="4" w:space="0" w:color="000000"/>
              <w:left w:val="single" w:sz="4" w:space="0" w:color="000000"/>
              <w:bottom w:val="single" w:sz="4" w:space="0" w:color="000000"/>
              <w:right w:val="single" w:sz="4" w:space="0" w:color="000000"/>
            </w:tcBorders>
            <w:hideMark/>
          </w:tcPr>
          <w:p w14:paraId="5F498FCE" w14:textId="77777777" w:rsidR="004E421C" w:rsidRDefault="004E421C">
            <w:pPr>
              <w:pStyle w:val="TableParagraph"/>
              <w:spacing w:before="0"/>
              <w:jc w:val="left"/>
              <w:rPr>
                <w:lang w:val="en-US"/>
              </w:rPr>
            </w:pPr>
            <w:r>
              <w:rPr>
                <w:lang w:val="en-US"/>
              </w:rPr>
              <w:t>Metabolisme</w:t>
            </w:r>
            <w:r>
              <w:rPr>
                <w:spacing w:val="-14"/>
                <w:lang w:val="en-US"/>
              </w:rPr>
              <w:t xml:space="preserve"> </w:t>
            </w:r>
            <w:r>
              <w:rPr>
                <w:lang w:val="en-US"/>
              </w:rPr>
              <w:t xml:space="preserve">og </w:t>
            </w:r>
            <w:r>
              <w:rPr>
                <w:spacing w:val="-2"/>
                <w:lang w:val="en-US"/>
              </w:rPr>
              <w:t>ernæring</w:t>
            </w:r>
          </w:p>
        </w:tc>
        <w:tc>
          <w:tcPr>
            <w:tcW w:w="1985" w:type="dxa"/>
            <w:tcBorders>
              <w:top w:val="single" w:sz="4" w:space="0" w:color="000000"/>
              <w:left w:val="single" w:sz="4" w:space="0" w:color="000000"/>
              <w:bottom w:val="single" w:sz="4" w:space="0" w:color="000000"/>
              <w:right w:val="single" w:sz="4" w:space="0" w:color="000000"/>
            </w:tcBorders>
          </w:tcPr>
          <w:p w14:paraId="241EC201" w14:textId="77777777" w:rsidR="004E421C" w:rsidRDefault="004E421C">
            <w:pPr>
              <w:pStyle w:val="TableParagraph"/>
              <w:spacing w:before="0"/>
              <w:jc w:val="left"/>
              <w:rPr>
                <w:lang w:val="en-US"/>
              </w:rPr>
            </w:pPr>
          </w:p>
        </w:tc>
        <w:tc>
          <w:tcPr>
            <w:tcW w:w="1702" w:type="dxa"/>
            <w:tcBorders>
              <w:top w:val="single" w:sz="4" w:space="0" w:color="000000"/>
              <w:left w:val="single" w:sz="4" w:space="0" w:color="000000"/>
              <w:bottom w:val="single" w:sz="4" w:space="0" w:color="000000"/>
              <w:right w:val="single" w:sz="4" w:space="0" w:color="000000"/>
            </w:tcBorders>
            <w:hideMark/>
          </w:tcPr>
          <w:p w14:paraId="4B0576FB" w14:textId="77777777" w:rsidR="004E421C" w:rsidRDefault="004E421C">
            <w:pPr>
              <w:pStyle w:val="TableParagraph"/>
              <w:spacing w:before="0"/>
              <w:ind w:firstLine="124"/>
              <w:jc w:val="left"/>
              <w:rPr>
                <w:lang w:val="en-US"/>
              </w:rPr>
            </w:pPr>
            <w:r>
              <w:rPr>
                <w:spacing w:val="-2"/>
                <w:lang w:val="en-US"/>
              </w:rPr>
              <w:t xml:space="preserve">Appetitløshed, </w:t>
            </w:r>
            <w:r>
              <w:rPr>
                <w:spacing w:val="-4"/>
                <w:lang w:val="en-US"/>
              </w:rPr>
              <w:t>Væskeophobning</w:t>
            </w:r>
          </w:p>
        </w:tc>
        <w:tc>
          <w:tcPr>
            <w:tcW w:w="2410" w:type="dxa"/>
            <w:tcBorders>
              <w:top w:val="single" w:sz="4" w:space="0" w:color="000000"/>
              <w:left w:val="single" w:sz="4" w:space="0" w:color="000000"/>
              <w:bottom w:val="single" w:sz="4" w:space="0" w:color="000000"/>
              <w:right w:val="single" w:sz="4" w:space="0" w:color="000000"/>
            </w:tcBorders>
          </w:tcPr>
          <w:p w14:paraId="2BB25420" w14:textId="77777777" w:rsidR="004E421C" w:rsidRDefault="004E421C">
            <w:pPr>
              <w:pStyle w:val="TableParagraph"/>
              <w:spacing w:before="0"/>
              <w:jc w:val="left"/>
              <w:rPr>
                <w:lang w:val="en-US"/>
              </w:rPr>
            </w:pPr>
          </w:p>
        </w:tc>
        <w:tc>
          <w:tcPr>
            <w:tcW w:w="1647" w:type="dxa"/>
            <w:tcBorders>
              <w:top w:val="single" w:sz="4" w:space="0" w:color="000000"/>
              <w:left w:val="single" w:sz="4" w:space="0" w:color="000000"/>
              <w:bottom w:val="single" w:sz="4" w:space="0" w:color="000000"/>
              <w:right w:val="single" w:sz="4" w:space="0" w:color="000000"/>
            </w:tcBorders>
          </w:tcPr>
          <w:p w14:paraId="73521A67" w14:textId="77777777" w:rsidR="004E421C" w:rsidRDefault="004E421C">
            <w:pPr>
              <w:pStyle w:val="TableParagraph"/>
              <w:spacing w:before="0"/>
              <w:jc w:val="left"/>
              <w:rPr>
                <w:lang w:val="en-US"/>
              </w:rPr>
            </w:pPr>
          </w:p>
        </w:tc>
      </w:tr>
      <w:tr w:rsidR="004E421C" w14:paraId="7882E354" w14:textId="77777777" w:rsidTr="004E421C">
        <w:trPr>
          <w:trHeight w:val="561"/>
        </w:trPr>
        <w:tc>
          <w:tcPr>
            <w:tcW w:w="1692" w:type="dxa"/>
            <w:tcBorders>
              <w:top w:val="single" w:sz="4" w:space="0" w:color="000000"/>
              <w:left w:val="single" w:sz="4" w:space="0" w:color="000000"/>
              <w:bottom w:val="single" w:sz="4" w:space="0" w:color="000000"/>
              <w:right w:val="single" w:sz="4" w:space="0" w:color="000000"/>
            </w:tcBorders>
            <w:hideMark/>
          </w:tcPr>
          <w:p w14:paraId="3773D25C" w14:textId="77777777" w:rsidR="004E421C" w:rsidRDefault="004E421C">
            <w:pPr>
              <w:pStyle w:val="TableParagraph"/>
              <w:spacing w:before="0"/>
              <w:jc w:val="left"/>
              <w:rPr>
                <w:lang w:val="en-US"/>
              </w:rPr>
            </w:pPr>
            <w:r>
              <w:rPr>
                <w:spacing w:val="-2"/>
                <w:lang w:val="en-US"/>
              </w:rPr>
              <w:t xml:space="preserve">Psykiske </w:t>
            </w:r>
            <w:r>
              <w:rPr>
                <w:spacing w:val="-4"/>
                <w:lang w:val="en-US"/>
              </w:rPr>
              <w:t>forstyrrelser</w:t>
            </w:r>
          </w:p>
        </w:tc>
        <w:tc>
          <w:tcPr>
            <w:tcW w:w="1985" w:type="dxa"/>
            <w:tcBorders>
              <w:top w:val="single" w:sz="4" w:space="0" w:color="000000"/>
              <w:left w:val="single" w:sz="4" w:space="0" w:color="000000"/>
              <w:bottom w:val="single" w:sz="4" w:space="0" w:color="000000"/>
              <w:right w:val="single" w:sz="4" w:space="0" w:color="000000"/>
            </w:tcBorders>
          </w:tcPr>
          <w:p w14:paraId="7159EA09" w14:textId="77777777" w:rsidR="004E421C" w:rsidRDefault="004E421C">
            <w:pPr>
              <w:pStyle w:val="TableParagraph"/>
              <w:spacing w:before="0"/>
              <w:jc w:val="left"/>
              <w:rPr>
                <w:lang w:val="en-US"/>
              </w:rPr>
            </w:pPr>
          </w:p>
        </w:tc>
        <w:tc>
          <w:tcPr>
            <w:tcW w:w="1702" w:type="dxa"/>
            <w:tcBorders>
              <w:top w:val="single" w:sz="4" w:space="0" w:color="000000"/>
              <w:left w:val="single" w:sz="4" w:space="0" w:color="000000"/>
              <w:bottom w:val="single" w:sz="4" w:space="0" w:color="000000"/>
              <w:right w:val="single" w:sz="4" w:space="0" w:color="000000"/>
            </w:tcBorders>
            <w:hideMark/>
          </w:tcPr>
          <w:p w14:paraId="21745A93" w14:textId="77777777" w:rsidR="004E421C" w:rsidRDefault="004E421C">
            <w:pPr>
              <w:pStyle w:val="TableParagraph"/>
              <w:spacing w:before="0"/>
              <w:rPr>
                <w:spacing w:val="-6"/>
                <w:lang w:val="en-US"/>
              </w:rPr>
            </w:pPr>
            <w:r>
              <w:rPr>
                <w:spacing w:val="-2"/>
                <w:lang w:val="en-US"/>
              </w:rPr>
              <w:t>Angst</w:t>
            </w:r>
          </w:p>
          <w:p w14:paraId="07C38442" w14:textId="77777777" w:rsidR="004E421C" w:rsidRDefault="004E421C">
            <w:pPr>
              <w:pStyle w:val="TableParagraph"/>
              <w:spacing w:before="0"/>
              <w:rPr>
                <w:lang w:val="en-US"/>
              </w:rPr>
            </w:pPr>
            <w:r>
              <w:rPr>
                <w:spacing w:val="-2"/>
                <w:lang w:val="en-US"/>
              </w:rPr>
              <w:t>Insomni</w:t>
            </w:r>
          </w:p>
        </w:tc>
        <w:tc>
          <w:tcPr>
            <w:tcW w:w="2410" w:type="dxa"/>
            <w:tcBorders>
              <w:top w:val="single" w:sz="4" w:space="0" w:color="000000"/>
              <w:left w:val="single" w:sz="4" w:space="0" w:color="000000"/>
              <w:bottom w:val="single" w:sz="4" w:space="0" w:color="000000"/>
              <w:right w:val="single" w:sz="4" w:space="0" w:color="000000"/>
            </w:tcBorders>
          </w:tcPr>
          <w:p w14:paraId="72B59D0F" w14:textId="77777777" w:rsidR="004E421C" w:rsidRDefault="004E421C">
            <w:pPr>
              <w:pStyle w:val="TableParagraph"/>
              <w:spacing w:before="0"/>
              <w:jc w:val="left"/>
              <w:rPr>
                <w:lang w:val="en-US"/>
              </w:rPr>
            </w:pPr>
          </w:p>
        </w:tc>
        <w:tc>
          <w:tcPr>
            <w:tcW w:w="1647" w:type="dxa"/>
            <w:tcBorders>
              <w:top w:val="single" w:sz="4" w:space="0" w:color="000000"/>
              <w:left w:val="single" w:sz="4" w:space="0" w:color="000000"/>
              <w:bottom w:val="single" w:sz="4" w:space="0" w:color="000000"/>
              <w:right w:val="single" w:sz="4" w:space="0" w:color="000000"/>
            </w:tcBorders>
          </w:tcPr>
          <w:p w14:paraId="3C57346C" w14:textId="77777777" w:rsidR="004E421C" w:rsidRDefault="004E421C">
            <w:pPr>
              <w:pStyle w:val="TableParagraph"/>
              <w:spacing w:before="0"/>
              <w:jc w:val="left"/>
              <w:rPr>
                <w:lang w:val="en-US"/>
              </w:rPr>
            </w:pPr>
          </w:p>
        </w:tc>
      </w:tr>
      <w:tr w:rsidR="004E421C" w14:paraId="1F910B06" w14:textId="77777777" w:rsidTr="004E421C">
        <w:trPr>
          <w:trHeight w:val="309"/>
        </w:trPr>
        <w:tc>
          <w:tcPr>
            <w:tcW w:w="1692" w:type="dxa"/>
            <w:tcBorders>
              <w:top w:val="single" w:sz="4" w:space="0" w:color="000000"/>
              <w:left w:val="single" w:sz="4" w:space="0" w:color="000000"/>
              <w:bottom w:val="single" w:sz="4" w:space="0" w:color="000000"/>
              <w:right w:val="single" w:sz="4" w:space="0" w:color="000000"/>
            </w:tcBorders>
            <w:hideMark/>
          </w:tcPr>
          <w:p w14:paraId="50581463" w14:textId="77777777" w:rsidR="004E421C" w:rsidRDefault="004E421C">
            <w:pPr>
              <w:pStyle w:val="TableParagraph"/>
              <w:spacing w:before="0"/>
              <w:jc w:val="left"/>
              <w:rPr>
                <w:lang w:val="en-US"/>
              </w:rPr>
            </w:pPr>
            <w:r>
              <w:rPr>
                <w:spacing w:val="-2"/>
                <w:lang w:val="en-US"/>
              </w:rPr>
              <w:t>Nervesystemet</w:t>
            </w:r>
          </w:p>
        </w:tc>
        <w:tc>
          <w:tcPr>
            <w:tcW w:w="1985" w:type="dxa"/>
            <w:tcBorders>
              <w:top w:val="single" w:sz="4" w:space="0" w:color="000000"/>
              <w:left w:val="single" w:sz="4" w:space="0" w:color="000000"/>
              <w:bottom w:val="single" w:sz="4" w:space="0" w:color="000000"/>
              <w:right w:val="single" w:sz="4" w:space="0" w:color="000000"/>
            </w:tcBorders>
            <w:hideMark/>
          </w:tcPr>
          <w:p w14:paraId="5E12F201" w14:textId="77777777" w:rsidR="004E421C" w:rsidRDefault="004E421C">
            <w:pPr>
              <w:pStyle w:val="TableParagraph"/>
              <w:spacing w:before="0"/>
              <w:rPr>
                <w:lang w:val="en-US"/>
              </w:rPr>
            </w:pPr>
            <w:r>
              <w:rPr>
                <w:spacing w:val="-2"/>
                <w:lang w:val="en-US"/>
              </w:rPr>
              <w:t>Hovedpine</w:t>
            </w:r>
          </w:p>
        </w:tc>
        <w:tc>
          <w:tcPr>
            <w:tcW w:w="1702" w:type="dxa"/>
            <w:tcBorders>
              <w:top w:val="single" w:sz="4" w:space="0" w:color="000000"/>
              <w:left w:val="single" w:sz="4" w:space="0" w:color="000000"/>
              <w:bottom w:val="single" w:sz="4" w:space="0" w:color="000000"/>
              <w:right w:val="single" w:sz="4" w:space="0" w:color="000000"/>
            </w:tcBorders>
          </w:tcPr>
          <w:p w14:paraId="17DAFA9D" w14:textId="77777777" w:rsidR="004E421C" w:rsidRDefault="004E421C">
            <w:pPr>
              <w:pStyle w:val="TableParagraph"/>
              <w:spacing w:before="0"/>
              <w:jc w:val="left"/>
              <w:rPr>
                <w:lang w:val="en-US"/>
              </w:rPr>
            </w:pPr>
          </w:p>
        </w:tc>
        <w:tc>
          <w:tcPr>
            <w:tcW w:w="2410" w:type="dxa"/>
            <w:tcBorders>
              <w:top w:val="single" w:sz="4" w:space="0" w:color="000000"/>
              <w:left w:val="single" w:sz="4" w:space="0" w:color="000000"/>
              <w:bottom w:val="single" w:sz="4" w:space="0" w:color="000000"/>
              <w:right w:val="single" w:sz="4" w:space="0" w:color="000000"/>
            </w:tcBorders>
          </w:tcPr>
          <w:p w14:paraId="46CD223D" w14:textId="77777777" w:rsidR="004E421C" w:rsidRDefault="004E421C">
            <w:pPr>
              <w:pStyle w:val="TableParagraph"/>
              <w:spacing w:before="0"/>
              <w:jc w:val="left"/>
              <w:rPr>
                <w:lang w:val="en-US"/>
              </w:rPr>
            </w:pPr>
          </w:p>
        </w:tc>
        <w:tc>
          <w:tcPr>
            <w:tcW w:w="1647" w:type="dxa"/>
            <w:tcBorders>
              <w:top w:val="single" w:sz="4" w:space="0" w:color="000000"/>
              <w:left w:val="single" w:sz="4" w:space="0" w:color="000000"/>
              <w:bottom w:val="single" w:sz="4" w:space="0" w:color="000000"/>
              <w:right w:val="single" w:sz="4" w:space="0" w:color="000000"/>
            </w:tcBorders>
          </w:tcPr>
          <w:p w14:paraId="46A769C2" w14:textId="77777777" w:rsidR="004E421C" w:rsidRDefault="004E421C">
            <w:pPr>
              <w:pStyle w:val="TableParagraph"/>
              <w:spacing w:before="0"/>
              <w:jc w:val="left"/>
              <w:rPr>
                <w:lang w:val="en-US"/>
              </w:rPr>
            </w:pPr>
          </w:p>
        </w:tc>
      </w:tr>
      <w:tr w:rsidR="004E421C" w14:paraId="47557C2F" w14:textId="77777777" w:rsidTr="004E421C">
        <w:trPr>
          <w:trHeight w:val="561"/>
        </w:trPr>
        <w:tc>
          <w:tcPr>
            <w:tcW w:w="1692" w:type="dxa"/>
            <w:tcBorders>
              <w:top w:val="single" w:sz="4" w:space="0" w:color="000000"/>
              <w:left w:val="single" w:sz="4" w:space="0" w:color="000000"/>
              <w:bottom w:val="single" w:sz="4" w:space="0" w:color="000000"/>
              <w:right w:val="single" w:sz="4" w:space="0" w:color="000000"/>
            </w:tcBorders>
            <w:hideMark/>
          </w:tcPr>
          <w:p w14:paraId="1A60ACF7" w14:textId="77777777" w:rsidR="004E421C" w:rsidRDefault="004E421C">
            <w:pPr>
              <w:pStyle w:val="TableParagraph"/>
              <w:spacing w:before="0"/>
              <w:jc w:val="left"/>
              <w:rPr>
                <w:lang w:val="en-US"/>
              </w:rPr>
            </w:pPr>
            <w:r>
              <w:rPr>
                <w:spacing w:val="-2"/>
                <w:lang w:val="en-US"/>
              </w:rPr>
              <w:t>Hjerte</w:t>
            </w:r>
          </w:p>
        </w:tc>
        <w:tc>
          <w:tcPr>
            <w:tcW w:w="1985" w:type="dxa"/>
            <w:tcBorders>
              <w:top w:val="single" w:sz="4" w:space="0" w:color="000000"/>
              <w:left w:val="single" w:sz="4" w:space="0" w:color="000000"/>
              <w:bottom w:val="single" w:sz="4" w:space="0" w:color="000000"/>
              <w:right w:val="single" w:sz="4" w:space="0" w:color="000000"/>
            </w:tcBorders>
          </w:tcPr>
          <w:p w14:paraId="09D833A9" w14:textId="77777777" w:rsidR="004E421C" w:rsidRDefault="004E421C">
            <w:pPr>
              <w:pStyle w:val="TableParagraph"/>
              <w:spacing w:before="0"/>
              <w:jc w:val="left"/>
              <w:rPr>
                <w:lang w:val="en-US"/>
              </w:rPr>
            </w:pPr>
          </w:p>
        </w:tc>
        <w:tc>
          <w:tcPr>
            <w:tcW w:w="1702" w:type="dxa"/>
            <w:tcBorders>
              <w:top w:val="single" w:sz="4" w:space="0" w:color="000000"/>
              <w:left w:val="single" w:sz="4" w:space="0" w:color="000000"/>
              <w:bottom w:val="single" w:sz="4" w:space="0" w:color="000000"/>
              <w:right w:val="single" w:sz="4" w:space="0" w:color="000000"/>
            </w:tcBorders>
            <w:hideMark/>
          </w:tcPr>
          <w:p w14:paraId="46428926" w14:textId="77777777" w:rsidR="004E421C" w:rsidRDefault="004E421C">
            <w:pPr>
              <w:pStyle w:val="TableParagraph"/>
              <w:spacing w:before="0"/>
              <w:ind w:firstLine="300"/>
              <w:jc w:val="left"/>
              <w:rPr>
                <w:lang w:val="en-US"/>
              </w:rPr>
            </w:pPr>
            <w:r>
              <w:rPr>
                <w:spacing w:val="-2"/>
                <w:lang w:val="en-US"/>
              </w:rPr>
              <w:t xml:space="preserve">Kongestiv </w:t>
            </w:r>
            <w:r>
              <w:rPr>
                <w:spacing w:val="-4"/>
                <w:lang w:val="en-US"/>
              </w:rPr>
              <w:t>hjerteinsufficiens</w:t>
            </w:r>
          </w:p>
        </w:tc>
        <w:tc>
          <w:tcPr>
            <w:tcW w:w="2410" w:type="dxa"/>
            <w:tcBorders>
              <w:top w:val="single" w:sz="4" w:space="0" w:color="000000"/>
              <w:left w:val="single" w:sz="4" w:space="0" w:color="000000"/>
              <w:bottom w:val="single" w:sz="4" w:space="0" w:color="000000"/>
              <w:right w:val="single" w:sz="4" w:space="0" w:color="000000"/>
            </w:tcBorders>
          </w:tcPr>
          <w:p w14:paraId="01945DD6" w14:textId="77777777" w:rsidR="004E421C" w:rsidRDefault="004E421C">
            <w:pPr>
              <w:pStyle w:val="TableParagraph"/>
              <w:spacing w:before="0"/>
              <w:jc w:val="left"/>
              <w:rPr>
                <w:lang w:val="en-US"/>
              </w:rPr>
            </w:pPr>
          </w:p>
        </w:tc>
        <w:tc>
          <w:tcPr>
            <w:tcW w:w="1647" w:type="dxa"/>
            <w:tcBorders>
              <w:top w:val="single" w:sz="4" w:space="0" w:color="000000"/>
              <w:left w:val="single" w:sz="4" w:space="0" w:color="000000"/>
              <w:bottom w:val="single" w:sz="4" w:space="0" w:color="000000"/>
              <w:right w:val="single" w:sz="4" w:space="0" w:color="000000"/>
            </w:tcBorders>
          </w:tcPr>
          <w:p w14:paraId="33E084DA" w14:textId="77777777" w:rsidR="004E421C" w:rsidRDefault="004E421C">
            <w:pPr>
              <w:pStyle w:val="TableParagraph"/>
              <w:spacing w:before="0"/>
              <w:jc w:val="left"/>
              <w:rPr>
                <w:lang w:val="en-US"/>
              </w:rPr>
            </w:pPr>
          </w:p>
        </w:tc>
      </w:tr>
      <w:tr w:rsidR="004E421C" w14:paraId="3A986311" w14:textId="77777777" w:rsidTr="004E421C">
        <w:trPr>
          <w:trHeight w:val="563"/>
        </w:trPr>
        <w:tc>
          <w:tcPr>
            <w:tcW w:w="1692" w:type="dxa"/>
            <w:tcBorders>
              <w:top w:val="single" w:sz="4" w:space="0" w:color="000000"/>
              <w:left w:val="single" w:sz="4" w:space="0" w:color="000000"/>
              <w:bottom w:val="single" w:sz="4" w:space="0" w:color="000000"/>
              <w:right w:val="single" w:sz="4" w:space="0" w:color="000000"/>
            </w:tcBorders>
            <w:hideMark/>
          </w:tcPr>
          <w:p w14:paraId="3589E603" w14:textId="77777777" w:rsidR="004E421C" w:rsidRDefault="004E421C">
            <w:pPr>
              <w:pStyle w:val="TableParagraph"/>
              <w:spacing w:before="0"/>
              <w:jc w:val="left"/>
              <w:rPr>
                <w:lang w:val="en-US"/>
              </w:rPr>
            </w:pPr>
            <w:r>
              <w:rPr>
                <w:spacing w:val="-2"/>
                <w:lang w:val="en-US"/>
              </w:rPr>
              <w:lastRenderedPageBreak/>
              <w:t xml:space="preserve">Vaskulære </w:t>
            </w:r>
            <w:r>
              <w:rPr>
                <w:spacing w:val="-4"/>
                <w:lang w:val="en-US"/>
              </w:rPr>
              <w:t>sygdomme</w:t>
            </w:r>
          </w:p>
        </w:tc>
        <w:tc>
          <w:tcPr>
            <w:tcW w:w="1985" w:type="dxa"/>
            <w:tcBorders>
              <w:top w:val="single" w:sz="4" w:space="0" w:color="000000"/>
              <w:left w:val="single" w:sz="4" w:space="0" w:color="000000"/>
              <w:bottom w:val="single" w:sz="4" w:space="0" w:color="000000"/>
              <w:right w:val="single" w:sz="4" w:space="0" w:color="000000"/>
            </w:tcBorders>
          </w:tcPr>
          <w:p w14:paraId="0649D577" w14:textId="77777777" w:rsidR="004E421C" w:rsidRDefault="004E421C">
            <w:pPr>
              <w:pStyle w:val="TableParagraph"/>
              <w:spacing w:before="0"/>
              <w:jc w:val="left"/>
              <w:rPr>
                <w:lang w:val="en-US"/>
              </w:rPr>
            </w:pPr>
          </w:p>
        </w:tc>
        <w:tc>
          <w:tcPr>
            <w:tcW w:w="1702" w:type="dxa"/>
            <w:tcBorders>
              <w:top w:val="single" w:sz="4" w:space="0" w:color="000000"/>
              <w:left w:val="single" w:sz="4" w:space="0" w:color="000000"/>
              <w:bottom w:val="single" w:sz="4" w:space="0" w:color="000000"/>
              <w:right w:val="single" w:sz="4" w:space="0" w:color="000000"/>
            </w:tcBorders>
          </w:tcPr>
          <w:p w14:paraId="598ED793" w14:textId="77777777" w:rsidR="004E421C" w:rsidRDefault="004E421C">
            <w:pPr>
              <w:pStyle w:val="TableParagraph"/>
              <w:spacing w:before="0"/>
              <w:jc w:val="left"/>
              <w:rPr>
                <w:lang w:val="en-US"/>
              </w:rPr>
            </w:pPr>
          </w:p>
        </w:tc>
        <w:tc>
          <w:tcPr>
            <w:tcW w:w="2410" w:type="dxa"/>
            <w:tcBorders>
              <w:top w:val="single" w:sz="4" w:space="0" w:color="000000"/>
              <w:left w:val="single" w:sz="4" w:space="0" w:color="000000"/>
              <w:bottom w:val="single" w:sz="4" w:space="0" w:color="000000"/>
              <w:right w:val="single" w:sz="4" w:space="0" w:color="000000"/>
            </w:tcBorders>
            <w:hideMark/>
          </w:tcPr>
          <w:p w14:paraId="57F0F5B9" w14:textId="77777777" w:rsidR="004E421C" w:rsidRDefault="004E421C">
            <w:pPr>
              <w:pStyle w:val="TableParagraph"/>
              <w:spacing w:before="0"/>
              <w:rPr>
                <w:lang w:val="en-US"/>
              </w:rPr>
            </w:pPr>
            <w:r>
              <w:rPr>
                <w:spacing w:val="-2"/>
                <w:lang w:val="en-US"/>
              </w:rPr>
              <w:t>Synkope</w:t>
            </w:r>
          </w:p>
        </w:tc>
        <w:tc>
          <w:tcPr>
            <w:tcW w:w="1647" w:type="dxa"/>
            <w:tcBorders>
              <w:top w:val="single" w:sz="4" w:space="0" w:color="000000"/>
              <w:left w:val="single" w:sz="4" w:space="0" w:color="000000"/>
              <w:bottom w:val="single" w:sz="4" w:space="0" w:color="000000"/>
              <w:right w:val="single" w:sz="4" w:space="0" w:color="000000"/>
            </w:tcBorders>
          </w:tcPr>
          <w:p w14:paraId="520F9372" w14:textId="77777777" w:rsidR="004E421C" w:rsidRDefault="004E421C">
            <w:pPr>
              <w:pStyle w:val="TableParagraph"/>
              <w:spacing w:before="0"/>
              <w:jc w:val="left"/>
              <w:rPr>
                <w:lang w:val="en-US"/>
              </w:rPr>
            </w:pPr>
          </w:p>
        </w:tc>
      </w:tr>
      <w:tr w:rsidR="004E421C" w14:paraId="4C89FFEA" w14:textId="77777777" w:rsidTr="004E421C">
        <w:trPr>
          <w:trHeight w:val="561"/>
        </w:trPr>
        <w:tc>
          <w:tcPr>
            <w:tcW w:w="1692" w:type="dxa"/>
            <w:tcBorders>
              <w:top w:val="single" w:sz="4" w:space="0" w:color="000000"/>
              <w:left w:val="single" w:sz="4" w:space="0" w:color="000000"/>
              <w:bottom w:val="single" w:sz="4" w:space="0" w:color="000000"/>
              <w:right w:val="single" w:sz="4" w:space="0" w:color="000000"/>
            </w:tcBorders>
            <w:hideMark/>
          </w:tcPr>
          <w:p w14:paraId="031D572D" w14:textId="77777777" w:rsidR="004E421C" w:rsidRDefault="004E421C">
            <w:pPr>
              <w:pStyle w:val="TableParagraph"/>
              <w:spacing w:before="0"/>
              <w:jc w:val="left"/>
              <w:rPr>
                <w:lang w:val="en-US"/>
              </w:rPr>
            </w:pPr>
            <w:r>
              <w:rPr>
                <w:spacing w:val="-2"/>
                <w:lang w:val="en-US"/>
              </w:rPr>
              <w:t>Luftveje,</w:t>
            </w:r>
            <w:r>
              <w:rPr>
                <w:spacing w:val="-12"/>
                <w:lang w:val="en-US"/>
              </w:rPr>
              <w:t xml:space="preserve"> </w:t>
            </w:r>
            <w:r>
              <w:rPr>
                <w:spacing w:val="-2"/>
                <w:lang w:val="en-US"/>
              </w:rPr>
              <w:t xml:space="preserve">thorax </w:t>
            </w:r>
            <w:r>
              <w:rPr>
                <w:lang w:val="en-US"/>
              </w:rPr>
              <w:t xml:space="preserve">og </w:t>
            </w:r>
            <w:r>
              <w:rPr>
                <w:spacing w:val="-2"/>
                <w:lang w:val="en-US"/>
              </w:rPr>
              <w:t>mediastinum</w:t>
            </w:r>
          </w:p>
        </w:tc>
        <w:tc>
          <w:tcPr>
            <w:tcW w:w="1985" w:type="dxa"/>
            <w:tcBorders>
              <w:top w:val="single" w:sz="4" w:space="0" w:color="000000"/>
              <w:left w:val="single" w:sz="4" w:space="0" w:color="000000"/>
              <w:bottom w:val="single" w:sz="4" w:space="0" w:color="000000"/>
              <w:right w:val="single" w:sz="4" w:space="0" w:color="000000"/>
            </w:tcBorders>
          </w:tcPr>
          <w:p w14:paraId="17A5FE37" w14:textId="77777777" w:rsidR="004E421C" w:rsidRDefault="004E421C">
            <w:pPr>
              <w:pStyle w:val="TableParagraph"/>
              <w:spacing w:before="0"/>
              <w:jc w:val="left"/>
              <w:rPr>
                <w:lang w:val="en-US"/>
              </w:rPr>
            </w:pPr>
          </w:p>
        </w:tc>
        <w:tc>
          <w:tcPr>
            <w:tcW w:w="1702" w:type="dxa"/>
            <w:tcBorders>
              <w:top w:val="single" w:sz="4" w:space="0" w:color="000000"/>
              <w:left w:val="single" w:sz="4" w:space="0" w:color="000000"/>
              <w:bottom w:val="single" w:sz="4" w:space="0" w:color="000000"/>
              <w:right w:val="single" w:sz="4" w:space="0" w:color="000000"/>
            </w:tcBorders>
            <w:hideMark/>
          </w:tcPr>
          <w:p w14:paraId="5616458B" w14:textId="77777777" w:rsidR="004E421C" w:rsidRDefault="004E421C">
            <w:pPr>
              <w:pStyle w:val="TableParagraph"/>
              <w:spacing w:before="0"/>
              <w:rPr>
                <w:spacing w:val="-6"/>
                <w:lang w:val="en-US"/>
              </w:rPr>
            </w:pPr>
            <w:r>
              <w:rPr>
                <w:spacing w:val="-2"/>
                <w:lang w:val="en-US"/>
              </w:rPr>
              <w:t>Hoste</w:t>
            </w:r>
          </w:p>
          <w:p w14:paraId="2F76D3DE" w14:textId="77777777" w:rsidR="004E421C" w:rsidRDefault="004E421C">
            <w:pPr>
              <w:pStyle w:val="TableParagraph"/>
              <w:spacing w:before="0"/>
              <w:rPr>
                <w:lang w:val="en-US"/>
              </w:rPr>
            </w:pPr>
            <w:r>
              <w:rPr>
                <w:spacing w:val="-2"/>
                <w:lang w:val="en-US"/>
              </w:rPr>
              <w:t>Dyspnø</w:t>
            </w:r>
          </w:p>
        </w:tc>
        <w:tc>
          <w:tcPr>
            <w:tcW w:w="2410" w:type="dxa"/>
            <w:tcBorders>
              <w:top w:val="single" w:sz="4" w:space="0" w:color="000000"/>
              <w:left w:val="single" w:sz="4" w:space="0" w:color="000000"/>
              <w:bottom w:val="single" w:sz="4" w:space="0" w:color="000000"/>
              <w:right w:val="single" w:sz="4" w:space="0" w:color="000000"/>
            </w:tcBorders>
          </w:tcPr>
          <w:p w14:paraId="7CAAB47A" w14:textId="77777777" w:rsidR="004E421C" w:rsidRDefault="004E421C">
            <w:pPr>
              <w:pStyle w:val="TableParagraph"/>
              <w:spacing w:before="0"/>
              <w:jc w:val="left"/>
              <w:rPr>
                <w:lang w:val="en-US"/>
              </w:rPr>
            </w:pPr>
          </w:p>
        </w:tc>
        <w:tc>
          <w:tcPr>
            <w:tcW w:w="1647" w:type="dxa"/>
            <w:tcBorders>
              <w:top w:val="single" w:sz="4" w:space="0" w:color="000000"/>
              <w:left w:val="single" w:sz="4" w:space="0" w:color="000000"/>
              <w:bottom w:val="single" w:sz="4" w:space="0" w:color="000000"/>
              <w:right w:val="single" w:sz="4" w:space="0" w:color="000000"/>
            </w:tcBorders>
          </w:tcPr>
          <w:p w14:paraId="3BDA9B71" w14:textId="77777777" w:rsidR="004E421C" w:rsidRDefault="004E421C">
            <w:pPr>
              <w:pStyle w:val="TableParagraph"/>
              <w:spacing w:before="0"/>
              <w:jc w:val="left"/>
              <w:rPr>
                <w:lang w:val="en-US"/>
              </w:rPr>
            </w:pPr>
          </w:p>
        </w:tc>
      </w:tr>
      <w:tr w:rsidR="004E421C" w14:paraId="3A43DC6C" w14:textId="77777777" w:rsidTr="004E421C">
        <w:trPr>
          <w:trHeight w:val="2332"/>
        </w:trPr>
        <w:tc>
          <w:tcPr>
            <w:tcW w:w="1692" w:type="dxa"/>
            <w:tcBorders>
              <w:top w:val="single" w:sz="4" w:space="0" w:color="000000"/>
              <w:left w:val="single" w:sz="4" w:space="0" w:color="000000"/>
              <w:bottom w:val="single" w:sz="4" w:space="0" w:color="000000"/>
              <w:right w:val="single" w:sz="4" w:space="0" w:color="000000"/>
            </w:tcBorders>
            <w:hideMark/>
          </w:tcPr>
          <w:p w14:paraId="652B80E2" w14:textId="77777777" w:rsidR="004E421C" w:rsidRDefault="004E421C">
            <w:pPr>
              <w:pStyle w:val="TableParagraph"/>
              <w:spacing w:before="0"/>
              <w:jc w:val="left"/>
              <w:rPr>
                <w:lang w:val="en-US"/>
              </w:rPr>
            </w:pPr>
            <w:r>
              <w:rPr>
                <w:spacing w:val="-4"/>
                <w:lang w:val="en-US"/>
              </w:rPr>
              <w:t>Mave-tarm-</w:t>
            </w:r>
            <w:r>
              <w:rPr>
                <w:spacing w:val="-2"/>
                <w:lang w:val="en-US"/>
              </w:rPr>
              <w:t>kanalen</w:t>
            </w:r>
          </w:p>
        </w:tc>
        <w:tc>
          <w:tcPr>
            <w:tcW w:w="1985" w:type="dxa"/>
            <w:tcBorders>
              <w:top w:val="single" w:sz="4" w:space="0" w:color="000000"/>
              <w:left w:val="single" w:sz="4" w:space="0" w:color="000000"/>
              <w:bottom w:val="single" w:sz="4" w:space="0" w:color="000000"/>
              <w:right w:val="single" w:sz="4" w:space="0" w:color="000000"/>
            </w:tcBorders>
            <w:hideMark/>
          </w:tcPr>
          <w:p w14:paraId="50FC45E0" w14:textId="77777777" w:rsidR="004E421C" w:rsidRPr="004E421C" w:rsidRDefault="004E421C">
            <w:pPr>
              <w:pStyle w:val="TableParagraph"/>
              <w:spacing w:before="0"/>
              <w:rPr>
                <w:spacing w:val="-2"/>
              </w:rPr>
            </w:pPr>
            <w:r w:rsidRPr="004E421C">
              <w:rPr>
                <w:spacing w:val="-2"/>
              </w:rPr>
              <w:t>Abdominal</w:t>
            </w:r>
            <w:r w:rsidRPr="004E421C">
              <w:rPr>
                <w:spacing w:val="-12"/>
              </w:rPr>
              <w:t xml:space="preserve"> </w:t>
            </w:r>
            <w:r w:rsidRPr="004E421C">
              <w:rPr>
                <w:spacing w:val="-2"/>
              </w:rPr>
              <w:t>distension</w:t>
            </w:r>
          </w:p>
          <w:p w14:paraId="7911922A" w14:textId="77777777" w:rsidR="004E421C" w:rsidRPr="004E421C" w:rsidRDefault="004E421C">
            <w:pPr>
              <w:pStyle w:val="TableParagraph"/>
              <w:spacing w:before="0"/>
              <w:rPr>
                <w:spacing w:val="-2"/>
              </w:rPr>
            </w:pPr>
            <w:r w:rsidRPr="004E421C">
              <w:rPr>
                <w:spacing w:val="-2"/>
              </w:rPr>
              <w:t>Abdominalsmerter</w:t>
            </w:r>
          </w:p>
          <w:p w14:paraId="322155C3" w14:textId="77777777" w:rsidR="004E421C" w:rsidRPr="004E421C" w:rsidRDefault="004E421C">
            <w:pPr>
              <w:pStyle w:val="TableParagraph"/>
              <w:spacing w:before="0"/>
            </w:pPr>
            <w:r w:rsidRPr="004E421C">
              <w:rPr>
                <w:spacing w:val="-2"/>
              </w:rPr>
              <w:t>Kvalme</w:t>
            </w:r>
          </w:p>
          <w:p w14:paraId="43E3E119" w14:textId="77777777" w:rsidR="004E421C" w:rsidRPr="004E421C" w:rsidRDefault="004E421C">
            <w:pPr>
              <w:pStyle w:val="TableParagraph"/>
              <w:spacing w:before="0" w:line="252" w:lineRule="exact"/>
            </w:pPr>
            <w:r w:rsidRPr="004E421C">
              <w:rPr>
                <w:spacing w:val="-2"/>
              </w:rPr>
              <w:t>Opkastning</w:t>
            </w:r>
          </w:p>
        </w:tc>
        <w:tc>
          <w:tcPr>
            <w:tcW w:w="1702" w:type="dxa"/>
            <w:tcBorders>
              <w:top w:val="single" w:sz="4" w:space="0" w:color="000000"/>
              <w:left w:val="single" w:sz="4" w:space="0" w:color="000000"/>
              <w:bottom w:val="single" w:sz="4" w:space="0" w:color="000000"/>
              <w:right w:val="single" w:sz="4" w:space="0" w:color="000000"/>
            </w:tcBorders>
            <w:hideMark/>
          </w:tcPr>
          <w:p w14:paraId="183F4BF5" w14:textId="77777777" w:rsidR="004E421C" w:rsidRPr="004E421C" w:rsidRDefault="004E421C">
            <w:pPr>
              <w:pStyle w:val="TableParagraph"/>
              <w:spacing w:before="0"/>
            </w:pPr>
            <w:r w:rsidRPr="004E421C">
              <w:t>Kolorektal</w:t>
            </w:r>
            <w:r w:rsidRPr="004E421C">
              <w:rPr>
                <w:spacing w:val="-14"/>
              </w:rPr>
              <w:t xml:space="preserve"> </w:t>
            </w:r>
            <w:r w:rsidRPr="004E421C">
              <w:t>polyp</w:t>
            </w:r>
          </w:p>
          <w:p w14:paraId="4F51C19B" w14:textId="77777777" w:rsidR="004E421C" w:rsidRPr="004E421C" w:rsidRDefault="004E421C">
            <w:pPr>
              <w:pStyle w:val="TableParagraph"/>
              <w:spacing w:before="0"/>
              <w:rPr>
                <w:spacing w:val="-2"/>
              </w:rPr>
            </w:pPr>
            <w:r w:rsidRPr="004E421C">
              <w:rPr>
                <w:spacing w:val="-2"/>
              </w:rPr>
              <w:t>Kolonstenose</w:t>
            </w:r>
          </w:p>
          <w:p w14:paraId="0E7D3BB7" w14:textId="77777777" w:rsidR="004E421C" w:rsidRPr="004E421C" w:rsidRDefault="004E421C">
            <w:pPr>
              <w:pStyle w:val="TableParagraph"/>
              <w:spacing w:before="0"/>
              <w:rPr>
                <w:spacing w:val="-2"/>
              </w:rPr>
            </w:pPr>
            <w:r w:rsidRPr="004E421C">
              <w:rPr>
                <w:spacing w:val="-2"/>
              </w:rPr>
              <w:t>Flatulens</w:t>
            </w:r>
          </w:p>
          <w:p w14:paraId="75689E3D" w14:textId="77777777" w:rsidR="004E421C" w:rsidRPr="004E421C" w:rsidRDefault="004E421C">
            <w:pPr>
              <w:pStyle w:val="TableParagraph"/>
              <w:spacing w:before="0"/>
              <w:rPr>
                <w:spacing w:val="-2"/>
              </w:rPr>
            </w:pPr>
            <w:r w:rsidRPr="004E421C">
              <w:rPr>
                <w:spacing w:val="-2"/>
              </w:rPr>
              <w:t>Tarmobstruktion</w:t>
            </w:r>
          </w:p>
          <w:p w14:paraId="498B844B" w14:textId="77777777" w:rsidR="004E421C" w:rsidRPr="004E421C" w:rsidRDefault="004E421C">
            <w:pPr>
              <w:pStyle w:val="TableParagraph"/>
              <w:spacing w:before="0"/>
              <w:rPr>
                <w:spacing w:val="-2"/>
              </w:rPr>
            </w:pPr>
            <w:r w:rsidRPr="004E421C">
              <w:t>Stenose</w:t>
            </w:r>
            <w:r w:rsidRPr="004E421C">
              <w:rPr>
                <w:spacing w:val="-12"/>
              </w:rPr>
              <w:t xml:space="preserve"> </w:t>
            </w:r>
            <w:r w:rsidRPr="004E421C">
              <w:t>af</w:t>
            </w:r>
            <w:r w:rsidRPr="004E421C">
              <w:rPr>
                <w:spacing w:val="-12"/>
              </w:rPr>
              <w:t xml:space="preserve"> </w:t>
            </w:r>
            <w:r w:rsidRPr="004E421C">
              <w:t xml:space="preserve">ductus </w:t>
            </w:r>
            <w:r w:rsidRPr="004E421C">
              <w:rPr>
                <w:spacing w:val="-2"/>
              </w:rPr>
              <w:t>pancreaticus</w:t>
            </w:r>
          </w:p>
          <w:p w14:paraId="085F0E16" w14:textId="77777777" w:rsidR="004E421C" w:rsidRDefault="004E421C">
            <w:pPr>
              <w:pStyle w:val="TableParagraph"/>
              <w:spacing w:before="0"/>
              <w:rPr>
                <w:spacing w:val="-2"/>
                <w:lang w:val="en-US"/>
              </w:rPr>
            </w:pPr>
            <w:r>
              <w:rPr>
                <w:spacing w:val="-2"/>
                <w:lang w:val="en-US"/>
              </w:rPr>
              <w:t>Pancreatitis</w:t>
            </w:r>
            <w:r>
              <w:rPr>
                <w:spacing w:val="-2"/>
                <w:vertAlign w:val="superscript"/>
                <w:lang w:val="en-US"/>
              </w:rPr>
              <w:t>†</w:t>
            </w:r>
          </w:p>
          <w:p w14:paraId="41AC177E" w14:textId="77777777" w:rsidR="004E421C" w:rsidRDefault="004E421C">
            <w:pPr>
              <w:pStyle w:val="TableParagraph"/>
              <w:spacing w:before="0"/>
              <w:rPr>
                <w:lang w:val="en-US"/>
              </w:rPr>
            </w:pPr>
            <w:r>
              <w:rPr>
                <w:lang w:val="en-US"/>
              </w:rPr>
              <w:t xml:space="preserve">Stenose af </w:t>
            </w:r>
            <w:r>
              <w:rPr>
                <w:spacing w:val="-2"/>
                <w:lang w:val="en-US"/>
              </w:rPr>
              <w:t>tyndtarmen</w:t>
            </w:r>
          </w:p>
        </w:tc>
        <w:tc>
          <w:tcPr>
            <w:tcW w:w="2410" w:type="dxa"/>
            <w:tcBorders>
              <w:top w:val="single" w:sz="4" w:space="0" w:color="000000"/>
              <w:left w:val="single" w:sz="4" w:space="0" w:color="000000"/>
              <w:bottom w:val="single" w:sz="4" w:space="0" w:color="000000"/>
              <w:right w:val="single" w:sz="4" w:space="0" w:color="000000"/>
            </w:tcBorders>
            <w:hideMark/>
          </w:tcPr>
          <w:p w14:paraId="020E0AC7" w14:textId="77777777" w:rsidR="004E421C" w:rsidRDefault="004E421C">
            <w:pPr>
              <w:pStyle w:val="TableParagraph"/>
              <w:spacing w:before="0"/>
              <w:rPr>
                <w:lang w:val="en-US"/>
              </w:rPr>
            </w:pPr>
            <w:r>
              <w:rPr>
                <w:lang w:val="en-US"/>
              </w:rPr>
              <w:t>Polyp</w:t>
            </w:r>
            <w:r>
              <w:rPr>
                <w:spacing w:val="-2"/>
                <w:lang w:val="en-US"/>
              </w:rPr>
              <w:t xml:space="preserve"> </w:t>
            </w:r>
            <w:r>
              <w:rPr>
                <w:lang w:val="en-US"/>
              </w:rPr>
              <w:t>i</w:t>
            </w:r>
            <w:r>
              <w:rPr>
                <w:spacing w:val="1"/>
                <w:lang w:val="en-US"/>
              </w:rPr>
              <w:t xml:space="preserve"> </w:t>
            </w:r>
            <w:r>
              <w:rPr>
                <w:spacing w:val="-2"/>
                <w:lang w:val="en-US"/>
              </w:rPr>
              <w:t>tyndtarmen</w:t>
            </w:r>
            <w:r>
              <w:rPr>
                <w:spacing w:val="-2"/>
                <w:vertAlign w:val="superscript"/>
                <w:lang w:val="en-US"/>
              </w:rPr>
              <w:t>‡</w:t>
            </w:r>
          </w:p>
        </w:tc>
        <w:tc>
          <w:tcPr>
            <w:tcW w:w="1647" w:type="dxa"/>
            <w:tcBorders>
              <w:top w:val="single" w:sz="4" w:space="0" w:color="000000"/>
              <w:left w:val="single" w:sz="4" w:space="0" w:color="000000"/>
              <w:bottom w:val="single" w:sz="4" w:space="0" w:color="000000"/>
              <w:right w:val="single" w:sz="4" w:space="0" w:color="000000"/>
            </w:tcBorders>
            <w:hideMark/>
          </w:tcPr>
          <w:p w14:paraId="6FC02B23" w14:textId="77777777" w:rsidR="004E421C" w:rsidRDefault="004E421C">
            <w:pPr>
              <w:pStyle w:val="TableParagraph"/>
              <w:spacing w:before="0"/>
              <w:rPr>
                <w:i/>
                <w:lang w:val="en-US"/>
              </w:rPr>
            </w:pPr>
            <w:r>
              <w:rPr>
                <w:i/>
                <w:lang w:val="en-US"/>
              </w:rPr>
              <w:t>Gastrisk</w:t>
            </w:r>
            <w:r>
              <w:rPr>
                <w:i/>
                <w:spacing w:val="-14"/>
                <w:lang w:val="en-US"/>
              </w:rPr>
              <w:t xml:space="preserve"> </w:t>
            </w:r>
            <w:r>
              <w:rPr>
                <w:i/>
                <w:spacing w:val="-2"/>
                <w:lang w:val="en-US"/>
              </w:rPr>
              <w:t>polyp</w:t>
            </w:r>
          </w:p>
        </w:tc>
      </w:tr>
      <w:tr w:rsidR="004E421C" w14:paraId="6825D3A3" w14:textId="77777777" w:rsidTr="004E421C">
        <w:trPr>
          <w:trHeight w:val="563"/>
        </w:trPr>
        <w:tc>
          <w:tcPr>
            <w:tcW w:w="1692" w:type="dxa"/>
            <w:tcBorders>
              <w:top w:val="single" w:sz="4" w:space="0" w:color="000000"/>
              <w:left w:val="single" w:sz="4" w:space="0" w:color="000000"/>
              <w:bottom w:val="single" w:sz="4" w:space="0" w:color="000000"/>
              <w:right w:val="single" w:sz="4" w:space="0" w:color="000000"/>
            </w:tcBorders>
            <w:hideMark/>
          </w:tcPr>
          <w:p w14:paraId="586BEBA2" w14:textId="77777777" w:rsidR="004E421C" w:rsidRDefault="004E421C">
            <w:pPr>
              <w:pStyle w:val="TableParagraph"/>
              <w:spacing w:before="0"/>
              <w:jc w:val="left"/>
              <w:rPr>
                <w:lang w:val="en-US"/>
              </w:rPr>
            </w:pPr>
            <w:r>
              <w:rPr>
                <w:lang w:val="en-US"/>
              </w:rPr>
              <w:t xml:space="preserve">Lever og </w:t>
            </w:r>
            <w:r>
              <w:rPr>
                <w:spacing w:val="-4"/>
                <w:lang w:val="en-US"/>
              </w:rPr>
              <w:t>galdeveje</w:t>
            </w:r>
          </w:p>
        </w:tc>
        <w:tc>
          <w:tcPr>
            <w:tcW w:w="1985" w:type="dxa"/>
            <w:tcBorders>
              <w:top w:val="single" w:sz="4" w:space="0" w:color="000000"/>
              <w:left w:val="single" w:sz="4" w:space="0" w:color="000000"/>
              <w:bottom w:val="single" w:sz="4" w:space="0" w:color="000000"/>
              <w:right w:val="single" w:sz="4" w:space="0" w:color="000000"/>
            </w:tcBorders>
          </w:tcPr>
          <w:p w14:paraId="3F3B7BDF" w14:textId="77777777" w:rsidR="004E421C" w:rsidRDefault="004E421C">
            <w:pPr>
              <w:pStyle w:val="TableParagraph"/>
              <w:spacing w:before="0"/>
              <w:jc w:val="left"/>
              <w:rPr>
                <w:lang w:val="en-US"/>
              </w:rPr>
            </w:pPr>
          </w:p>
        </w:tc>
        <w:tc>
          <w:tcPr>
            <w:tcW w:w="1702" w:type="dxa"/>
            <w:tcBorders>
              <w:top w:val="single" w:sz="4" w:space="0" w:color="000000"/>
              <w:left w:val="single" w:sz="4" w:space="0" w:color="000000"/>
              <w:bottom w:val="single" w:sz="4" w:space="0" w:color="000000"/>
              <w:right w:val="single" w:sz="4" w:space="0" w:color="000000"/>
            </w:tcBorders>
            <w:hideMark/>
          </w:tcPr>
          <w:p w14:paraId="680BE191" w14:textId="77777777" w:rsidR="004E421C" w:rsidRDefault="004E421C">
            <w:pPr>
              <w:pStyle w:val="TableParagraph"/>
              <w:spacing w:before="0"/>
              <w:ind w:firstLine="201"/>
              <w:jc w:val="left"/>
              <w:rPr>
                <w:spacing w:val="-2"/>
                <w:lang w:val="en-US"/>
              </w:rPr>
            </w:pPr>
            <w:r>
              <w:rPr>
                <w:spacing w:val="-2"/>
                <w:lang w:val="en-US"/>
              </w:rPr>
              <w:t>Kolecystitis</w:t>
            </w:r>
          </w:p>
          <w:p w14:paraId="2AD9636D" w14:textId="77777777" w:rsidR="004E421C" w:rsidRDefault="004E421C">
            <w:pPr>
              <w:pStyle w:val="TableParagraph"/>
              <w:spacing w:before="0"/>
              <w:ind w:firstLine="201"/>
              <w:jc w:val="left"/>
              <w:rPr>
                <w:lang w:val="en-US"/>
              </w:rPr>
            </w:pPr>
            <w:r>
              <w:rPr>
                <w:spacing w:val="-2"/>
                <w:lang w:val="en-US"/>
              </w:rPr>
              <w:t>Akut</w:t>
            </w:r>
            <w:r>
              <w:rPr>
                <w:spacing w:val="-12"/>
                <w:lang w:val="en-US"/>
              </w:rPr>
              <w:t xml:space="preserve"> </w:t>
            </w:r>
            <w:r>
              <w:rPr>
                <w:spacing w:val="-2"/>
                <w:lang w:val="en-US"/>
              </w:rPr>
              <w:t>kolecystitis</w:t>
            </w:r>
          </w:p>
        </w:tc>
        <w:tc>
          <w:tcPr>
            <w:tcW w:w="2410" w:type="dxa"/>
            <w:tcBorders>
              <w:top w:val="single" w:sz="4" w:space="0" w:color="000000"/>
              <w:left w:val="single" w:sz="4" w:space="0" w:color="000000"/>
              <w:bottom w:val="single" w:sz="4" w:space="0" w:color="000000"/>
              <w:right w:val="single" w:sz="4" w:space="0" w:color="000000"/>
            </w:tcBorders>
          </w:tcPr>
          <w:p w14:paraId="70C807B7" w14:textId="77777777" w:rsidR="004E421C" w:rsidRDefault="004E421C">
            <w:pPr>
              <w:pStyle w:val="TableParagraph"/>
              <w:spacing w:before="0"/>
              <w:jc w:val="left"/>
              <w:rPr>
                <w:lang w:val="en-US"/>
              </w:rPr>
            </w:pPr>
          </w:p>
        </w:tc>
        <w:tc>
          <w:tcPr>
            <w:tcW w:w="1647" w:type="dxa"/>
            <w:tcBorders>
              <w:top w:val="single" w:sz="4" w:space="0" w:color="000000"/>
              <w:left w:val="single" w:sz="4" w:space="0" w:color="000000"/>
              <w:bottom w:val="single" w:sz="4" w:space="0" w:color="000000"/>
              <w:right w:val="single" w:sz="4" w:space="0" w:color="000000"/>
            </w:tcBorders>
          </w:tcPr>
          <w:p w14:paraId="44DCDD62" w14:textId="77777777" w:rsidR="004E421C" w:rsidRDefault="004E421C">
            <w:pPr>
              <w:pStyle w:val="TableParagraph"/>
              <w:spacing w:before="0"/>
              <w:jc w:val="left"/>
              <w:rPr>
                <w:lang w:val="en-US"/>
              </w:rPr>
            </w:pPr>
          </w:p>
        </w:tc>
      </w:tr>
      <w:tr w:rsidR="004E421C" w14:paraId="248167C1" w14:textId="77777777" w:rsidTr="004E421C">
        <w:trPr>
          <w:trHeight w:val="1319"/>
        </w:trPr>
        <w:tc>
          <w:tcPr>
            <w:tcW w:w="1692" w:type="dxa"/>
            <w:tcBorders>
              <w:top w:val="single" w:sz="4" w:space="0" w:color="000000"/>
              <w:left w:val="single" w:sz="4" w:space="0" w:color="000000"/>
              <w:bottom w:val="single" w:sz="4" w:space="0" w:color="000000"/>
              <w:right w:val="single" w:sz="4" w:space="0" w:color="000000"/>
            </w:tcBorders>
            <w:hideMark/>
          </w:tcPr>
          <w:p w14:paraId="0E3508A8" w14:textId="77777777" w:rsidR="004E421C" w:rsidRPr="004E421C" w:rsidRDefault="004E421C">
            <w:pPr>
              <w:pStyle w:val="TableParagraph"/>
              <w:spacing w:before="0"/>
              <w:jc w:val="left"/>
            </w:pPr>
            <w:r w:rsidRPr="004E421C">
              <w:rPr>
                <w:spacing w:val="-2"/>
              </w:rPr>
              <w:t xml:space="preserve">Almene </w:t>
            </w:r>
            <w:r w:rsidRPr="004E421C">
              <w:t>symptomer</w:t>
            </w:r>
            <w:r w:rsidRPr="004E421C">
              <w:rPr>
                <w:spacing w:val="-8"/>
              </w:rPr>
              <w:t xml:space="preserve"> </w:t>
            </w:r>
            <w:r w:rsidRPr="004E421C">
              <w:t xml:space="preserve">og reaktioner på </w:t>
            </w:r>
            <w:r w:rsidRPr="004E421C">
              <w:rPr>
                <w:spacing w:val="-4"/>
              </w:rPr>
              <w:t>administrations-</w:t>
            </w:r>
            <w:r w:rsidRPr="004E421C">
              <w:rPr>
                <w:spacing w:val="-2"/>
              </w:rPr>
              <w:t>stedet</w:t>
            </w:r>
          </w:p>
        </w:tc>
        <w:tc>
          <w:tcPr>
            <w:tcW w:w="1985" w:type="dxa"/>
            <w:tcBorders>
              <w:top w:val="single" w:sz="4" w:space="0" w:color="000000"/>
              <w:left w:val="single" w:sz="4" w:space="0" w:color="000000"/>
              <w:bottom w:val="single" w:sz="4" w:space="0" w:color="000000"/>
              <w:right w:val="single" w:sz="4" w:space="0" w:color="000000"/>
            </w:tcBorders>
            <w:hideMark/>
          </w:tcPr>
          <w:p w14:paraId="2399D2D9" w14:textId="77777777" w:rsidR="004E421C" w:rsidRDefault="004E421C">
            <w:pPr>
              <w:pStyle w:val="TableParagraph"/>
              <w:spacing w:before="0"/>
              <w:ind w:firstLine="180"/>
              <w:jc w:val="left"/>
              <w:rPr>
                <w:lang w:val="en-US"/>
              </w:rPr>
            </w:pPr>
            <w:r>
              <w:rPr>
                <w:lang w:val="en-US"/>
              </w:rPr>
              <w:t xml:space="preserve">Reaktion på </w:t>
            </w:r>
            <w:r>
              <w:rPr>
                <w:spacing w:val="-4"/>
                <w:lang w:val="en-US"/>
              </w:rPr>
              <w:t>injektionsstedet</w:t>
            </w:r>
            <w:r>
              <w:rPr>
                <w:spacing w:val="-4"/>
                <w:vertAlign w:val="superscript"/>
                <w:lang w:val="en-US"/>
              </w:rPr>
              <w:t>§</w:t>
            </w:r>
          </w:p>
        </w:tc>
        <w:tc>
          <w:tcPr>
            <w:tcW w:w="1702" w:type="dxa"/>
            <w:tcBorders>
              <w:top w:val="single" w:sz="4" w:space="0" w:color="000000"/>
              <w:left w:val="single" w:sz="4" w:space="0" w:color="000000"/>
              <w:bottom w:val="single" w:sz="4" w:space="0" w:color="000000"/>
              <w:right w:val="single" w:sz="4" w:space="0" w:color="000000"/>
            </w:tcBorders>
            <w:hideMark/>
          </w:tcPr>
          <w:p w14:paraId="5F3AA30D" w14:textId="77777777" w:rsidR="004E421C" w:rsidRDefault="004E421C">
            <w:pPr>
              <w:pStyle w:val="TableParagraph"/>
              <w:spacing w:before="0"/>
              <w:rPr>
                <w:lang w:val="en-US"/>
              </w:rPr>
            </w:pPr>
            <w:r>
              <w:rPr>
                <w:lang w:val="en-US"/>
              </w:rPr>
              <w:t>Perifere</w:t>
            </w:r>
            <w:r>
              <w:rPr>
                <w:spacing w:val="-12"/>
                <w:lang w:val="en-US"/>
              </w:rPr>
              <w:t xml:space="preserve"> </w:t>
            </w:r>
            <w:r>
              <w:rPr>
                <w:spacing w:val="-2"/>
                <w:lang w:val="en-US"/>
              </w:rPr>
              <w:t>ødemer</w:t>
            </w:r>
          </w:p>
        </w:tc>
        <w:tc>
          <w:tcPr>
            <w:tcW w:w="2410" w:type="dxa"/>
            <w:tcBorders>
              <w:top w:val="single" w:sz="4" w:space="0" w:color="000000"/>
              <w:left w:val="single" w:sz="4" w:space="0" w:color="000000"/>
              <w:bottom w:val="single" w:sz="4" w:space="0" w:color="000000"/>
              <w:right w:val="single" w:sz="4" w:space="0" w:color="000000"/>
            </w:tcBorders>
          </w:tcPr>
          <w:p w14:paraId="678E09DB" w14:textId="77777777" w:rsidR="004E421C" w:rsidRDefault="004E421C">
            <w:pPr>
              <w:pStyle w:val="TableParagraph"/>
              <w:spacing w:before="0"/>
              <w:jc w:val="left"/>
              <w:rPr>
                <w:lang w:val="en-US"/>
              </w:rPr>
            </w:pPr>
          </w:p>
        </w:tc>
        <w:tc>
          <w:tcPr>
            <w:tcW w:w="1647" w:type="dxa"/>
            <w:tcBorders>
              <w:top w:val="single" w:sz="4" w:space="0" w:color="000000"/>
              <w:left w:val="single" w:sz="4" w:space="0" w:color="000000"/>
              <w:bottom w:val="single" w:sz="4" w:space="0" w:color="000000"/>
              <w:right w:val="single" w:sz="4" w:space="0" w:color="000000"/>
            </w:tcBorders>
            <w:hideMark/>
          </w:tcPr>
          <w:p w14:paraId="4F1CF21F" w14:textId="77777777" w:rsidR="004E421C" w:rsidRDefault="004E421C">
            <w:pPr>
              <w:pStyle w:val="TableParagraph"/>
              <w:spacing w:before="0"/>
              <w:rPr>
                <w:i/>
                <w:lang w:val="en-US"/>
              </w:rPr>
            </w:pPr>
            <w:r>
              <w:rPr>
                <w:i/>
                <w:spacing w:val="-2"/>
                <w:lang w:val="en-US"/>
              </w:rPr>
              <w:t>Væskeretention</w:t>
            </w:r>
          </w:p>
        </w:tc>
      </w:tr>
      <w:tr w:rsidR="004E421C" w14:paraId="0CE7E902" w14:textId="77777777" w:rsidTr="004E421C">
        <w:trPr>
          <w:trHeight w:val="1067"/>
        </w:trPr>
        <w:tc>
          <w:tcPr>
            <w:tcW w:w="1692" w:type="dxa"/>
            <w:tcBorders>
              <w:top w:val="single" w:sz="4" w:space="0" w:color="000000"/>
              <w:left w:val="single" w:sz="4" w:space="0" w:color="000000"/>
              <w:bottom w:val="single" w:sz="4" w:space="0" w:color="000000"/>
              <w:right w:val="single" w:sz="4" w:space="0" w:color="000000"/>
            </w:tcBorders>
            <w:hideMark/>
          </w:tcPr>
          <w:p w14:paraId="13761E73" w14:textId="77777777" w:rsidR="004E421C" w:rsidRPr="004E421C" w:rsidRDefault="004E421C">
            <w:pPr>
              <w:pStyle w:val="TableParagraph"/>
              <w:spacing w:before="0"/>
              <w:jc w:val="left"/>
            </w:pPr>
            <w:r w:rsidRPr="004E421C">
              <w:rPr>
                <w:spacing w:val="-2"/>
              </w:rPr>
              <w:t xml:space="preserve">Traumer, </w:t>
            </w:r>
            <w:r w:rsidRPr="004E421C">
              <w:t>forgiftninger</w:t>
            </w:r>
            <w:r w:rsidRPr="004E421C">
              <w:rPr>
                <w:spacing w:val="-14"/>
              </w:rPr>
              <w:t xml:space="preserve"> </w:t>
            </w:r>
            <w:r w:rsidRPr="004E421C">
              <w:t xml:space="preserve">og </w:t>
            </w:r>
            <w:r w:rsidRPr="004E421C">
              <w:rPr>
                <w:spacing w:val="-2"/>
              </w:rPr>
              <w:t>behandlings-komplikationer</w:t>
            </w:r>
          </w:p>
        </w:tc>
        <w:tc>
          <w:tcPr>
            <w:tcW w:w="1985" w:type="dxa"/>
            <w:tcBorders>
              <w:top w:val="single" w:sz="4" w:space="0" w:color="000000"/>
              <w:left w:val="single" w:sz="4" w:space="0" w:color="000000"/>
              <w:bottom w:val="single" w:sz="4" w:space="0" w:color="000000"/>
              <w:right w:val="single" w:sz="4" w:space="0" w:color="000000"/>
            </w:tcBorders>
            <w:hideMark/>
          </w:tcPr>
          <w:p w14:paraId="357AD242" w14:textId="77777777" w:rsidR="004E421C" w:rsidRDefault="004E421C">
            <w:pPr>
              <w:pStyle w:val="TableParagraph"/>
              <w:spacing w:before="0"/>
              <w:ind w:firstLine="14"/>
              <w:jc w:val="left"/>
              <w:rPr>
                <w:lang w:val="en-US"/>
              </w:rPr>
            </w:pPr>
            <w:r>
              <w:rPr>
                <w:lang w:val="en-US"/>
              </w:rPr>
              <w:t>Komplikationer</w:t>
            </w:r>
            <w:r>
              <w:rPr>
                <w:spacing w:val="-14"/>
                <w:lang w:val="en-US"/>
              </w:rPr>
              <w:t xml:space="preserve"> </w:t>
            </w:r>
            <w:r>
              <w:rPr>
                <w:lang w:val="en-US"/>
              </w:rPr>
              <w:t xml:space="preserve">med </w:t>
            </w:r>
            <w:r>
              <w:rPr>
                <w:spacing w:val="-2"/>
                <w:lang w:val="en-US"/>
              </w:rPr>
              <w:t>gastrointestinal</w:t>
            </w:r>
            <w:r>
              <w:rPr>
                <w:spacing w:val="-11"/>
                <w:lang w:val="en-US"/>
              </w:rPr>
              <w:t xml:space="preserve"> </w:t>
            </w:r>
            <w:r>
              <w:rPr>
                <w:spacing w:val="-4"/>
                <w:lang w:val="en-US"/>
              </w:rPr>
              <w:t>stomi</w:t>
            </w:r>
          </w:p>
        </w:tc>
        <w:tc>
          <w:tcPr>
            <w:tcW w:w="1702" w:type="dxa"/>
            <w:tcBorders>
              <w:top w:val="single" w:sz="4" w:space="0" w:color="000000"/>
              <w:left w:val="single" w:sz="4" w:space="0" w:color="000000"/>
              <w:bottom w:val="single" w:sz="4" w:space="0" w:color="000000"/>
              <w:right w:val="single" w:sz="4" w:space="0" w:color="000000"/>
            </w:tcBorders>
          </w:tcPr>
          <w:p w14:paraId="43E0F575" w14:textId="77777777" w:rsidR="004E421C" w:rsidRDefault="004E421C">
            <w:pPr>
              <w:pStyle w:val="TableParagraph"/>
              <w:spacing w:before="0"/>
              <w:jc w:val="left"/>
              <w:rPr>
                <w:lang w:val="en-US"/>
              </w:rPr>
            </w:pPr>
          </w:p>
        </w:tc>
        <w:tc>
          <w:tcPr>
            <w:tcW w:w="2410" w:type="dxa"/>
            <w:tcBorders>
              <w:top w:val="single" w:sz="4" w:space="0" w:color="000000"/>
              <w:left w:val="single" w:sz="4" w:space="0" w:color="000000"/>
              <w:bottom w:val="single" w:sz="4" w:space="0" w:color="000000"/>
              <w:right w:val="single" w:sz="4" w:space="0" w:color="000000"/>
            </w:tcBorders>
          </w:tcPr>
          <w:p w14:paraId="28356E49" w14:textId="77777777" w:rsidR="004E421C" w:rsidRDefault="004E421C">
            <w:pPr>
              <w:pStyle w:val="TableParagraph"/>
              <w:spacing w:before="0"/>
              <w:jc w:val="left"/>
              <w:rPr>
                <w:lang w:val="en-US"/>
              </w:rPr>
            </w:pPr>
          </w:p>
        </w:tc>
        <w:tc>
          <w:tcPr>
            <w:tcW w:w="1647" w:type="dxa"/>
            <w:tcBorders>
              <w:top w:val="single" w:sz="4" w:space="0" w:color="000000"/>
              <w:left w:val="single" w:sz="4" w:space="0" w:color="000000"/>
              <w:bottom w:val="single" w:sz="4" w:space="0" w:color="000000"/>
              <w:right w:val="single" w:sz="4" w:space="0" w:color="000000"/>
            </w:tcBorders>
          </w:tcPr>
          <w:p w14:paraId="24D4A5C3" w14:textId="77777777" w:rsidR="004E421C" w:rsidRDefault="004E421C">
            <w:pPr>
              <w:pStyle w:val="TableParagraph"/>
              <w:spacing w:before="0"/>
              <w:jc w:val="left"/>
              <w:rPr>
                <w:lang w:val="en-US"/>
              </w:rPr>
            </w:pPr>
          </w:p>
        </w:tc>
      </w:tr>
      <w:tr w:rsidR="004E421C" w14:paraId="32EA1A79" w14:textId="77777777" w:rsidTr="004E421C">
        <w:trPr>
          <w:trHeight w:val="275"/>
        </w:trPr>
        <w:tc>
          <w:tcPr>
            <w:tcW w:w="9436" w:type="dxa"/>
            <w:gridSpan w:val="5"/>
            <w:tcBorders>
              <w:top w:val="single" w:sz="4" w:space="0" w:color="000000"/>
              <w:left w:val="single" w:sz="4" w:space="0" w:color="000000"/>
              <w:bottom w:val="single" w:sz="4" w:space="0" w:color="000000"/>
              <w:right w:val="single" w:sz="4" w:space="0" w:color="000000"/>
            </w:tcBorders>
            <w:hideMark/>
          </w:tcPr>
          <w:p w14:paraId="37E2A9EC" w14:textId="7623562B" w:rsidR="004E421C" w:rsidRPr="004E421C" w:rsidRDefault="004E421C">
            <w:pPr>
              <w:pStyle w:val="Brdtekst"/>
              <w:ind w:left="284" w:hanging="284"/>
              <w:rPr>
                <w:sz w:val="20"/>
                <w:szCs w:val="20"/>
              </w:rPr>
            </w:pPr>
            <w:r w:rsidRPr="004E421C">
              <w:rPr>
                <w:sz w:val="20"/>
                <w:szCs w:val="20"/>
              </w:rPr>
              <w:t>*</w:t>
            </w:r>
            <w:r>
              <w:rPr>
                <w:sz w:val="20"/>
                <w:szCs w:val="20"/>
              </w:rPr>
              <w:tab/>
            </w:r>
            <w:r w:rsidRPr="004E421C">
              <w:rPr>
                <w:sz w:val="20"/>
                <w:szCs w:val="20"/>
              </w:rPr>
              <w:t>Omfatter</w:t>
            </w:r>
            <w:r w:rsidRPr="004E421C">
              <w:rPr>
                <w:spacing w:val="-8"/>
                <w:sz w:val="20"/>
                <w:szCs w:val="20"/>
              </w:rPr>
              <w:t xml:space="preserve"> </w:t>
            </w:r>
            <w:r w:rsidRPr="004E421C">
              <w:rPr>
                <w:sz w:val="20"/>
                <w:szCs w:val="20"/>
              </w:rPr>
              <w:t>følgende</w:t>
            </w:r>
            <w:r w:rsidRPr="004E421C">
              <w:rPr>
                <w:spacing w:val="-11"/>
                <w:sz w:val="20"/>
                <w:szCs w:val="20"/>
              </w:rPr>
              <w:t xml:space="preserve"> </w:t>
            </w:r>
            <w:r w:rsidRPr="004E421C">
              <w:rPr>
                <w:sz w:val="20"/>
                <w:szCs w:val="20"/>
              </w:rPr>
              <w:t>foretrukne</w:t>
            </w:r>
            <w:r w:rsidRPr="004E421C">
              <w:rPr>
                <w:spacing w:val="-10"/>
                <w:sz w:val="20"/>
                <w:szCs w:val="20"/>
              </w:rPr>
              <w:t xml:space="preserve"> </w:t>
            </w:r>
            <w:r w:rsidRPr="004E421C">
              <w:rPr>
                <w:sz w:val="20"/>
                <w:szCs w:val="20"/>
              </w:rPr>
              <w:t>termer:</w:t>
            </w:r>
            <w:r w:rsidRPr="004E421C">
              <w:rPr>
                <w:spacing w:val="-8"/>
                <w:sz w:val="20"/>
                <w:szCs w:val="20"/>
              </w:rPr>
              <w:t xml:space="preserve"> </w:t>
            </w:r>
            <w:r w:rsidRPr="004E421C">
              <w:rPr>
                <w:sz w:val="20"/>
                <w:szCs w:val="20"/>
              </w:rPr>
              <w:t>Nasofaryngitis,</w:t>
            </w:r>
            <w:r w:rsidRPr="004E421C">
              <w:rPr>
                <w:spacing w:val="-3"/>
                <w:sz w:val="20"/>
                <w:szCs w:val="20"/>
              </w:rPr>
              <w:t xml:space="preserve"> </w:t>
            </w:r>
            <w:r w:rsidRPr="004E421C">
              <w:rPr>
                <w:sz w:val="20"/>
                <w:szCs w:val="20"/>
              </w:rPr>
              <w:t>influenza,</w:t>
            </w:r>
            <w:r w:rsidRPr="004E421C">
              <w:rPr>
                <w:spacing w:val="-9"/>
                <w:sz w:val="20"/>
                <w:szCs w:val="20"/>
              </w:rPr>
              <w:t xml:space="preserve"> </w:t>
            </w:r>
            <w:r w:rsidRPr="004E421C">
              <w:rPr>
                <w:sz w:val="20"/>
                <w:szCs w:val="20"/>
              </w:rPr>
              <w:t>infektion</w:t>
            </w:r>
            <w:r w:rsidRPr="004E421C">
              <w:rPr>
                <w:spacing w:val="-8"/>
                <w:sz w:val="20"/>
                <w:szCs w:val="20"/>
              </w:rPr>
              <w:t xml:space="preserve"> </w:t>
            </w:r>
            <w:r w:rsidRPr="004E421C">
              <w:rPr>
                <w:sz w:val="20"/>
                <w:szCs w:val="20"/>
              </w:rPr>
              <w:t>i</w:t>
            </w:r>
            <w:r w:rsidRPr="004E421C">
              <w:rPr>
                <w:spacing w:val="-8"/>
                <w:sz w:val="20"/>
                <w:szCs w:val="20"/>
              </w:rPr>
              <w:t xml:space="preserve"> </w:t>
            </w:r>
            <w:r w:rsidRPr="004E421C">
              <w:rPr>
                <w:sz w:val="20"/>
                <w:szCs w:val="20"/>
              </w:rPr>
              <w:t>øvre</w:t>
            </w:r>
            <w:r w:rsidRPr="004E421C">
              <w:rPr>
                <w:spacing w:val="-11"/>
                <w:sz w:val="20"/>
                <w:szCs w:val="20"/>
              </w:rPr>
              <w:t xml:space="preserve"> </w:t>
            </w:r>
            <w:r w:rsidRPr="004E421C">
              <w:rPr>
                <w:sz w:val="20"/>
                <w:szCs w:val="20"/>
              </w:rPr>
              <w:t>luftveje</w:t>
            </w:r>
            <w:r w:rsidRPr="004E421C">
              <w:rPr>
                <w:spacing w:val="-11"/>
                <w:sz w:val="20"/>
                <w:szCs w:val="20"/>
              </w:rPr>
              <w:t xml:space="preserve"> </w:t>
            </w:r>
            <w:r w:rsidRPr="004E421C">
              <w:rPr>
                <w:sz w:val="20"/>
                <w:szCs w:val="20"/>
              </w:rPr>
              <w:t>og infektion i nedre luftveje</w:t>
            </w:r>
          </w:p>
          <w:p w14:paraId="0D9DA56B" w14:textId="77777777" w:rsidR="004E421C" w:rsidRPr="004E421C" w:rsidRDefault="004E421C">
            <w:pPr>
              <w:pStyle w:val="Brdtekst"/>
              <w:spacing w:line="252" w:lineRule="exact"/>
              <w:ind w:left="0"/>
              <w:rPr>
                <w:sz w:val="20"/>
                <w:szCs w:val="20"/>
              </w:rPr>
            </w:pPr>
            <w:r w:rsidRPr="004E421C">
              <w:rPr>
                <w:sz w:val="20"/>
                <w:szCs w:val="20"/>
              </w:rPr>
              <w:t>†</w:t>
            </w:r>
            <w:r w:rsidRPr="004E421C">
              <w:rPr>
                <w:spacing w:val="75"/>
                <w:w w:val="150"/>
                <w:sz w:val="20"/>
                <w:szCs w:val="20"/>
              </w:rPr>
              <w:t xml:space="preserve"> </w:t>
            </w:r>
            <w:r w:rsidRPr="004E421C">
              <w:rPr>
                <w:sz w:val="20"/>
                <w:szCs w:val="20"/>
              </w:rPr>
              <w:t>Omfatter</w:t>
            </w:r>
            <w:r w:rsidRPr="004E421C">
              <w:rPr>
                <w:spacing w:val="-11"/>
                <w:sz w:val="20"/>
                <w:szCs w:val="20"/>
              </w:rPr>
              <w:t xml:space="preserve"> </w:t>
            </w:r>
            <w:r w:rsidRPr="004E421C">
              <w:rPr>
                <w:sz w:val="20"/>
                <w:szCs w:val="20"/>
              </w:rPr>
              <w:t>følgende</w:t>
            </w:r>
            <w:r w:rsidRPr="004E421C">
              <w:rPr>
                <w:spacing w:val="-14"/>
                <w:sz w:val="20"/>
                <w:szCs w:val="20"/>
              </w:rPr>
              <w:t xml:space="preserve"> </w:t>
            </w:r>
            <w:r w:rsidRPr="004E421C">
              <w:rPr>
                <w:sz w:val="20"/>
                <w:szCs w:val="20"/>
              </w:rPr>
              <w:t>foretrukne</w:t>
            </w:r>
            <w:r w:rsidRPr="004E421C">
              <w:rPr>
                <w:spacing w:val="-11"/>
                <w:sz w:val="20"/>
                <w:szCs w:val="20"/>
              </w:rPr>
              <w:t xml:space="preserve"> </w:t>
            </w:r>
            <w:r w:rsidRPr="004E421C">
              <w:rPr>
                <w:sz w:val="20"/>
                <w:szCs w:val="20"/>
              </w:rPr>
              <w:t>termer:</w:t>
            </w:r>
            <w:r w:rsidRPr="004E421C">
              <w:rPr>
                <w:spacing w:val="-13"/>
                <w:sz w:val="20"/>
                <w:szCs w:val="20"/>
              </w:rPr>
              <w:t xml:space="preserve"> </w:t>
            </w:r>
            <w:r w:rsidRPr="004E421C">
              <w:rPr>
                <w:sz w:val="20"/>
                <w:szCs w:val="20"/>
              </w:rPr>
              <w:t>Pancreatitis,</w:t>
            </w:r>
            <w:r w:rsidRPr="004E421C">
              <w:rPr>
                <w:spacing w:val="-8"/>
                <w:sz w:val="20"/>
                <w:szCs w:val="20"/>
              </w:rPr>
              <w:t xml:space="preserve"> </w:t>
            </w:r>
            <w:r w:rsidRPr="004E421C">
              <w:rPr>
                <w:i/>
                <w:sz w:val="20"/>
                <w:szCs w:val="20"/>
              </w:rPr>
              <w:t>akut</w:t>
            </w:r>
            <w:r w:rsidRPr="004E421C">
              <w:rPr>
                <w:i/>
                <w:spacing w:val="-12"/>
                <w:sz w:val="20"/>
                <w:szCs w:val="20"/>
              </w:rPr>
              <w:t xml:space="preserve"> </w:t>
            </w:r>
            <w:r w:rsidRPr="004E421C">
              <w:rPr>
                <w:i/>
                <w:sz w:val="20"/>
                <w:szCs w:val="20"/>
              </w:rPr>
              <w:t>pancreatitis</w:t>
            </w:r>
            <w:r w:rsidRPr="004E421C">
              <w:rPr>
                <w:i/>
                <w:spacing w:val="-10"/>
                <w:sz w:val="20"/>
                <w:szCs w:val="20"/>
              </w:rPr>
              <w:t xml:space="preserve"> </w:t>
            </w:r>
            <w:r w:rsidRPr="004E421C">
              <w:rPr>
                <w:sz w:val="20"/>
                <w:szCs w:val="20"/>
              </w:rPr>
              <w:t>og</w:t>
            </w:r>
            <w:r w:rsidRPr="004E421C">
              <w:rPr>
                <w:spacing w:val="-13"/>
                <w:sz w:val="20"/>
                <w:szCs w:val="20"/>
              </w:rPr>
              <w:t xml:space="preserve"> </w:t>
            </w:r>
            <w:r w:rsidRPr="004E421C">
              <w:rPr>
                <w:sz w:val="20"/>
                <w:szCs w:val="20"/>
              </w:rPr>
              <w:t>kronisk</w:t>
            </w:r>
            <w:r w:rsidRPr="004E421C">
              <w:rPr>
                <w:spacing w:val="-12"/>
                <w:sz w:val="20"/>
                <w:szCs w:val="20"/>
              </w:rPr>
              <w:t xml:space="preserve"> </w:t>
            </w:r>
            <w:r w:rsidRPr="004E421C">
              <w:rPr>
                <w:spacing w:val="-2"/>
                <w:sz w:val="20"/>
                <w:szCs w:val="20"/>
              </w:rPr>
              <w:t>pancreatitis.</w:t>
            </w:r>
          </w:p>
          <w:p w14:paraId="73DFB5D0" w14:textId="77777777" w:rsidR="004E421C" w:rsidRPr="004E421C" w:rsidRDefault="004E421C">
            <w:pPr>
              <w:pStyle w:val="Brdtekst"/>
              <w:spacing w:line="252" w:lineRule="exact"/>
              <w:ind w:left="0"/>
              <w:rPr>
                <w:sz w:val="20"/>
                <w:szCs w:val="20"/>
              </w:rPr>
            </w:pPr>
            <w:r w:rsidRPr="004E421C">
              <w:rPr>
                <w:sz w:val="20"/>
                <w:szCs w:val="20"/>
              </w:rPr>
              <w:t>‡</w:t>
            </w:r>
            <w:r w:rsidRPr="004E421C">
              <w:rPr>
                <w:spacing w:val="26"/>
                <w:sz w:val="20"/>
                <w:szCs w:val="20"/>
              </w:rPr>
              <w:t xml:space="preserve">  </w:t>
            </w:r>
            <w:r w:rsidRPr="004E421C">
              <w:rPr>
                <w:sz w:val="20"/>
                <w:szCs w:val="20"/>
              </w:rPr>
              <w:t>Lokalisering</w:t>
            </w:r>
            <w:r w:rsidRPr="004E421C">
              <w:rPr>
                <w:spacing w:val="-9"/>
                <w:sz w:val="20"/>
                <w:szCs w:val="20"/>
              </w:rPr>
              <w:t xml:space="preserve"> </w:t>
            </w:r>
            <w:r w:rsidRPr="004E421C">
              <w:rPr>
                <w:sz w:val="20"/>
                <w:szCs w:val="20"/>
              </w:rPr>
              <w:t>omfatter</w:t>
            </w:r>
            <w:r w:rsidRPr="004E421C">
              <w:rPr>
                <w:spacing w:val="-7"/>
                <w:sz w:val="20"/>
                <w:szCs w:val="20"/>
              </w:rPr>
              <w:t xml:space="preserve"> </w:t>
            </w:r>
            <w:r w:rsidRPr="004E421C">
              <w:rPr>
                <w:sz w:val="20"/>
                <w:szCs w:val="20"/>
              </w:rPr>
              <w:t>duodenum,</w:t>
            </w:r>
            <w:r w:rsidRPr="004E421C">
              <w:rPr>
                <w:spacing w:val="-13"/>
                <w:sz w:val="20"/>
                <w:szCs w:val="20"/>
              </w:rPr>
              <w:t xml:space="preserve"> </w:t>
            </w:r>
            <w:r w:rsidRPr="004E421C">
              <w:rPr>
                <w:sz w:val="20"/>
                <w:szCs w:val="20"/>
              </w:rPr>
              <w:t>jejunum</w:t>
            </w:r>
            <w:r w:rsidRPr="004E421C">
              <w:rPr>
                <w:spacing w:val="-8"/>
                <w:sz w:val="20"/>
                <w:szCs w:val="20"/>
              </w:rPr>
              <w:t xml:space="preserve"> </w:t>
            </w:r>
            <w:r w:rsidRPr="004E421C">
              <w:rPr>
                <w:sz w:val="20"/>
                <w:szCs w:val="20"/>
              </w:rPr>
              <w:t>og</w:t>
            </w:r>
            <w:r w:rsidRPr="004E421C">
              <w:rPr>
                <w:spacing w:val="-11"/>
                <w:sz w:val="20"/>
                <w:szCs w:val="20"/>
              </w:rPr>
              <w:t xml:space="preserve"> </w:t>
            </w:r>
            <w:r w:rsidRPr="004E421C">
              <w:rPr>
                <w:spacing w:val="-2"/>
                <w:sz w:val="20"/>
                <w:szCs w:val="20"/>
              </w:rPr>
              <w:t>ileum.</w:t>
            </w:r>
          </w:p>
          <w:p w14:paraId="684ED263" w14:textId="77777777" w:rsidR="004E421C" w:rsidRPr="004E421C" w:rsidRDefault="004E421C">
            <w:pPr>
              <w:pStyle w:val="Brdtekst"/>
              <w:tabs>
                <w:tab w:val="left" w:pos="284"/>
              </w:tabs>
              <w:ind w:left="284" w:hanging="284"/>
            </w:pPr>
            <w:r w:rsidRPr="004E421C">
              <w:rPr>
                <w:spacing w:val="-10"/>
                <w:sz w:val="20"/>
                <w:szCs w:val="20"/>
                <w:vertAlign w:val="superscript"/>
              </w:rPr>
              <w:t>§</w:t>
            </w:r>
            <w:r w:rsidRPr="004E421C">
              <w:rPr>
                <w:sz w:val="20"/>
                <w:szCs w:val="20"/>
              </w:rPr>
              <w:tab/>
              <w:t>Omfatter</w:t>
            </w:r>
            <w:r w:rsidRPr="004E421C">
              <w:rPr>
                <w:spacing w:val="-11"/>
                <w:sz w:val="20"/>
                <w:szCs w:val="20"/>
              </w:rPr>
              <w:t xml:space="preserve"> </w:t>
            </w:r>
            <w:r w:rsidRPr="004E421C">
              <w:rPr>
                <w:sz w:val="20"/>
                <w:szCs w:val="20"/>
              </w:rPr>
              <w:t>følgende</w:t>
            </w:r>
            <w:r w:rsidRPr="004E421C">
              <w:rPr>
                <w:spacing w:val="-12"/>
                <w:sz w:val="20"/>
                <w:szCs w:val="20"/>
              </w:rPr>
              <w:t xml:space="preserve"> </w:t>
            </w:r>
            <w:r w:rsidRPr="004E421C">
              <w:rPr>
                <w:sz w:val="20"/>
                <w:szCs w:val="20"/>
              </w:rPr>
              <w:t>foretrukne</w:t>
            </w:r>
            <w:r w:rsidRPr="004E421C">
              <w:rPr>
                <w:spacing w:val="-6"/>
                <w:sz w:val="20"/>
                <w:szCs w:val="20"/>
              </w:rPr>
              <w:t xml:space="preserve"> </w:t>
            </w:r>
            <w:r w:rsidRPr="004E421C">
              <w:rPr>
                <w:sz w:val="20"/>
                <w:szCs w:val="20"/>
              </w:rPr>
              <w:t>termer:</w:t>
            </w:r>
            <w:r w:rsidRPr="004E421C">
              <w:rPr>
                <w:spacing w:val="-9"/>
                <w:sz w:val="20"/>
                <w:szCs w:val="20"/>
              </w:rPr>
              <w:t xml:space="preserve"> </w:t>
            </w:r>
            <w:r w:rsidRPr="004E421C">
              <w:rPr>
                <w:sz w:val="20"/>
                <w:szCs w:val="20"/>
              </w:rPr>
              <w:t>Hæmatom,</w:t>
            </w:r>
            <w:r w:rsidRPr="004E421C">
              <w:rPr>
                <w:spacing w:val="-12"/>
                <w:sz w:val="20"/>
                <w:szCs w:val="20"/>
              </w:rPr>
              <w:t xml:space="preserve"> </w:t>
            </w:r>
            <w:r w:rsidRPr="004E421C">
              <w:rPr>
                <w:sz w:val="20"/>
                <w:szCs w:val="20"/>
              </w:rPr>
              <w:t>erytem,</w:t>
            </w:r>
            <w:r w:rsidRPr="004E421C">
              <w:rPr>
                <w:spacing w:val="-10"/>
                <w:sz w:val="20"/>
                <w:szCs w:val="20"/>
              </w:rPr>
              <w:t xml:space="preserve"> </w:t>
            </w:r>
            <w:r w:rsidRPr="004E421C">
              <w:rPr>
                <w:sz w:val="20"/>
                <w:szCs w:val="20"/>
              </w:rPr>
              <w:t>smerte,</w:t>
            </w:r>
            <w:r w:rsidRPr="004E421C">
              <w:rPr>
                <w:spacing w:val="-12"/>
                <w:sz w:val="20"/>
                <w:szCs w:val="20"/>
              </w:rPr>
              <w:t xml:space="preserve"> </w:t>
            </w:r>
            <w:r w:rsidRPr="004E421C">
              <w:rPr>
                <w:sz w:val="20"/>
                <w:szCs w:val="20"/>
              </w:rPr>
              <w:t>hævelse</w:t>
            </w:r>
            <w:r w:rsidRPr="004E421C">
              <w:rPr>
                <w:spacing w:val="-12"/>
                <w:sz w:val="20"/>
                <w:szCs w:val="20"/>
              </w:rPr>
              <w:t xml:space="preserve"> </w:t>
            </w:r>
            <w:r w:rsidRPr="004E421C">
              <w:rPr>
                <w:sz w:val="20"/>
                <w:szCs w:val="20"/>
              </w:rPr>
              <w:t>og</w:t>
            </w:r>
            <w:r w:rsidRPr="004E421C">
              <w:rPr>
                <w:spacing w:val="-10"/>
                <w:sz w:val="20"/>
                <w:szCs w:val="20"/>
              </w:rPr>
              <w:t xml:space="preserve"> </w:t>
            </w:r>
            <w:r w:rsidRPr="004E421C">
              <w:rPr>
                <w:sz w:val="20"/>
                <w:szCs w:val="20"/>
              </w:rPr>
              <w:t>blødning</w:t>
            </w:r>
            <w:r w:rsidRPr="004E421C">
              <w:rPr>
                <w:spacing w:val="-12"/>
                <w:sz w:val="20"/>
                <w:szCs w:val="20"/>
              </w:rPr>
              <w:t xml:space="preserve"> </w:t>
            </w:r>
            <w:r w:rsidRPr="004E421C">
              <w:rPr>
                <w:sz w:val="20"/>
                <w:szCs w:val="20"/>
              </w:rPr>
              <w:t xml:space="preserve">ved </w:t>
            </w:r>
            <w:r w:rsidRPr="004E421C">
              <w:rPr>
                <w:spacing w:val="-2"/>
                <w:sz w:val="20"/>
                <w:szCs w:val="20"/>
              </w:rPr>
              <w:t>injektionsstedet.</w:t>
            </w:r>
          </w:p>
        </w:tc>
      </w:tr>
    </w:tbl>
    <w:p w14:paraId="5A066D1F" w14:textId="77777777" w:rsidR="004E421C" w:rsidRPr="004E421C" w:rsidRDefault="004E421C" w:rsidP="004E421C">
      <w:pPr>
        <w:pStyle w:val="Brdtekst"/>
        <w:ind w:left="851"/>
        <w:rPr>
          <w:sz w:val="24"/>
          <w:szCs w:val="24"/>
          <w:u w:val="single"/>
        </w:rPr>
      </w:pPr>
    </w:p>
    <w:p w14:paraId="43951DF2" w14:textId="77777777" w:rsidR="004E421C" w:rsidRPr="004E421C" w:rsidRDefault="004E421C" w:rsidP="004E421C">
      <w:pPr>
        <w:pStyle w:val="Brdtekst"/>
        <w:ind w:left="851"/>
        <w:rPr>
          <w:sz w:val="24"/>
          <w:szCs w:val="24"/>
        </w:rPr>
      </w:pPr>
      <w:r w:rsidRPr="004E421C">
        <w:rPr>
          <w:sz w:val="24"/>
          <w:szCs w:val="24"/>
          <w:u w:val="single"/>
        </w:rPr>
        <w:t>Beskrivelse</w:t>
      </w:r>
      <w:r w:rsidRPr="004E421C">
        <w:rPr>
          <w:spacing w:val="-11"/>
          <w:sz w:val="24"/>
          <w:szCs w:val="24"/>
          <w:u w:val="single"/>
        </w:rPr>
        <w:t xml:space="preserve"> </w:t>
      </w:r>
      <w:r w:rsidRPr="004E421C">
        <w:rPr>
          <w:sz w:val="24"/>
          <w:szCs w:val="24"/>
          <w:u w:val="single"/>
        </w:rPr>
        <w:t>af</w:t>
      </w:r>
      <w:r w:rsidRPr="004E421C">
        <w:rPr>
          <w:spacing w:val="-6"/>
          <w:sz w:val="24"/>
          <w:szCs w:val="24"/>
          <w:u w:val="single"/>
        </w:rPr>
        <w:t xml:space="preserve"> </w:t>
      </w:r>
      <w:r w:rsidRPr="004E421C">
        <w:rPr>
          <w:sz w:val="24"/>
          <w:szCs w:val="24"/>
          <w:u w:val="single"/>
        </w:rPr>
        <w:t>udvalgte</w:t>
      </w:r>
      <w:r w:rsidRPr="004E421C">
        <w:rPr>
          <w:spacing w:val="-8"/>
          <w:sz w:val="24"/>
          <w:szCs w:val="24"/>
          <w:u w:val="single"/>
        </w:rPr>
        <w:t xml:space="preserve"> </w:t>
      </w:r>
      <w:r w:rsidRPr="004E421C">
        <w:rPr>
          <w:spacing w:val="-2"/>
          <w:sz w:val="24"/>
          <w:szCs w:val="24"/>
          <w:u w:val="single"/>
        </w:rPr>
        <w:t>bivirkninger</w:t>
      </w:r>
    </w:p>
    <w:p w14:paraId="4AAAA508" w14:textId="77777777" w:rsidR="004E421C" w:rsidRPr="004E421C" w:rsidRDefault="004E421C" w:rsidP="004E421C">
      <w:pPr>
        <w:pStyle w:val="Brdtekst"/>
        <w:ind w:left="851"/>
        <w:rPr>
          <w:sz w:val="24"/>
          <w:szCs w:val="24"/>
        </w:rPr>
      </w:pPr>
    </w:p>
    <w:p w14:paraId="0F89EEC3" w14:textId="77777777" w:rsidR="004E421C" w:rsidRPr="004E421C" w:rsidRDefault="004E421C" w:rsidP="004E421C">
      <w:pPr>
        <w:ind w:left="851"/>
        <w:rPr>
          <w:i/>
          <w:sz w:val="24"/>
          <w:szCs w:val="24"/>
        </w:rPr>
      </w:pPr>
      <w:r w:rsidRPr="004E421C">
        <w:rPr>
          <w:i/>
          <w:spacing w:val="-2"/>
          <w:sz w:val="24"/>
          <w:szCs w:val="24"/>
        </w:rPr>
        <w:t>Immunogenicitet</w:t>
      </w:r>
    </w:p>
    <w:p w14:paraId="399973ED" w14:textId="77777777" w:rsidR="004E421C" w:rsidRPr="004E421C" w:rsidRDefault="004E421C" w:rsidP="004E421C">
      <w:pPr>
        <w:pStyle w:val="Brdtekst"/>
        <w:ind w:left="851"/>
        <w:rPr>
          <w:sz w:val="24"/>
          <w:szCs w:val="24"/>
        </w:rPr>
      </w:pPr>
      <w:r w:rsidRPr="004E421C">
        <w:rPr>
          <w:sz w:val="24"/>
          <w:szCs w:val="24"/>
        </w:rPr>
        <w:t>Administration af teduglutid kan potentielt udløse udvikling af antistoffer, hvilket er i overensstemmelse med de potentielt immunogene egenskaber ved lægemidler, der indeholder peptider. Baseret på integrerede data fra to studier hos voksne</w:t>
      </w:r>
      <w:r w:rsidRPr="004E421C">
        <w:rPr>
          <w:spacing w:val="-1"/>
          <w:sz w:val="24"/>
          <w:szCs w:val="24"/>
        </w:rPr>
        <w:t xml:space="preserve"> </w:t>
      </w:r>
      <w:r w:rsidRPr="004E421C">
        <w:rPr>
          <w:sz w:val="24"/>
          <w:szCs w:val="24"/>
        </w:rPr>
        <w:t>med korttarmssyndrom (et 6</w:t>
      </w:r>
      <w:r w:rsidRPr="004E421C">
        <w:rPr>
          <w:sz w:val="24"/>
          <w:szCs w:val="24"/>
        </w:rPr>
        <w:noBreakHyphen/>
        <w:t>måneders randomiseret, placebokontrolleret studie efterfulgt af et 24</w:t>
      </w:r>
      <w:r w:rsidRPr="004E421C">
        <w:rPr>
          <w:sz w:val="24"/>
          <w:szCs w:val="24"/>
        </w:rPr>
        <w:noBreakHyphen/>
        <w:t>måneders åbent studie), der fik subkutan administration af 0,05 mg/kg teduglutid en gang dagligt, havde 3 % (2/60) dannet antistoffer mod teduglutid ved måned 3, 17 % (13/77) ved måned 6, 24 % (16/67) ved måned 12, 33 % (11/33) ved måned</w:t>
      </w:r>
      <w:r w:rsidRPr="004E421C">
        <w:rPr>
          <w:spacing w:val="-1"/>
          <w:sz w:val="24"/>
          <w:szCs w:val="24"/>
        </w:rPr>
        <w:t> </w:t>
      </w:r>
      <w:r w:rsidRPr="004E421C">
        <w:rPr>
          <w:sz w:val="24"/>
          <w:szCs w:val="24"/>
        </w:rPr>
        <w:t>24</w:t>
      </w:r>
      <w:r w:rsidRPr="004E421C">
        <w:rPr>
          <w:spacing w:val="-1"/>
          <w:sz w:val="24"/>
          <w:szCs w:val="24"/>
        </w:rPr>
        <w:t xml:space="preserve"> </w:t>
      </w:r>
      <w:r w:rsidRPr="004E421C">
        <w:rPr>
          <w:sz w:val="24"/>
          <w:szCs w:val="24"/>
        </w:rPr>
        <w:t>og</w:t>
      </w:r>
      <w:r w:rsidRPr="004E421C">
        <w:rPr>
          <w:spacing w:val="-4"/>
          <w:sz w:val="24"/>
          <w:szCs w:val="24"/>
        </w:rPr>
        <w:t xml:space="preserve"> </w:t>
      </w:r>
      <w:r w:rsidRPr="004E421C">
        <w:rPr>
          <w:sz w:val="24"/>
          <w:szCs w:val="24"/>
        </w:rPr>
        <w:t>48</w:t>
      </w:r>
      <w:r w:rsidRPr="004E421C">
        <w:rPr>
          <w:spacing w:val="-4"/>
          <w:sz w:val="24"/>
          <w:szCs w:val="24"/>
        </w:rPr>
        <w:t> </w:t>
      </w:r>
      <w:r w:rsidRPr="004E421C">
        <w:rPr>
          <w:sz w:val="24"/>
          <w:szCs w:val="24"/>
        </w:rPr>
        <w:t>%</w:t>
      </w:r>
      <w:r w:rsidRPr="004E421C">
        <w:rPr>
          <w:spacing w:val="-1"/>
          <w:sz w:val="24"/>
          <w:szCs w:val="24"/>
        </w:rPr>
        <w:t> </w:t>
      </w:r>
      <w:r w:rsidRPr="004E421C">
        <w:rPr>
          <w:sz w:val="24"/>
          <w:szCs w:val="24"/>
        </w:rPr>
        <w:t>(14/29)</w:t>
      </w:r>
      <w:r w:rsidRPr="004E421C">
        <w:rPr>
          <w:spacing w:val="-3"/>
          <w:sz w:val="24"/>
          <w:szCs w:val="24"/>
        </w:rPr>
        <w:t xml:space="preserve"> </w:t>
      </w:r>
      <w:r w:rsidRPr="004E421C">
        <w:rPr>
          <w:sz w:val="24"/>
          <w:szCs w:val="24"/>
        </w:rPr>
        <w:t>ved</w:t>
      </w:r>
      <w:r w:rsidRPr="004E421C">
        <w:rPr>
          <w:spacing w:val="-1"/>
          <w:sz w:val="24"/>
          <w:szCs w:val="24"/>
        </w:rPr>
        <w:t xml:space="preserve"> </w:t>
      </w:r>
      <w:r w:rsidRPr="004E421C">
        <w:rPr>
          <w:sz w:val="24"/>
          <w:szCs w:val="24"/>
        </w:rPr>
        <w:t>måned</w:t>
      </w:r>
      <w:r w:rsidRPr="004E421C">
        <w:rPr>
          <w:spacing w:val="-2"/>
          <w:sz w:val="24"/>
          <w:szCs w:val="24"/>
        </w:rPr>
        <w:t> </w:t>
      </w:r>
      <w:r w:rsidRPr="004E421C">
        <w:rPr>
          <w:sz w:val="24"/>
          <w:szCs w:val="24"/>
        </w:rPr>
        <w:t>30.</w:t>
      </w:r>
      <w:r w:rsidRPr="004E421C">
        <w:rPr>
          <w:spacing w:val="-1"/>
          <w:sz w:val="24"/>
          <w:szCs w:val="24"/>
        </w:rPr>
        <w:t xml:space="preserve"> </w:t>
      </w:r>
      <w:r w:rsidRPr="004E421C">
        <w:rPr>
          <w:sz w:val="24"/>
          <w:szCs w:val="24"/>
        </w:rPr>
        <w:t>Dannelse</w:t>
      </w:r>
      <w:r w:rsidRPr="004E421C">
        <w:rPr>
          <w:spacing w:val="-2"/>
          <w:sz w:val="24"/>
          <w:szCs w:val="24"/>
        </w:rPr>
        <w:t xml:space="preserve"> </w:t>
      </w:r>
      <w:r w:rsidRPr="004E421C">
        <w:rPr>
          <w:sz w:val="24"/>
          <w:szCs w:val="24"/>
        </w:rPr>
        <w:t>af</w:t>
      </w:r>
      <w:r w:rsidRPr="004E421C">
        <w:rPr>
          <w:spacing w:val="-5"/>
          <w:sz w:val="24"/>
          <w:szCs w:val="24"/>
        </w:rPr>
        <w:t xml:space="preserve"> </w:t>
      </w:r>
      <w:r w:rsidRPr="004E421C">
        <w:rPr>
          <w:sz w:val="24"/>
          <w:szCs w:val="24"/>
        </w:rPr>
        <w:t>antistoffer</w:t>
      </w:r>
      <w:r w:rsidRPr="004E421C">
        <w:rPr>
          <w:spacing w:val="-4"/>
          <w:sz w:val="24"/>
          <w:szCs w:val="24"/>
        </w:rPr>
        <w:t xml:space="preserve"> </w:t>
      </w:r>
      <w:r w:rsidRPr="004E421C">
        <w:rPr>
          <w:sz w:val="24"/>
          <w:szCs w:val="24"/>
        </w:rPr>
        <w:t>er</w:t>
      </w:r>
      <w:r w:rsidRPr="004E421C">
        <w:rPr>
          <w:spacing w:val="-5"/>
          <w:sz w:val="24"/>
          <w:szCs w:val="24"/>
        </w:rPr>
        <w:t xml:space="preserve"> </w:t>
      </w:r>
      <w:r w:rsidRPr="004E421C">
        <w:rPr>
          <w:sz w:val="24"/>
          <w:szCs w:val="24"/>
        </w:rPr>
        <w:t>ikke</w:t>
      </w:r>
      <w:r w:rsidRPr="004E421C">
        <w:rPr>
          <w:spacing w:val="-5"/>
          <w:sz w:val="24"/>
          <w:szCs w:val="24"/>
        </w:rPr>
        <w:t xml:space="preserve"> </w:t>
      </w:r>
      <w:r w:rsidRPr="004E421C">
        <w:rPr>
          <w:sz w:val="24"/>
          <w:szCs w:val="24"/>
        </w:rPr>
        <w:t>blevet</w:t>
      </w:r>
      <w:r w:rsidRPr="004E421C">
        <w:rPr>
          <w:spacing w:val="-1"/>
          <w:sz w:val="24"/>
          <w:szCs w:val="24"/>
        </w:rPr>
        <w:t xml:space="preserve"> </w:t>
      </w:r>
      <w:r w:rsidRPr="004E421C">
        <w:rPr>
          <w:sz w:val="24"/>
          <w:szCs w:val="24"/>
        </w:rPr>
        <w:t>forbundet</w:t>
      </w:r>
      <w:r w:rsidRPr="004E421C">
        <w:rPr>
          <w:spacing w:val="-5"/>
          <w:sz w:val="24"/>
          <w:szCs w:val="24"/>
        </w:rPr>
        <w:t xml:space="preserve"> </w:t>
      </w:r>
      <w:r w:rsidRPr="004E421C">
        <w:rPr>
          <w:sz w:val="24"/>
          <w:szCs w:val="24"/>
        </w:rPr>
        <w:t>med</w:t>
      </w:r>
      <w:r w:rsidRPr="004E421C">
        <w:rPr>
          <w:spacing w:val="-1"/>
          <w:sz w:val="24"/>
          <w:szCs w:val="24"/>
        </w:rPr>
        <w:t xml:space="preserve"> </w:t>
      </w:r>
      <w:r w:rsidRPr="004E421C">
        <w:rPr>
          <w:sz w:val="24"/>
          <w:szCs w:val="24"/>
        </w:rPr>
        <w:t>klinisk relevante sikkerhedsfund, nedsat virkning eller ændret farmakokinetik af teduglutid.</w:t>
      </w:r>
    </w:p>
    <w:p w14:paraId="4F0110B5" w14:textId="77777777" w:rsidR="004E421C" w:rsidRPr="004E421C" w:rsidRDefault="004E421C" w:rsidP="004E421C">
      <w:pPr>
        <w:pStyle w:val="Brdtekst"/>
        <w:ind w:left="851"/>
        <w:rPr>
          <w:sz w:val="24"/>
          <w:szCs w:val="24"/>
        </w:rPr>
      </w:pPr>
    </w:p>
    <w:p w14:paraId="76EABFC6" w14:textId="77777777" w:rsidR="004E421C" w:rsidRPr="004E421C" w:rsidRDefault="004E421C" w:rsidP="004E421C">
      <w:pPr>
        <w:ind w:left="851"/>
        <w:rPr>
          <w:i/>
          <w:sz w:val="24"/>
          <w:szCs w:val="24"/>
        </w:rPr>
      </w:pPr>
      <w:r w:rsidRPr="004E421C">
        <w:rPr>
          <w:i/>
          <w:sz w:val="24"/>
          <w:szCs w:val="24"/>
        </w:rPr>
        <w:t>Reaktioner</w:t>
      </w:r>
      <w:r w:rsidRPr="004E421C">
        <w:rPr>
          <w:i/>
          <w:spacing w:val="-5"/>
          <w:sz w:val="24"/>
          <w:szCs w:val="24"/>
        </w:rPr>
        <w:t xml:space="preserve"> </w:t>
      </w:r>
      <w:r w:rsidRPr="004E421C">
        <w:rPr>
          <w:i/>
          <w:sz w:val="24"/>
          <w:szCs w:val="24"/>
        </w:rPr>
        <w:t>på</w:t>
      </w:r>
      <w:r w:rsidRPr="004E421C">
        <w:rPr>
          <w:i/>
          <w:spacing w:val="-6"/>
          <w:sz w:val="24"/>
          <w:szCs w:val="24"/>
        </w:rPr>
        <w:t xml:space="preserve"> </w:t>
      </w:r>
      <w:r w:rsidRPr="004E421C">
        <w:rPr>
          <w:i/>
          <w:spacing w:val="-2"/>
          <w:sz w:val="24"/>
          <w:szCs w:val="24"/>
        </w:rPr>
        <w:t>injektionsstedet</w:t>
      </w:r>
    </w:p>
    <w:p w14:paraId="26CC0ED6" w14:textId="77777777" w:rsidR="004E421C" w:rsidRPr="004E421C" w:rsidRDefault="004E421C" w:rsidP="004E421C">
      <w:pPr>
        <w:pStyle w:val="Brdtekst"/>
        <w:ind w:left="851"/>
        <w:rPr>
          <w:sz w:val="24"/>
          <w:szCs w:val="24"/>
        </w:rPr>
      </w:pPr>
      <w:r w:rsidRPr="004E421C">
        <w:rPr>
          <w:sz w:val="24"/>
          <w:szCs w:val="24"/>
        </w:rPr>
        <w:t>Reaktioner på injektionsstedet forekom hos 26 % af patienter med korttarmssyndrom behandlet med teduglutid</w:t>
      </w:r>
      <w:r w:rsidRPr="004E421C">
        <w:rPr>
          <w:spacing w:val="-7"/>
          <w:sz w:val="24"/>
          <w:szCs w:val="24"/>
        </w:rPr>
        <w:t xml:space="preserve"> </w:t>
      </w:r>
      <w:r w:rsidRPr="004E421C">
        <w:rPr>
          <w:sz w:val="24"/>
          <w:szCs w:val="24"/>
        </w:rPr>
        <w:t>sammenlignet</w:t>
      </w:r>
      <w:r w:rsidRPr="004E421C">
        <w:rPr>
          <w:spacing w:val="-6"/>
          <w:sz w:val="24"/>
          <w:szCs w:val="24"/>
        </w:rPr>
        <w:t xml:space="preserve"> </w:t>
      </w:r>
      <w:r w:rsidRPr="004E421C">
        <w:rPr>
          <w:sz w:val="24"/>
          <w:szCs w:val="24"/>
        </w:rPr>
        <w:t>med</w:t>
      </w:r>
      <w:r w:rsidRPr="004E421C">
        <w:rPr>
          <w:spacing w:val="-5"/>
          <w:sz w:val="24"/>
          <w:szCs w:val="24"/>
        </w:rPr>
        <w:t xml:space="preserve"> </w:t>
      </w:r>
      <w:r w:rsidRPr="004E421C">
        <w:rPr>
          <w:sz w:val="24"/>
          <w:szCs w:val="24"/>
        </w:rPr>
        <w:t>5</w:t>
      </w:r>
      <w:r w:rsidRPr="004E421C">
        <w:rPr>
          <w:spacing w:val="-6"/>
          <w:sz w:val="24"/>
          <w:szCs w:val="24"/>
        </w:rPr>
        <w:t> </w:t>
      </w:r>
      <w:r w:rsidRPr="004E421C">
        <w:rPr>
          <w:sz w:val="24"/>
          <w:szCs w:val="24"/>
        </w:rPr>
        <w:t>%</w:t>
      </w:r>
      <w:r w:rsidRPr="004E421C">
        <w:rPr>
          <w:spacing w:val="-7"/>
          <w:sz w:val="24"/>
          <w:szCs w:val="24"/>
        </w:rPr>
        <w:t xml:space="preserve"> </w:t>
      </w:r>
      <w:r w:rsidRPr="004E421C">
        <w:rPr>
          <w:sz w:val="24"/>
          <w:szCs w:val="24"/>
        </w:rPr>
        <w:t>af</w:t>
      </w:r>
      <w:r w:rsidRPr="004E421C">
        <w:rPr>
          <w:spacing w:val="-7"/>
          <w:sz w:val="24"/>
          <w:szCs w:val="24"/>
        </w:rPr>
        <w:t xml:space="preserve"> </w:t>
      </w:r>
      <w:r w:rsidRPr="004E421C">
        <w:rPr>
          <w:sz w:val="24"/>
          <w:szCs w:val="24"/>
        </w:rPr>
        <w:t>patienterne</w:t>
      </w:r>
      <w:r w:rsidRPr="004E421C">
        <w:rPr>
          <w:spacing w:val="-7"/>
          <w:sz w:val="24"/>
          <w:szCs w:val="24"/>
        </w:rPr>
        <w:t xml:space="preserve"> </w:t>
      </w:r>
      <w:r w:rsidRPr="004E421C">
        <w:rPr>
          <w:sz w:val="24"/>
          <w:szCs w:val="24"/>
        </w:rPr>
        <w:t>i</w:t>
      </w:r>
      <w:r w:rsidRPr="004E421C">
        <w:rPr>
          <w:spacing w:val="-7"/>
          <w:sz w:val="24"/>
          <w:szCs w:val="24"/>
        </w:rPr>
        <w:t xml:space="preserve"> </w:t>
      </w:r>
      <w:r w:rsidRPr="004E421C">
        <w:rPr>
          <w:sz w:val="24"/>
          <w:szCs w:val="24"/>
        </w:rPr>
        <w:t>placeboarmen.</w:t>
      </w:r>
      <w:r w:rsidRPr="004E421C">
        <w:rPr>
          <w:spacing w:val="-5"/>
          <w:sz w:val="24"/>
          <w:szCs w:val="24"/>
        </w:rPr>
        <w:t xml:space="preserve"> </w:t>
      </w:r>
      <w:r w:rsidRPr="004E421C">
        <w:rPr>
          <w:sz w:val="24"/>
          <w:szCs w:val="24"/>
        </w:rPr>
        <w:t>Reaktionerne</w:t>
      </w:r>
      <w:r w:rsidRPr="004E421C">
        <w:rPr>
          <w:spacing w:val="-9"/>
          <w:sz w:val="24"/>
          <w:szCs w:val="24"/>
        </w:rPr>
        <w:t xml:space="preserve"> </w:t>
      </w:r>
      <w:r w:rsidRPr="004E421C">
        <w:rPr>
          <w:sz w:val="24"/>
          <w:szCs w:val="24"/>
        </w:rPr>
        <w:t>inkluderede</w:t>
      </w:r>
      <w:r w:rsidRPr="004E421C">
        <w:rPr>
          <w:spacing w:val="-2"/>
          <w:sz w:val="24"/>
          <w:szCs w:val="24"/>
        </w:rPr>
        <w:t xml:space="preserve"> </w:t>
      </w:r>
      <w:r w:rsidRPr="004E421C">
        <w:rPr>
          <w:sz w:val="24"/>
          <w:szCs w:val="24"/>
        </w:rPr>
        <w:t>hæmatom, erytem, smerte, hævelse og blødning på injektionsstedet (se også pkt. 5.3). De fleste af reaktionerne var af moderat sværhedsgrad, og ingen medførte seponering af lægemidlet.</w:t>
      </w:r>
    </w:p>
    <w:p w14:paraId="7D61DD9D" w14:textId="62CDFC02" w:rsidR="004E421C" w:rsidRDefault="004E421C">
      <w:pPr>
        <w:rPr>
          <w:sz w:val="24"/>
          <w:szCs w:val="24"/>
        </w:rPr>
      </w:pPr>
      <w:r>
        <w:rPr>
          <w:sz w:val="24"/>
          <w:szCs w:val="24"/>
        </w:rPr>
        <w:br w:type="page"/>
      </w:r>
    </w:p>
    <w:p w14:paraId="1349C30E" w14:textId="77777777" w:rsidR="004E421C" w:rsidRPr="004E421C" w:rsidRDefault="004E421C" w:rsidP="004E421C">
      <w:pPr>
        <w:pStyle w:val="Brdtekst"/>
        <w:ind w:left="851"/>
        <w:rPr>
          <w:sz w:val="24"/>
          <w:szCs w:val="24"/>
        </w:rPr>
      </w:pPr>
    </w:p>
    <w:p w14:paraId="2E7FC0E1" w14:textId="77777777" w:rsidR="004E421C" w:rsidRPr="004E421C" w:rsidRDefault="004E421C" w:rsidP="004E421C">
      <w:pPr>
        <w:ind w:left="851"/>
        <w:rPr>
          <w:i/>
          <w:sz w:val="24"/>
          <w:szCs w:val="24"/>
        </w:rPr>
      </w:pPr>
      <w:r w:rsidRPr="004E421C">
        <w:rPr>
          <w:i/>
          <w:sz w:val="24"/>
          <w:szCs w:val="24"/>
        </w:rPr>
        <w:t>C-reaktivt</w:t>
      </w:r>
      <w:r w:rsidRPr="004E421C">
        <w:rPr>
          <w:i/>
          <w:spacing w:val="-11"/>
          <w:sz w:val="24"/>
          <w:szCs w:val="24"/>
        </w:rPr>
        <w:t xml:space="preserve"> </w:t>
      </w:r>
      <w:r w:rsidRPr="004E421C">
        <w:rPr>
          <w:i/>
          <w:spacing w:val="-2"/>
          <w:sz w:val="24"/>
          <w:szCs w:val="24"/>
        </w:rPr>
        <w:t>protein</w:t>
      </w:r>
    </w:p>
    <w:p w14:paraId="7617407E" w14:textId="77777777" w:rsidR="004E421C" w:rsidRPr="004E421C" w:rsidRDefault="004E421C" w:rsidP="004E421C">
      <w:pPr>
        <w:ind w:left="851"/>
        <w:rPr>
          <w:sz w:val="24"/>
          <w:szCs w:val="24"/>
        </w:rPr>
      </w:pPr>
      <w:r w:rsidRPr="004E421C">
        <w:rPr>
          <w:sz w:val="24"/>
          <w:szCs w:val="24"/>
        </w:rPr>
        <w:t>Inden</w:t>
      </w:r>
      <w:r w:rsidRPr="004E421C">
        <w:rPr>
          <w:spacing w:val="-2"/>
          <w:sz w:val="24"/>
          <w:szCs w:val="24"/>
        </w:rPr>
        <w:t xml:space="preserve"> </w:t>
      </w:r>
      <w:r w:rsidRPr="004E421C">
        <w:rPr>
          <w:sz w:val="24"/>
          <w:szCs w:val="24"/>
        </w:rPr>
        <w:t>for</w:t>
      </w:r>
      <w:r w:rsidRPr="004E421C">
        <w:rPr>
          <w:spacing w:val="-4"/>
          <w:sz w:val="24"/>
          <w:szCs w:val="24"/>
        </w:rPr>
        <w:t xml:space="preserve"> </w:t>
      </w:r>
      <w:r w:rsidRPr="004E421C">
        <w:rPr>
          <w:sz w:val="24"/>
          <w:szCs w:val="24"/>
        </w:rPr>
        <w:t>de</w:t>
      </w:r>
      <w:r w:rsidRPr="004E421C">
        <w:rPr>
          <w:spacing w:val="-4"/>
          <w:sz w:val="24"/>
          <w:szCs w:val="24"/>
        </w:rPr>
        <w:t xml:space="preserve"> </w:t>
      </w:r>
      <w:r w:rsidRPr="004E421C">
        <w:rPr>
          <w:sz w:val="24"/>
          <w:szCs w:val="24"/>
        </w:rPr>
        <w:t>første</w:t>
      </w:r>
      <w:r w:rsidRPr="004E421C">
        <w:rPr>
          <w:spacing w:val="-4"/>
          <w:sz w:val="24"/>
          <w:szCs w:val="24"/>
        </w:rPr>
        <w:t xml:space="preserve"> </w:t>
      </w:r>
      <w:r w:rsidRPr="004E421C">
        <w:rPr>
          <w:sz w:val="24"/>
          <w:szCs w:val="24"/>
        </w:rPr>
        <w:t>syv</w:t>
      </w:r>
      <w:r w:rsidRPr="004E421C">
        <w:rPr>
          <w:spacing w:val="-2"/>
          <w:sz w:val="24"/>
          <w:szCs w:val="24"/>
        </w:rPr>
        <w:t xml:space="preserve"> </w:t>
      </w:r>
      <w:r w:rsidRPr="004E421C">
        <w:rPr>
          <w:sz w:val="24"/>
          <w:szCs w:val="24"/>
        </w:rPr>
        <w:t>dages</w:t>
      </w:r>
      <w:r w:rsidRPr="004E421C">
        <w:rPr>
          <w:spacing w:val="-2"/>
          <w:sz w:val="24"/>
          <w:szCs w:val="24"/>
        </w:rPr>
        <w:t xml:space="preserve"> </w:t>
      </w:r>
      <w:r w:rsidRPr="004E421C">
        <w:rPr>
          <w:sz w:val="24"/>
          <w:szCs w:val="24"/>
        </w:rPr>
        <w:t>behandling</w:t>
      </w:r>
      <w:r w:rsidRPr="004E421C">
        <w:rPr>
          <w:spacing w:val="-5"/>
          <w:sz w:val="24"/>
          <w:szCs w:val="24"/>
        </w:rPr>
        <w:t xml:space="preserve"> </w:t>
      </w:r>
      <w:r w:rsidRPr="004E421C">
        <w:rPr>
          <w:sz w:val="24"/>
          <w:szCs w:val="24"/>
        </w:rPr>
        <w:t>med</w:t>
      </w:r>
      <w:r w:rsidRPr="004E421C">
        <w:rPr>
          <w:spacing w:val="-2"/>
          <w:sz w:val="24"/>
          <w:szCs w:val="24"/>
        </w:rPr>
        <w:t xml:space="preserve"> </w:t>
      </w:r>
      <w:r w:rsidRPr="004E421C">
        <w:rPr>
          <w:sz w:val="24"/>
          <w:szCs w:val="24"/>
        </w:rPr>
        <w:t>teduglutid</w:t>
      </w:r>
      <w:r w:rsidRPr="004E421C">
        <w:rPr>
          <w:spacing w:val="-2"/>
          <w:sz w:val="24"/>
          <w:szCs w:val="24"/>
        </w:rPr>
        <w:t xml:space="preserve"> </w:t>
      </w:r>
      <w:r w:rsidRPr="004E421C">
        <w:rPr>
          <w:sz w:val="24"/>
          <w:szCs w:val="24"/>
        </w:rPr>
        <w:t>er</w:t>
      </w:r>
      <w:r w:rsidRPr="004E421C">
        <w:rPr>
          <w:spacing w:val="-2"/>
          <w:sz w:val="24"/>
          <w:szCs w:val="24"/>
        </w:rPr>
        <w:t xml:space="preserve"> </w:t>
      </w:r>
      <w:r w:rsidRPr="004E421C">
        <w:rPr>
          <w:sz w:val="24"/>
          <w:szCs w:val="24"/>
        </w:rPr>
        <w:t>der</w:t>
      </w:r>
      <w:r w:rsidRPr="004E421C">
        <w:rPr>
          <w:spacing w:val="-2"/>
          <w:sz w:val="24"/>
          <w:szCs w:val="24"/>
        </w:rPr>
        <w:t xml:space="preserve"> </w:t>
      </w:r>
      <w:r w:rsidRPr="004E421C">
        <w:rPr>
          <w:sz w:val="24"/>
          <w:szCs w:val="24"/>
        </w:rPr>
        <w:t>observeret</w:t>
      </w:r>
      <w:r w:rsidRPr="004E421C">
        <w:rPr>
          <w:spacing w:val="-1"/>
          <w:sz w:val="24"/>
          <w:szCs w:val="24"/>
        </w:rPr>
        <w:t xml:space="preserve"> </w:t>
      </w:r>
      <w:r w:rsidRPr="004E421C">
        <w:rPr>
          <w:sz w:val="24"/>
          <w:szCs w:val="24"/>
        </w:rPr>
        <w:t>beskedne</w:t>
      </w:r>
      <w:r w:rsidRPr="004E421C">
        <w:rPr>
          <w:spacing w:val="-2"/>
          <w:sz w:val="24"/>
          <w:szCs w:val="24"/>
        </w:rPr>
        <w:t xml:space="preserve"> </w:t>
      </w:r>
      <w:r w:rsidRPr="004E421C">
        <w:rPr>
          <w:sz w:val="24"/>
          <w:szCs w:val="24"/>
        </w:rPr>
        <w:t>stigninger</w:t>
      </w:r>
      <w:r w:rsidRPr="004E421C">
        <w:rPr>
          <w:spacing w:val="-4"/>
          <w:sz w:val="24"/>
          <w:szCs w:val="24"/>
        </w:rPr>
        <w:t xml:space="preserve"> </w:t>
      </w:r>
      <w:r w:rsidRPr="004E421C">
        <w:rPr>
          <w:sz w:val="24"/>
          <w:szCs w:val="24"/>
        </w:rPr>
        <w:t>i C</w:t>
      </w:r>
      <w:r w:rsidRPr="004E421C">
        <w:rPr>
          <w:sz w:val="24"/>
          <w:szCs w:val="24"/>
        </w:rPr>
        <w:noBreakHyphen/>
        <w:t>reaktivt protein på ca. 25 mg/l, som faldt kontinuerligt under fortsatte daglige injektioner.</w:t>
      </w:r>
    </w:p>
    <w:p w14:paraId="751209EC" w14:textId="77777777" w:rsidR="004E421C" w:rsidRPr="004E421C" w:rsidRDefault="004E421C" w:rsidP="004E421C">
      <w:pPr>
        <w:pStyle w:val="Brdtekst"/>
        <w:ind w:left="851"/>
        <w:rPr>
          <w:sz w:val="24"/>
          <w:szCs w:val="24"/>
        </w:rPr>
      </w:pPr>
      <w:r w:rsidRPr="004E421C">
        <w:rPr>
          <w:sz w:val="24"/>
          <w:szCs w:val="24"/>
        </w:rPr>
        <w:t>Efter 24 ugers behandling med teduglutid sås der en lille samlet stigning i C</w:t>
      </w:r>
      <w:r w:rsidRPr="004E421C">
        <w:rPr>
          <w:sz w:val="24"/>
          <w:szCs w:val="24"/>
        </w:rPr>
        <w:noBreakHyphen/>
        <w:t>reaktivt protein på gennemsnitligt</w:t>
      </w:r>
      <w:r w:rsidRPr="004E421C">
        <w:rPr>
          <w:spacing w:val="-1"/>
          <w:sz w:val="24"/>
          <w:szCs w:val="24"/>
        </w:rPr>
        <w:t xml:space="preserve"> </w:t>
      </w:r>
      <w:r w:rsidRPr="004E421C">
        <w:rPr>
          <w:sz w:val="24"/>
          <w:szCs w:val="24"/>
        </w:rPr>
        <w:t>ca.</w:t>
      </w:r>
      <w:r w:rsidRPr="004E421C">
        <w:rPr>
          <w:spacing w:val="-2"/>
          <w:sz w:val="24"/>
          <w:szCs w:val="24"/>
        </w:rPr>
        <w:t xml:space="preserve"> </w:t>
      </w:r>
      <w:r w:rsidRPr="004E421C">
        <w:rPr>
          <w:sz w:val="24"/>
          <w:szCs w:val="24"/>
        </w:rPr>
        <w:t>1,5</w:t>
      </w:r>
      <w:r w:rsidRPr="004E421C">
        <w:rPr>
          <w:spacing w:val="-3"/>
          <w:sz w:val="24"/>
          <w:szCs w:val="24"/>
        </w:rPr>
        <w:t> </w:t>
      </w:r>
      <w:r w:rsidRPr="004E421C">
        <w:rPr>
          <w:sz w:val="24"/>
          <w:szCs w:val="24"/>
        </w:rPr>
        <w:t>mg/l</w:t>
      </w:r>
      <w:r w:rsidRPr="004E421C">
        <w:rPr>
          <w:spacing w:val="-4"/>
          <w:sz w:val="24"/>
          <w:szCs w:val="24"/>
        </w:rPr>
        <w:t xml:space="preserve"> </w:t>
      </w:r>
      <w:r w:rsidRPr="004E421C">
        <w:rPr>
          <w:sz w:val="24"/>
          <w:szCs w:val="24"/>
        </w:rPr>
        <w:t>hos</w:t>
      </w:r>
      <w:r w:rsidRPr="004E421C">
        <w:rPr>
          <w:spacing w:val="-2"/>
          <w:sz w:val="24"/>
          <w:szCs w:val="24"/>
        </w:rPr>
        <w:t xml:space="preserve"> </w:t>
      </w:r>
      <w:r w:rsidRPr="004E421C">
        <w:rPr>
          <w:sz w:val="24"/>
          <w:szCs w:val="24"/>
        </w:rPr>
        <w:t>patienterne.</w:t>
      </w:r>
      <w:r w:rsidRPr="004E421C">
        <w:rPr>
          <w:spacing w:val="-2"/>
          <w:sz w:val="24"/>
          <w:szCs w:val="24"/>
        </w:rPr>
        <w:t xml:space="preserve"> </w:t>
      </w:r>
      <w:r w:rsidRPr="004E421C">
        <w:rPr>
          <w:sz w:val="24"/>
          <w:szCs w:val="24"/>
        </w:rPr>
        <w:t>Disse</w:t>
      </w:r>
      <w:r w:rsidRPr="004E421C">
        <w:rPr>
          <w:spacing w:val="-2"/>
          <w:sz w:val="24"/>
          <w:szCs w:val="24"/>
        </w:rPr>
        <w:t xml:space="preserve"> </w:t>
      </w:r>
      <w:r w:rsidRPr="004E421C">
        <w:rPr>
          <w:sz w:val="24"/>
          <w:szCs w:val="24"/>
        </w:rPr>
        <w:t>ændringer</w:t>
      </w:r>
      <w:r w:rsidRPr="004E421C">
        <w:rPr>
          <w:spacing w:val="-1"/>
          <w:sz w:val="24"/>
          <w:szCs w:val="24"/>
        </w:rPr>
        <w:t xml:space="preserve"> </w:t>
      </w:r>
      <w:r w:rsidRPr="004E421C">
        <w:rPr>
          <w:sz w:val="24"/>
          <w:szCs w:val="24"/>
        </w:rPr>
        <w:t>var</w:t>
      </w:r>
      <w:r w:rsidRPr="004E421C">
        <w:rPr>
          <w:spacing w:val="-1"/>
          <w:sz w:val="24"/>
          <w:szCs w:val="24"/>
        </w:rPr>
        <w:t xml:space="preserve"> </w:t>
      </w:r>
      <w:r w:rsidRPr="004E421C">
        <w:rPr>
          <w:sz w:val="24"/>
          <w:szCs w:val="24"/>
        </w:rPr>
        <w:t>hverken</w:t>
      </w:r>
      <w:r w:rsidRPr="004E421C">
        <w:rPr>
          <w:spacing w:val="-4"/>
          <w:sz w:val="24"/>
          <w:szCs w:val="24"/>
        </w:rPr>
        <w:t xml:space="preserve"> </w:t>
      </w:r>
      <w:r w:rsidRPr="004E421C">
        <w:rPr>
          <w:sz w:val="24"/>
          <w:szCs w:val="24"/>
        </w:rPr>
        <w:t>relateret</w:t>
      </w:r>
      <w:r w:rsidRPr="004E421C">
        <w:rPr>
          <w:spacing w:val="-4"/>
          <w:sz w:val="24"/>
          <w:szCs w:val="24"/>
        </w:rPr>
        <w:t xml:space="preserve"> </w:t>
      </w:r>
      <w:r w:rsidRPr="004E421C">
        <w:rPr>
          <w:sz w:val="24"/>
          <w:szCs w:val="24"/>
        </w:rPr>
        <w:t>til</w:t>
      </w:r>
      <w:r w:rsidRPr="004E421C">
        <w:rPr>
          <w:spacing w:val="-1"/>
          <w:sz w:val="24"/>
          <w:szCs w:val="24"/>
        </w:rPr>
        <w:t xml:space="preserve"> </w:t>
      </w:r>
      <w:r w:rsidRPr="004E421C">
        <w:rPr>
          <w:sz w:val="24"/>
          <w:szCs w:val="24"/>
        </w:rPr>
        <w:t>ændringer</w:t>
      </w:r>
      <w:r w:rsidRPr="004E421C">
        <w:rPr>
          <w:spacing w:val="-4"/>
          <w:sz w:val="24"/>
          <w:szCs w:val="24"/>
        </w:rPr>
        <w:t xml:space="preserve"> </w:t>
      </w:r>
      <w:r w:rsidRPr="004E421C">
        <w:rPr>
          <w:sz w:val="24"/>
          <w:szCs w:val="24"/>
        </w:rPr>
        <w:t>i</w:t>
      </w:r>
      <w:r w:rsidRPr="004E421C">
        <w:rPr>
          <w:spacing w:val="-1"/>
          <w:sz w:val="24"/>
          <w:szCs w:val="24"/>
        </w:rPr>
        <w:t xml:space="preserve"> </w:t>
      </w:r>
      <w:r w:rsidRPr="004E421C">
        <w:rPr>
          <w:sz w:val="24"/>
          <w:szCs w:val="24"/>
        </w:rPr>
        <w:t>andre laboratorieparametre eller til andre rapporterede kliniske symptomer. Der var ingen klinisk relevant gennemsnitlig stigning i C</w:t>
      </w:r>
      <w:r w:rsidRPr="004E421C">
        <w:rPr>
          <w:sz w:val="24"/>
          <w:szCs w:val="24"/>
        </w:rPr>
        <w:noBreakHyphen/>
        <w:t xml:space="preserve">reaktivt protein i forhold til </w:t>
      </w:r>
      <w:r w:rsidRPr="004E421C">
        <w:rPr>
          <w:i/>
          <w:sz w:val="24"/>
          <w:szCs w:val="24"/>
        </w:rPr>
        <w:t xml:space="preserve">baseline </w:t>
      </w:r>
      <w:r w:rsidRPr="004E421C">
        <w:rPr>
          <w:sz w:val="24"/>
          <w:szCs w:val="24"/>
        </w:rPr>
        <w:t>efter langvarig behandling med teduglutid i op til 30 måneder.</w:t>
      </w:r>
    </w:p>
    <w:p w14:paraId="50138F28" w14:textId="77777777" w:rsidR="004E421C" w:rsidRPr="004E421C" w:rsidRDefault="004E421C" w:rsidP="004E421C">
      <w:pPr>
        <w:pStyle w:val="Brdtekst"/>
        <w:ind w:left="851"/>
        <w:rPr>
          <w:sz w:val="24"/>
          <w:szCs w:val="24"/>
        </w:rPr>
      </w:pPr>
    </w:p>
    <w:p w14:paraId="1967C514" w14:textId="77777777" w:rsidR="004E421C" w:rsidRPr="005A15B2" w:rsidRDefault="004E421C" w:rsidP="004E421C">
      <w:pPr>
        <w:pStyle w:val="Brdtekst"/>
        <w:ind w:left="851"/>
        <w:rPr>
          <w:sz w:val="24"/>
          <w:szCs w:val="24"/>
          <w:u w:val="single"/>
        </w:rPr>
      </w:pPr>
      <w:r w:rsidRPr="005A15B2">
        <w:rPr>
          <w:sz w:val="24"/>
          <w:szCs w:val="24"/>
          <w:u w:val="single"/>
        </w:rPr>
        <w:t>Pædiatrisk</w:t>
      </w:r>
      <w:r w:rsidRPr="005A15B2">
        <w:rPr>
          <w:spacing w:val="-13"/>
          <w:sz w:val="24"/>
          <w:szCs w:val="24"/>
          <w:u w:val="single"/>
        </w:rPr>
        <w:t xml:space="preserve"> </w:t>
      </w:r>
      <w:r w:rsidRPr="005A15B2">
        <w:rPr>
          <w:spacing w:val="-2"/>
          <w:sz w:val="24"/>
          <w:szCs w:val="24"/>
          <w:u w:val="single"/>
        </w:rPr>
        <w:t>population</w:t>
      </w:r>
    </w:p>
    <w:p w14:paraId="3D00580C" w14:textId="77777777" w:rsidR="004E421C" w:rsidRPr="004E421C" w:rsidRDefault="004E421C" w:rsidP="004E421C">
      <w:pPr>
        <w:pStyle w:val="Brdtekst"/>
        <w:ind w:left="851"/>
        <w:rPr>
          <w:sz w:val="24"/>
          <w:szCs w:val="24"/>
        </w:rPr>
      </w:pPr>
      <w:r w:rsidRPr="004E421C">
        <w:rPr>
          <w:sz w:val="24"/>
          <w:szCs w:val="24"/>
        </w:rPr>
        <w:t>To</w:t>
      </w:r>
      <w:r w:rsidRPr="004E421C">
        <w:rPr>
          <w:spacing w:val="-2"/>
          <w:sz w:val="24"/>
          <w:szCs w:val="24"/>
        </w:rPr>
        <w:t xml:space="preserve"> </w:t>
      </w:r>
      <w:r w:rsidRPr="004E421C">
        <w:rPr>
          <w:sz w:val="24"/>
          <w:szCs w:val="24"/>
        </w:rPr>
        <w:t>afsluttede</w:t>
      </w:r>
      <w:r w:rsidRPr="004E421C">
        <w:rPr>
          <w:spacing w:val="-2"/>
          <w:sz w:val="24"/>
          <w:szCs w:val="24"/>
        </w:rPr>
        <w:t xml:space="preserve"> </w:t>
      </w:r>
      <w:r w:rsidRPr="004E421C">
        <w:rPr>
          <w:sz w:val="24"/>
          <w:szCs w:val="24"/>
        </w:rPr>
        <w:t>kliniske</w:t>
      </w:r>
      <w:r w:rsidRPr="004E421C">
        <w:rPr>
          <w:spacing w:val="-2"/>
          <w:sz w:val="24"/>
          <w:szCs w:val="24"/>
        </w:rPr>
        <w:t xml:space="preserve"> </w:t>
      </w:r>
      <w:r w:rsidRPr="004E421C">
        <w:rPr>
          <w:sz w:val="24"/>
          <w:szCs w:val="24"/>
        </w:rPr>
        <w:t>studier</w:t>
      </w:r>
      <w:r w:rsidRPr="004E421C">
        <w:rPr>
          <w:spacing w:val="-1"/>
          <w:sz w:val="24"/>
          <w:szCs w:val="24"/>
        </w:rPr>
        <w:t xml:space="preserve"> </w:t>
      </w:r>
      <w:r w:rsidRPr="004E421C">
        <w:rPr>
          <w:sz w:val="24"/>
          <w:szCs w:val="24"/>
        </w:rPr>
        <w:t>inkluderede</w:t>
      </w:r>
      <w:r w:rsidRPr="004E421C">
        <w:rPr>
          <w:spacing w:val="-2"/>
          <w:sz w:val="24"/>
          <w:szCs w:val="24"/>
        </w:rPr>
        <w:t xml:space="preserve"> </w:t>
      </w:r>
      <w:r w:rsidRPr="004E421C">
        <w:rPr>
          <w:sz w:val="24"/>
          <w:szCs w:val="24"/>
        </w:rPr>
        <w:t>87 pædiatriske</w:t>
      </w:r>
      <w:r w:rsidRPr="004E421C">
        <w:rPr>
          <w:spacing w:val="-2"/>
          <w:sz w:val="24"/>
          <w:szCs w:val="24"/>
        </w:rPr>
        <w:t xml:space="preserve"> </w:t>
      </w:r>
      <w:r w:rsidRPr="004E421C">
        <w:rPr>
          <w:sz w:val="24"/>
          <w:szCs w:val="24"/>
        </w:rPr>
        <w:t>personer</w:t>
      </w:r>
      <w:r w:rsidRPr="004E421C">
        <w:rPr>
          <w:spacing w:val="-2"/>
          <w:sz w:val="24"/>
          <w:szCs w:val="24"/>
        </w:rPr>
        <w:t xml:space="preserve"> </w:t>
      </w:r>
      <w:r w:rsidRPr="004E421C">
        <w:rPr>
          <w:sz w:val="24"/>
          <w:szCs w:val="24"/>
        </w:rPr>
        <w:t>(i</w:t>
      </w:r>
      <w:r w:rsidRPr="004E421C">
        <w:rPr>
          <w:spacing w:val="-1"/>
          <w:sz w:val="24"/>
          <w:szCs w:val="24"/>
        </w:rPr>
        <w:t xml:space="preserve"> </w:t>
      </w:r>
      <w:r w:rsidRPr="004E421C">
        <w:rPr>
          <w:sz w:val="24"/>
          <w:szCs w:val="24"/>
        </w:rPr>
        <w:t>alderen</w:t>
      </w:r>
      <w:r w:rsidRPr="004E421C">
        <w:rPr>
          <w:spacing w:val="-4"/>
          <w:sz w:val="24"/>
          <w:szCs w:val="24"/>
        </w:rPr>
        <w:t xml:space="preserve"> </w:t>
      </w:r>
      <w:r w:rsidRPr="004E421C">
        <w:rPr>
          <w:sz w:val="24"/>
          <w:szCs w:val="24"/>
        </w:rPr>
        <w:t>1</w:t>
      </w:r>
      <w:r w:rsidRPr="004E421C">
        <w:rPr>
          <w:spacing w:val="-2"/>
          <w:sz w:val="24"/>
          <w:szCs w:val="24"/>
        </w:rPr>
        <w:t xml:space="preserve"> </w:t>
      </w:r>
      <w:r w:rsidRPr="004E421C">
        <w:rPr>
          <w:sz w:val="24"/>
          <w:szCs w:val="24"/>
        </w:rPr>
        <w:t>til</w:t>
      </w:r>
      <w:r w:rsidRPr="004E421C">
        <w:rPr>
          <w:spacing w:val="-4"/>
          <w:sz w:val="24"/>
          <w:szCs w:val="24"/>
        </w:rPr>
        <w:t xml:space="preserve"> </w:t>
      </w:r>
      <w:r w:rsidRPr="004E421C">
        <w:rPr>
          <w:sz w:val="24"/>
          <w:szCs w:val="24"/>
        </w:rPr>
        <w:t>17 år),</w:t>
      </w:r>
      <w:r w:rsidRPr="004E421C">
        <w:rPr>
          <w:spacing w:val="-2"/>
          <w:sz w:val="24"/>
          <w:szCs w:val="24"/>
        </w:rPr>
        <w:t xml:space="preserve"> </w:t>
      </w:r>
      <w:r w:rsidRPr="004E421C">
        <w:rPr>
          <w:sz w:val="24"/>
          <w:szCs w:val="24"/>
        </w:rPr>
        <w:t>der</w:t>
      </w:r>
      <w:r w:rsidRPr="004E421C">
        <w:rPr>
          <w:spacing w:val="-2"/>
          <w:sz w:val="24"/>
          <w:szCs w:val="24"/>
        </w:rPr>
        <w:t xml:space="preserve"> </w:t>
      </w:r>
      <w:r w:rsidRPr="004E421C">
        <w:rPr>
          <w:sz w:val="24"/>
          <w:szCs w:val="24"/>
        </w:rPr>
        <w:t>blev eksponeret for teduglutid i en periode på op til 6 måneder. Ingen afbrød studierne på grund af bivirkninger. Samlet svarede sikkerhedsprofilen for teduglutid (herunder type og hyppighed af bivirkninger</w:t>
      </w:r>
      <w:r w:rsidRPr="004E421C">
        <w:rPr>
          <w:spacing w:val="-4"/>
          <w:sz w:val="24"/>
          <w:szCs w:val="24"/>
        </w:rPr>
        <w:t xml:space="preserve"> </w:t>
      </w:r>
      <w:r w:rsidRPr="004E421C">
        <w:rPr>
          <w:sz w:val="24"/>
          <w:szCs w:val="24"/>
        </w:rPr>
        <w:t>samt</w:t>
      </w:r>
      <w:r w:rsidRPr="004E421C">
        <w:rPr>
          <w:spacing w:val="-4"/>
          <w:sz w:val="24"/>
          <w:szCs w:val="24"/>
        </w:rPr>
        <w:t xml:space="preserve"> </w:t>
      </w:r>
      <w:r w:rsidRPr="004E421C">
        <w:rPr>
          <w:sz w:val="24"/>
          <w:szCs w:val="24"/>
        </w:rPr>
        <w:t>immunogenicitet)</w:t>
      </w:r>
      <w:r w:rsidRPr="004E421C">
        <w:rPr>
          <w:spacing w:val="-3"/>
          <w:sz w:val="24"/>
          <w:szCs w:val="24"/>
        </w:rPr>
        <w:t xml:space="preserve"> </w:t>
      </w:r>
      <w:r w:rsidRPr="004E421C">
        <w:rPr>
          <w:sz w:val="24"/>
          <w:szCs w:val="24"/>
        </w:rPr>
        <w:t>hos</w:t>
      </w:r>
      <w:r w:rsidRPr="004E421C">
        <w:rPr>
          <w:spacing w:val="-5"/>
          <w:sz w:val="24"/>
          <w:szCs w:val="24"/>
        </w:rPr>
        <w:t xml:space="preserve"> </w:t>
      </w:r>
      <w:r w:rsidRPr="004E421C">
        <w:rPr>
          <w:sz w:val="24"/>
          <w:szCs w:val="24"/>
        </w:rPr>
        <w:t>børn</w:t>
      </w:r>
      <w:r w:rsidRPr="004E421C">
        <w:rPr>
          <w:spacing w:val="-5"/>
          <w:sz w:val="24"/>
          <w:szCs w:val="24"/>
        </w:rPr>
        <w:t xml:space="preserve"> </w:t>
      </w:r>
      <w:r w:rsidRPr="004E421C">
        <w:rPr>
          <w:sz w:val="24"/>
          <w:szCs w:val="24"/>
        </w:rPr>
        <w:t>og</w:t>
      </w:r>
      <w:r w:rsidRPr="004E421C">
        <w:rPr>
          <w:spacing w:val="-5"/>
          <w:sz w:val="24"/>
          <w:szCs w:val="24"/>
        </w:rPr>
        <w:t xml:space="preserve"> </w:t>
      </w:r>
      <w:r w:rsidRPr="004E421C">
        <w:rPr>
          <w:sz w:val="24"/>
          <w:szCs w:val="24"/>
        </w:rPr>
        <w:t>unge</w:t>
      </w:r>
      <w:r w:rsidRPr="004E421C">
        <w:rPr>
          <w:spacing w:val="-8"/>
          <w:sz w:val="24"/>
          <w:szCs w:val="24"/>
        </w:rPr>
        <w:t xml:space="preserve"> </w:t>
      </w:r>
      <w:r w:rsidRPr="004E421C">
        <w:rPr>
          <w:sz w:val="24"/>
          <w:szCs w:val="24"/>
        </w:rPr>
        <w:t>(i</w:t>
      </w:r>
      <w:r w:rsidRPr="004E421C">
        <w:rPr>
          <w:spacing w:val="-5"/>
          <w:sz w:val="24"/>
          <w:szCs w:val="24"/>
        </w:rPr>
        <w:t xml:space="preserve"> </w:t>
      </w:r>
      <w:r w:rsidRPr="004E421C">
        <w:rPr>
          <w:sz w:val="24"/>
          <w:szCs w:val="24"/>
        </w:rPr>
        <w:t>alderen</w:t>
      </w:r>
      <w:r w:rsidRPr="004E421C">
        <w:rPr>
          <w:spacing w:val="-7"/>
          <w:sz w:val="24"/>
          <w:szCs w:val="24"/>
        </w:rPr>
        <w:t xml:space="preserve"> </w:t>
      </w:r>
      <w:r w:rsidRPr="004E421C">
        <w:rPr>
          <w:sz w:val="24"/>
          <w:szCs w:val="24"/>
        </w:rPr>
        <w:t>1</w:t>
      </w:r>
      <w:r w:rsidRPr="004E421C">
        <w:rPr>
          <w:sz w:val="24"/>
          <w:szCs w:val="24"/>
        </w:rPr>
        <w:noBreakHyphen/>
        <w:t>17</w:t>
      </w:r>
      <w:r w:rsidRPr="004E421C">
        <w:rPr>
          <w:spacing w:val="-6"/>
          <w:sz w:val="24"/>
          <w:szCs w:val="24"/>
        </w:rPr>
        <w:t> </w:t>
      </w:r>
      <w:r w:rsidRPr="004E421C">
        <w:rPr>
          <w:sz w:val="24"/>
          <w:szCs w:val="24"/>
        </w:rPr>
        <w:t>år)</w:t>
      </w:r>
      <w:r w:rsidRPr="004E421C">
        <w:rPr>
          <w:spacing w:val="-7"/>
          <w:sz w:val="24"/>
          <w:szCs w:val="24"/>
        </w:rPr>
        <w:t xml:space="preserve"> </w:t>
      </w:r>
      <w:r w:rsidRPr="004E421C">
        <w:rPr>
          <w:sz w:val="24"/>
          <w:szCs w:val="24"/>
        </w:rPr>
        <w:t>til</w:t>
      </w:r>
      <w:r w:rsidRPr="004E421C">
        <w:rPr>
          <w:spacing w:val="-9"/>
          <w:sz w:val="24"/>
          <w:szCs w:val="24"/>
        </w:rPr>
        <w:t xml:space="preserve"> </w:t>
      </w:r>
      <w:r w:rsidRPr="004E421C">
        <w:rPr>
          <w:sz w:val="24"/>
          <w:szCs w:val="24"/>
        </w:rPr>
        <w:t>sikkerhedsprofilen</w:t>
      </w:r>
      <w:r w:rsidRPr="004E421C">
        <w:rPr>
          <w:spacing w:val="-5"/>
          <w:sz w:val="24"/>
          <w:szCs w:val="24"/>
        </w:rPr>
        <w:t xml:space="preserve"> </w:t>
      </w:r>
      <w:r w:rsidRPr="004E421C">
        <w:rPr>
          <w:sz w:val="24"/>
          <w:szCs w:val="24"/>
        </w:rPr>
        <w:t xml:space="preserve">hos </w:t>
      </w:r>
      <w:r w:rsidRPr="004E421C">
        <w:rPr>
          <w:spacing w:val="-2"/>
          <w:sz w:val="24"/>
          <w:szCs w:val="24"/>
        </w:rPr>
        <w:t>voksne.</w:t>
      </w:r>
    </w:p>
    <w:p w14:paraId="513E9EA6" w14:textId="77777777" w:rsidR="004E421C" w:rsidRPr="004E421C" w:rsidRDefault="004E421C" w:rsidP="004E421C">
      <w:pPr>
        <w:pStyle w:val="Brdtekst"/>
        <w:ind w:left="851"/>
        <w:rPr>
          <w:sz w:val="24"/>
          <w:szCs w:val="24"/>
        </w:rPr>
      </w:pPr>
    </w:p>
    <w:p w14:paraId="6A591B6C" w14:textId="77777777" w:rsidR="004E421C" w:rsidRPr="004E421C" w:rsidRDefault="004E421C" w:rsidP="004E421C">
      <w:pPr>
        <w:pStyle w:val="Brdtekst"/>
        <w:ind w:left="851"/>
        <w:rPr>
          <w:sz w:val="24"/>
          <w:szCs w:val="24"/>
        </w:rPr>
      </w:pPr>
      <w:r w:rsidRPr="004E421C">
        <w:rPr>
          <w:sz w:val="24"/>
          <w:szCs w:val="24"/>
        </w:rPr>
        <w:t>I tre afsluttede kliniske studier med pædiatriske forsøgspersoner (i alderen 4 til &lt; 12 måneders korrigeret</w:t>
      </w:r>
      <w:r w:rsidRPr="004E421C">
        <w:rPr>
          <w:spacing w:val="-4"/>
          <w:sz w:val="24"/>
          <w:szCs w:val="24"/>
        </w:rPr>
        <w:t xml:space="preserve"> </w:t>
      </w:r>
      <w:r w:rsidRPr="004E421C">
        <w:rPr>
          <w:sz w:val="24"/>
          <w:szCs w:val="24"/>
        </w:rPr>
        <w:t>svangerskabsalder)</w:t>
      </w:r>
      <w:r w:rsidRPr="004E421C">
        <w:rPr>
          <w:spacing w:val="-7"/>
          <w:sz w:val="24"/>
          <w:szCs w:val="24"/>
        </w:rPr>
        <w:t xml:space="preserve"> </w:t>
      </w:r>
      <w:r w:rsidRPr="004E421C">
        <w:rPr>
          <w:sz w:val="24"/>
          <w:szCs w:val="24"/>
        </w:rPr>
        <w:t>var</w:t>
      </w:r>
      <w:r w:rsidRPr="004E421C">
        <w:rPr>
          <w:spacing w:val="-9"/>
          <w:sz w:val="24"/>
          <w:szCs w:val="24"/>
        </w:rPr>
        <w:t xml:space="preserve"> </w:t>
      </w:r>
      <w:r w:rsidRPr="004E421C">
        <w:rPr>
          <w:sz w:val="24"/>
          <w:szCs w:val="24"/>
        </w:rPr>
        <w:t>sikkerhedsprofilen</w:t>
      </w:r>
      <w:r w:rsidRPr="004E421C">
        <w:rPr>
          <w:spacing w:val="-9"/>
          <w:sz w:val="24"/>
          <w:szCs w:val="24"/>
        </w:rPr>
        <w:t xml:space="preserve"> </w:t>
      </w:r>
      <w:r w:rsidRPr="004E421C">
        <w:rPr>
          <w:sz w:val="24"/>
          <w:szCs w:val="24"/>
        </w:rPr>
        <w:t>rapporteret</w:t>
      </w:r>
      <w:r w:rsidRPr="004E421C">
        <w:rPr>
          <w:spacing w:val="-6"/>
          <w:sz w:val="24"/>
          <w:szCs w:val="24"/>
        </w:rPr>
        <w:t xml:space="preserve"> </w:t>
      </w:r>
      <w:r w:rsidRPr="004E421C">
        <w:rPr>
          <w:sz w:val="24"/>
          <w:szCs w:val="24"/>
        </w:rPr>
        <w:t>i</w:t>
      </w:r>
      <w:r w:rsidRPr="004E421C">
        <w:rPr>
          <w:spacing w:val="-7"/>
          <w:sz w:val="24"/>
          <w:szCs w:val="24"/>
        </w:rPr>
        <w:t xml:space="preserve"> </w:t>
      </w:r>
      <w:r w:rsidRPr="004E421C">
        <w:rPr>
          <w:sz w:val="24"/>
          <w:szCs w:val="24"/>
        </w:rPr>
        <w:t>studierne</w:t>
      </w:r>
      <w:r w:rsidRPr="004E421C">
        <w:rPr>
          <w:spacing w:val="-9"/>
          <w:sz w:val="24"/>
          <w:szCs w:val="24"/>
        </w:rPr>
        <w:t xml:space="preserve"> </w:t>
      </w:r>
      <w:r w:rsidRPr="004E421C">
        <w:rPr>
          <w:sz w:val="24"/>
          <w:szCs w:val="24"/>
        </w:rPr>
        <w:t>i</w:t>
      </w:r>
      <w:r w:rsidRPr="004E421C">
        <w:rPr>
          <w:spacing w:val="-4"/>
          <w:sz w:val="24"/>
          <w:szCs w:val="24"/>
        </w:rPr>
        <w:t xml:space="preserve"> </w:t>
      </w:r>
      <w:r w:rsidRPr="004E421C">
        <w:rPr>
          <w:sz w:val="24"/>
          <w:szCs w:val="24"/>
        </w:rPr>
        <w:t>overensstemmelse</w:t>
      </w:r>
      <w:r w:rsidRPr="004E421C">
        <w:rPr>
          <w:spacing w:val="-9"/>
          <w:sz w:val="24"/>
          <w:szCs w:val="24"/>
        </w:rPr>
        <w:t xml:space="preserve"> </w:t>
      </w:r>
      <w:r w:rsidRPr="004E421C">
        <w:rPr>
          <w:sz w:val="24"/>
          <w:szCs w:val="24"/>
        </w:rPr>
        <w:t>med</w:t>
      </w:r>
      <w:r w:rsidRPr="004E421C">
        <w:rPr>
          <w:spacing w:val="-3"/>
          <w:sz w:val="24"/>
          <w:szCs w:val="24"/>
        </w:rPr>
        <w:t xml:space="preserve"> </w:t>
      </w:r>
      <w:r w:rsidRPr="004E421C">
        <w:rPr>
          <w:sz w:val="24"/>
          <w:szCs w:val="24"/>
        </w:rPr>
        <w:t>den sikkerhedsprofil, der blev observeret i de foregående pædiatriske studier, og ingen nye sikkerhedsproblemer blev identificeret.</w:t>
      </w:r>
    </w:p>
    <w:p w14:paraId="777DE542" w14:textId="77777777" w:rsidR="004E421C" w:rsidRPr="004E421C" w:rsidRDefault="004E421C" w:rsidP="004E421C">
      <w:pPr>
        <w:pStyle w:val="Brdtekst"/>
        <w:ind w:left="851"/>
        <w:rPr>
          <w:sz w:val="24"/>
          <w:szCs w:val="24"/>
        </w:rPr>
      </w:pPr>
    </w:p>
    <w:p w14:paraId="33D10BD0" w14:textId="77777777" w:rsidR="004E421C" w:rsidRPr="004E421C" w:rsidRDefault="004E421C" w:rsidP="004E421C">
      <w:pPr>
        <w:pStyle w:val="Brdtekst"/>
        <w:ind w:left="851"/>
        <w:rPr>
          <w:sz w:val="24"/>
          <w:szCs w:val="24"/>
        </w:rPr>
      </w:pPr>
      <w:r w:rsidRPr="004E421C">
        <w:rPr>
          <w:sz w:val="24"/>
          <w:szCs w:val="24"/>
        </w:rPr>
        <w:t>Begrænsede</w:t>
      </w:r>
      <w:r w:rsidRPr="004E421C">
        <w:rPr>
          <w:spacing w:val="-10"/>
          <w:sz w:val="24"/>
          <w:szCs w:val="24"/>
        </w:rPr>
        <w:t xml:space="preserve"> </w:t>
      </w:r>
      <w:r w:rsidRPr="004E421C">
        <w:rPr>
          <w:sz w:val="24"/>
          <w:szCs w:val="24"/>
        </w:rPr>
        <w:t>langtidssikkerhedsdata</w:t>
      </w:r>
      <w:r w:rsidRPr="004E421C">
        <w:rPr>
          <w:spacing w:val="-9"/>
          <w:sz w:val="24"/>
          <w:szCs w:val="24"/>
        </w:rPr>
        <w:t xml:space="preserve"> </w:t>
      </w:r>
      <w:r w:rsidRPr="004E421C">
        <w:rPr>
          <w:sz w:val="24"/>
          <w:szCs w:val="24"/>
        </w:rPr>
        <w:t>er</w:t>
      </w:r>
      <w:r w:rsidRPr="004E421C">
        <w:rPr>
          <w:spacing w:val="-10"/>
          <w:sz w:val="24"/>
          <w:szCs w:val="24"/>
        </w:rPr>
        <w:t xml:space="preserve"> </w:t>
      </w:r>
      <w:r w:rsidRPr="004E421C">
        <w:rPr>
          <w:sz w:val="24"/>
          <w:szCs w:val="24"/>
        </w:rPr>
        <w:t>tilgængelige</w:t>
      </w:r>
      <w:r w:rsidRPr="004E421C">
        <w:rPr>
          <w:spacing w:val="-9"/>
          <w:sz w:val="24"/>
          <w:szCs w:val="24"/>
        </w:rPr>
        <w:t xml:space="preserve"> </w:t>
      </w:r>
      <w:r w:rsidRPr="004E421C">
        <w:rPr>
          <w:sz w:val="24"/>
          <w:szCs w:val="24"/>
        </w:rPr>
        <w:t>for</w:t>
      </w:r>
      <w:r w:rsidRPr="004E421C">
        <w:rPr>
          <w:spacing w:val="-9"/>
          <w:sz w:val="24"/>
          <w:szCs w:val="24"/>
        </w:rPr>
        <w:t xml:space="preserve"> </w:t>
      </w:r>
      <w:r w:rsidRPr="004E421C">
        <w:rPr>
          <w:sz w:val="24"/>
          <w:szCs w:val="24"/>
        </w:rPr>
        <w:t>den</w:t>
      </w:r>
      <w:r w:rsidRPr="004E421C">
        <w:rPr>
          <w:spacing w:val="-3"/>
          <w:sz w:val="24"/>
          <w:szCs w:val="24"/>
        </w:rPr>
        <w:t xml:space="preserve"> </w:t>
      </w:r>
      <w:r w:rsidRPr="004E421C">
        <w:rPr>
          <w:sz w:val="24"/>
          <w:szCs w:val="24"/>
        </w:rPr>
        <w:t>pædiatriske</w:t>
      </w:r>
      <w:r w:rsidRPr="004E421C">
        <w:rPr>
          <w:spacing w:val="-5"/>
          <w:sz w:val="24"/>
          <w:szCs w:val="24"/>
        </w:rPr>
        <w:t xml:space="preserve"> </w:t>
      </w:r>
      <w:r w:rsidRPr="004E421C">
        <w:rPr>
          <w:sz w:val="24"/>
          <w:szCs w:val="24"/>
        </w:rPr>
        <w:t>population.</w:t>
      </w:r>
      <w:r w:rsidRPr="004E421C">
        <w:rPr>
          <w:spacing w:val="-5"/>
          <w:sz w:val="24"/>
          <w:szCs w:val="24"/>
        </w:rPr>
        <w:t xml:space="preserve"> </w:t>
      </w:r>
      <w:r w:rsidRPr="004E421C">
        <w:rPr>
          <w:sz w:val="24"/>
          <w:szCs w:val="24"/>
        </w:rPr>
        <w:t>Der</w:t>
      </w:r>
      <w:r w:rsidRPr="004E421C">
        <w:rPr>
          <w:spacing w:val="-4"/>
          <w:sz w:val="24"/>
          <w:szCs w:val="24"/>
        </w:rPr>
        <w:t xml:space="preserve"> </w:t>
      </w:r>
      <w:r w:rsidRPr="004E421C">
        <w:rPr>
          <w:sz w:val="24"/>
          <w:szCs w:val="24"/>
        </w:rPr>
        <w:t>foreligger ingen data for børn i alderen under 4 måneder.</w:t>
      </w:r>
    </w:p>
    <w:p w14:paraId="75BF07B2" w14:textId="77777777" w:rsidR="004E421C" w:rsidRPr="004E421C" w:rsidRDefault="004E421C" w:rsidP="004E421C">
      <w:pPr>
        <w:pStyle w:val="Brdtekst"/>
        <w:ind w:left="851"/>
        <w:rPr>
          <w:sz w:val="24"/>
          <w:szCs w:val="24"/>
        </w:rPr>
      </w:pPr>
    </w:p>
    <w:p w14:paraId="3C972F66" w14:textId="77777777" w:rsidR="004E421C" w:rsidRPr="004E421C" w:rsidRDefault="004E421C" w:rsidP="004E421C">
      <w:pPr>
        <w:pStyle w:val="Brdtekst"/>
        <w:ind w:left="851"/>
        <w:rPr>
          <w:sz w:val="24"/>
          <w:szCs w:val="24"/>
        </w:rPr>
      </w:pPr>
      <w:r w:rsidRPr="004E421C">
        <w:rPr>
          <w:sz w:val="24"/>
          <w:szCs w:val="24"/>
          <w:u w:val="single"/>
        </w:rPr>
        <w:t>Indberetning</w:t>
      </w:r>
      <w:r w:rsidRPr="004E421C">
        <w:rPr>
          <w:spacing w:val="-9"/>
          <w:sz w:val="24"/>
          <w:szCs w:val="24"/>
          <w:u w:val="single"/>
        </w:rPr>
        <w:t xml:space="preserve"> </w:t>
      </w:r>
      <w:r w:rsidRPr="004E421C">
        <w:rPr>
          <w:sz w:val="24"/>
          <w:szCs w:val="24"/>
          <w:u w:val="single"/>
        </w:rPr>
        <w:t>af</w:t>
      </w:r>
      <w:r w:rsidRPr="004E421C">
        <w:rPr>
          <w:spacing w:val="-11"/>
          <w:sz w:val="24"/>
          <w:szCs w:val="24"/>
          <w:u w:val="single"/>
        </w:rPr>
        <w:t xml:space="preserve"> </w:t>
      </w:r>
      <w:r w:rsidRPr="004E421C">
        <w:rPr>
          <w:sz w:val="24"/>
          <w:szCs w:val="24"/>
          <w:u w:val="single"/>
        </w:rPr>
        <w:t>formodede</w:t>
      </w:r>
      <w:r w:rsidRPr="004E421C">
        <w:rPr>
          <w:spacing w:val="-11"/>
          <w:sz w:val="24"/>
          <w:szCs w:val="24"/>
          <w:u w:val="single"/>
        </w:rPr>
        <w:t xml:space="preserve"> </w:t>
      </w:r>
      <w:r w:rsidRPr="004E421C">
        <w:rPr>
          <w:spacing w:val="-2"/>
          <w:sz w:val="24"/>
          <w:szCs w:val="24"/>
          <w:u w:val="single"/>
        </w:rPr>
        <w:t>bivirkninger</w:t>
      </w:r>
    </w:p>
    <w:p w14:paraId="0F024016" w14:textId="77777777" w:rsidR="004E421C" w:rsidRPr="004E421C" w:rsidRDefault="004E421C" w:rsidP="004E421C">
      <w:pPr>
        <w:pStyle w:val="Brdtekst"/>
        <w:ind w:left="851"/>
        <w:rPr>
          <w:sz w:val="24"/>
          <w:szCs w:val="24"/>
        </w:rPr>
      </w:pPr>
      <w:r w:rsidRPr="004E421C">
        <w:rPr>
          <w:sz w:val="24"/>
          <w:szCs w:val="24"/>
        </w:rPr>
        <w:t>Når lægemidlet er godkendt, er indberetning af formodede bivirkninger vigtig. Det muliggør løbende overvågning</w:t>
      </w:r>
      <w:r w:rsidRPr="004E421C">
        <w:rPr>
          <w:spacing w:val="-3"/>
          <w:sz w:val="24"/>
          <w:szCs w:val="24"/>
        </w:rPr>
        <w:t xml:space="preserve"> </w:t>
      </w:r>
      <w:r w:rsidRPr="004E421C">
        <w:rPr>
          <w:sz w:val="24"/>
          <w:szCs w:val="24"/>
        </w:rPr>
        <w:t>af</w:t>
      </w:r>
      <w:r w:rsidRPr="004E421C">
        <w:rPr>
          <w:spacing w:val="-3"/>
          <w:sz w:val="24"/>
          <w:szCs w:val="24"/>
        </w:rPr>
        <w:t xml:space="preserve"> </w:t>
      </w:r>
      <w:r w:rsidRPr="004E421C">
        <w:rPr>
          <w:sz w:val="24"/>
          <w:szCs w:val="24"/>
        </w:rPr>
        <w:t>benefit/risk-forholdet</w:t>
      </w:r>
      <w:r w:rsidRPr="004E421C">
        <w:rPr>
          <w:spacing w:val="-5"/>
          <w:sz w:val="24"/>
          <w:szCs w:val="24"/>
        </w:rPr>
        <w:t xml:space="preserve"> </w:t>
      </w:r>
      <w:r w:rsidRPr="004E421C">
        <w:rPr>
          <w:sz w:val="24"/>
          <w:szCs w:val="24"/>
        </w:rPr>
        <w:t>for</w:t>
      </w:r>
      <w:r w:rsidRPr="004E421C">
        <w:rPr>
          <w:spacing w:val="-5"/>
          <w:sz w:val="24"/>
          <w:szCs w:val="24"/>
        </w:rPr>
        <w:t xml:space="preserve"> </w:t>
      </w:r>
      <w:r w:rsidRPr="004E421C">
        <w:rPr>
          <w:sz w:val="24"/>
          <w:szCs w:val="24"/>
        </w:rPr>
        <w:t>lægemidlet.</w:t>
      </w:r>
      <w:r w:rsidRPr="004E421C">
        <w:rPr>
          <w:spacing w:val="-1"/>
          <w:sz w:val="24"/>
          <w:szCs w:val="24"/>
        </w:rPr>
        <w:t xml:space="preserve"> </w:t>
      </w:r>
      <w:r w:rsidRPr="004E421C">
        <w:rPr>
          <w:sz w:val="24"/>
          <w:szCs w:val="24"/>
        </w:rPr>
        <w:t>Sundhedspersoner</w:t>
      </w:r>
      <w:r w:rsidRPr="004E421C">
        <w:rPr>
          <w:spacing w:val="-2"/>
          <w:sz w:val="24"/>
          <w:szCs w:val="24"/>
        </w:rPr>
        <w:t xml:space="preserve"> </w:t>
      </w:r>
      <w:r w:rsidRPr="004E421C">
        <w:rPr>
          <w:sz w:val="24"/>
          <w:szCs w:val="24"/>
        </w:rPr>
        <w:t>anmodes</w:t>
      </w:r>
      <w:r w:rsidRPr="004E421C">
        <w:rPr>
          <w:spacing w:val="-5"/>
          <w:sz w:val="24"/>
          <w:szCs w:val="24"/>
        </w:rPr>
        <w:t xml:space="preserve"> </w:t>
      </w:r>
      <w:r w:rsidRPr="004E421C">
        <w:rPr>
          <w:sz w:val="24"/>
          <w:szCs w:val="24"/>
        </w:rPr>
        <w:t>om</w:t>
      </w:r>
      <w:r w:rsidRPr="004E421C">
        <w:rPr>
          <w:spacing w:val="-2"/>
          <w:sz w:val="24"/>
          <w:szCs w:val="24"/>
        </w:rPr>
        <w:t xml:space="preserve"> </w:t>
      </w:r>
      <w:r w:rsidRPr="004E421C">
        <w:rPr>
          <w:sz w:val="24"/>
          <w:szCs w:val="24"/>
        </w:rPr>
        <w:t>at</w:t>
      </w:r>
      <w:r w:rsidRPr="004E421C">
        <w:rPr>
          <w:spacing w:val="-2"/>
          <w:sz w:val="24"/>
          <w:szCs w:val="24"/>
        </w:rPr>
        <w:t xml:space="preserve"> </w:t>
      </w:r>
      <w:r w:rsidRPr="004E421C">
        <w:rPr>
          <w:sz w:val="24"/>
          <w:szCs w:val="24"/>
        </w:rPr>
        <w:t>indberette</w:t>
      </w:r>
      <w:r w:rsidRPr="004E421C">
        <w:rPr>
          <w:spacing w:val="-5"/>
          <w:sz w:val="24"/>
          <w:szCs w:val="24"/>
        </w:rPr>
        <w:t xml:space="preserve"> </w:t>
      </w:r>
      <w:r w:rsidRPr="004E421C">
        <w:rPr>
          <w:sz w:val="24"/>
          <w:szCs w:val="24"/>
        </w:rPr>
        <w:t>alle formodede bivirkninger via:</w:t>
      </w:r>
    </w:p>
    <w:p w14:paraId="64615246" w14:textId="77777777" w:rsidR="004E421C" w:rsidRPr="004E421C" w:rsidRDefault="004E421C" w:rsidP="004E421C">
      <w:pPr>
        <w:pStyle w:val="Brdtekst"/>
        <w:ind w:left="851"/>
        <w:rPr>
          <w:sz w:val="24"/>
          <w:szCs w:val="24"/>
        </w:rPr>
      </w:pPr>
    </w:p>
    <w:p w14:paraId="049E2FCF" w14:textId="77777777" w:rsidR="004E421C" w:rsidRPr="004E421C" w:rsidRDefault="004E421C" w:rsidP="004E421C">
      <w:pPr>
        <w:pStyle w:val="Brdtekst"/>
        <w:ind w:left="851"/>
        <w:rPr>
          <w:sz w:val="24"/>
          <w:szCs w:val="24"/>
        </w:rPr>
      </w:pPr>
      <w:r w:rsidRPr="004E421C">
        <w:rPr>
          <w:sz w:val="24"/>
          <w:szCs w:val="24"/>
        </w:rPr>
        <w:t>Lægemiddelstyrelsen</w:t>
      </w:r>
    </w:p>
    <w:p w14:paraId="439CCCA6" w14:textId="77777777" w:rsidR="004E421C" w:rsidRPr="004E421C" w:rsidRDefault="004E421C" w:rsidP="004E421C">
      <w:pPr>
        <w:pStyle w:val="Brdtekst"/>
        <w:ind w:left="851"/>
        <w:rPr>
          <w:sz w:val="24"/>
          <w:szCs w:val="24"/>
        </w:rPr>
      </w:pPr>
      <w:r w:rsidRPr="004E421C">
        <w:rPr>
          <w:sz w:val="24"/>
          <w:szCs w:val="24"/>
        </w:rPr>
        <w:t>Axel Heides Gade 1</w:t>
      </w:r>
    </w:p>
    <w:p w14:paraId="7163DBD6" w14:textId="77777777" w:rsidR="004E421C" w:rsidRPr="004E421C" w:rsidRDefault="004E421C" w:rsidP="004E421C">
      <w:pPr>
        <w:pStyle w:val="Brdtekst"/>
        <w:ind w:left="851"/>
        <w:rPr>
          <w:sz w:val="24"/>
          <w:szCs w:val="24"/>
        </w:rPr>
      </w:pPr>
      <w:r w:rsidRPr="004E421C">
        <w:rPr>
          <w:sz w:val="24"/>
          <w:szCs w:val="24"/>
        </w:rPr>
        <w:t>DK-2300 København S</w:t>
      </w:r>
    </w:p>
    <w:p w14:paraId="1EF59149" w14:textId="54D4D3B1" w:rsidR="004E421C" w:rsidRPr="004E421C" w:rsidRDefault="004E421C" w:rsidP="004E421C">
      <w:pPr>
        <w:pStyle w:val="Brdtekst"/>
        <w:ind w:left="851"/>
        <w:rPr>
          <w:sz w:val="24"/>
          <w:szCs w:val="24"/>
        </w:rPr>
      </w:pPr>
      <w:r w:rsidRPr="004E421C">
        <w:rPr>
          <w:sz w:val="24"/>
          <w:szCs w:val="24"/>
        </w:rPr>
        <w:t>Websted: www.meldenbivirkning.dk.</w:t>
      </w:r>
    </w:p>
    <w:p w14:paraId="0659B1C0" w14:textId="77777777" w:rsidR="009260DE" w:rsidRPr="004E421C" w:rsidRDefault="009260DE" w:rsidP="004E421C">
      <w:pPr>
        <w:tabs>
          <w:tab w:val="left" w:pos="851"/>
        </w:tabs>
        <w:ind w:left="851"/>
        <w:rPr>
          <w:sz w:val="24"/>
          <w:szCs w:val="24"/>
        </w:rPr>
      </w:pPr>
    </w:p>
    <w:p w14:paraId="3A04C7F3" w14:textId="77777777" w:rsidR="009260DE" w:rsidRPr="00C84483" w:rsidRDefault="009260DE" w:rsidP="009260DE">
      <w:pPr>
        <w:tabs>
          <w:tab w:val="left" w:pos="851"/>
        </w:tabs>
        <w:ind w:left="851" w:hanging="851"/>
        <w:rPr>
          <w:b/>
          <w:sz w:val="24"/>
          <w:szCs w:val="24"/>
        </w:rPr>
      </w:pPr>
      <w:r w:rsidRPr="00C84483">
        <w:rPr>
          <w:b/>
          <w:sz w:val="24"/>
          <w:szCs w:val="24"/>
        </w:rPr>
        <w:t>4.9</w:t>
      </w:r>
      <w:r w:rsidRPr="00C84483">
        <w:rPr>
          <w:b/>
          <w:sz w:val="24"/>
          <w:szCs w:val="24"/>
        </w:rPr>
        <w:tab/>
        <w:t>Overdosering</w:t>
      </w:r>
    </w:p>
    <w:p w14:paraId="53F85C3E" w14:textId="77777777" w:rsidR="00E077FB" w:rsidRPr="00E077FB" w:rsidRDefault="00E077FB" w:rsidP="00E077FB">
      <w:pPr>
        <w:tabs>
          <w:tab w:val="left" w:pos="851"/>
        </w:tabs>
        <w:ind w:left="851"/>
        <w:rPr>
          <w:sz w:val="24"/>
          <w:szCs w:val="24"/>
        </w:rPr>
      </w:pPr>
      <w:r w:rsidRPr="00E077FB">
        <w:rPr>
          <w:sz w:val="24"/>
          <w:szCs w:val="24"/>
        </w:rPr>
        <w:t>I den kliniske udviklingsfase var den maksimale dosering af teduglutid, som blev undersøgt, 86 mg/dag i 8 dage. Der blev ikke observeret uventede systemiske bivirkninger (se pkt. 4.8).</w:t>
      </w:r>
    </w:p>
    <w:p w14:paraId="79F79DC5" w14:textId="77777777" w:rsidR="00E077FB" w:rsidRPr="00E077FB" w:rsidRDefault="00E077FB" w:rsidP="00E077FB">
      <w:pPr>
        <w:tabs>
          <w:tab w:val="left" w:pos="851"/>
        </w:tabs>
        <w:ind w:left="851"/>
        <w:rPr>
          <w:sz w:val="24"/>
          <w:szCs w:val="24"/>
        </w:rPr>
      </w:pPr>
    </w:p>
    <w:p w14:paraId="2B6C9A4F" w14:textId="77777777" w:rsidR="00E077FB" w:rsidRPr="00E077FB" w:rsidRDefault="00E077FB" w:rsidP="00E077FB">
      <w:pPr>
        <w:tabs>
          <w:tab w:val="left" w:pos="851"/>
        </w:tabs>
        <w:ind w:left="851"/>
        <w:rPr>
          <w:sz w:val="24"/>
          <w:szCs w:val="24"/>
        </w:rPr>
      </w:pPr>
      <w:r w:rsidRPr="00E077FB">
        <w:rPr>
          <w:sz w:val="24"/>
          <w:szCs w:val="24"/>
        </w:rPr>
        <w:t>I tilfælde af overdosering bør patienten overvåges nøje af sundhedspersonalet.</w:t>
      </w:r>
    </w:p>
    <w:p w14:paraId="598685E6" w14:textId="77777777" w:rsidR="009260DE" w:rsidRPr="00C84483" w:rsidRDefault="009260DE" w:rsidP="009260DE">
      <w:pPr>
        <w:tabs>
          <w:tab w:val="left" w:pos="851"/>
        </w:tabs>
        <w:ind w:left="851"/>
        <w:rPr>
          <w:sz w:val="24"/>
          <w:szCs w:val="24"/>
        </w:rPr>
      </w:pPr>
    </w:p>
    <w:p w14:paraId="18CB9F66" w14:textId="77777777" w:rsidR="009260DE" w:rsidRPr="00C84483" w:rsidRDefault="009260DE" w:rsidP="009260DE">
      <w:pPr>
        <w:tabs>
          <w:tab w:val="left" w:pos="851"/>
        </w:tabs>
        <w:ind w:left="851" w:hanging="851"/>
        <w:rPr>
          <w:b/>
          <w:sz w:val="24"/>
          <w:szCs w:val="24"/>
        </w:rPr>
      </w:pPr>
      <w:r w:rsidRPr="00C84483">
        <w:rPr>
          <w:b/>
          <w:sz w:val="24"/>
          <w:szCs w:val="24"/>
        </w:rPr>
        <w:t>4.10</w:t>
      </w:r>
      <w:r w:rsidRPr="00C84483">
        <w:rPr>
          <w:b/>
          <w:sz w:val="24"/>
          <w:szCs w:val="24"/>
        </w:rPr>
        <w:tab/>
        <w:t>Udlevering</w:t>
      </w:r>
    </w:p>
    <w:p w14:paraId="56AED389" w14:textId="5E053456" w:rsidR="009260DE" w:rsidRPr="00C84483" w:rsidRDefault="00E077FB" w:rsidP="009260DE">
      <w:pPr>
        <w:tabs>
          <w:tab w:val="left" w:pos="851"/>
        </w:tabs>
        <w:ind w:left="851"/>
        <w:rPr>
          <w:sz w:val="24"/>
          <w:szCs w:val="24"/>
        </w:rPr>
      </w:pPr>
      <w:r>
        <w:rPr>
          <w:sz w:val="24"/>
          <w:szCs w:val="24"/>
        </w:rPr>
        <w:t>BEGR (kun til syghuse)</w:t>
      </w:r>
    </w:p>
    <w:p w14:paraId="0BF6138D" w14:textId="77777777" w:rsidR="009260DE" w:rsidRPr="00C84483" w:rsidRDefault="009260DE" w:rsidP="009260DE">
      <w:pPr>
        <w:tabs>
          <w:tab w:val="left" w:pos="851"/>
        </w:tabs>
        <w:ind w:left="851"/>
        <w:rPr>
          <w:sz w:val="24"/>
          <w:szCs w:val="24"/>
        </w:rPr>
      </w:pPr>
    </w:p>
    <w:p w14:paraId="7A58C775" w14:textId="748C738E" w:rsidR="005A15B2" w:rsidRDefault="005A15B2">
      <w:pPr>
        <w:rPr>
          <w:sz w:val="24"/>
          <w:szCs w:val="24"/>
        </w:rPr>
      </w:pPr>
      <w:r>
        <w:rPr>
          <w:sz w:val="24"/>
          <w:szCs w:val="24"/>
        </w:rPr>
        <w:br w:type="page"/>
      </w:r>
    </w:p>
    <w:p w14:paraId="4B3A0B44" w14:textId="77777777" w:rsidR="009260DE" w:rsidRPr="00C84483" w:rsidRDefault="009260DE" w:rsidP="009260DE">
      <w:pPr>
        <w:tabs>
          <w:tab w:val="left" w:pos="851"/>
        </w:tabs>
        <w:ind w:left="851"/>
        <w:rPr>
          <w:sz w:val="24"/>
          <w:szCs w:val="24"/>
        </w:rPr>
      </w:pPr>
    </w:p>
    <w:p w14:paraId="3AE8DF65" w14:textId="77777777" w:rsidR="009260DE" w:rsidRPr="00C84483" w:rsidRDefault="009260DE" w:rsidP="009260DE">
      <w:pPr>
        <w:tabs>
          <w:tab w:val="left" w:pos="851"/>
        </w:tabs>
        <w:ind w:left="851" w:hanging="851"/>
        <w:rPr>
          <w:b/>
          <w:sz w:val="24"/>
          <w:szCs w:val="24"/>
        </w:rPr>
      </w:pPr>
      <w:r w:rsidRPr="00C84483">
        <w:rPr>
          <w:b/>
          <w:sz w:val="24"/>
          <w:szCs w:val="24"/>
        </w:rPr>
        <w:t>5.</w:t>
      </w:r>
      <w:r w:rsidRPr="00C84483">
        <w:rPr>
          <w:b/>
          <w:sz w:val="24"/>
          <w:szCs w:val="24"/>
        </w:rPr>
        <w:tab/>
        <w:t>FARMAKOLOGISKE EGENSKABER</w:t>
      </w:r>
    </w:p>
    <w:p w14:paraId="12CF0454" w14:textId="77777777" w:rsidR="009260DE" w:rsidRPr="00C84483" w:rsidRDefault="009260DE" w:rsidP="009260DE">
      <w:pPr>
        <w:tabs>
          <w:tab w:val="left" w:pos="851"/>
        </w:tabs>
        <w:ind w:left="851"/>
        <w:rPr>
          <w:sz w:val="24"/>
          <w:szCs w:val="24"/>
        </w:rPr>
      </w:pPr>
    </w:p>
    <w:p w14:paraId="2AE5CDCE" w14:textId="77777777" w:rsidR="009260DE" w:rsidRPr="00C84483" w:rsidRDefault="009260DE" w:rsidP="009260DE">
      <w:pPr>
        <w:tabs>
          <w:tab w:val="num" w:pos="851"/>
        </w:tabs>
        <w:ind w:left="851" w:hanging="851"/>
        <w:rPr>
          <w:b/>
          <w:sz w:val="24"/>
          <w:szCs w:val="24"/>
        </w:rPr>
      </w:pPr>
      <w:r w:rsidRPr="00C84483">
        <w:rPr>
          <w:b/>
          <w:sz w:val="24"/>
          <w:szCs w:val="24"/>
        </w:rPr>
        <w:t>5.1</w:t>
      </w:r>
      <w:r w:rsidRPr="00C84483">
        <w:rPr>
          <w:b/>
          <w:sz w:val="24"/>
          <w:szCs w:val="24"/>
        </w:rPr>
        <w:tab/>
        <w:t>Farmakodynamiske egenskaber</w:t>
      </w:r>
    </w:p>
    <w:p w14:paraId="31B018ED" w14:textId="783F17A2" w:rsidR="005A15B2" w:rsidRPr="005A15B2" w:rsidRDefault="005A15B2" w:rsidP="005A15B2">
      <w:pPr>
        <w:tabs>
          <w:tab w:val="left" w:pos="851"/>
        </w:tabs>
        <w:ind w:left="851"/>
        <w:rPr>
          <w:sz w:val="24"/>
          <w:szCs w:val="24"/>
        </w:rPr>
      </w:pPr>
      <w:r w:rsidRPr="005A15B2">
        <w:rPr>
          <w:sz w:val="24"/>
          <w:szCs w:val="24"/>
        </w:rPr>
        <w:t>Farmakoterapeutisk klassifikation: Andre midler til fordøjelsesorganer og stofskifte, div</w:t>
      </w:r>
      <w:r>
        <w:rPr>
          <w:sz w:val="24"/>
          <w:szCs w:val="24"/>
        </w:rPr>
        <w:t>erse</w:t>
      </w:r>
      <w:r w:rsidRPr="005A15B2">
        <w:rPr>
          <w:sz w:val="24"/>
          <w:szCs w:val="24"/>
        </w:rPr>
        <w:t xml:space="preserve"> midler til fordøjelsesorganer og stofskifte, ATC</w:t>
      </w:r>
      <w:r w:rsidRPr="005A15B2">
        <w:rPr>
          <w:sz w:val="24"/>
          <w:szCs w:val="24"/>
        </w:rPr>
        <w:noBreakHyphen/>
        <w:t>kode: A16AX08.</w:t>
      </w:r>
    </w:p>
    <w:p w14:paraId="4BB915F0" w14:textId="77777777" w:rsidR="005A15B2" w:rsidRPr="005A15B2" w:rsidRDefault="005A15B2" w:rsidP="005A15B2">
      <w:pPr>
        <w:tabs>
          <w:tab w:val="left" w:pos="851"/>
        </w:tabs>
        <w:ind w:left="851"/>
        <w:rPr>
          <w:sz w:val="24"/>
          <w:szCs w:val="24"/>
          <w:u w:val="single"/>
        </w:rPr>
      </w:pPr>
    </w:p>
    <w:p w14:paraId="168B69DD" w14:textId="77777777" w:rsidR="005A15B2" w:rsidRPr="005A15B2" w:rsidRDefault="005A15B2" w:rsidP="005A15B2">
      <w:pPr>
        <w:tabs>
          <w:tab w:val="left" w:pos="851"/>
        </w:tabs>
        <w:ind w:left="851"/>
        <w:rPr>
          <w:sz w:val="24"/>
          <w:szCs w:val="24"/>
        </w:rPr>
      </w:pPr>
      <w:r w:rsidRPr="005A15B2">
        <w:rPr>
          <w:sz w:val="24"/>
          <w:szCs w:val="24"/>
          <w:u w:val="single"/>
        </w:rPr>
        <w:t>Virkningsmekanisme</w:t>
      </w:r>
    </w:p>
    <w:p w14:paraId="7D68F64F" w14:textId="77777777" w:rsidR="005A15B2" w:rsidRPr="005A15B2" w:rsidRDefault="005A15B2" w:rsidP="005A15B2">
      <w:pPr>
        <w:tabs>
          <w:tab w:val="left" w:pos="851"/>
        </w:tabs>
        <w:ind w:left="851"/>
        <w:rPr>
          <w:sz w:val="24"/>
          <w:szCs w:val="24"/>
        </w:rPr>
      </w:pPr>
      <w:r w:rsidRPr="005A15B2">
        <w:rPr>
          <w:sz w:val="24"/>
          <w:szCs w:val="24"/>
        </w:rPr>
        <w:t>Det naturligt forekommende humane glucagon-lignende peptid</w:t>
      </w:r>
      <w:r w:rsidRPr="005A15B2">
        <w:rPr>
          <w:sz w:val="24"/>
          <w:szCs w:val="24"/>
        </w:rPr>
        <w:noBreakHyphen/>
        <w:t>2 (GLP</w:t>
      </w:r>
      <w:r w:rsidRPr="005A15B2">
        <w:rPr>
          <w:sz w:val="24"/>
          <w:szCs w:val="24"/>
        </w:rPr>
        <w:noBreakHyphen/>
        <w:t>2) er et peptid, der udskilles af tarmens L</w:t>
      </w:r>
      <w:r w:rsidRPr="005A15B2">
        <w:rPr>
          <w:sz w:val="24"/>
          <w:szCs w:val="24"/>
        </w:rPr>
        <w:noBreakHyphen/>
        <w:t>celler, og som er kendt for at øge den intestinale og portale blodgennemstrømning, at hæmme syresekretionen og at nedsætte tarmens motilitet. Teduglutid er en GLP</w:t>
      </w:r>
      <w:r w:rsidRPr="005A15B2">
        <w:rPr>
          <w:sz w:val="24"/>
          <w:szCs w:val="24"/>
        </w:rPr>
        <w:noBreakHyphen/>
        <w:t>2-analog. Det er i flere ikke-kliniske studier vist, at teduglutid har en præserverende virkning på tarmens slimhinde ved at stimulere reparation og normal tarmvækst gennem en forøgelse af højden på villus og dybden af krypter.</w:t>
      </w:r>
    </w:p>
    <w:p w14:paraId="3EBE294A" w14:textId="77777777" w:rsidR="005A15B2" w:rsidRPr="005A15B2" w:rsidRDefault="005A15B2" w:rsidP="005A15B2">
      <w:pPr>
        <w:tabs>
          <w:tab w:val="left" w:pos="851"/>
        </w:tabs>
        <w:ind w:left="851"/>
        <w:rPr>
          <w:sz w:val="24"/>
          <w:szCs w:val="24"/>
        </w:rPr>
      </w:pPr>
    </w:p>
    <w:p w14:paraId="2042C7A3" w14:textId="77777777" w:rsidR="005A15B2" w:rsidRPr="005A15B2" w:rsidRDefault="005A15B2" w:rsidP="005A15B2">
      <w:pPr>
        <w:tabs>
          <w:tab w:val="left" w:pos="851"/>
        </w:tabs>
        <w:ind w:left="851"/>
        <w:rPr>
          <w:sz w:val="24"/>
          <w:szCs w:val="24"/>
        </w:rPr>
      </w:pPr>
      <w:r w:rsidRPr="005A15B2">
        <w:rPr>
          <w:sz w:val="24"/>
          <w:szCs w:val="24"/>
          <w:u w:val="single"/>
        </w:rPr>
        <w:t>Farmakodynamisk virkning</w:t>
      </w:r>
    </w:p>
    <w:p w14:paraId="3CF18431" w14:textId="77777777" w:rsidR="005A15B2" w:rsidRPr="005A15B2" w:rsidRDefault="005A15B2" w:rsidP="005A15B2">
      <w:pPr>
        <w:tabs>
          <w:tab w:val="left" w:pos="851"/>
        </w:tabs>
        <w:ind w:left="851"/>
        <w:rPr>
          <w:sz w:val="24"/>
          <w:szCs w:val="24"/>
        </w:rPr>
      </w:pPr>
      <w:r w:rsidRPr="005A15B2">
        <w:rPr>
          <w:sz w:val="24"/>
          <w:szCs w:val="24"/>
        </w:rPr>
        <w:t>Ligesom GLP</w:t>
      </w:r>
      <w:r w:rsidRPr="005A15B2">
        <w:rPr>
          <w:sz w:val="24"/>
          <w:szCs w:val="24"/>
        </w:rPr>
        <w:noBreakHyphen/>
        <w:t>2 er teduglutid en kæde af 33 aminosyrer med en aminosyresubstitution af glycin i stedet for alanin på 2. position fra den N</w:t>
      </w:r>
      <w:r w:rsidRPr="005A15B2">
        <w:rPr>
          <w:sz w:val="24"/>
          <w:szCs w:val="24"/>
        </w:rPr>
        <w:noBreakHyphen/>
        <w:t>terminale ende. Denne enkelte aminosyresubstitution i forhold til det naturligt forekommende GLP</w:t>
      </w:r>
      <w:r w:rsidRPr="005A15B2">
        <w:rPr>
          <w:sz w:val="24"/>
          <w:szCs w:val="24"/>
        </w:rPr>
        <w:noBreakHyphen/>
        <w:t xml:space="preserve">2 resulterer i resistens overfor </w:t>
      </w:r>
      <w:r w:rsidRPr="005A15B2">
        <w:rPr>
          <w:i/>
          <w:sz w:val="24"/>
          <w:szCs w:val="24"/>
        </w:rPr>
        <w:t xml:space="preserve">in vivo </w:t>
      </w:r>
      <w:r w:rsidRPr="005A15B2">
        <w:rPr>
          <w:sz w:val="24"/>
          <w:szCs w:val="24"/>
        </w:rPr>
        <w:t>nedbrydning via enzymet dipeptidyl</w:t>
      </w:r>
      <w:r w:rsidRPr="005A15B2">
        <w:rPr>
          <w:sz w:val="24"/>
          <w:szCs w:val="24"/>
        </w:rPr>
        <w:noBreakHyphen/>
        <w:t>peptidase</w:t>
      </w:r>
      <w:r w:rsidRPr="005A15B2">
        <w:rPr>
          <w:sz w:val="24"/>
          <w:szCs w:val="24"/>
        </w:rPr>
        <w:noBreakHyphen/>
        <w:t>IV (DPP</w:t>
      </w:r>
      <w:r w:rsidRPr="005A15B2">
        <w:rPr>
          <w:sz w:val="24"/>
          <w:szCs w:val="24"/>
        </w:rPr>
        <w:noBreakHyphen/>
        <w:t>IV), hvilket medfører en forlænget halveringstid. Teduglutid øger højden af tarmtrævler (villus) og kryptdybde i tarmvæggen.</w:t>
      </w:r>
    </w:p>
    <w:p w14:paraId="18692CB0" w14:textId="77777777" w:rsidR="005A15B2" w:rsidRPr="005A15B2" w:rsidRDefault="005A15B2" w:rsidP="005A15B2">
      <w:pPr>
        <w:tabs>
          <w:tab w:val="left" w:pos="851"/>
        </w:tabs>
        <w:ind w:left="851"/>
        <w:rPr>
          <w:sz w:val="24"/>
          <w:szCs w:val="24"/>
        </w:rPr>
      </w:pPr>
    </w:p>
    <w:p w14:paraId="15E40A19" w14:textId="77777777" w:rsidR="005A15B2" w:rsidRPr="005A15B2" w:rsidRDefault="005A15B2" w:rsidP="005A15B2">
      <w:pPr>
        <w:tabs>
          <w:tab w:val="left" w:pos="851"/>
        </w:tabs>
        <w:ind w:left="851"/>
        <w:rPr>
          <w:sz w:val="24"/>
          <w:szCs w:val="24"/>
        </w:rPr>
      </w:pPr>
      <w:r w:rsidRPr="005A15B2">
        <w:rPr>
          <w:sz w:val="24"/>
          <w:szCs w:val="24"/>
        </w:rPr>
        <w:t>Baseret på fund i de non</w:t>
      </w:r>
      <w:r w:rsidRPr="005A15B2">
        <w:rPr>
          <w:sz w:val="24"/>
          <w:szCs w:val="24"/>
        </w:rPr>
        <w:noBreakHyphen/>
        <w:t>kliniske studier (se pkt. 4.4 og 5.3) og den foreslåede virkningsmekanisme med de trofiske virkninger på tarmens slimhinde forekommer der at være en risiko for en fremskynding af tyndtarms- og/eller colon-neoplasi. De gennemførte kliniske studier kunne hverken af-eller bekræfte en sådan øget risiko. Der forekom flere tilfælde af benigne kolorektale polypper i studierne, men sammenlignet med placebo-behandlede patienter var hyppigheden dog ikke forøget. Ved behandlingsstart bør der, ud over en gennemført koloskopi med fjernelse af polypper (se pkt. 4.4), foretages en vurdering af hver patient baseret på egne karakteristika (f.eks. alder og underliggende sygdom, tidligere forekomst af polypper m.m.), med hensyn til vurdering af nødvendighed af en skærpet overvågning.</w:t>
      </w:r>
    </w:p>
    <w:p w14:paraId="6864105C" w14:textId="77777777" w:rsidR="005A15B2" w:rsidRPr="005A15B2" w:rsidRDefault="005A15B2" w:rsidP="005A15B2">
      <w:pPr>
        <w:tabs>
          <w:tab w:val="left" w:pos="851"/>
        </w:tabs>
        <w:ind w:left="851"/>
        <w:rPr>
          <w:sz w:val="24"/>
          <w:szCs w:val="24"/>
        </w:rPr>
      </w:pPr>
    </w:p>
    <w:p w14:paraId="61D48ADD" w14:textId="77777777" w:rsidR="005A15B2" w:rsidRPr="005A15B2" w:rsidRDefault="005A15B2" w:rsidP="005A15B2">
      <w:pPr>
        <w:tabs>
          <w:tab w:val="left" w:pos="851"/>
        </w:tabs>
        <w:ind w:left="851"/>
        <w:rPr>
          <w:sz w:val="24"/>
          <w:szCs w:val="24"/>
        </w:rPr>
      </w:pPr>
      <w:r w:rsidRPr="005A15B2">
        <w:rPr>
          <w:sz w:val="24"/>
          <w:szCs w:val="24"/>
          <w:u w:val="single"/>
        </w:rPr>
        <w:t>Klinisk virkning</w:t>
      </w:r>
    </w:p>
    <w:p w14:paraId="31E01A46" w14:textId="77777777" w:rsidR="005A15B2" w:rsidRPr="005A15B2" w:rsidRDefault="005A15B2" w:rsidP="005A15B2">
      <w:pPr>
        <w:tabs>
          <w:tab w:val="left" w:pos="851"/>
        </w:tabs>
        <w:ind w:left="851"/>
        <w:rPr>
          <w:sz w:val="24"/>
          <w:szCs w:val="24"/>
        </w:rPr>
      </w:pPr>
    </w:p>
    <w:p w14:paraId="7D5CCF09" w14:textId="77777777" w:rsidR="005A15B2" w:rsidRPr="005A15B2" w:rsidRDefault="005A15B2" w:rsidP="005A15B2">
      <w:pPr>
        <w:tabs>
          <w:tab w:val="left" w:pos="851"/>
        </w:tabs>
        <w:ind w:left="851"/>
        <w:rPr>
          <w:sz w:val="24"/>
          <w:szCs w:val="24"/>
        </w:rPr>
      </w:pPr>
      <w:r w:rsidRPr="005A15B2">
        <w:rPr>
          <w:sz w:val="24"/>
          <w:szCs w:val="24"/>
          <w:u w:val="single"/>
        </w:rPr>
        <w:t>Pædiatrisk population</w:t>
      </w:r>
    </w:p>
    <w:p w14:paraId="6C7F83C7" w14:textId="77777777" w:rsidR="005A15B2" w:rsidRPr="005A15B2" w:rsidRDefault="005A15B2" w:rsidP="005A15B2">
      <w:pPr>
        <w:tabs>
          <w:tab w:val="left" w:pos="851"/>
        </w:tabs>
        <w:ind w:left="851"/>
        <w:rPr>
          <w:sz w:val="24"/>
          <w:szCs w:val="24"/>
        </w:rPr>
      </w:pPr>
    </w:p>
    <w:p w14:paraId="72EF5EB4" w14:textId="77777777" w:rsidR="005A15B2" w:rsidRPr="005A15B2" w:rsidRDefault="005A15B2" w:rsidP="005A15B2">
      <w:pPr>
        <w:tabs>
          <w:tab w:val="left" w:pos="851"/>
        </w:tabs>
        <w:ind w:left="851"/>
        <w:rPr>
          <w:i/>
          <w:sz w:val="24"/>
          <w:szCs w:val="24"/>
        </w:rPr>
      </w:pPr>
      <w:r w:rsidRPr="005A15B2">
        <w:rPr>
          <w:i/>
          <w:sz w:val="24"/>
          <w:szCs w:val="24"/>
        </w:rPr>
        <w:t>Pædiatrisk population fra 4 måneder til under 12 måneder</w:t>
      </w:r>
    </w:p>
    <w:p w14:paraId="64111181" w14:textId="77777777" w:rsidR="005A15B2" w:rsidRPr="005A15B2" w:rsidRDefault="005A15B2" w:rsidP="005A15B2">
      <w:pPr>
        <w:tabs>
          <w:tab w:val="left" w:pos="851"/>
        </w:tabs>
        <w:ind w:left="851"/>
        <w:rPr>
          <w:sz w:val="24"/>
          <w:szCs w:val="24"/>
        </w:rPr>
      </w:pPr>
      <w:r w:rsidRPr="005A15B2">
        <w:rPr>
          <w:sz w:val="24"/>
          <w:szCs w:val="24"/>
        </w:rPr>
        <w:t>De fremkomne effektresultater er afledt af 1 kontrolleret og 1 ukontrolleret hovedstudie i 28 uger og 2 forlængelsesstudier på op til 9 cyklusser (24 uger pr. cyklus) af behandling med teduglutid. Disse</w:t>
      </w:r>
    </w:p>
    <w:p w14:paraId="7DD97446" w14:textId="77777777" w:rsidR="005A15B2" w:rsidRPr="005A15B2" w:rsidRDefault="005A15B2" w:rsidP="005A15B2">
      <w:pPr>
        <w:tabs>
          <w:tab w:val="left" w:pos="851"/>
        </w:tabs>
        <w:ind w:left="851"/>
        <w:rPr>
          <w:sz w:val="24"/>
          <w:szCs w:val="24"/>
        </w:rPr>
      </w:pPr>
      <w:r w:rsidRPr="005A15B2">
        <w:rPr>
          <w:sz w:val="24"/>
          <w:szCs w:val="24"/>
        </w:rPr>
        <w:t xml:space="preserve">studier medtog spædbørn på 4 til &lt; 12 måneders korrigeret svangerskabsalder: 10 spædbørn (2 spædbørn i alderen 4 til &lt; 6 måneder, 8 i alderen 6 til &lt; 12 måneder) i det kontrollerede studie (5 i teduglutid-gruppen og 5 i gruppen med standardbehandling), 2 spædbørn i det ukontrollerede studie (begge i behandling). I det kontrollerede hovedstudie gennemførte 6 ud af de 10 spædbørn hovedstudiet og fortsatte i forlængelsesstudiet (5 behandlet og 1 ikke-behandlet). I det ukontrollerede hovedstudie gennemførte 2 spædbørn studiet og fortsatte i det andet forlængelsesstudie (begge behandlet). Spædbørnene i disse studier blev behandlet med 0,05 mg/kg kropsvægt/dag teduglutid. Trods den begrænsede prøvestørrelse i hovedstudiet og forlængelsesstudiet blev </w:t>
      </w:r>
      <w:r w:rsidRPr="005A15B2">
        <w:rPr>
          <w:sz w:val="24"/>
          <w:szCs w:val="24"/>
        </w:rPr>
        <w:lastRenderedPageBreak/>
        <w:t>der observeret klinisk meningsfulde numeriske reduceringer i behovet for parenteral support (PS).</w:t>
      </w:r>
    </w:p>
    <w:p w14:paraId="1A4EAFA5" w14:textId="77777777" w:rsidR="005A15B2" w:rsidRPr="005A15B2" w:rsidRDefault="005A15B2" w:rsidP="005A15B2">
      <w:pPr>
        <w:tabs>
          <w:tab w:val="left" w:pos="851"/>
        </w:tabs>
        <w:ind w:left="851"/>
        <w:rPr>
          <w:sz w:val="24"/>
          <w:szCs w:val="24"/>
        </w:rPr>
      </w:pPr>
    </w:p>
    <w:p w14:paraId="57B51D7D" w14:textId="77777777" w:rsidR="005A15B2" w:rsidRPr="005A15B2" w:rsidRDefault="005A15B2" w:rsidP="005A15B2">
      <w:pPr>
        <w:tabs>
          <w:tab w:val="left" w:pos="851"/>
        </w:tabs>
        <w:ind w:left="851"/>
        <w:rPr>
          <w:iCs/>
          <w:sz w:val="24"/>
          <w:szCs w:val="24"/>
        </w:rPr>
      </w:pPr>
      <w:r w:rsidRPr="005A15B2">
        <w:rPr>
          <w:iCs/>
          <w:sz w:val="24"/>
          <w:szCs w:val="24"/>
        </w:rPr>
        <w:t>Kontrolleret hovedstudie</w:t>
      </w:r>
    </w:p>
    <w:p w14:paraId="5A39285D" w14:textId="77777777" w:rsidR="005A15B2" w:rsidRPr="005A15B2" w:rsidRDefault="005A15B2" w:rsidP="005A15B2">
      <w:pPr>
        <w:tabs>
          <w:tab w:val="left" w:pos="851"/>
        </w:tabs>
        <w:ind w:left="851"/>
        <w:rPr>
          <w:sz w:val="24"/>
          <w:szCs w:val="24"/>
        </w:rPr>
      </w:pPr>
    </w:p>
    <w:p w14:paraId="5DCE5D76" w14:textId="77777777" w:rsidR="005A15B2" w:rsidRPr="005A15B2" w:rsidRDefault="005A15B2" w:rsidP="005A15B2">
      <w:pPr>
        <w:tabs>
          <w:tab w:val="left" w:pos="851"/>
        </w:tabs>
        <w:ind w:left="851"/>
        <w:rPr>
          <w:i/>
          <w:iCs/>
          <w:sz w:val="24"/>
          <w:szCs w:val="24"/>
        </w:rPr>
      </w:pPr>
      <w:r w:rsidRPr="005A15B2">
        <w:rPr>
          <w:i/>
          <w:iCs/>
          <w:sz w:val="24"/>
          <w:szCs w:val="24"/>
        </w:rPr>
        <w:t>Fuldstændig afvænning</w:t>
      </w:r>
    </w:p>
    <w:p w14:paraId="50E4645D" w14:textId="77777777" w:rsidR="005A15B2" w:rsidRPr="005A15B2" w:rsidRDefault="005A15B2" w:rsidP="005A15B2">
      <w:pPr>
        <w:tabs>
          <w:tab w:val="left" w:pos="851"/>
        </w:tabs>
        <w:ind w:left="851"/>
        <w:rPr>
          <w:sz w:val="24"/>
          <w:szCs w:val="24"/>
        </w:rPr>
      </w:pPr>
      <w:r w:rsidRPr="005A15B2">
        <w:rPr>
          <w:sz w:val="24"/>
          <w:szCs w:val="24"/>
        </w:rPr>
        <w:t>Ingen forsøgspersoner opnåede enteral autonomi, dvs. komplet afvænning fra PS i løbet af studiet.</w:t>
      </w:r>
    </w:p>
    <w:p w14:paraId="64EB1E39" w14:textId="77777777" w:rsidR="005A15B2" w:rsidRPr="005A15B2" w:rsidRDefault="005A15B2" w:rsidP="005A15B2">
      <w:pPr>
        <w:tabs>
          <w:tab w:val="left" w:pos="851"/>
        </w:tabs>
        <w:ind w:left="851"/>
        <w:rPr>
          <w:sz w:val="24"/>
          <w:szCs w:val="24"/>
        </w:rPr>
      </w:pPr>
    </w:p>
    <w:p w14:paraId="2AF353C4" w14:textId="77777777" w:rsidR="005A15B2" w:rsidRPr="005A15B2" w:rsidRDefault="005A15B2" w:rsidP="005A15B2">
      <w:pPr>
        <w:tabs>
          <w:tab w:val="left" w:pos="851"/>
        </w:tabs>
        <w:ind w:left="851"/>
        <w:rPr>
          <w:i/>
          <w:sz w:val="24"/>
          <w:szCs w:val="24"/>
        </w:rPr>
      </w:pPr>
      <w:r w:rsidRPr="005A15B2">
        <w:rPr>
          <w:i/>
          <w:iCs/>
          <w:sz w:val="24"/>
          <w:szCs w:val="24"/>
        </w:rPr>
        <w:t xml:space="preserve">Reduktion </w:t>
      </w:r>
      <w:r w:rsidRPr="005A15B2">
        <w:rPr>
          <w:i/>
          <w:sz w:val="24"/>
          <w:szCs w:val="24"/>
        </w:rPr>
        <w:t>i parenteralt ernæringsvolumen</w:t>
      </w:r>
    </w:p>
    <w:p w14:paraId="53E13EA0" w14:textId="77777777" w:rsidR="005A15B2" w:rsidRPr="005A15B2" w:rsidRDefault="005A15B2" w:rsidP="005A15B2">
      <w:pPr>
        <w:tabs>
          <w:tab w:val="left" w:pos="851"/>
        </w:tabs>
        <w:ind w:left="851"/>
        <w:rPr>
          <w:sz w:val="24"/>
          <w:szCs w:val="24"/>
        </w:rPr>
      </w:pPr>
      <w:r w:rsidRPr="005A15B2">
        <w:rPr>
          <w:sz w:val="24"/>
          <w:szCs w:val="24"/>
        </w:rPr>
        <w:t>I det kontrollerede hovedstudie, baseret på dagbogsdata om forsøgspersonerne, oplevede 3 (60,0 %) forsøgspersoner, som var inkluderet i TED-gruppen (teduglutid), og 1 (20,0 %) forsøgsperson i SOC-gruppen (</w:t>
      </w:r>
      <w:r w:rsidRPr="005A15B2">
        <w:rPr>
          <w:i/>
          <w:sz w:val="24"/>
          <w:szCs w:val="24"/>
        </w:rPr>
        <w:t>standard of care</w:t>
      </w:r>
      <w:r w:rsidRPr="005A15B2">
        <w:rPr>
          <w:sz w:val="24"/>
          <w:szCs w:val="24"/>
        </w:rPr>
        <w:t>), mindst 20 % reduktion i PS</w:t>
      </w:r>
      <w:r w:rsidRPr="005A15B2">
        <w:rPr>
          <w:sz w:val="24"/>
          <w:szCs w:val="24"/>
        </w:rPr>
        <w:noBreakHyphen/>
        <w:t>mængden ved behandlingens afslutning (</w:t>
      </w:r>
      <w:r w:rsidRPr="005A15B2">
        <w:rPr>
          <w:i/>
          <w:sz w:val="24"/>
          <w:szCs w:val="24"/>
        </w:rPr>
        <w:t>end of treatment</w:t>
      </w:r>
      <w:r w:rsidRPr="005A15B2">
        <w:rPr>
          <w:sz w:val="24"/>
          <w:szCs w:val="24"/>
        </w:rPr>
        <w:t xml:space="preserve">, EOT) i forhold til </w:t>
      </w:r>
      <w:r w:rsidRPr="005A15B2">
        <w:rPr>
          <w:i/>
          <w:sz w:val="24"/>
          <w:szCs w:val="24"/>
        </w:rPr>
        <w:t xml:space="preserve">baseline </w:t>
      </w:r>
      <w:r w:rsidRPr="005A15B2">
        <w:rPr>
          <w:sz w:val="24"/>
          <w:szCs w:val="24"/>
        </w:rPr>
        <w:t xml:space="preserve">(2 forsøgspersoner i SOC-gruppen havde manglende data). I TED-gruppen var den gennemsnitlige ændring i PS-mængden ved EOT i forhold til </w:t>
      </w:r>
      <w:r w:rsidRPr="005A15B2">
        <w:rPr>
          <w:i/>
          <w:sz w:val="24"/>
          <w:szCs w:val="24"/>
        </w:rPr>
        <w:t xml:space="preserve">baseline </w:t>
      </w:r>
      <w:r w:rsidRPr="005A15B2">
        <w:rPr>
          <w:sz w:val="24"/>
          <w:szCs w:val="24"/>
        </w:rPr>
        <w:noBreakHyphen/>
        <w:t>21,5 ± 28,91 ml/kg/dag (</w:t>
      </w:r>
      <w:r w:rsidRPr="005A15B2">
        <w:rPr>
          <w:sz w:val="24"/>
          <w:szCs w:val="24"/>
        </w:rPr>
        <w:noBreakHyphen/>
        <w:t xml:space="preserve">24,8 %). I SOC-gruppen var den gennemsnitlige ændring i PS-mængden ved EOT i forhold til </w:t>
      </w:r>
      <w:r w:rsidRPr="005A15B2">
        <w:rPr>
          <w:i/>
          <w:sz w:val="24"/>
          <w:szCs w:val="24"/>
        </w:rPr>
        <w:t xml:space="preserve">baseline </w:t>
      </w:r>
      <w:r w:rsidRPr="005A15B2">
        <w:rPr>
          <w:sz w:val="24"/>
          <w:szCs w:val="24"/>
        </w:rPr>
        <w:noBreakHyphen/>
        <w:t>9,5 ± 7,50 ml/kg/dag (</w:t>
      </w:r>
      <w:r w:rsidRPr="005A15B2">
        <w:rPr>
          <w:sz w:val="24"/>
          <w:szCs w:val="24"/>
        </w:rPr>
        <w:noBreakHyphen/>
        <w:t>16,8 %).</w:t>
      </w:r>
    </w:p>
    <w:p w14:paraId="032C515A" w14:textId="77777777" w:rsidR="005A15B2" w:rsidRPr="005A15B2" w:rsidRDefault="005A15B2" w:rsidP="005A15B2">
      <w:pPr>
        <w:tabs>
          <w:tab w:val="left" w:pos="851"/>
        </w:tabs>
        <w:ind w:left="851"/>
        <w:rPr>
          <w:sz w:val="24"/>
          <w:szCs w:val="24"/>
        </w:rPr>
      </w:pPr>
    </w:p>
    <w:p w14:paraId="56399946" w14:textId="77777777" w:rsidR="005A15B2" w:rsidRPr="005A15B2" w:rsidRDefault="005A15B2" w:rsidP="005A15B2">
      <w:pPr>
        <w:tabs>
          <w:tab w:val="left" w:pos="851"/>
        </w:tabs>
        <w:ind w:left="851"/>
        <w:rPr>
          <w:sz w:val="24"/>
          <w:szCs w:val="24"/>
        </w:rPr>
      </w:pPr>
      <w:r w:rsidRPr="005A15B2">
        <w:rPr>
          <w:i/>
          <w:iCs/>
          <w:sz w:val="24"/>
          <w:szCs w:val="24"/>
        </w:rPr>
        <w:t>Reduktion i</w:t>
      </w:r>
      <w:r w:rsidRPr="005A15B2">
        <w:rPr>
          <w:sz w:val="24"/>
          <w:szCs w:val="24"/>
        </w:rPr>
        <w:t xml:space="preserve"> </w:t>
      </w:r>
      <w:r w:rsidRPr="005A15B2">
        <w:rPr>
          <w:i/>
          <w:sz w:val="24"/>
          <w:szCs w:val="24"/>
        </w:rPr>
        <w:t>kalorieindtagelsen ved parenteral ernæring</w:t>
      </w:r>
    </w:p>
    <w:p w14:paraId="7AB9F961" w14:textId="77777777" w:rsidR="005A15B2" w:rsidRPr="005A15B2" w:rsidRDefault="005A15B2" w:rsidP="005A15B2">
      <w:pPr>
        <w:tabs>
          <w:tab w:val="left" w:pos="851"/>
        </w:tabs>
        <w:ind w:left="851"/>
        <w:rPr>
          <w:i/>
          <w:sz w:val="24"/>
          <w:szCs w:val="24"/>
        </w:rPr>
      </w:pPr>
      <w:r w:rsidRPr="005A15B2">
        <w:rPr>
          <w:sz w:val="24"/>
          <w:szCs w:val="24"/>
        </w:rPr>
        <w:t xml:space="preserve">Baseret på dagbogsdata om forsøgspersonerne i det kontrollerede hovedstudie var den gennemsnitlige procentvise ændring i PS-kalorieindtagelse ved EOT i forhold til </w:t>
      </w:r>
      <w:r w:rsidRPr="005A15B2">
        <w:rPr>
          <w:i/>
          <w:sz w:val="24"/>
          <w:szCs w:val="24"/>
        </w:rPr>
        <w:t xml:space="preserve">baseline </w:t>
      </w:r>
      <w:r w:rsidRPr="005A15B2">
        <w:rPr>
          <w:sz w:val="24"/>
          <w:szCs w:val="24"/>
        </w:rPr>
        <w:noBreakHyphen/>
        <w:t xml:space="preserve">27,0 ± 29,47 % for forsøgspersoner i TED-gruppen og </w:t>
      </w:r>
      <w:r w:rsidRPr="005A15B2">
        <w:rPr>
          <w:sz w:val="24"/>
          <w:szCs w:val="24"/>
        </w:rPr>
        <w:noBreakHyphen/>
        <w:t>13,7 ± 21,87 % i SOC-gruppen</w:t>
      </w:r>
      <w:r w:rsidRPr="005A15B2">
        <w:rPr>
          <w:i/>
          <w:sz w:val="24"/>
          <w:szCs w:val="24"/>
        </w:rPr>
        <w:t>.</w:t>
      </w:r>
    </w:p>
    <w:p w14:paraId="4BA1051C" w14:textId="77777777" w:rsidR="005A15B2" w:rsidRPr="005A15B2" w:rsidRDefault="005A15B2" w:rsidP="005A15B2">
      <w:pPr>
        <w:tabs>
          <w:tab w:val="left" w:pos="851"/>
        </w:tabs>
        <w:ind w:left="851"/>
        <w:rPr>
          <w:sz w:val="24"/>
          <w:szCs w:val="24"/>
        </w:rPr>
      </w:pPr>
    </w:p>
    <w:p w14:paraId="7B4DDB36" w14:textId="77777777" w:rsidR="005A15B2" w:rsidRPr="005A15B2" w:rsidRDefault="005A15B2" w:rsidP="005A15B2">
      <w:pPr>
        <w:tabs>
          <w:tab w:val="left" w:pos="851"/>
        </w:tabs>
        <w:ind w:left="851"/>
        <w:rPr>
          <w:i/>
          <w:iCs/>
          <w:sz w:val="24"/>
          <w:szCs w:val="24"/>
        </w:rPr>
      </w:pPr>
      <w:r w:rsidRPr="005A15B2">
        <w:rPr>
          <w:i/>
          <w:iCs/>
          <w:sz w:val="24"/>
          <w:szCs w:val="24"/>
        </w:rPr>
        <w:t>Reduktion i infusionstid</w:t>
      </w:r>
    </w:p>
    <w:p w14:paraId="74DF90DD" w14:textId="77777777" w:rsidR="005A15B2" w:rsidRPr="005A15B2" w:rsidRDefault="005A15B2" w:rsidP="005A15B2">
      <w:pPr>
        <w:tabs>
          <w:tab w:val="left" w:pos="851"/>
        </w:tabs>
        <w:ind w:left="851"/>
        <w:rPr>
          <w:sz w:val="24"/>
          <w:szCs w:val="24"/>
        </w:rPr>
      </w:pPr>
      <w:r w:rsidRPr="005A15B2">
        <w:rPr>
          <w:sz w:val="24"/>
          <w:szCs w:val="24"/>
        </w:rPr>
        <w:t xml:space="preserve">I det kontrollerede hovedstudie, i TED-gruppen, var den gennemsnitlige ændring i daglig PS-anvendelse ved EOT i forhold til </w:t>
      </w:r>
      <w:r w:rsidRPr="005A15B2">
        <w:rPr>
          <w:i/>
          <w:sz w:val="24"/>
          <w:szCs w:val="24"/>
        </w:rPr>
        <w:t xml:space="preserve">baseline </w:t>
      </w:r>
      <w:r w:rsidRPr="005A15B2">
        <w:rPr>
          <w:sz w:val="24"/>
          <w:szCs w:val="24"/>
        </w:rPr>
        <w:noBreakHyphen/>
        <w:t>3,1 ± 3,31 timer dagligt (</w:t>
      </w:r>
      <w:r w:rsidRPr="005A15B2">
        <w:rPr>
          <w:sz w:val="24"/>
          <w:szCs w:val="24"/>
        </w:rPr>
        <w:noBreakHyphen/>
        <w:t xml:space="preserve">28,9 %) og </w:t>
      </w:r>
      <w:r w:rsidRPr="005A15B2">
        <w:rPr>
          <w:sz w:val="24"/>
          <w:szCs w:val="24"/>
        </w:rPr>
        <w:noBreakHyphen/>
        <w:t>1,9 ± 2,01 dage pr. uge (</w:t>
      </w:r>
      <w:r w:rsidRPr="005A15B2">
        <w:rPr>
          <w:sz w:val="24"/>
          <w:szCs w:val="24"/>
        </w:rPr>
        <w:noBreakHyphen/>
        <w:t xml:space="preserve">28,5 %). I SOC-gruppen var den gennemsnitlige ændring i daglig PS-anvendelse ved EOT i forhold til </w:t>
      </w:r>
      <w:r w:rsidRPr="005A15B2">
        <w:rPr>
          <w:i/>
          <w:sz w:val="24"/>
          <w:szCs w:val="24"/>
        </w:rPr>
        <w:t xml:space="preserve">baseline </w:t>
      </w:r>
      <w:r w:rsidRPr="005A15B2">
        <w:rPr>
          <w:sz w:val="24"/>
          <w:szCs w:val="24"/>
        </w:rPr>
        <w:noBreakHyphen/>
        <w:t>0,3 ± 0,63 timer dagligt (</w:t>
      </w:r>
      <w:r w:rsidRPr="005A15B2">
        <w:rPr>
          <w:sz w:val="24"/>
          <w:szCs w:val="24"/>
        </w:rPr>
        <w:noBreakHyphen/>
        <w:t>1,9 %). Der var ingen ændring i PS-infusionstid for antal dage pr. uge.</w:t>
      </w:r>
    </w:p>
    <w:p w14:paraId="3FC55E01" w14:textId="77777777" w:rsidR="005A15B2" w:rsidRPr="005A15B2" w:rsidRDefault="005A15B2" w:rsidP="005A15B2">
      <w:pPr>
        <w:tabs>
          <w:tab w:val="left" w:pos="851"/>
        </w:tabs>
        <w:ind w:left="851"/>
        <w:rPr>
          <w:i/>
          <w:sz w:val="24"/>
          <w:szCs w:val="24"/>
        </w:rPr>
      </w:pPr>
    </w:p>
    <w:p w14:paraId="11B41F9D" w14:textId="77777777" w:rsidR="005A15B2" w:rsidRPr="005A15B2" w:rsidRDefault="005A15B2" w:rsidP="005A15B2">
      <w:pPr>
        <w:tabs>
          <w:tab w:val="left" w:pos="851"/>
        </w:tabs>
        <w:ind w:left="851"/>
        <w:rPr>
          <w:iCs/>
          <w:sz w:val="24"/>
          <w:szCs w:val="24"/>
        </w:rPr>
      </w:pPr>
      <w:r w:rsidRPr="005A15B2">
        <w:rPr>
          <w:iCs/>
          <w:sz w:val="24"/>
          <w:szCs w:val="24"/>
        </w:rPr>
        <w:t>Ukontrolleret hovedstudie</w:t>
      </w:r>
    </w:p>
    <w:p w14:paraId="462D75F1" w14:textId="77777777" w:rsidR="005A15B2" w:rsidRPr="005A15B2" w:rsidRDefault="005A15B2" w:rsidP="005A15B2">
      <w:pPr>
        <w:tabs>
          <w:tab w:val="left" w:pos="851"/>
        </w:tabs>
        <w:ind w:left="851"/>
        <w:rPr>
          <w:i/>
          <w:iCs/>
          <w:sz w:val="24"/>
          <w:szCs w:val="24"/>
        </w:rPr>
      </w:pPr>
    </w:p>
    <w:p w14:paraId="59128953" w14:textId="77777777" w:rsidR="005A15B2" w:rsidRPr="005A15B2" w:rsidRDefault="005A15B2" w:rsidP="005A15B2">
      <w:pPr>
        <w:tabs>
          <w:tab w:val="left" w:pos="851"/>
        </w:tabs>
        <w:ind w:left="851"/>
        <w:rPr>
          <w:i/>
          <w:iCs/>
          <w:sz w:val="24"/>
          <w:szCs w:val="24"/>
        </w:rPr>
      </w:pPr>
      <w:r w:rsidRPr="005A15B2">
        <w:rPr>
          <w:i/>
          <w:iCs/>
          <w:sz w:val="24"/>
          <w:szCs w:val="24"/>
        </w:rPr>
        <w:t>Fuldstændig afvænning</w:t>
      </w:r>
    </w:p>
    <w:p w14:paraId="372B08C6" w14:textId="77777777" w:rsidR="005A15B2" w:rsidRPr="005A15B2" w:rsidRDefault="005A15B2" w:rsidP="005A15B2">
      <w:pPr>
        <w:tabs>
          <w:tab w:val="left" w:pos="851"/>
        </w:tabs>
        <w:ind w:left="851"/>
        <w:rPr>
          <w:sz w:val="24"/>
          <w:szCs w:val="24"/>
        </w:rPr>
      </w:pPr>
      <w:r w:rsidRPr="005A15B2">
        <w:rPr>
          <w:sz w:val="24"/>
          <w:szCs w:val="24"/>
        </w:rPr>
        <w:t>Ingen spædbørn opnåede komplet afvænning.</w:t>
      </w:r>
    </w:p>
    <w:p w14:paraId="08FC62AF" w14:textId="77777777" w:rsidR="005A15B2" w:rsidRPr="005A15B2" w:rsidRDefault="005A15B2" w:rsidP="005A15B2">
      <w:pPr>
        <w:tabs>
          <w:tab w:val="left" w:pos="851"/>
        </w:tabs>
        <w:ind w:left="851"/>
        <w:rPr>
          <w:i/>
          <w:iCs/>
          <w:sz w:val="24"/>
          <w:szCs w:val="24"/>
        </w:rPr>
      </w:pPr>
    </w:p>
    <w:p w14:paraId="55628361" w14:textId="77777777" w:rsidR="005A15B2" w:rsidRPr="005A15B2" w:rsidRDefault="005A15B2" w:rsidP="005A15B2">
      <w:pPr>
        <w:tabs>
          <w:tab w:val="left" w:pos="851"/>
        </w:tabs>
        <w:ind w:left="851"/>
        <w:rPr>
          <w:i/>
          <w:iCs/>
          <w:sz w:val="24"/>
          <w:szCs w:val="24"/>
        </w:rPr>
      </w:pPr>
      <w:r w:rsidRPr="005A15B2">
        <w:rPr>
          <w:i/>
          <w:iCs/>
          <w:sz w:val="24"/>
          <w:szCs w:val="24"/>
        </w:rPr>
        <w:t>Reduktion</w:t>
      </w:r>
      <w:r w:rsidRPr="005A15B2">
        <w:rPr>
          <w:i/>
          <w:sz w:val="24"/>
          <w:szCs w:val="24"/>
        </w:rPr>
        <w:t xml:space="preserve"> i parenteralt ernæringsvolumen</w:t>
      </w:r>
    </w:p>
    <w:p w14:paraId="3F56F5BB" w14:textId="77777777" w:rsidR="005A15B2" w:rsidRPr="005A15B2" w:rsidRDefault="005A15B2" w:rsidP="005A15B2">
      <w:pPr>
        <w:tabs>
          <w:tab w:val="left" w:pos="851"/>
        </w:tabs>
        <w:ind w:left="851"/>
        <w:rPr>
          <w:sz w:val="24"/>
          <w:szCs w:val="24"/>
        </w:rPr>
      </w:pPr>
      <w:r w:rsidRPr="005A15B2">
        <w:rPr>
          <w:sz w:val="24"/>
          <w:szCs w:val="24"/>
        </w:rPr>
        <w:t xml:space="preserve">Blandt de 2 spædbørn, som gennemførte studiet, blev en reduktion på ≥ 20 % i PS-mængden observeret hos 1 spædbarn under behandling med teduglutid. Den gennemsnitlige ændring i PS-mængden ved EOT i forhold til </w:t>
      </w:r>
      <w:r w:rsidRPr="005A15B2">
        <w:rPr>
          <w:i/>
          <w:sz w:val="24"/>
          <w:szCs w:val="24"/>
        </w:rPr>
        <w:t xml:space="preserve">baseline </w:t>
      </w:r>
      <w:r w:rsidRPr="005A15B2">
        <w:rPr>
          <w:sz w:val="24"/>
          <w:szCs w:val="24"/>
        </w:rPr>
        <w:t xml:space="preserve">var </w:t>
      </w:r>
      <w:r w:rsidRPr="005A15B2">
        <w:rPr>
          <w:sz w:val="24"/>
          <w:szCs w:val="24"/>
        </w:rPr>
        <w:noBreakHyphen/>
        <w:t>26,2 ± 13,61 ml/kg/dag (</w:t>
      </w:r>
      <w:r w:rsidRPr="005A15B2">
        <w:rPr>
          <w:sz w:val="24"/>
          <w:szCs w:val="24"/>
        </w:rPr>
        <w:noBreakHyphen/>
        <w:t>26,7 %).</w:t>
      </w:r>
    </w:p>
    <w:p w14:paraId="061DEA71" w14:textId="77777777" w:rsidR="005A15B2" w:rsidRPr="005A15B2" w:rsidRDefault="005A15B2" w:rsidP="005A15B2">
      <w:pPr>
        <w:tabs>
          <w:tab w:val="left" w:pos="851"/>
        </w:tabs>
        <w:ind w:left="851"/>
        <w:rPr>
          <w:sz w:val="24"/>
          <w:szCs w:val="24"/>
        </w:rPr>
      </w:pPr>
    </w:p>
    <w:p w14:paraId="44B7ACEB" w14:textId="77777777" w:rsidR="005A15B2" w:rsidRPr="005A15B2" w:rsidRDefault="005A15B2" w:rsidP="005A15B2">
      <w:pPr>
        <w:tabs>
          <w:tab w:val="left" w:pos="851"/>
        </w:tabs>
        <w:ind w:left="851"/>
        <w:rPr>
          <w:i/>
          <w:iCs/>
          <w:sz w:val="24"/>
          <w:szCs w:val="24"/>
        </w:rPr>
      </w:pPr>
      <w:r w:rsidRPr="005A15B2">
        <w:rPr>
          <w:i/>
          <w:iCs/>
          <w:sz w:val="24"/>
          <w:szCs w:val="24"/>
        </w:rPr>
        <w:t xml:space="preserve">Reduktion i </w:t>
      </w:r>
      <w:r w:rsidRPr="005A15B2">
        <w:rPr>
          <w:i/>
          <w:sz w:val="24"/>
          <w:szCs w:val="24"/>
        </w:rPr>
        <w:t>kalorieindtagelsen ved parenteral ernæring</w:t>
      </w:r>
    </w:p>
    <w:p w14:paraId="5571923B" w14:textId="77777777" w:rsidR="005A15B2" w:rsidRPr="005A15B2" w:rsidRDefault="005A15B2" w:rsidP="005A15B2">
      <w:pPr>
        <w:tabs>
          <w:tab w:val="left" w:pos="851"/>
        </w:tabs>
        <w:ind w:left="851"/>
        <w:rPr>
          <w:sz w:val="24"/>
          <w:szCs w:val="24"/>
        </w:rPr>
      </w:pPr>
      <w:r w:rsidRPr="005A15B2">
        <w:rPr>
          <w:sz w:val="24"/>
          <w:szCs w:val="24"/>
        </w:rPr>
        <w:t xml:space="preserve">Den gennemsnitlige ændring i PS-kalorieindtagelse ved EOT i forhold til </w:t>
      </w:r>
      <w:r w:rsidRPr="005A15B2">
        <w:rPr>
          <w:i/>
          <w:sz w:val="24"/>
          <w:szCs w:val="24"/>
        </w:rPr>
        <w:t xml:space="preserve">baseline </w:t>
      </w:r>
      <w:r w:rsidRPr="005A15B2">
        <w:rPr>
          <w:sz w:val="24"/>
          <w:szCs w:val="24"/>
        </w:rPr>
        <w:t xml:space="preserve">hos spædbørn var </w:t>
      </w:r>
      <w:r w:rsidRPr="005A15B2">
        <w:rPr>
          <w:sz w:val="24"/>
          <w:szCs w:val="24"/>
        </w:rPr>
        <w:noBreakHyphen/>
        <w:t>13,8 ± 3,17 kcal/kg/dag (</w:t>
      </w:r>
      <w:r w:rsidRPr="005A15B2">
        <w:rPr>
          <w:sz w:val="24"/>
          <w:szCs w:val="24"/>
        </w:rPr>
        <w:noBreakHyphen/>
        <w:t>25,7 %).</w:t>
      </w:r>
    </w:p>
    <w:p w14:paraId="0103B9A1" w14:textId="77777777" w:rsidR="005A15B2" w:rsidRPr="005A15B2" w:rsidRDefault="005A15B2" w:rsidP="005A15B2">
      <w:pPr>
        <w:tabs>
          <w:tab w:val="left" w:pos="851"/>
        </w:tabs>
        <w:ind w:left="851"/>
        <w:rPr>
          <w:sz w:val="24"/>
          <w:szCs w:val="24"/>
        </w:rPr>
      </w:pPr>
    </w:p>
    <w:p w14:paraId="06F500F3" w14:textId="77777777" w:rsidR="005A15B2" w:rsidRPr="005A15B2" w:rsidRDefault="005A15B2" w:rsidP="005A15B2">
      <w:pPr>
        <w:tabs>
          <w:tab w:val="left" w:pos="851"/>
        </w:tabs>
        <w:ind w:left="851"/>
        <w:rPr>
          <w:i/>
          <w:iCs/>
          <w:sz w:val="24"/>
          <w:szCs w:val="24"/>
        </w:rPr>
      </w:pPr>
      <w:r w:rsidRPr="005A15B2">
        <w:rPr>
          <w:i/>
          <w:iCs/>
          <w:sz w:val="24"/>
          <w:szCs w:val="24"/>
        </w:rPr>
        <w:t>Reduktion i infusionstid</w:t>
      </w:r>
    </w:p>
    <w:p w14:paraId="00322B3F" w14:textId="77777777" w:rsidR="005A15B2" w:rsidRPr="005A15B2" w:rsidRDefault="005A15B2" w:rsidP="005A15B2">
      <w:pPr>
        <w:tabs>
          <w:tab w:val="left" w:pos="851"/>
        </w:tabs>
        <w:ind w:left="851"/>
        <w:rPr>
          <w:sz w:val="24"/>
          <w:szCs w:val="24"/>
        </w:rPr>
      </w:pPr>
      <w:r w:rsidRPr="005A15B2">
        <w:rPr>
          <w:sz w:val="24"/>
          <w:szCs w:val="24"/>
        </w:rPr>
        <w:t>Der var ingen ændring i daglig PS-anvendelse hos de 2 spædbørn under studiet.</w:t>
      </w:r>
    </w:p>
    <w:p w14:paraId="1FB1BB03" w14:textId="277AA1AE" w:rsidR="005A15B2" w:rsidRDefault="005A15B2">
      <w:pPr>
        <w:rPr>
          <w:sz w:val="24"/>
          <w:szCs w:val="24"/>
        </w:rPr>
      </w:pPr>
      <w:r>
        <w:rPr>
          <w:sz w:val="24"/>
          <w:szCs w:val="24"/>
        </w:rPr>
        <w:br w:type="page"/>
      </w:r>
    </w:p>
    <w:p w14:paraId="2699658E" w14:textId="77777777" w:rsidR="005A15B2" w:rsidRPr="005A15B2" w:rsidRDefault="005A15B2" w:rsidP="005A15B2">
      <w:pPr>
        <w:tabs>
          <w:tab w:val="left" w:pos="851"/>
        </w:tabs>
        <w:ind w:left="851"/>
        <w:rPr>
          <w:sz w:val="24"/>
          <w:szCs w:val="24"/>
        </w:rPr>
      </w:pPr>
    </w:p>
    <w:p w14:paraId="006016E2" w14:textId="77777777" w:rsidR="005A15B2" w:rsidRPr="005A15B2" w:rsidRDefault="005A15B2" w:rsidP="005A15B2">
      <w:pPr>
        <w:tabs>
          <w:tab w:val="left" w:pos="851"/>
        </w:tabs>
        <w:ind w:left="851"/>
        <w:rPr>
          <w:i/>
          <w:sz w:val="24"/>
          <w:szCs w:val="24"/>
        </w:rPr>
      </w:pPr>
      <w:r w:rsidRPr="005A15B2">
        <w:rPr>
          <w:i/>
          <w:sz w:val="24"/>
          <w:szCs w:val="24"/>
          <w:u w:val="single"/>
        </w:rPr>
        <w:t>Pædiatrisk population mellem 1 og 17 år</w:t>
      </w:r>
    </w:p>
    <w:p w14:paraId="015A897A" w14:textId="77777777" w:rsidR="005A15B2" w:rsidRPr="005A15B2" w:rsidRDefault="005A15B2" w:rsidP="005A15B2">
      <w:pPr>
        <w:tabs>
          <w:tab w:val="left" w:pos="851"/>
        </w:tabs>
        <w:ind w:left="851"/>
        <w:rPr>
          <w:sz w:val="24"/>
          <w:szCs w:val="24"/>
        </w:rPr>
      </w:pPr>
      <w:r w:rsidRPr="005A15B2">
        <w:rPr>
          <w:sz w:val="24"/>
          <w:szCs w:val="24"/>
        </w:rPr>
        <w:t>De fremkomne effektresultater er afledt af 2 kontrollerede studier af op til 24 ugers varighed hos pædiatriske patienter. Disse studier omfattede 101 patienter i følgende aldersgrupper: 5 patienter 1</w:t>
      </w:r>
      <w:r w:rsidRPr="005A15B2">
        <w:rPr>
          <w:sz w:val="24"/>
          <w:szCs w:val="24"/>
        </w:rPr>
        <w:noBreakHyphen/>
        <w:t>2 år, 56 patienter 2 til &lt; 6 år, 32 patienter 6 til &lt; 12 år, 7 patienter 12 til &lt; 17 år og 1 patient 17 til &lt; 18 år. På trods af den begrænsede prøvestørrelse, som ikke tillod meningsfulde statistiske sammenligninger, blev der for alle aldersgrupper observeret klinisk meningsfulde numeriske reduktioner i behovet for parenteral støtte.</w:t>
      </w:r>
    </w:p>
    <w:p w14:paraId="0958ACFC" w14:textId="77777777" w:rsidR="005A15B2" w:rsidRPr="005A15B2" w:rsidRDefault="005A15B2" w:rsidP="005A15B2">
      <w:pPr>
        <w:tabs>
          <w:tab w:val="left" w:pos="851"/>
        </w:tabs>
        <w:ind w:left="851"/>
        <w:rPr>
          <w:sz w:val="24"/>
          <w:szCs w:val="24"/>
        </w:rPr>
      </w:pPr>
    </w:p>
    <w:p w14:paraId="29F0E45D" w14:textId="77777777" w:rsidR="005A15B2" w:rsidRPr="005A15B2" w:rsidRDefault="005A15B2" w:rsidP="005A15B2">
      <w:pPr>
        <w:tabs>
          <w:tab w:val="left" w:pos="851"/>
        </w:tabs>
        <w:ind w:left="851"/>
        <w:rPr>
          <w:sz w:val="24"/>
          <w:szCs w:val="24"/>
        </w:rPr>
      </w:pPr>
      <w:r w:rsidRPr="005A15B2">
        <w:rPr>
          <w:sz w:val="24"/>
          <w:szCs w:val="24"/>
        </w:rPr>
        <w:t>Teduglutid blev undersøgt i et 12</w:t>
      </w:r>
      <w:r w:rsidRPr="005A15B2">
        <w:rPr>
          <w:sz w:val="24"/>
          <w:szCs w:val="24"/>
        </w:rPr>
        <w:noBreakHyphen/>
        <w:t>ugers åbent klinisk studie hos 42 pædiatriske personer i alderen 1 år til og med 14 år med korttarmssyndrom, der var afhængige af parenteral ernæring. Formålet med studiet var at evaluere sikkerheden og tolerabiliteten samt virkningen af teduglutid sammenlignet med standardbehandling. Der blev undersøgt tre (3) doser af teduglutid: 0,0125 mg/kg/dag (n = 8), 0,025 mg/kg/dag (n = 14) og 0,05 mg/kg/dag (n = 15) i 12 uger. Fem (5) personer indgik i en kohorte med standardbehandling.</w:t>
      </w:r>
    </w:p>
    <w:p w14:paraId="197589A9" w14:textId="77777777" w:rsidR="005A15B2" w:rsidRPr="005A15B2" w:rsidRDefault="005A15B2" w:rsidP="005A15B2">
      <w:pPr>
        <w:tabs>
          <w:tab w:val="left" w:pos="851"/>
        </w:tabs>
        <w:ind w:left="851"/>
        <w:rPr>
          <w:sz w:val="24"/>
          <w:szCs w:val="24"/>
        </w:rPr>
      </w:pPr>
    </w:p>
    <w:p w14:paraId="4D2EC743" w14:textId="77777777" w:rsidR="005A15B2" w:rsidRPr="005A15B2" w:rsidRDefault="005A15B2" w:rsidP="005A15B2">
      <w:pPr>
        <w:tabs>
          <w:tab w:val="left" w:pos="851"/>
        </w:tabs>
        <w:ind w:left="851"/>
        <w:rPr>
          <w:i/>
          <w:sz w:val="24"/>
          <w:szCs w:val="24"/>
        </w:rPr>
      </w:pPr>
      <w:r w:rsidRPr="005A15B2">
        <w:rPr>
          <w:i/>
          <w:sz w:val="24"/>
          <w:szCs w:val="24"/>
        </w:rPr>
        <w:t>Fuldstændig afvænning</w:t>
      </w:r>
    </w:p>
    <w:p w14:paraId="169F33A4" w14:textId="77777777" w:rsidR="005A15B2" w:rsidRPr="005A15B2" w:rsidRDefault="005A15B2" w:rsidP="005A15B2">
      <w:pPr>
        <w:tabs>
          <w:tab w:val="left" w:pos="851"/>
        </w:tabs>
        <w:ind w:left="851"/>
        <w:rPr>
          <w:sz w:val="24"/>
          <w:szCs w:val="24"/>
        </w:rPr>
      </w:pPr>
      <w:r w:rsidRPr="005A15B2">
        <w:rPr>
          <w:sz w:val="24"/>
          <w:szCs w:val="24"/>
        </w:rPr>
        <w:t>Tre personer (3/15, 20 %), der fik den anbefalede teduglutiddosis, kunne undvære parenteral ernæring ved uge 12. Efter en 4</w:t>
      </w:r>
      <w:r w:rsidRPr="005A15B2">
        <w:rPr>
          <w:sz w:val="24"/>
          <w:szCs w:val="24"/>
        </w:rPr>
        <w:noBreakHyphen/>
        <w:t>ugers udvaskningsperiode havde to af disse patienter genstartet parenteral ernæring.</w:t>
      </w:r>
    </w:p>
    <w:p w14:paraId="748CD1B9" w14:textId="77777777" w:rsidR="005A15B2" w:rsidRPr="005A15B2" w:rsidRDefault="005A15B2" w:rsidP="005A15B2">
      <w:pPr>
        <w:tabs>
          <w:tab w:val="left" w:pos="851"/>
        </w:tabs>
        <w:ind w:left="851"/>
        <w:rPr>
          <w:sz w:val="24"/>
          <w:szCs w:val="24"/>
        </w:rPr>
      </w:pPr>
    </w:p>
    <w:p w14:paraId="59569A6B" w14:textId="77777777" w:rsidR="005A15B2" w:rsidRPr="005A15B2" w:rsidRDefault="005A15B2" w:rsidP="005A15B2">
      <w:pPr>
        <w:tabs>
          <w:tab w:val="left" w:pos="851"/>
        </w:tabs>
        <w:ind w:left="851"/>
        <w:rPr>
          <w:i/>
          <w:sz w:val="24"/>
          <w:szCs w:val="24"/>
        </w:rPr>
      </w:pPr>
      <w:r w:rsidRPr="005A15B2">
        <w:rPr>
          <w:i/>
          <w:sz w:val="24"/>
          <w:szCs w:val="24"/>
        </w:rPr>
        <w:t>Reduktion i parenteralt ernæringsvolumen</w:t>
      </w:r>
    </w:p>
    <w:p w14:paraId="6A6EF095" w14:textId="77777777" w:rsidR="005A15B2" w:rsidRPr="005A15B2" w:rsidRDefault="005A15B2" w:rsidP="005A15B2">
      <w:pPr>
        <w:tabs>
          <w:tab w:val="left" w:pos="851"/>
        </w:tabs>
        <w:ind w:left="851"/>
        <w:rPr>
          <w:sz w:val="24"/>
          <w:szCs w:val="24"/>
        </w:rPr>
      </w:pPr>
      <w:r w:rsidRPr="005A15B2">
        <w:rPr>
          <w:sz w:val="24"/>
          <w:szCs w:val="24"/>
        </w:rPr>
        <w:t xml:space="preserve">Den gennemsnitlige ændring i parenteralt ernæringsvolumen fra </w:t>
      </w:r>
      <w:r w:rsidRPr="005A15B2">
        <w:rPr>
          <w:i/>
          <w:sz w:val="24"/>
          <w:szCs w:val="24"/>
        </w:rPr>
        <w:t xml:space="preserve">baseline </w:t>
      </w:r>
      <w:r w:rsidRPr="005A15B2">
        <w:rPr>
          <w:sz w:val="24"/>
          <w:szCs w:val="24"/>
        </w:rPr>
        <w:t xml:space="preserve">til uge 12 hos ITT-populationen, baseret på data fra lægeordinationer, var </w:t>
      </w:r>
      <w:r w:rsidRPr="005A15B2">
        <w:rPr>
          <w:sz w:val="24"/>
          <w:szCs w:val="24"/>
        </w:rPr>
        <w:noBreakHyphen/>
        <w:t xml:space="preserve">2,57 (± 3,56) l/uge, svarende til et gennemsnitligt fald på </w:t>
      </w:r>
      <w:r w:rsidRPr="005A15B2">
        <w:rPr>
          <w:sz w:val="24"/>
          <w:szCs w:val="24"/>
        </w:rPr>
        <w:noBreakHyphen/>
        <w:t xml:space="preserve">39,11 % (± 40,79), sammenlignet med 0,43 (± 0,75) l/uge, svarende til en stigning på 7,38 % (± 12,76) i kohorten med standardbehandling. Ved uge 16 (4 uger efter behandlingsafslutning) var reduktionen i det parenterale ernæringsvolumen stadig evident, men mindre end det observerede ved uge 12, da personerne stadig fik teduglutid (gennemsnitligt fald på </w:t>
      </w:r>
      <w:r w:rsidRPr="005A15B2">
        <w:rPr>
          <w:sz w:val="24"/>
          <w:szCs w:val="24"/>
        </w:rPr>
        <w:noBreakHyphen/>
        <w:t>31,80 % (± 39,26), sammenlignet med en stigning på 3,92 % (± 16,62) i gruppen med standardbehandling).</w:t>
      </w:r>
    </w:p>
    <w:p w14:paraId="3D106BAE" w14:textId="77777777" w:rsidR="005A15B2" w:rsidRPr="005A15B2" w:rsidRDefault="005A15B2" w:rsidP="005A15B2">
      <w:pPr>
        <w:tabs>
          <w:tab w:val="left" w:pos="851"/>
        </w:tabs>
        <w:ind w:left="851"/>
        <w:rPr>
          <w:sz w:val="24"/>
          <w:szCs w:val="24"/>
        </w:rPr>
      </w:pPr>
    </w:p>
    <w:p w14:paraId="39FFCD1A" w14:textId="77777777" w:rsidR="005A15B2" w:rsidRPr="005A15B2" w:rsidRDefault="005A15B2" w:rsidP="005A15B2">
      <w:pPr>
        <w:tabs>
          <w:tab w:val="left" w:pos="851"/>
        </w:tabs>
        <w:ind w:left="851"/>
        <w:rPr>
          <w:i/>
          <w:sz w:val="24"/>
          <w:szCs w:val="24"/>
        </w:rPr>
      </w:pPr>
      <w:r w:rsidRPr="005A15B2">
        <w:rPr>
          <w:i/>
          <w:sz w:val="24"/>
          <w:szCs w:val="24"/>
        </w:rPr>
        <w:t>Reduktion i kalorieindtagelsen ved parenteral ernæring</w:t>
      </w:r>
    </w:p>
    <w:p w14:paraId="256C1E96" w14:textId="77777777" w:rsidR="005A15B2" w:rsidRPr="005A15B2" w:rsidRDefault="005A15B2" w:rsidP="005A15B2">
      <w:pPr>
        <w:tabs>
          <w:tab w:val="left" w:pos="851"/>
        </w:tabs>
        <w:ind w:left="851"/>
        <w:rPr>
          <w:sz w:val="24"/>
          <w:szCs w:val="24"/>
        </w:rPr>
      </w:pPr>
      <w:r w:rsidRPr="005A15B2">
        <w:rPr>
          <w:sz w:val="24"/>
          <w:szCs w:val="24"/>
        </w:rPr>
        <w:t xml:space="preserve">Ved uge 12 var der en gennemsnitlig ændring på </w:t>
      </w:r>
      <w:r w:rsidRPr="005A15B2">
        <w:rPr>
          <w:sz w:val="24"/>
          <w:szCs w:val="24"/>
        </w:rPr>
        <w:noBreakHyphen/>
        <w:t xml:space="preserve">35,11 % (± 53,04) fra </w:t>
      </w:r>
      <w:r w:rsidRPr="005A15B2">
        <w:rPr>
          <w:i/>
          <w:sz w:val="24"/>
          <w:szCs w:val="24"/>
        </w:rPr>
        <w:t xml:space="preserve">baseline </w:t>
      </w:r>
      <w:r w:rsidRPr="005A15B2">
        <w:rPr>
          <w:sz w:val="24"/>
          <w:szCs w:val="24"/>
        </w:rPr>
        <w:t xml:space="preserve">i kalorieindtagelsen fra parenteral ernæring hos ITT-populationen, baseret på data fra lægeordinationer. Den tilsvarende ændring i kohorten med standardbehandling var 4,31 % (± 5,36). Ved uge 16 fortsatte kalorieindtagelsen fra parenteral ernæring med at falde med en procentvis gennemsnitlig ændring fra </w:t>
      </w:r>
      <w:r w:rsidRPr="005A15B2">
        <w:rPr>
          <w:i/>
          <w:sz w:val="24"/>
          <w:szCs w:val="24"/>
        </w:rPr>
        <w:t xml:space="preserve">baseline </w:t>
      </w:r>
      <w:r w:rsidRPr="005A15B2">
        <w:rPr>
          <w:sz w:val="24"/>
          <w:szCs w:val="24"/>
        </w:rPr>
        <w:t xml:space="preserve">på </w:t>
      </w:r>
      <w:r w:rsidRPr="005A15B2">
        <w:rPr>
          <w:sz w:val="24"/>
          <w:szCs w:val="24"/>
        </w:rPr>
        <w:noBreakHyphen/>
        <w:t xml:space="preserve">39,15 % (± 39,08), sammenlignet med </w:t>
      </w:r>
      <w:r w:rsidRPr="005A15B2">
        <w:rPr>
          <w:sz w:val="24"/>
          <w:szCs w:val="24"/>
        </w:rPr>
        <w:noBreakHyphen/>
        <w:t>0,87 % (± 9,25) i kohorten med standardbehandling.</w:t>
      </w:r>
    </w:p>
    <w:p w14:paraId="3FDE268D" w14:textId="77777777" w:rsidR="005A15B2" w:rsidRPr="005A15B2" w:rsidRDefault="005A15B2" w:rsidP="005A15B2">
      <w:pPr>
        <w:tabs>
          <w:tab w:val="left" w:pos="851"/>
        </w:tabs>
        <w:ind w:left="851"/>
        <w:rPr>
          <w:i/>
          <w:sz w:val="24"/>
          <w:szCs w:val="24"/>
        </w:rPr>
      </w:pPr>
    </w:p>
    <w:p w14:paraId="4879C2B1" w14:textId="77777777" w:rsidR="005A15B2" w:rsidRPr="005A15B2" w:rsidRDefault="005A15B2" w:rsidP="005A15B2">
      <w:pPr>
        <w:tabs>
          <w:tab w:val="left" w:pos="851"/>
        </w:tabs>
        <w:ind w:left="851"/>
        <w:rPr>
          <w:i/>
          <w:sz w:val="24"/>
          <w:szCs w:val="24"/>
        </w:rPr>
      </w:pPr>
      <w:r w:rsidRPr="005A15B2">
        <w:rPr>
          <w:i/>
          <w:sz w:val="24"/>
          <w:szCs w:val="24"/>
        </w:rPr>
        <w:t>Forøgelse af enteralt ernæringsvolumen og enterale kalorier</w:t>
      </w:r>
    </w:p>
    <w:p w14:paraId="022EE77B" w14:textId="77777777" w:rsidR="005A15B2" w:rsidRPr="005A15B2" w:rsidRDefault="005A15B2" w:rsidP="005A15B2">
      <w:pPr>
        <w:tabs>
          <w:tab w:val="left" w:pos="851"/>
        </w:tabs>
        <w:ind w:left="851"/>
        <w:rPr>
          <w:sz w:val="24"/>
          <w:szCs w:val="24"/>
        </w:rPr>
      </w:pPr>
      <w:r w:rsidRPr="005A15B2">
        <w:rPr>
          <w:sz w:val="24"/>
          <w:szCs w:val="24"/>
        </w:rPr>
        <w:t xml:space="preserve">Baseret på data fra ordinationer var den gennemsnitlige procentvise ændring fra </w:t>
      </w:r>
      <w:r w:rsidRPr="005A15B2">
        <w:rPr>
          <w:i/>
          <w:sz w:val="24"/>
          <w:szCs w:val="24"/>
        </w:rPr>
        <w:t xml:space="preserve">baseline </w:t>
      </w:r>
      <w:r w:rsidRPr="005A15B2">
        <w:rPr>
          <w:sz w:val="24"/>
          <w:szCs w:val="24"/>
        </w:rPr>
        <w:t>til uge 12 i enteralt volumen hos ITT-populationen 25,82 % (± 41,59), sammenlignet med 53,65 % (± 57,01) hos kohorten med standardbehandling. Den tilsvarende forøgelse af enterale kalorier var 58,80 % (±64,20), sammenlignet med 57,02 % (± 55,25) i kohorten med standardbehandling.</w:t>
      </w:r>
    </w:p>
    <w:p w14:paraId="5C7311BB" w14:textId="77777777" w:rsidR="005A15B2" w:rsidRPr="005A15B2" w:rsidRDefault="005A15B2" w:rsidP="005A15B2">
      <w:pPr>
        <w:tabs>
          <w:tab w:val="left" w:pos="851"/>
        </w:tabs>
        <w:ind w:left="851"/>
        <w:rPr>
          <w:sz w:val="24"/>
          <w:szCs w:val="24"/>
        </w:rPr>
      </w:pPr>
    </w:p>
    <w:p w14:paraId="457C07AE" w14:textId="77777777" w:rsidR="005A15B2" w:rsidRPr="005A15B2" w:rsidRDefault="005A15B2" w:rsidP="005A15B2">
      <w:pPr>
        <w:tabs>
          <w:tab w:val="left" w:pos="851"/>
        </w:tabs>
        <w:ind w:left="851"/>
        <w:rPr>
          <w:i/>
          <w:sz w:val="24"/>
          <w:szCs w:val="24"/>
        </w:rPr>
      </w:pPr>
      <w:r w:rsidRPr="005A15B2">
        <w:rPr>
          <w:i/>
          <w:sz w:val="24"/>
          <w:szCs w:val="24"/>
        </w:rPr>
        <w:t>Reduktion i infusionstid</w:t>
      </w:r>
    </w:p>
    <w:p w14:paraId="423F7966" w14:textId="77777777" w:rsidR="005A15B2" w:rsidRPr="005A15B2" w:rsidRDefault="005A15B2" w:rsidP="005A15B2">
      <w:pPr>
        <w:tabs>
          <w:tab w:val="left" w:pos="851"/>
        </w:tabs>
        <w:ind w:left="851"/>
        <w:rPr>
          <w:sz w:val="24"/>
          <w:szCs w:val="24"/>
        </w:rPr>
      </w:pPr>
      <w:r w:rsidRPr="005A15B2">
        <w:rPr>
          <w:sz w:val="24"/>
          <w:szCs w:val="24"/>
        </w:rPr>
        <w:t xml:space="preserve">Det gennemsnitlige fald fra </w:t>
      </w:r>
      <w:r w:rsidRPr="005A15B2">
        <w:rPr>
          <w:i/>
          <w:sz w:val="24"/>
          <w:szCs w:val="24"/>
        </w:rPr>
        <w:t xml:space="preserve">baseline </w:t>
      </w:r>
      <w:r w:rsidRPr="005A15B2">
        <w:rPr>
          <w:sz w:val="24"/>
          <w:szCs w:val="24"/>
        </w:rPr>
        <w:t xml:space="preserve">til uge 12 i antallet af dage/uge med parenteral ernæring hos ITT-populationen, baseret på data fra lægeordinationer, var </w:t>
      </w:r>
      <w:r w:rsidRPr="005A15B2">
        <w:rPr>
          <w:sz w:val="24"/>
          <w:szCs w:val="24"/>
        </w:rPr>
        <w:noBreakHyphen/>
        <w:t xml:space="preserve">1,36 (± 2,37) </w:t>
      </w:r>
      <w:r w:rsidRPr="005A15B2">
        <w:rPr>
          <w:sz w:val="24"/>
          <w:szCs w:val="24"/>
        </w:rPr>
        <w:lastRenderedPageBreak/>
        <w:t xml:space="preserve">dage/uge, svarende til et procentvist fald på </w:t>
      </w:r>
      <w:r w:rsidRPr="005A15B2">
        <w:rPr>
          <w:sz w:val="24"/>
          <w:szCs w:val="24"/>
        </w:rPr>
        <w:noBreakHyphen/>
        <w:t xml:space="preserve">24,49 % (± 42,46). Der var ingen ændring fra </w:t>
      </w:r>
      <w:r w:rsidRPr="005A15B2">
        <w:rPr>
          <w:i/>
          <w:sz w:val="24"/>
          <w:szCs w:val="24"/>
        </w:rPr>
        <w:t xml:space="preserve">baseline </w:t>
      </w:r>
      <w:r w:rsidRPr="005A15B2">
        <w:rPr>
          <w:sz w:val="24"/>
          <w:szCs w:val="24"/>
        </w:rPr>
        <w:t>i kohorten med standardbehandling. Fire personer (26,7 %), der fik den anbefalede teduglutiddosis, opnåede mindst en 3</w:t>
      </w:r>
      <w:r w:rsidRPr="005A15B2">
        <w:rPr>
          <w:sz w:val="24"/>
          <w:szCs w:val="24"/>
        </w:rPr>
        <w:noBreakHyphen/>
        <w:t>dages reduktion i parenteralt ernæringsbehov.</w:t>
      </w:r>
    </w:p>
    <w:p w14:paraId="18211A12" w14:textId="77777777" w:rsidR="005A15B2" w:rsidRPr="005A15B2" w:rsidRDefault="005A15B2" w:rsidP="005A15B2">
      <w:pPr>
        <w:tabs>
          <w:tab w:val="left" w:pos="851"/>
        </w:tabs>
        <w:ind w:left="851"/>
        <w:rPr>
          <w:sz w:val="24"/>
          <w:szCs w:val="24"/>
        </w:rPr>
      </w:pPr>
    </w:p>
    <w:p w14:paraId="48F1DA1D" w14:textId="77777777" w:rsidR="005A15B2" w:rsidRPr="005A15B2" w:rsidRDefault="005A15B2" w:rsidP="005A15B2">
      <w:pPr>
        <w:tabs>
          <w:tab w:val="left" w:pos="851"/>
        </w:tabs>
        <w:ind w:left="851"/>
        <w:rPr>
          <w:sz w:val="24"/>
          <w:szCs w:val="24"/>
        </w:rPr>
      </w:pPr>
      <w:r w:rsidRPr="005A15B2">
        <w:rPr>
          <w:sz w:val="24"/>
          <w:szCs w:val="24"/>
        </w:rPr>
        <w:t xml:space="preserve">Baseret på personens dagbogsdata havde personerne gennemsnitlige procentvise reduktioner på 35,55 % (± 35,23) timer dagligt ved uge 12 sammenlignet med </w:t>
      </w:r>
      <w:r w:rsidRPr="005A15B2">
        <w:rPr>
          <w:i/>
          <w:sz w:val="24"/>
          <w:szCs w:val="24"/>
        </w:rPr>
        <w:t>baseline</w:t>
      </w:r>
      <w:r w:rsidRPr="005A15B2">
        <w:rPr>
          <w:sz w:val="24"/>
          <w:szCs w:val="24"/>
        </w:rPr>
        <w:t xml:space="preserve">, hvilket svarede til reduktioner for anvendelse af parenteral ernæring på </w:t>
      </w:r>
      <w:r w:rsidRPr="005A15B2">
        <w:rPr>
          <w:sz w:val="24"/>
          <w:szCs w:val="24"/>
        </w:rPr>
        <w:noBreakHyphen/>
        <w:t>4,18 (± 4,08) timer/dag, mens personer i kohorten med standardbehandling viste minimale ændringer i denne parameter på det samme tidspunkt.</w:t>
      </w:r>
    </w:p>
    <w:p w14:paraId="01495F82" w14:textId="77777777" w:rsidR="005A15B2" w:rsidRPr="005A15B2" w:rsidRDefault="005A15B2" w:rsidP="005A15B2">
      <w:pPr>
        <w:tabs>
          <w:tab w:val="left" w:pos="851"/>
        </w:tabs>
        <w:ind w:left="851"/>
        <w:rPr>
          <w:sz w:val="24"/>
          <w:szCs w:val="24"/>
        </w:rPr>
      </w:pPr>
    </w:p>
    <w:p w14:paraId="76E1B0F3" w14:textId="77777777" w:rsidR="005A15B2" w:rsidRPr="005A15B2" w:rsidRDefault="005A15B2" w:rsidP="005A15B2">
      <w:pPr>
        <w:tabs>
          <w:tab w:val="left" w:pos="851"/>
        </w:tabs>
        <w:ind w:left="851"/>
        <w:rPr>
          <w:sz w:val="24"/>
          <w:szCs w:val="24"/>
        </w:rPr>
      </w:pPr>
      <w:r w:rsidRPr="005A15B2">
        <w:rPr>
          <w:sz w:val="24"/>
          <w:szCs w:val="24"/>
        </w:rPr>
        <w:t>Der blev udført et yderligere 24</w:t>
      </w:r>
      <w:r w:rsidRPr="005A15B2">
        <w:rPr>
          <w:sz w:val="24"/>
          <w:szCs w:val="24"/>
        </w:rPr>
        <w:noBreakHyphen/>
        <w:t>ugers, randomiseret, dobbeltblindet multicenterstudie med 59 pædiatriske forsøgspersoner i alderen 1 år til og med 17 år, som var afhængige af parenteral støtte. Formålet var at evaluere teduglutids sikkerhed/tolerabilitet, farmakokinetik og effekt. To doser af teduglutid blev undersøgt: 0,025 mg/kg/dag (n = 24) og 0,05 mg/kg/dag (n = 26). 9 forsøgspersoner blev inkluderet i en arm med standardbehandling (</w:t>
      </w:r>
      <w:r w:rsidRPr="005A15B2">
        <w:rPr>
          <w:i/>
          <w:sz w:val="24"/>
          <w:szCs w:val="24"/>
        </w:rPr>
        <w:t>standard of care</w:t>
      </w:r>
      <w:r w:rsidRPr="005A15B2">
        <w:rPr>
          <w:sz w:val="24"/>
          <w:szCs w:val="24"/>
        </w:rPr>
        <w:t>, SOC). Randomiseringen blev stratificeret i henhold til alder i dosisgrupperne. Resultaterne nedenfor svarer til ITT-populationen ved den anbefalede dosis på 0,05 mg/kg/dag.</w:t>
      </w:r>
    </w:p>
    <w:p w14:paraId="4B4E595B" w14:textId="77777777" w:rsidR="005A15B2" w:rsidRPr="005A15B2" w:rsidRDefault="005A15B2" w:rsidP="005A15B2">
      <w:pPr>
        <w:tabs>
          <w:tab w:val="left" w:pos="851"/>
        </w:tabs>
        <w:ind w:left="851"/>
        <w:rPr>
          <w:sz w:val="24"/>
          <w:szCs w:val="24"/>
        </w:rPr>
      </w:pPr>
    </w:p>
    <w:p w14:paraId="17C6DFD6" w14:textId="77777777" w:rsidR="005A15B2" w:rsidRPr="005A15B2" w:rsidRDefault="005A15B2" w:rsidP="005A15B2">
      <w:pPr>
        <w:tabs>
          <w:tab w:val="left" w:pos="851"/>
        </w:tabs>
        <w:ind w:left="851"/>
        <w:rPr>
          <w:i/>
          <w:sz w:val="24"/>
          <w:szCs w:val="24"/>
        </w:rPr>
      </w:pPr>
      <w:r w:rsidRPr="005A15B2">
        <w:rPr>
          <w:i/>
          <w:sz w:val="24"/>
          <w:szCs w:val="24"/>
        </w:rPr>
        <w:t>Fuldstændig afvænning</w:t>
      </w:r>
    </w:p>
    <w:p w14:paraId="4385DE2C" w14:textId="77777777" w:rsidR="005A15B2" w:rsidRPr="005A15B2" w:rsidRDefault="005A15B2" w:rsidP="005A15B2">
      <w:pPr>
        <w:tabs>
          <w:tab w:val="left" w:pos="851"/>
        </w:tabs>
        <w:ind w:left="851"/>
        <w:rPr>
          <w:sz w:val="24"/>
          <w:szCs w:val="24"/>
        </w:rPr>
      </w:pPr>
      <w:r w:rsidRPr="005A15B2">
        <w:rPr>
          <w:sz w:val="24"/>
          <w:szCs w:val="24"/>
        </w:rPr>
        <w:t>Tre (3) pædiatriske forsøgspersoner i gruppen med 0,05 mg/kg opnåede det yderligere endepunkt for enteral autonomi ved uge 24.</w:t>
      </w:r>
    </w:p>
    <w:p w14:paraId="01A91821" w14:textId="77777777" w:rsidR="005A15B2" w:rsidRPr="005A15B2" w:rsidRDefault="005A15B2" w:rsidP="005A15B2">
      <w:pPr>
        <w:tabs>
          <w:tab w:val="left" w:pos="851"/>
        </w:tabs>
        <w:ind w:left="851"/>
        <w:rPr>
          <w:sz w:val="24"/>
          <w:szCs w:val="24"/>
        </w:rPr>
      </w:pPr>
    </w:p>
    <w:p w14:paraId="4F0F4ACE" w14:textId="77777777" w:rsidR="005A15B2" w:rsidRPr="005A15B2" w:rsidRDefault="005A15B2" w:rsidP="005A15B2">
      <w:pPr>
        <w:tabs>
          <w:tab w:val="left" w:pos="851"/>
        </w:tabs>
        <w:ind w:left="851"/>
        <w:rPr>
          <w:i/>
          <w:sz w:val="24"/>
          <w:szCs w:val="24"/>
        </w:rPr>
      </w:pPr>
      <w:r w:rsidRPr="005A15B2">
        <w:rPr>
          <w:i/>
          <w:sz w:val="24"/>
          <w:szCs w:val="24"/>
        </w:rPr>
        <w:t>Reduktion i parenteralt ernæringsvolumen</w:t>
      </w:r>
    </w:p>
    <w:p w14:paraId="18B5B01C" w14:textId="77777777" w:rsidR="005A15B2" w:rsidRPr="005A15B2" w:rsidRDefault="005A15B2" w:rsidP="005A15B2">
      <w:pPr>
        <w:tabs>
          <w:tab w:val="left" w:pos="851"/>
        </w:tabs>
        <w:ind w:left="851"/>
        <w:rPr>
          <w:sz w:val="24"/>
          <w:szCs w:val="24"/>
        </w:rPr>
      </w:pPr>
      <w:r w:rsidRPr="005A15B2">
        <w:rPr>
          <w:sz w:val="24"/>
          <w:szCs w:val="24"/>
        </w:rPr>
        <w:t xml:space="preserve">Baseret på forsøgspersonernes dagbogsdata opnåede 18 (69,2 %) personer i gruppen med 0,05 mg/kg/dag det primære endepunkt på ≥ 20 % reduktion i PN/i.v.-volumen ved behandlingens afslutning i forhold til </w:t>
      </w:r>
      <w:r w:rsidRPr="005A15B2">
        <w:rPr>
          <w:i/>
          <w:sz w:val="24"/>
          <w:szCs w:val="24"/>
        </w:rPr>
        <w:t>baseline</w:t>
      </w:r>
      <w:r w:rsidRPr="005A15B2">
        <w:rPr>
          <w:sz w:val="24"/>
          <w:szCs w:val="24"/>
        </w:rPr>
        <w:t xml:space="preserve">. I SOC-armen opnåede 1 forsøgsperson (11,1 %) dette endepunkt. Den gennemsnitlige ændring i parenteralt ernæringsvolumen fra </w:t>
      </w:r>
      <w:r w:rsidRPr="005A15B2">
        <w:rPr>
          <w:i/>
          <w:sz w:val="24"/>
          <w:szCs w:val="24"/>
        </w:rPr>
        <w:t xml:space="preserve">baseline </w:t>
      </w:r>
      <w:r w:rsidRPr="005A15B2">
        <w:rPr>
          <w:sz w:val="24"/>
          <w:szCs w:val="24"/>
        </w:rPr>
        <w:t xml:space="preserve">til uge 24 baseret på forsøgspersonernes dagbogsdata var </w:t>
      </w:r>
      <w:r w:rsidRPr="005A15B2">
        <w:rPr>
          <w:sz w:val="24"/>
          <w:szCs w:val="24"/>
        </w:rPr>
        <w:noBreakHyphen/>
        <w:t xml:space="preserve">23,30 (± 17,50) ml/kg/dag, svarende til </w:t>
      </w:r>
      <w:r w:rsidRPr="005A15B2">
        <w:rPr>
          <w:sz w:val="24"/>
          <w:szCs w:val="24"/>
        </w:rPr>
        <w:noBreakHyphen/>
        <w:t xml:space="preserve">41,57 % (± 28,90). Den gennemsnitlige ændring i SOC-armen var </w:t>
      </w:r>
      <w:r w:rsidRPr="005A15B2">
        <w:rPr>
          <w:sz w:val="24"/>
          <w:szCs w:val="24"/>
        </w:rPr>
        <w:noBreakHyphen/>
        <w:t xml:space="preserve">6,03 (± 4,5) ml/kg/dag (svarende til </w:t>
      </w:r>
      <w:r w:rsidRPr="005A15B2">
        <w:rPr>
          <w:sz w:val="24"/>
          <w:szCs w:val="24"/>
        </w:rPr>
        <w:noBreakHyphen/>
        <w:t>10,21 % [± 13,59]).</w:t>
      </w:r>
    </w:p>
    <w:p w14:paraId="0D31D700" w14:textId="77777777" w:rsidR="005A15B2" w:rsidRPr="005A15B2" w:rsidRDefault="005A15B2" w:rsidP="005A15B2">
      <w:pPr>
        <w:tabs>
          <w:tab w:val="left" w:pos="851"/>
        </w:tabs>
        <w:ind w:left="851"/>
        <w:rPr>
          <w:sz w:val="24"/>
          <w:szCs w:val="24"/>
        </w:rPr>
      </w:pPr>
    </w:p>
    <w:p w14:paraId="4C11D0A6" w14:textId="77777777" w:rsidR="005A15B2" w:rsidRPr="005A15B2" w:rsidRDefault="005A15B2" w:rsidP="005A15B2">
      <w:pPr>
        <w:tabs>
          <w:tab w:val="left" w:pos="851"/>
        </w:tabs>
        <w:ind w:left="851"/>
        <w:rPr>
          <w:i/>
          <w:sz w:val="24"/>
          <w:szCs w:val="24"/>
        </w:rPr>
      </w:pPr>
      <w:r w:rsidRPr="005A15B2">
        <w:rPr>
          <w:i/>
          <w:sz w:val="24"/>
          <w:szCs w:val="24"/>
        </w:rPr>
        <w:t>Reduktion i infusionstid</w:t>
      </w:r>
    </w:p>
    <w:p w14:paraId="627E4C3D" w14:textId="77777777" w:rsidR="005A15B2" w:rsidRPr="005A15B2" w:rsidRDefault="005A15B2" w:rsidP="005A15B2">
      <w:pPr>
        <w:tabs>
          <w:tab w:val="left" w:pos="851"/>
        </w:tabs>
        <w:ind w:left="851"/>
        <w:rPr>
          <w:sz w:val="24"/>
          <w:szCs w:val="24"/>
        </w:rPr>
      </w:pPr>
      <w:r w:rsidRPr="005A15B2">
        <w:rPr>
          <w:sz w:val="24"/>
          <w:szCs w:val="24"/>
        </w:rPr>
        <w:t xml:space="preserve">Ved uge 24 var der en reduktion i infusionstiden på </w:t>
      </w:r>
      <w:r w:rsidRPr="005A15B2">
        <w:rPr>
          <w:sz w:val="24"/>
          <w:szCs w:val="24"/>
        </w:rPr>
        <w:noBreakHyphen/>
        <w:t xml:space="preserve">3,03 (± 3,84) timer/dag i armen med 0,05 mg/kg/dag, svarende til en procentvis ændring på </w:t>
      </w:r>
      <w:r w:rsidRPr="005A15B2">
        <w:rPr>
          <w:sz w:val="24"/>
          <w:szCs w:val="24"/>
        </w:rPr>
        <w:noBreakHyphen/>
        <w:t xml:space="preserve">26,09 % (± 36,14). Ændringen fra </w:t>
      </w:r>
      <w:r w:rsidRPr="005A15B2">
        <w:rPr>
          <w:i/>
          <w:sz w:val="24"/>
          <w:szCs w:val="24"/>
        </w:rPr>
        <w:t xml:space="preserve">baseline </w:t>
      </w:r>
      <w:r w:rsidRPr="005A15B2">
        <w:rPr>
          <w:sz w:val="24"/>
          <w:szCs w:val="24"/>
        </w:rPr>
        <w:t xml:space="preserve">i SOC-kohorten var </w:t>
      </w:r>
      <w:r w:rsidRPr="005A15B2">
        <w:rPr>
          <w:sz w:val="24"/>
          <w:szCs w:val="24"/>
        </w:rPr>
        <w:noBreakHyphen/>
        <w:t>0,21 (± 0,69) time/dag (</w:t>
      </w:r>
      <w:r w:rsidRPr="005A15B2">
        <w:rPr>
          <w:sz w:val="24"/>
          <w:szCs w:val="24"/>
        </w:rPr>
        <w:noBreakHyphen/>
        <w:t xml:space="preserve">1,75 % [± 5,89]). Den gennemsnitlige reduktion fra </w:t>
      </w:r>
      <w:r w:rsidRPr="005A15B2">
        <w:rPr>
          <w:i/>
          <w:sz w:val="24"/>
          <w:szCs w:val="24"/>
        </w:rPr>
        <w:t xml:space="preserve">baseline </w:t>
      </w:r>
      <w:r w:rsidRPr="005A15B2">
        <w:rPr>
          <w:sz w:val="24"/>
          <w:szCs w:val="24"/>
        </w:rPr>
        <w:t xml:space="preserve">ved uge 24 i antallet af dage/uger med parenteral ernæring baseret på forsøgspersonernes dagbogsdata var </w:t>
      </w:r>
      <w:r w:rsidRPr="005A15B2">
        <w:rPr>
          <w:sz w:val="24"/>
          <w:szCs w:val="24"/>
        </w:rPr>
        <w:noBreakHyphen/>
        <w:t xml:space="preserve">1,34 (± 2,24) dage/uge, svarende til en procentvis reduktion på </w:t>
      </w:r>
      <w:r w:rsidRPr="005A15B2">
        <w:rPr>
          <w:sz w:val="24"/>
          <w:szCs w:val="24"/>
        </w:rPr>
        <w:noBreakHyphen/>
        <w:t>21,33 % (± 34,09). Der var ingen reduktion i PN/i.v.-infusionsdage pr. uge i SOC-armen.</w:t>
      </w:r>
    </w:p>
    <w:p w14:paraId="223FBB7F" w14:textId="77777777" w:rsidR="005A15B2" w:rsidRPr="005A15B2" w:rsidRDefault="005A15B2" w:rsidP="005A15B2">
      <w:pPr>
        <w:tabs>
          <w:tab w:val="left" w:pos="851"/>
        </w:tabs>
        <w:ind w:left="851"/>
        <w:rPr>
          <w:sz w:val="24"/>
          <w:szCs w:val="24"/>
        </w:rPr>
      </w:pPr>
    </w:p>
    <w:p w14:paraId="0208A9DE" w14:textId="77777777" w:rsidR="005A15B2" w:rsidRPr="005A15B2" w:rsidRDefault="005A15B2" w:rsidP="005A15B2">
      <w:pPr>
        <w:tabs>
          <w:tab w:val="left" w:pos="851"/>
        </w:tabs>
        <w:ind w:left="851"/>
        <w:rPr>
          <w:i/>
          <w:iCs/>
          <w:sz w:val="24"/>
          <w:szCs w:val="24"/>
          <w:u w:val="single"/>
        </w:rPr>
      </w:pPr>
      <w:r w:rsidRPr="005A15B2">
        <w:rPr>
          <w:i/>
          <w:iCs/>
          <w:sz w:val="24"/>
          <w:szCs w:val="24"/>
          <w:u w:val="single"/>
        </w:rPr>
        <w:t>Voksne</w:t>
      </w:r>
    </w:p>
    <w:p w14:paraId="21695C01" w14:textId="77777777" w:rsidR="005A15B2" w:rsidRPr="005A15B2" w:rsidRDefault="005A15B2" w:rsidP="005A15B2">
      <w:pPr>
        <w:tabs>
          <w:tab w:val="left" w:pos="851"/>
        </w:tabs>
        <w:ind w:left="851"/>
        <w:rPr>
          <w:sz w:val="24"/>
          <w:szCs w:val="24"/>
        </w:rPr>
      </w:pPr>
      <w:r w:rsidRPr="005A15B2">
        <w:rPr>
          <w:sz w:val="24"/>
          <w:szCs w:val="24"/>
        </w:rPr>
        <w:t>Teduglutid blev undersøgt hos 17 patienter med korttarmssyndrom inddelt i 5 behandlingsgrupper, der fik teduglutid en gang dagligt i doser a 0,03, 0,10 eller 0,15 mg/kg, eller 0,05 eller 0,075 mg/kg i et 21</w:t>
      </w:r>
      <w:r w:rsidRPr="005A15B2">
        <w:rPr>
          <w:sz w:val="24"/>
          <w:szCs w:val="24"/>
        </w:rPr>
        <w:noBreakHyphen/>
        <w:t>dages åbent, dosisbestemmende multicenterstudie. Behandlingen medførte en øget gastrointestinal væskeabsorption på ca. 750</w:t>
      </w:r>
      <w:r w:rsidRPr="005A15B2">
        <w:rPr>
          <w:sz w:val="24"/>
          <w:szCs w:val="24"/>
        </w:rPr>
        <w:noBreakHyphen/>
        <w:t>1.000 ml/dag med forøgelse i absorptionen af makronæringsstoffer og elektrolytter, reduceret væsketab fra stomi eller fæces samt reduktion i udskillelse af makronæringsstoffer, samt en forbedret struktur og funktionel tilpasning af tyndtarmens slimhinde.</w:t>
      </w:r>
    </w:p>
    <w:p w14:paraId="61FB483D" w14:textId="77777777" w:rsidR="005A15B2" w:rsidRPr="005A15B2" w:rsidRDefault="005A15B2" w:rsidP="005A15B2">
      <w:pPr>
        <w:tabs>
          <w:tab w:val="left" w:pos="851"/>
        </w:tabs>
        <w:ind w:left="851"/>
        <w:rPr>
          <w:sz w:val="24"/>
          <w:szCs w:val="24"/>
        </w:rPr>
      </w:pPr>
    </w:p>
    <w:p w14:paraId="000F2DA5" w14:textId="77777777" w:rsidR="005A15B2" w:rsidRPr="005A15B2" w:rsidRDefault="005A15B2" w:rsidP="005A15B2">
      <w:pPr>
        <w:tabs>
          <w:tab w:val="left" w:pos="851"/>
        </w:tabs>
        <w:ind w:left="851"/>
        <w:rPr>
          <w:sz w:val="24"/>
          <w:szCs w:val="24"/>
        </w:rPr>
      </w:pPr>
      <w:r w:rsidRPr="005A15B2">
        <w:rPr>
          <w:sz w:val="24"/>
          <w:szCs w:val="24"/>
        </w:rPr>
        <w:t>Den strukturelle tilpasning var forbigående og vendte tilbage til udgangspunktet inden for tre uger efter afbrudt behandling.</w:t>
      </w:r>
    </w:p>
    <w:p w14:paraId="6156D27B" w14:textId="77777777" w:rsidR="005A15B2" w:rsidRPr="005A15B2" w:rsidRDefault="005A15B2" w:rsidP="005A15B2">
      <w:pPr>
        <w:tabs>
          <w:tab w:val="left" w:pos="851"/>
        </w:tabs>
        <w:ind w:left="851"/>
        <w:rPr>
          <w:sz w:val="24"/>
          <w:szCs w:val="24"/>
        </w:rPr>
      </w:pPr>
    </w:p>
    <w:p w14:paraId="5AD593B9" w14:textId="77777777" w:rsidR="005A15B2" w:rsidRPr="005A15B2" w:rsidRDefault="005A15B2" w:rsidP="005A15B2">
      <w:pPr>
        <w:tabs>
          <w:tab w:val="left" w:pos="851"/>
        </w:tabs>
        <w:ind w:left="851"/>
        <w:rPr>
          <w:sz w:val="24"/>
          <w:szCs w:val="24"/>
        </w:rPr>
      </w:pPr>
      <w:r w:rsidRPr="005A15B2">
        <w:rPr>
          <w:sz w:val="24"/>
          <w:szCs w:val="24"/>
        </w:rPr>
        <w:t>I et pivotalt, dobbeltblindet og placebokontrolleret fase III-studie hos patienter med korttarmssyndrom og med behov for parenteral ernæring, blev 43 patienter randomiseret til en teduglutid-dosis på 0,05 mg/kg/dag, og 43 patienter blev randomiseret til placebo, i op til 24 uger.</w:t>
      </w:r>
    </w:p>
    <w:p w14:paraId="4E90FBEB" w14:textId="77777777" w:rsidR="005A15B2" w:rsidRPr="005A15B2" w:rsidRDefault="005A15B2" w:rsidP="005A15B2">
      <w:pPr>
        <w:tabs>
          <w:tab w:val="left" w:pos="851"/>
        </w:tabs>
        <w:ind w:left="851"/>
        <w:rPr>
          <w:sz w:val="24"/>
          <w:szCs w:val="24"/>
        </w:rPr>
      </w:pPr>
    </w:p>
    <w:p w14:paraId="2B1D4CCD" w14:textId="77777777" w:rsidR="005A15B2" w:rsidRPr="005A15B2" w:rsidRDefault="005A15B2" w:rsidP="005A15B2">
      <w:pPr>
        <w:tabs>
          <w:tab w:val="left" w:pos="851"/>
        </w:tabs>
        <w:ind w:left="851"/>
        <w:rPr>
          <w:sz w:val="24"/>
          <w:szCs w:val="24"/>
        </w:rPr>
      </w:pPr>
      <w:r w:rsidRPr="005A15B2">
        <w:rPr>
          <w:sz w:val="24"/>
          <w:szCs w:val="24"/>
        </w:rPr>
        <w:t xml:space="preserve">Andelen af forsøgspersoner i teduglutid-armen, som opnåede en 20 til 100 % reduktion af behovet for parenteral ernæring ved uge 20 og 24, var statistisk signifikant forskellig fra andelen i placeboarmen (27 ud af 43 forsøgspersoner, 62,8 % </w:t>
      </w:r>
      <w:r w:rsidRPr="005A15B2">
        <w:rPr>
          <w:i/>
          <w:sz w:val="24"/>
          <w:szCs w:val="24"/>
        </w:rPr>
        <w:t xml:space="preserve">versus </w:t>
      </w:r>
      <w:r w:rsidRPr="005A15B2">
        <w:rPr>
          <w:sz w:val="24"/>
          <w:szCs w:val="24"/>
        </w:rPr>
        <w:t xml:space="preserve">13 ud af 43 patienter, 30,2 %, p = 0,002). Behandlingen med teduglutid resulterede i en reduktion i behovet for parenteral ernæring på 4,4 l/uge (før behandling var udgangspunktet 12,9 liter) </w:t>
      </w:r>
      <w:r w:rsidRPr="005A15B2">
        <w:rPr>
          <w:i/>
          <w:sz w:val="24"/>
          <w:szCs w:val="24"/>
        </w:rPr>
        <w:t xml:space="preserve">versus </w:t>
      </w:r>
      <w:r w:rsidRPr="005A15B2">
        <w:rPr>
          <w:sz w:val="24"/>
          <w:szCs w:val="24"/>
        </w:rPr>
        <w:t xml:space="preserve">2,3l/uge (før behandling var udgangspunktet 13,2 liter) for placebo-behandlede personer ved uge 24. 21 patienter behandlet med teduglutid (48,8 %) </w:t>
      </w:r>
      <w:r w:rsidRPr="005A15B2">
        <w:rPr>
          <w:i/>
          <w:sz w:val="24"/>
          <w:szCs w:val="24"/>
        </w:rPr>
        <w:t xml:space="preserve">versus </w:t>
      </w:r>
      <w:r w:rsidRPr="005A15B2">
        <w:rPr>
          <w:sz w:val="24"/>
          <w:szCs w:val="24"/>
        </w:rPr>
        <w:t>9 behandlet med placebo (20,9 %) opnåede mindst en dags reduktion i parenteral ernæring (p = 0,008).</w:t>
      </w:r>
    </w:p>
    <w:p w14:paraId="1E181391" w14:textId="77777777" w:rsidR="005A15B2" w:rsidRPr="005A15B2" w:rsidRDefault="005A15B2" w:rsidP="005A15B2">
      <w:pPr>
        <w:tabs>
          <w:tab w:val="left" w:pos="851"/>
        </w:tabs>
        <w:ind w:left="851"/>
        <w:rPr>
          <w:sz w:val="24"/>
          <w:szCs w:val="24"/>
        </w:rPr>
      </w:pPr>
    </w:p>
    <w:p w14:paraId="1CB352E8" w14:textId="77777777" w:rsidR="005A15B2" w:rsidRPr="005A15B2" w:rsidRDefault="005A15B2" w:rsidP="005A15B2">
      <w:pPr>
        <w:tabs>
          <w:tab w:val="left" w:pos="851"/>
        </w:tabs>
        <w:ind w:left="851"/>
        <w:rPr>
          <w:sz w:val="24"/>
          <w:szCs w:val="24"/>
        </w:rPr>
      </w:pPr>
      <w:r w:rsidRPr="005A15B2">
        <w:rPr>
          <w:sz w:val="24"/>
          <w:szCs w:val="24"/>
        </w:rPr>
        <w:t>97 % af de patienter (37 ud af 39 patienter behandlet med teduglutid), som gennemførte det placebokontrollerede studie, indgik i et langvarigt forlængelsesstudie, hvor alle patienter fik 0,05 mg teduglutid/kg dagligt i op til yderligere 2 år. I alt deltog 88 patienter i dette forlængelsesstudie, hvoraf 39 var behandlet med placebo, og 12 var  indskrevet, men ikke randomiseret, i det tidligere studie. 65 ud af 88 patienter gennemførte forlængelsesstudiet. Der var fortsat tegn på øget respons på behandling i op til 2,5 år hos alle grupper eksponeret for teduglutid i form af reduktion i parenteralt ernæringsvolumen, opnåelse af yderligere dage uden parenteral ernæring pr. uge og opnåelse af manglende behov for parenteral støtte.</w:t>
      </w:r>
    </w:p>
    <w:p w14:paraId="26804EB9" w14:textId="77777777" w:rsidR="005A15B2" w:rsidRPr="005A15B2" w:rsidRDefault="005A15B2" w:rsidP="005A15B2">
      <w:pPr>
        <w:tabs>
          <w:tab w:val="left" w:pos="851"/>
        </w:tabs>
        <w:ind w:left="851"/>
        <w:rPr>
          <w:sz w:val="24"/>
          <w:szCs w:val="24"/>
        </w:rPr>
      </w:pPr>
    </w:p>
    <w:p w14:paraId="2358CAC7" w14:textId="77777777" w:rsidR="005A15B2" w:rsidRPr="005A15B2" w:rsidRDefault="005A15B2" w:rsidP="005A15B2">
      <w:pPr>
        <w:tabs>
          <w:tab w:val="left" w:pos="851"/>
        </w:tabs>
        <w:ind w:left="851"/>
        <w:rPr>
          <w:sz w:val="24"/>
          <w:szCs w:val="24"/>
        </w:rPr>
      </w:pPr>
      <w:r w:rsidRPr="005A15B2">
        <w:rPr>
          <w:sz w:val="24"/>
          <w:szCs w:val="24"/>
        </w:rPr>
        <w:t>30 af de 43 teduglutid-behandlede patienter fra det pivotale studie, som indgik i forlængelsesstudiet, gennemførte behandling i 30 måneder i alt. Ud af disse opnåede 28 patienter (93 %) en reduktion i parenteral støtte på 20 % eller derover. Af de respondenter i det pivotale studie, som gennemførte forlængelsesstudiet, opretholdt 21 ud af 22 (96 %) deres respons på teduglutid efter yderligere 2 år med fortsat behandling.</w:t>
      </w:r>
    </w:p>
    <w:p w14:paraId="2067F748" w14:textId="77777777" w:rsidR="005A15B2" w:rsidRPr="005A15B2" w:rsidRDefault="005A15B2" w:rsidP="005A15B2">
      <w:pPr>
        <w:tabs>
          <w:tab w:val="left" w:pos="851"/>
        </w:tabs>
        <w:ind w:left="851"/>
        <w:rPr>
          <w:sz w:val="24"/>
          <w:szCs w:val="24"/>
        </w:rPr>
      </w:pPr>
    </w:p>
    <w:p w14:paraId="4F864778" w14:textId="77777777" w:rsidR="005A15B2" w:rsidRPr="005A15B2" w:rsidRDefault="005A15B2" w:rsidP="005A15B2">
      <w:pPr>
        <w:tabs>
          <w:tab w:val="left" w:pos="851"/>
        </w:tabs>
        <w:ind w:left="851"/>
        <w:rPr>
          <w:sz w:val="24"/>
          <w:szCs w:val="24"/>
        </w:rPr>
      </w:pPr>
      <w:r w:rsidRPr="005A15B2">
        <w:rPr>
          <w:sz w:val="24"/>
          <w:szCs w:val="24"/>
        </w:rPr>
        <w:t xml:space="preserve">Den gennemsnitlige reduktion i parenteral ernæring (n = 30) var 7,55 l/uge (en reduktion på 65,6 % i forhold til </w:t>
      </w:r>
      <w:r w:rsidRPr="005A15B2">
        <w:rPr>
          <w:i/>
          <w:sz w:val="24"/>
          <w:szCs w:val="24"/>
        </w:rPr>
        <w:t>baseline</w:t>
      </w:r>
      <w:r w:rsidRPr="005A15B2">
        <w:rPr>
          <w:sz w:val="24"/>
          <w:szCs w:val="24"/>
        </w:rPr>
        <w:t>). Ti (10) forsøgspersoner kunne undvære parenteral støtte i løbet af behandling med teduglutid i 30 måneder. Forsøgspersonerne blev fastholdt på teduglutid, også selvom de ikke længere krævede parenteral ernæring. Disse 10 forsøgspersoner havde krævet parenteral ernæringsstøtte i 1,2 til 15,5 år, og før behandling med teduglutid havde de krævet mellem 3,5 l og 13,4 l parenteral ernæringsstøtte om ugen. Ved studiets afslutning opnåede 21 (70 %), 18 (60 %) og 18 (60 %) af de 30, som gennemførte, en reduktion i parenteral støtte på hhv. 1, 2 eller 3 dage om ugen.</w:t>
      </w:r>
    </w:p>
    <w:p w14:paraId="6D7096EA" w14:textId="77777777" w:rsidR="005A15B2" w:rsidRPr="005A15B2" w:rsidRDefault="005A15B2" w:rsidP="005A15B2">
      <w:pPr>
        <w:tabs>
          <w:tab w:val="left" w:pos="851"/>
        </w:tabs>
        <w:ind w:left="851"/>
        <w:rPr>
          <w:sz w:val="24"/>
          <w:szCs w:val="24"/>
        </w:rPr>
      </w:pPr>
    </w:p>
    <w:p w14:paraId="135A846C" w14:textId="77777777" w:rsidR="005A15B2" w:rsidRPr="005A15B2" w:rsidRDefault="005A15B2" w:rsidP="005A15B2">
      <w:pPr>
        <w:tabs>
          <w:tab w:val="left" w:pos="851"/>
        </w:tabs>
        <w:ind w:left="851"/>
        <w:rPr>
          <w:sz w:val="24"/>
          <w:szCs w:val="24"/>
        </w:rPr>
      </w:pPr>
      <w:r w:rsidRPr="005A15B2">
        <w:rPr>
          <w:sz w:val="24"/>
          <w:szCs w:val="24"/>
        </w:rPr>
        <w:t>29 af de 39 forsøgspersoner, som fik placebo, gennemførte 24 måneders behandling med teduglutid. Den gennemsnitlige reduktion i parenteral ernæring var 3,11 l/ugentligt (en reduktion på yderligere 28,3 %). 16 (55,2 %) af de 29, som gennemførte behandlingen, opnåede en reduktion i parenteral ernæring på 20 % eller derover. Ved studiets afslutning havde 14 (48,3 %), 7 (24,1 %) og 5 (17,2 %) patienter opnået en reduktion i parenteral ernæring på hhv. 1, 2 eller 3 dage om ugen. To (2) forsøgspersoner kunne undvære parenteral støtte, mens de fik teduglutid.</w:t>
      </w:r>
    </w:p>
    <w:p w14:paraId="1296EEFD" w14:textId="77777777" w:rsidR="005A15B2" w:rsidRPr="005A15B2" w:rsidRDefault="005A15B2" w:rsidP="005A15B2">
      <w:pPr>
        <w:tabs>
          <w:tab w:val="left" w:pos="851"/>
        </w:tabs>
        <w:ind w:left="851"/>
        <w:rPr>
          <w:sz w:val="24"/>
          <w:szCs w:val="24"/>
        </w:rPr>
      </w:pPr>
    </w:p>
    <w:p w14:paraId="435B2BE3" w14:textId="77777777" w:rsidR="005A15B2" w:rsidRPr="005A15B2" w:rsidRDefault="005A15B2" w:rsidP="005A15B2">
      <w:pPr>
        <w:tabs>
          <w:tab w:val="left" w:pos="851"/>
        </w:tabs>
        <w:ind w:left="851"/>
        <w:rPr>
          <w:sz w:val="24"/>
          <w:szCs w:val="24"/>
        </w:rPr>
      </w:pPr>
      <w:r w:rsidRPr="005A15B2">
        <w:rPr>
          <w:sz w:val="24"/>
          <w:szCs w:val="24"/>
        </w:rPr>
        <w:t xml:space="preserve">6 af de 12 forsøgspersoner, som ikke var  randomiseret i det pivotale studie, gennemførte 24 måneders behandling med teduglutid. Den gennemsnitlige reduktion i parenteral ernæring var 4,0 l/ugentligt (39,4 % reduktion i forhold til </w:t>
      </w:r>
      <w:r w:rsidRPr="005A15B2">
        <w:rPr>
          <w:i/>
          <w:sz w:val="24"/>
          <w:szCs w:val="24"/>
        </w:rPr>
        <w:t xml:space="preserve">baseline – </w:t>
      </w:r>
      <w:r w:rsidRPr="005A15B2">
        <w:rPr>
          <w:sz w:val="24"/>
          <w:szCs w:val="24"/>
        </w:rPr>
        <w:t>begyndelsen af forlængelsesstudiet), og 4 af de 6, som gennemførte behandlingen (66,7 %), opnåede en reduktion i parenteral støtte på 20 % eller derover. Ved studiets afslutning havde 3 (50 %), 2 (33 %) og 2 (33 %) opnået en reduktion i parenteral støtte på hhv. 1, 2 eller 3 dage om ugen. En forsøgsperson kunne undvære parenteral støtte, mens vedkommende fik teduglutid.</w:t>
      </w:r>
    </w:p>
    <w:p w14:paraId="1BAF845A" w14:textId="77777777" w:rsidR="005A15B2" w:rsidRPr="005A15B2" w:rsidRDefault="005A15B2" w:rsidP="005A15B2">
      <w:pPr>
        <w:tabs>
          <w:tab w:val="left" w:pos="851"/>
        </w:tabs>
        <w:ind w:left="851"/>
        <w:rPr>
          <w:sz w:val="24"/>
          <w:szCs w:val="24"/>
        </w:rPr>
      </w:pPr>
    </w:p>
    <w:p w14:paraId="37751EDA" w14:textId="77777777" w:rsidR="005A15B2" w:rsidRPr="005A15B2" w:rsidRDefault="005A15B2" w:rsidP="005A15B2">
      <w:pPr>
        <w:tabs>
          <w:tab w:val="left" w:pos="851"/>
        </w:tabs>
        <w:ind w:left="851"/>
        <w:rPr>
          <w:sz w:val="24"/>
          <w:szCs w:val="24"/>
        </w:rPr>
      </w:pPr>
      <w:r w:rsidRPr="005A15B2">
        <w:rPr>
          <w:sz w:val="24"/>
          <w:szCs w:val="24"/>
        </w:rPr>
        <w:t>I et andet dobbeltblindet, placebokontrolleret fase III-studie hos patienter med korttarmssyndrom med behov for parenteral ernæring fik patienterne enten en dosis på 0,05 mg teduglutid/kg/dag (n = 35), en dosis på 0,10 mg teduglutid/kg/dag (n = 32) eller placebo (n = 16) i op til 24 uger.</w:t>
      </w:r>
    </w:p>
    <w:p w14:paraId="232D66D7" w14:textId="77777777" w:rsidR="005A15B2" w:rsidRPr="005A15B2" w:rsidRDefault="005A15B2" w:rsidP="005A15B2">
      <w:pPr>
        <w:tabs>
          <w:tab w:val="left" w:pos="851"/>
        </w:tabs>
        <w:ind w:left="851"/>
        <w:rPr>
          <w:sz w:val="24"/>
          <w:szCs w:val="24"/>
        </w:rPr>
      </w:pPr>
    </w:p>
    <w:p w14:paraId="1FCF1130" w14:textId="77777777" w:rsidR="005A15B2" w:rsidRPr="005A15B2" w:rsidRDefault="005A15B2" w:rsidP="005A15B2">
      <w:pPr>
        <w:tabs>
          <w:tab w:val="left" w:pos="851"/>
        </w:tabs>
        <w:ind w:left="851"/>
        <w:rPr>
          <w:sz w:val="24"/>
          <w:szCs w:val="24"/>
        </w:rPr>
      </w:pPr>
      <w:r w:rsidRPr="005A15B2">
        <w:rPr>
          <w:sz w:val="24"/>
          <w:szCs w:val="24"/>
        </w:rPr>
        <w:t xml:space="preserve">Den primære effektanalyse af studieresultaterne viste ingen signifikant forskel mellem den gruppe, der fik teduglutid i dosis på 0,10 mg/kg/dag, og placebo-gruppen, mens den del af forsøgspersonerne, der fik den anbefalede teduglutid-dosis på 0,05 mg/kg/dag, i uge 20 og 24 opnåede mindst 20 % reduktion i mængden af den parenterale ernæring, hvilket var en statistisk signifikant forskel i forhold til placebo (46 % </w:t>
      </w:r>
      <w:r w:rsidRPr="005A15B2">
        <w:rPr>
          <w:i/>
          <w:sz w:val="24"/>
          <w:szCs w:val="24"/>
        </w:rPr>
        <w:t xml:space="preserve">versus </w:t>
      </w:r>
      <w:r w:rsidRPr="005A15B2">
        <w:rPr>
          <w:sz w:val="24"/>
          <w:szCs w:val="24"/>
        </w:rPr>
        <w:t xml:space="preserve">6,3 %, p &lt; 0,01). Behandling med teduglutid resulterede efter 24 uger i en 2,5 l/uge reduktion i behovet for parenteral ernæring (før behandling var udgangspunktet 9,6 liter) </w:t>
      </w:r>
      <w:r w:rsidRPr="005A15B2">
        <w:rPr>
          <w:i/>
          <w:sz w:val="24"/>
          <w:szCs w:val="24"/>
        </w:rPr>
        <w:t>versus</w:t>
      </w:r>
      <w:r w:rsidRPr="005A15B2">
        <w:rPr>
          <w:sz w:val="24"/>
          <w:szCs w:val="24"/>
        </w:rPr>
        <w:t xml:space="preserve"> 0,9 l/uge (før behandling var udgangspunktet 10,7 liter) for placebobehandlede.</w:t>
      </w:r>
    </w:p>
    <w:p w14:paraId="65D31210" w14:textId="77777777" w:rsidR="005A15B2" w:rsidRPr="005A15B2" w:rsidRDefault="005A15B2" w:rsidP="005A15B2">
      <w:pPr>
        <w:tabs>
          <w:tab w:val="left" w:pos="851"/>
        </w:tabs>
        <w:ind w:left="851"/>
        <w:rPr>
          <w:sz w:val="24"/>
          <w:szCs w:val="24"/>
        </w:rPr>
      </w:pPr>
    </w:p>
    <w:p w14:paraId="6D68CF6B" w14:textId="77777777" w:rsidR="005A15B2" w:rsidRPr="005A15B2" w:rsidRDefault="005A15B2" w:rsidP="005A15B2">
      <w:pPr>
        <w:tabs>
          <w:tab w:val="left" w:pos="851"/>
        </w:tabs>
        <w:ind w:left="851"/>
        <w:rPr>
          <w:sz w:val="24"/>
          <w:szCs w:val="24"/>
        </w:rPr>
      </w:pPr>
      <w:r w:rsidRPr="005A15B2">
        <w:rPr>
          <w:sz w:val="24"/>
          <w:szCs w:val="24"/>
        </w:rPr>
        <w:t>Behandling med teduglutid medførte en forøgelse af den absorptive tarmvæg ved signifikant at øge højden af tarmtrævlerne (villus) i tyndtarmen.</w:t>
      </w:r>
    </w:p>
    <w:p w14:paraId="68EA3361" w14:textId="77777777" w:rsidR="005A15B2" w:rsidRPr="005A15B2" w:rsidRDefault="005A15B2" w:rsidP="005A15B2">
      <w:pPr>
        <w:tabs>
          <w:tab w:val="left" w:pos="851"/>
        </w:tabs>
        <w:ind w:left="851"/>
        <w:rPr>
          <w:sz w:val="24"/>
          <w:szCs w:val="24"/>
        </w:rPr>
      </w:pPr>
    </w:p>
    <w:p w14:paraId="7BC205A6" w14:textId="77777777" w:rsidR="005A15B2" w:rsidRPr="005A15B2" w:rsidRDefault="005A15B2" w:rsidP="005A15B2">
      <w:pPr>
        <w:tabs>
          <w:tab w:val="left" w:pos="851"/>
        </w:tabs>
        <w:ind w:left="851"/>
        <w:rPr>
          <w:sz w:val="24"/>
          <w:szCs w:val="24"/>
        </w:rPr>
      </w:pPr>
      <w:r w:rsidRPr="005A15B2">
        <w:rPr>
          <w:sz w:val="24"/>
          <w:szCs w:val="24"/>
        </w:rPr>
        <w:t>65 patienter indgik i et opfølgningsstudie med op til 28 ugers yderligere behandling. Patienter, som fik teduglutid, bibeholdt den tidligere tildelte dosis i forlængelsesfasen, mens placebo-patienterne blev randomiseret til aktiv behandling med enten 0,05 eller 0,10 mg/kg/dag.</w:t>
      </w:r>
    </w:p>
    <w:p w14:paraId="5D5FA358" w14:textId="77777777" w:rsidR="005A15B2" w:rsidRPr="005A15B2" w:rsidRDefault="005A15B2" w:rsidP="005A15B2">
      <w:pPr>
        <w:tabs>
          <w:tab w:val="left" w:pos="851"/>
        </w:tabs>
        <w:ind w:left="851"/>
        <w:rPr>
          <w:sz w:val="24"/>
          <w:szCs w:val="24"/>
        </w:rPr>
      </w:pPr>
    </w:p>
    <w:p w14:paraId="390A527E" w14:textId="77777777" w:rsidR="005A15B2" w:rsidRPr="005A15B2" w:rsidRDefault="005A15B2" w:rsidP="005A15B2">
      <w:pPr>
        <w:tabs>
          <w:tab w:val="left" w:pos="851"/>
        </w:tabs>
        <w:ind w:left="851"/>
        <w:rPr>
          <w:sz w:val="24"/>
          <w:szCs w:val="24"/>
        </w:rPr>
      </w:pPr>
      <w:r w:rsidRPr="005A15B2">
        <w:rPr>
          <w:sz w:val="24"/>
          <w:szCs w:val="24"/>
        </w:rPr>
        <w:t>Af de patienter, som opnåede minimum 20 % reduktion af mængden af parenteral ernæring i uge 20 og 24 i det initiale studie, vedholdte 75 % dette resultat efter behandling med teduglutid i op til 1 års fortsat behandling.</w:t>
      </w:r>
    </w:p>
    <w:p w14:paraId="5C0B7859" w14:textId="77777777" w:rsidR="005A15B2" w:rsidRPr="005A15B2" w:rsidRDefault="005A15B2" w:rsidP="005A15B2">
      <w:pPr>
        <w:tabs>
          <w:tab w:val="left" w:pos="851"/>
        </w:tabs>
        <w:ind w:left="851"/>
        <w:rPr>
          <w:sz w:val="24"/>
          <w:szCs w:val="24"/>
        </w:rPr>
      </w:pPr>
    </w:p>
    <w:p w14:paraId="3F14E099" w14:textId="77777777" w:rsidR="005A15B2" w:rsidRPr="005A15B2" w:rsidRDefault="005A15B2" w:rsidP="005A15B2">
      <w:pPr>
        <w:tabs>
          <w:tab w:val="left" w:pos="851"/>
        </w:tabs>
        <w:ind w:left="851"/>
        <w:rPr>
          <w:sz w:val="24"/>
          <w:szCs w:val="24"/>
        </w:rPr>
      </w:pPr>
      <w:r w:rsidRPr="005A15B2">
        <w:rPr>
          <w:sz w:val="24"/>
          <w:szCs w:val="24"/>
        </w:rPr>
        <w:t>Den gennemsnitlige reduktion i mængden af parenteral ernæring var 4,9 l/uge (52 % reduktion fra udgangspunktet) efter 1 års fortsat teduglutidbehandling.</w:t>
      </w:r>
    </w:p>
    <w:p w14:paraId="1EF92780" w14:textId="77777777" w:rsidR="005A15B2" w:rsidRPr="005A15B2" w:rsidRDefault="005A15B2" w:rsidP="005A15B2">
      <w:pPr>
        <w:tabs>
          <w:tab w:val="left" w:pos="851"/>
        </w:tabs>
        <w:ind w:left="851"/>
        <w:rPr>
          <w:sz w:val="24"/>
          <w:szCs w:val="24"/>
        </w:rPr>
      </w:pPr>
    </w:p>
    <w:p w14:paraId="576D0BC7" w14:textId="77777777" w:rsidR="005A15B2" w:rsidRPr="005A15B2" w:rsidRDefault="005A15B2" w:rsidP="005A15B2">
      <w:pPr>
        <w:tabs>
          <w:tab w:val="left" w:pos="851"/>
        </w:tabs>
        <w:ind w:left="851"/>
        <w:rPr>
          <w:sz w:val="24"/>
          <w:szCs w:val="24"/>
        </w:rPr>
      </w:pPr>
      <w:r w:rsidRPr="005A15B2">
        <w:rPr>
          <w:sz w:val="24"/>
          <w:szCs w:val="24"/>
        </w:rPr>
        <w:t>Ved uge 24 kunne 2 patienter, som fik den anbefalede teduglutid-dosis, undvære parenteral ernæring. Yderligere en patient kunne i det opfølgende studie undvære parenteral ernæring.</w:t>
      </w:r>
    </w:p>
    <w:p w14:paraId="0D69A691" w14:textId="77777777" w:rsidR="005A15B2" w:rsidRPr="005A15B2" w:rsidRDefault="005A15B2" w:rsidP="005A15B2">
      <w:pPr>
        <w:tabs>
          <w:tab w:val="left" w:pos="851"/>
        </w:tabs>
        <w:ind w:left="851"/>
        <w:rPr>
          <w:sz w:val="24"/>
          <w:szCs w:val="24"/>
        </w:rPr>
      </w:pPr>
    </w:p>
    <w:p w14:paraId="2927B0EA" w14:textId="77777777" w:rsidR="005A15B2" w:rsidRPr="005A15B2" w:rsidRDefault="005A15B2" w:rsidP="005A15B2">
      <w:pPr>
        <w:tabs>
          <w:tab w:val="left" w:pos="851"/>
        </w:tabs>
        <w:ind w:left="851"/>
        <w:rPr>
          <w:sz w:val="24"/>
          <w:szCs w:val="24"/>
        </w:rPr>
      </w:pPr>
      <w:r w:rsidRPr="005A15B2">
        <w:rPr>
          <w:sz w:val="24"/>
          <w:szCs w:val="24"/>
        </w:rPr>
        <w:t>Det Europæiske Lægemiddelagentur har udsat forpligtelsen til at fremlægge resultaterne af studier med referencelægemidlet, som indeholder teduglutid i en eller flere undergrupper af den pædiatriske population ved behandling af SBS (se pkt. 4.2 for oplysninger om pædiatrisk anvendelse).</w:t>
      </w:r>
    </w:p>
    <w:p w14:paraId="3C06863C" w14:textId="255ABEEB" w:rsidR="005A15B2" w:rsidRDefault="005A15B2">
      <w:pPr>
        <w:rPr>
          <w:sz w:val="24"/>
          <w:szCs w:val="24"/>
        </w:rPr>
      </w:pPr>
      <w:r>
        <w:rPr>
          <w:sz w:val="24"/>
          <w:szCs w:val="24"/>
        </w:rPr>
        <w:br w:type="page"/>
      </w:r>
    </w:p>
    <w:p w14:paraId="255AF678" w14:textId="77777777" w:rsidR="009260DE" w:rsidRPr="00C84483" w:rsidRDefault="009260DE" w:rsidP="009260DE">
      <w:pPr>
        <w:tabs>
          <w:tab w:val="left" w:pos="851"/>
        </w:tabs>
        <w:ind w:left="851"/>
        <w:rPr>
          <w:sz w:val="24"/>
          <w:szCs w:val="24"/>
        </w:rPr>
      </w:pPr>
    </w:p>
    <w:p w14:paraId="61587C58" w14:textId="77777777" w:rsidR="009260DE" w:rsidRPr="00C84483" w:rsidRDefault="009260DE" w:rsidP="009260DE">
      <w:pPr>
        <w:tabs>
          <w:tab w:val="left" w:pos="851"/>
        </w:tabs>
        <w:ind w:left="851" w:hanging="851"/>
        <w:rPr>
          <w:b/>
          <w:sz w:val="24"/>
          <w:szCs w:val="24"/>
        </w:rPr>
      </w:pPr>
      <w:r w:rsidRPr="00C84483">
        <w:rPr>
          <w:b/>
          <w:sz w:val="24"/>
          <w:szCs w:val="24"/>
        </w:rPr>
        <w:t>5.2</w:t>
      </w:r>
      <w:r w:rsidRPr="00C84483">
        <w:rPr>
          <w:b/>
          <w:sz w:val="24"/>
          <w:szCs w:val="24"/>
        </w:rPr>
        <w:tab/>
        <w:t>Farmakokinetiske egenskaber</w:t>
      </w:r>
    </w:p>
    <w:p w14:paraId="6025CDF3" w14:textId="77777777" w:rsidR="005A15B2" w:rsidRDefault="005A15B2" w:rsidP="005A15B2">
      <w:pPr>
        <w:tabs>
          <w:tab w:val="left" w:pos="851"/>
        </w:tabs>
        <w:ind w:left="851"/>
        <w:rPr>
          <w:sz w:val="24"/>
          <w:szCs w:val="24"/>
          <w:u w:val="single"/>
        </w:rPr>
      </w:pPr>
    </w:p>
    <w:p w14:paraId="694A1BDD" w14:textId="6DDA0605" w:rsidR="005A15B2" w:rsidRPr="005A15B2" w:rsidRDefault="005A15B2" w:rsidP="005A15B2">
      <w:pPr>
        <w:tabs>
          <w:tab w:val="left" w:pos="851"/>
        </w:tabs>
        <w:ind w:left="851"/>
        <w:rPr>
          <w:sz w:val="24"/>
          <w:szCs w:val="24"/>
        </w:rPr>
      </w:pPr>
      <w:r w:rsidRPr="005A15B2">
        <w:rPr>
          <w:sz w:val="24"/>
          <w:szCs w:val="24"/>
          <w:u w:val="single"/>
        </w:rPr>
        <w:t>Absorption</w:t>
      </w:r>
    </w:p>
    <w:p w14:paraId="5B1BE1A6" w14:textId="77777777" w:rsidR="005A15B2" w:rsidRPr="005A15B2" w:rsidRDefault="005A15B2" w:rsidP="005A15B2">
      <w:pPr>
        <w:tabs>
          <w:tab w:val="left" w:pos="851"/>
        </w:tabs>
        <w:ind w:left="851"/>
        <w:rPr>
          <w:sz w:val="24"/>
          <w:szCs w:val="24"/>
        </w:rPr>
      </w:pPr>
      <w:r w:rsidRPr="005A15B2">
        <w:rPr>
          <w:sz w:val="24"/>
          <w:szCs w:val="24"/>
        </w:rPr>
        <w:t>Teduglutid bliver hurtigt absorberet fra subkutane injektionssteder med maksimal plasmakoncentration ca. 3</w:t>
      </w:r>
      <w:r w:rsidRPr="005A15B2">
        <w:rPr>
          <w:sz w:val="24"/>
          <w:szCs w:val="24"/>
        </w:rPr>
        <w:noBreakHyphen/>
        <w:t>5 timer efter administration af alle dosisniveauer. Den absolutte biotilgængelighed af subkutan teduglutid er høj (88 %). Ingen teduglutidakkumulation observeres efter gentagen subkutan administration.</w:t>
      </w:r>
    </w:p>
    <w:p w14:paraId="57AC7A84" w14:textId="77777777" w:rsidR="005A15B2" w:rsidRPr="005A15B2" w:rsidRDefault="005A15B2" w:rsidP="005A15B2">
      <w:pPr>
        <w:tabs>
          <w:tab w:val="left" w:pos="851"/>
        </w:tabs>
        <w:ind w:left="851"/>
        <w:rPr>
          <w:sz w:val="24"/>
          <w:szCs w:val="24"/>
        </w:rPr>
      </w:pPr>
    </w:p>
    <w:p w14:paraId="0EE4F24C" w14:textId="77777777" w:rsidR="005A15B2" w:rsidRPr="005A15B2" w:rsidRDefault="005A15B2" w:rsidP="005A15B2">
      <w:pPr>
        <w:tabs>
          <w:tab w:val="left" w:pos="851"/>
        </w:tabs>
        <w:ind w:left="851"/>
        <w:rPr>
          <w:sz w:val="24"/>
          <w:szCs w:val="24"/>
        </w:rPr>
      </w:pPr>
      <w:r w:rsidRPr="005A15B2">
        <w:rPr>
          <w:sz w:val="24"/>
          <w:szCs w:val="24"/>
          <w:u w:val="single"/>
        </w:rPr>
        <w:t>Fordeling</w:t>
      </w:r>
    </w:p>
    <w:p w14:paraId="00300702" w14:textId="77777777" w:rsidR="005A15B2" w:rsidRPr="005A15B2" w:rsidRDefault="005A15B2" w:rsidP="005A15B2">
      <w:pPr>
        <w:tabs>
          <w:tab w:val="left" w:pos="851"/>
        </w:tabs>
        <w:ind w:left="851"/>
        <w:rPr>
          <w:sz w:val="24"/>
          <w:szCs w:val="24"/>
        </w:rPr>
      </w:pPr>
      <w:r w:rsidRPr="005A15B2">
        <w:rPr>
          <w:sz w:val="24"/>
          <w:szCs w:val="24"/>
        </w:rPr>
        <w:t>Efter subkutan administration har teduglutid et tilsyneladende fordelingsvolumen på 26 liter hos patienter med korttarmssyndrom.</w:t>
      </w:r>
    </w:p>
    <w:p w14:paraId="4D899072" w14:textId="77777777" w:rsidR="005A15B2" w:rsidRPr="005A15B2" w:rsidRDefault="005A15B2" w:rsidP="005A15B2">
      <w:pPr>
        <w:tabs>
          <w:tab w:val="left" w:pos="851"/>
        </w:tabs>
        <w:ind w:left="851"/>
        <w:rPr>
          <w:sz w:val="24"/>
          <w:szCs w:val="24"/>
        </w:rPr>
      </w:pPr>
    </w:p>
    <w:p w14:paraId="31775283" w14:textId="77777777" w:rsidR="005A15B2" w:rsidRPr="005A15B2" w:rsidRDefault="005A15B2" w:rsidP="005A15B2">
      <w:pPr>
        <w:tabs>
          <w:tab w:val="left" w:pos="851"/>
        </w:tabs>
        <w:ind w:left="851"/>
        <w:rPr>
          <w:sz w:val="24"/>
          <w:szCs w:val="24"/>
        </w:rPr>
      </w:pPr>
      <w:r w:rsidRPr="005A15B2">
        <w:rPr>
          <w:sz w:val="24"/>
          <w:szCs w:val="24"/>
          <w:u w:val="single"/>
        </w:rPr>
        <w:t>Biotransformation</w:t>
      </w:r>
    </w:p>
    <w:p w14:paraId="49A53F6F" w14:textId="77777777" w:rsidR="005A15B2" w:rsidRPr="005A15B2" w:rsidRDefault="005A15B2" w:rsidP="005A15B2">
      <w:pPr>
        <w:tabs>
          <w:tab w:val="left" w:pos="851"/>
        </w:tabs>
        <w:ind w:left="851"/>
        <w:rPr>
          <w:sz w:val="24"/>
          <w:szCs w:val="24"/>
        </w:rPr>
      </w:pPr>
      <w:r w:rsidRPr="005A15B2">
        <w:rPr>
          <w:sz w:val="24"/>
          <w:szCs w:val="24"/>
        </w:rPr>
        <w:t>Teduglutids metabolisering kendes ikke fuldstændig. Eftersom teduglutid er et peptid, er det sandsynligt, at det følger den primære mekanisme for peptidmetabolisering.</w:t>
      </w:r>
    </w:p>
    <w:p w14:paraId="637F68FA" w14:textId="77777777" w:rsidR="005A15B2" w:rsidRPr="005A15B2" w:rsidRDefault="005A15B2" w:rsidP="005A15B2">
      <w:pPr>
        <w:tabs>
          <w:tab w:val="left" w:pos="851"/>
        </w:tabs>
        <w:ind w:left="851"/>
        <w:rPr>
          <w:sz w:val="24"/>
          <w:szCs w:val="24"/>
          <w:u w:val="single"/>
        </w:rPr>
      </w:pPr>
    </w:p>
    <w:p w14:paraId="29EB2EFD" w14:textId="77777777" w:rsidR="005A15B2" w:rsidRPr="005A15B2" w:rsidRDefault="005A15B2" w:rsidP="005A15B2">
      <w:pPr>
        <w:tabs>
          <w:tab w:val="left" w:pos="851"/>
        </w:tabs>
        <w:ind w:left="851"/>
        <w:rPr>
          <w:sz w:val="24"/>
          <w:szCs w:val="24"/>
        </w:rPr>
      </w:pPr>
      <w:r w:rsidRPr="005A15B2">
        <w:rPr>
          <w:sz w:val="24"/>
          <w:szCs w:val="24"/>
          <w:u w:val="single"/>
        </w:rPr>
        <w:t>Elimination</w:t>
      </w:r>
    </w:p>
    <w:p w14:paraId="3E767687" w14:textId="77777777" w:rsidR="005A15B2" w:rsidRPr="005A15B2" w:rsidRDefault="005A15B2" w:rsidP="005A15B2">
      <w:pPr>
        <w:tabs>
          <w:tab w:val="left" w:pos="851"/>
        </w:tabs>
        <w:ind w:left="851"/>
        <w:rPr>
          <w:sz w:val="24"/>
          <w:szCs w:val="24"/>
        </w:rPr>
      </w:pPr>
      <w:r w:rsidRPr="005A15B2">
        <w:rPr>
          <w:sz w:val="24"/>
          <w:szCs w:val="24"/>
        </w:rPr>
        <w:t>Teduglutid har en terminal eliminationshalveringstid på ca. 2 timer. Efter intravenøs administration er teduglutids plasmaclearance ca. 127 ml/time/kg, hvilket svarer til den glomerulære filtreringshastighed (GFR). Renal elimination er bekræftet i et studie, der undersøgte farmakokinetikken hos forsøgspersoner med nedsat nyrefunktion. Der observeres ingen akkumulation af teduglutid efter gentagen subkutan administration.</w:t>
      </w:r>
    </w:p>
    <w:p w14:paraId="61ADF1FB" w14:textId="77777777" w:rsidR="005A15B2" w:rsidRPr="005A15B2" w:rsidRDefault="005A15B2" w:rsidP="005A15B2">
      <w:pPr>
        <w:tabs>
          <w:tab w:val="left" w:pos="851"/>
        </w:tabs>
        <w:ind w:left="851"/>
        <w:rPr>
          <w:sz w:val="24"/>
          <w:szCs w:val="24"/>
          <w:u w:val="single"/>
        </w:rPr>
      </w:pPr>
    </w:p>
    <w:p w14:paraId="69291B53" w14:textId="77777777" w:rsidR="005A15B2" w:rsidRPr="005A15B2" w:rsidRDefault="005A15B2" w:rsidP="005A15B2">
      <w:pPr>
        <w:tabs>
          <w:tab w:val="left" w:pos="851"/>
        </w:tabs>
        <w:ind w:left="851"/>
        <w:rPr>
          <w:sz w:val="24"/>
          <w:szCs w:val="24"/>
        </w:rPr>
      </w:pPr>
      <w:r w:rsidRPr="005A15B2">
        <w:rPr>
          <w:sz w:val="24"/>
          <w:szCs w:val="24"/>
          <w:u w:val="single"/>
        </w:rPr>
        <w:t>Dosislinearitet</w:t>
      </w:r>
    </w:p>
    <w:p w14:paraId="690A23A1" w14:textId="77777777" w:rsidR="005A15B2" w:rsidRPr="005A15B2" w:rsidRDefault="005A15B2" w:rsidP="005A15B2">
      <w:pPr>
        <w:tabs>
          <w:tab w:val="left" w:pos="851"/>
        </w:tabs>
        <w:ind w:left="851"/>
        <w:rPr>
          <w:sz w:val="24"/>
          <w:szCs w:val="24"/>
        </w:rPr>
      </w:pPr>
      <w:r w:rsidRPr="005A15B2">
        <w:rPr>
          <w:sz w:val="24"/>
          <w:szCs w:val="24"/>
        </w:rPr>
        <w:t>Hastigheden og omfanget af teduglutids absorption er dosisproportional ved både enkelte og gentagne subkutane doser på op til 20 mg.</w:t>
      </w:r>
    </w:p>
    <w:p w14:paraId="4505C795" w14:textId="77777777" w:rsidR="005A15B2" w:rsidRPr="005A15B2" w:rsidRDefault="005A15B2" w:rsidP="005A15B2">
      <w:pPr>
        <w:tabs>
          <w:tab w:val="left" w:pos="851"/>
        </w:tabs>
        <w:ind w:left="851"/>
        <w:rPr>
          <w:sz w:val="24"/>
          <w:szCs w:val="24"/>
        </w:rPr>
      </w:pPr>
    </w:p>
    <w:p w14:paraId="09C66EC8" w14:textId="77777777" w:rsidR="005A15B2" w:rsidRPr="005A15B2" w:rsidRDefault="005A15B2" w:rsidP="005A15B2">
      <w:pPr>
        <w:tabs>
          <w:tab w:val="left" w:pos="851"/>
        </w:tabs>
        <w:ind w:left="851"/>
        <w:rPr>
          <w:sz w:val="24"/>
          <w:szCs w:val="24"/>
        </w:rPr>
      </w:pPr>
      <w:r w:rsidRPr="005A15B2">
        <w:rPr>
          <w:sz w:val="24"/>
          <w:szCs w:val="24"/>
          <w:u w:val="single"/>
        </w:rPr>
        <w:t>Farmakokinetik i særlige patientgrupper</w:t>
      </w:r>
    </w:p>
    <w:p w14:paraId="1C94A55B" w14:textId="77777777" w:rsidR="005A15B2" w:rsidRPr="005A15B2" w:rsidRDefault="005A15B2" w:rsidP="005A15B2">
      <w:pPr>
        <w:tabs>
          <w:tab w:val="left" w:pos="851"/>
        </w:tabs>
        <w:ind w:left="851"/>
        <w:rPr>
          <w:i/>
          <w:sz w:val="24"/>
          <w:szCs w:val="24"/>
          <w:u w:val="single"/>
        </w:rPr>
      </w:pPr>
    </w:p>
    <w:p w14:paraId="0D985E77" w14:textId="77777777" w:rsidR="005A15B2" w:rsidRPr="005A15B2" w:rsidRDefault="005A15B2" w:rsidP="005A15B2">
      <w:pPr>
        <w:tabs>
          <w:tab w:val="left" w:pos="851"/>
        </w:tabs>
        <w:ind w:left="851"/>
        <w:rPr>
          <w:i/>
          <w:sz w:val="24"/>
          <w:szCs w:val="24"/>
        </w:rPr>
      </w:pPr>
      <w:r w:rsidRPr="005A15B2">
        <w:rPr>
          <w:i/>
          <w:sz w:val="24"/>
          <w:szCs w:val="24"/>
        </w:rPr>
        <w:t>Pædiatrisk population</w:t>
      </w:r>
    </w:p>
    <w:p w14:paraId="296CBCDF" w14:textId="77777777" w:rsidR="005A15B2" w:rsidRPr="005A15B2" w:rsidRDefault="005A15B2" w:rsidP="005A15B2">
      <w:pPr>
        <w:tabs>
          <w:tab w:val="left" w:pos="851"/>
        </w:tabs>
        <w:ind w:left="851"/>
        <w:rPr>
          <w:sz w:val="24"/>
          <w:szCs w:val="24"/>
        </w:rPr>
      </w:pPr>
      <w:r w:rsidRPr="005A15B2">
        <w:rPr>
          <w:sz w:val="24"/>
          <w:szCs w:val="24"/>
        </w:rPr>
        <w:t>Efter subkutan administration blev der påvist sammenlignelige Cmax for teduglutid, som fører til effektrespons, på tværs af aldersgrupper (4 måneders korrigeret svangerskabsalder til 17 år) ved populationsfarmakokinetisk modellering baseret på PK-prøver indsamlet hos populationen efter en daglig subkutan (s.c.) dosis på 0,05 mg/kg. Der blev imidlertid observeret en lavere eksponering (</w:t>
      </w:r>
      <w:r w:rsidRPr="005A15B2">
        <w:rPr>
          <w:i/>
          <w:sz w:val="24"/>
          <w:szCs w:val="24"/>
        </w:rPr>
        <w:t>area under the curve</w:t>
      </w:r>
      <w:r w:rsidRPr="005A15B2">
        <w:rPr>
          <w:sz w:val="24"/>
          <w:szCs w:val="24"/>
        </w:rPr>
        <w:t>, AUC) og en kortere halveringstid hos pædiatriske patienter i alderen 4 måneder til 17 år sammenlignet med voksne. Den farmakokinetiske profil for teduglutid hos den pædiatriske population, evalueret ved clearance og fordelingsvolumen, var forskellig fra den observerede profil hos voksne efter justering for kropsvægt. Specifikt falder clearance med stigende alder fra 4 måneder til voksenalderen. Der foreligger ingen data for pædiatriske patienter med moderat til svært nedsat nyrefunktion og nyresygdom i slutstadiet (</w:t>
      </w:r>
      <w:r w:rsidRPr="005A15B2">
        <w:rPr>
          <w:i/>
          <w:sz w:val="24"/>
          <w:szCs w:val="24"/>
        </w:rPr>
        <w:t>end-stage renal disease</w:t>
      </w:r>
      <w:r w:rsidRPr="005A15B2">
        <w:rPr>
          <w:sz w:val="24"/>
          <w:szCs w:val="24"/>
        </w:rPr>
        <w:t>, ESRD).</w:t>
      </w:r>
    </w:p>
    <w:p w14:paraId="4B966EFC" w14:textId="77777777" w:rsidR="005A15B2" w:rsidRPr="005A15B2" w:rsidRDefault="005A15B2" w:rsidP="005A15B2">
      <w:pPr>
        <w:tabs>
          <w:tab w:val="left" w:pos="851"/>
        </w:tabs>
        <w:ind w:left="851"/>
        <w:rPr>
          <w:sz w:val="24"/>
          <w:szCs w:val="24"/>
        </w:rPr>
      </w:pPr>
    </w:p>
    <w:p w14:paraId="652C8752" w14:textId="77777777" w:rsidR="005A15B2" w:rsidRPr="005A15B2" w:rsidRDefault="005A15B2" w:rsidP="005A15B2">
      <w:pPr>
        <w:tabs>
          <w:tab w:val="left" w:pos="851"/>
        </w:tabs>
        <w:ind w:left="851"/>
        <w:rPr>
          <w:i/>
          <w:sz w:val="24"/>
          <w:szCs w:val="24"/>
        </w:rPr>
      </w:pPr>
      <w:r w:rsidRPr="005A15B2">
        <w:rPr>
          <w:i/>
          <w:sz w:val="24"/>
          <w:szCs w:val="24"/>
        </w:rPr>
        <w:t>Køn</w:t>
      </w:r>
    </w:p>
    <w:p w14:paraId="78504374" w14:textId="77777777" w:rsidR="005A15B2" w:rsidRPr="005A15B2" w:rsidRDefault="005A15B2" w:rsidP="005A15B2">
      <w:pPr>
        <w:tabs>
          <w:tab w:val="left" w:pos="851"/>
        </w:tabs>
        <w:ind w:left="851"/>
        <w:rPr>
          <w:sz w:val="24"/>
          <w:szCs w:val="24"/>
        </w:rPr>
      </w:pPr>
      <w:r w:rsidRPr="005A15B2">
        <w:rPr>
          <w:sz w:val="24"/>
          <w:szCs w:val="24"/>
        </w:rPr>
        <w:t>Der er ikke observeret nogen kønsforskel i de kliniske studier.</w:t>
      </w:r>
    </w:p>
    <w:p w14:paraId="3A38C435" w14:textId="77777777" w:rsidR="005A15B2" w:rsidRPr="005A15B2" w:rsidRDefault="005A15B2" w:rsidP="005A15B2">
      <w:pPr>
        <w:tabs>
          <w:tab w:val="left" w:pos="851"/>
        </w:tabs>
        <w:ind w:left="851"/>
        <w:rPr>
          <w:i/>
          <w:sz w:val="24"/>
          <w:szCs w:val="24"/>
          <w:u w:val="single"/>
        </w:rPr>
      </w:pPr>
    </w:p>
    <w:p w14:paraId="2ECC03E4" w14:textId="77777777" w:rsidR="005A15B2" w:rsidRPr="005A15B2" w:rsidRDefault="005A15B2" w:rsidP="005A15B2">
      <w:pPr>
        <w:tabs>
          <w:tab w:val="left" w:pos="851"/>
        </w:tabs>
        <w:ind w:left="851"/>
        <w:rPr>
          <w:i/>
          <w:sz w:val="24"/>
          <w:szCs w:val="24"/>
        </w:rPr>
      </w:pPr>
      <w:r w:rsidRPr="005A15B2">
        <w:rPr>
          <w:i/>
          <w:sz w:val="24"/>
          <w:szCs w:val="24"/>
        </w:rPr>
        <w:t>Ældre</w:t>
      </w:r>
    </w:p>
    <w:p w14:paraId="63BE051D" w14:textId="77777777" w:rsidR="005A15B2" w:rsidRPr="005A15B2" w:rsidRDefault="005A15B2" w:rsidP="005A15B2">
      <w:pPr>
        <w:tabs>
          <w:tab w:val="left" w:pos="851"/>
        </w:tabs>
        <w:ind w:left="851"/>
        <w:rPr>
          <w:sz w:val="24"/>
          <w:szCs w:val="24"/>
        </w:rPr>
      </w:pPr>
      <w:r w:rsidRPr="005A15B2">
        <w:rPr>
          <w:sz w:val="24"/>
          <w:szCs w:val="24"/>
        </w:rPr>
        <w:t xml:space="preserve">I et fase I-studie kunne der ikke spores nogle forskelle i teduglutids farmakokinetik mellem raske forsøgspersoner under 65 år </w:t>
      </w:r>
      <w:r w:rsidRPr="005A15B2">
        <w:rPr>
          <w:i/>
          <w:sz w:val="24"/>
          <w:szCs w:val="24"/>
        </w:rPr>
        <w:t xml:space="preserve">versus </w:t>
      </w:r>
      <w:r w:rsidRPr="005A15B2">
        <w:rPr>
          <w:sz w:val="24"/>
          <w:szCs w:val="24"/>
        </w:rPr>
        <w:t>personer over 65 år. Der er begrænset erfaring med brug af forsøgspersoner over 75 år.</w:t>
      </w:r>
    </w:p>
    <w:p w14:paraId="0BD707B9" w14:textId="77777777" w:rsidR="005A15B2" w:rsidRPr="005A15B2" w:rsidRDefault="005A15B2" w:rsidP="005A15B2">
      <w:pPr>
        <w:tabs>
          <w:tab w:val="left" w:pos="851"/>
        </w:tabs>
        <w:ind w:left="851"/>
        <w:rPr>
          <w:sz w:val="24"/>
          <w:szCs w:val="24"/>
        </w:rPr>
      </w:pPr>
    </w:p>
    <w:p w14:paraId="5350040C" w14:textId="77777777" w:rsidR="005A15B2" w:rsidRPr="005A15B2" w:rsidRDefault="005A15B2" w:rsidP="005A15B2">
      <w:pPr>
        <w:tabs>
          <w:tab w:val="left" w:pos="851"/>
        </w:tabs>
        <w:ind w:left="851"/>
        <w:rPr>
          <w:i/>
          <w:sz w:val="24"/>
          <w:szCs w:val="24"/>
        </w:rPr>
      </w:pPr>
      <w:r w:rsidRPr="005A15B2">
        <w:rPr>
          <w:i/>
          <w:sz w:val="24"/>
          <w:szCs w:val="24"/>
        </w:rPr>
        <w:lastRenderedPageBreak/>
        <w:t>Nedsat leverfunktion</w:t>
      </w:r>
    </w:p>
    <w:p w14:paraId="3FB810E8" w14:textId="77777777" w:rsidR="005A15B2" w:rsidRPr="005A15B2" w:rsidRDefault="005A15B2" w:rsidP="005A15B2">
      <w:pPr>
        <w:tabs>
          <w:tab w:val="left" w:pos="851"/>
        </w:tabs>
        <w:ind w:left="851"/>
        <w:rPr>
          <w:sz w:val="24"/>
          <w:szCs w:val="24"/>
        </w:rPr>
      </w:pPr>
      <w:r w:rsidRPr="005A15B2">
        <w:rPr>
          <w:sz w:val="24"/>
          <w:szCs w:val="24"/>
        </w:rPr>
        <w:t>I et fase I-studie blev teduglutids farmakokinetik undersøgt ved nedsat leverfunktion ved administration af 20 mg teduglutid. Både maksimal og total eksponering af teduglutid efter en enkelt 20 mg subkutan dosis var lavere (10</w:t>
      </w:r>
      <w:r w:rsidRPr="005A15B2">
        <w:rPr>
          <w:sz w:val="24"/>
          <w:szCs w:val="24"/>
        </w:rPr>
        <w:noBreakHyphen/>
        <w:t>15 %) hos forsøgspersoner med moderat nedsat leverfunktion sammenlignet med den raske kontrolgruppe.</w:t>
      </w:r>
    </w:p>
    <w:p w14:paraId="136D783D" w14:textId="77777777" w:rsidR="005A15B2" w:rsidRPr="005A15B2" w:rsidRDefault="005A15B2" w:rsidP="005A15B2">
      <w:pPr>
        <w:tabs>
          <w:tab w:val="left" w:pos="851"/>
        </w:tabs>
        <w:ind w:left="851"/>
        <w:rPr>
          <w:i/>
          <w:sz w:val="24"/>
          <w:szCs w:val="24"/>
          <w:u w:val="single"/>
        </w:rPr>
      </w:pPr>
    </w:p>
    <w:p w14:paraId="69AA7B79" w14:textId="77777777" w:rsidR="005A15B2" w:rsidRPr="005A15B2" w:rsidRDefault="005A15B2" w:rsidP="005A15B2">
      <w:pPr>
        <w:tabs>
          <w:tab w:val="left" w:pos="851"/>
        </w:tabs>
        <w:ind w:left="851"/>
        <w:rPr>
          <w:i/>
          <w:sz w:val="24"/>
          <w:szCs w:val="24"/>
        </w:rPr>
      </w:pPr>
      <w:r w:rsidRPr="005A15B2">
        <w:rPr>
          <w:i/>
          <w:sz w:val="24"/>
          <w:szCs w:val="24"/>
        </w:rPr>
        <w:t>Nedsat nyrefunktion</w:t>
      </w:r>
    </w:p>
    <w:p w14:paraId="4C4FBD74" w14:textId="77777777" w:rsidR="005A15B2" w:rsidRPr="005A15B2" w:rsidRDefault="005A15B2" w:rsidP="005A15B2">
      <w:pPr>
        <w:tabs>
          <w:tab w:val="left" w:pos="851"/>
        </w:tabs>
        <w:ind w:left="851"/>
        <w:rPr>
          <w:sz w:val="24"/>
          <w:szCs w:val="24"/>
        </w:rPr>
      </w:pPr>
      <w:r w:rsidRPr="005A15B2">
        <w:rPr>
          <w:sz w:val="24"/>
          <w:szCs w:val="24"/>
        </w:rPr>
        <w:t>I et fase I-studie blev påvirkningen af nedsat nyrefunktion på teduglutids farmakokinetik undersøgt ved administration af 10 mg teduglutid. Ved progressiv nedsat nyrefunktion op til og inklusive nyresygdom i slutstadiet er teduglutids primære farmakokinetiske parametre øget med op til en faktor 2,6 (AUCinf) og 2,1 (Cmax) sammenlignet med raske forsøgspersoner.</w:t>
      </w:r>
    </w:p>
    <w:p w14:paraId="1880866A" w14:textId="77777777" w:rsidR="009260DE" w:rsidRPr="00C84483" w:rsidRDefault="009260DE" w:rsidP="009260DE">
      <w:pPr>
        <w:tabs>
          <w:tab w:val="left" w:pos="851"/>
        </w:tabs>
        <w:ind w:left="851"/>
        <w:rPr>
          <w:sz w:val="24"/>
          <w:szCs w:val="24"/>
        </w:rPr>
      </w:pPr>
    </w:p>
    <w:p w14:paraId="15B156A5" w14:textId="77777777" w:rsidR="009260DE" w:rsidRPr="00C84483" w:rsidRDefault="009260DE" w:rsidP="009260DE">
      <w:pPr>
        <w:tabs>
          <w:tab w:val="left" w:pos="851"/>
        </w:tabs>
        <w:ind w:left="851" w:hanging="851"/>
        <w:rPr>
          <w:b/>
          <w:sz w:val="24"/>
          <w:szCs w:val="24"/>
        </w:rPr>
      </w:pPr>
      <w:r w:rsidRPr="00C84483">
        <w:rPr>
          <w:b/>
          <w:sz w:val="24"/>
          <w:szCs w:val="24"/>
        </w:rPr>
        <w:t>5.3</w:t>
      </w:r>
      <w:r w:rsidRPr="00C84483">
        <w:rPr>
          <w:b/>
          <w:sz w:val="24"/>
          <w:szCs w:val="24"/>
        </w:rPr>
        <w:tab/>
      </w:r>
      <w:r w:rsidR="00BD7931">
        <w:rPr>
          <w:b/>
          <w:sz w:val="24"/>
          <w:szCs w:val="24"/>
        </w:rPr>
        <w:t>Non-</w:t>
      </w:r>
      <w:r w:rsidRPr="00C84483">
        <w:rPr>
          <w:b/>
          <w:sz w:val="24"/>
          <w:szCs w:val="24"/>
        </w:rPr>
        <w:t>kliniske sikkerhedsdata</w:t>
      </w:r>
    </w:p>
    <w:p w14:paraId="306804DF" w14:textId="0E1B3AC4" w:rsidR="005A15B2" w:rsidRPr="005A15B2" w:rsidRDefault="005A15B2" w:rsidP="005A15B2">
      <w:pPr>
        <w:tabs>
          <w:tab w:val="left" w:pos="851"/>
        </w:tabs>
        <w:ind w:left="851"/>
        <w:rPr>
          <w:sz w:val="24"/>
          <w:szCs w:val="24"/>
        </w:rPr>
      </w:pPr>
      <w:r w:rsidRPr="005A15B2">
        <w:rPr>
          <w:sz w:val="24"/>
          <w:szCs w:val="24"/>
        </w:rPr>
        <w:t>I studier af subkronisk og kronisk toksikologi er der observeret hyperplasi i galdeblære, de hepatiske galdegange og i bugspytkirtlens udførselsgange. Disse observationer kan muligvis hænge sammen med teduglutids forventede og tilsigtede farmakologi og er i en variabel grad reversibel over en</w:t>
      </w:r>
      <w:r>
        <w:rPr>
          <w:sz w:val="24"/>
          <w:szCs w:val="24"/>
        </w:rPr>
        <w:t xml:space="preserve"> </w:t>
      </w:r>
      <w:r w:rsidRPr="005A15B2">
        <w:rPr>
          <w:sz w:val="24"/>
          <w:szCs w:val="24"/>
        </w:rPr>
        <w:t>8</w:t>
      </w:r>
      <w:r w:rsidRPr="005A15B2">
        <w:rPr>
          <w:sz w:val="24"/>
          <w:szCs w:val="24"/>
        </w:rPr>
        <w:noBreakHyphen/>
        <w:t xml:space="preserve">13 ugers periode efter kronisk administration. </w:t>
      </w:r>
    </w:p>
    <w:p w14:paraId="218F9D94" w14:textId="77777777" w:rsidR="005A15B2" w:rsidRPr="005A15B2" w:rsidRDefault="005A15B2" w:rsidP="005A15B2">
      <w:pPr>
        <w:tabs>
          <w:tab w:val="left" w:pos="851"/>
        </w:tabs>
        <w:ind w:left="851"/>
        <w:rPr>
          <w:sz w:val="24"/>
          <w:szCs w:val="24"/>
        </w:rPr>
      </w:pPr>
    </w:p>
    <w:p w14:paraId="1D9D03F2" w14:textId="77777777" w:rsidR="005A15B2" w:rsidRPr="005A15B2" w:rsidRDefault="005A15B2" w:rsidP="005A15B2">
      <w:pPr>
        <w:tabs>
          <w:tab w:val="left" w:pos="851"/>
        </w:tabs>
        <w:ind w:left="851"/>
        <w:rPr>
          <w:sz w:val="24"/>
          <w:szCs w:val="24"/>
        </w:rPr>
      </w:pPr>
      <w:r w:rsidRPr="005A15B2">
        <w:rPr>
          <w:sz w:val="24"/>
          <w:szCs w:val="24"/>
          <w:u w:val="single"/>
        </w:rPr>
        <w:t>Reaktioner på injektionsstedet</w:t>
      </w:r>
    </w:p>
    <w:p w14:paraId="2BAD11D7" w14:textId="77777777" w:rsidR="005A15B2" w:rsidRPr="005A15B2" w:rsidRDefault="005A15B2" w:rsidP="005A15B2">
      <w:pPr>
        <w:tabs>
          <w:tab w:val="left" w:pos="851"/>
        </w:tabs>
        <w:ind w:left="851"/>
        <w:rPr>
          <w:sz w:val="24"/>
          <w:szCs w:val="24"/>
        </w:rPr>
      </w:pPr>
      <w:r w:rsidRPr="005A15B2">
        <w:rPr>
          <w:sz w:val="24"/>
          <w:szCs w:val="24"/>
        </w:rPr>
        <w:t>I non-kliniske studier er der set alvorlige granulomatøse inflammationer, som anses sammenhængende med injektionsstederne.</w:t>
      </w:r>
    </w:p>
    <w:p w14:paraId="29921E0D" w14:textId="77777777" w:rsidR="005A15B2" w:rsidRPr="005A15B2" w:rsidRDefault="005A15B2" w:rsidP="005A15B2">
      <w:pPr>
        <w:tabs>
          <w:tab w:val="left" w:pos="851"/>
        </w:tabs>
        <w:ind w:left="851"/>
        <w:rPr>
          <w:sz w:val="24"/>
          <w:szCs w:val="24"/>
          <w:u w:val="single"/>
        </w:rPr>
      </w:pPr>
    </w:p>
    <w:p w14:paraId="6597B45C" w14:textId="45AA33F7" w:rsidR="005A15B2" w:rsidRPr="005A15B2" w:rsidRDefault="005A15B2" w:rsidP="005A15B2">
      <w:pPr>
        <w:tabs>
          <w:tab w:val="left" w:pos="851"/>
        </w:tabs>
        <w:ind w:left="851"/>
        <w:rPr>
          <w:sz w:val="24"/>
          <w:szCs w:val="24"/>
        </w:rPr>
      </w:pPr>
      <w:r w:rsidRPr="005A15B2">
        <w:rPr>
          <w:sz w:val="24"/>
          <w:szCs w:val="24"/>
          <w:u w:val="single"/>
        </w:rPr>
        <w:t>Karcinogenicitet/mutagenicitet</w:t>
      </w:r>
    </w:p>
    <w:p w14:paraId="07EF0CE2" w14:textId="77777777" w:rsidR="005A15B2" w:rsidRPr="005A15B2" w:rsidRDefault="005A15B2" w:rsidP="005A15B2">
      <w:pPr>
        <w:tabs>
          <w:tab w:val="left" w:pos="851"/>
        </w:tabs>
        <w:ind w:left="851"/>
        <w:rPr>
          <w:sz w:val="24"/>
          <w:szCs w:val="24"/>
        </w:rPr>
      </w:pPr>
      <w:r w:rsidRPr="005A15B2">
        <w:rPr>
          <w:sz w:val="24"/>
          <w:szCs w:val="24"/>
        </w:rPr>
        <w:t>Teduglutid er testet negativt i standard testprogrammet for genotoksicitet.</w:t>
      </w:r>
    </w:p>
    <w:p w14:paraId="78CDFD4F" w14:textId="77777777" w:rsidR="005A15B2" w:rsidRPr="005A15B2" w:rsidRDefault="005A15B2" w:rsidP="005A15B2">
      <w:pPr>
        <w:tabs>
          <w:tab w:val="left" w:pos="851"/>
        </w:tabs>
        <w:ind w:left="851"/>
        <w:rPr>
          <w:sz w:val="24"/>
          <w:szCs w:val="24"/>
        </w:rPr>
      </w:pPr>
    </w:p>
    <w:p w14:paraId="117BBD48" w14:textId="77777777" w:rsidR="005A15B2" w:rsidRPr="005A15B2" w:rsidRDefault="005A15B2" w:rsidP="005A15B2">
      <w:pPr>
        <w:tabs>
          <w:tab w:val="left" w:pos="851"/>
        </w:tabs>
        <w:ind w:left="851"/>
        <w:rPr>
          <w:sz w:val="24"/>
          <w:szCs w:val="24"/>
        </w:rPr>
      </w:pPr>
      <w:r w:rsidRPr="005A15B2">
        <w:rPr>
          <w:sz w:val="24"/>
          <w:szCs w:val="24"/>
        </w:rPr>
        <w:t>I et rottekarcinogenicitetsstudie for hanrotter, som blev eksponeret for teduglutid-plasmaniveauer ca. 32 og 155 gange højere end den anbefalede daglige dosis til patienter, sås behandlingsrelaterede benigne svulstdannelser inklusive tumorer i galdegangenes epitel (hyppighed var henholdsvis 1 ud af 44 og 4 ud af 48). Der sås polypper i slimhinden i jejunum hos 1 ud af 50 hanrotter og hos 5 ud af 50 hanrotter eksponeret for teduglutid-plasmaniveauer henholdsvis ca. 10</w:t>
      </w:r>
      <w:r w:rsidRPr="005A15B2">
        <w:rPr>
          <w:sz w:val="24"/>
          <w:szCs w:val="24"/>
        </w:rPr>
        <w:noBreakHyphen/>
        <w:t>155 gange højere end den anbefalede daglige dosis til patienter. Yderligere blev der observeret et adenocarcinom i jejunum hos</w:t>
      </w:r>
    </w:p>
    <w:p w14:paraId="5319371E" w14:textId="77777777" w:rsidR="005A15B2" w:rsidRPr="005A15B2" w:rsidRDefault="005A15B2" w:rsidP="005A15B2">
      <w:pPr>
        <w:tabs>
          <w:tab w:val="left" w:pos="851"/>
        </w:tabs>
        <w:ind w:left="851"/>
        <w:rPr>
          <w:sz w:val="24"/>
          <w:szCs w:val="24"/>
        </w:rPr>
      </w:pPr>
      <w:r w:rsidRPr="005A15B2">
        <w:rPr>
          <w:sz w:val="24"/>
          <w:szCs w:val="24"/>
        </w:rPr>
        <w:t>1 hanrotte, der fik administreret den laveste af de testede doseringer (dyr: en 10‎</w:t>
      </w:r>
      <w:r w:rsidRPr="005A15B2">
        <w:rPr>
          <w:sz w:val="24"/>
          <w:szCs w:val="24"/>
        </w:rPr>
        <w:noBreakHyphen/>
        <w:t>foldig human plasma-eksponeringsmargen).</w:t>
      </w:r>
    </w:p>
    <w:p w14:paraId="09644A13" w14:textId="77777777" w:rsidR="005A15B2" w:rsidRPr="005A15B2" w:rsidRDefault="005A15B2" w:rsidP="005A15B2">
      <w:pPr>
        <w:tabs>
          <w:tab w:val="left" w:pos="851"/>
        </w:tabs>
        <w:ind w:left="851"/>
        <w:rPr>
          <w:sz w:val="24"/>
          <w:szCs w:val="24"/>
        </w:rPr>
      </w:pPr>
    </w:p>
    <w:p w14:paraId="677A7C03" w14:textId="77777777" w:rsidR="005A15B2" w:rsidRPr="005A15B2" w:rsidRDefault="005A15B2" w:rsidP="005A15B2">
      <w:pPr>
        <w:tabs>
          <w:tab w:val="left" w:pos="851"/>
        </w:tabs>
        <w:ind w:left="851"/>
        <w:rPr>
          <w:sz w:val="24"/>
          <w:szCs w:val="24"/>
        </w:rPr>
      </w:pPr>
      <w:r w:rsidRPr="005A15B2">
        <w:rPr>
          <w:sz w:val="24"/>
          <w:szCs w:val="24"/>
          <w:u w:val="single"/>
        </w:rPr>
        <w:t>Reproduktions-og udviklingstoksicitet</w:t>
      </w:r>
    </w:p>
    <w:p w14:paraId="1DE11C23" w14:textId="77777777" w:rsidR="005A15B2" w:rsidRPr="005A15B2" w:rsidRDefault="005A15B2" w:rsidP="005A15B2">
      <w:pPr>
        <w:tabs>
          <w:tab w:val="left" w:pos="851"/>
        </w:tabs>
        <w:ind w:left="851"/>
        <w:rPr>
          <w:sz w:val="24"/>
          <w:szCs w:val="24"/>
        </w:rPr>
      </w:pPr>
      <w:r w:rsidRPr="005A15B2">
        <w:rPr>
          <w:sz w:val="24"/>
          <w:szCs w:val="24"/>
        </w:rPr>
        <w:t xml:space="preserve">Der er gennemført reproduktions- og udviklingstoksicitetsstudier i rotter og kaniner, med evaluering af subkutane doser på 0, 2, 10 og 50 mg teduglutid/kg/dag. Teduglutid var ikke forbundet med påvirkning af reproduktionsevnen. </w:t>
      </w:r>
      <w:r w:rsidRPr="005A15B2">
        <w:rPr>
          <w:i/>
          <w:sz w:val="24"/>
          <w:szCs w:val="24"/>
        </w:rPr>
        <w:t xml:space="preserve">In utero- </w:t>
      </w:r>
      <w:r w:rsidRPr="005A15B2">
        <w:rPr>
          <w:sz w:val="24"/>
          <w:szCs w:val="24"/>
        </w:rPr>
        <w:t>eller udviklingsparametre blev målt i studier for at undersøge fertiliteten, den embryoføtale udvikling og den præ- og postnatale udvikling.</w:t>
      </w:r>
    </w:p>
    <w:p w14:paraId="60013066" w14:textId="77777777" w:rsidR="005A15B2" w:rsidRPr="005A15B2" w:rsidRDefault="005A15B2" w:rsidP="005A15B2">
      <w:pPr>
        <w:tabs>
          <w:tab w:val="left" w:pos="851"/>
        </w:tabs>
        <w:ind w:left="851"/>
        <w:rPr>
          <w:sz w:val="24"/>
          <w:szCs w:val="24"/>
        </w:rPr>
      </w:pPr>
      <w:r w:rsidRPr="005A15B2">
        <w:rPr>
          <w:sz w:val="24"/>
          <w:szCs w:val="24"/>
        </w:rPr>
        <w:t>Farmakokinetiske data viste, at eksponeringen for teduglutid var meget lav i kaninfostre og diende rotteunger.</w:t>
      </w:r>
    </w:p>
    <w:p w14:paraId="24B4F883" w14:textId="77777777" w:rsidR="009260DE" w:rsidRPr="00C84483" w:rsidRDefault="009260DE" w:rsidP="009260DE">
      <w:pPr>
        <w:tabs>
          <w:tab w:val="left" w:pos="851"/>
        </w:tabs>
        <w:ind w:left="851"/>
        <w:rPr>
          <w:sz w:val="24"/>
          <w:szCs w:val="24"/>
        </w:rPr>
      </w:pPr>
    </w:p>
    <w:p w14:paraId="4DAE7203" w14:textId="0FDABEF0" w:rsidR="005A15B2" w:rsidRDefault="005A15B2">
      <w:pPr>
        <w:rPr>
          <w:sz w:val="24"/>
          <w:szCs w:val="24"/>
        </w:rPr>
      </w:pPr>
      <w:r>
        <w:rPr>
          <w:sz w:val="24"/>
          <w:szCs w:val="24"/>
        </w:rPr>
        <w:br w:type="page"/>
      </w:r>
    </w:p>
    <w:p w14:paraId="55DBBAA1" w14:textId="77777777" w:rsidR="009260DE" w:rsidRPr="00C84483" w:rsidRDefault="009260DE" w:rsidP="009260DE">
      <w:pPr>
        <w:tabs>
          <w:tab w:val="left" w:pos="851"/>
        </w:tabs>
        <w:ind w:left="851"/>
        <w:rPr>
          <w:sz w:val="24"/>
          <w:szCs w:val="24"/>
        </w:rPr>
      </w:pPr>
    </w:p>
    <w:p w14:paraId="3858AE50" w14:textId="77777777" w:rsidR="009260DE" w:rsidRPr="00C84483" w:rsidRDefault="009260DE" w:rsidP="009260DE">
      <w:pPr>
        <w:tabs>
          <w:tab w:val="left" w:pos="851"/>
        </w:tabs>
        <w:ind w:left="851" w:hanging="851"/>
        <w:rPr>
          <w:b/>
          <w:sz w:val="24"/>
          <w:szCs w:val="24"/>
        </w:rPr>
      </w:pPr>
      <w:r w:rsidRPr="00C84483">
        <w:rPr>
          <w:b/>
          <w:sz w:val="24"/>
          <w:szCs w:val="24"/>
        </w:rPr>
        <w:t>6.</w:t>
      </w:r>
      <w:r w:rsidRPr="00C84483">
        <w:rPr>
          <w:b/>
          <w:sz w:val="24"/>
          <w:szCs w:val="24"/>
        </w:rPr>
        <w:tab/>
        <w:t>FARMACEUTISKE OPLYSNINGER</w:t>
      </w:r>
    </w:p>
    <w:p w14:paraId="3D240901" w14:textId="77777777" w:rsidR="009260DE" w:rsidRPr="00BA09F1" w:rsidRDefault="009260DE" w:rsidP="009260DE">
      <w:pPr>
        <w:tabs>
          <w:tab w:val="left" w:pos="851"/>
        </w:tabs>
        <w:ind w:left="851"/>
        <w:rPr>
          <w:sz w:val="24"/>
          <w:szCs w:val="24"/>
        </w:rPr>
      </w:pPr>
    </w:p>
    <w:p w14:paraId="2A7A5251" w14:textId="77777777" w:rsidR="009260DE" w:rsidRPr="00C84483" w:rsidRDefault="009260DE" w:rsidP="009260DE">
      <w:pPr>
        <w:tabs>
          <w:tab w:val="left" w:pos="851"/>
        </w:tabs>
        <w:ind w:left="851" w:hanging="851"/>
        <w:rPr>
          <w:b/>
          <w:sz w:val="24"/>
          <w:szCs w:val="24"/>
        </w:rPr>
      </w:pPr>
      <w:r w:rsidRPr="00C84483">
        <w:rPr>
          <w:b/>
          <w:sz w:val="24"/>
          <w:szCs w:val="24"/>
        </w:rPr>
        <w:t>6.1</w:t>
      </w:r>
      <w:r w:rsidRPr="00C84483">
        <w:rPr>
          <w:b/>
          <w:sz w:val="24"/>
          <w:szCs w:val="24"/>
        </w:rPr>
        <w:tab/>
        <w:t>Hjælpestoffer</w:t>
      </w:r>
    </w:p>
    <w:p w14:paraId="350538CE" w14:textId="77777777" w:rsidR="005A15B2" w:rsidRPr="005A15B2" w:rsidRDefault="005A15B2" w:rsidP="005A15B2">
      <w:pPr>
        <w:tabs>
          <w:tab w:val="left" w:pos="851"/>
        </w:tabs>
        <w:ind w:left="851"/>
        <w:rPr>
          <w:bCs/>
          <w:sz w:val="24"/>
          <w:szCs w:val="24"/>
        </w:rPr>
      </w:pPr>
    </w:p>
    <w:p w14:paraId="246115D9" w14:textId="77777777" w:rsidR="005A15B2" w:rsidRPr="005A15B2" w:rsidRDefault="005A15B2" w:rsidP="005A15B2">
      <w:pPr>
        <w:tabs>
          <w:tab w:val="left" w:pos="851"/>
        </w:tabs>
        <w:ind w:left="851"/>
        <w:rPr>
          <w:sz w:val="24"/>
          <w:szCs w:val="24"/>
        </w:rPr>
      </w:pPr>
      <w:r w:rsidRPr="005A15B2">
        <w:rPr>
          <w:sz w:val="24"/>
          <w:szCs w:val="24"/>
          <w:u w:val="single"/>
        </w:rPr>
        <w:t>Pulver</w:t>
      </w:r>
    </w:p>
    <w:p w14:paraId="3B8FE599" w14:textId="77777777" w:rsidR="005A15B2" w:rsidRPr="005A15B2" w:rsidRDefault="005A15B2" w:rsidP="005A15B2">
      <w:pPr>
        <w:tabs>
          <w:tab w:val="left" w:pos="851"/>
        </w:tabs>
        <w:ind w:left="851"/>
        <w:rPr>
          <w:sz w:val="24"/>
          <w:szCs w:val="24"/>
        </w:rPr>
      </w:pPr>
      <w:r w:rsidRPr="005A15B2">
        <w:rPr>
          <w:sz w:val="24"/>
          <w:szCs w:val="24"/>
        </w:rPr>
        <w:t>L</w:t>
      </w:r>
      <w:r w:rsidRPr="005A15B2">
        <w:rPr>
          <w:sz w:val="24"/>
          <w:szCs w:val="24"/>
        </w:rPr>
        <w:noBreakHyphen/>
        <w:t>histidin</w:t>
      </w:r>
    </w:p>
    <w:p w14:paraId="1A67E82A" w14:textId="77777777" w:rsidR="005A15B2" w:rsidRPr="005A15B2" w:rsidRDefault="005A15B2" w:rsidP="005A15B2">
      <w:pPr>
        <w:tabs>
          <w:tab w:val="left" w:pos="851"/>
        </w:tabs>
        <w:ind w:left="851"/>
        <w:rPr>
          <w:sz w:val="24"/>
          <w:szCs w:val="24"/>
        </w:rPr>
      </w:pPr>
      <w:r w:rsidRPr="005A15B2">
        <w:rPr>
          <w:sz w:val="24"/>
          <w:szCs w:val="24"/>
        </w:rPr>
        <w:t>Mannitol</w:t>
      </w:r>
    </w:p>
    <w:p w14:paraId="1F4254F9" w14:textId="77777777" w:rsidR="005A15B2" w:rsidRPr="005A15B2" w:rsidRDefault="005A15B2" w:rsidP="005A15B2">
      <w:pPr>
        <w:tabs>
          <w:tab w:val="left" w:pos="851"/>
        </w:tabs>
        <w:ind w:left="851"/>
        <w:rPr>
          <w:sz w:val="24"/>
          <w:szCs w:val="24"/>
        </w:rPr>
      </w:pPr>
      <w:r w:rsidRPr="005A15B2">
        <w:rPr>
          <w:sz w:val="24"/>
          <w:szCs w:val="24"/>
        </w:rPr>
        <w:t>Natriumdihydrogenphosphatmonohydrat</w:t>
      </w:r>
    </w:p>
    <w:p w14:paraId="4EC29365" w14:textId="77777777" w:rsidR="005A15B2" w:rsidRPr="005A15B2" w:rsidRDefault="005A15B2" w:rsidP="005A15B2">
      <w:pPr>
        <w:tabs>
          <w:tab w:val="left" w:pos="851"/>
        </w:tabs>
        <w:ind w:left="851"/>
        <w:rPr>
          <w:sz w:val="24"/>
          <w:szCs w:val="24"/>
        </w:rPr>
      </w:pPr>
      <w:r w:rsidRPr="005A15B2">
        <w:rPr>
          <w:sz w:val="24"/>
          <w:szCs w:val="24"/>
        </w:rPr>
        <w:t xml:space="preserve">Dinatriumhydrogenphosphatheptahydrat </w:t>
      </w:r>
    </w:p>
    <w:p w14:paraId="199D79B6" w14:textId="77777777" w:rsidR="005A15B2" w:rsidRPr="005A15B2" w:rsidRDefault="005A15B2" w:rsidP="005A15B2">
      <w:pPr>
        <w:tabs>
          <w:tab w:val="left" w:pos="851"/>
        </w:tabs>
        <w:ind w:left="851"/>
        <w:rPr>
          <w:sz w:val="24"/>
          <w:szCs w:val="24"/>
        </w:rPr>
      </w:pPr>
    </w:p>
    <w:p w14:paraId="495303CC" w14:textId="77777777" w:rsidR="005A15B2" w:rsidRPr="005A15B2" w:rsidRDefault="005A15B2" w:rsidP="005A15B2">
      <w:pPr>
        <w:tabs>
          <w:tab w:val="left" w:pos="851"/>
        </w:tabs>
        <w:ind w:left="851"/>
        <w:rPr>
          <w:sz w:val="24"/>
          <w:szCs w:val="24"/>
        </w:rPr>
      </w:pPr>
      <w:r w:rsidRPr="005A15B2">
        <w:rPr>
          <w:sz w:val="24"/>
          <w:szCs w:val="24"/>
          <w:u w:val="single"/>
        </w:rPr>
        <w:t>Solvens</w:t>
      </w:r>
    </w:p>
    <w:p w14:paraId="10C58A4B" w14:textId="77777777" w:rsidR="005A15B2" w:rsidRPr="005A15B2" w:rsidRDefault="005A15B2" w:rsidP="005A15B2">
      <w:pPr>
        <w:tabs>
          <w:tab w:val="left" w:pos="851"/>
        </w:tabs>
        <w:ind w:left="851"/>
        <w:rPr>
          <w:sz w:val="24"/>
          <w:szCs w:val="24"/>
        </w:rPr>
      </w:pPr>
      <w:r w:rsidRPr="005A15B2">
        <w:rPr>
          <w:sz w:val="24"/>
          <w:szCs w:val="24"/>
        </w:rPr>
        <w:t>Vand til injektionsvæsker</w:t>
      </w:r>
    </w:p>
    <w:p w14:paraId="7CDAA991" w14:textId="77777777" w:rsidR="009260DE" w:rsidRPr="00C84483" w:rsidRDefault="009260DE" w:rsidP="009260DE">
      <w:pPr>
        <w:tabs>
          <w:tab w:val="left" w:pos="851"/>
        </w:tabs>
        <w:ind w:left="851"/>
        <w:rPr>
          <w:sz w:val="24"/>
          <w:szCs w:val="24"/>
        </w:rPr>
      </w:pPr>
    </w:p>
    <w:p w14:paraId="6BA80919" w14:textId="77777777" w:rsidR="009260DE" w:rsidRPr="00C84483" w:rsidRDefault="009260DE" w:rsidP="009260DE">
      <w:pPr>
        <w:tabs>
          <w:tab w:val="left" w:pos="851"/>
        </w:tabs>
        <w:ind w:left="851" w:hanging="851"/>
        <w:rPr>
          <w:b/>
          <w:sz w:val="24"/>
          <w:szCs w:val="24"/>
        </w:rPr>
      </w:pPr>
      <w:r w:rsidRPr="00C84483">
        <w:rPr>
          <w:b/>
          <w:sz w:val="24"/>
          <w:szCs w:val="24"/>
        </w:rPr>
        <w:t>6.2</w:t>
      </w:r>
      <w:r w:rsidRPr="00C84483">
        <w:rPr>
          <w:b/>
          <w:sz w:val="24"/>
          <w:szCs w:val="24"/>
        </w:rPr>
        <w:tab/>
        <w:t>Uforligeligheder</w:t>
      </w:r>
    </w:p>
    <w:p w14:paraId="38FC14C2" w14:textId="77777777" w:rsidR="005A15B2" w:rsidRPr="005A15B2" w:rsidRDefault="005A15B2" w:rsidP="005A15B2">
      <w:pPr>
        <w:tabs>
          <w:tab w:val="left" w:pos="851"/>
        </w:tabs>
        <w:ind w:left="851"/>
        <w:rPr>
          <w:sz w:val="24"/>
          <w:szCs w:val="24"/>
        </w:rPr>
      </w:pPr>
      <w:r w:rsidRPr="005A15B2">
        <w:rPr>
          <w:sz w:val="24"/>
          <w:szCs w:val="24"/>
        </w:rPr>
        <w:t>Da der ikke foreligger studier af eventuelle uforligeligheder, må dette lægemiddel ikke blandes med andre lægemidler.</w:t>
      </w:r>
    </w:p>
    <w:p w14:paraId="36A2D2B8" w14:textId="77777777" w:rsidR="009260DE" w:rsidRPr="00C84483" w:rsidRDefault="009260DE" w:rsidP="009260DE">
      <w:pPr>
        <w:tabs>
          <w:tab w:val="left" w:pos="851"/>
        </w:tabs>
        <w:ind w:left="851"/>
        <w:rPr>
          <w:sz w:val="24"/>
          <w:szCs w:val="24"/>
        </w:rPr>
      </w:pPr>
    </w:p>
    <w:p w14:paraId="1F7AAF1E" w14:textId="77777777" w:rsidR="009260DE" w:rsidRPr="00C84483" w:rsidRDefault="009260DE" w:rsidP="009260DE">
      <w:pPr>
        <w:tabs>
          <w:tab w:val="left" w:pos="851"/>
        </w:tabs>
        <w:ind w:left="851" w:hanging="851"/>
        <w:rPr>
          <w:b/>
          <w:sz w:val="24"/>
          <w:szCs w:val="24"/>
        </w:rPr>
      </w:pPr>
      <w:r w:rsidRPr="00C84483">
        <w:rPr>
          <w:b/>
          <w:sz w:val="24"/>
          <w:szCs w:val="24"/>
        </w:rPr>
        <w:t>6.3</w:t>
      </w:r>
      <w:r w:rsidRPr="00C84483">
        <w:rPr>
          <w:b/>
          <w:sz w:val="24"/>
          <w:szCs w:val="24"/>
        </w:rPr>
        <w:tab/>
        <w:t>Opbevaringstid</w:t>
      </w:r>
    </w:p>
    <w:p w14:paraId="7F1A8998" w14:textId="77777777" w:rsidR="005A15B2" w:rsidRPr="005A15B2" w:rsidRDefault="005A15B2" w:rsidP="005A15B2">
      <w:pPr>
        <w:tabs>
          <w:tab w:val="left" w:pos="851"/>
        </w:tabs>
        <w:ind w:left="851"/>
        <w:rPr>
          <w:bCs/>
          <w:sz w:val="24"/>
          <w:szCs w:val="24"/>
        </w:rPr>
      </w:pPr>
    </w:p>
    <w:p w14:paraId="381D9A65" w14:textId="77777777" w:rsidR="005A15B2" w:rsidRPr="005A15B2" w:rsidRDefault="005A15B2" w:rsidP="005A15B2">
      <w:pPr>
        <w:tabs>
          <w:tab w:val="left" w:pos="851"/>
        </w:tabs>
        <w:ind w:left="851"/>
        <w:rPr>
          <w:sz w:val="24"/>
          <w:szCs w:val="24"/>
        </w:rPr>
      </w:pPr>
      <w:r w:rsidRPr="005A15B2">
        <w:rPr>
          <w:sz w:val="24"/>
          <w:szCs w:val="24"/>
          <w:u w:val="single"/>
        </w:rPr>
        <w:t>Uåbnede hætteglas</w:t>
      </w:r>
    </w:p>
    <w:p w14:paraId="62B8F4D3" w14:textId="2CC75814" w:rsidR="005A15B2" w:rsidRPr="005A15B2" w:rsidRDefault="005A15B2" w:rsidP="005A15B2">
      <w:pPr>
        <w:tabs>
          <w:tab w:val="left" w:pos="851"/>
        </w:tabs>
        <w:ind w:left="851"/>
        <w:rPr>
          <w:sz w:val="24"/>
          <w:szCs w:val="24"/>
        </w:rPr>
      </w:pPr>
      <w:r w:rsidRPr="005A15B2">
        <w:rPr>
          <w:sz w:val="24"/>
          <w:szCs w:val="24"/>
        </w:rPr>
        <w:t>30 måneder</w:t>
      </w:r>
      <w:r>
        <w:rPr>
          <w:sz w:val="24"/>
          <w:szCs w:val="24"/>
        </w:rPr>
        <w:t>.</w:t>
      </w:r>
    </w:p>
    <w:p w14:paraId="6C951E36" w14:textId="77777777" w:rsidR="005A15B2" w:rsidRPr="005A15B2" w:rsidRDefault="005A15B2" w:rsidP="005A15B2">
      <w:pPr>
        <w:tabs>
          <w:tab w:val="left" w:pos="851"/>
        </w:tabs>
        <w:ind w:left="851"/>
        <w:rPr>
          <w:sz w:val="24"/>
          <w:szCs w:val="24"/>
          <w:u w:val="single"/>
        </w:rPr>
      </w:pPr>
    </w:p>
    <w:p w14:paraId="2FB4FC79" w14:textId="77777777" w:rsidR="005A15B2" w:rsidRPr="005A15B2" w:rsidRDefault="005A15B2" w:rsidP="005A15B2">
      <w:pPr>
        <w:tabs>
          <w:tab w:val="left" w:pos="851"/>
        </w:tabs>
        <w:ind w:left="851"/>
        <w:rPr>
          <w:sz w:val="24"/>
          <w:szCs w:val="24"/>
        </w:rPr>
      </w:pPr>
      <w:r w:rsidRPr="005A15B2">
        <w:rPr>
          <w:sz w:val="24"/>
          <w:szCs w:val="24"/>
          <w:u w:val="single"/>
        </w:rPr>
        <w:t>Rekonstitueret præparat</w:t>
      </w:r>
    </w:p>
    <w:p w14:paraId="4D46755D" w14:textId="77777777" w:rsidR="005A15B2" w:rsidRPr="005A15B2" w:rsidRDefault="005A15B2" w:rsidP="005A15B2">
      <w:pPr>
        <w:tabs>
          <w:tab w:val="left" w:pos="851"/>
        </w:tabs>
        <w:ind w:left="851"/>
        <w:rPr>
          <w:sz w:val="24"/>
          <w:szCs w:val="24"/>
        </w:rPr>
      </w:pPr>
      <w:r w:rsidRPr="005A15B2">
        <w:rPr>
          <w:sz w:val="24"/>
          <w:szCs w:val="24"/>
        </w:rPr>
        <w:t>Kemisk og fysisk stabilitet efter åbning er dokumenteret i 3 timer ved 25 °C.</w:t>
      </w:r>
    </w:p>
    <w:p w14:paraId="23114E99" w14:textId="77777777" w:rsidR="005A15B2" w:rsidRPr="005A15B2" w:rsidRDefault="005A15B2" w:rsidP="005A15B2">
      <w:pPr>
        <w:tabs>
          <w:tab w:val="left" w:pos="851"/>
        </w:tabs>
        <w:ind w:left="851"/>
        <w:rPr>
          <w:sz w:val="24"/>
          <w:szCs w:val="24"/>
        </w:rPr>
      </w:pPr>
    </w:p>
    <w:p w14:paraId="6A0106F1" w14:textId="77777777" w:rsidR="005A15B2" w:rsidRPr="005A15B2" w:rsidRDefault="005A15B2" w:rsidP="005A15B2">
      <w:pPr>
        <w:tabs>
          <w:tab w:val="left" w:pos="851"/>
        </w:tabs>
        <w:ind w:left="851"/>
        <w:rPr>
          <w:sz w:val="24"/>
          <w:szCs w:val="24"/>
        </w:rPr>
      </w:pPr>
      <w:r w:rsidRPr="005A15B2">
        <w:rPr>
          <w:sz w:val="24"/>
          <w:szCs w:val="24"/>
        </w:rPr>
        <w:t>Ud fra et mikrobiologisk synspunkt skal præparatet anvendes med det samme, medmindre rekonstitutionsmetoden udelukker risikoen for mikrobiel kontaminering.</w:t>
      </w:r>
    </w:p>
    <w:p w14:paraId="447430B4" w14:textId="77777777" w:rsidR="005A15B2" w:rsidRPr="005A15B2" w:rsidRDefault="005A15B2" w:rsidP="005A15B2">
      <w:pPr>
        <w:tabs>
          <w:tab w:val="left" w:pos="851"/>
        </w:tabs>
        <w:ind w:left="851"/>
        <w:rPr>
          <w:sz w:val="24"/>
          <w:szCs w:val="24"/>
        </w:rPr>
      </w:pPr>
    </w:p>
    <w:p w14:paraId="387D4B79" w14:textId="77777777" w:rsidR="005A15B2" w:rsidRPr="005A15B2" w:rsidRDefault="005A15B2" w:rsidP="005A15B2">
      <w:pPr>
        <w:tabs>
          <w:tab w:val="left" w:pos="851"/>
        </w:tabs>
        <w:ind w:left="851"/>
        <w:rPr>
          <w:sz w:val="24"/>
          <w:szCs w:val="24"/>
        </w:rPr>
      </w:pPr>
      <w:r w:rsidRPr="005A15B2">
        <w:rPr>
          <w:sz w:val="24"/>
          <w:szCs w:val="24"/>
        </w:rPr>
        <w:t>Hvis præparatet ikke anvendes straks, er opbevaringstider og -betingelser er på brugerens eget ansvar og må normalt ikke overstige 24 timer ved 2 til 8 °C, med mindre rekonstitutionen er udført under kontrollerede og validerede aseptiske betingelser.</w:t>
      </w:r>
    </w:p>
    <w:p w14:paraId="5BD66851" w14:textId="77777777" w:rsidR="009260DE" w:rsidRPr="00C84483" w:rsidRDefault="009260DE" w:rsidP="009260DE">
      <w:pPr>
        <w:tabs>
          <w:tab w:val="left" w:pos="851"/>
        </w:tabs>
        <w:ind w:left="851"/>
        <w:rPr>
          <w:sz w:val="24"/>
          <w:szCs w:val="24"/>
        </w:rPr>
      </w:pPr>
    </w:p>
    <w:p w14:paraId="4B6CE08A" w14:textId="77777777" w:rsidR="009260DE" w:rsidRPr="005A15B2" w:rsidRDefault="009260DE" w:rsidP="009260DE">
      <w:pPr>
        <w:tabs>
          <w:tab w:val="left" w:pos="851"/>
        </w:tabs>
        <w:ind w:left="851" w:hanging="851"/>
        <w:rPr>
          <w:b/>
          <w:sz w:val="24"/>
          <w:szCs w:val="24"/>
        </w:rPr>
      </w:pPr>
      <w:r w:rsidRPr="005A15B2">
        <w:rPr>
          <w:b/>
          <w:sz w:val="24"/>
          <w:szCs w:val="24"/>
        </w:rPr>
        <w:t>6.4</w:t>
      </w:r>
      <w:r w:rsidRPr="005A15B2">
        <w:rPr>
          <w:b/>
          <w:sz w:val="24"/>
          <w:szCs w:val="24"/>
        </w:rPr>
        <w:tab/>
        <w:t>Særlige opbevaringsforhold</w:t>
      </w:r>
    </w:p>
    <w:p w14:paraId="08821F9B" w14:textId="071F4E6D" w:rsidR="005A15B2" w:rsidRPr="005A15B2" w:rsidRDefault="005A15B2" w:rsidP="005A15B2">
      <w:pPr>
        <w:pStyle w:val="Brdtekst"/>
        <w:ind w:left="851"/>
        <w:rPr>
          <w:sz w:val="24"/>
          <w:szCs w:val="24"/>
        </w:rPr>
      </w:pPr>
      <w:r w:rsidRPr="005A15B2">
        <w:rPr>
          <w:sz w:val="24"/>
          <w:szCs w:val="24"/>
        </w:rPr>
        <w:t>Opbevares</w:t>
      </w:r>
      <w:r w:rsidRPr="005A15B2">
        <w:rPr>
          <w:spacing w:val="-5"/>
          <w:sz w:val="24"/>
          <w:szCs w:val="24"/>
        </w:rPr>
        <w:t xml:space="preserve"> </w:t>
      </w:r>
      <w:r w:rsidRPr="005A15B2">
        <w:rPr>
          <w:sz w:val="24"/>
          <w:szCs w:val="24"/>
        </w:rPr>
        <w:t>i</w:t>
      </w:r>
      <w:r w:rsidRPr="005A15B2">
        <w:rPr>
          <w:spacing w:val="-3"/>
          <w:sz w:val="24"/>
          <w:szCs w:val="24"/>
        </w:rPr>
        <w:t xml:space="preserve"> </w:t>
      </w:r>
      <w:r w:rsidRPr="005A15B2">
        <w:rPr>
          <w:sz w:val="24"/>
          <w:szCs w:val="24"/>
        </w:rPr>
        <w:t>køleskab</w:t>
      </w:r>
      <w:r w:rsidRPr="005A15B2">
        <w:rPr>
          <w:spacing w:val="-4"/>
          <w:sz w:val="24"/>
          <w:szCs w:val="24"/>
        </w:rPr>
        <w:t xml:space="preserve"> </w:t>
      </w:r>
      <w:r w:rsidRPr="005A15B2">
        <w:rPr>
          <w:sz w:val="24"/>
          <w:szCs w:val="24"/>
        </w:rPr>
        <w:t>(2</w:t>
      </w:r>
      <w:r w:rsidRPr="005A15B2">
        <w:rPr>
          <w:spacing w:val="-3"/>
          <w:sz w:val="24"/>
          <w:szCs w:val="24"/>
        </w:rPr>
        <w:t> </w:t>
      </w:r>
      <w:r w:rsidRPr="005A15B2">
        <w:rPr>
          <w:sz w:val="24"/>
          <w:szCs w:val="24"/>
        </w:rPr>
        <w:t>°C-8</w:t>
      </w:r>
      <w:r w:rsidRPr="005A15B2">
        <w:rPr>
          <w:spacing w:val="-4"/>
          <w:sz w:val="24"/>
          <w:szCs w:val="24"/>
        </w:rPr>
        <w:t> </w:t>
      </w:r>
      <w:r w:rsidRPr="005A15B2">
        <w:rPr>
          <w:sz w:val="24"/>
          <w:szCs w:val="24"/>
        </w:rPr>
        <w:t>°C). Må ikke nedfryses.</w:t>
      </w:r>
    </w:p>
    <w:p w14:paraId="03033B47" w14:textId="77777777" w:rsidR="005A15B2" w:rsidRPr="005A15B2" w:rsidRDefault="005A15B2" w:rsidP="005A15B2">
      <w:pPr>
        <w:pStyle w:val="Brdtekst"/>
        <w:ind w:left="851"/>
        <w:rPr>
          <w:spacing w:val="-2"/>
          <w:sz w:val="24"/>
          <w:szCs w:val="24"/>
          <w:u w:val="single"/>
        </w:rPr>
      </w:pPr>
    </w:p>
    <w:p w14:paraId="2E05CE96" w14:textId="77777777" w:rsidR="005A15B2" w:rsidRPr="005A15B2" w:rsidRDefault="005A15B2" w:rsidP="005A15B2">
      <w:pPr>
        <w:pStyle w:val="Brdtekst"/>
        <w:ind w:left="851"/>
        <w:rPr>
          <w:spacing w:val="-4"/>
          <w:sz w:val="24"/>
          <w:szCs w:val="24"/>
        </w:rPr>
      </w:pPr>
      <w:r w:rsidRPr="005A15B2">
        <w:rPr>
          <w:sz w:val="24"/>
          <w:szCs w:val="24"/>
        </w:rPr>
        <w:t>Opbevaringsforhold</w:t>
      </w:r>
      <w:r w:rsidRPr="005A15B2">
        <w:rPr>
          <w:spacing w:val="-6"/>
          <w:sz w:val="24"/>
          <w:szCs w:val="24"/>
        </w:rPr>
        <w:t xml:space="preserve"> </w:t>
      </w:r>
      <w:r w:rsidRPr="005A15B2">
        <w:rPr>
          <w:sz w:val="24"/>
          <w:szCs w:val="24"/>
        </w:rPr>
        <w:t>efter</w:t>
      </w:r>
      <w:r w:rsidRPr="005A15B2">
        <w:rPr>
          <w:spacing w:val="-6"/>
          <w:sz w:val="24"/>
          <w:szCs w:val="24"/>
        </w:rPr>
        <w:t xml:space="preserve"> </w:t>
      </w:r>
      <w:r w:rsidRPr="005A15B2">
        <w:rPr>
          <w:sz w:val="24"/>
          <w:szCs w:val="24"/>
        </w:rPr>
        <w:t>rekonstitution</w:t>
      </w:r>
      <w:r w:rsidRPr="005A15B2">
        <w:rPr>
          <w:spacing w:val="-6"/>
          <w:sz w:val="24"/>
          <w:szCs w:val="24"/>
        </w:rPr>
        <w:t xml:space="preserve"> </w:t>
      </w:r>
      <w:r w:rsidRPr="005A15B2">
        <w:rPr>
          <w:sz w:val="24"/>
          <w:szCs w:val="24"/>
        </w:rPr>
        <w:t>af</w:t>
      </w:r>
      <w:r w:rsidRPr="005A15B2">
        <w:rPr>
          <w:spacing w:val="-6"/>
          <w:sz w:val="24"/>
          <w:szCs w:val="24"/>
        </w:rPr>
        <w:t xml:space="preserve"> </w:t>
      </w:r>
      <w:r w:rsidRPr="005A15B2">
        <w:rPr>
          <w:sz w:val="24"/>
          <w:szCs w:val="24"/>
        </w:rPr>
        <w:t>lægemidlet,</w:t>
      </w:r>
      <w:r w:rsidRPr="005A15B2">
        <w:rPr>
          <w:spacing w:val="-8"/>
          <w:sz w:val="24"/>
          <w:szCs w:val="24"/>
        </w:rPr>
        <w:t xml:space="preserve"> </w:t>
      </w:r>
      <w:r w:rsidRPr="005A15B2">
        <w:rPr>
          <w:sz w:val="24"/>
          <w:szCs w:val="24"/>
        </w:rPr>
        <w:t>se</w:t>
      </w:r>
      <w:r w:rsidRPr="005A15B2">
        <w:rPr>
          <w:spacing w:val="-6"/>
          <w:sz w:val="24"/>
          <w:szCs w:val="24"/>
        </w:rPr>
        <w:t xml:space="preserve"> </w:t>
      </w:r>
      <w:r w:rsidRPr="005A15B2">
        <w:rPr>
          <w:sz w:val="24"/>
          <w:szCs w:val="24"/>
        </w:rPr>
        <w:t>pkt.</w:t>
      </w:r>
      <w:r w:rsidRPr="005A15B2">
        <w:rPr>
          <w:spacing w:val="-2"/>
          <w:sz w:val="24"/>
          <w:szCs w:val="24"/>
        </w:rPr>
        <w:t> </w:t>
      </w:r>
      <w:r w:rsidRPr="005A15B2">
        <w:rPr>
          <w:spacing w:val="-4"/>
          <w:sz w:val="24"/>
          <w:szCs w:val="24"/>
        </w:rPr>
        <w:t>6.3.</w:t>
      </w:r>
    </w:p>
    <w:p w14:paraId="29B93378" w14:textId="77777777" w:rsidR="009260DE" w:rsidRPr="005A15B2" w:rsidRDefault="009260DE" w:rsidP="009260DE">
      <w:pPr>
        <w:tabs>
          <w:tab w:val="left" w:pos="851"/>
        </w:tabs>
        <w:ind w:left="851"/>
        <w:rPr>
          <w:sz w:val="24"/>
          <w:szCs w:val="24"/>
        </w:rPr>
      </w:pPr>
    </w:p>
    <w:p w14:paraId="40F83FBC" w14:textId="77777777" w:rsidR="009260DE" w:rsidRPr="005A15B2" w:rsidRDefault="009260DE" w:rsidP="009260DE">
      <w:pPr>
        <w:tabs>
          <w:tab w:val="left" w:pos="851"/>
        </w:tabs>
        <w:ind w:left="851" w:hanging="851"/>
        <w:rPr>
          <w:b/>
          <w:sz w:val="24"/>
          <w:szCs w:val="24"/>
        </w:rPr>
      </w:pPr>
      <w:r w:rsidRPr="005A15B2">
        <w:rPr>
          <w:b/>
          <w:sz w:val="24"/>
          <w:szCs w:val="24"/>
        </w:rPr>
        <w:t>6.5</w:t>
      </w:r>
      <w:r w:rsidRPr="005A15B2">
        <w:rPr>
          <w:b/>
          <w:sz w:val="24"/>
          <w:szCs w:val="24"/>
        </w:rPr>
        <w:tab/>
        <w:t>Emballagetype og pakningsstørrelser</w:t>
      </w:r>
    </w:p>
    <w:p w14:paraId="0A387091" w14:textId="77777777" w:rsidR="005A15B2" w:rsidRPr="005A15B2" w:rsidRDefault="005A15B2" w:rsidP="005A15B2">
      <w:pPr>
        <w:tabs>
          <w:tab w:val="left" w:pos="851"/>
        </w:tabs>
        <w:ind w:left="851"/>
        <w:rPr>
          <w:sz w:val="24"/>
          <w:szCs w:val="24"/>
          <w:u w:val="single"/>
        </w:rPr>
      </w:pPr>
    </w:p>
    <w:p w14:paraId="32431E01" w14:textId="77777777" w:rsidR="005A15B2" w:rsidRPr="005A15B2" w:rsidRDefault="005A15B2" w:rsidP="005A15B2">
      <w:pPr>
        <w:tabs>
          <w:tab w:val="left" w:pos="851"/>
        </w:tabs>
        <w:ind w:left="851"/>
        <w:rPr>
          <w:sz w:val="24"/>
          <w:szCs w:val="24"/>
        </w:rPr>
      </w:pPr>
      <w:r w:rsidRPr="005A15B2">
        <w:rPr>
          <w:sz w:val="24"/>
          <w:szCs w:val="24"/>
          <w:u w:val="single"/>
        </w:rPr>
        <w:t>Pulver</w:t>
      </w:r>
    </w:p>
    <w:p w14:paraId="53E2D019" w14:textId="77777777" w:rsidR="005A15B2" w:rsidRPr="005A15B2" w:rsidRDefault="005A15B2" w:rsidP="005A15B2">
      <w:pPr>
        <w:tabs>
          <w:tab w:val="left" w:pos="851"/>
        </w:tabs>
        <w:ind w:left="851"/>
        <w:rPr>
          <w:sz w:val="24"/>
          <w:szCs w:val="24"/>
        </w:rPr>
      </w:pPr>
      <w:r w:rsidRPr="005A15B2">
        <w:rPr>
          <w:sz w:val="24"/>
          <w:szCs w:val="24"/>
        </w:rPr>
        <w:t>2 ml hætteglas (glas) med en grå brombutyl-prop og en flip-off-forsegling af aluminium, der indeholder 5 mg teduglutid.</w:t>
      </w:r>
    </w:p>
    <w:p w14:paraId="3F5630B7" w14:textId="77777777" w:rsidR="005A15B2" w:rsidRPr="005A15B2" w:rsidRDefault="005A15B2" w:rsidP="005A15B2">
      <w:pPr>
        <w:tabs>
          <w:tab w:val="left" w:pos="851"/>
        </w:tabs>
        <w:ind w:left="851"/>
        <w:rPr>
          <w:sz w:val="24"/>
          <w:szCs w:val="24"/>
          <w:u w:val="single"/>
        </w:rPr>
      </w:pPr>
    </w:p>
    <w:p w14:paraId="6897A9F4" w14:textId="77777777" w:rsidR="005A15B2" w:rsidRPr="005A15B2" w:rsidRDefault="005A15B2" w:rsidP="005A15B2">
      <w:pPr>
        <w:tabs>
          <w:tab w:val="left" w:pos="851"/>
        </w:tabs>
        <w:ind w:left="851"/>
        <w:rPr>
          <w:sz w:val="24"/>
          <w:szCs w:val="24"/>
        </w:rPr>
      </w:pPr>
      <w:r w:rsidRPr="005A15B2">
        <w:rPr>
          <w:sz w:val="24"/>
          <w:szCs w:val="24"/>
          <w:u w:val="single"/>
        </w:rPr>
        <w:t>Solvens</w:t>
      </w:r>
    </w:p>
    <w:p w14:paraId="1D5FEECD" w14:textId="77777777" w:rsidR="005A15B2" w:rsidRPr="005A15B2" w:rsidRDefault="005A15B2" w:rsidP="005A15B2">
      <w:pPr>
        <w:tabs>
          <w:tab w:val="left" w:pos="851"/>
        </w:tabs>
        <w:ind w:left="851"/>
        <w:rPr>
          <w:sz w:val="24"/>
          <w:szCs w:val="24"/>
        </w:rPr>
      </w:pPr>
      <w:r w:rsidRPr="005A15B2">
        <w:rPr>
          <w:sz w:val="24"/>
          <w:szCs w:val="24"/>
        </w:rPr>
        <w:t>Fyldt injektionssprøjte (glas) med kanyle og stempelprop, der indeholder 0,5 ml solvens.</w:t>
      </w:r>
    </w:p>
    <w:p w14:paraId="0458FD4D" w14:textId="77777777" w:rsidR="005A15B2" w:rsidRPr="005A15B2" w:rsidRDefault="005A15B2" w:rsidP="005A15B2">
      <w:pPr>
        <w:tabs>
          <w:tab w:val="left" w:pos="851"/>
        </w:tabs>
        <w:ind w:left="851"/>
        <w:rPr>
          <w:sz w:val="24"/>
          <w:szCs w:val="24"/>
          <w:u w:val="single"/>
        </w:rPr>
      </w:pPr>
    </w:p>
    <w:p w14:paraId="64FA29BE" w14:textId="77777777" w:rsidR="005A15B2" w:rsidRPr="005A15B2" w:rsidRDefault="005A15B2" w:rsidP="005A15B2">
      <w:pPr>
        <w:tabs>
          <w:tab w:val="left" w:pos="851"/>
        </w:tabs>
        <w:ind w:left="851"/>
        <w:rPr>
          <w:sz w:val="24"/>
          <w:szCs w:val="24"/>
        </w:rPr>
      </w:pPr>
      <w:r w:rsidRPr="005A15B2">
        <w:rPr>
          <w:sz w:val="24"/>
          <w:szCs w:val="24"/>
          <w:u w:val="single"/>
        </w:rPr>
        <w:t>Pakningsstørrelser</w:t>
      </w:r>
    </w:p>
    <w:p w14:paraId="68864B0E" w14:textId="3D8F5B71" w:rsidR="005A15B2" w:rsidRDefault="005A15B2" w:rsidP="005A15B2">
      <w:pPr>
        <w:tabs>
          <w:tab w:val="left" w:pos="851"/>
        </w:tabs>
        <w:ind w:left="851"/>
        <w:rPr>
          <w:sz w:val="24"/>
          <w:szCs w:val="24"/>
        </w:rPr>
      </w:pPr>
      <w:r w:rsidRPr="005A15B2">
        <w:rPr>
          <w:sz w:val="24"/>
          <w:szCs w:val="24"/>
        </w:rPr>
        <w:t>1 hætteglas med pulver med 1 fyldt injektionssprøjte med solvens</w:t>
      </w:r>
      <w:r>
        <w:rPr>
          <w:sz w:val="24"/>
          <w:szCs w:val="24"/>
        </w:rPr>
        <w:t>.</w:t>
      </w:r>
    </w:p>
    <w:p w14:paraId="6C2055C2" w14:textId="13C9BE1F" w:rsidR="005A15B2" w:rsidRPr="005A15B2" w:rsidRDefault="005A15B2" w:rsidP="005A15B2">
      <w:pPr>
        <w:tabs>
          <w:tab w:val="left" w:pos="851"/>
        </w:tabs>
        <w:ind w:left="851"/>
        <w:rPr>
          <w:sz w:val="24"/>
          <w:szCs w:val="24"/>
        </w:rPr>
      </w:pPr>
      <w:r w:rsidRPr="005A15B2">
        <w:rPr>
          <w:sz w:val="24"/>
          <w:szCs w:val="24"/>
        </w:rPr>
        <w:t>28 hætteglas med pulver med 28 fyldte injektionssprøjter med solvens.</w:t>
      </w:r>
    </w:p>
    <w:p w14:paraId="2F86D75B" w14:textId="77777777" w:rsidR="005A15B2" w:rsidRPr="005A15B2" w:rsidRDefault="005A15B2" w:rsidP="005A15B2">
      <w:pPr>
        <w:tabs>
          <w:tab w:val="left" w:pos="851"/>
        </w:tabs>
        <w:ind w:left="851"/>
        <w:rPr>
          <w:sz w:val="24"/>
          <w:szCs w:val="24"/>
        </w:rPr>
      </w:pPr>
    </w:p>
    <w:p w14:paraId="63009CD7" w14:textId="77777777" w:rsidR="005A15B2" w:rsidRPr="005A15B2" w:rsidRDefault="005A15B2" w:rsidP="005A15B2">
      <w:pPr>
        <w:tabs>
          <w:tab w:val="left" w:pos="851"/>
        </w:tabs>
        <w:ind w:left="851"/>
        <w:rPr>
          <w:sz w:val="24"/>
          <w:szCs w:val="24"/>
        </w:rPr>
      </w:pPr>
      <w:r w:rsidRPr="005A15B2">
        <w:rPr>
          <w:sz w:val="24"/>
          <w:szCs w:val="24"/>
        </w:rPr>
        <w:lastRenderedPageBreak/>
        <w:t>Ikke alle pakningsstørrelser er nødvendigvis markedsført.</w:t>
      </w:r>
    </w:p>
    <w:p w14:paraId="5B8BA6E7" w14:textId="77777777" w:rsidR="009260DE" w:rsidRPr="00C84483" w:rsidRDefault="009260DE" w:rsidP="009260DE">
      <w:pPr>
        <w:tabs>
          <w:tab w:val="left" w:pos="851"/>
        </w:tabs>
        <w:ind w:left="851"/>
        <w:rPr>
          <w:sz w:val="24"/>
          <w:szCs w:val="24"/>
        </w:rPr>
      </w:pPr>
    </w:p>
    <w:p w14:paraId="178EC41D" w14:textId="77777777" w:rsidR="009260DE" w:rsidRPr="00C84483" w:rsidRDefault="009260DE" w:rsidP="009260DE">
      <w:pPr>
        <w:tabs>
          <w:tab w:val="left" w:pos="851"/>
        </w:tabs>
        <w:ind w:left="851" w:hanging="851"/>
        <w:rPr>
          <w:b/>
          <w:sz w:val="24"/>
          <w:szCs w:val="24"/>
        </w:rPr>
      </w:pPr>
      <w:r w:rsidRPr="00C84483">
        <w:rPr>
          <w:b/>
          <w:sz w:val="24"/>
          <w:szCs w:val="24"/>
        </w:rPr>
        <w:t>6.6</w:t>
      </w:r>
      <w:r w:rsidRPr="00C84483">
        <w:rPr>
          <w:b/>
          <w:sz w:val="24"/>
          <w:szCs w:val="24"/>
        </w:rPr>
        <w:tab/>
        <w:t xml:space="preserve">Regler for </w:t>
      </w:r>
      <w:r w:rsidR="00BD7931">
        <w:rPr>
          <w:b/>
          <w:sz w:val="24"/>
          <w:szCs w:val="24"/>
        </w:rPr>
        <w:t>bortskaffelse</w:t>
      </w:r>
      <w:r w:rsidRPr="00C84483">
        <w:rPr>
          <w:b/>
          <w:sz w:val="24"/>
          <w:szCs w:val="24"/>
        </w:rPr>
        <w:t xml:space="preserve"> og anden håndtering</w:t>
      </w:r>
    </w:p>
    <w:p w14:paraId="7DEB401A" w14:textId="77777777" w:rsidR="005A15B2" w:rsidRPr="005A15B2" w:rsidRDefault="005A15B2" w:rsidP="005A15B2">
      <w:pPr>
        <w:tabs>
          <w:tab w:val="left" w:pos="851"/>
        </w:tabs>
        <w:ind w:left="851"/>
        <w:rPr>
          <w:sz w:val="24"/>
          <w:szCs w:val="24"/>
        </w:rPr>
      </w:pPr>
      <w:r w:rsidRPr="005A15B2">
        <w:rPr>
          <w:sz w:val="24"/>
          <w:szCs w:val="24"/>
        </w:rPr>
        <w:t>Antallet af nødvendige hætteglas, som skal bruges til administration af en dosis, baseres på hver enkelt patients vægt og den anbefalede dosis på 0,05 mg/kg/dag. Lægen bør veje patienten ved hvert besøg og bestemme og informere patienten om den daglige dosis, der skal administreres indtil næste besøg.</w:t>
      </w:r>
    </w:p>
    <w:p w14:paraId="45072B44" w14:textId="77777777" w:rsidR="005A15B2" w:rsidRPr="005A15B2" w:rsidRDefault="005A15B2" w:rsidP="005A15B2">
      <w:pPr>
        <w:tabs>
          <w:tab w:val="left" w:pos="851"/>
        </w:tabs>
        <w:ind w:left="851"/>
        <w:rPr>
          <w:sz w:val="24"/>
          <w:szCs w:val="24"/>
        </w:rPr>
      </w:pPr>
    </w:p>
    <w:p w14:paraId="3F13B96D" w14:textId="77777777" w:rsidR="005A15B2" w:rsidRPr="005A15B2" w:rsidRDefault="005A15B2" w:rsidP="005A15B2">
      <w:pPr>
        <w:tabs>
          <w:tab w:val="left" w:pos="851"/>
        </w:tabs>
        <w:ind w:left="851"/>
        <w:rPr>
          <w:sz w:val="24"/>
          <w:szCs w:val="24"/>
        </w:rPr>
      </w:pPr>
      <w:r w:rsidRPr="005A15B2">
        <w:rPr>
          <w:sz w:val="24"/>
          <w:szCs w:val="24"/>
        </w:rPr>
        <w:t>Tabeller med injektionsvoluminer baseret på den anbefalede dosis i forhold til kropsvægt for både voksne og pædiatriske patienter er vist i pkt. 4.2.</w:t>
      </w:r>
    </w:p>
    <w:p w14:paraId="72BD6FC0" w14:textId="77777777" w:rsidR="005A15B2" w:rsidRPr="005A15B2" w:rsidRDefault="005A15B2" w:rsidP="005A15B2">
      <w:pPr>
        <w:tabs>
          <w:tab w:val="left" w:pos="851"/>
        </w:tabs>
        <w:ind w:left="851"/>
        <w:rPr>
          <w:sz w:val="24"/>
          <w:szCs w:val="24"/>
        </w:rPr>
      </w:pPr>
    </w:p>
    <w:p w14:paraId="6874FAD4" w14:textId="77777777" w:rsidR="005A15B2" w:rsidRPr="005A15B2" w:rsidRDefault="005A15B2" w:rsidP="005A15B2">
      <w:pPr>
        <w:tabs>
          <w:tab w:val="left" w:pos="851"/>
        </w:tabs>
        <w:ind w:left="851"/>
        <w:rPr>
          <w:sz w:val="24"/>
          <w:szCs w:val="24"/>
        </w:rPr>
      </w:pPr>
      <w:r w:rsidRPr="005A15B2">
        <w:rPr>
          <w:sz w:val="24"/>
          <w:szCs w:val="24"/>
        </w:rPr>
        <w:t>Den fyldte injektionssprøjte skal monteres med en kanyle til rekonstitution.</w:t>
      </w:r>
    </w:p>
    <w:p w14:paraId="6AC78E60" w14:textId="77777777" w:rsidR="005A15B2" w:rsidRPr="005A15B2" w:rsidRDefault="005A15B2" w:rsidP="005A15B2">
      <w:pPr>
        <w:tabs>
          <w:tab w:val="left" w:pos="851"/>
        </w:tabs>
        <w:ind w:left="851"/>
        <w:rPr>
          <w:sz w:val="24"/>
          <w:szCs w:val="24"/>
        </w:rPr>
      </w:pPr>
    </w:p>
    <w:p w14:paraId="04ADE048" w14:textId="77777777" w:rsidR="005A15B2" w:rsidRPr="005A15B2" w:rsidRDefault="005A15B2" w:rsidP="005A15B2">
      <w:pPr>
        <w:tabs>
          <w:tab w:val="left" w:pos="851"/>
        </w:tabs>
        <w:ind w:left="851"/>
        <w:rPr>
          <w:sz w:val="24"/>
          <w:szCs w:val="24"/>
        </w:rPr>
      </w:pPr>
      <w:r w:rsidRPr="005A15B2">
        <w:rPr>
          <w:sz w:val="24"/>
          <w:szCs w:val="24"/>
        </w:rPr>
        <w:t>Pulveret i hætteglasset skal herefter opløses ved at tilsætte al solvens fra den fyldte injektionssprøjte.</w:t>
      </w:r>
    </w:p>
    <w:p w14:paraId="1D81D0BF" w14:textId="77777777" w:rsidR="005A15B2" w:rsidRPr="005A15B2" w:rsidRDefault="005A15B2" w:rsidP="005A15B2">
      <w:pPr>
        <w:tabs>
          <w:tab w:val="left" w:pos="851"/>
        </w:tabs>
        <w:ind w:left="851"/>
        <w:rPr>
          <w:sz w:val="24"/>
          <w:szCs w:val="24"/>
        </w:rPr>
      </w:pPr>
    </w:p>
    <w:p w14:paraId="1831F7C5" w14:textId="77777777" w:rsidR="005A15B2" w:rsidRPr="005A15B2" w:rsidRDefault="005A15B2" w:rsidP="005A15B2">
      <w:pPr>
        <w:tabs>
          <w:tab w:val="left" w:pos="851"/>
        </w:tabs>
        <w:ind w:left="851"/>
        <w:rPr>
          <w:sz w:val="24"/>
          <w:szCs w:val="24"/>
        </w:rPr>
      </w:pPr>
      <w:r w:rsidRPr="005A15B2">
        <w:rPr>
          <w:sz w:val="24"/>
          <w:szCs w:val="24"/>
        </w:rPr>
        <w:t>Hætteglasset må ikke rystes, men kan rulles mellem håndfladerne og forsigtigt vendes rundt en enkelt gang. Når en klar, farveløs opløsning er dannet i hætteglasset, skal opløsningen trækkes op i en 1 ml injektionssprøjte (eller en 0,5 ml eller mindre injektionssprøjte ved pædiatrisk anvendelse) med måleintervaller på 0,02 ml eller mindre (denne er ikke inkluderet i pakningen).</w:t>
      </w:r>
    </w:p>
    <w:p w14:paraId="4FFB05E0" w14:textId="77777777" w:rsidR="005A15B2" w:rsidRPr="005A15B2" w:rsidRDefault="005A15B2" w:rsidP="005A15B2">
      <w:pPr>
        <w:tabs>
          <w:tab w:val="left" w:pos="851"/>
        </w:tabs>
        <w:ind w:left="851"/>
        <w:rPr>
          <w:sz w:val="24"/>
          <w:szCs w:val="24"/>
        </w:rPr>
      </w:pPr>
    </w:p>
    <w:p w14:paraId="6C1D3CE3" w14:textId="77777777" w:rsidR="005A15B2" w:rsidRPr="005A15B2" w:rsidRDefault="005A15B2" w:rsidP="005A15B2">
      <w:pPr>
        <w:tabs>
          <w:tab w:val="left" w:pos="851"/>
        </w:tabs>
        <w:ind w:left="851"/>
        <w:rPr>
          <w:sz w:val="24"/>
          <w:szCs w:val="24"/>
        </w:rPr>
      </w:pPr>
      <w:r w:rsidRPr="005A15B2">
        <w:rPr>
          <w:sz w:val="24"/>
          <w:szCs w:val="24"/>
        </w:rPr>
        <w:t>Hvis to hætteglas er nødvendige, skal proceduren gentages for det andet hætteglas, og den ekstra opløsning suges herefter op i injektionssprøjten, der allerede indeholder opløsningen fra det første hætteglas. Overskudsvolumen i forhold til den foreskrevne dosis i ml skal presses ud og kasseres.</w:t>
      </w:r>
    </w:p>
    <w:p w14:paraId="38B5BA7D" w14:textId="77777777" w:rsidR="005A15B2" w:rsidRPr="005A15B2" w:rsidRDefault="005A15B2" w:rsidP="005A15B2">
      <w:pPr>
        <w:tabs>
          <w:tab w:val="left" w:pos="851"/>
        </w:tabs>
        <w:ind w:left="851"/>
        <w:rPr>
          <w:sz w:val="24"/>
          <w:szCs w:val="24"/>
        </w:rPr>
      </w:pPr>
    </w:p>
    <w:p w14:paraId="2EC02826" w14:textId="77777777" w:rsidR="005A15B2" w:rsidRPr="005A15B2" w:rsidRDefault="005A15B2" w:rsidP="005A15B2">
      <w:pPr>
        <w:tabs>
          <w:tab w:val="left" w:pos="851"/>
        </w:tabs>
        <w:ind w:left="851"/>
        <w:rPr>
          <w:sz w:val="24"/>
          <w:szCs w:val="24"/>
        </w:rPr>
      </w:pPr>
      <w:r w:rsidRPr="005A15B2">
        <w:rPr>
          <w:sz w:val="24"/>
          <w:szCs w:val="24"/>
        </w:rPr>
        <w:t>Injektionsvæsken skal injiceres subkutant på et afsprittet område på abdomen, eller hvis dette ikke er muligt på låret (se pkt  4.2, Administration) ved at bruge en tynd kanyle til subkutan injektion.</w:t>
      </w:r>
    </w:p>
    <w:p w14:paraId="1CD1125F" w14:textId="77777777" w:rsidR="005A15B2" w:rsidRPr="005A15B2" w:rsidRDefault="005A15B2" w:rsidP="005A15B2">
      <w:pPr>
        <w:tabs>
          <w:tab w:val="left" w:pos="851"/>
        </w:tabs>
        <w:ind w:left="851"/>
        <w:rPr>
          <w:sz w:val="24"/>
          <w:szCs w:val="24"/>
        </w:rPr>
      </w:pPr>
      <w:r w:rsidRPr="005A15B2">
        <w:rPr>
          <w:sz w:val="24"/>
          <w:szCs w:val="24"/>
        </w:rPr>
        <w:t>Detaljeret instruktion omkring fremstilling og injektion af Nilleto findes i indlægssedlen. Injektionsvæsken må ikke bruges, hvis den er uklar eller indeholder partikler.</w:t>
      </w:r>
    </w:p>
    <w:p w14:paraId="1BBA94D0" w14:textId="77777777" w:rsidR="005A15B2" w:rsidRPr="005A15B2" w:rsidRDefault="005A15B2" w:rsidP="005A15B2">
      <w:pPr>
        <w:tabs>
          <w:tab w:val="left" w:pos="851"/>
        </w:tabs>
        <w:ind w:left="851"/>
        <w:rPr>
          <w:sz w:val="24"/>
          <w:szCs w:val="24"/>
        </w:rPr>
      </w:pPr>
    </w:p>
    <w:p w14:paraId="5FEBC248" w14:textId="77777777" w:rsidR="005A15B2" w:rsidRPr="005A15B2" w:rsidRDefault="005A15B2" w:rsidP="005A15B2">
      <w:pPr>
        <w:tabs>
          <w:tab w:val="left" w:pos="851"/>
        </w:tabs>
        <w:ind w:left="851"/>
        <w:rPr>
          <w:sz w:val="24"/>
          <w:szCs w:val="24"/>
        </w:rPr>
      </w:pPr>
      <w:r w:rsidRPr="005A15B2">
        <w:rPr>
          <w:sz w:val="24"/>
          <w:szCs w:val="24"/>
        </w:rPr>
        <w:t>Kun til engangsbrug.</w:t>
      </w:r>
    </w:p>
    <w:p w14:paraId="7289325F" w14:textId="77777777" w:rsidR="005A15B2" w:rsidRPr="005A15B2" w:rsidRDefault="005A15B2" w:rsidP="005A15B2">
      <w:pPr>
        <w:tabs>
          <w:tab w:val="left" w:pos="851"/>
        </w:tabs>
        <w:ind w:left="851"/>
        <w:rPr>
          <w:sz w:val="24"/>
          <w:szCs w:val="24"/>
        </w:rPr>
      </w:pPr>
    </w:p>
    <w:p w14:paraId="145E6E23" w14:textId="77777777" w:rsidR="005A15B2" w:rsidRPr="005A15B2" w:rsidRDefault="005A15B2" w:rsidP="005A15B2">
      <w:pPr>
        <w:tabs>
          <w:tab w:val="left" w:pos="851"/>
        </w:tabs>
        <w:ind w:left="851"/>
        <w:rPr>
          <w:sz w:val="24"/>
          <w:szCs w:val="24"/>
        </w:rPr>
      </w:pPr>
      <w:r w:rsidRPr="005A15B2">
        <w:rPr>
          <w:sz w:val="24"/>
          <w:szCs w:val="24"/>
        </w:rPr>
        <w:t>Ikke anvendt lægemiddel samt affald heraf skal bortskaffes i henhold til lokale retningslinjer.</w:t>
      </w:r>
    </w:p>
    <w:p w14:paraId="05B3DF81" w14:textId="77777777" w:rsidR="005A15B2" w:rsidRPr="005A15B2" w:rsidRDefault="005A15B2" w:rsidP="005A15B2">
      <w:pPr>
        <w:tabs>
          <w:tab w:val="left" w:pos="851"/>
        </w:tabs>
        <w:ind w:left="851"/>
        <w:rPr>
          <w:sz w:val="24"/>
          <w:szCs w:val="24"/>
        </w:rPr>
      </w:pPr>
    </w:p>
    <w:p w14:paraId="60920079" w14:textId="77777777" w:rsidR="005A15B2" w:rsidRPr="005A15B2" w:rsidRDefault="005A15B2" w:rsidP="005A15B2">
      <w:pPr>
        <w:tabs>
          <w:tab w:val="left" w:pos="851"/>
        </w:tabs>
        <w:ind w:left="851"/>
        <w:rPr>
          <w:sz w:val="24"/>
          <w:szCs w:val="24"/>
        </w:rPr>
      </w:pPr>
      <w:r w:rsidRPr="005A15B2">
        <w:rPr>
          <w:sz w:val="24"/>
          <w:szCs w:val="24"/>
        </w:rPr>
        <w:t>Alle kanyler og sprøjter skal bortskaffes i en affaldsbeholder til skarpe genstande.</w:t>
      </w:r>
    </w:p>
    <w:p w14:paraId="189EF29A" w14:textId="77777777" w:rsidR="009260DE" w:rsidRPr="00C84483" w:rsidRDefault="009260DE" w:rsidP="000730CA">
      <w:pPr>
        <w:tabs>
          <w:tab w:val="left" w:pos="851"/>
        </w:tabs>
        <w:ind w:left="851"/>
        <w:rPr>
          <w:sz w:val="24"/>
          <w:szCs w:val="24"/>
        </w:rPr>
      </w:pPr>
    </w:p>
    <w:p w14:paraId="24CDC3EE" w14:textId="77777777" w:rsidR="009260DE" w:rsidRPr="005A15B2" w:rsidRDefault="009260DE" w:rsidP="009260DE">
      <w:pPr>
        <w:tabs>
          <w:tab w:val="left" w:pos="851"/>
        </w:tabs>
        <w:ind w:left="851" w:hanging="851"/>
        <w:rPr>
          <w:b/>
          <w:sz w:val="24"/>
          <w:szCs w:val="24"/>
          <w:lang w:val="en-US"/>
        </w:rPr>
      </w:pPr>
      <w:r w:rsidRPr="005A15B2">
        <w:rPr>
          <w:b/>
          <w:sz w:val="24"/>
          <w:szCs w:val="24"/>
          <w:lang w:val="en-US"/>
        </w:rPr>
        <w:t>7.</w:t>
      </w:r>
      <w:r w:rsidRPr="005A15B2">
        <w:rPr>
          <w:b/>
          <w:sz w:val="24"/>
          <w:szCs w:val="24"/>
          <w:lang w:val="en-US"/>
        </w:rPr>
        <w:tab/>
        <w:t>INDEHAVER AF MARKEDSFØRINGSTILLADELSEN</w:t>
      </w:r>
    </w:p>
    <w:p w14:paraId="1EC5BE56" w14:textId="77777777" w:rsidR="005A15B2" w:rsidRPr="005A15B2" w:rsidRDefault="005A15B2" w:rsidP="005A15B2">
      <w:pPr>
        <w:tabs>
          <w:tab w:val="left" w:pos="851"/>
        </w:tabs>
        <w:ind w:left="851"/>
        <w:rPr>
          <w:sz w:val="24"/>
          <w:szCs w:val="24"/>
          <w:lang w:val="en-US"/>
        </w:rPr>
      </w:pPr>
      <w:r w:rsidRPr="005A15B2">
        <w:rPr>
          <w:sz w:val="24"/>
          <w:szCs w:val="24"/>
          <w:lang w:val="en-US"/>
        </w:rPr>
        <w:t>Adalvo Limited</w:t>
      </w:r>
    </w:p>
    <w:p w14:paraId="2323AA95" w14:textId="77777777" w:rsidR="005A15B2" w:rsidRPr="005A15B2" w:rsidRDefault="005A15B2" w:rsidP="005A15B2">
      <w:pPr>
        <w:tabs>
          <w:tab w:val="left" w:pos="851"/>
        </w:tabs>
        <w:ind w:left="851"/>
        <w:rPr>
          <w:sz w:val="24"/>
          <w:szCs w:val="24"/>
          <w:lang w:val="en-US"/>
        </w:rPr>
      </w:pPr>
      <w:r w:rsidRPr="005A15B2">
        <w:rPr>
          <w:sz w:val="24"/>
          <w:szCs w:val="24"/>
          <w:lang w:val="en-US"/>
        </w:rPr>
        <w:t>Malta Life Sciences Park, Building 1, Level 4</w:t>
      </w:r>
    </w:p>
    <w:p w14:paraId="2A53D898" w14:textId="77777777" w:rsidR="005A15B2" w:rsidRPr="005A15B2" w:rsidRDefault="005A15B2" w:rsidP="005A15B2">
      <w:pPr>
        <w:tabs>
          <w:tab w:val="left" w:pos="851"/>
        </w:tabs>
        <w:ind w:left="851"/>
        <w:rPr>
          <w:sz w:val="24"/>
          <w:szCs w:val="24"/>
          <w:lang w:val="en-US"/>
        </w:rPr>
      </w:pPr>
      <w:r w:rsidRPr="005A15B2">
        <w:rPr>
          <w:sz w:val="24"/>
          <w:szCs w:val="24"/>
          <w:lang w:val="en-US"/>
        </w:rPr>
        <w:t>Sir Temi Zammit Buildings</w:t>
      </w:r>
    </w:p>
    <w:p w14:paraId="6DA8F71D" w14:textId="77777777" w:rsidR="005A15B2" w:rsidRPr="005A15B2" w:rsidRDefault="005A15B2" w:rsidP="005A15B2">
      <w:pPr>
        <w:tabs>
          <w:tab w:val="left" w:pos="851"/>
        </w:tabs>
        <w:ind w:left="851"/>
        <w:rPr>
          <w:sz w:val="24"/>
          <w:szCs w:val="24"/>
          <w:lang w:val="en-US"/>
        </w:rPr>
      </w:pPr>
      <w:r w:rsidRPr="005A15B2">
        <w:rPr>
          <w:sz w:val="24"/>
          <w:szCs w:val="24"/>
          <w:lang w:val="en-US"/>
        </w:rPr>
        <w:t>San Gwann Industrial Estate</w:t>
      </w:r>
    </w:p>
    <w:p w14:paraId="612C179B" w14:textId="73926F5F" w:rsidR="005A15B2" w:rsidRPr="000E50C7" w:rsidRDefault="005A15B2" w:rsidP="005A15B2">
      <w:pPr>
        <w:tabs>
          <w:tab w:val="left" w:pos="851"/>
        </w:tabs>
        <w:ind w:left="851"/>
        <w:rPr>
          <w:sz w:val="24"/>
          <w:szCs w:val="24"/>
          <w:lang w:val="en-US"/>
        </w:rPr>
      </w:pPr>
      <w:r w:rsidRPr="000E50C7">
        <w:rPr>
          <w:sz w:val="24"/>
          <w:szCs w:val="24"/>
          <w:lang w:val="en-US"/>
        </w:rPr>
        <w:t>SGN 3000 San Gwann</w:t>
      </w:r>
    </w:p>
    <w:p w14:paraId="1B6464EA" w14:textId="77777777" w:rsidR="005A15B2" w:rsidRPr="005A15B2" w:rsidRDefault="005A15B2" w:rsidP="005A15B2">
      <w:pPr>
        <w:tabs>
          <w:tab w:val="left" w:pos="851"/>
        </w:tabs>
        <w:ind w:left="851"/>
        <w:rPr>
          <w:sz w:val="24"/>
          <w:szCs w:val="24"/>
        </w:rPr>
      </w:pPr>
      <w:r w:rsidRPr="005A15B2">
        <w:rPr>
          <w:sz w:val="24"/>
          <w:szCs w:val="24"/>
        </w:rPr>
        <w:t>Malta</w:t>
      </w:r>
    </w:p>
    <w:p w14:paraId="78D5C1A9" w14:textId="77777777" w:rsidR="009260DE" w:rsidRDefault="009260DE" w:rsidP="009260DE">
      <w:pPr>
        <w:tabs>
          <w:tab w:val="left" w:pos="851"/>
        </w:tabs>
        <w:ind w:left="851"/>
        <w:rPr>
          <w:sz w:val="24"/>
          <w:szCs w:val="24"/>
        </w:rPr>
      </w:pPr>
    </w:p>
    <w:p w14:paraId="5078EBD5" w14:textId="77777777" w:rsidR="009260DE" w:rsidRPr="00C84483" w:rsidRDefault="009260DE" w:rsidP="009260DE">
      <w:pPr>
        <w:tabs>
          <w:tab w:val="left" w:pos="851"/>
        </w:tabs>
        <w:ind w:left="851" w:hanging="851"/>
        <w:rPr>
          <w:b/>
          <w:sz w:val="24"/>
          <w:szCs w:val="24"/>
        </w:rPr>
      </w:pPr>
      <w:r w:rsidRPr="00C84483">
        <w:rPr>
          <w:b/>
          <w:sz w:val="24"/>
          <w:szCs w:val="24"/>
        </w:rPr>
        <w:t>8.</w:t>
      </w:r>
      <w:r w:rsidRPr="00C84483">
        <w:rPr>
          <w:b/>
          <w:sz w:val="24"/>
          <w:szCs w:val="24"/>
        </w:rPr>
        <w:tab/>
        <w:t>MARKEDSFØRINGSTILLADELSESNUMMER (</w:t>
      </w:r>
      <w:r w:rsidR="00BF6243">
        <w:rPr>
          <w:b/>
          <w:sz w:val="24"/>
          <w:szCs w:val="24"/>
        </w:rPr>
        <w:t>-</w:t>
      </w:r>
      <w:r w:rsidRPr="00C84483">
        <w:rPr>
          <w:b/>
          <w:sz w:val="24"/>
          <w:szCs w:val="24"/>
        </w:rPr>
        <w:t>NUMRE)</w:t>
      </w:r>
    </w:p>
    <w:p w14:paraId="49FC3779" w14:textId="6E0EBABB" w:rsidR="009260DE" w:rsidRPr="00C84483" w:rsidRDefault="005A15B2" w:rsidP="009260DE">
      <w:pPr>
        <w:tabs>
          <w:tab w:val="left" w:pos="851"/>
        </w:tabs>
        <w:ind w:left="851"/>
        <w:rPr>
          <w:sz w:val="24"/>
          <w:szCs w:val="24"/>
        </w:rPr>
      </w:pPr>
      <w:r>
        <w:rPr>
          <w:sz w:val="24"/>
          <w:szCs w:val="24"/>
        </w:rPr>
        <w:t>72480</w:t>
      </w:r>
    </w:p>
    <w:p w14:paraId="6BE908C7" w14:textId="77777777" w:rsidR="009260DE" w:rsidRPr="00C84483" w:rsidRDefault="009260DE" w:rsidP="009260DE">
      <w:pPr>
        <w:tabs>
          <w:tab w:val="left" w:pos="851"/>
        </w:tabs>
        <w:ind w:left="851"/>
        <w:jc w:val="both"/>
        <w:rPr>
          <w:sz w:val="24"/>
          <w:szCs w:val="24"/>
        </w:rPr>
      </w:pPr>
    </w:p>
    <w:p w14:paraId="6602A2BE" w14:textId="77777777" w:rsidR="009260DE" w:rsidRPr="00C84483" w:rsidRDefault="009260DE" w:rsidP="009260DE">
      <w:pPr>
        <w:tabs>
          <w:tab w:val="left" w:pos="851"/>
        </w:tabs>
        <w:ind w:left="851" w:hanging="851"/>
        <w:rPr>
          <w:b/>
          <w:sz w:val="24"/>
          <w:szCs w:val="24"/>
        </w:rPr>
      </w:pPr>
      <w:r w:rsidRPr="00C84483">
        <w:rPr>
          <w:b/>
          <w:sz w:val="24"/>
          <w:szCs w:val="24"/>
        </w:rPr>
        <w:lastRenderedPageBreak/>
        <w:t>9.</w:t>
      </w:r>
      <w:r w:rsidRPr="00C84483">
        <w:rPr>
          <w:b/>
          <w:sz w:val="24"/>
          <w:szCs w:val="24"/>
        </w:rPr>
        <w:tab/>
        <w:t>DATO FOR FØRSTE MARKEDSFØRINGSTILLADELSE</w:t>
      </w:r>
    </w:p>
    <w:p w14:paraId="0E2A34F5" w14:textId="5C118D00" w:rsidR="009260DE" w:rsidRPr="00C84483" w:rsidRDefault="000E50C7" w:rsidP="009260DE">
      <w:pPr>
        <w:tabs>
          <w:tab w:val="left" w:pos="851"/>
        </w:tabs>
        <w:ind w:left="851"/>
        <w:rPr>
          <w:sz w:val="24"/>
          <w:szCs w:val="24"/>
        </w:rPr>
      </w:pPr>
      <w:r>
        <w:rPr>
          <w:sz w:val="24"/>
          <w:szCs w:val="24"/>
        </w:rPr>
        <w:t>6. marts 2026</w:t>
      </w:r>
    </w:p>
    <w:p w14:paraId="043E5DFE" w14:textId="77777777" w:rsidR="009260DE" w:rsidRPr="00C84483" w:rsidRDefault="009260DE" w:rsidP="009260DE">
      <w:pPr>
        <w:tabs>
          <w:tab w:val="left" w:pos="851"/>
        </w:tabs>
        <w:ind w:left="851"/>
        <w:rPr>
          <w:sz w:val="24"/>
          <w:szCs w:val="24"/>
        </w:rPr>
      </w:pPr>
    </w:p>
    <w:p w14:paraId="67A89B95" w14:textId="77777777" w:rsidR="009260DE" w:rsidRPr="00C84483" w:rsidRDefault="009260DE" w:rsidP="009260DE">
      <w:pPr>
        <w:tabs>
          <w:tab w:val="left" w:pos="851"/>
        </w:tabs>
        <w:ind w:left="851" w:hanging="851"/>
        <w:rPr>
          <w:b/>
          <w:sz w:val="24"/>
          <w:szCs w:val="24"/>
        </w:rPr>
      </w:pPr>
      <w:r w:rsidRPr="00C84483">
        <w:rPr>
          <w:b/>
          <w:sz w:val="24"/>
          <w:szCs w:val="24"/>
        </w:rPr>
        <w:t>10.</w:t>
      </w:r>
      <w:r w:rsidRPr="00C84483">
        <w:rPr>
          <w:b/>
          <w:sz w:val="24"/>
          <w:szCs w:val="24"/>
        </w:rPr>
        <w:tab/>
        <w:t>DATO FOR ÆNDRING AF TEKSTEN</w:t>
      </w:r>
    </w:p>
    <w:p w14:paraId="4A6599D1" w14:textId="3A54B89C" w:rsidR="009260DE" w:rsidRPr="00C84483" w:rsidRDefault="005A15B2" w:rsidP="009260DE">
      <w:pPr>
        <w:tabs>
          <w:tab w:val="left" w:pos="851"/>
        </w:tabs>
        <w:ind w:left="851"/>
        <w:rPr>
          <w:sz w:val="24"/>
          <w:szCs w:val="24"/>
        </w:rPr>
      </w:pPr>
      <w:r>
        <w:rPr>
          <w:sz w:val="24"/>
          <w:szCs w:val="24"/>
        </w:rPr>
        <w:t>-</w:t>
      </w:r>
    </w:p>
    <w:sectPr w:rsidR="009260DE" w:rsidRPr="00C84483" w:rsidSect="000259B9">
      <w:footerReference w:type="default" r:id="rId8"/>
      <w:pgSz w:w="11906" w:h="16838" w:code="9"/>
      <w:pgMar w:top="851"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5D5F35" w14:textId="77777777" w:rsidR="00F937B5" w:rsidRDefault="00F937B5">
      <w:r>
        <w:separator/>
      </w:r>
    </w:p>
  </w:endnote>
  <w:endnote w:type="continuationSeparator" w:id="0">
    <w:p w14:paraId="2720A7C5" w14:textId="77777777" w:rsidR="00F937B5" w:rsidRDefault="00F937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E5DEDE" w14:textId="77777777" w:rsidR="00F937B5" w:rsidRDefault="00F937B5">
    <w:pPr>
      <w:pStyle w:val="Sidefod"/>
      <w:pBdr>
        <w:bottom w:val="single" w:sz="6" w:space="1" w:color="auto"/>
      </w:pBdr>
    </w:pPr>
  </w:p>
  <w:p w14:paraId="2CA3ABB0" w14:textId="77777777" w:rsidR="00F937B5" w:rsidRDefault="00F937B5" w:rsidP="00C42586">
    <w:pPr>
      <w:pStyle w:val="Sidefod"/>
      <w:tabs>
        <w:tab w:val="clear" w:pos="4819"/>
        <w:tab w:val="left" w:pos="8505"/>
      </w:tabs>
      <w:rPr>
        <w:i/>
        <w:sz w:val="18"/>
        <w:szCs w:val="18"/>
      </w:rPr>
    </w:pPr>
  </w:p>
  <w:p w14:paraId="1DFE4BE4" w14:textId="0BBFF004" w:rsidR="00F937B5" w:rsidRPr="00B373D7" w:rsidRDefault="00F937B5" w:rsidP="00C42586">
    <w:pPr>
      <w:pStyle w:val="Sidefod"/>
      <w:tabs>
        <w:tab w:val="clear" w:pos="4819"/>
        <w:tab w:val="left" w:pos="8505"/>
      </w:tabs>
      <w:rPr>
        <w:i/>
        <w:sz w:val="18"/>
        <w:szCs w:val="18"/>
      </w:rPr>
    </w:pPr>
    <w:r w:rsidRPr="00B373D7">
      <w:rPr>
        <w:i/>
        <w:sz w:val="18"/>
        <w:szCs w:val="18"/>
      </w:rPr>
      <w:fldChar w:fldCharType="begin"/>
    </w:r>
    <w:r w:rsidRPr="00B373D7">
      <w:rPr>
        <w:i/>
        <w:sz w:val="18"/>
        <w:szCs w:val="18"/>
      </w:rPr>
      <w:instrText xml:space="preserve"> FILENAME </w:instrText>
    </w:r>
    <w:r w:rsidRPr="00B373D7">
      <w:rPr>
        <w:i/>
        <w:sz w:val="18"/>
        <w:szCs w:val="18"/>
      </w:rPr>
      <w:fldChar w:fldCharType="separate"/>
    </w:r>
    <w:r w:rsidR="00781A5E">
      <w:rPr>
        <w:i/>
        <w:noProof/>
        <w:sz w:val="18"/>
        <w:szCs w:val="18"/>
      </w:rPr>
      <w:t>Nilleto, pulver og solvens til injektionsvæske, opløsning 5 mg</w:t>
    </w:r>
    <w:r w:rsidRPr="00B373D7">
      <w:rPr>
        <w:i/>
        <w:sz w:val="18"/>
        <w:szCs w:val="18"/>
      </w:rPr>
      <w:fldChar w:fldCharType="end"/>
    </w:r>
    <w:r w:rsidRPr="00B373D7">
      <w:rPr>
        <w:i/>
        <w:sz w:val="18"/>
        <w:szCs w:val="18"/>
      </w:rPr>
      <w:tab/>
      <w:t xml:space="preserve">Side </w:t>
    </w:r>
    <w:r w:rsidRPr="00B373D7">
      <w:rPr>
        <w:rStyle w:val="Sidetal"/>
        <w:i/>
        <w:sz w:val="18"/>
        <w:szCs w:val="18"/>
      </w:rPr>
      <w:fldChar w:fldCharType="begin"/>
    </w:r>
    <w:r w:rsidRPr="00B373D7">
      <w:rPr>
        <w:rStyle w:val="Sidetal"/>
        <w:i/>
        <w:sz w:val="18"/>
        <w:szCs w:val="18"/>
      </w:rPr>
      <w:instrText xml:space="preserve"> PAGE </w:instrText>
    </w:r>
    <w:r w:rsidRPr="00B373D7">
      <w:rPr>
        <w:rStyle w:val="Sidetal"/>
        <w:i/>
        <w:sz w:val="18"/>
        <w:szCs w:val="18"/>
      </w:rPr>
      <w:fldChar w:fldCharType="separate"/>
    </w:r>
    <w:r>
      <w:rPr>
        <w:rStyle w:val="Sidetal"/>
        <w:i/>
        <w:noProof/>
        <w:sz w:val="18"/>
        <w:szCs w:val="18"/>
      </w:rPr>
      <w:t>3</w:t>
    </w:r>
    <w:r w:rsidRPr="00B373D7">
      <w:rPr>
        <w:rStyle w:val="Sidetal"/>
        <w:i/>
        <w:sz w:val="18"/>
        <w:szCs w:val="18"/>
      </w:rPr>
      <w:fldChar w:fldCharType="end"/>
    </w:r>
    <w:r w:rsidRPr="00B373D7">
      <w:rPr>
        <w:rStyle w:val="Sidetal"/>
        <w:i/>
        <w:sz w:val="18"/>
        <w:szCs w:val="18"/>
      </w:rPr>
      <w:t xml:space="preserve"> af </w:t>
    </w:r>
    <w:r w:rsidRPr="00B373D7">
      <w:rPr>
        <w:rStyle w:val="Sidetal"/>
        <w:i/>
        <w:sz w:val="18"/>
        <w:szCs w:val="18"/>
      </w:rPr>
      <w:fldChar w:fldCharType="begin"/>
    </w:r>
    <w:r w:rsidRPr="00B373D7">
      <w:rPr>
        <w:rStyle w:val="Sidetal"/>
        <w:i/>
        <w:sz w:val="18"/>
        <w:szCs w:val="18"/>
      </w:rPr>
      <w:instrText xml:space="preserve"> NUMPAGES </w:instrText>
    </w:r>
    <w:r w:rsidRPr="00B373D7">
      <w:rPr>
        <w:rStyle w:val="Sidetal"/>
        <w:i/>
        <w:sz w:val="18"/>
        <w:szCs w:val="18"/>
      </w:rPr>
      <w:fldChar w:fldCharType="separate"/>
    </w:r>
    <w:r>
      <w:rPr>
        <w:rStyle w:val="Sidetal"/>
        <w:i/>
        <w:noProof/>
        <w:sz w:val="18"/>
        <w:szCs w:val="18"/>
      </w:rPr>
      <w:t>3</w:t>
    </w:r>
    <w:r w:rsidRPr="00B373D7">
      <w:rPr>
        <w:rStyle w:val="Sidetal"/>
        <w: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8D64E6" w14:textId="77777777" w:rsidR="00F937B5" w:rsidRDefault="00F937B5">
      <w:r>
        <w:separator/>
      </w:r>
    </w:p>
  </w:footnote>
  <w:footnote w:type="continuationSeparator" w:id="0">
    <w:p w14:paraId="74320284" w14:textId="77777777" w:rsidR="00F937B5" w:rsidRDefault="00F937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C1732C"/>
    <w:multiLevelType w:val="multilevel"/>
    <w:tmpl w:val="7BE2F61C"/>
    <w:lvl w:ilvl="0">
      <w:start w:val="6"/>
      <w:numFmt w:val="decimal"/>
      <w:lvlText w:val="%1"/>
      <w:lvlJc w:val="left"/>
      <w:pPr>
        <w:tabs>
          <w:tab w:val="num" w:pos="855"/>
        </w:tabs>
        <w:ind w:left="855" w:hanging="855"/>
      </w:pPr>
    </w:lvl>
    <w:lvl w:ilvl="1">
      <w:start w:val="1"/>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3397578A"/>
    <w:multiLevelType w:val="multilevel"/>
    <w:tmpl w:val="392232EE"/>
    <w:lvl w:ilvl="0">
      <w:start w:val="5"/>
      <w:numFmt w:val="decimal"/>
      <w:lvlText w:val="%1"/>
      <w:lvlJc w:val="left"/>
      <w:pPr>
        <w:tabs>
          <w:tab w:val="num" w:pos="855"/>
        </w:tabs>
        <w:ind w:left="855" w:hanging="855"/>
      </w:pPr>
    </w:lvl>
    <w:lvl w:ilvl="1">
      <w:start w:val="3"/>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364660C3"/>
    <w:multiLevelType w:val="multilevel"/>
    <w:tmpl w:val="DAF0ED20"/>
    <w:lvl w:ilvl="0">
      <w:start w:val="5"/>
      <w:numFmt w:val="decimal"/>
      <w:lvlText w:val="%1.0"/>
      <w:lvlJc w:val="left"/>
      <w:pPr>
        <w:tabs>
          <w:tab w:val="num" w:pos="855"/>
        </w:tabs>
        <w:ind w:left="855" w:hanging="855"/>
      </w:pPr>
    </w:lvl>
    <w:lvl w:ilvl="1">
      <w:start w:val="1"/>
      <w:numFmt w:val="decimal"/>
      <w:lvlText w:val="%1.%2"/>
      <w:lvlJc w:val="left"/>
      <w:pPr>
        <w:tabs>
          <w:tab w:val="num" w:pos="2159"/>
        </w:tabs>
        <w:ind w:left="2159" w:hanging="855"/>
      </w:pPr>
    </w:lvl>
    <w:lvl w:ilvl="2">
      <w:start w:val="1"/>
      <w:numFmt w:val="decimal"/>
      <w:lvlText w:val="%1.%2.%3"/>
      <w:lvlJc w:val="left"/>
      <w:pPr>
        <w:tabs>
          <w:tab w:val="num" w:pos="3463"/>
        </w:tabs>
        <w:ind w:left="3463" w:hanging="855"/>
      </w:pPr>
    </w:lvl>
    <w:lvl w:ilvl="3">
      <w:start w:val="1"/>
      <w:numFmt w:val="decimal"/>
      <w:lvlText w:val="%1.%2.%3.%4"/>
      <w:lvlJc w:val="left"/>
      <w:pPr>
        <w:tabs>
          <w:tab w:val="num" w:pos="4767"/>
        </w:tabs>
        <w:ind w:left="4767" w:hanging="855"/>
      </w:pPr>
    </w:lvl>
    <w:lvl w:ilvl="4">
      <w:start w:val="1"/>
      <w:numFmt w:val="decimal"/>
      <w:lvlText w:val="%1.%2.%3.%4.%5"/>
      <w:lvlJc w:val="left"/>
      <w:pPr>
        <w:tabs>
          <w:tab w:val="num" w:pos="6296"/>
        </w:tabs>
        <w:ind w:left="6296" w:hanging="1080"/>
      </w:pPr>
    </w:lvl>
    <w:lvl w:ilvl="5">
      <w:start w:val="1"/>
      <w:numFmt w:val="decimal"/>
      <w:lvlText w:val="%1.%2.%3.%4.%5.%6"/>
      <w:lvlJc w:val="left"/>
      <w:pPr>
        <w:tabs>
          <w:tab w:val="num" w:pos="7600"/>
        </w:tabs>
        <w:ind w:left="7600" w:hanging="1080"/>
      </w:pPr>
    </w:lvl>
    <w:lvl w:ilvl="6">
      <w:start w:val="1"/>
      <w:numFmt w:val="decimal"/>
      <w:lvlText w:val="%1.%2.%3.%4.%5.%6.%7"/>
      <w:lvlJc w:val="left"/>
      <w:pPr>
        <w:tabs>
          <w:tab w:val="num" w:pos="9264"/>
        </w:tabs>
        <w:ind w:left="9264" w:hanging="1440"/>
      </w:pPr>
    </w:lvl>
    <w:lvl w:ilvl="7">
      <w:start w:val="1"/>
      <w:numFmt w:val="decimal"/>
      <w:lvlText w:val="%1.%2.%3.%4.%5.%6.%7.%8"/>
      <w:lvlJc w:val="left"/>
      <w:pPr>
        <w:tabs>
          <w:tab w:val="num" w:pos="10568"/>
        </w:tabs>
        <w:ind w:left="10568" w:hanging="1440"/>
      </w:pPr>
    </w:lvl>
    <w:lvl w:ilvl="8">
      <w:start w:val="1"/>
      <w:numFmt w:val="decimal"/>
      <w:lvlText w:val="%1.%2.%3.%4.%5.%6.%7.%8.%9"/>
      <w:lvlJc w:val="left"/>
      <w:pPr>
        <w:tabs>
          <w:tab w:val="num" w:pos="12232"/>
        </w:tabs>
        <w:ind w:left="12232" w:hanging="1800"/>
      </w:pPr>
    </w:lvl>
  </w:abstractNum>
  <w:abstractNum w:abstractNumId="3" w15:restartNumberingAfterBreak="0">
    <w:nsid w:val="405C5D3C"/>
    <w:multiLevelType w:val="multilevel"/>
    <w:tmpl w:val="9CBC71DC"/>
    <w:lvl w:ilvl="0">
      <w:numFmt w:val="decimal"/>
      <w:lvlText w:val="%1."/>
      <w:lvlJc w:val="left"/>
      <w:pPr>
        <w:tabs>
          <w:tab w:val="num" w:pos="855"/>
        </w:tabs>
        <w:ind w:left="855" w:hanging="855"/>
      </w:pPr>
    </w:lvl>
    <w:lvl w:ilvl="1">
      <w:start w:val="1"/>
      <w:numFmt w:val="decimal"/>
      <w:isLgl/>
      <w:lvlText w:val="%1.%2"/>
      <w:lvlJc w:val="left"/>
      <w:pPr>
        <w:tabs>
          <w:tab w:val="num" w:pos="855"/>
        </w:tabs>
        <w:ind w:left="855" w:hanging="855"/>
      </w:pPr>
      <w:rPr>
        <w:strike w:val="0"/>
        <w:dstrike w:val="0"/>
        <w:u w:val="none"/>
        <w:effect w:val="none"/>
      </w:rPr>
    </w:lvl>
    <w:lvl w:ilvl="2">
      <w:start w:val="1"/>
      <w:numFmt w:val="decimal"/>
      <w:isLgl/>
      <w:lvlText w:val="%1.%2.%3"/>
      <w:lvlJc w:val="left"/>
      <w:pPr>
        <w:tabs>
          <w:tab w:val="num" w:pos="855"/>
        </w:tabs>
        <w:ind w:left="855" w:hanging="855"/>
      </w:pPr>
      <w:rPr>
        <w:strike w:val="0"/>
        <w:dstrike w:val="0"/>
        <w:u w:val="none"/>
        <w:effect w:val="none"/>
      </w:rPr>
    </w:lvl>
    <w:lvl w:ilvl="3">
      <w:start w:val="1"/>
      <w:numFmt w:val="decimal"/>
      <w:isLgl/>
      <w:lvlText w:val="%1.%2.%3.%4"/>
      <w:lvlJc w:val="left"/>
      <w:pPr>
        <w:tabs>
          <w:tab w:val="num" w:pos="855"/>
        </w:tabs>
        <w:ind w:left="855" w:hanging="855"/>
      </w:pPr>
      <w:rPr>
        <w:strike w:val="0"/>
        <w:dstrike w:val="0"/>
        <w:u w:val="none"/>
        <w:effect w:val="none"/>
      </w:rPr>
    </w:lvl>
    <w:lvl w:ilvl="4">
      <w:start w:val="1"/>
      <w:numFmt w:val="decimal"/>
      <w:isLgl/>
      <w:lvlText w:val="%1.%2.%3.%4.%5"/>
      <w:lvlJc w:val="left"/>
      <w:pPr>
        <w:tabs>
          <w:tab w:val="num" w:pos="1080"/>
        </w:tabs>
        <w:ind w:left="1080" w:hanging="1080"/>
      </w:pPr>
      <w:rPr>
        <w:strike w:val="0"/>
        <w:dstrike w:val="0"/>
        <w:u w:val="none"/>
        <w:effect w:val="none"/>
      </w:rPr>
    </w:lvl>
    <w:lvl w:ilvl="5">
      <w:start w:val="1"/>
      <w:numFmt w:val="decimal"/>
      <w:isLgl/>
      <w:lvlText w:val="%1.%2.%3.%4.%5.%6"/>
      <w:lvlJc w:val="left"/>
      <w:pPr>
        <w:tabs>
          <w:tab w:val="num" w:pos="1080"/>
        </w:tabs>
        <w:ind w:left="1080" w:hanging="1080"/>
      </w:pPr>
      <w:rPr>
        <w:strike w:val="0"/>
        <w:dstrike w:val="0"/>
        <w:u w:val="none"/>
        <w:effect w:val="none"/>
      </w:rPr>
    </w:lvl>
    <w:lvl w:ilvl="6">
      <w:start w:val="1"/>
      <w:numFmt w:val="decimal"/>
      <w:isLgl/>
      <w:lvlText w:val="%1.%2.%3.%4.%5.%6.%7"/>
      <w:lvlJc w:val="left"/>
      <w:pPr>
        <w:tabs>
          <w:tab w:val="num" w:pos="1440"/>
        </w:tabs>
        <w:ind w:left="1440" w:hanging="1440"/>
      </w:pPr>
      <w:rPr>
        <w:strike w:val="0"/>
        <w:dstrike w:val="0"/>
        <w:u w:val="none"/>
        <w:effect w:val="none"/>
      </w:rPr>
    </w:lvl>
    <w:lvl w:ilvl="7">
      <w:start w:val="1"/>
      <w:numFmt w:val="decimal"/>
      <w:isLgl/>
      <w:lvlText w:val="%1.%2.%3.%4.%5.%6.%7.%8"/>
      <w:lvlJc w:val="left"/>
      <w:pPr>
        <w:tabs>
          <w:tab w:val="num" w:pos="1440"/>
        </w:tabs>
        <w:ind w:left="1440" w:hanging="1440"/>
      </w:pPr>
      <w:rPr>
        <w:strike w:val="0"/>
        <w:dstrike w:val="0"/>
        <w:u w:val="none"/>
        <w:effect w:val="none"/>
      </w:rPr>
    </w:lvl>
    <w:lvl w:ilvl="8">
      <w:start w:val="1"/>
      <w:numFmt w:val="decimal"/>
      <w:isLgl/>
      <w:lvlText w:val="%1.%2.%3.%4.%5.%6.%7.%8.%9"/>
      <w:lvlJc w:val="left"/>
      <w:pPr>
        <w:tabs>
          <w:tab w:val="num" w:pos="1800"/>
        </w:tabs>
        <w:ind w:left="1800" w:hanging="1800"/>
      </w:pPr>
      <w:rPr>
        <w:strike w:val="0"/>
        <w:dstrike w:val="0"/>
        <w:u w:val="none"/>
        <w:effect w:val="none"/>
      </w:rPr>
    </w:lvl>
  </w:abstractNum>
  <w:abstractNum w:abstractNumId="4" w15:restartNumberingAfterBreak="0">
    <w:nsid w:val="55542CAA"/>
    <w:multiLevelType w:val="multilevel"/>
    <w:tmpl w:val="6E481CAC"/>
    <w:lvl w:ilvl="0">
      <w:start w:val="5"/>
      <w:numFmt w:val="decimal"/>
      <w:lvlText w:val="%1."/>
      <w:lvlJc w:val="left"/>
      <w:pPr>
        <w:tabs>
          <w:tab w:val="num" w:pos="855"/>
        </w:tabs>
        <w:ind w:left="855" w:hanging="855"/>
      </w:pPr>
    </w:lvl>
    <w:lvl w:ilvl="1">
      <w:start w:val="2"/>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758E"/>
    <w:rsid w:val="000259B9"/>
    <w:rsid w:val="00041491"/>
    <w:rsid w:val="00050D16"/>
    <w:rsid w:val="000730CA"/>
    <w:rsid w:val="00074F2A"/>
    <w:rsid w:val="000A1CA8"/>
    <w:rsid w:val="000A466B"/>
    <w:rsid w:val="000B058C"/>
    <w:rsid w:val="000D68B0"/>
    <w:rsid w:val="000E4EE6"/>
    <w:rsid w:val="000E50C7"/>
    <w:rsid w:val="001454E2"/>
    <w:rsid w:val="00206CE8"/>
    <w:rsid w:val="00211BF4"/>
    <w:rsid w:val="0021526C"/>
    <w:rsid w:val="00283A2B"/>
    <w:rsid w:val="002B30AD"/>
    <w:rsid w:val="002C1EC0"/>
    <w:rsid w:val="002C2C01"/>
    <w:rsid w:val="003A29AE"/>
    <w:rsid w:val="003A32D7"/>
    <w:rsid w:val="003B4074"/>
    <w:rsid w:val="003C769A"/>
    <w:rsid w:val="003D3A90"/>
    <w:rsid w:val="003F1838"/>
    <w:rsid w:val="004251C1"/>
    <w:rsid w:val="0045746C"/>
    <w:rsid w:val="0049104B"/>
    <w:rsid w:val="004E3B12"/>
    <w:rsid w:val="004E421C"/>
    <w:rsid w:val="00532310"/>
    <w:rsid w:val="00565F0F"/>
    <w:rsid w:val="00594A86"/>
    <w:rsid w:val="00596D86"/>
    <w:rsid w:val="005A15B2"/>
    <w:rsid w:val="00637F5A"/>
    <w:rsid w:val="00641C65"/>
    <w:rsid w:val="006560B1"/>
    <w:rsid w:val="006756DD"/>
    <w:rsid w:val="0071241E"/>
    <w:rsid w:val="00737275"/>
    <w:rsid w:val="00740EEC"/>
    <w:rsid w:val="0078011A"/>
    <w:rsid w:val="00781A5E"/>
    <w:rsid w:val="00782AF4"/>
    <w:rsid w:val="00790EE7"/>
    <w:rsid w:val="007B6649"/>
    <w:rsid w:val="0082576E"/>
    <w:rsid w:val="00853234"/>
    <w:rsid w:val="0089346F"/>
    <w:rsid w:val="00907F75"/>
    <w:rsid w:val="009260DE"/>
    <w:rsid w:val="0093258A"/>
    <w:rsid w:val="009C7BA3"/>
    <w:rsid w:val="009D1F5A"/>
    <w:rsid w:val="00A10294"/>
    <w:rsid w:val="00B003BF"/>
    <w:rsid w:val="00B373D7"/>
    <w:rsid w:val="00B55271"/>
    <w:rsid w:val="00BD7931"/>
    <w:rsid w:val="00BF6243"/>
    <w:rsid w:val="00C0758E"/>
    <w:rsid w:val="00C36276"/>
    <w:rsid w:val="00C42586"/>
    <w:rsid w:val="00C45F6B"/>
    <w:rsid w:val="00C60CCD"/>
    <w:rsid w:val="00C84483"/>
    <w:rsid w:val="00C95551"/>
    <w:rsid w:val="00CB20D7"/>
    <w:rsid w:val="00CD50D5"/>
    <w:rsid w:val="00D020B0"/>
    <w:rsid w:val="00D11748"/>
    <w:rsid w:val="00D237F6"/>
    <w:rsid w:val="00D34D98"/>
    <w:rsid w:val="00D366CF"/>
    <w:rsid w:val="00D4091A"/>
    <w:rsid w:val="00D93992"/>
    <w:rsid w:val="00E02539"/>
    <w:rsid w:val="00E077FB"/>
    <w:rsid w:val="00E108AA"/>
    <w:rsid w:val="00E3749A"/>
    <w:rsid w:val="00E7437F"/>
    <w:rsid w:val="00E865B8"/>
    <w:rsid w:val="00EC0B9B"/>
    <w:rsid w:val="00ED5E9F"/>
    <w:rsid w:val="00F66D4F"/>
    <w:rsid w:val="00F937B5"/>
    <w:rsid w:val="00FB6D0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AD1C59"/>
  <w15:chartTrackingRefBased/>
  <w15:docId w15:val="{811A0C4E-50F6-4CA3-94CE-816FD64C4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B6D01"/>
    <w:rPr>
      <w:sz w:val="23"/>
      <w:lang w:eastAsia="en-US"/>
    </w:rPr>
  </w:style>
  <w:style w:type="paragraph" w:styleId="Overskrift1">
    <w:name w:val="heading 1"/>
    <w:basedOn w:val="Normal"/>
    <w:next w:val="Normal"/>
    <w:link w:val="Overskrift1Tegn"/>
    <w:uiPriority w:val="9"/>
    <w:qFormat/>
    <w:rsid w:val="00FB6D01"/>
    <w:pPr>
      <w:keepNext/>
      <w:spacing w:before="240" w:after="60"/>
      <w:outlineLvl w:val="0"/>
    </w:pPr>
    <w:rPr>
      <w:rFonts w:ascii="Arial" w:hAnsi="Arial"/>
      <w:b/>
      <w:kern w:val="28"/>
      <w:sz w:val="28"/>
    </w:rPr>
  </w:style>
  <w:style w:type="paragraph" w:styleId="Overskrift2">
    <w:name w:val="heading 2"/>
    <w:basedOn w:val="Normal"/>
    <w:link w:val="Overskrift2Tegn"/>
    <w:uiPriority w:val="9"/>
    <w:semiHidden/>
    <w:unhideWhenUsed/>
    <w:qFormat/>
    <w:rsid w:val="00C0758E"/>
    <w:pPr>
      <w:widowControl w:val="0"/>
      <w:autoSpaceDE w:val="0"/>
      <w:autoSpaceDN w:val="0"/>
      <w:ind w:left="568" w:hanging="567"/>
      <w:outlineLvl w:val="1"/>
    </w:pPr>
    <w:rPr>
      <w:b/>
      <w:bCs/>
      <w:sz w:val="22"/>
      <w:szCs w:val="22"/>
    </w:rPr>
  </w:style>
  <w:style w:type="paragraph" w:styleId="Overskrift3">
    <w:name w:val="heading 3"/>
    <w:basedOn w:val="Normal"/>
    <w:next w:val="Normal"/>
    <w:qFormat/>
    <w:rsid w:val="00FB6D01"/>
    <w:pPr>
      <w:keepNext/>
      <w:spacing w:before="240" w:after="60"/>
      <w:outlineLvl w:val="2"/>
    </w:pPr>
    <w:rPr>
      <w:rFonts w:ascii="Arial" w:hAnsi="Arial"/>
      <w:sz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Kommentartekst">
    <w:name w:val="annotation text"/>
    <w:basedOn w:val="Normal"/>
    <w:link w:val="KommentartekstTegn"/>
    <w:uiPriority w:val="99"/>
    <w:semiHidden/>
    <w:rsid w:val="00790EE7"/>
    <w:rPr>
      <w:sz w:val="20"/>
      <w:lang w:eastAsia="da-DK"/>
    </w:rPr>
  </w:style>
  <w:style w:type="paragraph" w:styleId="Sidehoved">
    <w:name w:val="header"/>
    <w:basedOn w:val="Normal"/>
    <w:link w:val="SidehovedTegn"/>
    <w:rsid w:val="00790EE7"/>
    <w:pPr>
      <w:tabs>
        <w:tab w:val="center" w:pos="4819"/>
        <w:tab w:val="right" w:pos="9638"/>
      </w:tabs>
    </w:pPr>
    <w:rPr>
      <w:sz w:val="24"/>
      <w:lang w:eastAsia="da-DK"/>
    </w:rPr>
  </w:style>
  <w:style w:type="paragraph" w:styleId="Titel">
    <w:name w:val="Title"/>
    <w:basedOn w:val="Normal"/>
    <w:link w:val="TitelTegn"/>
    <w:qFormat/>
    <w:rsid w:val="00790EE7"/>
    <w:pPr>
      <w:jc w:val="center"/>
    </w:pPr>
    <w:rPr>
      <w:b/>
      <w:sz w:val="24"/>
      <w:lang w:eastAsia="da-DK"/>
    </w:rPr>
  </w:style>
  <w:style w:type="character" w:styleId="Kommentarhenvisning">
    <w:name w:val="annotation reference"/>
    <w:uiPriority w:val="99"/>
    <w:semiHidden/>
    <w:rsid w:val="00790EE7"/>
    <w:rPr>
      <w:sz w:val="16"/>
      <w:szCs w:val="16"/>
    </w:rPr>
  </w:style>
  <w:style w:type="paragraph" w:styleId="Markeringsbobletekst">
    <w:name w:val="Balloon Text"/>
    <w:basedOn w:val="Normal"/>
    <w:link w:val="MarkeringsbobletekstTegn"/>
    <w:uiPriority w:val="99"/>
    <w:semiHidden/>
    <w:rsid w:val="00790EE7"/>
    <w:rPr>
      <w:rFonts w:ascii="Tahoma" w:hAnsi="Tahoma" w:cs="Tahoma"/>
      <w:sz w:val="16"/>
      <w:szCs w:val="16"/>
    </w:rPr>
  </w:style>
  <w:style w:type="paragraph" w:styleId="Sidefod">
    <w:name w:val="footer"/>
    <w:basedOn w:val="Normal"/>
    <w:rsid w:val="00C42586"/>
    <w:pPr>
      <w:tabs>
        <w:tab w:val="center" w:pos="4819"/>
        <w:tab w:val="right" w:pos="9638"/>
      </w:tabs>
    </w:pPr>
  </w:style>
  <w:style w:type="character" w:styleId="Sidetal">
    <w:name w:val="page number"/>
    <w:basedOn w:val="Standardskrifttypeiafsnit"/>
    <w:rsid w:val="00C42586"/>
  </w:style>
  <w:style w:type="character" w:customStyle="1" w:styleId="KommentartekstTegn">
    <w:name w:val="Kommentartekst Tegn"/>
    <w:basedOn w:val="Standardskrifttypeiafsnit"/>
    <w:link w:val="Kommentartekst"/>
    <w:uiPriority w:val="99"/>
    <w:semiHidden/>
    <w:rsid w:val="00B003BF"/>
  </w:style>
  <w:style w:type="character" w:customStyle="1" w:styleId="SidehovedTegn">
    <w:name w:val="Sidehoved Tegn"/>
    <w:link w:val="Sidehoved"/>
    <w:rsid w:val="00B003BF"/>
    <w:rPr>
      <w:sz w:val="24"/>
    </w:rPr>
  </w:style>
  <w:style w:type="character" w:customStyle="1" w:styleId="TitelTegn">
    <w:name w:val="Titel Tegn"/>
    <w:link w:val="Titel"/>
    <w:rsid w:val="00B003BF"/>
    <w:rPr>
      <w:b/>
      <w:sz w:val="24"/>
    </w:rPr>
  </w:style>
  <w:style w:type="paragraph" w:styleId="Kommentaremne">
    <w:name w:val="annotation subject"/>
    <w:basedOn w:val="Kommentartekst"/>
    <w:next w:val="Kommentartekst"/>
    <w:link w:val="KommentaremneTegn"/>
    <w:uiPriority w:val="99"/>
    <w:semiHidden/>
    <w:unhideWhenUsed/>
    <w:rsid w:val="009260DE"/>
    <w:rPr>
      <w:b/>
      <w:bCs/>
      <w:lang w:eastAsia="en-US"/>
    </w:rPr>
  </w:style>
  <w:style w:type="character" w:customStyle="1" w:styleId="KommentaremneTegn">
    <w:name w:val="Kommentaremne Tegn"/>
    <w:basedOn w:val="KommentartekstTegn"/>
    <w:link w:val="Kommentaremne"/>
    <w:uiPriority w:val="99"/>
    <w:semiHidden/>
    <w:rsid w:val="009260DE"/>
    <w:rPr>
      <w:b/>
      <w:bCs/>
      <w:lang w:eastAsia="en-US"/>
    </w:rPr>
  </w:style>
  <w:style w:type="character" w:customStyle="1" w:styleId="Overskrift2Tegn">
    <w:name w:val="Overskrift 2 Tegn"/>
    <w:basedOn w:val="Standardskrifttypeiafsnit"/>
    <w:link w:val="Overskrift2"/>
    <w:uiPriority w:val="9"/>
    <w:semiHidden/>
    <w:rsid w:val="00C0758E"/>
    <w:rPr>
      <w:b/>
      <w:bCs/>
      <w:sz w:val="22"/>
      <w:szCs w:val="22"/>
      <w:lang w:eastAsia="en-US"/>
    </w:rPr>
  </w:style>
  <w:style w:type="paragraph" w:styleId="Brdtekst">
    <w:name w:val="Body Text"/>
    <w:basedOn w:val="Normal"/>
    <w:link w:val="BrdtekstTegn"/>
    <w:uiPriority w:val="1"/>
    <w:semiHidden/>
    <w:unhideWhenUsed/>
    <w:qFormat/>
    <w:rsid w:val="00C0758E"/>
    <w:pPr>
      <w:widowControl w:val="0"/>
      <w:autoSpaceDE w:val="0"/>
      <w:autoSpaceDN w:val="0"/>
      <w:ind w:left="1"/>
    </w:pPr>
    <w:rPr>
      <w:sz w:val="22"/>
      <w:szCs w:val="22"/>
    </w:rPr>
  </w:style>
  <w:style w:type="character" w:customStyle="1" w:styleId="BrdtekstTegn">
    <w:name w:val="Brødtekst Tegn"/>
    <w:basedOn w:val="Standardskrifttypeiafsnit"/>
    <w:link w:val="Brdtekst"/>
    <w:uiPriority w:val="1"/>
    <w:semiHidden/>
    <w:rsid w:val="00C0758E"/>
    <w:rPr>
      <w:sz w:val="22"/>
      <w:szCs w:val="22"/>
      <w:lang w:eastAsia="en-US"/>
    </w:rPr>
  </w:style>
  <w:style w:type="paragraph" w:customStyle="1" w:styleId="TableParagraph">
    <w:name w:val="Table Paragraph"/>
    <w:basedOn w:val="Normal"/>
    <w:uiPriority w:val="1"/>
    <w:qFormat/>
    <w:rsid w:val="00C0758E"/>
    <w:pPr>
      <w:widowControl w:val="0"/>
      <w:autoSpaceDE w:val="0"/>
      <w:autoSpaceDN w:val="0"/>
      <w:spacing w:before="27"/>
      <w:jc w:val="center"/>
    </w:pPr>
    <w:rPr>
      <w:sz w:val="22"/>
      <w:szCs w:val="22"/>
    </w:rPr>
  </w:style>
  <w:style w:type="character" w:styleId="Hyperlink">
    <w:name w:val="Hyperlink"/>
    <w:basedOn w:val="Standardskrifttypeiafsnit"/>
    <w:uiPriority w:val="99"/>
    <w:semiHidden/>
    <w:unhideWhenUsed/>
    <w:rsid w:val="004E421C"/>
    <w:rPr>
      <w:color w:val="0563C1" w:themeColor="hyperlink"/>
      <w:u w:val="single"/>
    </w:rPr>
  </w:style>
  <w:style w:type="character" w:customStyle="1" w:styleId="Overskrift1Tegn">
    <w:name w:val="Overskrift 1 Tegn"/>
    <w:basedOn w:val="Standardskrifttypeiafsnit"/>
    <w:link w:val="Overskrift1"/>
    <w:uiPriority w:val="9"/>
    <w:rsid w:val="005A15B2"/>
    <w:rPr>
      <w:rFonts w:ascii="Arial" w:hAnsi="Arial"/>
      <w:b/>
      <w:kern w:val="28"/>
      <w:sz w:val="28"/>
      <w:lang w:eastAsia="en-US"/>
    </w:rPr>
  </w:style>
  <w:style w:type="character" w:styleId="BesgtLink">
    <w:name w:val="FollowedHyperlink"/>
    <w:basedOn w:val="Standardskrifttypeiafsnit"/>
    <w:uiPriority w:val="99"/>
    <w:semiHidden/>
    <w:unhideWhenUsed/>
    <w:rsid w:val="005A15B2"/>
    <w:rPr>
      <w:color w:val="954F72" w:themeColor="followedHyperlink"/>
      <w:u w:val="single"/>
    </w:rPr>
  </w:style>
  <w:style w:type="paragraph" w:customStyle="1" w:styleId="msonormal0">
    <w:name w:val="msonormal"/>
    <w:basedOn w:val="Normal"/>
    <w:rsid w:val="005A15B2"/>
    <w:pPr>
      <w:spacing w:before="100" w:beforeAutospacing="1" w:after="100" w:afterAutospacing="1"/>
    </w:pPr>
    <w:rPr>
      <w:sz w:val="24"/>
      <w:szCs w:val="24"/>
      <w:lang w:eastAsia="da-DK"/>
    </w:rPr>
  </w:style>
  <w:style w:type="character" w:customStyle="1" w:styleId="MarkeringsbobletekstTegn">
    <w:name w:val="Markeringsbobletekst Tegn"/>
    <w:basedOn w:val="Standardskrifttypeiafsnit"/>
    <w:link w:val="Markeringsbobletekst"/>
    <w:uiPriority w:val="99"/>
    <w:semiHidden/>
    <w:rsid w:val="005A15B2"/>
    <w:rPr>
      <w:rFonts w:ascii="Tahoma" w:hAnsi="Tahoma" w:cs="Tahoma"/>
      <w:sz w:val="16"/>
      <w:szCs w:val="16"/>
      <w:lang w:eastAsia="en-US"/>
    </w:rPr>
  </w:style>
  <w:style w:type="paragraph" w:styleId="Korrektur">
    <w:name w:val="Revision"/>
    <w:uiPriority w:val="99"/>
    <w:semiHidden/>
    <w:rsid w:val="005A15B2"/>
    <w:rPr>
      <w:sz w:val="22"/>
      <w:szCs w:val="22"/>
      <w:lang w:val="en-US" w:eastAsia="en-US"/>
    </w:rPr>
  </w:style>
  <w:style w:type="paragraph" w:styleId="Listeafsnit">
    <w:name w:val="List Paragraph"/>
    <w:basedOn w:val="Normal"/>
    <w:uiPriority w:val="1"/>
    <w:qFormat/>
    <w:rsid w:val="005A15B2"/>
    <w:pPr>
      <w:widowControl w:val="0"/>
      <w:autoSpaceDE w:val="0"/>
      <w:autoSpaceDN w:val="0"/>
      <w:ind w:left="568" w:hanging="567"/>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440884">
      <w:bodyDiv w:val="1"/>
      <w:marLeft w:val="0"/>
      <w:marRight w:val="0"/>
      <w:marTop w:val="0"/>
      <w:marBottom w:val="0"/>
      <w:divBdr>
        <w:top w:val="none" w:sz="0" w:space="0" w:color="auto"/>
        <w:left w:val="none" w:sz="0" w:space="0" w:color="auto"/>
        <w:bottom w:val="none" w:sz="0" w:space="0" w:color="auto"/>
        <w:right w:val="none" w:sz="0" w:space="0" w:color="auto"/>
      </w:divBdr>
    </w:div>
    <w:div w:id="139854692">
      <w:bodyDiv w:val="1"/>
      <w:marLeft w:val="0"/>
      <w:marRight w:val="0"/>
      <w:marTop w:val="0"/>
      <w:marBottom w:val="0"/>
      <w:divBdr>
        <w:top w:val="none" w:sz="0" w:space="0" w:color="auto"/>
        <w:left w:val="none" w:sz="0" w:space="0" w:color="auto"/>
        <w:bottom w:val="none" w:sz="0" w:space="0" w:color="auto"/>
        <w:right w:val="none" w:sz="0" w:space="0" w:color="auto"/>
      </w:divBdr>
    </w:div>
    <w:div w:id="166411739">
      <w:bodyDiv w:val="1"/>
      <w:marLeft w:val="0"/>
      <w:marRight w:val="0"/>
      <w:marTop w:val="0"/>
      <w:marBottom w:val="0"/>
      <w:divBdr>
        <w:top w:val="none" w:sz="0" w:space="0" w:color="auto"/>
        <w:left w:val="none" w:sz="0" w:space="0" w:color="auto"/>
        <w:bottom w:val="none" w:sz="0" w:space="0" w:color="auto"/>
        <w:right w:val="none" w:sz="0" w:space="0" w:color="auto"/>
      </w:divBdr>
    </w:div>
    <w:div w:id="178853020">
      <w:bodyDiv w:val="1"/>
      <w:marLeft w:val="0"/>
      <w:marRight w:val="0"/>
      <w:marTop w:val="0"/>
      <w:marBottom w:val="0"/>
      <w:divBdr>
        <w:top w:val="none" w:sz="0" w:space="0" w:color="auto"/>
        <w:left w:val="none" w:sz="0" w:space="0" w:color="auto"/>
        <w:bottom w:val="none" w:sz="0" w:space="0" w:color="auto"/>
        <w:right w:val="none" w:sz="0" w:space="0" w:color="auto"/>
      </w:divBdr>
    </w:div>
    <w:div w:id="292103701">
      <w:bodyDiv w:val="1"/>
      <w:marLeft w:val="0"/>
      <w:marRight w:val="0"/>
      <w:marTop w:val="0"/>
      <w:marBottom w:val="0"/>
      <w:divBdr>
        <w:top w:val="none" w:sz="0" w:space="0" w:color="auto"/>
        <w:left w:val="none" w:sz="0" w:space="0" w:color="auto"/>
        <w:bottom w:val="none" w:sz="0" w:space="0" w:color="auto"/>
        <w:right w:val="none" w:sz="0" w:space="0" w:color="auto"/>
      </w:divBdr>
    </w:div>
    <w:div w:id="303778479">
      <w:bodyDiv w:val="1"/>
      <w:marLeft w:val="0"/>
      <w:marRight w:val="0"/>
      <w:marTop w:val="0"/>
      <w:marBottom w:val="0"/>
      <w:divBdr>
        <w:top w:val="none" w:sz="0" w:space="0" w:color="auto"/>
        <w:left w:val="none" w:sz="0" w:space="0" w:color="auto"/>
        <w:bottom w:val="none" w:sz="0" w:space="0" w:color="auto"/>
        <w:right w:val="none" w:sz="0" w:space="0" w:color="auto"/>
      </w:divBdr>
    </w:div>
    <w:div w:id="312108152">
      <w:bodyDiv w:val="1"/>
      <w:marLeft w:val="0"/>
      <w:marRight w:val="0"/>
      <w:marTop w:val="0"/>
      <w:marBottom w:val="0"/>
      <w:divBdr>
        <w:top w:val="none" w:sz="0" w:space="0" w:color="auto"/>
        <w:left w:val="none" w:sz="0" w:space="0" w:color="auto"/>
        <w:bottom w:val="none" w:sz="0" w:space="0" w:color="auto"/>
        <w:right w:val="none" w:sz="0" w:space="0" w:color="auto"/>
      </w:divBdr>
    </w:div>
    <w:div w:id="320352272">
      <w:bodyDiv w:val="1"/>
      <w:marLeft w:val="0"/>
      <w:marRight w:val="0"/>
      <w:marTop w:val="0"/>
      <w:marBottom w:val="0"/>
      <w:divBdr>
        <w:top w:val="none" w:sz="0" w:space="0" w:color="auto"/>
        <w:left w:val="none" w:sz="0" w:space="0" w:color="auto"/>
        <w:bottom w:val="none" w:sz="0" w:space="0" w:color="auto"/>
        <w:right w:val="none" w:sz="0" w:space="0" w:color="auto"/>
      </w:divBdr>
    </w:div>
    <w:div w:id="336544810">
      <w:bodyDiv w:val="1"/>
      <w:marLeft w:val="0"/>
      <w:marRight w:val="0"/>
      <w:marTop w:val="0"/>
      <w:marBottom w:val="0"/>
      <w:divBdr>
        <w:top w:val="none" w:sz="0" w:space="0" w:color="auto"/>
        <w:left w:val="none" w:sz="0" w:space="0" w:color="auto"/>
        <w:bottom w:val="none" w:sz="0" w:space="0" w:color="auto"/>
        <w:right w:val="none" w:sz="0" w:space="0" w:color="auto"/>
      </w:divBdr>
    </w:div>
    <w:div w:id="449054904">
      <w:bodyDiv w:val="1"/>
      <w:marLeft w:val="0"/>
      <w:marRight w:val="0"/>
      <w:marTop w:val="0"/>
      <w:marBottom w:val="0"/>
      <w:divBdr>
        <w:top w:val="none" w:sz="0" w:space="0" w:color="auto"/>
        <w:left w:val="none" w:sz="0" w:space="0" w:color="auto"/>
        <w:bottom w:val="none" w:sz="0" w:space="0" w:color="auto"/>
        <w:right w:val="none" w:sz="0" w:space="0" w:color="auto"/>
      </w:divBdr>
    </w:div>
    <w:div w:id="456339366">
      <w:bodyDiv w:val="1"/>
      <w:marLeft w:val="0"/>
      <w:marRight w:val="0"/>
      <w:marTop w:val="0"/>
      <w:marBottom w:val="0"/>
      <w:divBdr>
        <w:top w:val="none" w:sz="0" w:space="0" w:color="auto"/>
        <w:left w:val="none" w:sz="0" w:space="0" w:color="auto"/>
        <w:bottom w:val="none" w:sz="0" w:space="0" w:color="auto"/>
        <w:right w:val="none" w:sz="0" w:space="0" w:color="auto"/>
      </w:divBdr>
    </w:div>
    <w:div w:id="518350379">
      <w:bodyDiv w:val="1"/>
      <w:marLeft w:val="0"/>
      <w:marRight w:val="0"/>
      <w:marTop w:val="0"/>
      <w:marBottom w:val="0"/>
      <w:divBdr>
        <w:top w:val="none" w:sz="0" w:space="0" w:color="auto"/>
        <w:left w:val="none" w:sz="0" w:space="0" w:color="auto"/>
        <w:bottom w:val="none" w:sz="0" w:space="0" w:color="auto"/>
        <w:right w:val="none" w:sz="0" w:space="0" w:color="auto"/>
      </w:divBdr>
    </w:div>
    <w:div w:id="561790993">
      <w:bodyDiv w:val="1"/>
      <w:marLeft w:val="0"/>
      <w:marRight w:val="0"/>
      <w:marTop w:val="0"/>
      <w:marBottom w:val="0"/>
      <w:divBdr>
        <w:top w:val="none" w:sz="0" w:space="0" w:color="auto"/>
        <w:left w:val="none" w:sz="0" w:space="0" w:color="auto"/>
        <w:bottom w:val="none" w:sz="0" w:space="0" w:color="auto"/>
        <w:right w:val="none" w:sz="0" w:space="0" w:color="auto"/>
      </w:divBdr>
    </w:div>
    <w:div w:id="593590761">
      <w:bodyDiv w:val="1"/>
      <w:marLeft w:val="0"/>
      <w:marRight w:val="0"/>
      <w:marTop w:val="0"/>
      <w:marBottom w:val="0"/>
      <w:divBdr>
        <w:top w:val="none" w:sz="0" w:space="0" w:color="auto"/>
        <w:left w:val="none" w:sz="0" w:space="0" w:color="auto"/>
        <w:bottom w:val="none" w:sz="0" w:space="0" w:color="auto"/>
        <w:right w:val="none" w:sz="0" w:space="0" w:color="auto"/>
      </w:divBdr>
    </w:div>
    <w:div w:id="604728641">
      <w:bodyDiv w:val="1"/>
      <w:marLeft w:val="0"/>
      <w:marRight w:val="0"/>
      <w:marTop w:val="0"/>
      <w:marBottom w:val="0"/>
      <w:divBdr>
        <w:top w:val="none" w:sz="0" w:space="0" w:color="auto"/>
        <w:left w:val="none" w:sz="0" w:space="0" w:color="auto"/>
        <w:bottom w:val="none" w:sz="0" w:space="0" w:color="auto"/>
        <w:right w:val="none" w:sz="0" w:space="0" w:color="auto"/>
      </w:divBdr>
    </w:div>
    <w:div w:id="612057468">
      <w:bodyDiv w:val="1"/>
      <w:marLeft w:val="0"/>
      <w:marRight w:val="0"/>
      <w:marTop w:val="0"/>
      <w:marBottom w:val="0"/>
      <w:divBdr>
        <w:top w:val="none" w:sz="0" w:space="0" w:color="auto"/>
        <w:left w:val="none" w:sz="0" w:space="0" w:color="auto"/>
        <w:bottom w:val="none" w:sz="0" w:space="0" w:color="auto"/>
        <w:right w:val="none" w:sz="0" w:space="0" w:color="auto"/>
      </w:divBdr>
    </w:div>
    <w:div w:id="643659758">
      <w:bodyDiv w:val="1"/>
      <w:marLeft w:val="0"/>
      <w:marRight w:val="0"/>
      <w:marTop w:val="0"/>
      <w:marBottom w:val="0"/>
      <w:divBdr>
        <w:top w:val="none" w:sz="0" w:space="0" w:color="auto"/>
        <w:left w:val="none" w:sz="0" w:space="0" w:color="auto"/>
        <w:bottom w:val="none" w:sz="0" w:space="0" w:color="auto"/>
        <w:right w:val="none" w:sz="0" w:space="0" w:color="auto"/>
      </w:divBdr>
    </w:div>
    <w:div w:id="676036186">
      <w:bodyDiv w:val="1"/>
      <w:marLeft w:val="0"/>
      <w:marRight w:val="0"/>
      <w:marTop w:val="0"/>
      <w:marBottom w:val="0"/>
      <w:divBdr>
        <w:top w:val="none" w:sz="0" w:space="0" w:color="auto"/>
        <w:left w:val="none" w:sz="0" w:space="0" w:color="auto"/>
        <w:bottom w:val="none" w:sz="0" w:space="0" w:color="auto"/>
        <w:right w:val="none" w:sz="0" w:space="0" w:color="auto"/>
      </w:divBdr>
    </w:div>
    <w:div w:id="740491756">
      <w:bodyDiv w:val="1"/>
      <w:marLeft w:val="0"/>
      <w:marRight w:val="0"/>
      <w:marTop w:val="0"/>
      <w:marBottom w:val="0"/>
      <w:divBdr>
        <w:top w:val="none" w:sz="0" w:space="0" w:color="auto"/>
        <w:left w:val="none" w:sz="0" w:space="0" w:color="auto"/>
        <w:bottom w:val="none" w:sz="0" w:space="0" w:color="auto"/>
        <w:right w:val="none" w:sz="0" w:space="0" w:color="auto"/>
      </w:divBdr>
    </w:div>
    <w:div w:id="756631129">
      <w:bodyDiv w:val="1"/>
      <w:marLeft w:val="0"/>
      <w:marRight w:val="0"/>
      <w:marTop w:val="0"/>
      <w:marBottom w:val="0"/>
      <w:divBdr>
        <w:top w:val="none" w:sz="0" w:space="0" w:color="auto"/>
        <w:left w:val="none" w:sz="0" w:space="0" w:color="auto"/>
        <w:bottom w:val="none" w:sz="0" w:space="0" w:color="auto"/>
        <w:right w:val="none" w:sz="0" w:space="0" w:color="auto"/>
      </w:divBdr>
    </w:div>
    <w:div w:id="794907343">
      <w:bodyDiv w:val="1"/>
      <w:marLeft w:val="0"/>
      <w:marRight w:val="0"/>
      <w:marTop w:val="0"/>
      <w:marBottom w:val="0"/>
      <w:divBdr>
        <w:top w:val="none" w:sz="0" w:space="0" w:color="auto"/>
        <w:left w:val="none" w:sz="0" w:space="0" w:color="auto"/>
        <w:bottom w:val="none" w:sz="0" w:space="0" w:color="auto"/>
        <w:right w:val="none" w:sz="0" w:space="0" w:color="auto"/>
      </w:divBdr>
    </w:div>
    <w:div w:id="819613613">
      <w:bodyDiv w:val="1"/>
      <w:marLeft w:val="0"/>
      <w:marRight w:val="0"/>
      <w:marTop w:val="0"/>
      <w:marBottom w:val="0"/>
      <w:divBdr>
        <w:top w:val="none" w:sz="0" w:space="0" w:color="auto"/>
        <w:left w:val="none" w:sz="0" w:space="0" w:color="auto"/>
        <w:bottom w:val="none" w:sz="0" w:space="0" w:color="auto"/>
        <w:right w:val="none" w:sz="0" w:space="0" w:color="auto"/>
      </w:divBdr>
    </w:div>
    <w:div w:id="857546090">
      <w:bodyDiv w:val="1"/>
      <w:marLeft w:val="0"/>
      <w:marRight w:val="0"/>
      <w:marTop w:val="0"/>
      <w:marBottom w:val="0"/>
      <w:divBdr>
        <w:top w:val="none" w:sz="0" w:space="0" w:color="auto"/>
        <w:left w:val="none" w:sz="0" w:space="0" w:color="auto"/>
        <w:bottom w:val="none" w:sz="0" w:space="0" w:color="auto"/>
        <w:right w:val="none" w:sz="0" w:space="0" w:color="auto"/>
      </w:divBdr>
    </w:div>
    <w:div w:id="873422473">
      <w:bodyDiv w:val="1"/>
      <w:marLeft w:val="0"/>
      <w:marRight w:val="0"/>
      <w:marTop w:val="0"/>
      <w:marBottom w:val="0"/>
      <w:divBdr>
        <w:top w:val="none" w:sz="0" w:space="0" w:color="auto"/>
        <w:left w:val="none" w:sz="0" w:space="0" w:color="auto"/>
        <w:bottom w:val="none" w:sz="0" w:space="0" w:color="auto"/>
        <w:right w:val="none" w:sz="0" w:space="0" w:color="auto"/>
      </w:divBdr>
    </w:div>
    <w:div w:id="912617899">
      <w:bodyDiv w:val="1"/>
      <w:marLeft w:val="0"/>
      <w:marRight w:val="0"/>
      <w:marTop w:val="0"/>
      <w:marBottom w:val="0"/>
      <w:divBdr>
        <w:top w:val="none" w:sz="0" w:space="0" w:color="auto"/>
        <w:left w:val="none" w:sz="0" w:space="0" w:color="auto"/>
        <w:bottom w:val="none" w:sz="0" w:space="0" w:color="auto"/>
        <w:right w:val="none" w:sz="0" w:space="0" w:color="auto"/>
      </w:divBdr>
    </w:div>
    <w:div w:id="928537958">
      <w:bodyDiv w:val="1"/>
      <w:marLeft w:val="0"/>
      <w:marRight w:val="0"/>
      <w:marTop w:val="0"/>
      <w:marBottom w:val="0"/>
      <w:divBdr>
        <w:top w:val="none" w:sz="0" w:space="0" w:color="auto"/>
        <w:left w:val="none" w:sz="0" w:space="0" w:color="auto"/>
        <w:bottom w:val="none" w:sz="0" w:space="0" w:color="auto"/>
        <w:right w:val="none" w:sz="0" w:space="0" w:color="auto"/>
      </w:divBdr>
    </w:div>
    <w:div w:id="955453145">
      <w:bodyDiv w:val="1"/>
      <w:marLeft w:val="0"/>
      <w:marRight w:val="0"/>
      <w:marTop w:val="0"/>
      <w:marBottom w:val="0"/>
      <w:divBdr>
        <w:top w:val="none" w:sz="0" w:space="0" w:color="auto"/>
        <w:left w:val="none" w:sz="0" w:space="0" w:color="auto"/>
        <w:bottom w:val="none" w:sz="0" w:space="0" w:color="auto"/>
        <w:right w:val="none" w:sz="0" w:space="0" w:color="auto"/>
      </w:divBdr>
    </w:div>
    <w:div w:id="955912317">
      <w:bodyDiv w:val="1"/>
      <w:marLeft w:val="0"/>
      <w:marRight w:val="0"/>
      <w:marTop w:val="0"/>
      <w:marBottom w:val="0"/>
      <w:divBdr>
        <w:top w:val="none" w:sz="0" w:space="0" w:color="auto"/>
        <w:left w:val="none" w:sz="0" w:space="0" w:color="auto"/>
        <w:bottom w:val="none" w:sz="0" w:space="0" w:color="auto"/>
        <w:right w:val="none" w:sz="0" w:space="0" w:color="auto"/>
      </w:divBdr>
    </w:div>
    <w:div w:id="1129514810">
      <w:bodyDiv w:val="1"/>
      <w:marLeft w:val="0"/>
      <w:marRight w:val="0"/>
      <w:marTop w:val="0"/>
      <w:marBottom w:val="0"/>
      <w:divBdr>
        <w:top w:val="none" w:sz="0" w:space="0" w:color="auto"/>
        <w:left w:val="none" w:sz="0" w:space="0" w:color="auto"/>
        <w:bottom w:val="none" w:sz="0" w:space="0" w:color="auto"/>
        <w:right w:val="none" w:sz="0" w:space="0" w:color="auto"/>
      </w:divBdr>
    </w:div>
    <w:div w:id="1342972112">
      <w:bodyDiv w:val="1"/>
      <w:marLeft w:val="0"/>
      <w:marRight w:val="0"/>
      <w:marTop w:val="0"/>
      <w:marBottom w:val="0"/>
      <w:divBdr>
        <w:top w:val="none" w:sz="0" w:space="0" w:color="auto"/>
        <w:left w:val="none" w:sz="0" w:space="0" w:color="auto"/>
        <w:bottom w:val="none" w:sz="0" w:space="0" w:color="auto"/>
        <w:right w:val="none" w:sz="0" w:space="0" w:color="auto"/>
      </w:divBdr>
    </w:div>
    <w:div w:id="1345548381">
      <w:bodyDiv w:val="1"/>
      <w:marLeft w:val="0"/>
      <w:marRight w:val="0"/>
      <w:marTop w:val="0"/>
      <w:marBottom w:val="0"/>
      <w:divBdr>
        <w:top w:val="none" w:sz="0" w:space="0" w:color="auto"/>
        <w:left w:val="none" w:sz="0" w:space="0" w:color="auto"/>
        <w:bottom w:val="none" w:sz="0" w:space="0" w:color="auto"/>
        <w:right w:val="none" w:sz="0" w:space="0" w:color="auto"/>
      </w:divBdr>
    </w:div>
    <w:div w:id="1623536121">
      <w:bodyDiv w:val="1"/>
      <w:marLeft w:val="0"/>
      <w:marRight w:val="0"/>
      <w:marTop w:val="0"/>
      <w:marBottom w:val="0"/>
      <w:divBdr>
        <w:top w:val="none" w:sz="0" w:space="0" w:color="auto"/>
        <w:left w:val="none" w:sz="0" w:space="0" w:color="auto"/>
        <w:bottom w:val="none" w:sz="0" w:space="0" w:color="auto"/>
        <w:right w:val="none" w:sz="0" w:space="0" w:color="auto"/>
      </w:divBdr>
    </w:div>
    <w:div w:id="1746609615">
      <w:bodyDiv w:val="1"/>
      <w:marLeft w:val="0"/>
      <w:marRight w:val="0"/>
      <w:marTop w:val="0"/>
      <w:marBottom w:val="0"/>
      <w:divBdr>
        <w:top w:val="none" w:sz="0" w:space="0" w:color="auto"/>
        <w:left w:val="none" w:sz="0" w:space="0" w:color="auto"/>
        <w:bottom w:val="none" w:sz="0" w:space="0" w:color="auto"/>
        <w:right w:val="none" w:sz="0" w:space="0" w:color="auto"/>
      </w:divBdr>
    </w:div>
    <w:div w:id="1822841849">
      <w:bodyDiv w:val="1"/>
      <w:marLeft w:val="0"/>
      <w:marRight w:val="0"/>
      <w:marTop w:val="0"/>
      <w:marBottom w:val="0"/>
      <w:divBdr>
        <w:top w:val="none" w:sz="0" w:space="0" w:color="auto"/>
        <w:left w:val="none" w:sz="0" w:space="0" w:color="auto"/>
        <w:bottom w:val="none" w:sz="0" w:space="0" w:color="auto"/>
        <w:right w:val="none" w:sz="0" w:space="0" w:color="auto"/>
      </w:divBdr>
    </w:div>
    <w:div w:id="1883203732">
      <w:bodyDiv w:val="1"/>
      <w:marLeft w:val="0"/>
      <w:marRight w:val="0"/>
      <w:marTop w:val="0"/>
      <w:marBottom w:val="0"/>
      <w:divBdr>
        <w:top w:val="none" w:sz="0" w:space="0" w:color="auto"/>
        <w:left w:val="none" w:sz="0" w:space="0" w:color="auto"/>
        <w:bottom w:val="none" w:sz="0" w:space="0" w:color="auto"/>
        <w:right w:val="none" w:sz="0" w:space="0" w:color="auto"/>
      </w:divBdr>
    </w:div>
    <w:div w:id="1931964210">
      <w:bodyDiv w:val="1"/>
      <w:marLeft w:val="0"/>
      <w:marRight w:val="0"/>
      <w:marTop w:val="0"/>
      <w:marBottom w:val="0"/>
      <w:divBdr>
        <w:top w:val="none" w:sz="0" w:space="0" w:color="auto"/>
        <w:left w:val="none" w:sz="0" w:space="0" w:color="auto"/>
        <w:bottom w:val="none" w:sz="0" w:space="0" w:color="auto"/>
        <w:right w:val="none" w:sz="0" w:space="0" w:color="auto"/>
      </w:divBdr>
    </w:div>
    <w:div w:id="1964925866">
      <w:bodyDiv w:val="1"/>
      <w:marLeft w:val="0"/>
      <w:marRight w:val="0"/>
      <w:marTop w:val="0"/>
      <w:marBottom w:val="0"/>
      <w:divBdr>
        <w:top w:val="none" w:sz="0" w:space="0" w:color="auto"/>
        <w:left w:val="none" w:sz="0" w:space="0" w:color="auto"/>
        <w:bottom w:val="none" w:sz="0" w:space="0" w:color="auto"/>
        <w:right w:val="none" w:sz="0" w:space="0" w:color="auto"/>
      </w:divBdr>
    </w:div>
    <w:div w:id="1988976742">
      <w:bodyDiv w:val="1"/>
      <w:marLeft w:val="0"/>
      <w:marRight w:val="0"/>
      <w:marTop w:val="0"/>
      <w:marBottom w:val="0"/>
      <w:divBdr>
        <w:top w:val="none" w:sz="0" w:space="0" w:color="auto"/>
        <w:left w:val="none" w:sz="0" w:space="0" w:color="auto"/>
        <w:bottom w:val="none" w:sz="0" w:space="0" w:color="auto"/>
        <w:right w:val="none" w:sz="0" w:space="0" w:color="auto"/>
      </w:divBdr>
    </w:div>
    <w:div w:id="1999379514">
      <w:bodyDiv w:val="1"/>
      <w:marLeft w:val="0"/>
      <w:marRight w:val="0"/>
      <w:marTop w:val="0"/>
      <w:marBottom w:val="0"/>
      <w:divBdr>
        <w:top w:val="none" w:sz="0" w:space="0" w:color="auto"/>
        <w:left w:val="none" w:sz="0" w:space="0" w:color="auto"/>
        <w:bottom w:val="none" w:sz="0" w:space="0" w:color="auto"/>
        <w:right w:val="none" w:sz="0" w:space="0" w:color="auto"/>
      </w:divBdr>
    </w:div>
    <w:div w:id="2047177119">
      <w:bodyDiv w:val="1"/>
      <w:marLeft w:val="0"/>
      <w:marRight w:val="0"/>
      <w:marTop w:val="0"/>
      <w:marBottom w:val="0"/>
      <w:divBdr>
        <w:top w:val="none" w:sz="0" w:space="0" w:color="auto"/>
        <w:left w:val="none" w:sz="0" w:space="0" w:color="auto"/>
        <w:bottom w:val="none" w:sz="0" w:space="0" w:color="auto"/>
        <w:right w:val="none" w:sz="0" w:space="0" w:color="auto"/>
      </w:divBdr>
    </w:div>
    <w:div w:id="2092658647">
      <w:bodyDiv w:val="1"/>
      <w:marLeft w:val="0"/>
      <w:marRight w:val="0"/>
      <w:marTop w:val="0"/>
      <w:marBottom w:val="0"/>
      <w:divBdr>
        <w:top w:val="none" w:sz="0" w:space="0" w:color="auto"/>
        <w:left w:val="none" w:sz="0" w:space="0" w:color="auto"/>
        <w:bottom w:val="none" w:sz="0" w:space="0" w:color="auto"/>
        <w:right w:val="none" w:sz="0" w:space="0" w:color="auto"/>
      </w:divBdr>
    </w:div>
    <w:div w:id="2098479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QW_Docs\GOD\docs\National\LGO-RKE-REG%20008-01-SKB%20SPC%20Hum%20skabelon.dotx"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LGO-RKE-REG 008-01-SKB SPC Hum skabelon</Template>
  <TotalTime>46</TotalTime>
  <Pages>20</Pages>
  <Words>6611</Words>
  <Characters>40600</Characters>
  <Application>Microsoft Office Word</Application>
  <DocSecurity>0</DocSecurity>
  <Lines>338</Lines>
  <Paragraphs>94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47117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Hanne Thy Iversen</dc:creator>
  <cp:keywords/>
  <dc:description>2024090975 mt</dc:description>
  <cp:lastModifiedBy>Hanne Thy Iversen</cp:lastModifiedBy>
  <cp:revision>9</cp:revision>
  <cp:lastPrinted>2012-08-22T08:53:00Z</cp:lastPrinted>
  <dcterms:created xsi:type="dcterms:W3CDTF">2026-02-19T12:14:00Z</dcterms:created>
  <dcterms:modified xsi:type="dcterms:W3CDTF">2026-03-06T13:33:00Z</dcterms:modified>
</cp:coreProperties>
</file>