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AE5C6" w14:textId="77777777" w:rsidR="009260DE" w:rsidRPr="004D5AB1" w:rsidRDefault="0021526C" w:rsidP="009260DE">
      <w:pPr>
        <w:rPr>
          <w:sz w:val="24"/>
          <w:szCs w:val="24"/>
        </w:rPr>
      </w:pPr>
      <w:bookmarkStart w:id="0" w:name="_GoBack"/>
      <w:bookmarkEnd w:id="0"/>
      <w:r w:rsidRPr="004D5AB1">
        <w:rPr>
          <w:noProof/>
          <w:sz w:val="24"/>
          <w:szCs w:val="24"/>
          <w:lang w:eastAsia="da-DK"/>
        </w:rPr>
        <w:drawing>
          <wp:anchor distT="0" distB="0" distL="114300" distR="114300" simplePos="0" relativeHeight="251658240" behindDoc="0" locked="0" layoutInCell="1" allowOverlap="1" wp14:anchorId="6182E325" wp14:editId="7550FDF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D5AB1">
        <w:rPr>
          <w:sz w:val="24"/>
          <w:szCs w:val="24"/>
        </w:rPr>
        <w:br w:type="textWrapping" w:clear="all"/>
      </w:r>
    </w:p>
    <w:p w14:paraId="41CB8C30" w14:textId="5589886C" w:rsidR="009260DE" w:rsidRPr="004D5AB1" w:rsidRDefault="009260DE" w:rsidP="009260DE">
      <w:pPr>
        <w:pStyle w:val="Titel"/>
        <w:tabs>
          <w:tab w:val="right" w:pos="9356"/>
        </w:tabs>
        <w:jc w:val="left"/>
        <w:rPr>
          <w:b w:val="0"/>
          <w:szCs w:val="24"/>
          <w:lang w:eastAsia="en-US"/>
        </w:rPr>
      </w:pPr>
      <w:r w:rsidRPr="004D5AB1">
        <w:rPr>
          <w:b w:val="0"/>
          <w:szCs w:val="24"/>
          <w:lang w:eastAsia="en-US"/>
        </w:rPr>
        <w:tab/>
      </w:r>
      <w:r w:rsidR="00CA5F71" w:rsidRPr="004D5AB1">
        <w:rPr>
          <w:szCs w:val="24"/>
        </w:rPr>
        <w:t>8. november 2024</w:t>
      </w:r>
    </w:p>
    <w:p w14:paraId="38CDE7BA" w14:textId="77777777" w:rsidR="009260DE" w:rsidRPr="004D5AB1" w:rsidRDefault="009260DE" w:rsidP="009260DE">
      <w:pPr>
        <w:pStyle w:val="Titel"/>
        <w:tabs>
          <w:tab w:val="left" w:pos="8222"/>
        </w:tabs>
        <w:jc w:val="left"/>
        <w:rPr>
          <w:b w:val="0"/>
          <w:szCs w:val="24"/>
        </w:rPr>
      </w:pPr>
    </w:p>
    <w:p w14:paraId="4E3F9FB0" w14:textId="77777777" w:rsidR="009260DE" w:rsidRPr="004D5AB1" w:rsidRDefault="009260DE" w:rsidP="009260DE">
      <w:pPr>
        <w:pStyle w:val="Titel"/>
        <w:jc w:val="left"/>
        <w:rPr>
          <w:b w:val="0"/>
          <w:szCs w:val="24"/>
        </w:rPr>
      </w:pPr>
    </w:p>
    <w:p w14:paraId="79DE09F6" w14:textId="77777777" w:rsidR="009260DE" w:rsidRPr="004D5AB1" w:rsidRDefault="009260DE" w:rsidP="009260DE">
      <w:pPr>
        <w:pStyle w:val="Titel"/>
        <w:jc w:val="left"/>
        <w:rPr>
          <w:b w:val="0"/>
          <w:szCs w:val="24"/>
        </w:rPr>
      </w:pPr>
    </w:p>
    <w:p w14:paraId="56311934" w14:textId="77777777" w:rsidR="009260DE" w:rsidRPr="004D5AB1" w:rsidRDefault="009260DE" w:rsidP="009260DE">
      <w:pPr>
        <w:jc w:val="center"/>
        <w:rPr>
          <w:b/>
          <w:sz w:val="24"/>
          <w:szCs w:val="24"/>
        </w:rPr>
      </w:pPr>
      <w:r w:rsidRPr="004D5AB1">
        <w:rPr>
          <w:b/>
          <w:sz w:val="24"/>
          <w:szCs w:val="24"/>
        </w:rPr>
        <w:t>PRODUKTRESUMÉ</w:t>
      </w:r>
    </w:p>
    <w:p w14:paraId="34A0BD07" w14:textId="77777777" w:rsidR="009260DE" w:rsidRPr="004D5AB1" w:rsidRDefault="009260DE" w:rsidP="009260DE">
      <w:pPr>
        <w:jc w:val="center"/>
        <w:rPr>
          <w:b/>
          <w:sz w:val="24"/>
          <w:szCs w:val="24"/>
        </w:rPr>
      </w:pPr>
    </w:p>
    <w:p w14:paraId="158086EB" w14:textId="77777777" w:rsidR="009260DE" w:rsidRPr="004D5AB1" w:rsidRDefault="009260DE" w:rsidP="009260DE">
      <w:pPr>
        <w:jc w:val="center"/>
        <w:rPr>
          <w:b/>
          <w:sz w:val="24"/>
          <w:szCs w:val="24"/>
        </w:rPr>
      </w:pPr>
      <w:r w:rsidRPr="004D5AB1">
        <w:rPr>
          <w:b/>
          <w:sz w:val="24"/>
          <w:szCs w:val="24"/>
        </w:rPr>
        <w:t>for</w:t>
      </w:r>
    </w:p>
    <w:p w14:paraId="7EC4A2E2" w14:textId="77777777" w:rsidR="000B058C" w:rsidRPr="004D5AB1" w:rsidRDefault="000B058C" w:rsidP="009260DE">
      <w:pPr>
        <w:jc w:val="center"/>
        <w:rPr>
          <w:b/>
          <w:sz w:val="24"/>
          <w:szCs w:val="24"/>
        </w:rPr>
      </w:pPr>
    </w:p>
    <w:p w14:paraId="58A9BD2C" w14:textId="61D3CE21" w:rsidR="009260DE" w:rsidRPr="004D5AB1" w:rsidRDefault="00EB4633" w:rsidP="009260DE">
      <w:pPr>
        <w:jc w:val="center"/>
        <w:rPr>
          <w:b/>
          <w:sz w:val="24"/>
          <w:szCs w:val="24"/>
        </w:rPr>
      </w:pPr>
      <w:proofErr w:type="spellStart"/>
      <w:r w:rsidRPr="004D5AB1">
        <w:rPr>
          <w:b/>
          <w:sz w:val="24"/>
          <w:szCs w:val="24"/>
        </w:rPr>
        <w:t>Nintedanib</w:t>
      </w:r>
      <w:proofErr w:type="spellEnd"/>
      <w:r w:rsidRPr="004D5AB1">
        <w:rPr>
          <w:b/>
          <w:sz w:val="24"/>
          <w:szCs w:val="24"/>
        </w:rPr>
        <w:t xml:space="preserve"> "Sandoz", bløde kapsler</w:t>
      </w:r>
    </w:p>
    <w:p w14:paraId="02CB319B" w14:textId="77777777" w:rsidR="009260DE" w:rsidRPr="004D5AB1" w:rsidRDefault="009260DE" w:rsidP="009260DE">
      <w:pPr>
        <w:jc w:val="both"/>
        <w:rPr>
          <w:sz w:val="24"/>
          <w:szCs w:val="24"/>
        </w:rPr>
      </w:pPr>
    </w:p>
    <w:p w14:paraId="483ABB02" w14:textId="77777777" w:rsidR="009260DE" w:rsidRPr="004D5AB1" w:rsidRDefault="009260DE" w:rsidP="009260DE">
      <w:pPr>
        <w:jc w:val="both"/>
        <w:rPr>
          <w:sz w:val="24"/>
          <w:szCs w:val="24"/>
        </w:rPr>
      </w:pPr>
    </w:p>
    <w:p w14:paraId="1025224F" w14:textId="77777777" w:rsidR="009260DE" w:rsidRPr="004D5AB1" w:rsidRDefault="009260DE" w:rsidP="009260DE">
      <w:pPr>
        <w:tabs>
          <w:tab w:val="left" w:pos="851"/>
        </w:tabs>
        <w:ind w:left="851" w:hanging="851"/>
        <w:rPr>
          <w:b/>
          <w:sz w:val="24"/>
          <w:szCs w:val="24"/>
        </w:rPr>
      </w:pPr>
      <w:r w:rsidRPr="004D5AB1">
        <w:rPr>
          <w:b/>
          <w:sz w:val="24"/>
          <w:szCs w:val="24"/>
        </w:rPr>
        <w:t>0.</w:t>
      </w:r>
      <w:r w:rsidRPr="004D5AB1">
        <w:rPr>
          <w:b/>
          <w:sz w:val="24"/>
          <w:szCs w:val="24"/>
        </w:rPr>
        <w:tab/>
        <w:t>D.SP.NR.</w:t>
      </w:r>
    </w:p>
    <w:p w14:paraId="7BA1EE5D" w14:textId="6CBDFCCC" w:rsidR="009260DE" w:rsidRPr="004D5AB1" w:rsidRDefault="00EB4633" w:rsidP="009260DE">
      <w:pPr>
        <w:tabs>
          <w:tab w:val="left" w:pos="851"/>
        </w:tabs>
        <w:ind w:left="851"/>
        <w:rPr>
          <w:sz w:val="24"/>
          <w:szCs w:val="24"/>
        </w:rPr>
      </w:pPr>
      <w:r w:rsidRPr="004D5AB1">
        <w:rPr>
          <w:sz w:val="24"/>
          <w:szCs w:val="24"/>
        </w:rPr>
        <w:t>33264</w:t>
      </w:r>
    </w:p>
    <w:p w14:paraId="0E42526F" w14:textId="77777777" w:rsidR="009260DE" w:rsidRPr="004D5AB1" w:rsidRDefault="009260DE" w:rsidP="009260DE">
      <w:pPr>
        <w:tabs>
          <w:tab w:val="left" w:pos="851"/>
        </w:tabs>
        <w:ind w:left="851"/>
        <w:rPr>
          <w:sz w:val="24"/>
          <w:szCs w:val="24"/>
        </w:rPr>
      </w:pPr>
    </w:p>
    <w:p w14:paraId="21612E7D" w14:textId="77777777" w:rsidR="009260DE" w:rsidRPr="004D5AB1" w:rsidRDefault="009260DE" w:rsidP="009260DE">
      <w:pPr>
        <w:tabs>
          <w:tab w:val="left" w:pos="851"/>
        </w:tabs>
        <w:ind w:left="851" w:hanging="851"/>
        <w:rPr>
          <w:b/>
          <w:sz w:val="24"/>
          <w:szCs w:val="24"/>
        </w:rPr>
      </w:pPr>
      <w:r w:rsidRPr="004D5AB1">
        <w:rPr>
          <w:b/>
          <w:sz w:val="24"/>
          <w:szCs w:val="24"/>
        </w:rPr>
        <w:t>1.</w:t>
      </w:r>
      <w:r w:rsidRPr="004D5AB1">
        <w:rPr>
          <w:b/>
          <w:sz w:val="24"/>
          <w:szCs w:val="24"/>
        </w:rPr>
        <w:tab/>
        <w:t>LÆGEMIDLETS NAVN</w:t>
      </w:r>
    </w:p>
    <w:p w14:paraId="284133CC" w14:textId="7014A71D" w:rsidR="009260DE" w:rsidRPr="004D5AB1" w:rsidRDefault="00EB4633" w:rsidP="009260DE">
      <w:pPr>
        <w:tabs>
          <w:tab w:val="left" w:pos="851"/>
        </w:tabs>
        <w:ind w:left="851"/>
        <w:rPr>
          <w:sz w:val="24"/>
          <w:szCs w:val="24"/>
        </w:rPr>
      </w:pPr>
      <w:proofErr w:type="spellStart"/>
      <w:r w:rsidRPr="004D5AB1">
        <w:rPr>
          <w:sz w:val="24"/>
          <w:szCs w:val="24"/>
        </w:rPr>
        <w:t>Nintedanib</w:t>
      </w:r>
      <w:proofErr w:type="spellEnd"/>
      <w:r w:rsidRPr="004D5AB1">
        <w:rPr>
          <w:sz w:val="24"/>
          <w:szCs w:val="24"/>
        </w:rPr>
        <w:t xml:space="preserve"> "Sandoz"</w:t>
      </w:r>
    </w:p>
    <w:p w14:paraId="686CF066" w14:textId="77777777" w:rsidR="009260DE" w:rsidRPr="004D5AB1" w:rsidRDefault="009260DE" w:rsidP="009260DE">
      <w:pPr>
        <w:tabs>
          <w:tab w:val="left" w:pos="851"/>
        </w:tabs>
        <w:ind w:left="851"/>
        <w:rPr>
          <w:sz w:val="24"/>
          <w:szCs w:val="24"/>
        </w:rPr>
      </w:pPr>
    </w:p>
    <w:p w14:paraId="364F6A59" w14:textId="77777777" w:rsidR="009260DE" w:rsidRPr="004D5AB1" w:rsidRDefault="009260DE" w:rsidP="009260DE">
      <w:pPr>
        <w:tabs>
          <w:tab w:val="left" w:pos="851"/>
        </w:tabs>
        <w:ind w:left="851" w:hanging="851"/>
        <w:rPr>
          <w:b/>
          <w:sz w:val="24"/>
          <w:szCs w:val="24"/>
        </w:rPr>
      </w:pPr>
      <w:r w:rsidRPr="004D5AB1">
        <w:rPr>
          <w:b/>
          <w:sz w:val="24"/>
          <w:szCs w:val="24"/>
        </w:rPr>
        <w:t>2.</w:t>
      </w:r>
      <w:r w:rsidRPr="004D5AB1">
        <w:rPr>
          <w:b/>
          <w:sz w:val="24"/>
          <w:szCs w:val="24"/>
        </w:rPr>
        <w:tab/>
        <w:t>KVALITATIV OG KVANTITATIV SAMMENSÆTNING</w:t>
      </w:r>
    </w:p>
    <w:p w14:paraId="3189F112" w14:textId="77777777" w:rsidR="0051213C" w:rsidRDefault="0051213C" w:rsidP="0015226E">
      <w:pPr>
        <w:suppressAutoHyphens/>
        <w:ind w:left="851"/>
        <w:rPr>
          <w:i/>
          <w:iCs/>
          <w:sz w:val="24"/>
          <w:szCs w:val="24"/>
          <w:lang w:val="nb-NO"/>
        </w:rPr>
      </w:pPr>
    </w:p>
    <w:p w14:paraId="4263FA33" w14:textId="3EA0953C" w:rsidR="00CA5F71" w:rsidRPr="004D5AB1" w:rsidRDefault="00CA5F71" w:rsidP="0015226E">
      <w:pPr>
        <w:suppressAutoHyphens/>
        <w:ind w:left="851"/>
        <w:rPr>
          <w:i/>
          <w:iCs/>
          <w:sz w:val="24"/>
          <w:szCs w:val="24"/>
          <w:lang w:val="nb-NO"/>
        </w:rPr>
      </w:pPr>
      <w:r w:rsidRPr="004D5AB1">
        <w:rPr>
          <w:i/>
          <w:iCs/>
          <w:sz w:val="24"/>
          <w:szCs w:val="24"/>
          <w:lang w:val="nb-NO"/>
        </w:rPr>
        <w:t xml:space="preserve">Nintedanib </w:t>
      </w:r>
      <w:r w:rsidR="004D5AB1">
        <w:rPr>
          <w:i/>
          <w:iCs/>
          <w:sz w:val="24"/>
          <w:szCs w:val="24"/>
          <w:lang w:val="nb-NO"/>
        </w:rPr>
        <w:t>"Sandoz"</w:t>
      </w:r>
      <w:r w:rsidRPr="004D5AB1">
        <w:rPr>
          <w:i/>
          <w:iCs/>
          <w:sz w:val="24"/>
          <w:szCs w:val="24"/>
          <w:lang w:val="nb-NO"/>
        </w:rPr>
        <w:t xml:space="preserve"> 100 mg bløde kapsler</w:t>
      </w:r>
    </w:p>
    <w:p w14:paraId="10825CA8" w14:textId="77777777" w:rsidR="00CA5F71" w:rsidRPr="004D5AB1" w:rsidRDefault="00CA5F71" w:rsidP="0015226E">
      <w:pPr>
        <w:suppressAutoHyphens/>
        <w:ind w:left="851"/>
        <w:rPr>
          <w:sz w:val="24"/>
          <w:szCs w:val="24"/>
          <w:lang w:val="nb-NO"/>
        </w:rPr>
      </w:pPr>
      <w:r w:rsidRPr="004D5AB1">
        <w:rPr>
          <w:sz w:val="24"/>
          <w:szCs w:val="24"/>
          <w:lang w:val="nb-NO"/>
        </w:rPr>
        <w:t>Hver blød kapsel indeholder nintedanibesilat svarende til 100 mg nintedanib.</w:t>
      </w:r>
    </w:p>
    <w:p w14:paraId="7429629C" w14:textId="77777777" w:rsidR="00CA5F71" w:rsidRPr="004D5AB1" w:rsidRDefault="00CA5F71" w:rsidP="0015226E">
      <w:pPr>
        <w:suppressAutoHyphens/>
        <w:ind w:left="851"/>
        <w:rPr>
          <w:sz w:val="24"/>
          <w:szCs w:val="24"/>
          <w:lang w:val="nb-NO"/>
        </w:rPr>
      </w:pPr>
    </w:p>
    <w:p w14:paraId="72B8E2BF" w14:textId="038FCA0A" w:rsidR="00CA5F71" w:rsidRPr="004D5AB1" w:rsidRDefault="00CA5F71" w:rsidP="0015226E">
      <w:pPr>
        <w:suppressAutoHyphens/>
        <w:ind w:left="851"/>
        <w:rPr>
          <w:i/>
          <w:iCs/>
          <w:sz w:val="24"/>
          <w:szCs w:val="24"/>
          <w:lang w:val="nb-NO"/>
        </w:rPr>
      </w:pPr>
      <w:r w:rsidRPr="004D5AB1">
        <w:rPr>
          <w:i/>
          <w:iCs/>
          <w:sz w:val="24"/>
          <w:szCs w:val="24"/>
          <w:lang w:val="nb-NO"/>
        </w:rPr>
        <w:t xml:space="preserve">Nintedanib </w:t>
      </w:r>
      <w:r w:rsidR="004D5AB1">
        <w:rPr>
          <w:i/>
          <w:iCs/>
          <w:sz w:val="24"/>
          <w:szCs w:val="24"/>
          <w:lang w:val="nb-NO"/>
        </w:rPr>
        <w:t>"Sandoz"</w:t>
      </w:r>
      <w:r w:rsidRPr="004D5AB1">
        <w:rPr>
          <w:i/>
          <w:iCs/>
          <w:sz w:val="24"/>
          <w:szCs w:val="24"/>
          <w:lang w:val="nb-NO"/>
        </w:rPr>
        <w:t xml:space="preserve"> 150 mg bløde kapsler</w:t>
      </w:r>
    </w:p>
    <w:p w14:paraId="39DF9EC4" w14:textId="77777777" w:rsidR="00CA5F71" w:rsidRPr="004D5AB1" w:rsidRDefault="00CA5F71" w:rsidP="0015226E">
      <w:pPr>
        <w:suppressAutoHyphens/>
        <w:ind w:left="851"/>
        <w:rPr>
          <w:sz w:val="24"/>
          <w:szCs w:val="24"/>
          <w:lang w:val="nb-NO"/>
        </w:rPr>
      </w:pPr>
      <w:r w:rsidRPr="004D5AB1">
        <w:rPr>
          <w:sz w:val="24"/>
          <w:szCs w:val="24"/>
          <w:lang w:val="nb-NO"/>
        </w:rPr>
        <w:t>Hver blød kapsel indeholder nintedanibesilat svarende til 150 mg nintedanib.</w:t>
      </w:r>
    </w:p>
    <w:p w14:paraId="52DA95E6" w14:textId="77777777" w:rsidR="00CA5F71" w:rsidRPr="004D5AB1" w:rsidRDefault="00CA5F71" w:rsidP="0015226E">
      <w:pPr>
        <w:tabs>
          <w:tab w:val="left" w:pos="567"/>
        </w:tabs>
        <w:spacing w:line="260" w:lineRule="exact"/>
        <w:ind w:left="851"/>
        <w:rPr>
          <w:sz w:val="24"/>
          <w:szCs w:val="24"/>
          <w:lang w:val="nb-NO"/>
        </w:rPr>
      </w:pPr>
    </w:p>
    <w:p w14:paraId="26B58A73" w14:textId="77777777" w:rsidR="00CA5F71" w:rsidRPr="004D5AB1" w:rsidRDefault="00CA5F71" w:rsidP="0015226E">
      <w:pPr>
        <w:tabs>
          <w:tab w:val="left" w:pos="567"/>
        </w:tabs>
        <w:spacing w:line="260" w:lineRule="exact"/>
        <w:ind w:left="851"/>
        <w:rPr>
          <w:sz w:val="24"/>
          <w:szCs w:val="24"/>
        </w:rPr>
      </w:pPr>
      <w:r w:rsidRPr="004D5AB1">
        <w:rPr>
          <w:sz w:val="24"/>
          <w:szCs w:val="24"/>
        </w:rPr>
        <w:t>Alle hjælpestoffer er anført under pkt. 6.1.</w:t>
      </w:r>
    </w:p>
    <w:p w14:paraId="30422B74" w14:textId="77777777" w:rsidR="009260DE" w:rsidRPr="004D5AB1" w:rsidRDefault="009260DE" w:rsidP="009260DE">
      <w:pPr>
        <w:tabs>
          <w:tab w:val="left" w:pos="851"/>
        </w:tabs>
        <w:ind w:left="851"/>
        <w:rPr>
          <w:sz w:val="24"/>
          <w:szCs w:val="24"/>
        </w:rPr>
      </w:pPr>
    </w:p>
    <w:p w14:paraId="7589D189" w14:textId="77777777" w:rsidR="009260DE" w:rsidRPr="004D5AB1" w:rsidRDefault="009260DE" w:rsidP="009260DE">
      <w:pPr>
        <w:tabs>
          <w:tab w:val="left" w:pos="851"/>
        </w:tabs>
        <w:ind w:left="851" w:hanging="851"/>
        <w:rPr>
          <w:b/>
          <w:sz w:val="24"/>
          <w:szCs w:val="24"/>
        </w:rPr>
      </w:pPr>
      <w:r w:rsidRPr="004D5AB1">
        <w:rPr>
          <w:b/>
          <w:sz w:val="24"/>
          <w:szCs w:val="24"/>
        </w:rPr>
        <w:t>3.</w:t>
      </w:r>
      <w:r w:rsidRPr="004D5AB1">
        <w:rPr>
          <w:b/>
          <w:sz w:val="24"/>
          <w:szCs w:val="24"/>
        </w:rPr>
        <w:tab/>
        <w:t>LÆGEMIDDELFORM</w:t>
      </w:r>
    </w:p>
    <w:p w14:paraId="7792ECD8" w14:textId="5C63574F" w:rsidR="00CA5F71" w:rsidRPr="004D5AB1" w:rsidRDefault="00CA5F71" w:rsidP="0015226E">
      <w:pPr>
        <w:spacing w:line="260" w:lineRule="exact"/>
        <w:ind w:left="851"/>
        <w:rPr>
          <w:sz w:val="24"/>
          <w:szCs w:val="24"/>
        </w:rPr>
      </w:pPr>
      <w:r w:rsidRPr="004D5AB1">
        <w:rPr>
          <w:sz w:val="24"/>
          <w:szCs w:val="24"/>
        </w:rPr>
        <w:t>Bløde kapsler (kapsler)</w:t>
      </w:r>
    </w:p>
    <w:p w14:paraId="5A950B16" w14:textId="77777777" w:rsidR="00CA5F71" w:rsidRPr="004D5AB1" w:rsidRDefault="00CA5F71" w:rsidP="0015226E">
      <w:pPr>
        <w:suppressAutoHyphens/>
        <w:ind w:left="851"/>
        <w:rPr>
          <w:spacing w:val="-3"/>
          <w:sz w:val="24"/>
          <w:szCs w:val="24"/>
        </w:rPr>
      </w:pPr>
    </w:p>
    <w:p w14:paraId="22D72522" w14:textId="369C3048" w:rsidR="00CA5F71" w:rsidRPr="004D5AB1" w:rsidRDefault="00CA5F71" w:rsidP="0015226E">
      <w:pPr>
        <w:spacing w:line="260" w:lineRule="exact"/>
        <w:ind w:left="851"/>
        <w:rPr>
          <w:i/>
          <w:iCs/>
          <w:sz w:val="24"/>
          <w:szCs w:val="24"/>
        </w:rPr>
      </w:pPr>
      <w:proofErr w:type="spellStart"/>
      <w:r w:rsidRPr="004D5AB1">
        <w:rPr>
          <w:i/>
          <w:iCs/>
          <w:sz w:val="24"/>
          <w:szCs w:val="24"/>
        </w:rPr>
        <w:t>Nintedanib</w:t>
      </w:r>
      <w:proofErr w:type="spellEnd"/>
      <w:r w:rsidRPr="004D5AB1">
        <w:rPr>
          <w:i/>
          <w:iCs/>
          <w:sz w:val="24"/>
          <w:szCs w:val="24"/>
        </w:rPr>
        <w:t xml:space="preserve"> </w:t>
      </w:r>
      <w:r w:rsidR="004D5AB1">
        <w:rPr>
          <w:i/>
          <w:iCs/>
          <w:sz w:val="24"/>
          <w:szCs w:val="24"/>
        </w:rPr>
        <w:t>"Sandoz"</w:t>
      </w:r>
      <w:r w:rsidRPr="004D5AB1">
        <w:rPr>
          <w:i/>
          <w:iCs/>
          <w:sz w:val="24"/>
          <w:szCs w:val="24"/>
        </w:rPr>
        <w:t xml:space="preserve"> 100 mg bløde kapsler</w:t>
      </w:r>
    </w:p>
    <w:p w14:paraId="32B85089" w14:textId="7485D562" w:rsidR="00CA5F71" w:rsidRPr="004D5AB1" w:rsidRDefault="00CA5F71" w:rsidP="0015226E">
      <w:pPr>
        <w:spacing w:line="260" w:lineRule="exact"/>
        <w:ind w:left="851"/>
        <w:rPr>
          <w:sz w:val="24"/>
          <w:szCs w:val="24"/>
        </w:rPr>
      </w:pPr>
      <w:proofErr w:type="spellStart"/>
      <w:r w:rsidRPr="004D5AB1">
        <w:rPr>
          <w:sz w:val="24"/>
          <w:szCs w:val="24"/>
        </w:rPr>
        <w:t>Nintedanib</w:t>
      </w:r>
      <w:proofErr w:type="spellEnd"/>
      <w:r w:rsidRPr="004D5AB1">
        <w:rPr>
          <w:sz w:val="24"/>
          <w:szCs w:val="24"/>
        </w:rPr>
        <w:t xml:space="preserve"> </w:t>
      </w:r>
      <w:r w:rsidR="004D5AB1">
        <w:rPr>
          <w:sz w:val="24"/>
          <w:szCs w:val="24"/>
        </w:rPr>
        <w:t>"Sandoz"</w:t>
      </w:r>
      <w:r w:rsidRPr="004D5AB1">
        <w:rPr>
          <w:sz w:val="24"/>
          <w:szCs w:val="24"/>
        </w:rPr>
        <w:t xml:space="preserve"> 100 mg bløde kapsler er ferskenfarvede, ugennemsigtige, aflange bløde gelatinekapsler, der måler 13,5 til 17,5 mm i længden, indeholdende gul viskøs suspension og er påtrykt “NT 100” med rødt blæk.</w:t>
      </w:r>
    </w:p>
    <w:p w14:paraId="63F660AC" w14:textId="77777777" w:rsidR="00CA5F71" w:rsidRPr="004D5AB1" w:rsidRDefault="00CA5F71" w:rsidP="0015226E">
      <w:pPr>
        <w:spacing w:line="260" w:lineRule="exact"/>
        <w:ind w:left="851"/>
        <w:rPr>
          <w:sz w:val="24"/>
          <w:szCs w:val="24"/>
        </w:rPr>
      </w:pPr>
    </w:p>
    <w:p w14:paraId="7DE79C91" w14:textId="46C01E33" w:rsidR="00CA5F71" w:rsidRPr="004D5AB1" w:rsidRDefault="00CA5F71" w:rsidP="0015226E">
      <w:pPr>
        <w:spacing w:line="260" w:lineRule="exact"/>
        <w:ind w:left="851"/>
        <w:rPr>
          <w:i/>
          <w:iCs/>
          <w:sz w:val="24"/>
          <w:szCs w:val="24"/>
        </w:rPr>
      </w:pPr>
      <w:proofErr w:type="spellStart"/>
      <w:r w:rsidRPr="004D5AB1">
        <w:rPr>
          <w:i/>
          <w:iCs/>
          <w:sz w:val="24"/>
          <w:szCs w:val="24"/>
        </w:rPr>
        <w:t>Nintedanib</w:t>
      </w:r>
      <w:proofErr w:type="spellEnd"/>
      <w:r w:rsidRPr="004D5AB1">
        <w:rPr>
          <w:i/>
          <w:iCs/>
          <w:sz w:val="24"/>
          <w:szCs w:val="24"/>
        </w:rPr>
        <w:t xml:space="preserve"> </w:t>
      </w:r>
      <w:r w:rsidR="004D5AB1">
        <w:rPr>
          <w:i/>
          <w:iCs/>
          <w:sz w:val="24"/>
          <w:szCs w:val="24"/>
        </w:rPr>
        <w:t>"Sandoz"</w:t>
      </w:r>
      <w:r w:rsidRPr="004D5AB1">
        <w:rPr>
          <w:i/>
          <w:iCs/>
          <w:sz w:val="24"/>
          <w:szCs w:val="24"/>
        </w:rPr>
        <w:t xml:space="preserve"> 150 mg bløde kapsler</w:t>
      </w:r>
    </w:p>
    <w:p w14:paraId="396E7112" w14:textId="43074742" w:rsidR="00CA5F71" w:rsidRPr="004D5AB1" w:rsidRDefault="00CA5F71" w:rsidP="0015226E">
      <w:pPr>
        <w:spacing w:line="260" w:lineRule="exact"/>
        <w:ind w:left="851"/>
        <w:rPr>
          <w:sz w:val="24"/>
          <w:szCs w:val="24"/>
        </w:rPr>
      </w:pPr>
      <w:proofErr w:type="spellStart"/>
      <w:r w:rsidRPr="004D5AB1">
        <w:rPr>
          <w:sz w:val="24"/>
          <w:szCs w:val="24"/>
        </w:rPr>
        <w:t>Nintedanib</w:t>
      </w:r>
      <w:proofErr w:type="spellEnd"/>
      <w:r w:rsidRPr="004D5AB1">
        <w:rPr>
          <w:sz w:val="24"/>
          <w:szCs w:val="24"/>
        </w:rPr>
        <w:t xml:space="preserve"> </w:t>
      </w:r>
      <w:r w:rsidR="004D5AB1">
        <w:rPr>
          <w:sz w:val="24"/>
          <w:szCs w:val="24"/>
        </w:rPr>
        <w:t>"Sandoz"</w:t>
      </w:r>
      <w:r w:rsidRPr="004D5AB1">
        <w:rPr>
          <w:sz w:val="24"/>
          <w:szCs w:val="24"/>
        </w:rPr>
        <w:t xml:space="preserve"> 150 mg bløde kapsler er brune, ugennemsigtige, aflange bløde gelatinekapsler, der måler 15 til 19 mm i længden, indeholdende gul viskøs suspension og er påtrykt “NT 150” med rødt blæk.</w:t>
      </w:r>
    </w:p>
    <w:p w14:paraId="6759ACB9" w14:textId="77777777" w:rsidR="009260DE" w:rsidRPr="004D5AB1" w:rsidRDefault="009260DE" w:rsidP="009260DE">
      <w:pPr>
        <w:tabs>
          <w:tab w:val="left" w:pos="851"/>
        </w:tabs>
        <w:ind w:left="851"/>
        <w:rPr>
          <w:sz w:val="24"/>
          <w:szCs w:val="24"/>
        </w:rPr>
      </w:pPr>
    </w:p>
    <w:p w14:paraId="764420F3" w14:textId="77777777" w:rsidR="009260DE" w:rsidRPr="004D5AB1" w:rsidRDefault="009260DE" w:rsidP="009260DE">
      <w:pPr>
        <w:tabs>
          <w:tab w:val="left" w:pos="851"/>
        </w:tabs>
        <w:ind w:left="851"/>
        <w:rPr>
          <w:sz w:val="24"/>
          <w:szCs w:val="24"/>
        </w:rPr>
      </w:pPr>
    </w:p>
    <w:p w14:paraId="2EB11220" w14:textId="77777777" w:rsidR="009260DE" w:rsidRPr="004D5AB1" w:rsidRDefault="009260DE" w:rsidP="009260DE">
      <w:pPr>
        <w:tabs>
          <w:tab w:val="left" w:pos="851"/>
        </w:tabs>
        <w:ind w:left="851" w:hanging="851"/>
        <w:rPr>
          <w:b/>
          <w:sz w:val="24"/>
          <w:szCs w:val="24"/>
        </w:rPr>
      </w:pPr>
      <w:r w:rsidRPr="004D5AB1">
        <w:rPr>
          <w:b/>
          <w:sz w:val="24"/>
          <w:szCs w:val="24"/>
        </w:rPr>
        <w:t>4.</w:t>
      </w:r>
      <w:r w:rsidRPr="004D5AB1">
        <w:rPr>
          <w:b/>
          <w:sz w:val="24"/>
          <w:szCs w:val="24"/>
        </w:rPr>
        <w:tab/>
        <w:t>KLINISKE OPLYSNINGER</w:t>
      </w:r>
    </w:p>
    <w:p w14:paraId="5A11153D" w14:textId="77777777" w:rsidR="009260DE" w:rsidRPr="004D5AB1" w:rsidRDefault="009260DE" w:rsidP="009260DE">
      <w:pPr>
        <w:tabs>
          <w:tab w:val="left" w:pos="851"/>
        </w:tabs>
        <w:ind w:left="851"/>
        <w:rPr>
          <w:b/>
          <w:sz w:val="24"/>
          <w:szCs w:val="24"/>
        </w:rPr>
      </w:pPr>
    </w:p>
    <w:p w14:paraId="5C68A72A" w14:textId="77777777" w:rsidR="009260DE" w:rsidRPr="004D5AB1" w:rsidRDefault="009260DE" w:rsidP="009260DE">
      <w:pPr>
        <w:tabs>
          <w:tab w:val="left" w:pos="851"/>
        </w:tabs>
        <w:ind w:left="851" w:hanging="851"/>
        <w:rPr>
          <w:b/>
          <w:sz w:val="24"/>
          <w:szCs w:val="24"/>
          <w:u w:val="single"/>
        </w:rPr>
      </w:pPr>
      <w:r w:rsidRPr="004D5AB1">
        <w:rPr>
          <w:b/>
          <w:sz w:val="24"/>
          <w:szCs w:val="24"/>
        </w:rPr>
        <w:t>4.1</w:t>
      </w:r>
      <w:r w:rsidRPr="004D5AB1">
        <w:rPr>
          <w:b/>
          <w:sz w:val="24"/>
          <w:szCs w:val="24"/>
        </w:rPr>
        <w:tab/>
        <w:t>Terapeutiske indikationer</w:t>
      </w:r>
    </w:p>
    <w:p w14:paraId="4301C0E5" w14:textId="4B1771AD" w:rsidR="00CA5F71" w:rsidRPr="004D5AB1" w:rsidRDefault="00CA5F71" w:rsidP="0015226E">
      <w:pPr>
        <w:ind w:left="851"/>
        <w:rPr>
          <w:sz w:val="24"/>
          <w:szCs w:val="24"/>
        </w:rPr>
      </w:pPr>
      <w:proofErr w:type="spellStart"/>
      <w:r w:rsidRPr="004D5AB1">
        <w:rPr>
          <w:sz w:val="24"/>
          <w:szCs w:val="24"/>
        </w:rPr>
        <w:t>Nintedanib</w:t>
      </w:r>
      <w:proofErr w:type="spellEnd"/>
      <w:r w:rsidRPr="004D5AB1">
        <w:rPr>
          <w:sz w:val="24"/>
          <w:szCs w:val="24"/>
        </w:rPr>
        <w:t xml:space="preserve"> </w:t>
      </w:r>
      <w:r w:rsidR="004D5AB1">
        <w:rPr>
          <w:sz w:val="24"/>
          <w:szCs w:val="24"/>
        </w:rPr>
        <w:t>"Sandoz"</w:t>
      </w:r>
      <w:r w:rsidRPr="004D5AB1">
        <w:rPr>
          <w:sz w:val="24"/>
          <w:szCs w:val="24"/>
        </w:rPr>
        <w:t xml:space="preserve"> er indiceret til behandling af idiopatisk lungefibrose (IPF) hos voksne.</w:t>
      </w:r>
    </w:p>
    <w:p w14:paraId="3551F4C6" w14:textId="77777777" w:rsidR="00CA5F71" w:rsidRPr="004D5AB1" w:rsidRDefault="00CA5F71" w:rsidP="0015226E">
      <w:pPr>
        <w:ind w:left="851"/>
        <w:rPr>
          <w:sz w:val="24"/>
          <w:szCs w:val="24"/>
        </w:rPr>
      </w:pPr>
    </w:p>
    <w:p w14:paraId="242812C5" w14:textId="4CAC7627" w:rsidR="00CA5F71" w:rsidRPr="004D5AB1" w:rsidRDefault="00CA5F71" w:rsidP="0015226E">
      <w:pPr>
        <w:ind w:left="851"/>
        <w:rPr>
          <w:sz w:val="24"/>
          <w:szCs w:val="24"/>
        </w:rPr>
      </w:pPr>
      <w:proofErr w:type="spellStart"/>
      <w:r w:rsidRPr="004D5AB1">
        <w:rPr>
          <w:sz w:val="24"/>
          <w:szCs w:val="24"/>
        </w:rPr>
        <w:lastRenderedPageBreak/>
        <w:t>Nintedanib</w:t>
      </w:r>
      <w:proofErr w:type="spellEnd"/>
      <w:r w:rsidRPr="004D5AB1">
        <w:rPr>
          <w:sz w:val="24"/>
          <w:szCs w:val="24"/>
        </w:rPr>
        <w:t xml:space="preserve"> </w:t>
      </w:r>
      <w:r w:rsidR="004D5AB1">
        <w:rPr>
          <w:sz w:val="24"/>
          <w:szCs w:val="24"/>
        </w:rPr>
        <w:t>"Sandoz"</w:t>
      </w:r>
      <w:r w:rsidRPr="004D5AB1">
        <w:rPr>
          <w:sz w:val="24"/>
          <w:szCs w:val="24"/>
        </w:rPr>
        <w:t xml:space="preserve"> er også indiceret til behandling af andre kroniske </w:t>
      </w:r>
      <w:proofErr w:type="spellStart"/>
      <w:r w:rsidRPr="004D5AB1">
        <w:rPr>
          <w:sz w:val="24"/>
          <w:szCs w:val="24"/>
        </w:rPr>
        <w:t>fibroserende</w:t>
      </w:r>
      <w:proofErr w:type="spellEnd"/>
      <w:r w:rsidRPr="004D5AB1">
        <w:rPr>
          <w:sz w:val="24"/>
          <w:szCs w:val="24"/>
        </w:rPr>
        <w:t xml:space="preserve"> </w:t>
      </w:r>
      <w:proofErr w:type="spellStart"/>
      <w:r w:rsidRPr="004D5AB1">
        <w:rPr>
          <w:sz w:val="24"/>
          <w:szCs w:val="24"/>
        </w:rPr>
        <w:t>interstitielle</w:t>
      </w:r>
      <w:proofErr w:type="spellEnd"/>
      <w:r w:rsidRPr="004D5AB1">
        <w:rPr>
          <w:sz w:val="24"/>
          <w:szCs w:val="24"/>
        </w:rPr>
        <w:t xml:space="preserve"> lungesygdomme (ILS) med en progressiv fænotype hos voksne (se pkt. 5.1).</w:t>
      </w:r>
    </w:p>
    <w:p w14:paraId="3064C3F1" w14:textId="77777777" w:rsidR="00CA5F71" w:rsidRPr="004D5AB1" w:rsidRDefault="00CA5F71" w:rsidP="0015226E">
      <w:pPr>
        <w:ind w:left="851"/>
        <w:rPr>
          <w:sz w:val="24"/>
          <w:szCs w:val="24"/>
        </w:rPr>
      </w:pPr>
    </w:p>
    <w:p w14:paraId="24BDCD1E" w14:textId="477CD1E4" w:rsidR="00CA5F71" w:rsidRPr="004D5AB1" w:rsidRDefault="00CA5F71" w:rsidP="0015226E">
      <w:pPr>
        <w:ind w:left="851"/>
        <w:rPr>
          <w:sz w:val="24"/>
          <w:szCs w:val="24"/>
        </w:rPr>
      </w:pPr>
      <w:proofErr w:type="spellStart"/>
      <w:r w:rsidRPr="004D5AB1">
        <w:rPr>
          <w:sz w:val="24"/>
          <w:szCs w:val="24"/>
        </w:rPr>
        <w:t>Nintedanib</w:t>
      </w:r>
      <w:proofErr w:type="spellEnd"/>
      <w:r w:rsidRPr="004D5AB1">
        <w:rPr>
          <w:sz w:val="24"/>
          <w:szCs w:val="24"/>
        </w:rPr>
        <w:t xml:space="preserve"> </w:t>
      </w:r>
      <w:r w:rsidR="004D5AB1">
        <w:rPr>
          <w:sz w:val="24"/>
          <w:szCs w:val="24"/>
        </w:rPr>
        <w:t>"Sandoz"</w:t>
      </w:r>
      <w:r w:rsidRPr="004D5AB1">
        <w:rPr>
          <w:sz w:val="24"/>
          <w:szCs w:val="24"/>
        </w:rPr>
        <w:t xml:space="preserve"> er indiceret til behandling af systemisk </w:t>
      </w:r>
      <w:proofErr w:type="spellStart"/>
      <w:r w:rsidRPr="004D5AB1">
        <w:rPr>
          <w:sz w:val="24"/>
          <w:szCs w:val="24"/>
        </w:rPr>
        <w:t>sklerodermi</w:t>
      </w:r>
      <w:proofErr w:type="spellEnd"/>
      <w:r w:rsidRPr="004D5AB1">
        <w:rPr>
          <w:sz w:val="24"/>
          <w:szCs w:val="24"/>
        </w:rPr>
        <w:t xml:space="preserve">-associeret </w:t>
      </w:r>
      <w:proofErr w:type="spellStart"/>
      <w:r w:rsidRPr="004D5AB1">
        <w:rPr>
          <w:sz w:val="24"/>
          <w:szCs w:val="24"/>
        </w:rPr>
        <w:t>interstitiel</w:t>
      </w:r>
      <w:proofErr w:type="spellEnd"/>
      <w:r w:rsidRPr="004D5AB1">
        <w:rPr>
          <w:sz w:val="24"/>
          <w:szCs w:val="24"/>
        </w:rPr>
        <w:t xml:space="preserve"> lungesygdom (</w:t>
      </w:r>
      <w:proofErr w:type="spellStart"/>
      <w:r w:rsidRPr="004D5AB1">
        <w:rPr>
          <w:sz w:val="24"/>
          <w:szCs w:val="24"/>
        </w:rPr>
        <w:t>SSc</w:t>
      </w:r>
      <w:proofErr w:type="spellEnd"/>
      <w:r w:rsidRPr="004D5AB1">
        <w:rPr>
          <w:sz w:val="24"/>
          <w:szCs w:val="24"/>
        </w:rPr>
        <w:t>-ILS) hos voksne.</w:t>
      </w:r>
    </w:p>
    <w:p w14:paraId="365779F5" w14:textId="77777777" w:rsidR="009260DE" w:rsidRPr="004D5AB1" w:rsidRDefault="009260DE" w:rsidP="009260DE">
      <w:pPr>
        <w:tabs>
          <w:tab w:val="left" w:pos="851"/>
        </w:tabs>
        <w:ind w:left="851"/>
        <w:rPr>
          <w:sz w:val="24"/>
          <w:szCs w:val="24"/>
        </w:rPr>
      </w:pPr>
    </w:p>
    <w:p w14:paraId="54EE7CB3" w14:textId="77777777" w:rsidR="009260DE" w:rsidRPr="004D5AB1" w:rsidRDefault="009260DE" w:rsidP="009260DE">
      <w:pPr>
        <w:tabs>
          <w:tab w:val="left" w:pos="851"/>
        </w:tabs>
        <w:ind w:left="851" w:hanging="851"/>
        <w:rPr>
          <w:b/>
          <w:sz w:val="24"/>
          <w:szCs w:val="24"/>
        </w:rPr>
      </w:pPr>
      <w:r w:rsidRPr="004D5AB1">
        <w:rPr>
          <w:b/>
          <w:sz w:val="24"/>
          <w:szCs w:val="24"/>
        </w:rPr>
        <w:t>4.2</w:t>
      </w:r>
      <w:r w:rsidRPr="004D5AB1">
        <w:rPr>
          <w:b/>
          <w:sz w:val="24"/>
          <w:szCs w:val="24"/>
        </w:rPr>
        <w:tab/>
        <w:t xml:space="preserve">Dosering og </w:t>
      </w:r>
      <w:r w:rsidR="002C1EC0" w:rsidRPr="004D5AB1">
        <w:rPr>
          <w:b/>
          <w:sz w:val="24"/>
          <w:szCs w:val="24"/>
        </w:rPr>
        <w:t>administration</w:t>
      </w:r>
    </w:p>
    <w:p w14:paraId="0CA9332A" w14:textId="693CCA3D" w:rsidR="00CA5F71" w:rsidRPr="004D5AB1" w:rsidRDefault="00CA5F71" w:rsidP="0015226E">
      <w:pPr>
        <w:ind w:left="851"/>
        <w:rPr>
          <w:noProof/>
          <w:sz w:val="24"/>
          <w:szCs w:val="24"/>
        </w:rPr>
      </w:pPr>
      <w:r w:rsidRPr="004D5AB1">
        <w:rPr>
          <w:noProof/>
          <w:sz w:val="24"/>
          <w:szCs w:val="24"/>
        </w:rPr>
        <w:t xml:space="preserve">Behandling bør initieres af læger, der har erfaring med behandling af sygdomme, som </w:t>
      </w:r>
      <w:proofErr w:type="spellStart"/>
      <w:r w:rsidRPr="004D5AB1">
        <w:rPr>
          <w:sz w:val="24"/>
          <w:szCs w:val="24"/>
        </w:rPr>
        <w:t>Nintedanib</w:t>
      </w:r>
      <w:proofErr w:type="spellEnd"/>
      <w:r w:rsidRPr="004D5AB1">
        <w:rPr>
          <w:sz w:val="24"/>
          <w:szCs w:val="24"/>
        </w:rPr>
        <w:t xml:space="preserve"> </w:t>
      </w:r>
      <w:r w:rsidR="004D5AB1">
        <w:rPr>
          <w:sz w:val="24"/>
          <w:szCs w:val="24"/>
        </w:rPr>
        <w:t>"Sandoz"</w:t>
      </w:r>
      <w:r w:rsidRPr="004D5AB1">
        <w:rPr>
          <w:sz w:val="24"/>
          <w:szCs w:val="24"/>
        </w:rPr>
        <w:t xml:space="preserve"> </w:t>
      </w:r>
      <w:r w:rsidRPr="004D5AB1">
        <w:rPr>
          <w:noProof/>
          <w:sz w:val="24"/>
          <w:szCs w:val="24"/>
        </w:rPr>
        <w:t>er godkendt til.</w:t>
      </w:r>
    </w:p>
    <w:p w14:paraId="521C91DF" w14:textId="77777777" w:rsidR="00CA5F71" w:rsidRPr="004D5AB1" w:rsidRDefault="00CA5F71" w:rsidP="0015226E">
      <w:pPr>
        <w:ind w:left="851"/>
        <w:rPr>
          <w:noProof/>
          <w:sz w:val="24"/>
          <w:szCs w:val="24"/>
        </w:rPr>
      </w:pPr>
    </w:p>
    <w:p w14:paraId="2D14FA05" w14:textId="77777777" w:rsidR="00CA5F71" w:rsidRPr="004D5AB1" w:rsidRDefault="00CA5F71" w:rsidP="0015226E">
      <w:pPr>
        <w:ind w:left="851"/>
        <w:rPr>
          <w:noProof/>
          <w:sz w:val="24"/>
          <w:szCs w:val="24"/>
          <w:u w:val="single"/>
        </w:rPr>
      </w:pPr>
      <w:r w:rsidRPr="004D5AB1">
        <w:rPr>
          <w:noProof/>
          <w:sz w:val="24"/>
          <w:szCs w:val="24"/>
          <w:u w:val="single"/>
        </w:rPr>
        <w:t>Dosering</w:t>
      </w:r>
    </w:p>
    <w:p w14:paraId="18C85BC6" w14:textId="77777777" w:rsidR="00CA5F71" w:rsidRPr="004D5AB1" w:rsidRDefault="00CA5F71" w:rsidP="0015226E">
      <w:pPr>
        <w:ind w:left="851"/>
        <w:rPr>
          <w:i/>
          <w:iCs/>
          <w:noProof/>
          <w:sz w:val="24"/>
          <w:szCs w:val="24"/>
        </w:rPr>
      </w:pPr>
      <w:r w:rsidRPr="004D5AB1">
        <w:rPr>
          <w:i/>
          <w:iCs/>
          <w:noProof/>
          <w:sz w:val="24"/>
          <w:szCs w:val="24"/>
        </w:rPr>
        <w:t>Voksne</w:t>
      </w:r>
    </w:p>
    <w:p w14:paraId="5975791E" w14:textId="77777777" w:rsidR="00CA5F71" w:rsidRPr="004D5AB1" w:rsidRDefault="00CA5F71" w:rsidP="0015226E">
      <w:pPr>
        <w:ind w:left="851"/>
        <w:rPr>
          <w:iCs/>
          <w:noProof/>
          <w:sz w:val="24"/>
          <w:szCs w:val="24"/>
        </w:rPr>
      </w:pPr>
      <w:r w:rsidRPr="004D5AB1">
        <w:rPr>
          <w:iCs/>
          <w:noProof/>
          <w:sz w:val="24"/>
          <w:szCs w:val="24"/>
        </w:rPr>
        <w:t>Den anbefalede dosis er 150 mg nintedanib to gange dagligt med ca. 12 timers mellemrum.</w:t>
      </w:r>
    </w:p>
    <w:p w14:paraId="0AB46AF7" w14:textId="77777777" w:rsidR="00CA5F71" w:rsidRPr="004D5AB1" w:rsidRDefault="00CA5F71" w:rsidP="0015226E">
      <w:pPr>
        <w:ind w:left="851"/>
        <w:rPr>
          <w:iCs/>
          <w:noProof/>
          <w:sz w:val="24"/>
          <w:szCs w:val="24"/>
        </w:rPr>
      </w:pPr>
      <w:r w:rsidRPr="004D5AB1">
        <w:rPr>
          <w:iCs/>
          <w:noProof/>
          <w:sz w:val="24"/>
          <w:szCs w:val="24"/>
        </w:rPr>
        <w:t>En dosis på 100 mg to gange dagligt anbefales udelukkende til patienter, der ikke tolererer en dosis på 150 mg to gange dagligt.</w:t>
      </w:r>
    </w:p>
    <w:p w14:paraId="46782AE5" w14:textId="77777777" w:rsidR="00CA5F71" w:rsidRPr="004D5AB1" w:rsidRDefault="00CA5F71" w:rsidP="0015226E">
      <w:pPr>
        <w:ind w:left="851"/>
        <w:rPr>
          <w:iCs/>
          <w:noProof/>
          <w:sz w:val="24"/>
          <w:szCs w:val="24"/>
        </w:rPr>
      </w:pPr>
    </w:p>
    <w:p w14:paraId="0B1270A1" w14:textId="77777777" w:rsidR="00CA5F71" w:rsidRPr="004D5AB1" w:rsidRDefault="00CA5F71" w:rsidP="0015226E">
      <w:pPr>
        <w:ind w:left="851"/>
        <w:rPr>
          <w:iCs/>
          <w:noProof/>
          <w:sz w:val="24"/>
          <w:szCs w:val="24"/>
        </w:rPr>
      </w:pPr>
      <w:r w:rsidRPr="004D5AB1">
        <w:rPr>
          <w:iCs/>
          <w:noProof/>
          <w:sz w:val="24"/>
          <w:szCs w:val="24"/>
        </w:rPr>
        <w:t>Hvis man kommer til at springe en dosis over, bør administrationen genoptages på det næste planlagte tidspunkt og i den anbefalede dosis. Hvis man kommer til at springe en dosis over, bør patienten ikke tage en ekstra dosis. Den anbefalede højeste daglige dosis på 300 mg må ikke overskrides.</w:t>
      </w:r>
    </w:p>
    <w:p w14:paraId="5D77975E" w14:textId="77777777" w:rsidR="00CA5F71" w:rsidRPr="004D5AB1" w:rsidRDefault="00CA5F71" w:rsidP="0015226E">
      <w:pPr>
        <w:ind w:left="851"/>
        <w:rPr>
          <w:i/>
          <w:iCs/>
          <w:noProof/>
          <w:sz w:val="24"/>
          <w:szCs w:val="24"/>
        </w:rPr>
      </w:pPr>
    </w:p>
    <w:p w14:paraId="4FF6EAE8" w14:textId="77777777" w:rsidR="00CA5F71" w:rsidRPr="004D5AB1" w:rsidRDefault="00CA5F71" w:rsidP="0015226E">
      <w:pPr>
        <w:ind w:left="851"/>
        <w:rPr>
          <w:i/>
          <w:iCs/>
          <w:noProof/>
          <w:sz w:val="24"/>
          <w:szCs w:val="24"/>
        </w:rPr>
      </w:pPr>
      <w:r w:rsidRPr="004D5AB1">
        <w:rPr>
          <w:i/>
          <w:iCs/>
          <w:noProof/>
          <w:sz w:val="24"/>
          <w:szCs w:val="24"/>
        </w:rPr>
        <w:t>Dosisjusteringer</w:t>
      </w:r>
    </w:p>
    <w:p w14:paraId="4E9EA67D" w14:textId="77777777" w:rsidR="00CA5F71" w:rsidRPr="004D5AB1" w:rsidRDefault="00CA5F71" w:rsidP="0015226E">
      <w:pPr>
        <w:ind w:left="851"/>
        <w:rPr>
          <w:iCs/>
          <w:noProof/>
          <w:sz w:val="24"/>
          <w:szCs w:val="24"/>
        </w:rPr>
      </w:pPr>
      <w:r w:rsidRPr="004D5AB1">
        <w:rPr>
          <w:iCs/>
          <w:noProof/>
          <w:sz w:val="24"/>
          <w:szCs w:val="24"/>
        </w:rPr>
        <w:t>Ud over ved symptomatisk behandling kan håndteringen af bivirkninger ved nintedanib (se pkt. 4.4 og 4.8), hvis det er relevant, omfatte dosisreduktion og midlertidig seponering, indtil den specifikke bivirkning er bedret til et niveau, der tillader fortsættelse af behandlingen. Behandlingen med nintedanib kan genoptages med den fulde dosis (150 mg to gange dagligt hos voksne patienter) eller med en reduceret dosis (100 mg to gange dagligt hos voksne patienter). Hvis en patient ikke tåler 100 mg to gange dagligt, bør nintedanib seponeres.</w:t>
      </w:r>
    </w:p>
    <w:p w14:paraId="3765EBF1" w14:textId="77777777" w:rsidR="00CA5F71" w:rsidRPr="004D5AB1" w:rsidRDefault="00CA5F71" w:rsidP="0015226E">
      <w:pPr>
        <w:ind w:left="851"/>
        <w:rPr>
          <w:iCs/>
          <w:noProof/>
          <w:sz w:val="24"/>
          <w:szCs w:val="24"/>
        </w:rPr>
      </w:pPr>
    </w:p>
    <w:p w14:paraId="52423571" w14:textId="03A7267B" w:rsidR="00CA5F71" w:rsidRPr="004D5AB1" w:rsidRDefault="00CA5F71" w:rsidP="0015226E">
      <w:pPr>
        <w:ind w:left="851"/>
        <w:rPr>
          <w:iCs/>
          <w:noProof/>
          <w:sz w:val="24"/>
          <w:szCs w:val="24"/>
        </w:rPr>
      </w:pPr>
      <w:r w:rsidRPr="004D5AB1">
        <w:rPr>
          <w:iCs/>
          <w:noProof/>
          <w:sz w:val="24"/>
          <w:szCs w:val="24"/>
        </w:rPr>
        <w:t>Hvis diarré, kvalme og/eller opkastning varer ved trods behørig støttende behandling (herunder</w:t>
      </w:r>
      <w:r w:rsidR="0099618E">
        <w:rPr>
          <w:iCs/>
          <w:noProof/>
          <w:sz w:val="24"/>
          <w:szCs w:val="24"/>
        </w:rPr>
        <w:t xml:space="preserve"> </w:t>
      </w:r>
      <w:r w:rsidRPr="004D5AB1">
        <w:rPr>
          <w:iCs/>
          <w:noProof/>
          <w:sz w:val="24"/>
          <w:szCs w:val="24"/>
        </w:rPr>
        <w:t>antiemetisk behandling), kan en dosisreduktion eller behandlingsafbrydelse blive nødvendig. Behandlingen kan genoptages med en nedsat dosis (100 mg to gange dagligt hos voksne patienter) eller ved den fulde dosis (150 mg to gange dagligt hos voksne patienter). I tilfælde af vedvarende svær diarré, kvalme og/eller opkastning, trods symptomatisk behandling, bør behandlingen med nintedanib seponeres (se pkt. 4.4).</w:t>
      </w:r>
    </w:p>
    <w:p w14:paraId="5109035F" w14:textId="77777777" w:rsidR="00CA5F71" w:rsidRPr="004D5AB1" w:rsidRDefault="00CA5F71" w:rsidP="0015226E">
      <w:pPr>
        <w:ind w:left="851"/>
        <w:rPr>
          <w:iCs/>
          <w:noProof/>
          <w:sz w:val="24"/>
          <w:szCs w:val="24"/>
        </w:rPr>
      </w:pPr>
    </w:p>
    <w:p w14:paraId="61D32CC0" w14:textId="77777777" w:rsidR="00CA5F71" w:rsidRPr="004D5AB1" w:rsidRDefault="00CA5F71" w:rsidP="0015226E">
      <w:pPr>
        <w:ind w:left="851"/>
        <w:rPr>
          <w:iCs/>
          <w:noProof/>
          <w:sz w:val="24"/>
          <w:szCs w:val="24"/>
        </w:rPr>
      </w:pPr>
      <w:r w:rsidRPr="004D5AB1">
        <w:rPr>
          <w:iCs/>
          <w:noProof/>
          <w:sz w:val="24"/>
          <w:szCs w:val="24"/>
        </w:rPr>
        <w:t xml:space="preserve">Hvis behandlingen afbrydes på grund af forhøjet aspartataminotransferase (ASAT) eller alaninaminotransferase (ALAT) til &gt; 3 x øvre grænse for normalværdien (ULN), kan behandlingen med nintedanib påbegyndes igen ved en reduceret dosis (100 mg to gange dagligt hos voksne patienter), når aminotransferase-værdierne er vendt tilbage til </w:t>
      </w:r>
      <w:r w:rsidRPr="004D5AB1">
        <w:rPr>
          <w:i/>
          <w:iCs/>
          <w:noProof/>
          <w:sz w:val="24"/>
          <w:szCs w:val="24"/>
        </w:rPr>
        <w:t>baseline</w:t>
      </w:r>
      <w:r w:rsidRPr="004D5AB1">
        <w:rPr>
          <w:iCs/>
          <w:noProof/>
          <w:sz w:val="24"/>
          <w:szCs w:val="24"/>
        </w:rPr>
        <w:t>. Dosis kan efterfølgende øges til den fulde dosis (150 mg to gange dagligt hos voksne patienter) (se pkt. 4.4 og 4.8).</w:t>
      </w:r>
    </w:p>
    <w:p w14:paraId="7D68A866" w14:textId="77777777" w:rsidR="00CA5F71" w:rsidRPr="004D5AB1" w:rsidRDefault="00CA5F71" w:rsidP="0015226E">
      <w:pPr>
        <w:ind w:left="851"/>
        <w:rPr>
          <w:iCs/>
          <w:noProof/>
          <w:sz w:val="24"/>
          <w:szCs w:val="24"/>
        </w:rPr>
      </w:pPr>
    </w:p>
    <w:p w14:paraId="33114B6A" w14:textId="77777777" w:rsidR="00CA5F71" w:rsidRPr="004D5AB1" w:rsidRDefault="00CA5F71" w:rsidP="0015226E">
      <w:pPr>
        <w:ind w:left="851"/>
        <w:rPr>
          <w:iCs/>
          <w:noProof/>
          <w:sz w:val="24"/>
          <w:szCs w:val="24"/>
          <w:u w:val="single"/>
        </w:rPr>
      </w:pPr>
      <w:r w:rsidRPr="004D5AB1">
        <w:rPr>
          <w:iCs/>
          <w:noProof/>
          <w:sz w:val="24"/>
          <w:szCs w:val="24"/>
          <w:u w:val="single"/>
        </w:rPr>
        <w:t>Særlige populationer</w:t>
      </w:r>
    </w:p>
    <w:p w14:paraId="3986ECD0" w14:textId="77777777" w:rsidR="00CA5F71" w:rsidRPr="004D5AB1" w:rsidRDefault="00CA5F71" w:rsidP="0015226E">
      <w:pPr>
        <w:ind w:left="851"/>
        <w:rPr>
          <w:i/>
          <w:iCs/>
          <w:noProof/>
          <w:sz w:val="24"/>
          <w:szCs w:val="24"/>
        </w:rPr>
      </w:pPr>
      <w:r w:rsidRPr="004D5AB1">
        <w:rPr>
          <w:i/>
          <w:iCs/>
          <w:noProof/>
          <w:sz w:val="24"/>
          <w:szCs w:val="24"/>
        </w:rPr>
        <w:t>Ældre (≥ 65 år)</w:t>
      </w:r>
    </w:p>
    <w:p w14:paraId="0837B019" w14:textId="77777777" w:rsidR="00CA5F71" w:rsidRPr="004D5AB1" w:rsidRDefault="00CA5F71" w:rsidP="0015226E">
      <w:pPr>
        <w:ind w:left="851"/>
        <w:rPr>
          <w:iCs/>
          <w:noProof/>
          <w:sz w:val="24"/>
          <w:szCs w:val="24"/>
        </w:rPr>
      </w:pPr>
      <w:r w:rsidRPr="004D5AB1">
        <w:rPr>
          <w:iCs/>
          <w:noProof/>
          <w:sz w:val="24"/>
          <w:szCs w:val="24"/>
        </w:rPr>
        <w:t xml:space="preserve">Der sås ingen overordnede forskelle i sikkerhed og virkning hos ældre patienter. Det er ikke nødvendigt at justere dosis hos ældre patienter. Dosisreduktion med henblik på håndtering af bivirkninger kan hyppigere være nødvendig hos patienter </w:t>
      </w:r>
      <w:r w:rsidRPr="004D5AB1">
        <w:rPr>
          <w:i/>
          <w:iCs/>
          <w:noProof/>
          <w:sz w:val="24"/>
          <w:szCs w:val="24"/>
        </w:rPr>
        <w:t xml:space="preserve">≥ </w:t>
      </w:r>
      <w:r w:rsidRPr="004D5AB1">
        <w:rPr>
          <w:iCs/>
          <w:noProof/>
          <w:sz w:val="24"/>
          <w:szCs w:val="24"/>
        </w:rPr>
        <w:t>75 år (se pkt. 5.2).</w:t>
      </w:r>
    </w:p>
    <w:p w14:paraId="5B6B5BF6" w14:textId="77777777" w:rsidR="00CA5F71" w:rsidRPr="004D5AB1" w:rsidRDefault="00CA5F71" w:rsidP="0015226E">
      <w:pPr>
        <w:ind w:left="851"/>
        <w:rPr>
          <w:i/>
          <w:iCs/>
          <w:noProof/>
          <w:sz w:val="24"/>
          <w:szCs w:val="24"/>
        </w:rPr>
      </w:pPr>
    </w:p>
    <w:p w14:paraId="40B3E501" w14:textId="77777777" w:rsidR="00CA5F71" w:rsidRPr="004D5AB1" w:rsidRDefault="00CA5F71" w:rsidP="0015226E">
      <w:pPr>
        <w:ind w:left="851"/>
        <w:rPr>
          <w:i/>
          <w:iCs/>
          <w:noProof/>
          <w:sz w:val="24"/>
          <w:szCs w:val="24"/>
        </w:rPr>
      </w:pPr>
      <w:r w:rsidRPr="004D5AB1">
        <w:rPr>
          <w:i/>
          <w:iCs/>
          <w:noProof/>
          <w:sz w:val="24"/>
          <w:szCs w:val="24"/>
        </w:rPr>
        <w:lastRenderedPageBreak/>
        <w:t>Nedsat nyrefunktion</w:t>
      </w:r>
    </w:p>
    <w:p w14:paraId="50651BC6" w14:textId="77777777" w:rsidR="00CA5F71" w:rsidRPr="004D5AB1" w:rsidRDefault="00CA5F71" w:rsidP="0015226E">
      <w:pPr>
        <w:ind w:left="851"/>
        <w:rPr>
          <w:iCs/>
          <w:noProof/>
          <w:sz w:val="24"/>
          <w:szCs w:val="24"/>
        </w:rPr>
      </w:pPr>
      <w:r w:rsidRPr="004D5AB1">
        <w:rPr>
          <w:iCs/>
          <w:noProof/>
          <w:sz w:val="24"/>
          <w:szCs w:val="24"/>
        </w:rPr>
        <w:t>Det er ikke nødvendigt at justere startdosis til patienter med let til moderat nedsat nyrefunktion.</w:t>
      </w:r>
    </w:p>
    <w:p w14:paraId="51E74E8D" w14:textId="77777777" w:rsidR="00CA5F71" w:rsidRPr="004D5AB1" w:rsidRDefault="00CA5F71" w:rsidP="0015226E">
      <w:pPr>
        <w:ind w:left="851"/>
        <w:rPr>
          <w:iCs/>
          <w:noProof/>
          <w:sz w:val="24"/>
          <w:szCs w:val="24"/>
        </w:rPr>
      </w:pPr>
      <w:r w:rsidRPr="004D5AB1">
        <w:rPr>
          <w:iCs/>
          <w:noProof/>
          <w:sz w:val="24"/>
          <w:szCs w:val="24"/>
        </w:rPr>
        <w:t>Nintedanibs sikkerhed, virkning og farmakokinetik er ikke undersøgt hos patienter med svært nedsat nyrefunktion (kreatininclearance &lt; 30 ml/min).</w:t>
      </w:r>
    </w:p>
    <w:p w14:paraId="31BD45F9" w14:textId="77777777" w:rsidR="00CA5F71" w:rsidRPr="004D5AB1" w:rsidRDefault="00CA5F71" w:rsidP="0015226E">
      <w:pPr>
        <w:ind w:left="851"/>
        <w:rPr>
          <w:i/>
          <w:iCs/>
          <w:noProof/>
          <w:sz w:val="24"/>
          <w:szCs w:val="24"/>
        </w:rPr>
      </w:pPr>
    </w:p>
    <w:p w14:paraId="453237A0" w14:textId="77777777" w:rsidR="00CA5F71" w:rsidRPr="004D5AB1" w:rsidRDefault="00CA5F71" w:rsidP="0015226E">
      <w:pPr>
        <w:ind w:left="851"/>
        <w:rPr>
          <w:i/>
          <w:iCs/>
          <w:noProof/>
          <w:sz w:val="24"/>
          <w:szCs w:val="24"/>
        </w:rPr>
      </w:pPr>
      <w:r w:rsidRPr="004D5AB1">
        <w:rPr>
          <w:i/>
          <w:iCs/>
          <w:noProof/>
          <w:sz w:val="24"/>
          <w:szCs w:val="24"/>
        </w:rPr>
        <w:t>Nedsat leverfunktion</w:t>
      </w:r>
    </w:p>
    <w:p w14:paraId="328CCA9F" w14:textId="77777777" w:rsidR="00CA5F71" w:rsidRPr="004D5AB1" w:rsidRDefault="00CA5F71" w:rsidP="0015226E">
      <w:pPr>
        <w:ind w:left="851"/>
        <w:rPr>
          <w:iCs/>
          <w:noProof/>
          <w:sz w:val="24"/>
          <w:szCs w:val="24"/>
        </w:rPr>
      </w:pPr>
      <w:r w:rsidRPr="004D5AB1">
        <w:rPr>
          <w:iCs/>
          <w:noProof/>
          <w:sz w:val="24"/>
          <w:szCs w:val="24"/>
        </w:rPr>
        <w:t>Hos voksne patienter med let nedsat leverfunktion (Child Pugh A) er den anbefalede dosis af nintedanib 100 mg to gange dagligt med ca. 12 timers mellemrum. Hos patienter med let nedsat leverfunktion (Child Pugh A) kan seponering eller behandlingsafbrydelse overvejes i forbindelse med håndtering af bivirkninger. Nintedanibs sikkerhed og virkning er ikke undersøgt hos patienter med nedsat leverfunktion klassificeret som Child Pugh B og C. Behandling med nintedanib anbefales ikke til patienter med moderat (Child Pugh B) og svært (Child Pugh C) nedsat leverfunktion (se pkt. 5.2).</w:t>
      </w:r>
    </w:p>
    <w:p w14:paraId="5E45F2E7" w14:textId="77777777" w:rsidR="00CA5F71" w:rsidRPr="004D5AB1" w:rsidRDefault="00CA5F71" w:rsidP="0015226E">
      <w:pPr>
        <w:ind w:left="851"/>
        <w:rPr>
          <w:i/>
          <w:iCs/>
          <w:noProof/>
          <w:sz w:val="24"/>
          <w:szCs w:val="24"/>
        </w:rPr>
      </w:pPr>
    </w:p>
    <w:p w14:paraId="3C846A26" w14:textId="77777777" w:rsidR="00CA5F71" w:rsidRPr="004D5AB1" w:rsidRDefault="00CA5F71" w:rsidP="0015226E">
      <w:pPr>
        <w:ind w:left="851"/>
        <w:rPr>
          <w:i/>
          <w:iCs/>
          <w:noProof/>
          <w:sz w:val="24"/>
          <w:szCs w:val="24"/>
        </w:rPr>
      </w:pPr>
      <w:r w:rsidRPr="004D5AB1">
        <w:rPr>
          <w:i/>
          <w:iCs/>
          <w:noProof/>
          <w:sz w:val="24"/>
          <w:szCs w:val="24"/>
        </w:rPr>
        <w:t>Pædiatrisk population</w:t>
      </w:r>
    </w:p>
    <w:p w14:paraId="3EE912AA" w14:textId="77777777" w:rsidR="00CA5F71" w:rsidRPr="004D5AB1" w:rsidRDefault="00CA5F71" w:rsidP="0015226E">
      <w:pPr>
        <w:ind w:left="851"/>
        <w:rPr>
          <w:iCs/>
          <w:noProof/>
          <w:sz w:val="24"/>
          <w:szCs w:val="24"/>
        </w:rPr>
      </w:pPr>
      <w:r w:rsidRPr="004D5AB1">
        <w:rPr>
          <w:iCs/>
          <w:noProof/>
          <w:sz w:val="24"/>
          <w:szCs w:val="24"/>
        </w:rPr>
        <w:t>Nintedanib må ikke anvendes til børn (se pkt. 4.8 og 5.1).</w:t>
      </w:r>
    </w:p>
    <w:p w14:paraId="0E7DDBF4" w14:textId="77777777" w:rsidR="00CA5F71" w:rsidRPr="004D5AB1" w:rsidRDefault="00CA5F71" w:rsidP="0015226E">
      <w:pPr>
        <w:ind w:left="851"/>
        <w:rPr>
          <w:iCs/>
          <w:noProof/>
          <w:sz w:val="24"/>
          <w:szCs w:val="24"/>
        </w:rPr>
      </w:pPr>
    </w:p>
    <w:p w14:paraId="0D6BCB1A" w14:textId="77777777" w:rsidR="00CA5F71" w:rsidRPr="004D5AB1" w:rsidRDefault="00CA5F71" w:rsidP="0015226E">
      <w:pPr>
        <w:ind w:left="851"/>
        <w:rPr>
          <w:iCs/>
          <w:noProof/>
          <w:sz w:val="24"/>
          <w:szCs w:val="24"/>
          <w:u w:val="single"/>
        </w:rPr>
      </w:pPr>
      <w:r w:rsidRPr="004D5AB1">
        <w:rPr>
          <w:iCs/>
          <w:noProof/>
          <w:sz w:val="24"/>
          <w:szCs w:val="24"/>
          <w:u w:val="single"/>
        </w:rPr>
        <w:t>Administration</w:t>
      </w:r>
    </w:p>
    <w:p w14:paraId="7B5B6568" w14:textId="77777777" w:rsidR="00CA5F71" w:rsidRPr="004D5AB1" w:rsidRDefault="00CA5F71" w:rsidP="0015226E">
      <w:pPr>
        <w:ind w:left="851"/>
        <w:rPr>
          <w:iCs/>
          <w:noProof/>
          <w:sz w:val="24"/>
          <w:szCs w:val="24"/>
        </w:rPr>
      </w:pPr>
      <w:r w:rsidRPr="004D5AB1">
        <w:rPr>
          <w:iCs/>
          <w:noProof/>
          <w:sz w:val="24"/>
          <w:szCs w:val="24"/>
        </w:rPr>
        <w:t>Nintedanib er til oral anvendelse. Nintedanib kapsler bør tages oralt sammen med mad. Kapslerne skal synkes hele sammen med vand og må ikke tygges. For at undgå utilsigtet eksponering for kapselindholdet må kapslen ikke åbnes eller knuses (se pkt. 6.6).</w:t>
      </w:r>
    </w:p>
    <w:p w14:paraId="2485A4CF" w14:textId="77777777" w:rsidR="009260DE" w:rsidRPr="004D5AB1" w:rsidRDefault="009260DE" w:rsidP="009260DE">
      <w:pPr>
        <w:tabs>
          <w:tab w:val="left" w:pos="851"/>
        </w:tabs>
        <w:ind w:left="851"/>
        <w:rPr>
          <w:sz w:val="24"/>
          <w:szCs w:val="24"/>
        </w:rPr>
      </w:pPr>
    </w:p>
    <w:p w14:paraId="36106015" w14:textId="77777777" w:rsidR="009260DE" w:rsidRPr="004D5AB1" w:rsidRDefault="009260DE" w:rsidP="009260DE">
      <w:pPr>
        <w:tabs>
          <w:tab w:val="left" w:pos="851"/>
        </w:tabs>
        <w:ind w:left="851" w:hanging="851"/>
        <w:rPr>
          <w:b/>
          <w:sz w:val="24"/>
          <w:szCs w:val="24"/>
        </w:rPr>
      </w:pPr>
      <w:r w:rsidRPr="004D5AB1">
        <w:rPr>
          <w:b/>
          <w:sz w:val="24"/>
          <w:szCs w:val="24"/>
        </w:rPr>
        <w:t>4.3</w:t>
      </w:r>
      <w:r w:rsidRPr="004D5AB1">
        <w:rPr>
          <w:b/>
          <w:sz w:val="24"/>
          <w:szCs w:val="24"/>
        </w:rPr>
        <w:tab/>
        <w:t>Kontraindikationer</w:t>
      </w:r>
    </w:p>
    <w:p w14:paraId="78C741F5" w14:textId="77777777" w:rsidR="00CA5F71" w:rsidRPr="0099618E" w:rsidRDefault="00CA5F71" w:rsidP="0099618E">
      <w:pPr>
        <w:pStyle w:val="Listeafsnit"/>
        <w:numPr>
          <w:ilvl w:val="0"/>
          <w:numId w:val="6"/>
        </w:numPr>
        <w:ind w:left="1276" w:hanging="425"/>
        <w:rPr>
          <w:sz w:val="24"/>
          <w:szCs w:val="24"/>
        </w:rPr>
      </w:pPr>
      <w:r w:rsidRPr="004D5AB1">
        <w:rPr>
          <w:sz w:val="24"/>
          <w:szCs w:val="24"/>
        </w:rPr>
        <w:t>Overfølsomhed over for det aktive stof eller over for et eller flere af hjælpestofferne anført i pkt. 6.1.</w:t>
      </w:r>
    </w:p>
    <w:p w14:paraId="2D42D907" w14:textId="05A69EC0" w:rsidR="009260DE" w:rsidRPr="0099618E" w:rsidRDefault="00CA5F71" w:rsidP="0099618E">
      <w:pPr>
        <w:pStyle w:val="Listeafsnit"/>
        <w:numPr>
          <w:ilvl w:val="0"/>
          <w:numId w:val="6"/>
        </w:numPr>
        <w:tabs>
          <w:tab w:val="left" w:pos="851"/>
        </w:tabs>
        <w:ind w:left="1276" w:hanging="425"/>
        <w:rPr>
          <w:sz w:val="24"/>
          <w:szCs w:val="24"/>
        </w:rPr>
      </w:pPr>
      <w:r w:rsidRPr="0099618E">
        <w:rPr>
          <w:sz w:val="24"/>
          <w:szCs w:val="24"/>
        </w:rPr>
        <w:t>Graviditet (se pkt. 4.6).</w:t>
      </w:r>
    </w:p>
    <w:p w14:paraId="788C9B62" w14:textId="77777777" w:rsidR="009260DE" w:rsidRPr="004D5AB1" w:rsidRDefault="009260DE" w:rsidP="009260DE">
      <w:pPr>
        <w:tabs>
          <w:tab w:val="left" w:pos="851"/>
        </w:tabs>
        <w:ind w:left="851"/>
        <w:rPr>
          <w:sz w:val="24"/>
          <w:szCs w:val="24"/>
        </w:rPr>
      </w:pPr>
    </w:p>
    <w:p w14:paraId="4532077F" w14:textId="77777777" w:rsidR="009260DE" w:rsidRPr="004D5AB1" w:rsidRDefault="009260DE" w:rsidP="009260DE">
      <w:pPr>
        <w:tabs>
          <w:tab w:val="left" w:pos="851"/>
        </w:tabs>
        <w:ind w:left="851" w:hanging="851"/>
        <w:rPr>
          <w:b/>
          <w:sz w:val="24"/>
          <w:szCs w:val="24"/>
        </w:rPr>
      </w:pPr>
      <w:r w:rsidRPr="004D5AB1">
        <w:rPr>
          <w:b/>
          <w:sz w:val="24"/>
          <w:szCs w:val="24"/>
        </w:rPr>
        <w:t>4.4</w:t>
      </w:r>
      <w:r w:rsidRPr="004D5AB1">
        <w:rPr>
          <w:b/>
          <w:sz w:val="24"/>
          <w:szCs w:val="24"/>
        </w:rPr>
        <w:tab/>
        <w:t>Særlige advarsler og forsigtighedsregler vedrørende brugen</w:t>
      </w:r>
    </w:p>
    <w:p w14:paraId="3E6F1F70" w14:textId="77777777" w:rsidR="0099618E" w:rsidRDefault="0099618E" w:rsidP="0015226E">
      <w:pPr>
        <w:autoSpaceDE w:val="0"/>
        <w:autoSpaceDN w:val="0"/>
        <w:adjustRightInd w:val="0"/>
        <w:ind w:left="851"/>
        <w:rPr>
          <w:iCs/>
          <w:noProof/>
          <w:sz w:val="24"/>
          <w:szCs w:val="24"/>
          <w:u w:val="single"/>
        </w:rPr>
      </w:pPr>
    </w:p>
    <w:p w14:paraId="384112CF" w14:textId="0FD6CC7A"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Mave-tarm-kanalen</w:t>
      </w:r>
    </w:p>
    <w:p w14:paraId="337B655E" w14:textId="77777777" w:rsidR="00CA5F71" w:rsidRPr="004D5AB1" w:rsidRDefault="00CA5F71" w:rsidP="0015226E">
      <w:pPr>
        <w:autoSpaceDE w:val="0"/>
        <w:autoSpaceDN w:val="0"/>
        <w:adjustRightInd w:val="0"/>
        <w:ind w:left="851"/>
        <w:rPr>
          <w:i/>
          <w:noProof/>
          <w:sz w:val="24"/>
          <w:szCs w:val="24"/>
        </w:rPr>
      </w:pPr>
      <w:r w:rsidRPr="004D5AB1">
        <w:rPr>
          <w:i/>
          <w:noProof/>
          <w:sz w:val="24"/>
          <w:szCs w:val="24"/>
        </w:rPr>
        <w:t>Diarré</w:t>
      </w:r>
    </w:p>
    <w:p w14:paraId="1FEC9CA5"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I kliniske studier (se pkt. 5.1) blev diarré indberettet som den hyppigste gastrointestinale bivirkning (se pkt. 4.8). Hos de fleste patienter var bivirkningen af let til moderat intensitet og forekom inden for de første 3 måneders behandling.</w:t>
      </w:r>
    </w:p>
    <w:p w14:paraId="53422315" w14:textId="77777777" w:rsidR="00CA5F71" w:rsidRPr="004D5AB1" w:rsidRDefault="00CA5F71" w:rsidP="0015226E">
      <w:pPr>
        <w:autoSpaceDE w:val="0"/>
        <w:autoSpaceDN w:val="0"/>
        <w:adjustRightInd w:val="0"/>
        <w:ind w:left="851"/>
        <w:rPr>
          <w:iCs/>
          <w:noProof/>
          <w:sz w:val="24"/>
          <w:szCs w:val="24"/>
        </w:rPr>
      </w:pPr>
    </w:p>
    <w:p w14:paraId="2B48BEDD"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I perioden efter markedsføring er der rapporteret om alvorlige tilfælde af diarré, som har ført til dehydrering og elektrolytforstyrrelser. Ved de første tegn på diarré skal der iværksættes behandling i form af tilstrækkelig hydrering og lægemidler mod diarré, f.eks. loperamid, og dosisreduktion eller afbrydelse af behandlingen kan være nødvendig. Behandlingen med nintedanib kan genoptages med en reduceret dosis eller den fulde dosis (se pkt. 4.2 Dosisjusteringer). Ved vedvarende, alvorlig diarré på trods af symptomatisk behandling bør nintedanib seponeres.</w:t>
      </w:r>
    </w:p>
    <w:p w14:paraId="20CEDCC9" w14:textId="77777777" w:rsidR="00CA5F71" w:rsidRPr="004D5AB1" w:rsidRDefault="00CA5F71" w:rsidP="0015226E">
      <w:pPr>
        <w:autoSpaceDE w:val="0"/>
        <w:autoSpaceDN w:val="0"/>
        <w:adjustRightInd w:val="0"/>
        <w:ind w:left="851"/>
        <w:rPr>
          <w:i/>
          <w:noProof/>
          <w:sz w:val="24"/>
          <w:szCs w:val="24"/>
        </w:rPr>
      </w:pPr>
    </w:p>
    <w:p w14:paraId="3AF8BCD9" w14:textId="77777777" w:rsidR="00CA5F71" w:rsidRPr="004D5AB1" w:rsidRDefault="00CA5F71" w:rsidP="0015226E">
      <w:pPr>
        <w:autoSpaceDE w:val="0"/>
        <w:autoSpaceDN w:val="0"/>
        <w:adjustRightInd w:val="0"/>
        <w:ind w:left="851"/>
        <w:rPr>
          <w:i/>
          <w:noProof/>
          <w:sz w:val="24"/>
          <w:szCs w:val="24"/>
        </w:rPr>
      </w:pPr>
      <w:r w:rsidRPr="004D5AB1">
        <w:rPr>
          <w:i/>
          <w:noProof/>
          <w:sz w:val="24"/>
          <w:szCs w:val="24"/>
        </w:rPr>
        <w:t>Kvalme og opkastning</w:t>
      </w:r>
    </w:p>
    <w:p w14:paraId="7371A2A7"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Kvalme og opkastning var hyppigt indberettede gastrointestinale bivirkninger (se pkt. 4.8). Hos de fleste patienter med kvalme og opkastning havde bivirkningen let til moderat intensitet. I kliniske studier førte kvalme til seponering af nintedanib hos op til 2,1 % af patienterne, og opkastning førte til seponering af nintedanib hos op til 1,4 % af patienterne.</w:t>
      </w:r>
    </w:p>
    <w:p w14:paraId="6979C7FE" w14:textId="77777777" w:rsidR="00CA5F71" w:rsidRPr="004D5AB1" w:rsidRDefault="00CA5F71" w:rsidP="0015226E">
      <w:pPr>
        <w:autoSpaceDE w:val="0"/>
        <w:autoSpaceDN w:val="0"/>
        <w:adjustRightInd w:val="0"/>
        <w:ind w:left="851"/>
        <w:rPr>
          <w:iCs/>
          <w:noProof/>
          <w:sz w:val="24"/>
          <w:szCs w:val="24"/>
        </w:rPr>
      </w:pPr>
    </w:p>
    <w:p w14:paraId="7FFA47B1"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lastRenderedPageBreak/>
        <w:t>Hvis symptomerne varer ved på trods af behørig, støttende behandling (herunder antiemetisk behandling), kan dosisreduktion eller behandlingsafbrydelse være nødvendig. Behandlingen kan genoptages med en reduceret dosis eller den fulde dosis (se pkt. 4.2 Dosisjusteringer). Ved vedvarende, alvorlige symptomer bør nintedanib seponeres.</w:t>
      </w:r>
    </w:p>
    <w:p w14:paraId="3F9D4B22" w14:textId="77777777" w:rsidR="00CA5F71" w:rsidRPr="004D5AB1" w:rsidRDefault="00CA5F71" w:rsidP="0015226E">
      <w:pPr>
        <w:autoSpaceDE w:val="0"/>
        <w:autoSpaceDN w:val="0"/>
        <w:adjustRightInd w:val="0"/>
        <w:ind w:left="851"/>
        <w:rPr>
          <w:i/>
          <w:noProof/>
          <w:sz w:val="24"/>
          <w:szCs w:val="24"/>
        </w:rPr>
      </w:pPr>
    </w:p>
    <w:p w14:paraId="10583EAE"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Leverfunktion</w:t>
      </w:r>
    </w:p>
    <w:p w14:paraId="24695F32"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Nintedanibs sikkerhed og virkning er ikke undersøgt hos patienter med moderat (Child Pugh B) eller svært (Child Pugh C) nedsat leverfunktion. Behandling med nintedanib anbefales derfor ikke til sådanne patienter (se pkt. 4.2). På grund af øget eksponering kan der være øget risiko for bivirkninger hos patienter med let nedsat leverfunktion (Child Pugh A). Voksne patienter med let nedsat leverfunktion (Child Pugh A) bør behandles med en nedsat dosis nintedanib (se pkt. 4.2 og 5.2).</w:t>
      </w:r>
    </w:p>
    <w:p w14:paraId="7975CDAA" w14:textId="77777777" w:rsidR="00CA5F71" w:rsidRPr="004D5AB1" w:rsidRDefault="00CA5F71" w:rsidP="0015226E">
      <w:pPr>
        <w:autoSpaceDE w:val="0"/>
        <w:autoSpaceDN w:val="0"/>
        <w:adjustRightInd w:val="0"/>
        <w:ind w:left="851"/>
        <w:rPr>
          <w:iCs/>
          <w:noProof/>
          <w:sz w:val="24"/>
          <w:szCs w:val="24"/>
        </w:rPr>
      </w:pPr>
    </w:p>
    <w:p w14:paraId="375FDE0E"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Der er observeret tilfælde af lægemiddelinduceret leverskade under behandling med nintedanib, herunder svær leverskade med dødelig udgang. Hovedparten af leverhændelserne opstår i løbet af de første 3 måneders behandling. Derfor bør hepatisk aminotransferase- og bilirubin-niveauer måles før behandlingsinitiering og i løbet af den første måneds behandling med nintedanib. Patienterne bør derefter monitoreres med regelmæssige mellemrum i løbet af de næste 2 måneders behandling, og regelmæssigt derefter (f.eks. ved hvert patientbesøg) eller som klinisk indiceret.</w:t>
      </w:r>
    </w:p>
    <w:p w14:paraId="73D69D1E" w14:textId="77777777" w:rsidR="00CA5F71" w:rsidRPr="004D5AB1" w:rsidRDefault="00CA5F71" w:rsidP="0015226E">
      <w:pPr>
        <w:autoSpaceDE w:val="0"/>
        <w:autoSpaceDN w:val="0"/>
        <w:adjustRightInd w:val="0"/>
        <w:ind w:left="851"/>
        <w:rPr>
          <w:iCs/>
          <w:noProof/>
          <w:sz w:val="24"/>
          <w:szCs w:val="24"/>
        </w:rPr>
      </w:pPr>
    </w:p>
    <w:p w14:paraId="0B568688" w14:textId="0CE208E6" w:rsidR="00CA5F71" w:rsidRPr="004D5AB1" w:rsidRDefault="00CA5F71" w:rsidP="0015226E">
      <w:pPr>
        <w:autoSpaceDE w:val="0"/>
        <w:autoSpaceDN w:val="0"/>
        <w:adjustRightInd w:val="0"/>
        <w:ind w:left="851"/>
        <w:rPr>
          <w:iCs/>
          <w:noProof/>
          <w:sz w:val="24"/>
          <w:szCs w:val="24"/>
        </w:rPr>
      </w:pPr>
      <w:r w:rsidRPr="004D5AB1">
        <w:rPr>
          <w:iCs/>
          <w:noProof/>
          <w:sz w:val="24"/>
          <w:szCs w:val="24"/>
        </w:rPr>
        <w:t>Forhøjelse af leverenzymer (ALAT, ASAT, basisk fosfatase i blodet (ALKP), gammaglutamyltransferase (GGT), se pkt. 4.8) og bilirubin var i de fleste tilfælde reversible ved dosisreduktion eller dosisafbrydelse. Hvis de målte aminotransferase</w:t>
      </w:r>
      <w:r w:rsidR="0099618E">
        <w:rPr>
          <w:iCs/>
          <w:noProof/>
          <w:sz w:val="24"/>
          <w:szCs w:val="24"/>
        </w:rPr>
        <w:softHyphen/>
      </w:r>
      <w:r w:rsidRPr="004D5AB1">
        <w:rPr>
          <w:iCs/>
          <w:noProof/>
          <w:sz w:val="24"/>
          <w:szCs w:val="24"/>
        </w:rPr>
        <w:t>niveauer (ASAT eller ALAT) er &gt; 3 x ULN, anbefales dosisreduktion eller afbrydelse af behandlingen med nintedanib, og patienten skal monitorers nøje. Når aminotransferase</w:t>
      </w:r>
      <w:r w:rsidR="0099618E">
        <w:rPr>
          <w:iCs/>
          <w:noProof/>
          <w:sz w:val="24"/>
          <w:szCs w:val="24"/>
        </w:rPr>
        <w:softHyphen/>
      </w:r>
      <w:r w:rsidRPr="004D5AB1">
        <w:rPr>
          <w:iCs/>
          <w:noProof/>
          <w:sz w:val="24"/>
          <w:szCs w:val="24"/>
        </w:rPr>
        <w:t>værdierne er vendt tilbage til baseline, kan behandlingen genoptages med den fulde dosis eller reduceret dosis, som efterfølgende kan øges til den fulde dosis (se pkt. 4.2 Dosisjusteringer). Hvis eventuelle leverenzymforhøjelser forbindes med kliniske tegn eller symptomer på leverskade, f.eks. gulsot, skal nintedanib seponeres permanent. Andre årsager til de forhøjede leverenzymer bør undersøges.</w:t>
      </w:r>
    </w:p>
    <w:p w14:paraId="1173C1FC" w14:textId="77777777" w:rsidR="00CA5F71" w:rsidRPr="004D5AB1" w:rsidRDefault="00CA5F71" w:rsidP="0015226E">
      <w:pPr>
        <w:autoSpaceDE w:val="0"/>
        <w:autoSpaceDN w:val="0"/>
        <w:adjustRightInd w:val="0"/>
        <w:ind w:left="851"/>
        <w:rPr>
          <w:iCs/>
          <w:noProof/>
          <w:sz w:val="24"/>
          <w:szCs w:val="24"/>
        </w:rPr>
      </w:pPr>
    </w:p>
    <w:p w14:paraId="20E5AB54" w14:textId="77777777" w:rsidR="00CA5F71" w:rsidRPr="004D5AB1" w:rsidRDefault="00CA5F71" w:rsidP="0015226E">
      <w:pPr>
        <w:autoSpaceDE w:val="0"/>
        <w:autoSpaceDN w:val="0"/>
        <w:adjustRightInd w:val="0"/>
        <w:ind w:left="851"/>
        <w:rPr>
          <w:i/>
          <w:noProof/>
          <w:sz w:val="24"/>
          <w:szCs w:val="24"/>
        </w:rPr>
      </w:pPr>
      <w:r w:rsidRPr="004D5AB1">
        <w:rPr>
          <w:iCs/>
          <w:noProof/>
          <w:sz w:val="24"/>
          <w:szCs w:val="24"/>
        </w:rPr>
        <w:t>Voksne patienter med lav legemsvægt (&lt; 65 kg), asiatiske og kvindelige patienter har en større risiko for forhøjelser af leverenzymer. Eksponeringen for nintedanib steg lineært med patienternes alder, hvilket også kan medføre en øget risiko for udviklingen af forhøjede leverenzymer (se pkt. 5.2). Tæt kontrol af patienter med disse risikofaktorer anbefales</w:t>
      </w:r>
      <w:r w:rsidRPr="004D5AB1">
        <w:rPr>
          <w:i/>
          <w:noProof/>
          <w:sz w:val="24"/>
          <w:szCs w:val="24"/>
        </w:rPr>
        <w:t>.</w:t>
      </w:r>
    </w:p>
    <w:p w14:paraId="25EA73A2" w14:textId="77777777" w:rsidR="00CA5F71" w:rsidRPr="004D5AB1" w:rsidRDefault="00CA5F71" w:rsidP="0015226E">
      <w:pPr>
        <w:autoSpaceDE w:val="0"/>
        <w:autoSpaceDN w:val="0"/>
        <w:adjustRightInd w:val="0"/>
        <w:ind w:left="851"/>
        <w:rPr>
          <w:i/>
          <w:noProof/>
          <w:sz w:val="24"/>
          <w:szCs w:val="24"/>
        </w:rPr>
      </w:pPr>
    </w:p>
    <w:p w14:paraId="2E62D795"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Nyrefunktion</w:t>
      </w:r>
    </w:p>
    <w:p w14:paraId="20F53EC8"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Der er rapporteret om tilfælde med nedsat nyrefunktion/-svigt, hvoraf nogle havde dødelig udgang, under behandling med nintedanib (se pkt. 4.8).</w:t>
      </w:r>
    </w:p>
    <w:p w14:paraId="7B76355A"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Patienter bør overvåges under behandlingen med nintedanib med særlig opmærksomhed på patienter med risikofaktorer for nedsat nyrefunktion/-svigt. Justering af behandlingen bør overvejes i tilfælde af nedsat nyrefunktion/-svigt (se pkt. 4.2 Dosisjusteringer).</w:t>
      </w:r>
    </w:p>
    <w:p w14:paraId="00E9AE77" w14:textId="77777777" w:rsidR="00CA5F71" w:rsidRPr="004D5AB1" w:rsidRDefault="00CA5F71" w:rsidP="0015226E">
      <w:pPr>
        <w:autoSpaceDE w:val="0"/>
        <w:autoSpaceDN w:val="0"/>
        <w:adjustRightInd w:val="0"/>
        <w:ind w:left="851"/>
        <w:rPr>
          <w:i/>
          <w:noProof/>
          <w:sz w:val="24"/>
          <w:szCs w:val="24"/>
        </w:rPr>
      </w:pPr>
    </w:p>
    <w:p w14:paraId="1FD6CCF2"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Blødning</w:t>
      </w:r>
    </w:p>
    <w:p w14:paraId="0E811EDC"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 xml:space="preserve">Vaskulær endotelial vækstfaktor-receptorhæmning (VEGFR-hæmning) kan være forbundet med en øget risiko for blødning. </w:t>
      </w:r>
    </w:p>
    <w:p w14:paraId="0A898CB8" w14:textId="77777777" w:rsidR="00CA5F71" w:rsidRPr="004D5AB1" w:rsidRDefault="00CA5F71" w:rsidP="0015226E">
      <w:pPr>
        <w:autoSpaceDE w:val="0"/>
        <w:autoSpaceDN w:val="0"/>
        <w:adjustRightInd w:val="0"/>
        <w:ind w:left="851"/>
        <w:rPr>
          <w:iCs/>
          <w:noProof/>
          <w:sz w:val="24"/>
          <w:szCs w:val="24"/>
        </w:rPr>
      </w:pPr>
    </w:p>
    <w:p w14:paraId="59E81FCF"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 xml:space="preserve">Patienter med kendt risiko for blødning, herunder patienter med hereditær disposition for blødning eller patienter, der får en fuld dosis antikoagulerende behandling, var ikke </w:t>
      </w:r>
      <w:r w:rsidRPr="004D5AB1">
        <w:rPr>
          <w:iCs/>
          <w:noProof/>
          <w:sz w:val="24"/>
          <w:szCs w:val="24"/>
        </w:rPr>
        <w:lastRenderedPageBreak/>
        <w:t>inkluderet i de kliniske studier. Der er rapporteret om ikke-alvorlige og alvorlige blødninger, hvoraf nogle havde dødelig udgang i perioden efter markedsføringen (både hos patienter, der blev behandlet med koagulationshæmmende lægemidler eller andre lægemidler, der kan forårsage blødning og hos patienter, der ikke blev behandlet med sådanne lægemidler). Derfor skal disse patienter kun behandles med nintedanib, hvis den forventede fordel opvejer den mulige risiko.</w:t>
      </w:r>
    </w:p>
    <w:p w14:paraId="391929CB" w14:textId="77777777" w:rsidR="00CA5F71" w:rsidRPr="004D5AB1" w:rsidRDefault="00CA5F71" w:rsidP="0015226E">
      <w:pPr>
        <w:autoSpaceDE w:val="0"/>
        <w:autoSpaceDN w:val="0"/>
        <w:adjustRightInd w:val="0"/>
        <w:ind w:left="851"/>
        <w:rPr>
          <w:i/>
          <w:noProof/>
          <w:sz w:val="24"/>
          <w:szCs w:val="24"/>
        </w:rPr>
      </w:pPr>
    </w:p>
    <w:p w14:paraId="15652DF6"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Arterielle tromboemboliske hændelser</w:t>
      </w:r>
    </w:p>
    <w:p w14:paraId="65A0E858" w14:textId="74E3D751" w:rsidR="00CA5F71" w:rsidRPr="004D5AB1" w:rsidRDefault="00CA5F71" w:rsidP="0015226E">
      <w:pPr>
        <w:autoSpaceDE w:val="0"/>
        <w:autoSpaceDN w:val="0"/>
        <w:adjustRightInd w:val="0"/>
        <w:ind w:left="851"/>
        <w:rPr>
          <w:iCs/>
          <w:noProof/>
          <w:sz w:val="24"/>
          <w:szCs w:val="24"/>
        </w:rPr>
      </w:pPr>
      <w:r w:rsidRPr="004D5AB1">
        <w:rPr>
          <w:iCs/>
          <w:noProof/>
          <w:sz w:val="24"/>
          <w:szCs w:val="24"/>
        </w:rPr>
        <w:t>Patienter med nyligt myokardieinfarkt eller apopleksi i anamnesen blev ekskluderet fra de kliniske studier. I kliniske studier med voksne patienter blev arterielle tromboemboliske hændelser indberettet sjældent (nintedanib 2,5 % versus placebo 0,7 % for INPULSIS, nintedanib 0,9 % versus placebo 0,9 % for INBUILD, nintedanib 0,7 % versus placebo 0,7</w:t>
      </w:r>
      <w:r w:rsidR="005F0117">
        <w:rPr>
          <w:iCs/>
          <w:noProof/>
          <w:sz w:val="24"/>
          <w:szCs w:val="24"/>
        </w:rPr>
        <w:t> </w:t>
      </w:r>
      <w:r w:rsidRPr="004D5AB1">
        <w:rPr>
          <w:iCs/>
          <w:noProof/>
          <w:sz w:val="24"/>
          <w:szCs w:val="24"/>
        </w:rPr>
        <w:t>% for SENSCIS). I INPULSIS-studierne oplevede en større procentdel af patienterne myokardieinfarkt i nintedanib-gruppen (1,6 %), sammenlignet med placebogruppen (0,5</w:t>
      </w:r>
      <w:r w:rsidR="005F0117">
        <w:rPr>
          <w:iCs/>
          <w:noProof/>
          <w:sz w:val="24"/>
          <w:szCs w:val="24"/>
        </w:rPr>
        <w:t> </w:t>
      </w:r>
      <w:r w:rsidRPr="004D5AB1">
        <w:rPr>
          <w:iCs/>
          <w:noProof/>
          <w:sz w:val="24"/>
          <w:szCs w:val="24"/>
        </w:rPr>
        <w:t>%), mens uønskede hændelser, der afspejlede iskæmisk hjertesygdom, var jævnt fordelt mellem nintedanib- og placebogrupperne. I INBUILD-studiet blev myokardieinfarkt observeret med en lav hyppighed: Nintedanib 0,9 % versus placebo 0,9</w:t>
      </w:r>
      <w:r w:rsidR="005F0117">
        <w:rPr>
          <w:iCs/>
          <w:noProof/>
          <w:sz w:val="24"/>
          <w:szCs w:val="24"/>
        </w:rPr>
        <w:t> </w:t>
      </w:r>
      <w:r w:rsidRPr="004D5AB1">
        <w:rPr>
          <w:iCs/>
          <w:noProof/>
          <w:sz w:val="24"/>
          <w:szCs w:val="24"/>
        </w:rPr>
        <w:t>%. I SENSCIS-studiet blev myokardieinfarkt observeret med en lav hyppighed i placebogruppen (0,7 %) og ikke observeret i nintedanib-gruppen. Der skal udvises forsigtighed ved behandling af patienter med øget kardiovaskulær risiko, herunder kendt koronararteriesygdom. Afbrydelse af behandlingen skal overvejes hos patienter, der udvikler tegn eller symptomer på akut myokardieiskæmi.</w:t>
      </w:r>
    </w:p>
    <w:p w14:paraId="68FE57BA" w14:textId="77777777" w:rsidR="00CA5F71" w:rsidRPr="004D5AB1" w:rsidRDefault="00CA5F71" w:rsidP="0015226E">
      <w:pPr>
        <w:autoSpaceDE w:val="0"/>
        <w:autoSpaceDN w:val="0"/>
        <w:adjustRightInd w:val="0"/>
        <w:ind w:left="851"/>
        <w:rPr>
          <w:i/>
          <w:noProof/>
          <w:sz w:val="24"/>
          <w:szCs w:val="24"/>
        </w:rPr>
      </w:pPr>
    </w:p>
    <w:p w14:paraId="007859A9"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Aneurismer og arterielle dissektioner</w:t>
      </w:r>
    </w:p>
    <w:p w14:paraId="241448C4"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Brug af VEGF-hæmmere hos patienter med eller uden hypertension kan fremme dannelse af aneurismer og/eller arterielle dissektioner. Inden indledning af behandling med nintedanib bør denne risiko overvejes nøje for patienter med risikofaktorer såsom hypertension eller tidligere aneurisme.</w:t>
      </w:r>
    </w:p>
    <w:p w14:paraId="39384CAA" w14:textId="77777777" w:rsidR="00CA5F71" w:rsidRPr="004D5AB1" w:rsidRDefault="00CA5F71" w:rsidP="0015226E">
      <w:pPr>
        <w:autoSpaceDE w:val="0"/>
        <w:autoSpaceDN w:val="0"/>
        <w:adjustRightInd w:val="0"/>
        <w:ind w:left="851"/>
        <w:rPr>
          <w:i/>
          <w:noProof/>
          <w:sz w:val="24"/>
          <w:szCs w:val="24"/>
        </w:rPr>
      </w:pPr>
    </w:p>
    <w:p w14:paraId="3FE1E359"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Venøs tromboemboli</w:t>
      </w:r>
    </w:p>
    <w:p w14:paraId="57DB975C"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Der blev ikke observeret øget risiko for venøs tromboemboli hos patienter, der blev behandlet med nintedanib, i de kliniske studier. På grund af nintedanibs virkningsmekanisme kan patienter have en øget risiko for tromboemboliske hændelser.</w:t>
      </w:r>
    </w:p>
    <w:p w14:paraId="1E4A8FF2" w14:textId="77777777" w:rsidR="00CA5F71" w:rsidRPr="004D5AB1" w:rsidRDefault="00CA5F71" w:rsidP="0015226E">
      <w:pPr>
        <w:autoSpaceDE w:val="0"/>
        <w:autoSpaceDN w:val="0"/>
        <w:adjustRightInd w:val="0"/>
        <w:ind w:left="851"/>
        <w:rPr>
          <w:i/>
          <w:noProof/>
          <w:sz w:val="24"/>
          <w:szCs w:val="24"/>
        </w:rPr>
      </w:pPr>
    </w:p>
    <w:p w14:paraId="2D81037E"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Gastrointestinal perforation og iskæmisk colitis</w:t>
      </w:r>
    </w:p>
    <w:p w14:paraId="496FC4AD"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I kliniske studier med voksne patienter var hyppigheden af patienter med perforation op til 0,3 % i begge behandlingsgrupper. På grund af nintedanibs virkningsmekanisme kan patienter have en øget risiko for gastrointestinale perforationer. Der er rapporteret om tilfælde af gastrointestinal perforation og tilfælde af iskæmisk colitis, blandt hvilke nogle havde dødelig udgang, i perioden efter markedsføringen. Der skal udvises særlig forsigtighed ved behandling af patienter, der tidligere har undergået abdominalkirurgi, hvis anamnese omfatter ulcus pepticum, diverticulosis coli eller som samtidigt modtager kortikosteroider eller NSAIDs. Behandling med nintedanib bør tidligst påbegyndes 4 uger efter abdominalkirurgi. Nintedanib bør seponeres permanent hos patienter, der udvikler gastrointestinal perforation eller iskæmisk colitis. I undtagelsestilfælde kan nintedanib genintroduceres, efter at iskæmisk colitis er helt væk, og der er udført en nøje vurdering af patientens tilstand og andre risikofaktorer.</w:t>
      </w:r>
    </w:p>
    <w:p w14:paraId="5FD8FAC3" w14:textId="77777777" w:rsidR="00CA5F71" w:rsidRPr="004D5AB1" w:rsidRDefault="00CA5F71" w:rsidP="0015226E">
      <w:pPr>
        <w:autoSpaceDE w:val="0"/>
        <w:autoSpaceDN w:val="0"/>
        <w:adjustRightInd w:val="0"/>
        <w:ind w:left="851"/>
        <w:rPr>
          <w:i/>
          <w:noProof/>
          <w:sz w:val="24"/>
          <w:szCs w:val="24"/>
        </w:rPr>
      </w:pPr>
    </w:p>
    <w:p w14:paraId="2218E37B"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Nefrotisk albuminuri og trombotisk mikroangiopati</w:t>
      </w:r>
    </w:p>
    <w:p w14:paraId="2FDBBAF4"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 xml:space="preserve">Der er kun indberettet meget få tilfælde af nefrotisk albuminuri med eller uden nedsat nyrefunktion efter markedsføring. Histologiske fund i individuelle tilfælde var i </w:t>
      </w:r>
      <w:r w:rsidRPr="004D5AB1">
        <w:rPr>
          <w:iCs/>
          <w:noProof/>
          <w:sz w:val="24"/>
          <w:szCs w:val="24"/>
        </w:rPr>
        <w:lastRenderedPageBreak/>
        <w:t>overensstemmelse med glomerulær mikroangiopati med eller uden nyretromber. Det er observeret, at symptomerne forsvandt efter nintedanib blev seponeret, med residual proteinuri i nogle tilfælde. Afbrydelse af behandlingen skal overvejes hos patienter, der udvikler tegn eller symptomer på nefrotisk syndrom.</w:t>
      </w:r>
    </w:p>
    <w:p w14:paraId="1B9FF13E" w14:textId="77777777" w:rsidR="00CA5F71" w:rsidRPr="004D5AB1" w:rsidRDefault="00CA5F71" w:rsidP="0015226E">
      <w:pPr>
        <w:autoSpaceDE w:val="0"/>
        <w:autoSpaceDN w:val="0"/>
        <w:adjustRightInd w:val="0"/>
        <w:ind w:left="851"/>
        <w:rPr>
          <w:iCs/>
          <w:noProof/>
          <w:sz w:val="24"/>
          <w:szCs w:val="24"/>
        </w:rPr>
      </w:pPr>
    </w:p>
    <w:p w14:paraId="61F69FC1"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VEGF-hæmmere er blevet forbundet med trombotisk mikroangiopati (TMA), inklusive indberetning af meget få tilfælde for nintedanib. Hvis laboratorie- eller kliniske fund associeret med TMA forekommer hos en patient, der modtager nintedanib, skal behandling med nintedanib seponeres og en grundig evaluering for TMA skal gennemføres.</w:t>
      </w:r>
    </w:p>
    <w:p w14:paraId="4D5B8CD9" w14:textId="77777777" w:rsidR="00CA5F71" w:rsidRPr="004D5AB1" w:rsidRDefault="00CA5F71" w:rsidP="0015226E">
      <w:pPr>
        <w:autoSpaceDE w:val="0"/>
        <w:autoSpaceDN w:val="0"/>
        <w:adjustRightInd w:val="0"/>
        <w:ind w:left="851"/>
        <w:rPr>
          <w:i/>
          <w:noProof/>
          <w:sz w:val="24"/>
          <w:szCs w:val="24"/>
        </w:rPr>
      </w:pPr>
    </w:p>
    <w:p w14:paraId="4C374396"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Posteriort reversibelt encefalopatisyndrom (PRES)</w:t>
      </w:r>
    </w:p>
    <w:p w14:paraId="7F28BAC3"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Der er rapporteret nogle tilfælde af posteriort reversibelt encefalopatisyndrom (PRES) efter markedsføring. PRES er en neurologisk lidelse (bekræftet med magnetisk resonansscanning), som kan vise sig ved hovedpine, hypertension, synsforstyrrelser, krampeanfald, letargi, forvirring og andre visuelle og neurologiske forstyrrelser, og det kan være dødeligt. PRES er blevet rapporteret med andre VEGF-hæmmere. Hvis der er mistanke om PRES, skal behandlingen med nintedanib seponeres. Genoptagelse af behandling med nintenanib hos patienter der tidligere har oplevet PRES er ikke kendt og behandlingen bør kun genoptages efter lægens anbefaling.</w:t>
      </w:r>
    </w:p>
    <w:p w14:paraId="5891D2E9" w14:textId="77777777" w:rsidR="00CA5F71" w:rsidRPr="004D5AB1" w:rsidRDefault="00CA5F71" w:rsidP="0015226E">
      <w:pPr>
        <w:autoSpaceDE w:val="0"/>
        <w:autoSpaceDN w:val="0"/>
        <w:adjustRightInd w:val="0"/>
        <w:ind w:left="851"/>
        <w:rPr>
          <w:i/>
          <w:noProof/>
          <w:sz w:val="24"/>
          <w:szCs w:val="24"/>
        </w:rPr>
      </w:pPr>
    </w:p>
    <w:p w14:paraId="6D550916"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Hypertension</w:t>
      </w:r>
    </w:p>
    <w:p w14:paraId="724A8607"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Administration af nintedanib kan øge blodtrykket. Det systemiske blodtryk bør måles regelmæsigt og som klinisk indiceret.</w:t>
      </w:r>
    </w:p>
    <w:p w14:paraId="3004B042" w14:textId="77777777" w:rsidR="00CA5F71" w:rsidRPr="004D5AB1" w:rsidRDefault="00CA5F71" w:rsidP="0015226E">
      <w:pPr>
        <w:autoSpaceDE w:val="0"/>
        <w:autoSpaceDN w:val="0"/>
        <w:adjustRightInd w:val="0"/>
        <w:ind w:left="851"/>
        <w:rPr>
          <w:i/>
          <w:noProof/>
          <w:sz w:val="24"/>
          <w:szCs w:val="24"/>
        </w:rPr>
      </w:pPr>
    </w:p>
    <w:p w14:paraId="3EEA953D"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Pulmonal hypertension</w:t>
      </w:r>
    </w:p>
    <w:p w14:paraId="486C2704"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 xml:space="preserve">Data for anvendelsen af nintedanib hos patienter med pulmonal hypertension er begrænset. </w:t>
      </w:r>
    </w:p>
    <w:p w14:paraId="7821A6D5"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 xml:space="preserve">Patienter med signifikant pulmonal hypertension (hjerteindeks ≤2 l/min/m², eller parenteral epoprostenol/treprostinil, eller signifikant højresidet hjertesvigt) blev ekskluderet fra at deltage i INBUILD- og SENSCIS-studierne. </w:t>
      </w:r>
    </w:p>
    <w:p w14:paraId="3E0A262D"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Patienter med signifikant pulmonal hypertension bør ikke behandles med Nintedanib. Der anbefales nøje overvågning af patienter med let til moderat pulmonal hypertension.</w:t>
      </w:r>
    </w:p>
    <w:p w14:paraId="26675C4C" w14:textId="77777777" w:rsidR="00CA5F71" w:rsidRPr="004D5AB1" w:rsidRDefault="00CA5F71" w:rsidP="0015226E">
      <w:pPr>
        <w:autoSpaceDE w:val="0"/>
        <w:autoSpaceDN w:val="0"/>
        <w:adjustRightInd w:val="0"/>
        <w:ind w:left="851"/>
        <w:rPr>
          <w:i/>
          <w:noProof/>
          <w:sz w:val="24"/>
          <w:szCs w:val="24"/>
        </w:rPr>
      </w:pPr>
    </w:p>
    <w:p w14:paraId="664CA22E"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Sårhelingskomplikationer</w:t>
      </w:r>
    </w:p>
    <w:p w14:paraId="24F69EFF"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Der blev ikke observeret øget risiko for forringet sårheling i de kliniske studier. Som følge af virkningsmekanismen kan nintedanib hæmme sårhelingen. Der er ikke udført målrettede studier til undersøgelse af nintedanibs indvirkning på sårheling. Behandling med nintedanib bør derfor kun påbegyndes eller ‒ i tilfælde af perioperativ afbrydelse ‒ genoptages på grundlag af en klinisk vurdering af, om sårhelingen er tilfredsstillende.</w:t>
      </w:r>
    </w:p>
    <w:p w14:paraId="243E5FC6" w14:textId="77777777" w:rsidR="00CA5F71" w:rsidRPr="004D5AB1" w:rsidRDefault="00CA5F71" w:rsidP="0015226E">
      <w:pPr>
        <w:autoSpaceDE w:val="0"/>
        <w:autoSpaceDN w:val="0"/>
        <w:adjustRightInd w:val="0"/>
        <w:ind w:left="851"/>
        <w:rPr>
          <w:i/>
          <w:noProof/>
          <w:sz w:val="24"/>
          <w:szCs w:val="24"/>
        </w:rPr>
      </w:pPr>
    </w:p>
    <w:p w14:paraId="07ECFF2E"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Administration sammen med pirfenidon</w:t>
      </w:r>
    </w:p>
    <w:p w14:paraId="2A064FCB"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I et målrettet farmakokinetisk studie blev samtidig behandling med nintedanib og pirfenidon undersøgt hos patienter med IPF. Baseret på disse resultater er der ikke evidens for en relevant farmakokinetisk lægemiddelinteraktion mellem nintedanib og pirfenidon, når de administreres i kombination (se pkt. 5.2). Da der er ligheder i sikkerhedsprofilerne for begge lægemidler, kan additive bivirkninger, herunder mave-tarm- og lever-bivirkninger forventes. Benefit-risk-forholdet for samtidig behandling med pirfenidon er ikke klarlagt.</w:t>
      </w:r>
    </w:p>
    <w:p w14:paraId="4F2FEE8B" w14:textId="77777777" w:rsidR="00CA5F71" w:rsidRPr="004D5AB1" w:rsidRDefault="00CA5F71" w:rsidP="0015226E">
      <w:pPr>
        <w:autoSpaceDE w:val="0"/>
        <w:autoSpaceDN w:val="0"/>
        <w:adjustRightInd w:val="0"/>
        <w:ind w:left="851"/>
        <w:rPr>
          <w:i/>
          <w:noProof/>
          <w:sz w:val="24"/>
          <w:szCs w:val="24"/>
        </w:rPr>
      </w:pPr>
    </w:p>
    <w:p w14:paraId="7CDF357E" w14:textId="77777777" w:rsidR="00CA5F71" w:rsidRPr="004D5AB1" w:rsidRDefault="00CA5F71" w:rsidP="0015226E">
      <w:pPr>
        <w:autoSpaceDE w:val="0"/>
        <w:autoSpaceDN w:val="0"/>
        <w:adjustRightInd w:val="0"/>
        <w:ind w:left="851"/>
        <w:rPr>
          <w:iCs/>
          <w:noProof/>
          <w:sz w:val="24"/>
          <w:szCs w:val="24"/>
          <w:u w:val="single"/>
        </w:rPr>
      </w:pPr>
      <w:r w:rsidRPr="004D5AB1">
        <w:rPr>
          <w:iCs/>
          <w:noProof/>
          <w:sz w:val="24"/>
          <w:szCs w:val="24"/>
          <w:u w:val="single"/>
        </w:rPr>
        <w:t>Effekt på QT-interval</w:t>
      </w:r>
    </w:p>
    <w:p w14:paraId="1A140B4D" w14:textId="77777777" w:rsidR="00CA5F71" w:rsidRPr="004D5AB1" w:rsidRDefault="00CA5F71" w:rsidP="0015226E">
      <w:pPr>
        <w:autoSpaceDE w:val="0"/>
        <w:autoSpaceDN w:val="0"/>
        <w:adjustRightInd w:val="0"/>
        <w:ind w:left="851"/>
        <w:rPr>
          <w:iCs/>
          <w:noProof/>
          <w:sz w:val="24"/>
          <w:szCs w:val="24"/>
        </w:rPr>
      </w:pPr>
      <w:r w:rsidRPr="004D5AB1">
        <w:rPr>
          <w:iCs/>
          <w:noProof/>
          <w:sz w:val="24"/>
          <w:szCs w:val="24"/>
        </w:rPr>
        <w:t xml:space="preserve">I det kliniske forsøgsprogram blev der ikke fundet evidens for, at nintedanib forlænger QT (pkt. 5.1). Eftersom nogle tyrosinkinasehæmmere vides at have effekt på QT, skal der </w:t>
      </w:r>
      <w:r w:rsidRPr="004D5AB1">
        <w:rPr>
          <w:iCs/>
          <w:noProof/>
          <w:sz w:val="24"/>
          <w:szCs w:val="24"/>
        </w:rPr>
        <w:lastRenderedPageBreak/>
        <w:t>udvises forsigtighed, når nintedanib administreres til patienter i risikogruppe for at udvikle QTc-forlængelse.</w:t>
      </w:r>
    </w:p>
    <w:p w14:paraId="2CD08DCE" w14:textId="77777777" w:rsidR="009260DE" w:rsidRPr="004D5AB1" w:rsidRDefault="009260DE" w:rsidP="009260DE">
      <w:pPr>
        <w:tabs>
          <w:tab w:val="left" w:pos="851"/>
        </w:tabs>
        <w:ind w:left="851"/>
        <w:rPr>
          <w:sz w:val="24"/>
          <w:szCs w:val="24"/>
        </w:rPr>
      </w:pPr>
    </w:p>
    <w:p w14:paraId="57DCE709" w14:textId="77777777" w:rsidR="009260DE" w:rsidRPr="004D5AB1" w:rsidRDefault="009260DE" w:rsidP="009260DE">
      <w:pPr>
        <w:tabs>
          <w:tab w:val="left" w:pos="851"/>
        </w:tabs>
        <w:ind w:left="851" w:hanging="851"/>
        <w:rPr>
          <w:b/>
          <w:sz w:val="24"/>
          <w:szCs w:val="24"/>
        </w:rPr>
      </w:pPr>
      <w:r w:rsidRPr="004D5AB1">
        <w:rPr>
          <w:b/>
          <w:sz w:val="24"/>
          <w:szCs w:val="24"/>
        </w:rPr>
        <w:t>4.5</w:t>
      </w:r>
      <w:r w:rsidRPr="004D5AB1">
        <w:rPr>
          <w:b/>
          <w:sz w:val="24"/>
          <w:szCs w:val="24"/>
        </w:rPr>
        <w:tab/>
        <w:t>Interaktion med andre lægemidler og andre former for interaktion</w:t>
      </w:r>
    </w:p>
    <w:p w14:paraId="6F2F9FE1" w14:textId="77777777" w:rsidR="0099618E" w:rsidRDefault="0099618E" w:rsidP="0015226E">
      <w:pPr>
        <w:ind w:left="851"/>
        <w:rPr>
          <w:noProof/>
          <w:sz w:val="24"/>
          <w:szCs w:val="24"/>
          <w:u w:val="single"/>
        </w:rPr>
      </w:pPr>
    </w:p>
    <w:p w14:paraId="7E1B4957" w14:textId="567C0744" w:rsidR="00CA5F71" w:rsidRPr="004D5AB1" w:rsidRDefault="00CA5F71" w:rsidP="0015226E">
      <w:pPr>
        <w:ind w:left="851"/>
        <w:rPr>
          <w:noProof/>
          <w:sz w:val="24"/>
          <w:szCs w:val="24"/>
          <w:u w:val="single"/>
        </w:rPr>
      </w:pPr>
      <w:r w:rsidRPr="004D5AB1">
        <w:rPr>
          <w:noProof/>
          <w:sz w:val="24"/>
          <w:szCs w:val="24"/>
          <w:u w:val="single"/>
        </w:rPr>
        <w:t>P-glykoprotein (P-gp)</w:t>
      </w:r>
    </w:p>
    <w:p w14:paraId="77D97840" w14:textId="77777777" w:rsidR="00CA5F71" w:rsidRPr="004D5AB1" w:rsidRDefault="00CA5F71" w:rsidP="0015226E">
      <w:pPr>
        <w:ind w:left="851"/>
        <w:rPr>
          <w:noProof/>
          <w:sz w:val="24"/>
          <w:szCs w:val="24"/>
        </w:rPr>
      </w:pPr>
      <w:r w:rsidRPr="004D5AB1">
        <w:rPr>
          <w:noProof/>
          <w:sz w:val="24"/>
          <w:szCs w:val="24"/>
        </w:rPr>
        <w:t>Nintedanib er et substrat for P-gp (se pkt. 5.2). Administration sammen med den potente P-gp-hæmmer ketoconazol øgede eksponeringen for nintedanib 1,61 gange baseret på AUC og 1,83 gange baseret på C</w:t>
      </w:r>
      <w:r w:rsidRPr="004D5AB1">
        <w:rPr>
          <w:noProof/>
          <w:sz w:val="24"/>
          <w:szCs w:val="24"/>
          <w:vertAlign w:val="subscript"/>
        </w:rPr>
        <w:t>max</w:t>
      </w:r>
      <w:r w:rsidRPr="004D5AB1">
        <w:rPr>
          <w:noProof/>
          <w:sz w:val="24"/>
          <w:szCs w:val="24"/>
        </w:rPr>
        <w:t xml:space="preserve"> i et specifikt lægemiddel-lægemiddel interaktionsstudie. I et lægemiddel-lægemiddel interaktionsstudie med den potente P-gp-induktor rifampicin faldt eksponeringen for nintedanib til 50,3 % baseret på AUC og til 60,3 % baseret på C</w:t>
      </w:r>
      <w:r w:rsidRPr="004D5AB1">
        <w:rPr>
          <w:noProof/>
          <w:sz w:val="24"/>
          <w:szCs w:val="24"/>
          <w:vertAlign w:val="subscript"/>
        </w:rPr>
        <w:t>max</w:t>
      </w:r>
      <w:r w:rsidRPr="004D5AB1">
        <w:rPr>
          <w:noProof/>
          <w:sz w:val="24"/>
          <w:szCs w:val="24"/>
        </w:rPr>
        <w:t xml:space="preserve"> ved administration sammen med rifampicin sammenlignet med administration af nintedanib alene. Potente P-gp-hæmmere (f.eks. ketoconazol, erythromycin og ciclosporin) kan, hvis de administreres sammen med nintedanib, øge eksponeringen for nintedanib. I sådanne tilfælde bør patienterne kontrolleres tæt med hensyn til tolerabilitet af nintedanib. Håndtering af bivirkninger kan kræve behandlingsafbrydelse, dosisreduktion eller seponering af nintedanib (se pkt. 4.2).</w:t>
      </w:r>
    </w:p>
    <w:p w14:paraId="6CE733F2" w14:textId="77777777" w:rsidR="00CA5F71" w:rsidRPr="004D5AB1" w:rsidRDefault="00CA5F71" w:rsidP="0015226E">
      <w:pPr>
        <w:ind w:left="851"/>
        <w:rPr>
          <w:noProof/>
          <w:sz w:val="24"/>
          <w:szCs w:val="24"/>
        </w:rPr>
      </w:pPr>
      <w:r w:rsidRPr="004D5AB1">
        <w:rPr>
          <w:noProof/>
          <w:sz w:val="24"/>
          <w:szCs w:val="24"/>
        </w:rPr>
        <w:t>Potente P-gp-induktorer (f.eks. rifampicin, carbamazepin, phenytoin og perikon) kan reducere eksponeringen for nintedanib. Valg af et andet lægemiddel med intet eller kun svagt P-gp-induktionspotentiale skal overvejes.</w:t>
      </w:r>
    </w:p>
    <w:p w14:paraId="7CC0BF20" w14:textId="77777777" w:rsidR="00CA5F71" w:rsidRPr="004D5AB1" w:rsidRDefault="00CA5F71" w:rsidP="0015226E">
      <w:pPr>
        <w:ind w:left="851"/>
        <w:rPr>
          <w:noProof/>
          <w:sz w:val="24"/>
          <w:szCs w:val="24"/>
        </w:rPr>
      </w:pPr>
    </w:p>
    <w:p w14:paraId="09712457" w14:textId="77777777" w:rsidR="00CA5F71" w:rsidRPr="004D5AB1" w:rsidRDefault="00CA5F71" w:rsidP="0015226E">
      <w:pPr>
        <w:ind w:left="851"/>
        <w:rPr>
          <w:noProof/>
          <w:sz w:val="24"/>
          <w:szCs w:val="24"/>
          <w:u w:val="single"/>
        </w:rPr>
      </w:pPr>
      <w:r w:rsidRPr="004D5AB1">
        <w:rPr>
          <w:noProof/>
          <w:sz w:val="24"/>
          <w:szCs w:val="24"/>
          <w:u w:val="single"/>
        </w:rPr>
        <w:t>CYP-enzymer</w:t>
      </w:r>
    </w:p>
    <w:p w14:paraId="548BDEDE" w14:textId="77777777" w:rsidR="00CA5F71" w:rsidRPr="004D5AB1" w:rsidRDefault="00CA5F71" w:rsidP="0015226E">
      <w:pPr>
        <w:ind w:left="851"/>
        <w:rPr>
          <w:noProof/>
          <w:sz w:val="24"/>
          <w:szCs w:val="24"/>
        </w:rPr>
      </w:pPr>
      <w:r w:rsidRPr="004D5AB1">
        <w:rPr>
          <w:noProof/>
          <w:sz w:val="24"/>
          <w:szCs w:val="24"/>
        </w:rPr>
        <w:t>Nintedanibs biotransformation omfatter kun i mindre grad CYP-metaboliseringsveje. Nintedanib og dets metabolitter, den frie syre-del BIBF 1202 og dens glukuronid BIBF 1202-glukuronid, hverken hæmmede eller inducerede CYP-enzymer i prækliniske studier (se pkt. 5.2). Sandsynligheden for lægemiddel-lægemiddel interaktioner med nintedanib på grundlag af CYP-metabolisme anses derfor for at være lav.</w:t>
      </w:r>
    </w:p>
    <w:p w14:paraId="14F1CC82" w14:textId="77777777" w:rsidR="00CA5F71" w:rsidRPr="004D5AB1" w:rsidRDefault="00CA5F71" w:rsidP="0015226E">
      <w:pPr>
        <w:ind w:left="851"/>
        <w:rPr>
          <w:noProof/>
          <w:sz w:val="24"/>
          <w:szCs w:val="24"/>
        </w:rPr>
      </w:pPr>
    </w:p>
    <w:p w14:paraId="1B3F533F" w14:textId="77777777" w:rsidR="00CA5F71" w:rsidRPr="004D5AB1" w:rsidRDefault="00CA5F71" w:rsidP="0015226E">
      <w:pPr>
        <w:ind w:left="851"/>
        <w:rPr>
          <w:noProof/>
          <w:sz w:val="24"/>
          <w:szCs w:val="24"/>
          <w:u w:val="single"/>
        </w:rPr>
      </w:pPr>
      <w:r w:rsidRPr="004D5AB1">
        <w:rPr>
          <w:noProof/>
          <w:sz w:val="24"/>
          <w:szCs w:val="24"/>
          <w:u w:val="single"/>
        </w:rPr>
        <w:t>Administration sammen med andre lægemidler</w:t>
      </w:r>
    </w:p>
    <w:p w14:paraId="67695E51" w14:textId="77777777" w:rsidR="00CA5F71" w:rsidRPr="004D5AB1" w:rsidRDefault="00CA5F71" w:rsidP="0015226E">
      <w:pPr>
        <w:ind w:left="851"/>
        <w:rPr>
          <w:noProof/>
          <w:sz w:val="24"/>
          <w:szCs w:val="24"/>
        </w:rPr>
      </w:pPr>
      <w:r w:rsidRPr="004D5AB1">
        <w:rPr>
          <w:noProof/>
          <w:sz w:val="24"/>
          <w:szCs w:val="24"/>
        </w:rPr>
        <w:t>Administration af nintedanib sammen med orale hormonale kontraceptiva ændrede ikke de orale hormonale kontraceptivas farmakokinetik i et relevant omfang (se pkt. 5.2).</w:t>
      </w:r>
    </w:p>
    <w:p w14:paraId="50543FBD" w14:textId="77777777" w:rsidR="00CA5F71" w:rsidRPr="004D5AB1" w:rsidRDefault="00CA5F71" w:rsidP="0015226E">
      <w:pPr>
        <w:ind w:left="851"/>
        <w:rPr>
          <w:noProof/>
          <w:sz w:val="24"/>
          <w:szCs w:val="24"/>
        </w:rPr>
      </w:pPr>
    </w:p>
    <w:p w14:paraId="4B1E083B" w14:textId="77777777" w:rsidR="00CA5F71" w:rsidRPr="004D5AB1" w:rsidRDefault="00CA5F71" w:rsidP="0015226E">
      <w:pPr>
        <w:ind w:left="851"/>
        <w:rPr>
          <w:noProof/>
          <w:sz w:val="24"/>
          <w:szCs w:val="24"/>
        </w:rPr>
      </w:pPr>
      <w:r w:rsidRPr="004D5AB1">
        <w:rPr>
          <w:noProof/>
          <w:sz w:val="24"/>
          <w:szCs w:val="24"/>
        </w:rPr>
        <w:t>Administration af nintedanib sammen med bosentan ændrede ikke nintedanibs farmakokinetik (se pkt. 5.2).</w:t>
      </w:r>
    </w:p>
    <w:p w14:paraId="76BF4A3B" w14:textId="77777777" w:rsidR="009260DE" w:rsidRPr="004D5AB1" w:rsidRDefault="009260DE" w:rsidP="009260DE">
      <w:pPr>
        <w:tabs>
          <w:tab w:val="left" w:pos="851"/>
        </w:tabs>
        <w:ind w:left="851"/>
        <w:rPr>
          <w:sz w:val="24"/>
          <w:szCs w:val="24"/>
        </w:rPr>
      </w:pPr>
    </w:p>
    <w:p w14:paraId="238F9F30" w14:textId="77777777" w:rsidR="009260DE" w:rsidRPr="004D5AB1" w:rsidRDefault="009260DE" w:rsidP="009260DE">
      <w:pPr>
        <w:tabs>
          <w:tab w:val="left" w:pos="851"/>
        </w:tabs>
        <w:ind w:left="851" w:hanging="851"/>
        <w:rPr>
          <w:b/>
          <w:sz w:val="24"/>
          <w:szCs w:val="24"/>
        </w:rPr>
      </w:pPr>
      <w:r w:rsidRPr="004D5AB1">
        <w:rPr>
          <w:b/>
          <w:sz w:val="24"/>
          <w:szCs w:val="24"/>
        </w:rPr>
        <w:t>4.6</w:t>
      </w:r>
      <w:r w:rsidRPr="004D5AB1">
        <w:rPr>
          <w:b/>
          <w:sz w:val="24"/>
          <w:szCs w:val="24"/>
        </w:rPr>
        <w:tab/>
      </w:r>
      <w:r w:rsidR="0071241E" w:rsidRPr="004D5AB1">
        <w:rPr>
          <w:b/>
          <w:sz w:val="24"/>
          <w:szCs w:val="24"/>
        </w:rPr>
        <w:t>Fertilitet, g</w:t>
      </w:r>
      <w:r w:rsidRPr="004D5AB1">
        <w:rPr>
          <w:b/>
          <w:sz w:val="24"/>
          <w:szCs w:val="24"/>
        </w:rPr>
        <w:t>raviditet og amning</w:t>
      </w:r>
    </w:p>
    <w:p w14:paraId="7F42AAEB" w14:textId="77777777" w:rsidR="0099618E" w:rsidRDefault="0099618E" w:rsidP="0015226E">
      <w:pPr>
        <w:ind w:left="851"/>
        <w:rPr>
          <w:noProof/>
          <w:sz w:val="24"/>
          <w:szCs w:val="24"/>
          <w:u w:val="single"/>
        </w:rPr>
      </w:pPr>
    </w:p>
    <w:p w14:paraId="4A869DEA" w14:textId="11157553" w:rsidR="00CA5F71" w:rsidRPr="004D5AB1" w:rsidRDefault="00CA5F71" w:rsidP="0015226E">
      <w:pPr>
        <w:ind w:left="851"/>
        <w:rPr>
          <w:noProof/>
          <w:sz w:val="24"/>
          <w:szCs w:val="24"/>
          <w:u w:val="single"/>
        </w:rPr>
      </w:pPr>
      <w:r w:rsidRPr="004D5AB1">
        <w:rPr>
          <w:noProof/>
          <w:sz w:val="24"/>
          <w:szCs w:val="24"/>
          <w:u w:val="single"/>
        </w:rPr>
        <w:t>Fertile kvinder/prævention</w:t>
      </w:r>
    </w:p>
    <w:p w14:paraId="2964FA24" w14:textId="77777777" w:rsidR="00CA5F71" w:rsidRPr="004D5AB1" w:rsidRDefault="00CA5F71" w:rsidP="0015226E">
      <w:pPr>
        <w:ind w:left="851"/>
        <w:rPr>
          <w:noProof/>
          <w:sz w:val="24"/>
          <w:szCs w:val="24"/>
        </w:rPr>
      </w:pPr>
      <w:r w:rsidRPr="004D5AB1">
        <w:rPr>
          <w:noProof/>
          <w:sz w:val="24"/>
          <w:szCs w:val="24"/>
        </w:rPr>
        <w:t>Nintedanib kan forårsage fosterskader hos mennesker (se pkt. 5.3). Fertile kvinder skal rådes til at undgå at blive gravide, mens de er i behandling med nintedanib, og bruge meget sikre kontraceptionsmetoder ved initieringen af, under behandlingen med og i mindst 3 måneder efter den sidste dosis af nintedanib. Nintedanib påvirker ikke ethinylestradiols og levonorgestrels plasmaeksponering i relevant grad (se pkt. 5.2) Virkningen af orale hormonale kontraceptiva kan blive kompromitteret pga. opkastning og/eller diarré eller andre tilstande, hvor absorptionen kan blive påvirket. Kvinder, som tager orale hormonale kontraceptiva, og som oplever disse tilstande, skal rådes til at anvende en alternativ meget sikker præventionsmetode.</w:t>
      </w:r>
    </w:p>
    <w:p w14:paraId="21DD12A5" w14:textId="77777777" w:rsidR="00CA5F71" w:rsidRPr="004D5AB1" w:rsidRDefault="00CA5F71" w:rsidP="0015226E">
      <w:pPr>
        <w:ind w:left="851"/>
        <w:rPr>
          <w:noProof/>
          <w:sz w:val="24"/>
          <w:szCs w:val="24"/>
        </w:rPr>
      </w:pPr>
    </w:p>
    <w:p w14:paraId="3920F612" w14:textId="77777777" w:rsidR="00CA5F71" w:rsidRPr="004D5AB1" w:rsidRDefault="00CA5F71" w:rsidP="0015226E">
      <w:pPr>
        <w:ind w:left="851"/>
        <w:rPr>
          <w:noProof/>
          <w:sz w:val="24"/>
          <w:szCs w:val="24"/>
          <w:u w:val="single"/>
        </w:rPr>
      </w:pPr>
      <w:r w:rsidRPr="004D5AB1">
        <w:rPr>
          <w:noProof/>
          <w:sz w:val="24"/>
          <w:szCs w:val="24"/>
          <w:u w:val="single"/>
        </w:rPr>
        <w:t>Graviditet</w:t>
      </w:r>
    </w:p>
    <w:p w14:paraId="408CD7DF" w14:textId="77777777" w:rsidR="00CA5F71" w:rsidRPr="004D5AB1" w:rsidRDefault="00CA5F71" w:rsidP="0015226E">
      <w:pPr>
        <w:ind w:left="851"/>
        <w:rPr>
          <w:noProof/>
          <w:sz w:val="24"/>
          <w:szCs w:val="24"/>
        </w:rPr>
      </w:pPr>
      <w:r w:rsidRPr="004D5AB1">
        <w:rPr>
          <w:noProof/>
          <w:sz w:val="24"/>
          <w:szCs w:val="24"/>
        </w:rPr>
        <w:t xml:space="preserve">Der er ingen information om anvendelse af nintedanib til gravide kvinder, men prækliniske dyrestudier har vist reproduktionstoksicitet af dette aktive stof (se pkt. 5.3). Da nintedanib </w:t>
      </w:r>
      <w:r w:rsidRPr="004D5AB1">
        <w:rPr>
          <w:noProof/>
          <w:sz w:val="24"/>
          <w:szCs w:val="24"/>
        </w:rPr>
        <w:lastRenderedPageBreak/>
        <w:t>måske også kan forårsage fosterskader hos mennesker, må det ikke anvendes under graviditet (se pkt. 4.3), og der skal tages en graviditetstest forud forbehandlingen med nintedanib, og under behandlingen hvis relevant.</w:t>
      </w:r>
    </w:p>
    <w:p w14:paraId="76425CDA" w14:textId="77777777" w:rsidR="00CA5F71" w:rsidRPr="004D5AB1" w:rsidRDefault="00CA5F71" w:rsidP="0015226E">
      <w:pPr>
        <w:ind w:left="851"/>
        <w:rPr>
          <w:noProof/>
          <w:sz w:val="24"/>
          <w:szCs w:val="24"/>
        </w:rPr>
      </w:pPr>
    </w:p>
    <w:p w14:paraId="6AF1050A" w14:textId="77777777" w:rsidR="00CA5F71" w:rsidRPr="004D5AB1" w:rsidRDefault="00CA5F71" w:rsidP="0015226E">
      <w:pPr>
        <w:ind w:left="851"/>
        <w:rPr>
          <w:noProof/>
          <w:sz w:val="24"/>
          <w:szCs w:val="24"/>
        </w:rPr>
      </w:pPr>
      <w:r w:rsidRPr="004D5AB1">
        <w:rPr>
          <w:noProof/>
          <w:sz w:val="24"/>
          <w:szCs w:val="24"/>
        </w:rPr>
        <w:t>Kvindelige patienter skal informeres om at underrette deres læge eller apotekspersonalet, hvis de bliver gravide under behandling med nintedanib.</w:t>
      </w:r>
    </w:p>
    <w:p w14:paraId="3B5B3590" w14:textId="77777777" w:rsidR="00CA5F71" w:rsidRPr="004D5AB1" w:rsidRDefault="00CA5F71" w:rsidP="0015226E">
      <w:pPr>
        <w:ind w:left="851"/>
        <w:rPr>
          <w:noProof/>
          <w:sz w:val="24"/>
          <w:szCs w:val="24"/>
        </w:rPr>
      </w:pPr>
    </w:p>
    <w:p w14:paraId="3522A291" w14:textId="77777777" w:rsidR="00CA5F71" w:rsidRPr="004D5AB1" w:rsidRDefault="00CA5F71" w:rsidP="0015226E">
      <w:pPr>
        <w:ind w:left="851"/>
        <w:rPr>
          <w:noProof/>
          <w:sz w:val="24"/>
          <w:szCs w:val="24"/>
        </w:rPr>
      </w:pPr>
      <w:r w:rsidRPr="004D5AB1">
        <w:rPr>
          <w:noProof/>
          <w:sz w:val="24"/>
          <w:szCs w:val="24"/>
        </w:rPr>
        <w:t>Hvis en patient bliver gravid under behandling med nintedanib, skal behandlingen seponeres og hun skal gøres opmærksom på den mulige risiko for fosteret.</w:t>
      </w:r>
    </w:p>
    <w:p w14:paraId="0CC35292" w14:textId="77777777" w:rsidR="00CA5F71" w:rsidRPr="004D5AB1" w:rsidRDefault="00CA5F71" w:rsidP="0015226E">
      <w:pPr>
        <w:ind w:left="851"/>
        <w:rPr>
          <w:noProof/>
          <w:sz w:val="24"/>
          <w:szCs w:val="24"/>
        </w:rPr>
      </w:pPr>
    </w:p>
    <w:p w14:paraId="3C435FDD" w14:textId="77777777" w:rsidR="00CA5F71" w:rsidRPr="004D5AB1" w:rsidRDefault="00CA5F71" w:rsidP="0015226E">
      <w:pPr>
        <w:ind w:left="851"/>
        <w:rPr>
          <w:noProof/>
          <w:sz w:val="24"/>
          <w:szCs w:val="24"/>
          <w:u w:val="single"/>
        </w:rPr>
      </w:pPr>
      <w:r w:rsidRPr="004D5AB1">
        <w:rPr>
          <w:noProof/>
          <w:sz w:val="24"/>
          <w:szCs w:val="24"/>
          <w:u w:val="single"/>
        </w:rPr>
        <w:t>Amning</w:t>
      </w:r>
    </w:p>
    <w:p w14:paraId="7FC17D4B" w14:textId="77777777" w:rsidR="00CA5F71" w:rsidRPr="004D5AB1" w:rsidRDefault="00CA5F71" w:rsidP="0015226E">
      <w:pPr>
        <w:ind w:left="851"/>
        <w:rPr>
          <w:noProof/>
          <w:sz w:val="24"/>
          <w:szCs w:val="24"/>
        </w:rPr>
      </w:pPr>
      <w:r w:rsidRPr="004D5AB1">
        <w:rPr>
          <w:noProof/>
          <w:sz w:val="24"/>
          <w:szCs w:val="24"/>
        </w:rPr>
        <w:t>Der er ingen information om udskillelse af nintedanib og dets metabolitter i human mælk. Prækliniske studier viste, at små mængder nintedanib og dets metabolitter (≤0,5 % af den administrerede dosis) blev udskilt i mælken hos diegivende rotter. En risiko for nyfødte/spædbørn kan ikke udelukkes. Amning bør ophøre under behandling med nintedanib.</w:t>
      </w:r>
    </w:p>
    <w:p w14:paraId="3CF0A88C" w14:textId="77777777" w:rsidR="00CA5F71" w:rsidRPr="004D5AB1" w:rsidRDefault="00CA5F71" w:rsidP="0015226E">
      <w:pPr>
        <w:ind w:left="851"/>
        <w:rPr>
          <w:noProof/>
          <w:sz w:val="24"/>
          <w:szCs w:val="24"/>
        </w:rPr>
      </w:pPr>
    </w:p>
    <w:p w14:paraId="777ED7E6" w14:textId="77777777" w:rsidR="00CA5F71" w:rsidRPr="004D5AB1" w:rsidRDefault="00CA5F71" w:rsidP="0015226E">
      <w:pPr>
        <w:ind w:left="851"/>
        <w:rPr>
          <w:noProof/>
          <w:sz w:val="24"/>
          <w:szCs w:val="24"/>
          <w:u w:val="single"/>
        </w:rPr>
      </w:pPr>
      <w:r w:rsidRPr="004D5AB1">
        <w:rPr>
          <w:noProof/>
          <w:sz w:val="24"/>
          <w:szCs w:val="24"/>
          <w:u w:val="single"/>
        </w:rPr>
        <w:t>Fertilitet</w:t>
      </w:r>
    </w:p>
    <w:p w14:paraId="582D98FA" w14:textId="77777777" w:rsidR="00CA5F71" w:rsidRPr="004D5AB1" w:rsidRDefault="00CA5F71" w:rsidP="0015226E">
      <w:pPr>
        <w:ind w:left="851"/>
        <w:rPr>
          <w:noProof/>
          <w:sz w:val="24"/>
          <w:szCs w:val="24"/>
        </w:rPr>
      </w:pPr>
      <w:r w:rsidRPr="004D5AB1">
        <w:rPr>
          <w:noProof/>
          <w:sz w:val="24"/>
          <w:szCs w:val="24"/>
        </w:rPr>
        <w:t>Prækliniske undersøgelser har ikke givet evidens for nedsættelse af fertiliteten hos hanner (se pkt. 5.3). Subkroniske og kroniske toksicitetsstudier giver ikke evidens for, at fertiliteten hos hunrotter forringes ved en systemisk eksponering, der kan sammenlignes med eksponeringen ved den maksimale, anbefalede humane dosis (MRHD) på 150 mg to gange dagligt (se pkt. 5.3).</w:t>
      </w:r>
    </w:p>
    <w:p w14:paraId="7E456130" w14:textId="77777777" w:rsidR="009260DE" w:rsidRPr="004D5AB1" w:rsidRDefault="009260DE" w:rsidP="009260DE">
      <w:pPr>
        <w:tabs>
          <w:tab w:val="left" w:pos="851"/>
        </w:tabs>
        <w:ind w:left="851"/>
        <w:rPr>
          <w:sz w:val="24"/>
          <w:szCs w:val="24"/>
        </w:rPr>
      </w:pPr>
    </w:p>
    <w:p w14:paraId="46AE6FFD" w14:textId="77777777" w:rsidR="009260DE" w:rsidRPr="004D5AB1" w:rsidRDefault="009260DE" w:rsidP="009260DE">
      <w:pPr>
        <w:tabs>
          <w:tab w:val="left" w:pos="851"/>
        </w:tabs>
        <w:ind w:left="851" w:hanging="851"/>
        <w:rPr>
          <w:b/>
          <w:sz w:val="24"/>
          <w:szCs w:val="24"/>
        </w:rPr>
      </w:pPr>
      <w:r w:rsidRPr="004D5AB1">
        <w:rPr>
          <w:b/>
          <w:sz w:val="24"/>
          <w:szCs w:val="24"/>
        </w:rPr>
        <w:t>4.7</w:t>
      </w:r>
      <w:r w:rsidRPr="004D5AB1">
        <w:rPr>
          <w:b/>
          <w:sz w:val="24"/>
          <w:szCs w:val="24"/>
        </w:rPr>
        <w:tab/>
        <w:t xml:space="preserve">Virkning på evnen til at føre motorkøretøj </w:t>
      </w:r>
      <w:r w:rsidR="0071241E" w:rsidRPr="004D5AB1">
        <w:rPr>
          <w:b/>
          <w:sz w:val="24"/>
          <w:szCs w:val="24"/>
        </w:rPr>
        <w:t>og</w:t>
      </w:r>
      <w:r w:rsidRPr="004D5AB1">
        <w:rPr>
          <w:b/>
          <w:sz w:val="24"/>
          <w:szCs w:val="24"/>
        </w:rPr>
        <w:t xml:space="preserve"> betjene maskiner</w:t>
      </w:r>
    </w:p>
    <w:p w14:paraId="0AE2183E" w14:textId="77777777" w:rsidR="00CA5F71" w:rsidRPr="004D5AB1" w:rsidRDefault="00CA5F71" w:rsidP="0015226E">
      <w:pPr>
        <w:ind w:left="851"/>
        <w:rPr>
          <w:sz w:val="24"/>
          <w:szCs w:val="24"/>
        </w:rPr>
      </w:pPr>
      <w:r w:rsidRPr="004D5AB1">
        <w:rPr>
          <w:sz w:val="24"/>
          <w:szCs w:val="24"/>
        </w:rPr>
        <w:t>Ikke mærkning.</w:t>
      </w:r>
    </w:p>
    <w:p w14:paraId="1EC8B746" w14:textId="77777777" w:rsidR="00CA5F71" w:rsidRPr="004D5AB1" w:rsidRDefault="00CA5F71" w:rsidP="0015226E">
      <w:pPr>
        <w:ind w:left="851"/>
        <w:rPr>
          <w:sz w:val="24"/>
          <w:szCs w:val="24"/>
        </w:rPr>
      </w:pPr>
      <w:proofErr w:type="spellStart"/>
      <w:r w:rsidRPr="004D5AB1">
        <w:rPr>
          <w:sz w:val="24"/>
          <w:szCs w:val="24"/>
        </w:rPr>
        <w:t>Nintedanib</w:t>
      </w:r>
      <w:proofErr w:type="spellEnd"/>
      <w:r w:rsidRPr="004D5AB1">
        <w:rPr>
          <w:sz w:val="24"/>
          <w:szCs w:val="24"/>
        </w:rPr>
        <w:t xml:space="preserve"> påvirker i mindre grad evnen til at føre motorkøretøj og betjene maskiner. Patienterne skal rådes til at udvise forsigtighed, når de fører motorkøretøj og betjener maskiner under behandling med </w:t>
      </w:r>
      <w:proofErr w:type="spellStart"/>
      <w:r w:rsidRPr="004D5AB1">
        <w:rPr>
          <w:sz w:val="24"/>
          <w:szCs w:val="24"/>
        </w:rPr>
        <w:t>nintedanib</w:t>
      </w:r>
      <w:proofErr w:type="spellEnd"/>
      <w:r w:rsidRPr="004D5AB1">
        <w:rPr>
          <w:sz w:val="24"/>
          <w:szCs w:val="24"/>
        </w:rPr>
        <w:t>.</w:t>
      </w:r>
    </w:p>
    <w:p w14:paraId="1DCAD18B" w14:textId="77777777" w:rsidR="009260DE" w:rsidRPr="004D5AB1" w:rsidRDefault="009260DE" w:rsidP="009260DE">
      <w:pPr>
        <w:tabs>
          <w:tab w:val="left" w:pos="851"/>
        </w:tabs>
        <w:ind w:left="851"/>
        <w:rPr>
          <w:sz w:val="24"/>
          <w:szCs w:val="24"/>
        </w:rPr>
      </w:pPr>
    </w:p>
    <w:p w14:paraId="08D59259" w14:textId="77777777" w:rsidR="009260DE" w:rsidRPr="004D5AB1" w:rsidRDefault="009260DE" w:rsidP="009260DE">
      <w:pPr>
        <w:tabs>
          <w:tab w:val="left" w:pos="851"/>
        </w:tabs>
        <w:ind w:left="851" w:hanging="851"/>
        <w:rPr>
          <w:b/>
          <w:sz w:val="24"/>
          <w:szCs w:val="24"/>
        </w:rPr>
      </w:pPr>
      <w:r w:rsidRPr="004D5AB1">
        <w:rPr>
          <w:b/>
          <w:sz w:val="24"/>
          <w:szCs w:val="24"/>
        </w:rPr>
        <w:t>4.8</w:t>
      </w:r>
      <w:r w:rsidRPr="004D5AB1">
        <w:rPr>
          <w:b/>
          <w:sz w:val="24"/>
          <w:szCs w:val="24"/>
        </w:rPr>
        <w:tab/>
        <w:t>Bivirkninger</w:t>
      </w:r>
    </w:p>
    <w:p w14:paraId="1CEC6B41" w14:textId="77777777" w:rsidR="0099618E" w:rsidRDefault="0099618E" w:rsidP="0015226E">
      <w:pPr>
        <w:ind w:left="851"/>
        <w:rPr>
          <w:noProof/>
          <w:sz w:val="24"/>
          <w:szCs w:val="24"/>
          <w:u w:val="single"/>
        </w:rPr>
      </w:pPr>
    </w:p>
    <w:p w14:paraId="147A7699" w14:textId="3BA3FB4C" w:rsidR="00CA5F71" w:rsidRPr="004D5AB1" w:rsidRDefault="00CA5F71" w:rsidP="0015226E">
      <w:pPr>
        <w:ind w:left="851"/>
        <w:rPr>
          <w:i/>
          <w:noProof/>
          <w:sz w:val="24"/>
          <w:szCs w:val="24"/>
        </w:rPr>
      </w:pPr>
      <w:r w:rsidRPr="004D5AB1">
        <w:rPr>
          <w:noProof/>
          <w:sz w:val="24"/>
          <w:szCs w:val="24"/>
          <w:u w:val="single"/>
        </w:rPr>
        <w:t>Oversigt over sikkerhedsprofilen</w:t>
      </w:r>
    </w:p>
    <w:p w14:paraId="39248A39" w14:textId="77777777" w:rsidR="00CA5F71" w:rsidRPr="004D5AB1" w:rsidRDefault="00CA5F71" w:rsidP="0015226E">
      <w:pPr>
        <w:ind w:left="851"/>
        <w:rPr>
          <w:iCs/>
          <w:noProof/>
          <w:sz w:val="24"/>
          <w:szCs w:val="24"/>
        </w:rPr>
      </w:pPr>
      <w:r w:rsidRPr="004D5AB1">
        <w:rPr>
          <w:iCs/>
          <w:noProof/>
          <w:sz w:val="24"/>
          <w:szCs w:val="24"/>
        </w:rPr>
        <w:t>I kliniske studier og under erfaring efter markedsføring omfattede de hyppigst indberettede bivirkninger forbundet med nintedanib diarré, kvalme og opkastning, abdominalsmerter, nedsat appetit, vægttab og forhøjede leverenzymer.</w:t>
      </w:r>
    </w:p>
    <w:p w14:paraId="49D780DA" w14:textId="77777777" w:rsidR="00CA5F71" w:rsidRPr="004D5AB1" w:rsidRDefault="00CA5F71" w:rsidP="0015226E">
      <w:pPr>
        <w:ind w:left="851"/>
        <w:rPr>
          <w:iCs/>
          <w:noProof/>
          <w:sz w:val="24"/>
          <w:szCs w:val="24"/>
        </w:rPr>
      </w:pPr>
    </w:p>
    <w:p w14:paraId="6B77045C" w14:textId="77777777" w:rsidR="00CA5F71" w:rsidRPr="004D5AB1" w:rsidRDefault="00CA5F71" w:rsidP="0015226E">
      <w:pPr>
        <w:ind w:left="851"/>
        <w:rPr>
          <w:iCs/>
          <w:noProof/>
          <w:sz w:val="24"/>
          <w:szCs w:val="24"/>
        </w:rPr>
      </w:pPr>
      <w:r w:rsidRPr="004D5AB1">
        <w:rPr>
          <w:iCs/>
          <w:noProof/>
          <w:sz w:val="24"/>
          <w:szCs w:val="24"/>
        </w:rPr>
        <w:t>Vedrørende håndtering af udvalgte bivirkninger, se pkt. 4.4.</w:t>
      </w:r>
    </w:p>
    <w:p w14:paraId="4FEF1D1B" w14:textId="77777777" w:rsidR="00CA5F71" w:rsidRPr="004D5AB1" w:rsidRDefault="00CA5F71" w:rsidP="0015226E">
      <w:pPr>
        <w:ind w:left="851"/>
        <w:rPr>
          <w:iCs/>
          <w:noProof/>
          <w:sz w:val="24"/>
          <w:szCs w:val="24"/>
        </w:rPr>
      </w:pPr>
    </w:p>
    <w:p w14:paraId="233C6D00" w14:textId="77777777" w:rsidR="00CA5F71" w:rsidRPr="004D5AB1" w:rsidRDefault="00CA5F71" w:rsidP="0015226E">
      <w:pPr>
        <w:ind w:left="851"/>
        <w:rPr>
          <w:i/>
          <w:noProof/>
          <w:sz w:val="24"/>
          <w:szCs w:val="24"/>
        </w:rPr>
      </w:pPr>
      <w:r w:rsidRPr="004D5AB1">
        <w:rPr>
          <w:noProof/>
          <w:sz w:val="24"/>
          <w:szCs w:val="24"/>
          <w:u w:val="single"/>
        </w:rPr>
        <w:t>Tabel over bivirkninger</w:t>
      </w:r>
    </w:p>
    <w:p w14:paraId="602E6AD2" w14:textId="77777777" w:rsidR="00CA5F71" w:rsidRPr="004D5AB1" w:rsidRDefault="00CA5F71" w:rsidP="0015226E">
      <w:pPr>
        <w:ind w:left="851"/>
        <w:rPr>
          <w:noProof/>
          <w:sz w:val="24"/>
          <w:szCs w:val="24"/>
        </w:rPr>
      </w:pPr>
      <w:r w:rsidRPr="004D5AB1">
        <w:rPr>
          <w:iCs/>
          <w:noProof/>
          <w:sz w:val="24"/>
          <w:szCs w:val="24"/>
        </w:rPr>
        <w:t xml:space="preserve">Tabel 1 er en oversigt over bivirkninger i henhold til MedDRA-systemorganklasse (SOC) og hyppighedskategori ved brug af den følgende konvention: </w:t>
      </w:r>
      <w:r w:rsidRPr="004D5AB1">
        <w:rPr>
          <w:noProof/>
          <w:sz w:val="24"/>
          <w:szCs w:val="24"/>
        </w:rPr>
        <w:t>meget almindelig (≥1/10), almindelig (≥1/100 til &lt;1/10), ikke almindelig (≥1/1.000 til &lt;1/100), sjælden (≥1/10.000 til &lt;1/1.000), meget sjælden (&lt;1/10.000) og ikke kendt (kan ikke estimeres ud fra forhåndenværende data).</w:t>
      </w:r>
    </w:p>
    <w:p w14:paraId="6FC4E19D" w14:textId="34DB4B85" w:rsidR="0099618E" w:rsidRDefault="0099618E">
      <w:pPr>
        <w:rPr>
          <w:iCs/>
          <w:noProof/>
          <w:sz w:val="24"/>
          <w:szCs w:val="24"/>
        </w:rPr>
      </w:pPr>
      <w:r>
        <w:rPr>
          <w:iCs/>
          <w:noProof/>
          <w:sz w:val="24"/>
          <w:szCs w:val="24"/>
        </w:rPr>
        <w:br w:type="page"/>
      </w:r>
    </w:p>
    <w:p w14:paraId="5BECFBEA" w14:textId="77777777" w:rsidR="00CA5F71" w:rsidRPr="004D5AB1" w:rsidRDefault="00CA5F71" w:rsidP="00CA5F71">
      <w:pPr>
        <w:tabs>
          <w:tab w:val="left" w:pos="1365"/>
        </w:tabs>
        <w:rPr>
          <w:iCs/>
          <w:noProof/>
          <w:sz w:val="24"/>
          <w:szCs w:val="24"/>
        </w:rPr>
      </w:pPr>
    </w:p>
    <w:p w14:paraId="6F103061" w14:textId="77777777" w:rsidR="00CA5F71" w:rsidRPr="004D5AB1" w:rsidRDefault="00CA5F71" w:rsidP="00CA5F71">
      <w:pPr>
        <w:tabs>
          <w:tab w:val="left" w:pos="1365"/>
        </w:tabs>
        <w:rPr>
          <w:iCs/>
          <w:noProof/>
          <w:sz w:val="24"/>
          <w:szCs w:val="24"/>
        </w:rPr>
      </w:pPr>
      <w:r w:rsidRPr="004D5AB1">
        <w:rPr>
          <w:b/>
          <w:bCs/>
          <w:iCs/>
          <w:noProof/>
          <w:sz w:val="24"/>
          <w:szCs w:val="24"/>
        </w:rPr>
        <w:t xml:space="preserve">Tabel 1: </w:t>
      </w:r>
      <w:r w:rsidRPr="004D5AB1">
        <w:rPr>
          <w:b/>
          <w:bCs/>
          <w:iCs/>
          <w:noProof/>
          <w:sz w:val="24"/>
          <w:szCs w:val="24"/>
        </w:rPr>
        <w:tab/>
        <w:t>Oversigt over bivirkninger efter hyppighedskategori</w:t>
      </w:r>
    </w:p>
    <w:tbl>
      <w:tblPr>
        <w:tblStyle w:val="Tabel-Gitter"/>
        <w:tblW w:w="5000" w:type="pct"/>
        <w:tblInd w:w="0" w:type="dxa"/>
        <w:tblLook w:val="04A0" w:firstRow="1" w:lastRow="0" w:firstColumn="1" w:lastColumn="0" w:noHBand="0" w:noVBand="1"/>
      </w:tblPr>
      <w:tblGrid>
        <w:gridCol w:w="2632"/>
        <w:gridCol w:w="2330"/>
        <w:gridCol w:w="2332"/>
        <w:gridCol w:w="2334"/>
      </w:tblGrid>
      <w:tr w:rsidR="00CA5F71" w:rsidRPr="004D5AB1" w14:paraId="43A5E6B6" w14:textId="77777777" w:rsidTr="0015226E">
        <w:trPr>
          <w:tblHeader/>
        </w:trPr>
        <w:tc>
          <w:tcPr>
            <w:tcW w:w="1367" w:type="pct"/>
            <w:tcBorders>
              <w:top w:val="single" w:sz="4" w:space="0" w:color="auto"/>
              <w:left w:val="single" w:sz="4" w:space="0" w:color="auto"/>
              <w:bottom w:val="single" w:sz="4" w:space="0" w:color="auto"/>
              <w:right w:val="single" w:sz="4" w:space="0" w:color="auto"/>
            </w:tcBorders>
          </w:tcPr>
          <w:p w14:paraId="5B1CEC40" w14:textId="77777777" w:rsidR="00CA5F71" w:rsidRPr="004D5AB1" w:rsidRDefault="00CA5F71">
            <w:pPr>
              <w:rPr>
                <w:iCs/>
                <w:noProof/>
                <w:sz w:val="24"/>
                <w:szCs w:val="24"/>
              </w:rPr>
            </w:pPr>
          </w:p>
        </w:tc>
        <w:tc>
          <w:tcPr>
            <w:tcW w:w="3633" w:type="pct"/>
            <w:gridSpan w:val="3"/>
            <w:tcBorders>
              <w:top w:val="single" w:sz="4" w:space="0" w:color="auto"/>
              <w:left w:val="single" w:sz="4" w:space="0" w:color="auto"/>
              <w:bottom w:val="single" w:sz="4" w:space="0" w:color="auto"/>
              <w:right w:val="single" w:sz="4" w:space="0" w:color="auto"/>
            </w:tcBorders>
            <w:hideMark/>
          </w:tcPr>
          <w:p w14:paraId="7FA04C8E" w14:textId="77777777" w:rsidR="00CA5F71" w:rsidRPr="004D5AB1" w:rsidRDefault="00CA5F71">
            <w:pPr>
              <w:jc w:val="center"/>
              <w:rPr>
                <w:b/>
                <w:bCs/>
                <w:iCs/>
                <w:noProof/>
                <w:sz w:val="24"/>
                <w:szCs w:val="24"/>
              </w:rPr>
            </w:pPr>
            <w:r w:rsidRPr="004D5AB1">
              <w:rPr>
                <w:b/>
                <w:bCs/>
                <w:iCs/>
                <w:noProof/>
                <w:sz w:val="24"/>
                <w:szCs w:val="24"/>
              </w:rPr>
              <w:t>Hyppighed</w:t>
            </w:r>
          </w:p>
        </w:tc>
      </w:tr>
      <w:tr w:rsidR="00CA5F71" w:rsidRPr="004D5AB1" w14:paraId="035A0F1B" w14:textId="77777777" w:rsidTr="0015226E">
        <w:trPr>
          <w:tblHeader/>
        </w:trPr>
        <w:tc>
          <w:tcPr>
            <w:tcW w:w="1367" w:type="pct"/>
            <w:tcBorders>
              <w:top w:val="single" w:sz="4" w:space="0" w:color="auto"/>
              <w:left w:val="single" w:sz="4" w:space="0" w:color="auto"/>
              <w:bottom w:val="single" w:sz="4" w:space="0" w:color="auto"/>
              <w:right w:val="single" w:sz="4" w:space="0" w:color="auto"/>
            </w:tcBorders>
            <w:hideMark/>
          </w:tcPr>
          <w:p w14:paraId="4E90A929" w14:textId="77777777" w:rsidR="00CA5F71" w:rsidRPr="004D5AB1" w:rsidRDefault="00CA5F71">
            <w:pPr>
              <w:jc w:val="center"/>
              <w:rPr>
                <w:b/>
                <w:bCs/>
                <w:iCs/>
                <w:noProof/>
                <w:sz w:val="24"/>
                <w:szCs w:val="24"/>
              </w:rPr>
            </w:pPr>
            <w:r w:rsidRPr="004D5AB1">
              <w:rPr>
                <w:b/>
                <w:bCs/>
                <w:iCs/>
                <w:noProof/>
                <w:sz w:val="24"/>
                <w:szCs w:val="24"/>
              </w:rPr>
              <w:t>Systemorganklasse foretrukken term</w:t>
            </w:r>
          </w:p>
        </w:tc>
        <w:tc>
          <w:tcPr>
            <w:tcW w:w="1210" w:type="pct"/>
            <w:tcBorders>
              <w:top w:val="single" w:sz="4" w:space="0" w:color="auto"/>
              <w:left w:val="single" w:sz="4" w:space="0" w:color="auto"/>
              <w:bottom w:val="single" w:sz="4" w:space="0" w:color="auto"/>
              <w:right w:val="single" w:sz="4" w:space="0" w:color="auto"/>
            </w:tcBorders>
            <w:hideMark/>
          </w:tcPr>
          <w:p w14:paraId="1EB669F4" w14:textId="77777777" w:rsidR="00CA5F71" w:rsidRPr="004D5AB1" w:rsidRDefault="00CA5F71">
            <w:pPr>
              <w:jc w:val="center"/>
              <w:rPr>
                <w:iCs/>
                <w:noProof/>
                <w:sz w:val="24"/>
                <w:szCs w:val="24"/>
              </w:rPr>
            </w:pPr>
            <w:r w:rsidRPr="004D5AB1">
              <w:rPr>
                <w:b/>
                <w:bCs/>
                <w:iCs/>
                <w:noProof/>
                <w:sz w:val="24"/>
                <w:szCs w:val="24"/>
              </w:rPr>
              <w:t>Idiopatisk lungefibrose</w:t>
            </w:r>
          </w:p>
        </w:tc>
        <w:tc>
          <w:tcPr>
            <w:tcW w:w="1211" w:type="pct"/>
            <w:tcBorders>
              <w:top w:val="single" w:sz="4" w:space="0" w:color="auto"/>
              <w:left w:val="single" w:sz="4" w:space="0" w:color="auto"/>
              <w:bottom w:val="single" w:sz="4" w:space="0" w:color="auto"/>
              <w:right w:val="single" w:sz="4" w:space="0" w:color="auto"/>
            </w:tcBorders>
            <w:hideMark/>
          </w:tcPr>
          <w:p w14:paraId="570B8A3C" w14:textId="77777777" w:rsidR="00CA5F71" w:rsidRPr="004D5AB1" w:rsidRDefault="00CA5F71">
            <w:pPr>
              <w:jc w:val="center"/>
              <w:rPr>
                <w:iCs/>
                <w:noProof/>
                <w:sz w:val="24"/>
                <w:szCs w:val="24"/>
              </w:rPr>
            </w:pPr>
            <w:r w:rsidRPr="004D5AB1">
              <w:rPr>
                <w:b/>
                <w:bCs/>
                <w:iCs/>
                <w:noProof/>
                <w:sz w:val="24"/>
                <w:szCs w:val="24"/>
              </w:rPr>
              <w:t>Andre kroniske fibroserende ILS med en progressiv fænotype</w:t>
            </w:r>
          </w:p>
        </w:tc>
        <w:tc>
          <w:tcPr>
            <w:tcW w:w="1212" w:type="pct"/>
            <w:tcBorders>
              <w:top w:val="single" w:sz="4" w:space="0" w:color="auto"/>
              <w:left w:val="single" w:sz="4" w:space="0" w:color="auto"/>
              <w:bottom w:val="single" w:sz="4" w:space="0" w:color="auto"/>
              <w:right w:val="single" w:sz="4" w:space="0" w:color="auto"/>
            </w:tcBorders>
            <w:hideMark/>
          </w:tcPr>
          <w:p w14:paraId="70C2FC68" w14:textId="77777777" w:rsidR="00CA5F71" w:rsidRPr="004D5AB1" w:rsidRDefault="00CA5F71">
            <w:pPr>
              <w:jc w:val="center"/>
              <w:rPr>
                <w:iCs/>
                <w:noProof/>
                <w:sz w:val="24"/>
                <w:szCs w:val="24"/>
              </w:rPr>
            </w:pPr>
            <w:r w:rsidRPr="004D5AB1">
              <w:rPr>
                <w:b/>
                <w:bCs/>
                <w:iCs/>
                <w:noProof/>
                <w:sz w:val="24"/>
                <w:szCs w:val="24"/>
              </w:rPr>
              <w:t>Systemisk sklerodermi-associeret interstitiel lungesygdom</w:t>
            </w:r>
          </w:p>
        </w:tc>
      </w:tr>
      <w:tr w:rsidR="00CA5F71" w:rsidRPr="004D5AB1" w14:paraId="3C66EB28"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310232E3" w14:textId="77777777" w:rsidR="00CA5F71" w:rsidRPr="004D5AB1" w:rsidRDefault="00CA5F71">
            <w:pPr>
              <w:rPr>
                <w:iCs/>
                <w:noProof/>
                <w:sz w:val="24"/>
                <w:szCs w:val="24"/>
              </w:rPr>
            </w:pPr>
            <w:r w:rsidRPr="004D5AB1">
              <w:rPr>
                <w:b/>
                <w:bCs/>
                <w:iCs/>
                <w:noProof/>
                <w:sz w:val="24"/>
                <w:szCs w:val="24"/>
              </w:rPr>
              <w:t>Blod og lymfesystem</w:t>
            </w:r>
          </w:p>
        </w:tc>
      </w:tr>
      <w:tr w:rsidR="00CA5F71" w:rsidRPr="004D5AB1" w14:paraId="627B227B"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53583C51" w14:textId="77777777" w:rsidR="00CA5F71" w:rsidRPr="004D5AB1" w:rsidRDefault="00CA5F71">
            <w:pPr>
              <w:rPr>
                <w:iCs/>
                <w:noProof/>
                <w:sz w:val="24"/>
                <w:szCs w:val="24"/>
              </w:rPr>
            </w:pPr>
            <w:r w:rsidRPr="004D5AB1">
              <w:rPr>
                <w:iCs/>
                <w:noProof/>
                <w:sz w:val="24"/>
                <w:szCs w:val="24"/>
              </w:rPr>
              <w:t>Trombocytopeni</w:t>
            </w:r>
          </w:p>
        </w:tc>
        <w:tc>
          <w:tcPr>
            <w:tcW w:w="1210" w:type="pct"/>
            <w:tcBorders>
              <w:top w:val="single" w:sz="4" w:space="0" w:color="auto"/>
              <w:left w:val="single" w:sz="4" w:space="0" w:color="auto"/>
              <w:bottom w:val="single" w:sz="4" w:space="0" w:color="auto"/>
              <w:right w:val="single" w:sz="4" w:space="0" w:color="auto"/>
            </w:tcBorders>
            <w:hideMark/>
          </w:tcPr>
          <w:p w14:paraId="7B0EC0A5"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00017640"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532235EA" w14:textId="77777777" w:rsidR="00CA5F71" w:rsidRPr="004D5AB1" w:rsidRDefault="00CA5F71">
            <w:pPr>
              <w:rPr>
                <w:iCs/>
                <w:noProof/>
                <w:sz w:val="24"/>
                <w:szCs w:val="24"/>
              </w:rPr>
            </w:pPr>
            <w:r w:rsidRPr="004D5AB1">
              <w:rPr>
                <w:iCs/>
                <w:noProof/>
                <w:sz w:val="24"/>
                <w:szCs w:val="24"/>
              </w:rPr>
              <w:t>Ikke almindelig</w:t>
            </w:r>
          </w:p>
        </w:tc>
      </w:tr>
      <w:tr w:rsidR="00CA5F71" w:rsidRPr="004D5AB1" w14:paraId="358242FF"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28E6B388" w14:textId="77777777" w:rsidR="00CA5F71" w:rsidRPr="004D5AB1" w:rsidRDefault="00CA5F71">
            <w:pPr>
              <w:rPr>
                <w:iCs/>
                <w:noProof/>
                <w:sz w:val="24"/>
                <w:szCs w:val="24"/>
              </w:rPr>
            </w:pPr>
            <w:r w:rsidRPr="004D5AB1">
              <w:rPr>
                <w:b/>
                <w:bCs/>
                <w:iCs/>
                <w:noProof/>
                <w:sz w:val="24"/>
                <w:szCs w:val="24"/>
              </w:rPr>
              <w:t>Metabolisme og ernæring</w:t>
            </w:r>
          </w:p>
        </w:tc>
      </w:tr>
      <w:tr w:rsidR="00CA5F71" w:rsidRPr="004D5AB1" w14:paraId="696FEA22"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6150FB43" w14:textId="77777777" w:rsidR="00CA5F71" w:rsidRPr="004D5AB1" w:rsidRDefault="00CA5F71">
            <w:pPr>
              <w:rPr>
                <w:iCs/>
                <w:noProof/>
                <w:sz w:val="24"/>
                <w:szCs w:val="24"/>
              </w:rPr>
            </w:pPr>
            <w:r w:rsidRPr="004D5AB1">
              <w:rPr>
                <w:iCs/>
                <w:noProof/>
                <w:sz w:val="24"/>
                <w:szCs w:val="24"/>
              </w:rPr>
              <w:t>Vægttab</w:t>
            </w:r>
          </w:p>
        </w:tc>
        <w:tc>
          <w:tcPr>
            <w:tcW w:w="1210" w:type="pct"/>
            <w:tcBorders>
              <w:top w:val="single" w:sz="4" w:space="0" w:color="auto"/>
              <w:left w:val="single" w:sz="4" w:space="0" w:color="auto"/>
              <w:bottom w:val="single" w:sz="4" w:space="0" w:color="auto"/>
              <w:right w:val="single" w:sz="4" w:space="0" w:color="auto"/>
            </w:tcBorders>
            <w:hideMark/>
          </w:tcPr>
          <w:p w14:paraId="7AC4363E"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5461E0DB"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49FC26F9" w14:textId="77777777" w:rsidR="00CA5F71" w:rsidRPr="004D5AB1" w:rsidRDefault="00CA5F71">
            <w:pPr>
              <w:rPr>
                <w:iCs/>
                <w:noProof/>
                <w:sz w:val="24"/>
                <w:szCs w:val="24"/>
              </w:rPr>
            </w:pPr>
            <w:r w:rsidRPr="004D5AB1">
              <w:rPr>
                <w:iCs/>
                <w:noProof/>
                <w:sz w:val="24"/>
                <w:szCs w:val="24"/>
              </w:rPr>
              <w:t>Almindelig</w:t>
            </w:r>
          </w:p>
        </w:tc>
      </w:tr>
      <w:tr w:rsidR="00CA5F71" w:rsidRPr="004D5AB1" w14:paraId="50853E0C"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057605BA" w14:textId="77777777" w:rsidR="00CA5F71" w:rsidRPr="004D5AB1" w:rsidRDefault="00CA5F71">
            <w:pPr>
              <w:rPr>
                <w:iCs/>
                <w:noProof/>
                <w:sz w:val="24"/>
                <w:szCs w:val="24"/>
              </w:rPr>
            </w:pPr>
            <w:r w:rsidRPr="004D5AB1">
              <w:rPr>
                <w:iCs/>
                <w:noProof/>
                <w:sz w:val="24"/>
                <w:szCs w:val="24"/>
              </w:rPr>
              <w:t>Nedsat appetit</w:t>
            </w:r>
          </w:p>
        </w:tc>
        <w:tc>
          <w:tcPr>
            <w:tcW w:w="1210" w:type="pct"/>
            <w:tcBorders>
              <w:top w:val="single" w:sz="4" w:space="0" w:color="auto"/>
              <w:left w:val="single" w:sz="4" w:space="0" w:color="auto"/>
              <w:bottom w:val="single" w:sz="4" w:space="0" w:color="auto"/>
              <w:right w:val="single" w:sz="4" w:space="0" w:color="auto"/>
            </w:tcBorders>
            <w:hideMark/>
          </w:tcPr>
          <w:p w14:paraId="1BC66F37"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26A53EC3" w14:textId="77777777" w:rsidR="00CA5F71" w:rsidRPr="004D5AB1" w:rsidRDefault="00CA5F71">
            <w:pPr>
              <w:rPr>
                <w:iCs/>
                <w:noProof/>
                <w:sz w:val="24"/>
                <w:szCs w:val="24"/>
              </w:rPr>
            </w:pPr>
            <w:r w:rsidRPr="004D5AB1">
              <w:rPr>
                <w:iCs/>
                <w:noProof/>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2C659802" w14:textId="77777777" w:rsidR="00CA5F71" w:rsidRPr="004D5AB1" w:rsidRDefault="00CA5F71">
            <w:pPr>
              <w:rPr>
                <w:iCs/>
                <w:noProof/>
                <w:sz w:val="24"/>
                <w:szCs w:val="24"/>
              </w:rPr>
            </w:pPr>
            <w:r w:rsidRPr="004D5AB1">
              <w:rPr>
                <w:iCs/>
                <w:noProof/>
                <w:sz w:val="24"/>
                <w:szCs w:val="24"/>
              </w:rPr>
              <w:t>Almindelig</w:t>
            </w:r>
          </w:p>
        </w:tc>
      </w:tr>
      <w:tr w:rsidR="00CA5F71" w:rsidRPr="004D5AB1" w14:paraId="347D4F97"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22AA2A7A" w14:textId="77777777" w:rsidR="00CA5F71" w:rsidRPr="004D5AB1" w:rsidRDefault="00CA5F71">
            <w:pPr>
              <w:rPr>
                <w:iCs/>
                <w:noProof/>
                <w:sz w:val="24"/>
                <w:szCs w:val="24"/>
              </w:rPr>
            </w:pPr>
            <w:r w:rsidRPr="004D5AB1">
              <w:rPr>
                <w:iCs/>
                <w:noProof/>
                <w:sz w:val="24"/>
                <w:szCs w:val="24"/>
              </w:rPr>
              <w:t>Dehydrering</w:t>
            </w:r>
          </w:p>
        </w:tc>
        <w:tc>
          <w:tcPr>
            <w:tcW w:w="1210" w:type="pct"/>
            <w:tcBorders>
              <w:top w:val="single" w:sz="4" w:space="0" w:color="auto"/>
              <w:left w:val="single" w:sz="4" w:space="0" w:color="auto"/>
              <w:bottom w:val="single" w:sz="4" w:space="0" w:color="auto"/>
              <w:right w:val="single" w:sz="4" w:space="0" w:color="auto"/>
            </w:tcBorders>
            <w:hideMark/>
          </w:tcPr>
          <w:p w14:paraId="752C552C"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40CC646F"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7C35BC14" w14:textId="77777777" w:rsidR="00CA5F71" w:rsidRPr="004D5AB1" w:rsidRDefault="00CA5F71">
            <w:pPr>
              <w:rPr>
                <w:iCs/>
                <w:noProof/>
                <w:sz w:val="24"/>
                <w:szCs w:val="24"/>
              </w:rPr>
            </w:pPr>
            <w:r w:rsidRPr="004D5AB1">
              <w:rPr>
                <w:iCs/>
                <w:noProof/>
                <w:sz w:val="24"/>
                <w:szCs w:val="24"/>
              </w:rPr>
              <w:t>Ikke kendt</w:t>
            </w:r>
          </w:p>
        </w:tc>
      </w:tr>
      <w:tr w:rsidR="00CA5F71" w:rsidRPr="004D5AB1" w14:paraId="649AE5D2"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4663254D" w14:textId="77777777" w:rsidR="00CA5F71" w:rsidRPr="004D5AB1" w:rsidRDefault="00CA5F71">
            <w:pPr>
              <w:tabs>
                <w:tab w:val="left" w:pos="1095"/>
              </w:tabs>
              <w:rPr>
                <w:iCs/>
                <w:noProof/>
                <w:sz w:val="24"/>
                <w:szCs w:val="24"/>
              </w:rPr>
            </w:pPr>
            <w:r w:rsidRPr="004D5AB1">
              <w:rPr>
                <w:b/>
                <w:bCs/>
                <w:iCs/>
                <w:noProof/>
                <w:sz w:val="24"/>
                <w:szCs w:val="24"/>
              </w:rPr>
              <w:t>Hjerte</w:t>
            </w:r>
          </w:p>
        </w:tc>
      </w:tr>
      <w:tr w:rsidR="00CA5F71" w:rsidRPr="004D5AB1" w14:paraId="5D090D54"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256F83E1" w14:textId="77777777" w:rsidR="00CA5F71" w:rsidRPr="004D5AB1" w:rsidRDefault="00CA5F71">
            <w:pPr>
              <w:rPr>
                <w:iCs/>
                <w:noProof/>
                <w:sz w:val="24"/>
                <w:szCs w:val="24"/>
              </w:rPr>
            </w:pPr>
            <w:r w:rsidRPr="004D5AB1">
              <w:rPr>
                <w:iCs/>
                <w:noProof/>
                <w:sz w:val="24"/>
                <w:szCs w:val="24"/>
              </w:rPr>
              <w:t>Myokardieinfarkt</w:t>
            </w:r>
          </w:p>
        </w:tc>
        <w:tc>
          <w:tcPr>
            <w:tcW w:w="1210" w:type="pct"/>
            <w:tcBorders>
              <w:top w:val="single" w:sz="4" w:space="0" w:color="auto"/>
              <w:left w:val="single" w:sz="4" w:space="0" w:color="auto"/>
              <w:bottom w:val="single" w:sz="4" w:space="0" w:color="auto"/>
              <w:right w:val="single" w:sz="4" w:space="0" w:color="auto"/>
            </w:tcBorders>
            <w:hideMark/>
          </w:tcPr>
          <w:p w14:paraId="4223195E"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579101B1"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70FAB545" w14:textId="77777777" w:rsidR="00CA5F71" w:rsidRPr="004D5AB1" w:rsidRDefault="00CA5F71">
            <w:pPr>
              <w:rPr>
                <w:iCs/>
                <w:noProof/>
                <w:sz w:val="24"/>
                <w:szCs w:val="24"/>
              </w:rPr>
            </w:pPr>
            <w:r w:rsidRPr="004D5AB1">
              <w:rPr>
                <w:iCs/>
                <w:noProof/>
                <w:sz w:val="24"/>
                <w:szCs w:val="24"/>
              </w:rPr>
              <w:t>Ikke kendt</w:t>
            </w:r>
          </w:p>
        </w:tc>
      </w:tr>
      <w:tr w:rsidR="00CA5F71" w:rsidRPr="004D5AB1" w14:paraId="293907E3"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3F5133B2" w14:textId="77777777" w:rsidR="00CA5F71" w:rsidRPr="004D5AB1" w:rsidRDefault="00CA5F71">
            <w:pPr>
              <w:rPr>
                <w:iCs/>
                <w:noProof/>
                <w:sz w:val="24"/>
                <w:szCs w:val="24"/>
              </w:rPr>
            </w:pPr>
            <w:r w:rsidRPr="004D5AB1">
              <w:rPr>
                <w:b/>
                <w:bCs/>
                <w:iCs/>
                <w:noProof/>
                <w:sz w:val="24"/>
                <w:szCs w:val="24"/>
              </w:rPr>
              <w:t>Vaskulære sygdomme</w:t>
            </w:r>
          </w:p>
        </w:tc>
      </w:tr>
      <w:tr w:rsidR="00CA5F71" w:rsidRPr="004D5AB1" w14:paraId="25D09773"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0BF0493D" w14:textId="77777777" w:rsidR="00CA5F71" w:rsidRPr="004D5AB1" w:rsidRDefault="00CA5F71">
            <w:pPr>
              <w:rPr>
                <w:iCs/>
                <w:noProof/>
                <w:sz w:val="24"/>
                <w:szCs w:val="24"/>
              </w:rPr>
            </w:pPr>
            <w:r w:rsidRPr="004D5AB1">
              <w:rPr>
                <w:iCs/>
                <w:noProof/>
                <w:sz w:val="24"/>
                <w:szCs w:val="24"/>
              </w:rPr>
              <w:t>Blødning (se pkt. 4.4)</w:t>
            </w:r>
          </w:p>
        </w:tc>
        <w:tc>
          <w:tcPr>
            <w:tcW w:w="1210" w:type="pct"/>
            <w:tcBorders>
              <w:top w:val="single" w:sz="4" w:space="0" w:color="auto"/>
              <w:left w:val="single" w:sz="4" w:space="0" w:color="auto"/>
              <w:bottom w:val="single" w:sz="4" w:space="0" w:color="auto"/>
              <w:right w:val="single" w:sz="4" w:space="0" w:color="auto"/>
            </w:tcBorders>
            <w:hideMark/>
          </w:tcPr>
          <w:p w14:paraId="1C365E5D"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6CCEC7E9"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53D82357" w14:textId="77777777" w:rsidR="00CA5F71" w:rsidRPr="004D5AB1" w:rsidRDefault="00CA5F71">
            <w:pPr>
              <w:rPr>
                <w:iCs/>
                <w:noProof/>
                <w:sz w:val="24"/>
                <w:szCs w:val="24"/>
              </w:rPr>
            </w:pPr>
            <w:r w:rsidRPr="004D5AB1">
              <w:rPr>
                <w:iCs/>
                <w:noProof/>
                <w:sz w:val="24"/>
                <w:szCs w:val="24"/>
              </w:rPr>
              <w:t>Almindelig</w:t>
            </w:r>
          </w:p>
        </w:tc>
      </w:tr>
      <w:tr w:rsidR="00CA5F71" w:rsidRPr="004D5AB1" w14:paraId="2C68344A"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4E4EDE42" w14:textId="77777777" w:rsidR="00CA5F71" w:rsidRPr="004D5AB1" w:rsidRDefault="00CA5F71">
            <w:pPr>
              <w:rPr>
                <w:iCs/>
                <w:noProof/>
                <w:sz w:val="24"/>
                <w:szCs w:val="24"/>
              </w:rPr>
            </w:pPr>
            <w:bookmarkStart w:id="1" w:name="_Hlk178851904"/>
            <w:r w:rsidRPr="004D5AB1">
              <w:rPr>
                <w:iCs/>
                <w:noProof/>
                <w:sz w:val="24"/>
                <w:szCs w:val="24"/>
              </w:rPr>
              <w:t>Hypertension</w:t>
            </w:r>
          </w:p>
        </w:tc>
        <w:tc>
          <w:tcPr>
            <w:tcW w:w="1210" w:type="pct"/>
            <w:tcBorders>
              <w:top w:val="single" w:sz="4" w:space="0" w:color="auto"/>
              <w:left w:val="single" w:sz="4" w:space="0" w:color="auto"/>
              <w:bottom w:val="single" w:sz="4" w:space="0" w:color="auto"/>
              <w:right w:val="single" w:sz="4" w:space="0" w:color="auto"/>
            </w:tcBorders>
            <w:hideMark/>
          </w:tcPr>
          <w:p w14:paraId="42B16EC1"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2BF2C7B8"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1BE49D03" w14:textId="77777777" w:rsidR="00CA5F71" w:rsidRPr="004D5AB1" w:rsidRDefault="00CA5F71">
            <w:pPr>
              <w:rPr>
                <w:iCs/>
                <w:noProof/>
                <w:sz w:val="24"/>
                <w:szCs w:val="24"/>
              </w:rPr>
            </w:pPr>
            <w:r w:rsidRPr="004D5AB1">
              <w:rPr>
                <w:iCs/>
                <w:noProof/>
                <w:sz w:val="24"/>
                <w:szCs w:val="24"/>
              </w:rPr>
              <w:t>Almindelig</w:t>
            </w:r>
          </w:p>
        </w:tc>
        <w:bookmarkEnd w:id="1"/>
      </w:tr>
      <w:tr w:rsidR="00CA5F71" w:rsidRPr="004D5AB1" w14:paraId="7376F159"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34AAB733" w14:textId="77777777" w:rsidR="00CA5F71" w:rsidRPr="004D5AB1" w:rsidRDefault="00CA5F71">
            <w:pPr>
              <w:rPr>
                <w:iCs/>
                <w:noProof/>
                <w:sz w:val="24"/>
                <w:szCs w:val="24"/>
              </w:rPr>
            </w:pPr>
            <w:r w:rsidRPr="004D5AB1">
              <w:rPr>
                <w:iCs/>
                <w:noProof/>
                <w:sz w:val="24"/>
                <w:szCs w:val="24"/>
              </w:rPr>
              <w:t>Aneurismer og arterielle dissektioner</w:t>
            </w:r>
          </w:p>
        </w:tc>
        <w:tc>
          <w:tcPr>
            <w:tcW w:w="1210" w:type="pct"/>
            <w:tcBorders>
              <w:top w:val="single" w:sz="4" w:space="0" w:color="auto"/>
              <w:left w:val="single" w:sz="4" w:space="0" w:color="auto"/>
              <w:bottom w:val="single" w:sz="4" w:space="0" w:color="auto"/>
              <w:right w:val="single" w:sz="4" w:space="0" w:color="auto"/>
            </w:tcBorders>
            <w:hideMark/>
          </w:tcPr>
          <w:p w14:paraId="144301D6" w14:textId="77777777" w:rsidR="00CA5F71" w:rsidRPr="004D5AB1" w:rsidRDefault="00CA5F71">
            <w:pPr>
              <w:rPr>
                <w:iCs/>
                <w:noProof/>
                <w:sz w:val="24"/>
                <w:szCs w:val="24"/>
              </w:rPr>
            </w:pPr>
            <w:r w:rsidRPr="004D5AB1">
              <w:rPr>
                <w:iCs/>
                <w:noProof/>
                <w:sz w:val="24"/>
                <w:szCs w:val="24"/>
              </w:rPr>
              <w:t>Ikke kendt</w:t>
            </w:r>
          </w:p>
        </w:tc>
        <w:tc>
          <w:tcPr>
            <w:tcW w:w="1211" w:type="pct"/>
            <w:tcBorders>
              <w:top w:val="single" w:sz="4" w:space="0" w:color="auto"/>
              <w:left w:val="single" w:sz="4" w:space="0" w:color="auto"/>
              <w:bottom w:val="single" w:sz="4" w:space="0" w:color="auto"/>
              <w:right w:val="single" w:sz="4" w:space="0" w:color="auto"/>
            </w:tcBorders>
            <w:hideMark/>
          </w:tcPr>
          <w:p w14:paraId="69AA2E34" w14:textId="77777777" w:rsidR="00CA5F71" w:rsidRPr="004D5AB1" w:rsidRDefault="00CA5F71">
            <w:pPr>
              <w:rPr>
                <w:iCs/>
                <w:noProof/>
                <w:sz w:val="24"/>
                <w:szCs w:val="24"/>
              </w:rPr>
            </w:pPr>
            <w:r w:rsidRPr="004D5AB1">
              <w:rPr>
                <w:iCs/>
                <w:noProof/>
                <w:sz w:val="24"/>
                <w:szCs w:val="24"/>
              </w:rPr>
              <w:t>Ikke kendt</w:t>
            </w:r>
          </w:p>
        </w:tc>
        <w:tc>
          <w:tcPr>
            <w:tcW w:w="1212" w:type="pct"/>
            <w:tcBorders>
              <w:top w:val="single" w:sz="4" w:space="0" w:color="auto"/>
              <w:left w:val="single" w:sz="4" w:space="0" w:color="auto"/>
              <w:bottom w:val="single" w:sz="4" w:space="0" w:color="auto"/>
              <w:right w:val="single" w:sz="4" w:space="0" w:color="auto"/>
            </w:tcBorders>
            <w:hideMark/>
          </w:tcPr>
          <w:p w14:paraId="40BB7B53" w14:textId="77777777" w:rsidR="00CA5F71" w:rsidRPr="004D5AB1" w:rsidRDefault="00CA5F71">
            <w:pPr>
              <w:rPr>
                <w:iCs/>
                <w:noProof/>
                <w:sz w:val="24"/>
                <w:szCs w:val="24"/>
              </w:rPr>
            </w:pPr>
            <w:r w:rsidRPr="004D5AB1">
              <w:rPr>
                <w:iCs/>
                <w:noProof/>
                <w:sz w:val="24"/>
                <w:szCs w:val="24"/>
              </w:rPr>
              <w:t>Ikke kendt</w:t>
            </w:r>
          </w:p>
        </w:tc>
      </w:tr>
      <w:tr w:rsidR="00CA5F71" w:rsidRPr="004D5AB1" w14:paraId="1F856175"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3515C723" w14:textId="77777777" w:rsidR="00CA5F71" w:rsidRPr="004D5AB1" w:rsidRDefault="00CA5F71">
            <w:pPr>
              <w:rPr>
                <w:b/>
                <w:bCs/>
                <w:iCs/>
                <w:noProof/>
                <w:sz w:val="24"/>
                <w:szCs w:val="24"/>
              </w:rPr>
            </w:pPr>
            <w:r w:rsidRPr="004D5AB1">
              <w:rPr>
                <w:b/>
                <w:bCs/>
                <w:iCs/>
                <w:noProof/>
                <w:sz w:val="24"/>
                <w:szCs w:val="24"/>
              </w:rPr>
              <w:t>Mave-tarm-kanalen</w:t>
            </w:r>
          </w:p>
        </w:tc>
      </w:tr>
      <w:tr w:rsidR="00CA5F71" w:rsidRPr="004D5AB1" w14:paraId="4E4A1616"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5AF893E1" w14:textId="77777777" w:rsidR="00CA5F71" w:rsidRPr="004D5AB1" w:rsidRDefault="00CA5F71">
            <w:pPr>
              <w:rPr>
                <w:iCs/>
                <w:noProof/>
                <w:sz w:val="24"/>
                <w:szCs w:val="24"/>
              </w:rPr>
            </w:pPr>
            <w:r w:rsidRPr="004D5AB1">
              <w:rPr>
                <w:iCs/>
                <w:noProof/>
                <w:sz w:val="24"/>
                <w:szCs w:val="24"/>
              </w:rPr>
              <w:t>Diarré</w:t>
            </w:r>
          </w:p>
        </w:tc>
        <w:tc>
          <w:tcPr>
            <w:tcW w:w="1210" w:type="pct"/>
            <w:tcBorders>
              <w:top w:val="single" w:sz="4" w:space="0" w:color="auto"/>
              <w:left w:val="single" w:sz="4" w:space="0" w:color="auto"/>
              <w:bottom w:val="single" w:sz="4" w:space="0" w:color="auto"/>
              <w:right w:val="single" w:sz="4" w:space="0" w:color="auto"/>
            </w:tcBorders>
            <w:hideMark/>
          </w:tcPr>
          <w:p w14:paraId="0D4DF86E" w14:textId="77777777" w:rsidR="00CA5F71" w:rsidRPr="004D5AB1" w:rsidRDefault="00CA5F71">
            <w:pPr>
              <w:rPr>
                <w:iCs/>
                <w:noProof/>
                <w:sz w:val="24"/>
                <w:szCs w:val="24"/>
              </w:rPr>
            </w:pPr>
            <w:r w:rsidRPr="004D5AB1">
              <w:rPr>
                <w:iCs/>
                <w:noProof/>
                <w:sz w:val="24"/>
                <w:szCs w:val="24"/>
              </w:rPr>
              <w:t>Meget almindelig</w:t>
            </w:r>
          </w:p>
        </w:tc>
        <w:tc>
          <w:tcPr>
            <w:tcW w:w="1211" w:type="pct"/>
            <w:tcBorders>
              <w:top w:val="single" w:sz="4" w:space="0" w:color="auto"/>
              <w:left w:val="single" w:sz="4" w:space="0" w:color="auto"/>
              <w:bottom w:val="single" w:sz="4" w:space="0" w:color="auto"/>
              <w:right w:val="single" w:sz="4" w:space="0" w:color="auto"/>
            </w:tcBorders>
            <w:hideMark/>
          </w:tcPr>
          <w:p w14:paraId="034057B3" w14:textId="77777777" w:rsidR="00CA5F71" w:rsidRPr="004D5AB1" w:rsidRDefault="00CA5F71">
            <w:pPr>
              <w:rPr>
                <w:iCs/>
                <w:noProof/>
                <w:sz w:val="24"/>
                <w:szCs w:val="24"/>
              </w:rPr>
            </w:pPr>
            <w:r w:rsidRPr="004D5AB1">
              <w:rPr>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5671294B" w14:textId="77777777" w:rsidR="00CA5F71" w:rsidRPr="004D5AB1" w:rsidRDefault="00CA5F71">
            <w:pPr>
              <w:rPr>
                <w:iCs/>
                <w:noProof/>
                <w:sz w:val="24"/>
                <w:szCs w:val="24"/>
              </w:rPr>
            </w:pPr>
            <w:r w:rsidRPr="004D5AB1">
              <w:rPr>
                <w:sz w:val="24"/>
                <w:szCs w:val="24"/>
              </w:rPr>
              <w:t>Meget almindelig</w:t>
            </w:r>
          </w:p>
        </w:tc>
      </w:tr>
      <w:tr w:rsidR="00CA5F71" w:rsidRPr="004D5AB1" w14:paraId="2F7333EE"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0B3E33CB" w14:textId="77777777" w:rsidR="00CA5F71" w:rsidRPr="004D5AB1" w:rsidRDefault="00CA5F71">
            <w:pPr>
              <w:rPr>
                <w:iCs/>
                <w:noProof/>
                <w:sz w:val="24"/>
                <w:szCs w:val="24"/>
              </w:rPr>
            </w:pPr>
            <w:r w:rsidRPr="004D5AB1">
              <w:rPr>
                <w:iCs/>
                <w:noProof/>
                <w:sz w:val="24"/>
                <w:szCs w:val="24"/>
              </w:rPr>
              <w:t>Kvalme</w:t>
            </w:r>
          </w:p>
        </w:tc>
        <w:tc>
          <w:tcPr>
            <w:tcW w:w="1210" w:type="pct"/>
            <w:tcBorders>
              <w:top w:val="single" w:sz="4" w:space="0" w:color="auto"/>
              <w:left w:val="single" w:sz="4" w:space="0" w:color="auto"/>
              <w:bottom w:val="single" w:sz="4" w:space="0" w:color="auto"/>
              <w:right w:val="single" w:sz="4" w:space="0" w:color="auto"/>
            </w:tcBorders>
            <w:hideMark/>
          </w:tcPr>
          <w:p w14:paraId="6C55B881" w14:textId="77777777" w:rsidR="00CA5F71" w:rsidRPr="004D5AB1" w:rsidRDefault="00CA5F71">
            <w:pPr>
              <w:rPr>
                <w:iCs/>
                <w:noProof/>
                <w:sz w:val="24"/>
                <w:szCs w:val="24"/>
              </w:rPr>
            </w:pPr>
            <w:r w:rsidRPr="004D5AB1">
              <w:rPr>
                <w:sz w:val="24"/>
                <w:szCs w:val="24"/>
              </w:rPr>
              <w:t>Meget almindelig</w:t>
            </w:r>
          </w:p>
        </w:tc>
        <w:tc>
          <w:tcPr>
            <w:tcW w:w="1211" w:type="pct"/>
            <w:tcBorders>
              <w:top w:val="single" w:sz="4" w:space="0" w:color="auto"/>
              <w:left w:val="single" w:sz="4" w:space="0" w:color="auto"/>
              <w:bottom w:val="single" w:sz="4" w:space="0" w:color="auto"/>
              <w:right w:val="single" w:sz="4" w:space="0" w:color="auto"/>
            </w:tcBorders>
            <w:hideMark/>
          </w:tcPr>
          <w:p w14:paraId="2F940AD3" w14:textId="77777777" w:rsidR="00CA5F71" w:rsidRPr="004D5AB1" w:rsidRDefault="00CA5F71">
            <w:pPr>
              <w:rPr>
                <w:iCs/>
                <w:noProof/>
                <w:sz w:val="24"/>
                <w:szCs w:val="24"/>
              </w:rPr>
            </w:pPr>
            <w:r w:rsidRPr="004D5AB1">
              <w:rPr>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5D701219" w14:textId="77777777" w:rsidR="00CA5F71" w:rsidRPr="004D5AB1" w:rsidRDefault="00CA5F71">
            <w:pPr>
              <w:rPr>
                <w:iCs/>
                <w:noProof/>
                <w:sz w:val="24"/>
                <w:szCs w:val="24"/>
              </w:rPr>
            </w:pPr>
            <w:r w:rsidRPr="004D5AB1">
              <w:rPr>
                <w:sz w:val="24"/>
                <w:szCs w:val="24"/>
              </w:rPr>
              <w:t>Meget almindelig</w:t>
            </w:r>
          </w:p>
        </w:tc>
      </w:tr>
      <w:tr w:rsidR="00CA5F71" w:rsidRPr="004D5AB1" w14:paraId="33ADED67"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719C0C0C" w14:textId="77777777" w:rsidR="00CA5F71" w:rsidRPr="004D5AB1" w:rsidRDefault="00CA5F71">
            <w:pPr>
              <w:rPr>
                <w:iCs/>
                <w:noProof/>
                <w:sz w:val="24"/>
                <w:szCs w:val="24"/>
              </w:rPr>
            </w:pPr>
            <w:r w:rsidRPr="004D5AB1">
              <w:rPr>
                <w:iCs/>
                <w:noProof/>
                <w:sz w:val="24"/>
                <w:szCs w:val="24"/>
              </w:rPr>
              <w:t>Abdominalsmerter</w:t>
            </w:r>
          </w:p>
        </w:tc>
        <w:tc>
          <w:tcPr>
            <w:tcW w:w="1210" w:type="pct"/>
            <w:tcBorders>
              <w:top w:val="single" w:sz="4" w:space="0" w:color="auto"/>
              <w:left w:val="single" w:sz="4" w:space="0" w:color="auto"/>
              <w:bottom w:val="single" w:sz="4" w:space="0" w:color="auto"/>
              <w:right w:val="single" w:sz="4" w:space="0" w:color="auto"/>
            </w:tcBorders>
            <w:hideMark/>
          </w:tcPr>
          <w:p w14:paraId="0A87195B" w14:textId="77777777" w:rsidR="00CA5F71" w:rsidRPr="004D5AB1" w:rsidRDefault="00CA5F71">
            <w:pPr>
              <w:rPr>
                <w:iCs/>
                <w:noProof/>
                <w:sz w:val="24"/>
                <w:szCs w:val="24"/>
              </w:rPr>
            </w:pPr>
            <w:r w:rsidRPr="004D5AB1">
              <w:rPr>
                <w:sz w:val="24"/>
                <w:szCs w:val="24"/>
              </w:rPr>
              <w:t>Meget almindelig</w:t>
            </w:r>
          </w:p>
        </w:tc>
        <w:tc>
          <w:tcPr>
            <w:tcW w:w="1211" w:type="pct"/>
            <w:tcBorders>
              <w:top w:val="single" w:sz="4" w:space="0" w:color="auto"/>
              <w:left w:val="single" w:sz="4" w:space="0" w:color="auto"/>
              <w:bottom w:val="single" w:sz="4" w:space="0" w:color="auto"/>
              <w:right w:val="single" w:sz="4" w:space="0" w:color="auto"/>
            </w:tcBorders>
            <w:hideMark/>
          </w:tcPr>
          <w:p w14:paraId="7BE4683C" w14:textId="77777777" w:rsidR="00CA5F71" w:rsidRPr="004D5AB1" w:rsidRDefault="00CA5F71">
            <w:pPr>
              <w:rPr>
                <w:iCs/>
                <w:noProof/>
                <w:sz w:val="24"/>
                <w:szCs w:val="24"/>
              </w:rPr>
            </w:pPr>
            <w:r w:rsidRPr="004D5AB1">
              <w:rPr>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047FBE23" w14:textId="77777777" w:rsidR="00CA5F71" w:rsidRPr="004D5AB1" w:rsidRDefault="00CA5F71">
            <w:pPr>
              <w:rPr>
                <w:iCs/>
                <w:noProof/>
                <w:sz w:val="24"/>
                <w:szCs w:val="24"/>
              </w:rPr>
            </w:pPr>
            <w:r w:rsidRPr="004D5AB1">
              <w:rPr>
                <w:sz w:val="24"/>
                <w:szCs w:val="24"/>
              </w:rPr>
              <w:t>Meget almindelig</w:t>
            </w:r>
          </w:p>
        </w:tc>
      </w:tr>
      <w:tr w:rsidR="00CA5F71" w:rsidRPr="004D5AB1" w14:paraId="607713D7"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32795419" w14:textId="77777777" w:rsidR="00CA5F71" w:rsidRPr="004D5AB1" w:rsidRDefault="00CA5F71">
            <w:pPr>
              <w:rPr>
                <w:iCs/>
                <w:noProof/>
                <w:sz w:val="24"/>
                <w:szCs w:val="24"/>
              </w:rPr>
            </w:pPr>
            <w:r w:rsidRPr="004D5AB1">
              <w:rPr>
                <w:iCs/>
                <w:noProof/>
                <w:sz w:val="24"/>
                <w:szCs w:val="24"/>
              </w:rPr>
              <w:t>Opkastning</w:t>
            </w:r>
          </w:p>
        </w:tc>
        <w:tc>
          <w:tcPr>
            <w:tcW w:w="1210" w:type="pct"/>
            <w:tcBorders>
              <w:top w:val="single" w:sz="4" w:space="0" w:color="auto"/>
              <w:left w:val="single" w:sz="4" w:space="0" w:color="auto"/>
              <w:bottom w:val="single" w:sz="4" w:space="0" w:color="auto"/>
              <w:right w:val="single" w:sz="4" w:space="0" w:color="auto"/>
            </w:tcBorders>
            <w:hideMark/>
          </w:tcPr>
          <w:p w14:paraId="739C0817"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43EF3F5C" w14:textId="77777777" w:rsidR="00CA5F71" w:rsidRPr="004D5AB1" w:rsidRDefault="00CA5F71">
            <w:pPr>
              <w:rPr>
                <w:iCs/>
                <w:noProof/>
                <w:sz w:val="24"/>
                <w:szCs w:val="24"/>
              </w:rPr>
            </w:pPr>
            <w:r w:rsidRPr="004D5AB1">
              <w:rPr>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4C5E8091" w14:textId="77777777" w:rsidR="00CA5F71" w:rsidRPr="004D5AB1" w:rsidRDefault="00CA5F71">
            <w:pPr>
              <w:rPr>
                <w:iCs/>
                <w:noProof/>
                <w:sz w:val="24"/>
                <w:szCs w:val="24"/>
              </w:rPr>
            </w:pPr>
            <w:r w:rsidRPr="004D5AB1">
              <w:rPr>
                <w:sz w:val="24"/>
                <w:szCs w:val="24"/>
              </w:rPr>
              <w:t>Meget almindelig</w:t>
            </w:r>
          </w:p>
        </w:tc>
      </w:tr>
      <w:tr w:rsidR="00CA5F71" w:rsidRPr="004D5AB1" w14:paraId="08CD68ED"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5340FECA" w14:textId="77777777" w:rsidR="00CA5F71" w:rsidRPr="004D5AB1" w:rsidRDefault="00CA5F71">
            <w:pPr>
              <w:rPr>
                <w:iCs/>
                <w:noProof/>
                <w:sz w:val="24"/>
                <w:szCs w:val="24"/>
              </w:rPr>
            </w:pPr>
            <w:r w:rsidRPr="004D5AB1">
              <w:rPr>
                <w:iCs/>
                <w:noProof/>
                <w:sz w:val="24"/>
                <w:szCs w:val="24"/>
              </w:rPr>
              <w:t>Pancreatitis</w:t>
            </w:r>
          </w:p>
        </w:tc>
        <w:tc>
          <w:tcPr>
            <w:tcW w:w="1210" w:type="pct"/>
            <w:tcBorders>
              <w:top w:val="single" w:sz="4" w:space="0" w:color="auto"/>
              <w:left w:val="single" w:sz="4" w:space="0" w:color="auto"/>
              <w:bottom w:val="single" w:sz="4" w:space="0" w:color="auto"/>
              <w:right w:val="single" w:sz="4" w:space="0" w:color="auto"/>
            </w:tcBorders>
            <w:hideMark/>
          </w:tcPr>
          <w:p w14:paraId="7F7B637F"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3BA4F05B"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41A59838" w14:textId="77777777" w:rsidR="00CA5F71" w:rsidRPr="004D5AB1" w:rsidRDefault="00CA5F71">
            <w:pPr>
              <w:rPr>
                <w:iCs/>
                <w:noProof/>
                <w:sz w:val="24"/>
                <w:szCs w:val="24"/>
              </w:rPr>
            </w:pPr>
            <w:r w:rsidRPr="004D5AB1">
              <w:rPr>
                <w:iCs/>
                <w:noProof/>
                <w:sz w:val="24"/>
                <w:szCs w:val="24"/>
              </w:rPr>
              <w:t>Ikke kendt</w:t>
            </w:r>
          </w:p>
        </w:tc>
      </w:tr>
      <w:tr w:rsidR="00CA5F71" w:rsidRPr="004D5AB1" w14:paraId="1A9AA014"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4B3EF1A3" w14:textId="77777777" w:rsidR="00CA5F71" w:rsidRPr="004D5AB1" w:rsidRDefault="00CA5F71">
            <w:pPr>
              <w:rPr>
                <w:iCs/>
                <w:noProof/>
                <w:sz w:val="24"/>
                <w:szCs w:val="24"/>
              </w:rPr>
            </w:pPr>
            <w:r w:rsidRPr="004D5AB1">
              <w:rPr>
                <w:iCs/>
                <w:noProof/>
                <w:sz w:val="24"/>
                <w:szCs w:val="24"/>
              </w:rPr>
              <w:t>Colitis</w:t>
            </w:r>
          </w:p>
        </w:tc>
        <w:tc>
          <w:tcPr>
            <w:tcW w:w="1210" w:type="pct"/>
            <w:tcBorders>
              <w:top w:val="single" w:sz="4" w:space="0" w:color="auto"/>
              <w:left w:val="single" w:sz="4" w:space="0" w:color="auto"/>
              <w:bottom w:val="single" w:sz="4" w:space="0" w:color="auto"/>
              <w:right w:val="single" w:sz="4" w:space="0" w:color="auto"/>
            </w:tcBorders>
            <w:hideMark/>
          </w:tcPr>
          <w:p w14:paraId="48C8D421"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5B7ECEA1"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2AC9CBC2" w14:textId="77777777" w:rsidR="00CA5F71" w:rsidRPr="004D5AB1" w:rsidRDefault="00CA5F71">
            <w:pPr>
              <w:rPr>
                <w:iCs/>
                <w:noProof/>
                <w:sz w:val="24"/>
                <w:szCs w:val="24"/>
              </w:rPr>
            </w:pPr>
            <w:r w:rsidRPr="004D5AB1">
              <w:rPr>
                <w:iCs/>
                <w:noProof/>
                <w:sz w:val="24"/>
                <w:szCs w:val="24"/>
              </w:rPr>
              <w:t>Ikke almindelig</w:t>
            </w:r>
          </w:p>
        </w:tc>
      </w:tr>
      <w:tr w:rsidR="00CA5F71" w:rsidRPr="004D5AB1" w14:paraId="32ECD0E0"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38FBE77F" w14:textId="77777777" w:rsidR="00CA5F71" w:rsidRPr="004D5AB1" w:rsidRDefault="00CA5F71">
            <w:pPr>
              <w:rPr>
                <w:iCs/>
                <w:noProof/>
                <w:sz w:val="24"/>
                <w:szCs w:val="24"/>
              </w:rPr>
            </w:pPr>
            <w:r w:rsidRPr="004D5AB1">
              <w:rPr>
                <w:b/>
                <w:bCs/>
                <w:iCs/>
                <w:noProof/>
                <w:sz w:val="24"/>
                <w:szCs w:val="24"/>
              </w:rPr>
              <w:t>Lever og galdeveje</w:t>
            </w:r>
          </w:p>
        </w:tc>
      </w:tr>
      <w:tr w:rsidR="00CA5F71" w:rsidRPr="004D5AB1" w14:paraId="69CEE795"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4215DDC4" w14:textId="77777777" w:rsidR="00CA5F71" w:rsidRPr="004D5AB1" w:rsidRDefault="00CA5F71">
            <w:pPr>
              <w:rPr>
                <w:iCs/>
                <w:noProof/>
                <w:sz w:val="24"/>
                <w:szCs w:val="24"/>
              </w:rPr>
            </w:pPr>
            <w:r w:rsidRPr="004D5AB1">
              <w:rPr>
                <w:iCs/>
                <w:noProof/>
                <w:sz w:val="24"/>
                <w:szCs w:val="24"/>
              </w:rPr>
              <w:t>Leverskade forårsaget af lægemidlet</w:t>
            </w:r>
          </w:p>
        </w:tc>
        <w:tc>
          <w:tcPr>
            <w:tcW w:w="1210" w:type="pct"/>
            <w:tcBorders>
              <w:top w:val="single" w:sz="4" w:space="0" w:color="auto"/>
              <w:left w:val="single" w:sz="4" w:space="0" w:color="auto"/>
              <w:bottom w:val="single" w:sz="4" w:space="0" w:color="auto"/>
              <w:right w:val="single" w:sz="4" w:space="0" w:color="auto"/>
            </w:tcBorders>
            <w:hideMark/>
          </w:tcPr>
          <w:p w14:paraId="5BE9917A"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2A7ED707"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5F0BFBFC" w14:textId="77777777" w:rsidR="00CA5F71" w:rsidRPr="004D5AB1" w:rsidRDefault="00CA5F71">
            <w:pPr>
              <w:rPr>
                <w:iCs/>
                <w:noProof/>
                <w:sz w:val="24"/>
                <w:szCs w:val="24"/>
              </w:rPr>
            </w:pPr>
            <w:r w:rsidRPr="004D5AB1">
              <w:rPr>
                <w:iCs/>
                <w:noProof/>
                <w:sz w:val="24"/>
                <w:szCs w:val="24"/>
              </w:rPr>
              <w:t>Ikke almindelig</w:t>
            </w:r>
          </w:p>
        </w:tc>
      </w:tr>
      <w:tr w:rsidR="00CA5F71" w:rsidRPr="004D5AB1" w14:paraId="6732BFB1"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419734B1" w14:textId="77777777" w:rsidR="00CA5F71" w:rsidRPr="004D5AB1" w:rsidRDefault="00CA5F71">
            <w:pPr>
              <w:rPr>
                <w:iCs/>
                <w:noProof/>
                <w:sz w:val="24"/>
                <w:szCs w:val="24"/>
              </w:rPr>
            </w:pPr>
            <w:r w:rsidRPr="004D5AB1">
              <w:rPr>
                <w:iCs/>
                <w:noProof/>
                <w:sz w:val="24"/>
                <w:szCs w:val="24"/>
              </w:rPr>
              <w:t>Forhøjede leverenzymer</w:t>
            </w:r>
          </w:p>
        </w:tc>
        <w:tc>
          <w:tcPr>
            <w:tcW w:w="1210" w:type="pct"/>
            <w:tcBorders>
              <w:top w:val="single" w:sz="4" w:space="0" w:color="auto"/>
              <w:left w:val="single" w:sz="4" w:space="0" w:color="auto"/>
              <w:bottom w:val="single" w:sz="4" w:space="0" w:color="auto"/>
              <w:right w:val="single" w:sz="4" w:space="0" w:color="auto"/>
            </w:tcBorders>
            <w:hideMark/>
          </w:tcPr>
          <w:p w14:paraId="60CD43EA" w14:textId="77777777" w:rsidR="00CA5F71" w:rsidRPr="004D5AB1" w:rsidRDefault="00CA5F71">
            <w:pPr>
              <w:rPr>
                <w:iCs/>
                <w:noProof/>
                <w:sz w:val="24"/>
                <w:szCs w:val="24"/>
              </w:rPr>
            </w:pPr>
            <w:r w:rsidRPr="004D5AB1">
              <w:rPr>
                <w:iCs/>
                <w:noProof/>
                <w:sz w:val="24"/>
                <w:szCs w:val="24"/>
              </w:rPr>
              <w:t>Meget almindelig</w:t>
            </w:r>
          </w:p>
        </w:tc>
        <w:tc>
          <w:tcPr>
            <w:tcW w:w="1211" w:type="pct"/>
            <w:tcBorders>
              <w:top w:val="single" w:sz="4" w:space="0" w:color="auto"/>
              <w:left w:val="single" w:sz="4" w:space="0" w:color="auto"/>
              <w:bottom w:val="single" w:sz="4" w:space="0" w:color="auto"/>
              <w:right w:val="single" w:sz="4" w:space="0" w:color="auto"/>
            </w:tcBorders>
            <w:hideMark/>
          </w:tcPr>
          <w:p w14:paraId="3DB34B23" w14:textId="77777777" w:rsidR="00CA5F71" w:rsidRPr="004D5AB1" w:rsidRDefault="00CA5F71">
            <w:pPr>
              <w:rPr>
                <w:iCs/>
                <w:noProof/>
                <w:sz w:val="24"/>
                <w:szCs w:val="24"/>
              </w:rPr>
            </w:pPr>
            <w:r w:rsidRPr="004D5AB1">
              <w:rPr>
                <w:iCs/>
                <w:noProof/>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22566378" w14:textId="77777777" w:rsidR="00CA5F71" w:rsidRPr="004D5AB1" w:rsidRDefault="00CA5F71">
            <w:pPr>
              <w:rPr>
                <w:iCs/>
                <w:noProof/>
                <w:sz w:val="24"/>
                <w:szCs w:val="24"/>
              </w:rPr>
            </w:pPr>
            <w:r w:rsidRPr="004D5AB1">
              <w:rPr>
                <w:iCs/>
                <w:noProof/>
                <w:sz w:val="24"/>
                <w:szCs w:val="24"/>
              </w:rPr>
              <w:t>Meget almindelig</w:t>
            </w:r>
          </w:p>
        </w:tc>
      </w:tr>
      <w:tr w:rsidR="00CA5F71" w:rsidRPr="004D5AB1" w14:paraId="440E4DAC"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20F0E5FC" w14:textId="77777777" w:rsidR="00CA5F71" w:rsidRPr="004D5AB1" w:rsidRDefault="00CA5F71">
            <w:pPr>
              <w:rPr>
                <w:iCs/>
                <w:noProof/>
                <w:sz w:val="24"/>
                <w:szCs w:val="24"/>
              </w:rPr>
            </w:pPr>
            <w:r w:rsidRPr="004D5AB1">
              <w:rPr>
                <w:iCs/>
                <w:noProof/>
                <w:sz w:val="24"/>
                <w:szCs w:val="24"/>
              </w:rPr>
              <w:t>Forhøjet alaninaminotransferase (ALAT)</w:t>
            </w:r>
          </w:p>
        </w:tc>
        <w:tc>
          <w:tcPr>
            <w:tcW w:w="1210" w:type="pct"/>
            <w:tcBorders>
              <w:top w:val="single" w:sz="4" w:space="0" w:color="auto"/>
              <w:left w:val="single" w:sz="4" w:space="0" w:color="auto"/>
              <w:bottom w:val="single" w:sz="4" w:space="0" w:color="auto"/>
              <w:right w:val="single" w:sz="4" w:space="0" w:color="auto"/>
            </w:tcBorders>
            <w:hideMark/>
          </w:tcPr>
          <w:p w14:paraId="54B3B19D"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0CB1AF4D" w14:textId="77777777" w:rsidR="00CA5F71" w:rsidRPr="004D5AB1" w:rsidRDefault="00CA5F71">
            <w:pPr>
              <w:rPr>
                <w:iCs/>
                <w:noProof/>
                <w:sz w:val="24"/>
                <w:szCs w:val="24"/>
              </w:rPr>
            </w:pPr>
            <w:r w:rsidRPr="004D5AB1">
              <w:rPr>
                <w:iCs/>
                <w:noProof/>
                <w:sz w:val="24"/>
                <w:szCs w:val="24"/>
              </w:rPr>
              <w:t>Meget almindelig</w:t>
            </w:r>
          </w:p>
        </w:tc>
        <w:tc>
          <w:tcPr>
            <w:tcW w:w="1212" w:type="pct"/>
            <w:tcBorders>
              <w:top w:val="single" w:sz="4" w:space="0" w:color="auto"/>
              <w:left w:val="single" w:sz="4" w:space="0" w:color="auto"/>
              <w:bottom w:val="single" w:sz="4" w:space="0" w:color="auto"/>
              <w:right w:val="single" w:sz="4" w:space="0" w:color="auto"/>
            </w:tcBorders>
            <w:hideMark/>
          </w:tcPr>
          <w:p w14:paraId="179ED998" w14:textId="77777777" w:rsidR="00CA5F71" w:rsidRPr="004D5AB1" w:rsidRDefault="00CA5F71">
            <w:pPr>
              <w:rPr>
                <w:iCs/>
                <w:noProof/>
                <w:sz w:val="24"/>
                <w:szCs w:val="24"/>
              </w:rPr>
            </w:pPr>
            <w:r w:rsidRPr="004D5AB1">
              <w:rPr>
                <w:iCs/>
                <w:noProof/>
                <w:sz w:val="24"/>
                <w:szCs w:val="24"/>
              </w:rPr>
              <w:t>Almindelig</w:t>
            </w:r>
          </w:p>
        </w:tc>
      </w:tr>
      <w:tr w:rsidR="00CA5F71" w:rsidRPr="004D5AB1" w14:paraId="77E23A19"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73C694D3" w14:textId="77777777" w:rsidR="00CA5F71" w:rsidRPr="004D5AB1" w:rsidRDefault="00CA5F71">
            <w:pPr>
              <w:rPr>
                <w:iCs/>
                <w:noProof/>
                <w:sz w:val="24"/>
                <w:szCs w:val="24"/>
              </w:rPr>
            </w:pPr>
            <w:r w:rsidRPr="004D5AB1">
              <w:rPr>
                <w:iCs/>
                <w:noProof/>
                <w:sz w:val="24"/>
                <w:szCs w:val="24"/>
              </w:rPr>
              <w:t>Forhøjet aspartataminotransferase (ASAT)</w:t>
            </w:r>
          </w:p>
        </w:tc>
        <w:tc>
          <w:tcPr>
            <w:tcW w:w="1210" w:type="pct"/>
            <w:tcBorders>
              <w:top w:val="single" w:sz="4" w:space="0" w:color="auto"/>
              <w:left w:val="single" w:sz="4" w:space="0" w:color="auto"/>
              <w:bottom w:val="single" w:sz="4" w:space="0" w:color="auto"/>
              <w:right w:val="single" w:sz="4" w:space="0" w:color="auto"/>
            </w:tcBorders>
            <w:hideMark/>
          </w:tcPr>
          <w:p w14:paraId="24485E96"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076164C1"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3E6305CC" w14:textId="77777777" w:rsidR="00CA5F71" w:rsidRPr="004D5AB1" w:rsidRDefault="00CA5F71">
            <w:pPr>
              <w:rPr>
                <w:iCs/>
                <w:noProof/>
                <w:sz w:val="24"/>
                <w:szCs w:val="24"/>
              </w:rPr>
            </w:pPr>
            <w:r w:rsidRPr="004D5AB1">
              <w:rPr>
                <w:iCs/>
                <w:noProof/>
                <w:sz w:val="24"/>
                <w:szCs w:val="24"/>
              </w:rPr>
              <w:t>Almindelig</w:t>
            </w:r>
          </w:p>
        </w:tc>
      </w:tr>
      <w:tr w:rsidR="00CA5F71" w:rsidRPr="004D5AB1" w14:paraId="5F8CE786"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3CDBCCDD" w14:textId="77777777" w:rsidR="00CA5F71" w:rsidRPr="004D5AB1" w:rsidRDefault="00CA5F71">
            <w:pPr>
              <w:rPr>
                <w:iCs/>
                <w:noProof/>
                <w:sz w:val="24"/>
                <w:szCs w:val="24"/>
              </w:rPr>
            </w:pPr>
            <w:r w:rsidRPr="004D5AB1">
              <w:rPr>
                <w:iCs/>
                <w:noProof/>
                <w:sz w:val="24"/>
                <w:szCs w:val="24"/>
              </w:rPr>
              <w:t>Forhøjet gamma-glutamyltransferase (GGT)</w:t>
            </w:r>
          </w:p>
        </w:tc>
        <w:tc>
          <w:tcPr>
            <w:tcW w:w="1210" w:type="pct"/>
            <w:tcBorders>
              <w:top w:val="single" w:sz="4" w:space="0" w:color="auto"/>
              <w:left w:val="single" w:sz="4" w:space="0" w:color="auto"/>
              <w:bottom w:val="single" w:sz="4" w:space="0" w:color="auto"/>
              <w:right w:val="single" w:sz="4" w:space="0" w:color="auto"/>
            </w:tcBorders>
            <w:hideMark/>
          </w:tcPr>
          <w:p w14:paraId="574F16D2"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102B5CA5"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6A8DDE0F" w14:textId="77777777" w:rsidR="00CA5F71" w:rsidRPr="004D5AB1" w:rsidRDefault="00CA5F71">
            <w:pPr>
              <w:rPr>
                <w:iCs/>
                <w:noProof/>
                <w:sz w:val="24"/>
                <w:szCs w:val="24"/>
              </w:rPr>
            </w:pPr>
            <w:r w:rsidRPr="004D5AB1">
              <w:rPr>
                <w:iCs/>
                <w:noProof/>
                <w:sz w:val="24"/>
                <w:szCs w:val="24"/>
              </w:rPr>
              <w:t>Almindelig</w:t>
            </w:r>
          </w:p>
        </w:tc>
      </w:tr>
      <w:tr w:rsidR="00CA5F71" w:rsidRPr="004D5AB1" w14:paraId="5BF1BD45"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3B9AE61B" w14:textId="77777777" w:rsidR="00CA5F71" w:rsidRPr="004D5AB1" w:rsidRDefault="00CA5F71">
            <w:pPr>
              <w:rPr>
                <w:iCs/>
                <w:noProof/>
                <w:sz w:val="24"/>
                <w:szCs w:val="24"/>
              </w:rPr>
            </w:pPr>
            <w:r w:rsidRPr="004D5AB1">
              <w:rPr>
                <w:iCs/>
                <w:noProof/>
                <w:sz w:val="24"/>
                <w:szCs w:val="24"/>
              </w:rPr>
              <w:t>Hyperbilirubinæmi</w:t>
            </w:r>
          </w:p>
        </w:tc>
        <w:tc>
          <w:tcPr>
            <w:tcW w:w="1210" w:type="pct"/>
            <w:tcBorders>
              <w:top w:val="single" w:sz="4" w:space="0" w:color="auto"/>
              <w:left w:val="single" w:sz="4" w:space="0" w:color="auto"/>
              <w:bottom w:val="single" w:sz="4" w:space="0" w:color="auto"/>
              <w:right w:val="single" w:sz="4" w:space="0" w:color="auto"/>
            </w:tcBorders>
            <w:hideMark/>
          </w:tcPr>
          <w:p w14:paraId="407A7F43"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367104EF"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28D70544" w14:textId="77777777" w:rsidR="00CA5F71" w:rsidRPr="004D5AB1" w:rsidRDefault="00CA5F71">
            <w:pPr>
              <w:rPr>
                <w:iCs/>
                <w:noProof/>
                <w:sz w:val="24"/>
                <w:szCs w:val="24"/>
              </w:rPr>
            </w:pPr>
            <w:r w:rsidRPr="004D5AB1">
              <w:rPr>
                <w:iCs/>
                <w:noProof/>
                <w:sz w:val="24"/>
                <w:szCs w:val="24"/>
              </w:rPr>
              <w:t>Ikke kendt</w:t>
            </w:r>
          </w:p>
        </w:tc>
      </w:tr>
      <w:tr w:rsidR="00CA5F71" w:rsidRPr="004D5AB1" w14:paraId="5B96B27C"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63F6E96A" w14:textId="77777777" w:rsidR="00CA5F71" w:rsidRPr="004D5AB1" w:rsidRDefault="00CA5F71">
            <w:pPr>
              <w:rPr>
                <w:iCs/>
                <w:noProof/>
                <w:sz w:val="24"/>
                <w:szCs w:val="24"/>
              </w:rPr>
            </w:pPr>
            <w:r w:rsidRPr="004D5AB1">
              <w:rPr>
                <w:iCs/>
                <w:noProof/>
                <w:sz w:val="24"/>
                <w:szCs w:val="24"/>
              </w:rPr>
              <w:t>Forhøjet basisk fosfatase (ALKP) i blodet</w:t>
            </w:r>
          </w:p>
        </w:tc>
        <w:tc>
          <w:tcPr>
            <w:tcW w:w="1210" w:type="pct"/>
            <w:tcBorders>
              <w:top w:val="single" w:sz="4" w:space="0" w:color="auto"/>
              <w:left w:val="single" w:sz="4" w:space="0" w:color="auto"/>
              <w:bottom w:val="single" w:sz="4" w:space="0" w:color="auto"/>
              <w:right w:val="single" w:sz="4" w:space="0" w:color="auto"/>
            </w:tcBorders>
            <w:hideMark/>
          </w:tcPr>
          <w:p w14:paraId="12657030"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588D8B65"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4929971B" w14:textId="77777777" w:rsidR="00CA5F71" w:rsidRPr="004D5AB1" w:rsidRDefault="00CA5F71">
            <w:pPr>
              <w:rPr>
                <w:iCs/>
                <w:noProof/>
                <w:sz w:val="24"/>
                <w:szCs w:val="24"/>
              </w:rPr>
            </w:pPr>
            <w:r w:rsidRPr="004D5AB1">
              <w:rPr>
                <w:iCs/>
                <w:noProof/>
                <w:sz w:val="24"/>
                <w:szCs w:val="24"/>
              </w:rPr>
              <w:t>Almindelig</w:t>
            </w:r>
          </w:p>
        </w:tc>
      </w:tr>
      <w:tr w:rsidR="00CA5F71" w:rsidRPr="004D5AB1" w14:paraId="1B4A2FE1"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3F4A2A6B" w14:textId="77777777" w:rsidR="00CA5F71" w:rsidRPr="004D5AB1" w:rsidRDefault="00CA5F71">
            <w:pPr>
              <w:rPr>
                <w:iCs/>
                <w:noProof/>
                <w:sz w:val="24"/>
                <w:szCs w:val="24"/>
              </w:rPr>
            </w:pPr>
            <w:r w:rsidRPr="004D5AB1">
              <w:rPr>
                <w:b/>
                <w:bCs/>
                <w:iCs/>
                <w:noProof/>
                <w:sz w:val="24"/>
                <w:szCs w:val="24"/>
              </w:rPr>
              <w:t>Hud og subkutane væv</w:t>
            </w:r>
          </w:p>
        </w:tc>
      </w:tr>
      <w:tr w:rsidR="00CA5F71" w:rsidRPr="004D5AB1" w14:paraId="612E8A8E"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081B7886" w14:textId="77777777" w:rsidR="00CA5F71" w:rsidRPr="004D5AB1" w:rsidRDefault="00CA5F71">
            <w:pPr>
              <w:rPr>
                <w:iCs/>
                <w:noProof/>
                <w:sz w:val="24"/>
                <w:szCs w:val="24"/>
              </w:rPr>
            </w:pPr>
            <w:r w:rsidRPr="004D5AB1">
              <w:rPr>
                <w:iCs/>
                <w:noProof/>
                <w:sz w:val="24"/>
                <w:szCs w:val="24"/>
              </w:rPr>
              <w:t>Udslæt</w:t>
            </w:r>
          </w:p>
        </w:tc>
        <w:tc>
          <w:tcPr>
            <w:tcW w:w="1210" w:type="pct"/>
            <w:tcBorders>
              <w:top w:val="single" w:sz="4" w:space="0" w:color="auto"/>
              <w:left w:val="single" w:sz="4" w:space="0" w:color="auto"/>
              <w:bottom w:val="single" w:sz="4" w:space="0" w:color="auto"/>
              <w:right w:val="single" w:sz="4" w:space="0" w:color="auto"/>
            </w:tcBorders>
            <w:hideMark/>
          </w:tcPr>
          <w:p w14:paraId="20EB5F7C"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00BAD15F"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19FEDB44" w14:textId="77777777" w:rsidR="00CA5F71" w:rsidRPr="004D5AB1" w:rsidRDefault="00CA5F71">
            <w:pPr>
              <w:rPr>
                <w:iCs/>
                <w:noProof/>
                <w:sz w:val="24"/>
                <w:szCs w:val="24"/>
              </w:rPr>
            </w:pPr>
            <w:r w:rsidRPr="004D5AB1">
              <w:rPr>
                <w:iCs/>
                <w:noProof/>
                <w:sz w:val="24"/>
                <w:szCs w:val="24"/>
              </w:rPr>
              <w:t>Ikke almindelig</w:t>
            </w:r>
          </w:p>
        </w:tc>
      </w:tr>
      <w:tr w:rsidR="00CA5F71" w:rsidRPr="004D5AB1" w14:paraId="5DA2E470"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51866089" w14:textId="77777777" w:rsidR="00CA5F71" w:rsidRPr="004D5AB1" w:rsidRDefault="00CA5F71">
            <w:pPr>
              <w:rPr>
                <w:iCs/>
                <w:noProof/>
                <w:sz w:val="24"/>
                <w:szCs w:val="24"/>
              </w:rPr>
            </w:pPr>
            <w:r w:rsidRPr="004D5AB1">
              <w:rPr>
                <w:iCs/>
                <w:noProof/>
                <w:sz w:val="24"/>
                <w:szCs w:val="24"/>
              </w:rPr>
              <w:t>Pruritus</w:t>
            </w:r>
          </w:p>
        </w:tc>
        <w:tc>
          <w:tcPr>
            <w:tcW w:w="1210" w:type="pct"/>
            <w:tcBorders>
              <w:top w:val="single" w:sz="4" w:space="0" w:color="auto"/>
              <w:left w:val="single" w:sz="4" w:space="0" w:color="auto"/>
              <w:bottom w:val="single" w:sz="4" w:space="0" w:color="auto"/>
              <w:right w:val="single" w:sz="4" w:space="0" w:color="auto"/>
            </w:tcBorders>
            <w:hideMark/>
          </w:tcPr>
          <w:p w14:paraId="2B323BFE"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4134390B"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0B7D3690" w14:textId="77777777" w:rsidR="00CA5F71" w:rsidRPr="004D5AB1" w:rsidRDefault="00CA5F71">
            <w:pPr>
              <w:rPr>
                <w:iCs/>
                <w:noProof/>
                <w:sz w:val="24"/>
                <w:szCs w:val="24"/>
              </w:rPr>
            </w:pPr>
            <w:r w:rsidRPr="004D5AB1">
              <w:rPr>
                <w:iCs/>
                <w:noProof/>
                <w:sz w:val="24"/>
                <w:szCs w:val="24"/>
              </w:rPr>
              <w:t>Ikke almindelig</w:t>
            </w:r>
          </w:p>
        </w:tc>
      </w:tr>
      <w:tr w:rsidR="00CA5F71" w:rsidRPr="004D5AB1" w14:paraId="100654B3"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4D228A62" w14:textId="77777777" w:rsidR="00CA5F71" w:rsidRPr="004D5AB1" w:rsidRDefault="00CA5F71">
            <w:pPr>
              <w:rPr>
                <w:iCs/>
                <w:noProof/>
                <w:sz w:val="24"/>
                <w:szCs w:val="24"/>
              </w:rPr>
            </w:pPr>
            <w:r w:rsidRPr="004D5AB1">
              <w:rPr>
                <w:iCs/>
                <w:noProof/>
                <w:sz w:val="24"/>
                <w:szCs w:val="24"/>
              </w:rPr>
              <w:t>Alopeci</w:t>
            </w:r>
          </w:p>
        </w:tc>
        <w:tc>
          <w:tcPr>
            <w:tcW w:w="1210" w:type="pct"/>
            <w:tcBorders>
              <w:top w:val="single" w:sz="4" w:space="0" w:color="auto"/>
              <w:left w:val="single" w:sz="4" w:space="0" w:color="auto"/>
              <w:bottom w:val="single" w:sz="4" w:space="0" w:color="auto"/>
              <w:right w:val="single" w:sz="4" w:space="0" w:color="auto"/>
            </w:tcBorders>
            <w:hideMark/>
          </w:tcPr>
          <w:p w14:paraId="4123A872"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1001E4E6"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33B709F9" w14:textId="77777777" w:rsidR="00CA5F71" w:rsidRPr="004D5AB1" w:rsidRDefault="00CA5F71">
            <w:pPr>
              <w:rPr>
                <w:iCs/>
                <w:noProof/>
                <w:sz w:val="24"/>
                <w:szCs w:val="24"/>
              </w:rPr>
            </w:pPr>
            <w:r w:rsidRPr="004D5AB1">
              <w:rPr>
                <w:iCs/>
                <w:noProof/>
                <w:sz w:val="24"/>
                <w:szCs w:val="24"/>
              </w:rPr>
              <w:t>Ikke kendt</w:t>
            </w:r>
          </w:p>
        </w:tc>
      </w:tr>
      <w:tr w:rsidR="00CA5F71" w:rsidRPr="004D5AB1" w14:paraId="451C345C"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5DEC1631" w14:textId="77777777" w:rsidR="00CA5F71" w:rsidRPr="004D5AB1" w:rsidRDefault="00CA5F71">
            <w:pPr>
              <w:rPr>
                <w:iCs/>
                <w:noProof/>
                <w:sz w:val="24"/>
                <w:szCs w:val="24"/>
              </w:rPr>
            </w:pPr>
            <w:r w:rsidRPr="004D5AB1">
              <w:rPr>
                <w:b/>
                <w:bCs/>
                <w:iCs/>
                <w:noProof/>
                <w:sz w:val="24"/>
                <w:szCs w:val="24"/>
              </w:rPr>
              <w:t>Nyrer og urinveje</w:t>
            </w:r>
          </w:p>
        </w:tc>
      </w:tr>
      <w:tr w:rsidR="00CA5F71" w:rsidRPr="004D5AB1" w14:paraId="6212F716"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6611901A" w14:textId="77777777" w:rsidR="00CA5F71" w:rsidRPr="004D5AB1" w:rsidRDefault="00CA5F71">
            <w:pPr>
              <w:rPr>
                <w:iCs/>
                <w:noProof/>
                <w:sz w:val="24"/>
                <w:szCs w:val="24"/>
              </w:rPr>
            </w:pPr>
            <w:r w:rsidRPr="004D5AB1">
              <w:rPr>
                <w:iCs/>
                <w:noProof/>
                <w:sz w:val="24"/>
                <w:szCs w:val="24"/>
              </w:rPr>
              <w:t>Nyresvigt (se pkt. 4.4)</w:t>
            </w:r>
          </w:p>
        </w:tc>
        <w:tc>
          <w:tcPr>
            <w:tcW w:w="1210" w:type="pct"/>
            <w:tcBorders>
              <w:top w:val="single" w:sz="4" w:space="0" w:color="auto"/>
              <w:left w:val="single" w:sz="4" w:space="0" w:color="auto"/>
              <w:bottom w:val="single" w:sz="4" w:space="0" w:color="auto"/>
              <w:right w:val="single" w:sz="4" w:space="0" w:color="auto"/>
            </w:tcBorders>
            <w:hideMark/>
          </w:tcPr>
          <w:p w14:paraId="4AD217C0" w14:textId="77777777" w:rsidR="00CA5F71" w:rsidRPr="004D5AB1" w:rsidRDefault="00CA5F71">
            <w:pPr>
              <w:rPr>
                <w:iCs/>
                <w:noProof/>
                <w:sz w:val="24"/>
                <w:szCs w:val="24"/>
              </w:rPr>
            </w:pPr>
            <w:r w:rsidRPr="004D5AB1">
              <w:rPr>
                <w:iCs/>
                <w:noProof/>
                <w:sz w:val="24"/>
                <w:szCs w:val="24"/>
              </w:rPr>
              <w:t>Ikke kendt</w:t>
            </w:r>
          </w:p>
        </w:tc>
        <w:tc>
          <w:tcPr>
            <w:tcW w:w="1211" w:type="pct"/>
            <w:tcBorders>
              <w:top w:val="single" w:sz="4" w:space="0" w:color="auto"/>
              <w:left w:val="single" w:sz="4" w:space="0" w:color="auto"/>
              <w:bottom w:val="single" w:sz="4" w:space="0" w:color="auto"/>
              <w:right w:val="single" w:sz="4" w:space="0" w:color="auto"/>
            </w:tcBorders>
            <w:hideMark/>
          </w:tcPr>
          <w:p w14:paraId="78E60693" w14:textId="77777777" w:rsidR="00CA5F71" w:rsidRPr="004D5AB1" w:rsidRDefault="00CA5F71">
            <w:pPr>
              <w:rPr>
                <w:iCs/>
                <w:noProof/>
                <w:sz w:val="24"/>
                <w:szCs w:val="24"/>
              </w:rPr>
            </w:pPr>
            <w:r w:rsidRPr="004D5AB1">
              <w:rPr>
                <w:iCs/>
                <w:noProof/>
                <w:sz w:val="24"/>
                <w:szCs w:val="24"/>
              </w:rPr>
              <w:t>Ikke kendt</w:t>
            </w:r>
          </w:p>
        </w:tc>
        <w:tc>
          <w:tcPr>
            <w:tcW w:w="1212" w:type="pct"/>
            <w:tcBorders>
              <w:top w:val="single" w:sz="4" w:space="0" w:color="auto"/>
              <w:left w:val="single" w:sz="4" w:space="0" w:color="auto"/>
              <w:bottom w:val="single" w:sz="4" w:space="0" w:color="auto"/>
              <w:right w:val="single" w:sz="4" w:space="0" w:color="auto"/>
            </w:tcBorders>
            <w:hideMark/>
          </w:tcPr>
          <w:p w14:paraId="2B972FD6" w14:textId="77777777" w:rsidR="00CA5F71" w:rsidRPr="004D5AB1" w:rsidRDefault="00CA5F71">
            <w:pPr>
              <w:rPr>
                <w:iCs/>
                <w:noProof/>
                <w:sz w:val="24"/>
                <w:szCs w:val="24"/>
              </w:rPr>
            </w:pPr>
            <w:r w:rsidRPr="004D5AB1">
              <w:rPr>
                <w:iCs/>
                <w:noProof/>
                <w:sz w:val="24"/>
                <w:szCs w:val="24"/>
              </w:rPr>
              <w:t>Ikke almindelig</w:t>
            </w:r>
          </w:p>
        </w:tc>
      </w:tr>
      <w:tr w:rsidR="00CA5F71" w:rsidRPr="004D5AB1" w14:paraId="323AEE4E"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0C9DF8BD" w14:textId="77777777" w:rsidR="00CA5F71" w:rsidRPr="004D5AB1" w:rsidRDefault="00CA5F71">
            <w:pPr>
              <w:rPr>
                <w:iCs/>
                <w:noProof/>
                <w:sz w:val="24"/>
                <w:szCs w:val="24"/>
              </w:rPr>
            </w:pPr>
            <w:r w:rsidRPr="004D5AB1">
              <w:rPr>
                <w:iCs/>
                <w:noProof/>
                <w:sz w:val="24"/>
                <w:szCs w:val="24"/>
              </w:rPr>
              <w:t>Proteinuri</w:t>
            </w:r>
          </w:p>
        </w:tc>
        <w:tc>
          <w:tcPr>
            <w:tcW w:w="1210" w:type="pct"/>
            <w:tcBorders>
              <w:top w:val="single" w:sz="4" w:space="0" w:color="auto"/>
              <w:left w:val="single" w:sz="4" w:space="0" w:color="auto"/>
              <w:bottom w:val="single" w:sz="4" w:space="0" w:color="auto"/>
              <w:right w:val="single" w:sz="4" w:space="0" w:color="auto"/>
            </w:tcBorders>
            <w:hideMark/>
          </w:tcPr>
          <w:p w14:paraId="235C13CC" w14:textId="77777777" w:rsidR="00CA5F71" w:rsidRPr="004D5AB1" w:rsidRDefault="00CA5F71">
            <w:pPr>
              <w:rPr>
                <w:iCs/>
                <w:noProof/>
                <w:sz w:val="24"/>
                <w:szCs w:val="24"/>
              </w:rPr>
            </w:pPr>
            <w:r w:rsidRPr="004D5AB1">
              <w:rPr>
                <w:iCs/>
                <w:noProof/>
                <w:sz w:val="24"/>
                <w:szCs w:val="24"/>
              </w:rPr>
              <w:t>Ikke almindelig</w:t>
            </w:r>
          </w:p>
        </w:tc>
        <w:tc>
          <w:tcPr>
            <w:tcW w:w="1211" w:type="pct"/>
            <w:tcBorders>
              <w:top w:val="single" w:sz="4" w:space="0" w:color="auto"/>
              <w:left w:val="single" w:sz="4" w:space="0" w:color="auto"/>
              <w:bottom w:val="single" w:sz="4" w:space="0" w:color="auto"/>
              <w:right w:val="single" w:sz="4" w:space="0" w:color="auto"/>
            </w:tcBorders>
            <w:hideMark/>
          </w:tcPr>
          <w:p w14:paraId="1E70483C" w14:textId="77777777" w:rsidR="00CA5F71" w:rsidRPr="004D5AB1" w:rsidRDefault="00CA5F71">
            <w:pPr>
              <w:rPr>
                <w:iCs/>
                <w:noProof/>
                <w:sz w:val="24"/>
                <w:szCs w:val="24"/>
              </w:rPr>
            </w:pPr>
            <w:r w:rsidRPr="004D5AB1">
              <w:rPr>
                <w:iCs/>
                <w:noProof/>
                <w:sz w:val="24"/>
                <w:szCs w:val="24"/>
              </w:rPr>
              <w:t>Ikke almindelig</w:t>
            </w:r>
          </w:p>
        </w:tc>
        <w:tc>
          <w:tcPr>
            <w:tcW w:w="1212" w:type="pct"/>
            <w:tcBorders>
              <w:top w:val="single" w:sz="4" w:space="0" w:color="auto"/>
              <w:left w:val="single" w:sz="4" w:space="0" w:color="auto"/>
              <w:bottom w:val="single" w:sz="4" w:space="0" w:color="auto"/>
              <w:right w:val="single" w:sz="4" w:space="0" w:color="auto"/>
            </w:tcBorders>
            <w:hideMark/>
          </w:tcPr>
          <w:p w14:paraId="548FF871" w14:textId="77777777" w:rsidR="00CA5F71" w:rsidRPr="004D5AB1" w:rsidRDefault="00CA5F71">
            <w:pPr>
              <w:rPr>
                <w:iCs/>
                <w:noProof/>
                <w:sz w:val="24"/>
                <w:szCs w:val="24"/>
              </w:rPr>
            </w:pPr>
            <w:r w:rsidRPr="004D5AB1">
              <w:rPr>
                <w:iCs/>
                <w:noProof/>
                <w:sz w:val="24"/>
                <w:szCs w:val="24"/>
              </w:rPr>
              <w:t>Ikke kendt</w:t>
            </w:r>
          </w:p>
        </w:tc>
      </w:tr>
      <w:tr w:rsidR="00CA5F71" w:rsidRPr="004D5AB1" w14:paraId="176F7E52" w14:textId="77777777" w:rsidTr="0015226E">
        <w:tc>
          <w:tcPr>
            <w:tcW w:w="5000" w:type="pct"/>
            <w:gridSpan w:val="4"/>
            <w:tcBorders>
              <w:top w:val="single" w:sz="4" w:space="0" w:color="auto"/>
              <w:left w:val="single" w:sz="4" w:space="0" w:color="auto"/>
              <w:bottom w:val="single" w:sz="4" w:space="0" w:color="auto"/>
              <w:right w:val="single" w:sz="4" w:space="0" w:color="auto"/>
            </w:tcBorders>
            <w:hideMark/>
          </w:tcPr>
          <w:p w14:paraId="19D4E55A" w14:textId="77777777" w:rsidR="00CA5F71" w:rsidRPr="004D5AB1" w:rsidRDefault="00CA5F71">
            <w:pPr>
              <w:rPr>
                <w:iCs/>
                <w:noProof/>
                <w:sz w:val="24"/>
                <w:szCs w:val="24"/>
              </w:rPr>
            </w:pPr>
            <w:r w:rsidRPr="004D5AB1">
              <w:rPr>
                <w:b/>
                <w:bCs/>
                <w:iCs/>
                <w:noProof/>
                <w:sz w:val="24"/>
                <w:szCs w:val="24"/>
              </w:rPr>
              <w:lastRenderedPageBreak/>
              <w:t>Nervesystemet</w:t>
            </w:r>
          </w:p>
        </w:tc>
      </w:tr>
      <w:tr w:rsidR="00CA5F71" w:rsidRPr="004D5AB1" w14:paraId="1620E559"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2B4DD45A" w14:textId="77777777" w:rsidR="00CA5F71" w:rsidRPr="004D5AB1" w:rsidRDefault="00CA5F71">
            <w:pPr>
              <w:rPr>
                <w:iCs/>
                <w:noProof/>
                <w:sz w:val="24"/>
                <w:szCs w:val="24"/>
              </w:rPr>
            </w:pPr>
            <w:r w:rsidRPr="004D5AB1">
              <w:rPr>
                <w:iCs/>
                <w:noProof/>
                <w:sz w:val="24"/>
                <w:szCs w:val="24"/>
              </w:rPr>
              <w:t>Hovedpine</w:t>
            </w:r>
          </w:p>
        </w:tc>
        <w:tc>
          <w:tcPr>
            <w:tcW w:w="1210" w:type="pct"/>
            <w:tcBorders>
              <w:top w:val="single" w:sz="4" w:space="0" w:color="auto"/>
              <w:left w:val="single" w:sz="4" w:space="0" w:color="auto"/>
              <w:bottom w:val="single" w:sz="4" w:space="0" w:color="auto"/>
              <w:right w:val="single" w:sz="4" w:space="0" w:color="auto"/>
            </w:tcBorders>
            <w:hideMark/>
          </w:tcPr>
          <w:p w14:paraId="63D83BE3" w14:textId="77777777" w:rsidR="00CA5F71" w:rsidRPr="004D5AB1" w:rsidRDefault="00CA5F71">
            <w:pPr>
              <w:rPr>
                <w:iCs/>
                <w:noProof/>
                <w:sz w:val="24"/>
                <w:szCs w:val="24"/>
              </w:rPr>
            </w:pPr>
            <w:r w:rsidRPr="004D5AB1">
              <w:rPr>
                <w:iCs/>
                <w:noProof/>
                <w:sz w:val="24"/>
                <w:szCs w:val="24"/>
              </w:rPr>
              <w:t>Almindelig</w:t>
            </w:r>
          </w:p>
        </w:tc>
        <w:tc>
          <w:tcPr>
            <w:tcW w:w="1211" w:type="pct"/>
            <w:tcBorders>
              <w:top w:val="single" w:sz="4" w:space="0" w:color="auto"/>
              <w:left w:val="single" w:sz="4" w:space="0" w:color="auto"/>
              <w:bottom w:val="single" w:sz="4" w:space="0" w:color="auto"/>
              <w:right w:val="single" w:sz="4" w:space="0" w:color="auto"/>
            </w:tcBorders>
            <w:hideMark/>
          </w:tcPr>
          <w:p w14:paraId="797E6055" w14:textId="77777777" w:rsidR="00CA5F71" w:rsidRPr="004D5AB1" w:rsidRDefault="00CA5F71">
            <w:pPr>
              <w:rPr>
                <w:iCs/>
                <w:noProof/>
                <w:sz w:val="24"/>
                <w:szCs w:val="24"/>
              </w:rPr>
            </w:pPr>
            <w:r w:rsidRPr="004D5AB1">
              <w:rPr>
                <w:iCs/>
                <w:noProof/>
                <w:sz w:val="24"/>
                <w:szCs w:val="24"/>
              </w:rPr>
              <w:t>Almindelig</w:t>
            </w:r>
          </w:p>
        </w:tc>
        <w:tc>
          <w:tcPr>
            <w:tcW w:w="1212" w:type="pct"/>
            <w:tcBorders>
              <w:top w:val="single" w:sz="4" w:space="0" w:color="auto"/>
              <w:left w:val="single" w:sz="4" w:space="0" w:color="auto"/>
              <w:bottom w:val="single" w:sz="4" w:space="0" w:color="auto"/>
              <w:right w:val="single" w:sz="4" w:space="0" w:color="auto"/>
            </w:tcBorders>
            <w:hideMark/>
          </w:tcPr>
          <w:p w14:paraId="00429A2A" w14:textId="77777777" w:rsidR="00CA5F71" w:rsidRPr="004D5AB1" w:rsidRDefault="00CA5F71">
            <w:pPr>
              <w:rPr>
                <w:iCs/>
                <w:noProof/>
                <w:sz w:val="24"/>
                <w:szCs w:val="24"/>
              </w:rPr>
            </w:pPr>
            <w:r w:rsidRPr="004D5AB1">
              <w:rPr>
                <w:iCs/>
                <w:noProof/>
                <w:sz w:val="24"/>
                <w:szCs w:val="24"/>
              </w:rPr>
              <w:t>Almindelig</w:t>
            </w:r>
          </w:p>
        </w:tc>
      </w:tr>
      <w:tr w:rsidR="00CA5F71" w:rsidRPr="004D5AB1" w14:paraId="421EF41F" w14:textId="77777777" w:rsidTr="0015226E">
        <w:tc>
          <w:tcPr>
            <w:tcW w:w="1367" w:type="pct"/>
            <w:tcBorders>
              <w:top w:val="single" w:sz="4" w:space="0" w:color="auto"/>
              <w:left w:val="single" w:sz="4" w:space="0" w:color="auto"/>
              <w:bottom w:val="single" w:sz="4" w:space="0" w:color="auto"/>
              <w:right w:val="single" w:sz="4" w:space="0" w:color="auto"/>
            </w:tcBorders>
            <w:hideMark/>
          </w:tcPr>
          <w:p w14:paraId="070B41A2" w14:textId="77777777" w:rsidR="00CA5F71" w:rsidRPr="004D5AB1" w:rsidRDefault="00CA5F71">
            <w:pPr>
              <w:rPr>
                <w:iCs/>
                <w:noProof/>
                <w:sz w:val="24"/>
                <w:szCs w:val="24"/>
              </w:rPr>
            </w:pPr>
            <w:r w:rsidRPr="004D5AB1">
              <w:rPr>
                <w:iCs/>
                <w:noProof/>
                <w:sz w:val="24"/>
                <w:szCs w:val="24"/>
              </w:rPr>
              <w:t>Posteriort reversibelt encefalopatisyndrom</w:t>
            </w:r>
          </w:p>
        </w:tc>
        <w:tc>
          <w:tcPr>
            <w:tcW w:w="1210" w:type="pct"/>
            <w:tcBorders>
              <w:top w:val="single" w:sz="4" w:space="0" w:color="auto"/>
              <w:left w:val="single" w:sz="4" w:space="0" w:color="auto"/>
              <w:bottom w:val="single" w:sz="4" w:space="0" w:color="auto"/>
              <w:right w:val="single" w:sz="4" w:space="0" w:color="auto"/>
            </w:tcBorders>
            <w:hideMark/>
          </w:tcPr>
          <w:p w14:paraId="55E18B78" w14:textId="77777777" w:rsidR="00CA5F71" w:rsidRPr="004D5AB1" w:rsidRDefault="00CA5F71">
            <w:pPr>
              <w:rPr>
                <w:iCs/>
                <w:noProof/>
                <w:sz w:val="24"/>
                <w:szCs w:val="24"/>
              </w:rPr>
            </w:pPr>
            <w:r w:rsidRPr="004D5AB1">
              <w:rPr>
                <w:iCs/>
                <w:noProof/>
                <w:sz w:val="24"/>
                <w:szCs w:val="24"/>
              </w:rPr>
              <w:t>Ikke kendt</w:t>
            </w:r>
          </w:p>
        </w:tc>
        <w:tc>
          <w:tcPr>
            <w:tcW w:w="1211" w:type="pct"/>
            <w:tcBorders>
              <w:top w:val="single" w:sz="4" w:space="0" w:color="auto"/>
              <w:left w:val="single" w:sz="4" w:space="0" w:color="auto"/>
              <w:bottom w:val="single" w:sz="4" w:space="0" w:color="auto"/>
              <w:right w:val="single" w:sz="4" w:space="0" w:color="auto"/>
            </w:tcBorders>
            <w:hideMark/>
          </w:tcPr>
          <w:p w14:paraId="48B05FA7" w14:textId="77777777" w:rsidR="00CA5F71" w:rsidRPr="004D5AB1" w:rsidRDefault="00CA5F71">
            <w:pPr>
              <w:rPr>
                <w:iCs/>
                <w:noProof/>
                <w:sz w:val="24"/>
                <w:szCs w:val="24"/>
              </w:rPr>
            </w:pPr>
            <w:r w:rsidRPr="004D5AB1">
              <w:rPr>
                <w:iCs/>
                <w:noProof/>
                <w:sz w:val="24"/>
                <w:szCs w:val="24"/>
              </w:rPr>
              <w:t>Ikke kendt</w:t>
            </w:r>
          </w:p>
        </w:tc>
        <w:tc>
          <w:tcPr>
            <w:tcW w:w="1212" w:type="pct"/>
            <w:tcBorders>
              <w:top w:val="single" w:sz="4" w:space="0" w:color="auto"/>
              <w:left w:val="single" w:sz="4" w:space="0" w:color="auto"/>
              <w:bottom w:val="single" w:sz="4" w:space="0" w:color="auto"/>
              <w:right w:val="single" w:sz="4" w:space="0" w:color="auto"/>
            </w:tcBorders>
            <w:hideMark/>
          </w:tcPr>
          <w:p w14:paraId="31526CA6" w14:textId="77777777" w:rsidR="00CA5F71" w:rsidRPr="004D5AB1" w:rsidRDefault="00CA5F71">
            <w:pPr>
              <w:rPr>
                <w:iCs/>
                <w:noProof/>
                <w:sz w:val="24"/>
                <w:szCs w:val="24"/>
              </w:rPr>
            </w:pPr>
            <w:r w:rsidRPr="004D5AB1">
              <w:rPr>
                <w:iCs/>
                <w:noProof/>
                <w:sz w:val="24"/>
                <w:szCs w:val="24"/>
              </w:rPr>
              <w:t>Ikke kendt</w:t>
            </w:r>
          </w:p>
        </w:tc>
      </w:tr>
    </w:tbl>
    <w:p w14:paraId="38881E9B" w14:textId="77777777" w:rsidR="00CA5F71" w:rsidRPr="004D5AB1" w:rsidRDefault="00CA5F71" w:rsidP="00CA5F71">
      <w:pPr>
        <w:rPr>
          <w:iCs/>
          <w:noProof/>
          <w:sz w:val="24"/>
          <w:szCs w:val="24"/>
        </w:rPr>
      </w:pPr>
    </w:p>
    <w:p w14:paraId="590AF5E0" w14:textId="77777777" w:rsidR="00CA5F71" w:rsidRPr="004D5AB1" w:rsidRDefault="00CA5F71" w:rsidP="0015226E">
      <w:pPr>
        <w:ind w:left="851"/>
        <w:rPr>
          <w:i/>
          <w:noProof/>
          <w:sz w:val="24"/>
          <w:szCs w:val="24"/>
        </w:rPr>
      </w:pPr>
      <w:r w:rsidRPr="004D5AB1">
        <w:rPr>
          <w:iCs/>
          <w:noProof/>
          <w:sz w:val="24"/>
          <w:szCs w:val="24"/>
          <w:u w:val="single"/>
        </w:rPr>
        <w:t>Beskrivelse af udvalgte bivirkninger</w:t>
      </w:r>
    </w:p>
    <w:p w14:paraId="14877CDA" w14:textId="77777777" w:rsidR="00CA5F71" w:rsidRPr="004D5AB1" w:rsidRDefault="00CA5F71" w:rsidP="0015226E">
      <w:pPr>
        <w:ind w:left="851"/>
        <w:rPr>
          <w:bCs/>
          <w:i/>
          <w:noProof/>
          <w:sz w:val="24"/>
          <w:szCs w:val="24"/>
        </w:rPr>
      </w:pPr>
      <w:r w:rsidRPr="004D5AB1">
        <w:rPr>
          <w:bCs/>
          <w:i/>
          <w:noProof/>
          <w:sz w:val="24"/>
          <w:szCs w:val="24"/>
        </w:rPr>
        <w:t>Diarré</w:t>
      </w:r>
    </w:p>
    <w:p w14:paraId="2CCD6EF2" w14:textId="77777777" w:rsidR="00CA5F71" w:rsidRPr="004D5AB1" w:rsidRDefault="00CA5F71" w:rsidP="0015226E">
      <w:pPr>
        <w:ind w:left="851"/>
        <w:rPr>
          <w:bCs/>
          <w:iCs/>
          <w:noProof/>
          <w:sz w:val="24"/>
          <w:szCs w:val="24"/>
        </w:rPr>
      </w:pPr>
      <w:r w:rsidRPr="004D5AB1">
        <w:rPr>
          <w:bCs/>
          <w:iCs/>
          <w:noProof/>
          <w:sz w:val="24"/>
          <w:szCs w:val="24"/>
        </w:rPr>
        <w:t>I kliniske studier (se pkt. 5.1) var diarré den hyppigst rapporterede mave-tarm-hændelse. Hos de fleste patienter var hændelsen af let til moderat intensitet. Hos mere end totredjedel af de patienter, der fik diarré, var første forekomst allerede i de første tre måneder af behandlingen. Hos de fleste patienter blev bivirkningen behandlet med obstipantia, dosisreduktion eller behandlingsafbrydelse (se pkt. 4.4). En oversigt over de indberettede hændelser med diarré i kliniske studier er opstillet i tabel 2:</w:t>
      </w:r>
    </w:p>
    <w:p w14:paraId="6025F2C8" w14:textId="77777777" w:rsidR="00CA5F71" w:rsidRPr="004D5AB1" w:rsidRDefault="00CA5F71" w:rsidP="00CA5F71">
      <w:pPr>
        <w:rPr>
          <w:bCs/>
          <w:iCs/>
          <w:noProof/>
          <w:sz w:val="24"/>
          <w:szCs w:val="24"/>
        </w:rPr>
      </w:pPr>
    </w:p>
    <w:p w14:paraId="2ADFDDB1" w14:textId="77777777" w:rsidR="00CA5F71" w:rsidRPr="004D5AB1" w:rsidRDefault="00CA5F71" w:rsidP="00CA5F71">
      <w:pPr>
        <w:rPr>
          <w:bCs/>
          <w:iCs/>
          <w:noProof/>
          <w:sz w:val="24"/>
          <w:szCs w:val="24"/>
        </w:rPr>
      </w:pPr>
      <w:r w:rsidRPr="004D5AB1">
        <w:rPr>
          <w:b/>
          <w:bCs/>
          <w:iCs/>
          <w:noProof/>
          <w:sz w:val="24"/>
          <w:szCs w:val="24"/>
        </w:rPr>
        <w:t xml:space="preserve">Tabel 2: </w:t>
      </w:r>
      <w:r w:rsidRPr="004D5AB1">
        <w:rPr>
          <w:b/>
          <w:bCs/>
          <w:iCs/>
          <w:noProof/>
          <w:sz w:val="24"/>
          <w:szCs w:val="24"/>
        </w:rPr>
        <w:tab/>
        <w:t>Diarré i kliniske studier over 52 uger</w:t>
      </w:r>
    </w:p>
    <w:tbl>
      <w:tblPr>
        <w:tblStyle w:val="Tabel-Gitter"/>
        <w:tblW w:w="5000" w:type="pct"/>
        <w:tblInd w:w="0" w:type="dxa"/>
        <w:tblLook w:val="04A0" w:firstRow="1" w:lastRow="0" w:firstColumn="1" w:lastColumn="0" w:noHBand="0" w:noVBand="1"/>
      </w:tblPr>
      <w:tblGrid>
        <w:gridCol w:w="1659"/>
        <w:gridCol w:w="1305"/>
        <w:gridCol w:w="1350"/>
        <w:gridCol w:w="1306"/>
        <w:gridCol w:w="1352"/>
        <w:gridCol w:w="1306"/>
        <w:gridCol w:w="1350"/>
      </w:tblGrid>
      <w:tr w:rsidR="00CA5F71" w:rsidRPr="004D5AB1" w14:paraId="03328249" w14:textId="77777777" w:rsidTr="0015226E">
        <w:trPr>
          <w:tblHeader/>
        </w:trPr>
        <w:tc>
          <w:tcPr>
            <w:tcW w:w="862" w:type="pct"/>
            <w:vMerge w:val="restart"/>
            <w:tcBorders>
              <w:top w:val="single" w:sz="4" w:space="0" w:color="auto"/>
              <w:left w:val="single" w:sz="4" w:space="0" w:color="auto"/>
              <w:bottom w:val="single" w:sz="4" w:space="0" w:color="auto"/>
              <w:right w:val="single" w:sz="4" w:space="0" w:color="auto"/>
            </w:tcBorders>
          </w:tcPr>
          <w:p w14:paraId="69488C84" w14:textId="77777777" w:rsidR="00CA5F71" w:rsidRPr="004D5AB1" w:rsidRDefault="00CA5F71">
            <w:pPr>
              <w:autoSpaceDE w:val="0"/>
              <w:autoSpaceDN w:val="0"/>
              <w:adjustRightInd w:val="0"/>
              <w:rPr>
                <w:noProof/>
                <w:sz w:val="24"/>
                <w:szCs w:val="24"/>
              </w:rPr>
            </w:pPr>
          </w:p>
        </w:tc>
        <w:tc>
          <w:tcPr>
            <w:tcW w:w="1379" w:type="pct"/>
            <w:gridSpan w:val="2"/>
            <w:tcBorders>
              <w:top w:val="single" w:sz="4" w:space="0" w:color="auto"/>
              <w:left w:val="single" w:sz="4" w:space="0" w:color="auto"/>
              <w:bottom w:val="single" w:sz="4" w:space="0" w:color="auto"/>
              <w:right w:val="single" w:sz="4" w:space="0" w:color="auto"/>
            </w:tcBorders>
            <w:hideMark/>
          </w:tcPr>
          <w:p w14:paraId="1F438D28" w14:textId="77777777" w:rsidR="00CA5F71" w:rsidRPr="004D5AB1" w:rsidRDefault="00CA5F71">
            <w:pPr>
              <w:autoSpaceDE w:val="0"/>
              <w:autoSpaceDN w:val="0"/>
              <w:adjustRightInd w:val="0"/>
              <w:jc w:val="center"/>
              <w:rPr>
                <w:b/>
                <w:bCs/>
                <w:noProof/>
                <w:sz w:val="24"/>
                <w:szCs w:val="24"/>
              </w:rPr>
            </w:pPr>
            <w:r w:rsidRPr="004D5AB1">
              <w:rPr>
                <w:b/>
                <w:bCs/>
                <w:noProof/>
                <w:sz w:val="24"/>
                <w:szCs w:val="24"/>
              </w:rPr>
              <w:t>INPULSIS</w:t>
            </w:r>
          </w:p>
        </w:tc>
        <w:tc>
          <w:tcPr>
            <w:tcW w:w="1380" w:type="pct"/>
            <w:gridSpan w:val="2"/>
            <w:tcBorders>
              <w:top w:val="single" w:sz="4" w:space="0" w:color="auto"/>
              <w:left w:val="single" w:sz="4" w:space="0" w:color="auto"/>
              <w:bottom w:val="single" w:sz="4" w:space="0" w:color="auto"/>
              <w:right w:val="single" w:sz="4" w:space="0" w:color="auto"/>
            </w:tcBorders>
            <w:hideMark/>
          </w:tcPr>
          <w:p w14:paraId="7D8AEBE7" w14:textId="77777777" w:rsidR="00CA5F71" w:rsidRPr="004D5AB1" w:rsidRDefault="00CA5F71">
            <w:pPr>
              <w:autoSpaceDE w:val="0"/>
              <w:autoSpaceDN w:val="0"/>
              <w:adjustRightInd w:val="0"/>
              <w:jc w:val="center"/>
              <w:rPr>
                <w:b/>
                <w:bCs/>
                <w:noProof/>
                <w:sz w:val="24"/>
                <w:szCs w:val="24"/>
              </w:rPr>
            </w:pPr>
            <w:r w:rsidRPr="004D5AB1">
              <w:rPr>
                <w:b/>
                <w:bCs/>
                <w:noProof/>
                <w:sz w:val="24"/>
                <w:szCs w:val="24"/>
              </w:rPr>
              <w:t>INBUILD</w:t>
            </w:r>
          </w:p>
        </w:tc>
        <w:tc>
          <w:tcPr>
            <w:tcW w:w="1380" w:type="pct"/>
            <w:gridSpan w:val="2"/>
            <w:tcBorders>
              <w:top w:val="single" w:sz="4" w:space="0" w:color="auto"/>
              <w:left w:val="single" w:sz="4" w:space="0" w:color="auto"/>
              <w:bottom w:val="single" w:sz="4" w:space="0" w:color="auto"/>
              <w:right w:val="single" w:sz="4" w:space="0" w:color="auto"/>
            </w:tcBorders>
            <w:hideMark/>
          </w:tcPr>
          <w:p w14:paraId="5588FBD8" w14:textId="77777777" w:rsidR="00CA5F71" w:rsidRPr="004D5AB1" w:rsidRDefault="00CA5F71">
            <w:pPr>
              <w:autoSpaceDE w:val="0"/>
              <w:autoSpaceDN w:val="0"/>
              <w:adjustRightInd w:val="0"/>
              <w:jc w:val="center"/>
              <w:rPr>
                <w:b/>
                <w:bCs/>
                <w:noProof/>
                <w:sz w:val="24"/>
                <w:szCs w:val="24"/>
              </w:rPr>
            </w:pPr>
            <w:r w:rsidRPr="004D5AB1">
              <w:rPr>
                <w:b/>
                <w:bCs/>
                <w:noProof/>
                <w:sz w:val="24"/>
                <w:szCs w:val="24"/>
              </w:rPr>
              <w:t>SENSCIS</w:t>
            </w:r>
          </w:p>
        </w:tc>
      </w:tr>
      <w:tr w:rsidR="00CA5F71" w:rsidRPr="004D5AB1" w14:paraId="08A4C89B" w14:textId="77777777" w:rsidTr="0015226E">
        <w:trPr>
          <w:tblHeader/>
        </w:trPr>
        <w:tc>
          <w:tcPr>
            <w:tcW w:w="862" w:type="pct"/>
            <w:vMerge/>
            <w:tcBorders>
              <w:top w:val="single" w:sz="4" w:space="0" w:color="auto"/>
              <w:left w:val="single" w:sz="4" w:space="0" w:color="auto"/>
              <w:bottom w:val="single" w:sz="4" w:space="0" w:color="auto"/>
              <w:right w:val="single" w:sz="4" w:space="0" w:color="auto"/>
            </w:tcBorders>
            <w:vAlign w:val="center"/>
            <w:hideMark/>
          </w:tcPr>
          <w:p w14:paraId="43BCE4D0" w14:textId="77777777" w:rsidR="00CA5F71" w:rsidRPr="004D5AB1" w:rsidRDefault="00CA5F71">
            <w:pPr>
              <w:rPr>
                <w:noProof/>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14:paraId="40A2E58B"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1" w:type="pct"/>
            <w:tcBorders>
              <w:top w:val="single" w:sz="4" w:space="0" w:color="auto"/>
              <w:left w:val="single" w:sz="4" w:space="0" w:color="auto"/>
              <w:bottom w:val="single" w:sz="4" w:space="0" w:color="auto"/>
              <w:right w:val="single" w:sz="4" w:space="0" w:color="auto"/>
            </w:tcBorders>
            <w:hideMark/>
          </w:tcPr>
          <w:p w14:paraId="444CD824" w14:textId="77777777" w:rsidR="00CA5F71" w:rsidRPr="004D5AB1" w:rsidRDefault="00CA5F71">
            <w:pPr>
              <w:autoSpaceDE w:val="0"/>
              <w:autoSpaceDN w:val="0"/>
              <w:adjustRightInd w:val="0"/>
              <w:jc w:val="center"/>
              <w:rPr>
                <w:noProof/>
                <w:sz w:val="24"/>
                <w:szCs w:val="24"/>
              </w:rPr>
            </w:pPr>
            <w:r w:rsidRPr="004D5AB1">
              <w:rPr>
                <w:noProof/>
                <w:sz w:val="24"/>
                <w:szCs w:val="24"/>
              </w:rPr>
              <w:t>Nintedanib</w:t>
            </w:r>
          </w:p>
        </w:tc>
        <w:tc>
          <w:tcPr>
            <w:tcW w:w="678" w:type="pct"/>
            <w:tcBorders>
              <w:top w:val="single" w:sz="4" w:space="0" w:color="auto"/>
              <w:left w:val="single" w:sz="4" w:space="0" w:color="auto"/>
              <w:bottom w:val="single" w:sz="4" w:space="0" w:color="auto"/>
              <w:right w:val="single" w:sz="4" w:space="0" w:color="auto"/>
            </w:tcBorders>
            <w:hideMark/>
          </w:tcPr>
          <w:p w14:paraId="530CC454"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2" w:type="pct"/>
            <w:tcBorders>
              <w:top w:val="single" w:sz="4" w:space="0" w:color="auto"/>
              <w:left w:val="single" w:sz="4" w:space="0" w:color="auto"/>
              <w:bottom w:val="single" w:sz="4" w:space="0" w:color="auto"/>
              <w:right w:val="single" w:sz="4" w:space="0" w:color="auto"/>
            </w:tcBorders>
            <w:hideMark/>
          </w:tcPr>
          <w:p w14:paraId="2BD4AFE5" w14:textId="77777777" w:rsidR="00CA5F71" w:rsidRPr="004D5AB1" w:rsidRDefault="00CA5F71">
            <w:pPr>
              <w:autoSpaceDE w:val="0"/>
              <w:autoSpaceDN w:val="0"/>
              <w:adjustRightInd w:val="0"/>
              <w:jc w:val="center"/>
              <w:rPr>
                <w:noProof/>
                <w:sz w:val="24"/>
                <w:szCs w:val="24"/>
              </w:rPr>
            </w:pPr>
            <w:r w:rsidRPr="004D5AB1">
              <w:rPr>
                <w:noProof/>
                <w:sz w:val="24"/>
                <w:szCs w:val="24"/>
              </w:rPr>
              <w:t>Nintedanib</w:t>
            </w:r>
          </w:p>
        </w:tc>
        <w:tc>
          <w:tcPr>
            <w:tcW w:w="678" w:type="pct"/>
            <w:tcBorders>
              <w:top w:val="single" w:sz="4" w:space="0" w:color="auto"/>
              <w:left w:val="single" w:sz="4" w:space="0" w:color="auto"/>
              <w:bottom w:val="single" w:sz="4" w:space="0" w:color="auto"/>
              <w:right w:val="single" w:sz="4" w:space="0" w:color="auto"/>
            </w:tcBorders>
            <w:hideMark/>
          </w:tcPr>
          <w:p w14:paraId="196CB4D1"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2" w:type="pct"/>
            <w:tcBorders>
              <w:top w:val="single" w:sz="4" w:space="0" w:color="auto"/>
              <w:left w:val="single" w:sz="4" w:space="0" w:color="auto"/>
              <w:bottom w:val="single" w:sz="4" w:space="0" w:color="auto"/>
              <w:right w:val="single" w:sz="4" w:space="0" w:color="auto"/>
            </w:tcBorders>
            <w:hideMark/>
          </w:tcPr>
          <w:p w14:paraId="7A617A7B" w14:textId="77777777" w:rsidR="00CA5F71" w:rsidRPr="004D5AB1" w:rsidRDefault="00CA5F71">
            <w:pPr>
              <w:autoSpaceDE w:val="0"/>
              <w:autoSpaceDN w:val="0"/>
              <w:adjustRightInd w:val="0"/>
              <w:jc w:val="center"/>
              <w:rPr>
                <w:noProof/>
                <w:sz w:val="24"/>
                <w:szCs w:val="24"/>
              </w:rPr>
            </w:pPr>
            <w:r w:rsidRPr="004D5AB1">
              <w:rPr>
                <w:noProof/>
                <w:sz w:val="24"/>
                <w:szCs w:val="24"/>
              </w:rPr>
              <w:t>Nintedanib</w:t>
            </w:r>
          </w:p>
        </w:tc>
      </w:tr>
      <w:tr w:rsidR="00CA5F71" w:rsidRPr="004D5AB1" w14:paraId="567341BA" w14:textId="77777777" w:rsidTr="0015226E">
        <w:tc>
          <w:tcPr>
            <w:tcW w:w="862" w:type="pct"/>
            <w:tcBorders>
              <w:top w:val="single" w:sz="4" w:space="0" w:color="auto"/>
              <w:left w:val="single" w:sz="4" w:space="0" w:color="auto"/>
              <w:bottom w:val="single" w:sz="4" w:space="0" w:color="auto"/>
              <w:right w:val="single" w:sz="4" w:space="0" w:color="auto"/>
            </w:tcBorders>
            <w:hideMark/>
          </w:tcPr>
          <w:p w14:paraId="34B0A8F8" w14:textId="77777777" w:rsidR="00CA5F71" w:rsidRPr="004D5AB1" w:rsidRDefault="00CA5F71">
            <w:pPr>
              <w:autoSpaceDE w:val="0"/>
              <w:autoSpaceDN w:val="0"/>
              <w:adjustRightInd w:val="0"/>
              <w:rPr>
                <w:noProof/>
                <w:sz w:val="24"/>
                <w:szCs w:val="24"/>
              </w:rPr>
            </w:pPr>
            <w:r w:rsidRPr="004D5AB1">
              <w:rPr>
                <w:noProof/>
                <w:sz w:val="24"/>
                <w:szCs w:val="24"/>
              </w:rPr>
              <w:t>Diarré</w:t>
            </w:r>
          </w:p>
        </w:tc>
        <w:tc>
          <w:tcPr>
            <w:tcW w:w="678" w:type="pct"/>
            <w:tcBorders>
              <w:top w:val="single" w:sz="4" w:space="0" w:color="auto"/>
              <w:left w:val="single" w:sz="4" w:space="0" w:color="auto"/>
              <w:bottom w:val="single" w:sz="4" w:space="0" w:color="auto"/>
              <w:right w:val="single" w:sz="4" w:space="0" w:color="auto"/>
            </w:tcBorders>
            <w:vAlign w:val="center"/>
            <w:hideMark/>
          </w:tcPr>
          <w:p w14:paraId="784EF095" w14:textId="77777777" w:rsidR="00CA5F71" w:rsidRPr="004D5AB1" w:rsidRDefault="00CA5F71">
            <w:pPr>
              <w:autoSpaceDE w:val="0"/>
              <w:autoSpaceDN w:val="0"/>
              <w:adjustRightInd w:val="0"/>
              <w:jc w:val="center"/>
              <w:rPr>
                <w:noProof/>
                <w:sz w:val="24"/>
                <w:szCs w:val="24"/>
                <w:u w:val="single"/>
              </w:rPr>
            </w:pPr>
            <w:r w:rsidRPr="004D5AB1">
              <w:rPr>
                <w:sz w:val="24"/>
                <w:szCs w:val="24"/>
              </w:rPr>
              <w:t>18,4 %</w:t>
            </w:r>
          </w:p>
        </w:tc>
        <w:tc>
          <w:tcPr>
            <w:tcW w:w="701" w:type="pct"/>
            <w:tcBorders>
              <w:top w:val="single" w:sz="4" w:space="0" w:color="auto"/>
              <w:left w:val="single" w:sz="4" w:space="0" w:color="auto"/>
              <w:bottom w:val="single" w:sz="4" w:space="0" w:color="auto"/>
              <w:right w:val="single" w:sz="4" w:space="0" w:color="auto"/>
            </w:tcBorders>
            <w:vAlign w:val="center"/>
            <w:hideMark/>
          </w:tcPr>
          <w:p w14:paraId="077070B4" w14:textId="77777777" w:rsidR="00CA5F71" w:rsidRPr="004D5AB1" w:rsidRDefault="00CA5F71">
            <w:pPr>
              <w:autoSpaceDE w:val="0"/>
              <w:autoSpaceDN w:val="0"/>
              <w:adjustRightInd w:val="0"/>
              <w:jc w:val="center"/>
              <w:rPr>
                <w:noProof/>
                <w:sz w:val="24"/>
                <w:szCs w:val="24"/>
                <w:u w:val="single"/>
              </w:rPr>
            </w:pPr>
            <w:r w:rsidRPr="004D5AB1">
              <w:rPr>
                <w:sz w:val="24"/>
                <w:szCs w:val="24"/>
              </w:rPr>
              <w:t>62,4 %</w:t>
            </w:r>
          </w:p>
        </w:tc>
        <w:tc>
          <w:tcPr>
            <w:tcW w:w="678" w:type="pct"/>
            <w:tcBorders>
              <w:top w:val="single" w:sz="4" w:space="0" w:color="auto"/>
              <w:left w:val="single" w:sz="4" w:space="0" w:color="auto"/>
              <w:bottom w:val="single" w:sz="4" w:space="0" w:color="auto"/>
              <w:right w:val="single" w:sz="4" w:space="0" w:color="auto"/>
            </w:tcBorders>
            <w:vAlign w:val="center"/>
            <w:hideMark/>
          </w:tcPr>
          <w:p w14:paraId="7FA06481" w14:textId="77777777" w:rsidR="00CA5F71" w:rsidRPr="004D5AB1" w:rsidRDefault="00CA5F71">
            <w:pPr>
              <w:autoSpaceDE w:val="0"/>
              <w:autoSpaceDN w:val="0"/>
              <w:adjustRightInd w:val="0"/>
              <w:jc w:val="center"/>
              <w:rPr>
                <w:noProof/>
                <w:sz w:val="24"/>
                <w:szCs w:val="24"/>
                <w:u w:val="single"/>
              </w:rPr>
            </w:pPr>
            <w:r w:rsidRPr="004D5AB1">
              <w:rPr>
                <w:sz w:val="24"/>
                <w:szCs w:val="24"/>
              </w:rPr>
              <w:t>23,9 %</w:t>
            </w:r>
          </w:p>
        </w:tc>
        <w:tc>
          <w:tcPr>
            <w:tcW w:w="702" w:type="pct"/>
            <w:tcBorders>
              <w:top w:val="single" w:sz="4" w:space="0" w:color="auto"/>
              <w:left w:val="single" w:sz="4" w:space="0" w:color="auto"/>
              <w:bottom w:val="single" w:sz="4" w:space="0" w:color="auto"/>
              <w:right w:val="single" w:sz="4" w:space="0" w:color="auto"/>
            </w:tcBorders>
            <w:vAlign w:val="center"/>
            <w:hideMark/>
          </w:tcPr>
          <w:p w14:paraId="473CB521" w14:textId="77777777" w:rsidR="00CA5F71" w:rsidRPr="004D5AB1" w:rsidRDefault="00CA5F71">
            <w:pPr>
              <w:autoSpaceDE w:val="0"/>
              <w:autoSpaceDN w:val="0"/>
              <w:adjustRightInd w:val="0"/>
              <w:jc w:val="center"/>
              <w:rPr>
                <w:noProof/>
                <w:sz w:val="24"/>
                <w:szCs w:val="24"/>
                <w:u w:val="single"/>
              </w:rPr>
            </w:pPr>
            <w:r w:rsidRPr="004D5AB1">
              <w:rPr>
                <w:sz w:val="24"/>
                <w:szCs w:val="24"/>
              </w:rPr>
              <w:t>66,9 %</w:t>
            </w:r>
          </w:p>
        </w:tc>
        <w:tc>
          <w:tcPr>
            <w:tcW w:w="678" w:type="pct"/>
            <w:tcBorders>
              <w:top w:val="single" w:sz="4" w:space="0" w:color="auto"/>
              <w:left w:val="single" w:sz="4" w:space="0" w:color="auto"/>
              <w:bottom w:val="single" w:sz="4" w:space="0" w:color="auto"/>
              <w:right w:val="single" w:sz="4" w:space="0" w:color="auto"/>
            </w:tcBorders>
            <w:vAlign w:val="center"/>
            <w:hideMark/>
          </w:tcPr>
          <w:p w14:paraId="7EFD8E06" w14:textId="77777777" w:rsidR="00CA5F71" w:rsidRPr="004D5AB1" w:rsidRDefault="00CA5F71">
            <w:pPr>
              <w:autoSpaceDE w:val="0"/>
              <w:autoSpaceDN w:val="0"/>
              <w:adjustRightInd w:val="0"/>
              <w:jc w:val="center"/>
              <w:rPr>
                <w:noProof/>
                <w:sz w:val="24"/>
                <w:szCs w:val="24"/>
                <w:u w:val="single"/>
              </w:rPr>
            </w:pPr>
            <w:r w:rsidRPr="004D5AB1">
              <w:rPr>
                <w:sz w:val="24"/>
                <w:szCs w:val="24"/>
              </w:rPr>
              <w:t>31,6 %</w:t>
            </w:r>
          </w:p>
        </w:tc>
        <w:tc>
          <w:tcPr>
            <w:tcW w:w="702" w:type="pct"/>
            <w:tcBorders>
              <w:top w:val="single" w:sz="4" w:space="0" w:color="auto"/>
              <w:left w:val="single" w:sz="4" w:space="0" w:color="auto"/>
              <w:bottom w:val="single" w:sz="4" w:space="0" w:color="auto"/>
              <w:right w:val="single" w:sz="4" w:space="0" w:color="auto"/>
            </w:tcBorders>
            <w:vAlign w:val="center"/>
            <w:hideMark/>
          </w:tcPr>
          <w:p w14:paraId="603E709E" w14:textId="77777777" w:rsidR="00CA5F71" w:rsidRPr="004D5AB1" w:rsidRDefault="00CA5F71">
            <w:pPr>
              <w:autoSpaceDE w:val="0"/>
              <w:autoSpaceDN w:val="0"/>
              <w:adjustRightInd w:val="0"/>
              <w:jc w:val="center"/>
              <w:rPr>
                <w:noProof/>
                <w:sz w:val="24"/>
                <w:szCs w:val="24"/>
                <w:u w:val="single"/>
              </w:rPr>
            </w:pPr>
            <w:r w:rsidRPr="004D5AB1">
              <w:rPr>
                <w:sz w:val="24"/>
                <w:szCs w:val="24"/>
              </w:rPr>
              <w:t>75,7 %</w:t>
            </w:r>
          </w:p>
        </w:tc>
      </w:tr>
      <w:tr w:rsidR="00CA5F71" w:rsidRPr="004D5AB1" w14:paraId="49AB7944" w14:textId="77777777" w:rsidTr="0015226E">
        <w:tc>
          <w:tcPr>
            <w:tcW w:w="862" w:type="pct"/>
            <w:tcBorders>
              <w:top w:val="single" w:sz="4" w:space="0" w:color="auto"/>
              <w:left w:val="single" w:sz="4" w:space="0" w:color="auto"/>
              <w:bottom w:val="single" w:sz="4" w:space="0" w:color="auto"/>
              <w:right w:val="single" w:sz="4" w:space="0" w:color="auto"/>
            </w:tcBorders>
            <w:hideMark/>
          </w:tcPr>
          <w:p w14:paraId="1EAD5EBB" w14:textId="77777777" w:rsidR="00CA5F71" w:rsidRPr="004D5AB1" w:rsidRDefault="00CA5F71">
            <w:pPr>
              <w:autoSpaceDE w:val="0"/>
              <w:autoSpaceDN w:val="0"/>
              <w:adjustRightInd w:val="0"/>
              <w:rPr>
                <w:noProof/>
                <w:sz w:val="24"/>
                <w:szCs w:val="24"/>
              </w:rPr>
            </w:pPr>
            <w:r w:rsidRPr="004D5AB1">
              <w:rPr>
                <w:noProof/>
                <w:sz w:val="24"/>
                <w:szCs w:val="24"/>
              </w:rPr>
              <w:t>Svær diarré</w:t>
            </w:r>
          </w:p>
        </w:tc>
        <w:tc>
          <w:tcPr>
            <w:tcW w:w="678" w:type="pct"/>
            <w:tcBorders>
              <w:top w:val="single" w:sz="4" w:space="0" w:color="auto"/>
              <w:left w:val="single" w:sz="4" w:space="0" w:color="auto"/>
              <w:bottom w:val="single" w:sz="4" w:space="0" w:color="auto"/>
              <w:right w:val="single" w:sz="4" w:space="0" w:color="auto"/>
            </w:tcBorders>
            <w:vAlign w:val="center"/>
            <w:hideMark/>
          </w:tcPr>
          <w:p w14:paraId="7C17DD75" w14:textId="77777777" w:rsidR="00CA5F71" w:rsidRPr="004D5AB1" w:rsidRDefault="00CA5F71">
            <w:pPr>
              <w:autoSpaceDE w:val="0"/>
              <w:autoSpaceDN w:val="0"/>
              <w:adjustRightInd w:val="0"/>
              <w:jc w:val="center"/>
              <w:rPr>
                <w:noProof/>
                <w:sz w:val="24"/>
                <w:szCs w:val="24"/>
                <w:u w:val="single"/>
              </w:rPr>
            </w:pPr>
            <w:r w:rsidRPr="004D5AB1">
              <w:rPr>
                <w:sz w:val="24"/>
                <w:szCs w:val="24"/>
              </w:rPr>
              <w:t>0,5 %</w:t>
            </w:r>
          </w:p>
        </w:tc>
        <w:tc>
          <w:tcPr>
            <w:tcW w:w="701" w:type="pct"/>
            <w:tcBorders>
              <w:top w:val="single" w:sz="4" w:space="0" w:color="auto"/>
              <w:left w:val="single" w:sz="4" w:space="0" w:color="auto"/>
              <w:bottom w:val="single" w:sz="4" w:space="0" w:color="auto"/>
              <w:right w:val="single" w:sz="4" w:space="0" w:color="auto"/>
            </w:tcBorders>
            <w:vAlign w:val="center"/>
            <w:hideMark/>
          </w:tcPr>
          <w:p w14:paraId="3A97D42E" w14:textId="77777777" w:rsidR="00CA5F71" w:rsidRPr="004D5AB1" w:rsidRDefault="00CA5F71">
            <w:pPr>
              <w:autoSpaceDE w:val="0"/>
              <w:autoSpaceDN w:val="0"/>
              <w:adjustRightInd w:val="0"/>
              <w:jc w:val="center"/>
              <w:rPr>
                <w:noProof/>
                <w:sz w:val="24"/>
                <w:szCs w:val="24"/>
                <w:u w:val="single"/>
              </w:rPr>
            </w:pPr>
            <w:r w:rsidRPr="004D5AB1">
              <w:rPr>
                <w:sz w:val="24"/>
                <w:szCs w:val="24"/>
              </w:rPr>
              <w:t>3,3 %</w:t>
            </w:r>
          </w:p>
        </w:tc>
        <w:tc>
          <w:tcPr>
            <w:tcW w:w="678" w:type="pct"/>
            <w:tcBorders>
              <w:top w:val="single" w:sz="4" w:space="0" w:color="auto"/>
              <w:left w:val="single" w:sz="4" w:space="0" w:color="auto"/>
              <w:bottom w:val="single" w:sz="4" w:space="0" w:color="auto"/>
              <w:right w:val="single" w:sz="4" w:space="0" w:color="auto"/>
            </w:tcBorders>
            <w:vAlign w:val="center"/>
            <w:hideMark/>
          </w:tcPr>
          <w:p w14:paraId="6DB3BA28" w14:textId="77777777" w:rsidR="00CA5F71" w:rsidRPr="004D5AB1" w:rsidRDefault="00CA5F71">
            <w:pPr>
              <w:autoSpaceDE w:val="0"/>
              <w:autoSpaceDN w:val="0"/>
              <w:adjustRightInd w:val="0"/>
              <w:jc w:val="center"/>
              <w:rPr>
                <w:noProof/>
                <w:sz w:val="24"/>
                <w:szCs w:val="24"/>
                <w:u w:val="single"/>
              </w:rPr>
            </w:pPr>
            <w:r w:rsidRPr="004D5AB1">
              <w:rPr>
                <w:sz w:val="24"/>
                <w:szCs w:val="24"/>
              </w:rPr>
              <w:t>0,9 %</w:t>
            </w:r>
          </w:p>
        </w:tc>
        <w:tc>
          <w:tcPr>
            <w:tcW w:w="702" w:type="pct"/>
            <w:tcBorders>
              <w:top w:val="single" w:sz="4" w:space="0" w:color="auto"/>
              <w:left w:val="single" w:sz="4" w:space="0" w:color="auto"/>
              <w:bottom w:val="single" w:sz="4" w:space="0" w:color="auto"/>
              <w:right w:val="single" w:sz="4" w:space="0" w:color="auto"/>
            </w:tcBorders>
            <w:vAlign w:val="center"/>
            <w:hideMark/>
          </w:tcPr>
          <w:p w14:paraId="22F97B62" w14:textId="77777777" w:rsidR="00CA5F71" w:rsidRPr="004D5AB1" w:rsidRDefault="00CA5F71">
            <w:pPr>
              <w:autoSpaceDE w:val="0"/>
              <w:autoSpaceDN w:val="0"/>
              <w:adjustRightInd w:val="0"/>
              <w:jc w:val="center"/>
              <w:rPr>
                <w:noProof/>
                <w:sz w:val="24"/>
                <w:szCs w:val="24"/>
                <w:u w:val="single"/>
              </w:rPr>
            </w:pPr>
            <w:r w:rsidRPr="004D5AB1">
              <w:rPr>
                <w:sz w:val="24"/>
                <w:szCs w:val="24"/>
              </w:rPr>
              <w:t>2,4 %</w:t>
            </w:r>
          </w:p>
        </w:tc>
        <w:tc>
          <w:tcPr>
            <w:tcW w:w="678" w:type="pct"/>
            <w:tcBorders>
              <w:top w:val="single" w:sz="4" w:space="0" w:color="auto"/>
              <w:left w:val="single" w:sz="4" w:space="0" w:color="auto"/>
              <w:bottom w:val="single" w:sz="4" w:space="0" w:color="auto"/>
              <w:right w:val="single" w:sz="4" w:space="0" w:color="auto"/>
            </w:tcBorders>
            <w:vAlign w:val="center"/>
            <w:hideMark/>
          </w:tcPr>
          <w:p w14:paraId="57FF12FA" w14:textId="77777777" w:rsidR="00CA5F71" w:rsidRPr="004D5AB1" w:rsidRDefault="00CA5F71">
            <w:pPr>
              <w:autoSpaceDE w:val="0"/>
              <w:autoSpaceDN w:val="0"/>
              <w:adjustRightInd w:val="0"/>
              <w:jc w:val="center"/>
              <w:rPr>
                <w:noProof/>
                <w:sz w:val="24"/>
                <w:szCs w:val="24"/>
                <w:u w:val="single"/>
              </w:rPr>
            </w:pPr>
            <w:r w:rsidRPr="004D5AB1">
              <w:rPr>
                <w:sz w:val="24"/>
                <w:szCs w:val="24"/>
              </w:rPr>
              <w:t>1,0 %</w:t>
            </w:r>
          </w:p>
        </w:tc>
        <w:tc>
          <w:tcPr>
            <w:tcW w:w="702" w:type="pct"/>
            <w:tcBorders>
              <w:top w:val="single" w:sz="4" w:space="0" w:color="auto"/>
              <w:left w:val="single" w:sz="4" w:space="0" w:color="auto"/>
              <w:bottom w:val="single" w:sz="4" w:space="0" w:color="auto"/>
              <w:right w:val="single" w:sz="4" w:space="0" w:color="auto"/>
            </w:tcBorders>
            <w:vAlign w:val="center"/>
            <w:hideMark/>
          </w:tcPr>
          <w:p w14:paraId="6F87D962" w14:textId="77777777" w:rsidR="00CA5F71" w:rsidRPr="004D5AB1" w:rsidRDefault="00CA5F71">
            <w:pPr>
              <w:autoSpaceDE w:val="0"/>
              <w:autoSpaceDN w:val="0"/>
              <w:adjustRightInd w:val="0"/>
              <w:jc w:val="center"/>
              <w:rPr>
                <w:noProof/>
                <w:sz w:val="24"/>
                <w:szCs w:val="24"/>
                <w:u w:val="single"/>
              </w:rPr>
            </w:pPr>
            <w:r w:rsidRPr="004D5AB1">
              <w:rPr>
                <w:sz w:val="24"/>
                <w:szCs w:val="24"/>
              </w:rPr>
              <w:t>4,2 %</w:t>
            </w:r>
          </w:p>
        </w:tc>
      </w:tr>
      <w:tr w:rsidR="00CA5F71" w:rsidRPr="004D5AB1" w14:paraId="3BC28A09" w14:textId="77777777" w:rsidTr="0015226E">
        <w:tc>
          <w:tcPr>
            <w:tcW w:w="862" w:type="pct"/>
            <w:tcBorders>
              <w:top w:val="single" w:sz="4" w:space="0" w:color="auto"/>
              <w:left w:val="single" w:sz="4" w:space="0" w:color="auto"/>
              <w:bottom w:val="single" w:sz="4" w:space="0" w:color="auto"/>
              <w:right w:val="single" w:sz="4" w:space="0" w:color="auto"/>
            </w:tcBorders>
            <w:hideMark/>
          </w:tcPr>
          <w:p w14:paraId="5257F880" w14:textId="77777777" w:rsidR="00CA5F71" w:rsidRPr="004D5AB1" w:rsidRDefault="00CA5F71">
            <w:pPr>
              <w:autoSpaceDE w:val="0"/>
              <w:autoSpaceDN w:val="0"/>
              <w:adjustRightInd w:val="0"/>
              <w:rPr>
                <w:noProof/>
                <w:sz w:val="24"/>
                <w:szCs w:val="24"/>
              </w:rPr>
            </w:pPr>
            <w:r w:rsidRPr="004D5AB1">
              <w:rPr>
                <w:noProof/>
                <w:sz w:val="24"/>
                <w:szCs w:val="24"/>
              </w:rPr>
              <w:t>Diarré, der førte til dosisreduktion af nintedanib</w:t>
            </w:r>
          </w:p>
        </w:tc>
        <w:tc>
          <w:tcPr>
            <w:tcW w:w="678" w:type="pct"/>
            <w:tcBorders>
              <w:top w:val="single" w:sz="4" w:space="0" w:color="auto"/>
              <w:left w:val="single" w:sz="4" w:space="0" w:color="auto"/>
              <w:bottom w:val="single" w:sz="4" w:space="0" w:color="auto"/>
              <w:right w:val="single" w:sz="4" w:space="0" w:color="auto"/>
            </w:tcBorders>
            <w:vAlign w:val="center"/>
            <w:hideMark/>
          </w:tcPr>
          <w:p w14:paraId="13E51554" w14:textId="77777777" w:rsidR="00CA5F71" w:rsidRPr="004D5AB1" w:rsidRDefault="00CA5F71">
            <w:pPr>
              <w:autoSpaceDE w:val="0"/>
              <w:autoSpaceDN w:val="0"/>
              <w:adjustRightInd w:val="0"/>
              <w:jc w:val="center"/>
              <w:rPr>
                <w:noProof/>
                <w:sz w:val="24"/>
                <w:szCs w:val="24"/>
                <w:u w:val="single"/>
              </w:rPr>
            </w:pPr>
            <w:r w:rsidRPr="004D5AB1">
              <w:rPr>
                <w:sz w:val="24"/>
                <w:szCs w:val="24"/>
              </w:rPr>
              <w:t>0 %</w:t>
            </w:r>
          </w:p>
        </w:tc>
        <w:tc>
          <w:tcPr>
            <w:tcW w:w="701" w:type="pct"/>
            <w:tcBorders>
              <w:top w:val="single" w:sz="4" w:space="0" w:color="auto"/>
              <w:left w:val="single" w:sz="4" w:space="0" w:color="auto"/>
              <w:bottom w:val="single" w:sz="4" w:space="0" w:color="auto"/>
              <w:right w:val="single" w:sz="4" w:space="0" w:color="auto"/>
            </w:tcBorders>
            <w:vAlign w:val="center"/>
            <w:hideMark/>
          </w:tcPr>
          <w:p w14:paraId="566FEE4A" w14:textId="77777777" w:rsidR="00CA5F71" w:rsidRPr="004D5AB1" w:rsidRDefault="00CA5F71">
            <w:pPr>
              <w:autoSpaceDE w:val="0"/>
              <w:autoSpaceDN w:val="0"/>
              <w:adjustRightInd w:val="0"/>
              <w:jc w:val="center"/>
              <w:rPr>
                <w:noProof/>
                <w:sz w:val="24"/>
                <w:szCs w:val="24"/>
                <w:u w:val="single"/>
              </w:rPr>
            </w:pPr>
            <w:r w:rsidRPr="004D5AB1">
              <w:rPr>
                <w:sz w:val="24"/>
                <w:szCs w:val="24"/>
              </w:rPr>
              <w:t>10,7 %</w:t>
            </w:r>
          </w:p>
        </w:tc>
        <w:tc>
          <w:tcPr>
            <w:tcW w:w="678" w:type="pct"/>
            <w:tcBorders>
              <w:top w:val="single" w:sz="4" w:space="0" w:color="auto"/>
              <w:left w:val="single" w:sz="4" w:space="0" w:color="auto"/>
              <w:bottom w:val="single" w:sz="4" w:space="0" w:color="auto"/>
              <w:right w:val="single" w:sz="4" w:space="0" w:color="auto"/>
            </w:tcBorders>
            <w:vAlign w:val="center"/>
            <w:hideMark/>
          </w:tcPr>
          <w:p w14:paraId="1F155E42" w14:textId="77777777" w:rsidR="00CA5F71" w:rsidRPr="004D5AB1" w:rsidRDefault="00CA5F71">
            <w:pPr>
              <w:autoSpaceDE w:val="0"/>
              <w:autoSpaceDN w:val="0"/>
              <w:adjustRightInd w:val="0"/>
              <w:jc w:val="center"/>
              <w:rPr>
                <w:noProof/>
                <w:sz w:val="24"/>
                <w:szCs w:val="24"/>
                <w:u w:val="single"/>
              </w:rPr>
            </w:pPr>
            <w:r w:rsidRPr="004D5AB1">
              <w:rPr>
                <w:sz w:val="24"/>
                <w:szCs w:val="24"/>
              </w:rPr>
              <w:t>0,9 %</w:t>
            </w:r>
          </w:p>
        </w:tc>
        <w:tc>
          <w:tcPr>
            <w:tcW w:w="702" w:type="pct"/>
            <w:tcBorders>
              <w:top w:val="single" w:sz="4" w:space="0" w:color="auto"/>
              <w:left w:val="single" w:sz="4" w:space="0" w:color="auto"/>
              <w:bottom w:val="single" w:sz="4" w:space="0" w:color="auto"/>
              <w:right w:val="single" w:sz="4" w:space="0" w:color="auto"/>
            </w:tcBorders>
            <w:vAlign w:val="center"/>
            <w:hideMark/>
          </w:tcPr>
          <w:p w14:paraId="11CDC77F" w14:textId="77777777" w:rsidR="00CA5F71" w:rsidRPr="004D5AB1" w:rsidRDefault="00CA5F71">
            <w:pPr>
              <w:autoSpaceDE w:val="0"/>
              <w:autoSpaceDN w:val="0"/>
              <w:adjustRightInd w:val="0"/>
              <w:jc w:val="center"/>
              <w:rPr>
                <w:noProof/>
                <w:sz w:val="24"/>
                <w:szCs w:val="24"/>
                <w:u w:val="single"/>
              </w:rPr>
            </w:pPr>
            <w:r w:rsidRPr="004D5AB1">
              <w:rPr>
                <w:sz w:val="24"/>
                <w:szCs w:val="24"/>
              </w:rPr>
              <w:t>16,0 %</w:t>
            </w:r>
          </w:p>
        </w:tc>
        <w:tc>
          <w:tcPr>
            <w:tcW w:w="678" w:type="pct"/>
            <w:tcBorders>
              <w:top w:val="single" w:sz="4" w:space="0" w:color="auto"/>
              <w:left w:val="single" w:sz="4" w:space="0" w:color="auto"/>
              <w:bottom w:val="single" w:sz="4" w:space="0" w:color="auto"/>
              <w:right w:val="single" w:sz="4" w:space="0" w:color="auto"/>
            </w:tcBorders>
            <w:vAlign w:val="center"/>
            <w:hideMark/>
          </w:tcPr>
          <w:p w14:paraId="1E6B0B7C" w14:textId="77777777" w:rsidR="00CA5F71" w:rsidRPr="004D5AB1" w:rsidRDefault="00CA5F71">
            <w:pPr>
              <w:autoSpaceDE w:val="0"/>
              <w:autoSpaceDN w:val="0"/>
              <w:adjustRightInd w:val="0"/>
              <w:jc w:val="center"/>
              <w:rPr>
                <w:noProof/>
                <w:sz w:val="24"/>
                <w:szCs w:val="24"/>
                <w:u w:val="single"/>
              </w:rPr>
            </w:pPr>
            <w:r w:rsidRPr="004D5AB1">
              <w:rPr>
                <w:sz w:val="24"/>
                <w:szCs w:val="24"/>
              </w:rPr>
              <w:t>1,0 %</w:t>
            </w:r>
          </w:p>
        </w:tc>
        <w:tc>
          <w:tcPr>
            <w:tcW w:w="702" w:type="pct"/>
            <w:tcBorders>
              <w:top w:val="single" w:sz="4" w:space="0" w:color="auto"/>
              <w:left w:val="single" w:sz="4" w:space="0" w:color="auto"/>
              <w:bottom w:val="single" w:sz="4" w:space="0" w:color="auto"/>
              <w:right w:val="single" w:sz="4" w:space="0" w:color="auto"/>
            </w:tcBorders>
            <w:vAlign w:val="center"/>
            <w:hideMark/>
          </w:tcPr>
          <w:p w14:paraId="0BA45E4E" w14:textId="77777777" w:rsidR="00CA5F71" w:rsidRPr="004D5AB1" w:rsidRDefault="00CA5F71">
            <w:pPr>
              <w:autoSpaceDE w:val="0"/>
              <w:autoSpaceDN w:val="0"/>
              <w:adjustRightInd w:val="0"/>
              <w:jc w:val="center"/>
              <w:rPr>
                <w:noProof/>
                <w:sz w:val="24"/>
                <w:szCs w:val="24"/>
                <w:u w:val="single"/>
              </w:rPr>
            </w:pPr>
            <w:r w:rsidRPr="004D5AB1">
              <w:rPr>
                <w:sz w:val="24"/>
                <w:szCs w:val="24"/>
              </w:rPr>
              <w:t>22,2 %</w:t>
            </w:r>
          </w:p>
        </w:tc>
      </w:tr>
      <w:tr w:rsidR="00CA5F71" w:rsidRPr="004D5AB1" w14:paraId="0A11A1A2" w14:textId="77777777" w:rsidTr="0015226E">
        <w:tc>
          <w:tcPr>
            <w:tcW w:w="862" w:type="pct"/>
            <w:tcBorders>
              <w:top w:val="single" w:sz="4" w:space="0" w:color="auto"/>
              <w:left w:val="single" w:sz="4" w:space="0" w:color="auto"/>
              <w:bottom w:val="single" w:sz="4" w:space="0" w:color="auto"/>
              <w:right w:val="single" w:sz="4" w:space="0" w:color="auto"/>
            </w:tcBorders>
            <w:hideMark/>
          </w:tcPr>
          <w:p w14:paraId="313661D9" w14:textId="77777777" w:rsidR="00CA5F71" w:rsidRPr="004D5AB1" w:rsidRDefault="00CA5F71">
            <w:pPr>
              <w:autoSpaceDE w:val="0"/>
              <w:autoSpaceDN w:val="0"/>
              <w:adjustRightInd w:val="0"/>
              <w:rPr>
                <w:noProof/>
                <w:sz w:val="24"/>
                <w:szCs w:val="24"/>
              </w:rPr>
            </w:pPr>
            <w:r w:rsidRPr="004D5AB1">
              <w:rPr>
                <w:noProof/>
                <w:sz w:val="24"/>
                <w:szCs w:val="24"/>
              </w:rPr>
              <w:t>Diarré, der førte til seponering af nintedanib</w:t>
            </w:r>
          </w:p>
        </w:tc>
        <w:tc>
          <w:tcPr>
            <w:tcW w:w="678" w:type="pct"/>
            <w:tcBorders>
              <w:top w:val="single" w:sz="4" w:space="0" w:color="auto"/>
              <w:left w:val="single" w:sz="4" w:space="0" w:color="auto"/>
              <w:bottom w:val="single" w:sz="4" w:space="0" w:color="auto"/>
              <w:right w:val="single" w:sz="4" w:space="0" w:color="auto"/>
            </w:tcBorders>
            <w:vAlign w:val="center"/>
            <w:hideMark/>
          </w:tcPr>
          <w:p w14:paraId="0E548EDD" w14:textId="77777777" w:rsidR="00CA5F71" w:rsidRPr="004D5AB1" w:rsidRDefault="00CA5F71">
            <w:pPr>
              <w:autoSpaceDE w:val="0"/>
              <w:autoSpaceDN w:val="0"/>
              <w:adjustRightInd w:val="0"/>
              <w:jc w:val="center"/>
              <w:rPr>
                <w:noProof/>
                <w:sz w:val="24"/>
                <w:szCs w:val="24"/>
                <w:u w:val="single"/>
              </w:rPr>
            </w:pPr>
            <w:r w:rsidRPr="004D5AB1">
              <w:rPr>
                <w:sz w:val="24"/>
                <w:szCs w:val="24"/>
              </w:rPr>
              <w:t>0,2 %</w:t>
            </w:r>
          </w:p>
        </w:tc>
        <w:tc>
          <w:tcPr>
            <w:tcW w:w="701" w:type="pct"/>
            <w:tcBorders>
              <w:top w:val="single" w:sz="4" w:space="0" w:color="auto"/>
              <w:left w:val="single" w:sz="4" w:space="0" w:color="auto"/>
              <w:bottom w:val="single" w:sz="4" w:space="0" w:color="auto"/>
              <w:right w:val="single" w:sz="4" w:space="0" w:color="auto"/>
            </w:tcBorders>
            <w:vAlign w:val="center"/>
            <w:hideMark/>
          </w:tcPr>
          <w:p w14:paraId="5CF95D45" w14:textId="77777777" w:rsidR="00CA5F71" w:rsidRPr="004D5AB1" w:rsidRDefault="00CA5F71">
            <w:pPr>
              <w:autoSpaceDE w:val="0"/>
              <w:autoSpaceDN w:val="0"/>
              <w:adjustRightInd w:val="0"/>
              <w:jc w:val="center"/>
              <w:rPr>
                <w:noProof/>
                <w:sz w:val="24"/>
                <w:szCs w:val="24"/>
                <w:u w:val="single"/>
              </w:rPr>
            </w:pPr>
            <w:r w:rsidRPr="004D5AB1">
              <w:rPr>
                <w:sz w:val="24"/>
                <w:szCs w:val="24"/>
              </w:rPr>
              <w:t>4,4 %</w:t>
            </w:r>
          </w:p>
        </w:tc>
        <w:tc>
          <w:tcPr>
            <w:tcW w:w="678" w:type="pct"/>
            <w:tcBorders>
              <w:top w:val="single" w:sz="4" w:space="0" w:color="auto"/>
              <w:left w:val="single" w:sz="4" w:space="0" w:color="auto"/>
              <w:bottom w:val="single" w:sz="4" w:space="0" w:color="auto"/>
              <w:right w:val="single" w:sz="4" w:space="0" w:color="auto"/>
            </w:tcBorders>
            <w:vAlign w:val="center"/>
            <w:hideMark/>
          </w:tcPr>
          <w:p w14:paraId="657C079E" w14:textId="77777777" w:rsidR="00CA5F71" w:rsidRPr="004D5AB1" w:rsidRDefault="00CA5F71">
            <w:pPr>
              <w:autoSpaceDE w:val="0"/>
              <w:autoSpaceDN w:val="0"/>
              <w:adjustRightInd w:val="0"/>
              <w:jc w:val="center"/>
              <w:rPr>
                <w:noProof/>
                <w:sz w:val="24"/>
                <w:szCs w:val="24"/>
                <w:u w:val="single"/>
              </w:rPr>
            </w:pPr>
            <w:r w:rsidRPr="004D5AB1">
              <w:rPr>
                <w:sz w:val="24"/>
                <w:szCs w:val="24"/>
              </w:rPr>
              <w:t>0,3 %</w:t>
            </w:r>
          </w:p>
        </w:tc>
        <w:tc>
          <w:tcPr>
            <w:tcW w:w="702" w:type="pct"/>
            <w:tcBorders>
              <w:top w:val="single" w:sz="4" w:space="0" w:color="auto"/>
              <w:left w:val="single" w:sz="4" w:space="0" w:color="auto"/>
              <w:bottom w:val="single" w:sz="4" w:space="0" w:color="auto"/>
              <w:right w:val="single" w:sz="4" w:space="0" w:color="auto"/>
            </w:tcBorders>
            <w:vAlign w:val="center"/>
            <w:hideMark/>
          </w:tcPr>
          <w:p w14:paraId="623D1349" w14:textId="77777777" w:rsidR="00CA5F71" w:rsidRPr="004D5AB1" w:rsidRDefault="00CA5F71">
            <w:pPr>
              <w:autoSpaceDE w:val="0"/>
              <w:autoSpaceDN w:val="0"/>
              <w:adjustRightInd w:val="0"/>
              <w:jc w:val="center"/>
              <w:rPr>
                <w:noProof/>
                <w:sz w:val="24"/>
                <w:szCs w:val="24"/>
                <w:u w:val="single"/>
              </w:rPr>
            </w:pPr>
            <w:r w:rsidRPr="004D5AB1">
              <w:rPr>
                <w:sz w:val="24"/>
                <w:szCs w:val="24"/>
              </w:rPr>
              <w:t>5,7 %</w:t>
            </w:r>
          </w:p>
        </w:tc>
        <w:tc>
          <w:tcPr>
            <w:tcW w:w="678" w:type="pct"/>
            <w:tcBorders>
              <w:top w:val="single" w:sz="4" w:space="0" w:color="auto"/>
              <w:left w:val="single" w:sz="4" w:space="0" w:color="auto"/>
              <w:bottom w:val="single" w:sz="4" w:space="0" w:color="auto"/>
              <w:right w:val="single" w:sz="4" w:space="0" w:color="auto"/>
            </w:tcBorders>
            <w:vAlign w:val="center"/>
            <w:hideMark/>
          </w:tcPr>
          <w:p w14:paraId="5C19BE05" w14:textId="77777777" w:rsidR="00CA5F71" w:rsidRPr="004D5AB1" w:rsidRDefault="00CA5F71">
            <w:pPr>
              <w:autoSpaceDE w:val="0"/>
              <w:autoSpaceDN w:val="0"/>
              <w:adjustRightInd w:val="0"/>
              <w:jc w:val="center"/>
              <w:rPr>
                <w:noProof/>
                <w:sz w:val="24"/>
                <w:szCs w:val="24"/>
                <w:u w:val="single"/>
              </w:rPr>
            </w:pPr>
            <w:r w:rsidRPr="004D5AB1">
              <w:rPr>
                <w:sz w:val="24"/>
                <w:szCs w:val="24"/>
              </w:rPr>
              <w:t>0,3 %</w:t>
            </w:r>
          </w:p>
        </w:tc>
        <w:tc>
          <w:tcPr>
            <w:tcW w:w="702" w:type="pct"/>
            <w:tcBorders>
              <w:top w:val="single" w:sz="4" w:space="0" w:color="auto"/>
              <w:left w:val="single" w:sz="4" w:space="0" w:color="auto"/>
              <w:bottom w:val="single" w:sz="4" w:space="0" w:color="auto"/>
              <w:right w:val="single" w:sz="4" w:space="0" w:color="auto"/>
            </w:tcBorders>
            <w:vAlign w:val="center"/>
            <w:hideMark/>
          </w:tcPr>
          <w:p w14:paraId="629BB23C" w14:textId="77777777" w:rsidR="00CA5F71" w:rsidRPr="004D5AB1" w:rsidRDefault="00CA5F71">
            <w:pPr>
              <w:autoSpaceDE w:val="0"/>
              <w:autoSpaceDN w:val="0"/>
              <w:adjustRightInd w:val="0"/>
              <w:jc w:val="center"/>
              <w:rPr>
                <w:noProof/>
                <w:sz w:val="24"/>
                <w:szCs w:val="24"/>
                <w:u w:val="single"/>
              </w:rPr>
            </w:pPr>
            <w:r w:rsidRPr="004D5AB1">
              <w:rPr>
                <w:sz w:val="24"/>
                <w:szCs w:val="24"/>
              </w:rPr>
              <w:t>6,9 %</w:t>
            </w:r>
          </w:p>
        </w:tc>
      </w:tr>
    </w:tbl>
    <w:p w14:paraId="617284AA" w14:textId="77777777" w:rsidR="00CA5F71" w:rsidRPr="004D5AB1" w:rsidRDefault="00CA5F71" w:rsidP="0015226E">
      <w:pPr>
        <w:autoSpaceDE w:val="0"/>
        <w:autoSpaceDN w:val="0"/>
        <w:adjustRightInd w:val="0"/>
        <w:ind w:left="851"/>
        <w:rPr>
          <w:noProof/>
          <w:sz w:val="24"/>
          <w:szCs w:val="24"/>
          <w:u w:val="single"/>
        </w:rPr>
      </w:pPr>
    </w:p>
    <w:p w14:paraId="01584C2C" w14:textId="77777777" w:rsidR="00CA5F71" w:rsidRPr="004D5AB1" w:rsidRDefault="00CA5F71" w:rsidP="0015226E">
      <w:pPr>
        <w:autoSpaceDE w:val="0"/>
        <w:autoSpaceDN w:val="0"/>
        <w:adjustRightInd w:val="0"/>
        <w:ind w:left="851"/>
        <w:rPr>
          <w:i/>
          <w:iCs/>
          <w:noProof/>
          <w:sz w:val="24"/>
          <w:szCs w:val="24"/>
        </w:rPr>
      </w:pPr>
      <w:r w:rsidRPr="004D5AB1">
        <w:rPr>
          <w:i/>
          <w:iCs/>
          <w:noProof/>
          <w:sz w:val="24"/>
          <w:szCs w:val="24"/>
        </w:rPr>
        <w:t>Forhøjede leverenzymer</w:t>
      </w:r>
    </w:p>
    <w:p w14:paraId="336EE25E" w14:textId="77777777" w:rsidR="00CA5F71" w:rsidRPr="004D5AB1" w:rsidRDefault="00CA5F71" w:rsidP="0015226E">
      <w:pPr>
        <w:autoSpaceDE w:val="0"/>
        <w:autoSpaceDN w:val="0"/>
        <w:adjustRightInd w:val="0"/>
        <w:ind w:left="851"/>
        <w:rPr>
          <w:noProof/>
          <w:sz w:val="24"/>
          <w:szCs w:val="24"/>
        </w:rPr>
      </w:pPr>
      <w:r w:rsidRPr="004D5AB1">
        <w:rPr>
          <w:noProof/>
          <w:sz w:val="24"/>
          <w:szCs w:val="24"/>
        </w:rPr>
        <w:t>I INPULSIS-studierne blev der rapporteret om forhøjede leverenzymer (se pkt. 4.4) hos 13,6 % versus 2,6 % af patienter, der blev behandlet med hhv. nintedanib og placebo. I INBUILD-studiet blev der indberettet leverenzymforhøjelser hos 22,6 % versus 5,7 % af patienterne, der blev behandlet med hhv. nintedanib og placebo. I SENSCIS-studiet blev der rapporteret om forhøjede leverenzymer hos 13,2 % versus 3,1 % af patienter, der blev behandlet med hhv. nintedanib og placebo. Leverenzymforhøjelse var reversibel og ikke forbundet med klinisk manifesteret leversygdom.</w:t>
      </w:r>
    </w:p>
    <w:p w14:paraId="3FEEF456" w14:textId="77777777" w:rsidR="00CA5F71" w:rsidRPr="004D5AB1" w:rsidRDefault="00CA5F71" w:rsidP="0015226E">
      <w:pPr>
        <w:autoSpaceDE w:val="0"/>
        <w:autoSpaceDN w:val="0"/>
        <w:adjustRightInd w:val="0"/>
        <w:ind w:left="851"/>
        <w:rPr>
          <w:noProof/>
          <w:sz w:val="24"/>
          <w:szCs w:val="24"/>
        </w:rPr>
      </w:pPr>
      <w:r w:rsidRPr="004D5AB1">
        <w:rPr>
          <w:noProof/>
          <w:sz w:val="24"/>
          <w:szCs w:val="24"/>
        </w:rPr>
        <w:t>For yderligere information om særlige populationer, anbefalede foranstaltninger og dosisjustering i tilfælde af diarré og forhøjede leverenzymer henvises til henholdsvis pkt. 4.4 og 4.2.</w:t>
      </w:r>
    </w:p>
    <w:p w14:paraId="4D205175" w14:textId="77777777" w:rsidR="00CA5F71" w:rsidRPr="004D5AB1" w:rsidRDefault="00CA5F71" w:rsidP="0015226E">
      <w:pPr>
        <w:autoSpaceDE w:val="0"/>
        <w:autoSpaceDN w:val="0"/>
        <w:adjustRightInd w:val="0"/>
        <w:ind w:left="851"/>
        <w:rPr>
          <w:noProof/>
          <w:sz w:val="24"/>
          <w:szCs w:val="24"/>
        </w:rPr>
      </w:pPr>
    </w:p>
    <w:p w14:paraId="6BE1DF4D" w14:textId="77777777" w:rsidR="00CA5F71" w:rsidRPr="004D5AB1" w:rsidRDefault="00CA5F71" w:rsidP="0015226E">
      <w:pPr>
        <w:autoSpaceDE w:val="0"/>
        <w:autoSpaceDN w:val="0"/>
        <w:adjustRightInd w:val="0"/>
        <w:ind w:left="851"/>
        <w:rPr>
          <w:i/>
          <w:iCs/>
          <w:noProof/>
          <w:sz w:val="24"/>
          <w:szCs w:val="24"/>
        </w:rPr>
      </w:pPr>
      <w:r w:rsidRPr="004D5AB1">
        <w:rPr>
          <w:i/>
          <w:iCs/>
          <w:noProof/>
          <w:sz w:val="24"/>
          <w:szCs w:val="24"/>
        </w:rPr>
        <w:t>Blødning</w:t>
      </w:r>
    </w:p>
    <w:p w14:paraId="53407918" w14:textId="77777777" w:rsidR="00CA5F71" w:rsidRPr="004D5AB1" w:rsidRDefault="00CA5F71" w:rsidP="0015226E">
      <w:pPr>
        <w:autoSpaceDE w:val="0"/>
        <w:autoSpaceDN w:val="0"/>
        <w:adjustRightInd w:val="0"/>
        <w:ind w:left="851"/>
        <w:rPr>
          <w:noProof/>
          <w:sz w:val="24"/>
          <w:szCs w:val="24"/>
        </w:rPr>
      </w:pPr>
      <w:r w:rsidRPr="004D5AB1">
        <w:rPr>
          <w:noProof/>
          <w:sz w:val="24"/>
          <w:szCs w:val="24"/>
        </w:rPr>
        <w:t xml:space="preserve">I kliniske studier var hyppigheden af patienter, der oplevede blødning, lidt højere hos patienter behandlet med nintedanib, eller sammenlignelig mellem behandlingsarmene (nintedanib 10,3 % versus placebo 7,8 % for INPULSIS, Nintedanib 11,1 % versus placebo 12,7 % for INBUILD, nintedanib 11,1 % versus placebo 8,3 % for SENSCIS). Den hyppigst rapporterede blødningshændelse var ikke-alvorlig epistaxis. Alvorlige </w:t>
      </w:r>
      <w:r w:rsidRPr="004D5AB1">
        <w:rPr>
          <w:noProof/>
          <w:sz w:val="24"/>
          <w:szCs w:val="24"/>
        </w:rPr>
        <w:lastRenderedPageBreak/>
        <w:t>blødningshændelser forekom med lave hyppigheder i de 2 behandlingsgrupper (nintedanib 1,3 % versus placebo 1,4 % for INPULSIS, nintedanib 0,9 % versus placebo 1,5 % for INBUILD, nintedanib 1,4 % versus placebo 0,7 % for SENSCIS).</w:t>
      </w:r>
    </w:p>
    <w:p w14:paraId="6B726BC0" w14:textId="77777777" w:rsidR="00CA5F71" w:rsidRPr="004D5AB1" w:rsidRDefault="00CA5F71" w:rsidP="0015226E">
      <w:pPr>
        <w:autoSpaceDE w:val="0"/>
        <w:autoSpaceDN w:val="0"/>
        <w:adjustRightInd w:val="0"/>
        <w:ind w:left="851"/>
        <w:rPr>
          <w:noProof/>
          <w:sz w:val="24"/>
          <w:szCs w:val="24"/>
        </w:rPr>
      </w:pPr>
      <w:r w:rsidRPr="004D5AB1">
        <w:rPr>
          <w:noProof/>
          <w:sz w:val="24"/>
          <w:szCs w:val="24"/>
        </w:rPr>
        <w:t>Blødningshændelser efter markedsføring omfatter, men er ikke begrænset til, organsystemerne mave-tarm-kanalen, luftvejene og centralnervesystemet, hvoraf de hyppigste forekom i mave-tarm-kanalen (se pkt. 4.4).</w:t>
      </w:r>
    </w:p>
    <w:p w14:paraId="1F9CA362" w14:textId="77777777" w:rsidR="00CA5F71" w:rsidRPr="004D5AB1" w:rsidRDefault="00CA5F71" w:rsidP="0015226E">
      <w:pPr>
        <w:autoSpaceDE w:val="0"/>
        <w:autoSpaceDN w:val="0"/>
        <w:adjustRightInd w:val="0"/>
        <w:ind w:left="851"/>
        <w:rPr>
          <w:noProof/>
          <w:sz w:val="24"/>
          <w:szCs w:val="24"/>
        </w:rPr>
      </w:pPr>
    </w:p>
    <w:p w14:paraId="5734992D" w14:textId="77777777" w:rsidR="00CA5F71" w:rsidRPr="004D5AB1" w:rsidRDefault="00CA5F71" w:rsidP="0015226E">
      <w:pPr>
        <w:autoSpaceDE w:val="0"/>
        <w:autoSpaceDN w:val="0"/>
        <w:adjustRightInd w:val="0"/>
        <w:ind w:left="851"/>
        <w:rPr>
          <w:i/>
          <w:iCs/>
          <w:noProof/>
          <w:sz w:val="24"/>
          <w:szCs w:val="24"/>
        </w:rPr>
      </w:pPr>
      <w:r w:rsidRPr="004D5AB1">
        <w:rPr>
          <w:i/>
          <w:iCs/>
          <w:noProof/>
          <w:sz w:val="24"/>
          <w:szCs w:val="24"/>
        </w:rPr>
        <w:t>Proteinuri</w:t>
      </w:r>
    </w:p>
    <w:p w14:paraId="17E5447E" w14:textId="77777777" w:rsidR="00CA5F71" w:rsidRPr="004D5AB1" w:rsidRDefault="00CA5F71" w:rsidP="0015226E">
      <w:pPr>
        <w:autoSpaceDE w:val="0"/>
        <w:autoSpaceDN w:val="0"/>
        <w:adjustRightInd w:val="0"/>
        <w:ind w:left="851"/>
        <w:rPr>
          <w:noProof/>
          <w:sz w:val="24"/>
          <w:szCs w:val="24"/>
        </w:rPr>
      </w:pPr>
      <w:r w:rsidRPr="004D5AB1">
        <w:rPr>
          <w:noProof/>
          <w:sz w:val="24"/>
          <w:szCs w:val="24"/>
        </w:rPr>
        <w:t>I kliniske studier var hyppigheden af patienter, der oplevede proteinuri, lav og sammenlignelig mellem behandlingsarmene (nintedanib 0,8 % versus placebo 0,5 % for INPULSIS, nintedanib 1,5 % versus placebo 1,8 % for INBUILD, nintedanib 1,0 % versus placebo 0,0 % for SENSCIS). Der er ikke blevet rapporteret nefrotisk syndrom i kliniske studier. Der er kun indberettet meget få tilfælde af nefrotisk albuminuri med eller uden nedsat nyrefunktion efter markedsføring. Histologiske fund i individuelle tilfælde var i overensstemmelse med glomerulær mikroangiopati med eller uden nyretromber. Det er observeret, at symptomerne forsvandt efter nintedanib blev seponeret, med residual proteinuri i nogle tilfælde. Afbrydelse af behandlingen skal overvejes hos patienter, der udvikler tegn eller symptomer på nefrotisk syndrom (se pkt. 4.4).</w:t>
      </w:r>
    </w:p>
    <w:p w14:paraId="518153E3" w14:textId="77777777" w:rsidR="00CA5F71" w:rsidRPr="004D5AB1" w:rsidRDefault="00CA5F71" w:rsidP="0015226E">
      <w:pPr>
        <w:tabs>
          <w:tab w:val="left" w:pos="1875"/>
        </w:tabs>
        <w:autoSpaceDE w:val="0"/>
        <w:autoSpaceDN w:val="0"/>
        <w:adjustRightInd w:val="0"/>
        <w:ind w:left="851"/>
        <w:rPr>
          <w:noProof/>
          <w:sz w:val="24"/>
          <w:szCs w:val="24"/>
        </w:rPr>
      </w:pPr>
    </w:p>
    <w:p w14:paraId="697C1B8E" w14:textId="77777777" w:rsidR="00CA5F71" w:rsidRPr="004D5AB1" w:rsidRDefault="00CA5F71" w:rsidP="0015226E">
      <w:pPr>
        <w:tabs>
          <w:tab w:val="left" w:pos="1875"/>
        </w:tabs>
        <w:autoSpaceDE w:val="0"/>
        <w:autoSpaceDN w:val="0"/>
        <w:adjustRightInd w:val="0"/>
        <w:ind w:left="851"/>
        <w:rPr>
          <w:noProof/>
          <w:sz w:val="24"/>
          <w:szCs w:val="24"/>
          <w:u w:val="single"/>
        </w:rPr>
      </w:pPr>
      <w:r w:rsidRPr="004D5AB1">
        <w:rPr>
          <w:noProof/>
          <w:sz w:val="24"/>
          <w:szCs w:val="24"/>
          <w:u w:val="single"/>
        </w:rPr>
        <w:t>Pædiatrisk population</w:t>
      </w:r>
    </w:p>
    <w:p w14:paraId="593A0C99" w14:textId="77777777" w:rsidR="00CA5F71" w:rsidRPr="004D5AB1" w:rsidRDefault="00CA5F71" w:rsidP="0015226E">
      <w:pPr>
        <w:tabs>
          <w:tab w:val="left" w:pos="1875"/>
        </w:tabs>
        <w:autoSpaceDE w:val="0"/>
        <w:autoSpaceDN w:val="0"/>
        <w:adjustRightInd w:val="0"/>
        <w:ind w:left="851"/>
        <w:rPr>
          <w:noProof/>
          <w:sz w:val="24"/>
          <w:szCs w:val="24"/>
        </w:rPr>
      </w:pPr>
      <w:r w:rsidRPr="004D5AB1">
        <w:rPr>
          <w:noProof/>
          <w:sz w:val="24"/>
          <w:szCs w:val="24"/>
        </w:rPr>
        <w:t xml:space="preserve">Der er begrænsede sikkerhedsdata for nintedanib hos pædiatriske patienter. </w:t>
      </w:r>
    </w:p>
    <w:p w14:paraId="230226A5" w14:textId="77777777" w:rsidR="00CA5F71" w:rsidRPr="004D5AB1" w:rsidRDefault="00CA5F71" w:rsidP="0015226E">
      <w:pPr>
        <w:tabs>
          <w:tab w:val="left" w:pos="1875"/>
        </w:tabs>
        <w:autoSpaceDE w:val="0"/>
        <w:autoSpaceDN w:val="0"/>
        <w:adjustRightInd w:val="0"/>
        <w:ind w:left="851"/>
        <w:rPr>
          <w:noProof/>
          <w:sz w:val="24"/>
          <w:szCs w:val="24"/>
        </w:rPr>
      </w:pPr>
      <w:r w:rsidRPr="004D5AB1">
        <w:rPr>
          <w:noProof/>
          <w:sz w:val="24"/>
          <w:szCs w:val="24"/>
        </w:rPr>
        <w:t>I alt 39 patienter i alderen 6 til 17 år blev behandlet i et randomiseret, dobbeltblindet, placebokontrolleret studie af 24 ugers varighed, efterfulgt af en åben behandling med nintedanib af variabel varighed (se pkt. 5.1). I overensstemmelse med den sikkerhedsprofil, der ses hos voksne patienter med IPF, andre kroniske fibroserende ILS med progressiv fænotype og SSc-ILS, var de hyppigst rapporterede bivirkninger med nintedanib i den placebokontrollerede periode diarré (38,5 %), opkastning (26,9 %), kvalme (19,2 %), abdominalsmerter (19,2 %) og hovedpine (11,5 %).</w:t>
      </w:r>
    </w:p>
    <w:p w14:paraId="24915259" w14:textId="77777777" w:rsidR="00CA5F71" w:rsidRPr="004D5AB1" w:rsidRDefault="00CA5F71" w:rsidP="0015226E">
      <w:pPr>
        <w:tabs>
          <w:tab w:val="left" w:pos="1875"/>
        </w:tabs>
        <w:autoSpaceDE w:val="0"/>
        <w:autoSpaceDN w:val="0"/>
        <w:adjustRightInd w:val="0"/>
        <w:ind w:left="851"/>
        <w:rPr>
          <w:noProof/>
          <w:sz w:val="24"/>
          <w:szCs w:val="24"/>
        </w:rPr>
      </w:pPr>
    </w:p>
    <w:p w14:paraId="7610E1F7" w14:textId="77777777" w:rsidR="00CA5F71" w:rsidRPr="004D5AB1" w:rsidRDefault="00CA5F71" w:rsidP="0015226E">
      <w:pPr>
        <w:tabs>
          <w:tab w:val="left" w:pos="1875"/>
        </w:tabs>
        <w:autoSpaceDE w:val="0"/>
        <w:autoSpaceDN w:val="0"/>
        <w:adjustRightInd w:val="0"/>
        <w:ind w:left="851"/>
        <w:rPr>
          <w:noProof/>
          <w:sz w:val="24"/>
          <w:szCs w:val="24"/>
        </w:rPr>
      </w:pPr>
      <w:r w:rsidRPr="004D5AB1">
        <w:rPr>
          <w:noProof/>
          <w:sz w:val="24"/>
          <w:szCs w:val="24"/>
        </w:rPr>
        <w:t>Lever- og galdevejslidelser rapporteret med nintedanib i den placebokontrollerede periode var leverskade (3,8 %) og forhøjet leverfunktionsprøve (3,8 %). På grund af begrænsede data er det usikkert, om risikoen for lægemiddelinduceret leverskade er den samme hos børn som hos voksne (se pkt. 4.4).</w:t>
      </w:r>
    </w:p>
    <w:p w14:paraId="00B9C56F" w14:textId="77777777" w:rsidR="00CA5F71" w:rsidRPr="004D5AB1" w:rsidRDefault="00CA5F71" w:rsidP="0015226E">
      <w:pPr>
        <w:tabs>
          <w:tab w:val="left" w:pos="1875"/>
        </w:tabs>
        <w:autoSpaceDE w:val="0"/>
        <w:autoSpaceDN w:val="0"/>
        <w:adjustRightInd w:val="0"/>
        <w:ind w:left="851"/>
        <w:rPr>
          <w:noProof/>
          <w:sz w:val="24"/>
          <w:szCs w:val="24"/>
        </w:rPr>
      </w:pPr>
    </w:p>
    <w:p w14:paraId="71D7DACF" w14:textId="77777777" w:rsidR="00CA5F71" w:rsidRPr="004D5AB1" w:rsidRDefault="00CA5F71" w:rsidP="0015226E">
      <w:pPr>
        <w:tabs>
          <w:tab w:val="left" w:pos="1875"/>
        </w:tabs>
        <w:autoSpaceDE w:val="0"/>
        <w:autoSpaceDN w:val="0"/>
        <w:adjustRightInd w:val="0"/>
        <w:ind w:left="851"/>
        <w:rPr>
          <w:noProof/>
          <w:sz w:val="24"/>
          <w:szCs w:val="24"/>
        </w:rPr>
      </w:pPr>
      <w:r w:rsidRPr="004D5AB1">
        <w:rPr>
          <w:noProof/>
          <w:sz w:val="24"/>
          <w:szCs w:val="24"/>
        </w:rPr>
        <w:t>Baseret på prækliniske fund blev knogle- og tandudvikling samt vækst overvåget som mulige risici i det pædiatriske kliniske studie (se pkt. 5.3). Den mulige påvirkning af vækst og tandudvikling er ukendt (se pkt. 5.1).</w:t>
      </w:r>
    </w:p>
    <w:p w14:paraId="00F22CD8" w14:textId="77777777" w:rsidR="00CA5F71" w:rsidRPr="004D5AB1" w:rsidRDefault="00CA5F71" w:rsidP="0015226E">
      <w:pPr>
        <w:tabs>
          <w:tab w:val="left" w:pos="1875"/>
        </w:tabs>
        <w:autoSpaceDE w:val="0"/>
        <w:autoSpaceDN w:val="0"/>
        <w:adjustRightInd w:val="0"/>
        <w:ind w:left="851"/>
        <w:rPr>
          <w:noProof/>
          <w:sz w:val="24"/>
          <w:szCs w:val="24"/>
        </w:rPr>
      </w:pPr>
    </w:p>
    <w:p w14:paraId="65AEF9DD" w14:textId="77777777" w:rsidR="00CA5F71" w:rsidRPr="004D5AB1" w:rsidRDefault="00CA5F71" w:rsidP="0015226E">
      <w:pPr>
        <w:tabs>
          <w:tab w:val="left" w:pos="1875"/>
        </w:tabs>
        <w:autoSpaceDE w:val="0"/>
        <w:autoSpaceDN w:val="0"/>
        <w:adjustRightInd w:val="0"/>
        <w:ind w:left="851"/>
        <w:rPr>
          <w:noProof/>
          <w:sz w:val="24"/>
          <w:szCs w:val="24"/>
        </w:rPr>
      </w:pPr>
      <w:r w:rsidRPr="004D5AB1">
        <w:rPr>
          <w:noProof/>
          <w:sz w:val="24"/>
          <w:szCs w:val="24"/>
        </w:rPr>
        <w:t>Der foreligger ingen langtidssikkerhedsdata for pædiatriske patienter. Der er usikkerhed om den mulige påvirkning af vækst, tandudvikling, pubertet og risiko for leverskade.</w:t>
      </w:r>
    </w:p>
    <w:p w14:paraId="04B47140" w14:textId="77777777" w:rsidR="00CA5F71" w:rsidRPr="004D5AB1" w:rsidRDefault="00CA5F71" w:rsidP="0015226E">
      <w:pPr>
        <w:autoSpaceDE w:val="0"/>
        <w:autoSpaceDN w:val="0"/>
        <w:adjustRightInd w:val="0"/>
        <w:ind w:left="851"/>
        <w:rPr>
          <w:noProof/>
          <w:sz w:val="24"/>
          <w:szCs w:val="24"/>
        </w:rPr>
      </w:pPr>
    </w:p>
    <w:p w14:paraId="19695AA7" w14:textId="77777777" w:rsidR="00CA5F71" w:rsidRPr="004D5AB1" w:rsidRDefault="00CA5F71" w:rsidP="0015226E">
      <w:pPr>
        <w:autoSpaceDE w:val="0"/>
        <w:autoSpaceDN w:val="0"/>
        <w:adjustRightInd w:val="0"/>
        <w:ind w:left="851"/>
        <w:rPr>
          <w:sz w:val="24"/>
          <w:szCs w:val="24"/>
          <w:u w:val="single"/>
        </w:rPr>
      </w:pPr>
      <w:r w:rsidRPr="004D5AB1">
        <w:rPr>
          <w:noProof/>
          <w:sz w:val="24"/>
          <w:szCs w:val="24"/>
          <w:u w:val="single"/>
        </w:rPr>
        <w:t>Indberetning af formodede bivirkninger</w:t>
      </w:r>
    </w:p>
    <w:p w14:paraId="79C76732" w14:textId="77777777" w:rsidR="00CA5F71" w:rsidRPr="004D5AB1" w:rsidRDefault="00CA5F71" w:rsidP="0015226E">
      <w:pPr>
        <w:autoSpaceDE w:val="0"/>
        <w:autoSpaceDN w:val="0"/>
        <w:adjustRightInd w:val="0"/>
        <w:ind w:left="851"/>
        <w:rPr>
          <w:noProof/>
          <w:color w:val="000000" w:themeColor="text1"/>
          <w:sz w:val="24"/>
          <w:szCs w:val="24"/>
        </w:rPr>
      </w:pPr>
      <w:r w:rsidRPr="004D5AB1">
        <w:rPr>
          <w:noProof/>
          <w:sz w:val="24"/>
          <w:szCs w:val="24"/>
        </w:rPr>
        <w:t>Når lægemidlet er godkendt, er indberetning af formodede bivirkninger vigtig.</w:t>
      </w:r>
      <w:r w:rsidRPr="004D5AB1">
        <w:rPr>
          <w:sz w:val="24"/>
          <w:szCs w:val="24"/>
        </w:rPr>
        <w:t xml:space="preserve"> </w:t>
      </w:r>
      <w:r w:rsidRPr="004D5AB1">
        <w:rPr>
          <w:noProof/>
          <w:sz w:val="24"/>
          <w:szCs w:val="24"/>
        </w:rPr>
        <w:t>Det muliggør løbende overvågning af benefit/risk-forholdet for lægemidlet.</w:t>
      </w:r>
      <w:r w:rsidRPr="004D5AB1">
        <w:rPr>
          <w:sz w:val="24"/>
          <w:szCs w:val="24"/>
        </w:rPr>
        <w:t xml:space="preserve"> </w:t>
      </w:r>
      <w:r w:rsidRPr="004D5AB1">
        <w:rPr>
          <w:noProof/>
          <w:sz w:val="24"/>
          <w:szCs w:val="24"/>
        </w:rPr>
        <w:t>Sundhedspersoner anmodes om at indberette alle formodede bivirkninger via</w:t>
      </w:r>
      <w:r w:rsidRPr="004D5AB1">
        <w:rPr>
          <w:noProof/>
          <w:color w:val="000000" w:themeColor="text1"/>
          <w:sz w:val="24"/>
          <w:szCs w:val="24"/>
        </w:rPr>
        <w:t>:</w:t>
      </w:r>
    </w:p>
    <w:p w14:paraId="71CEE1A5" w14:textId="77777777" w:rsidR="00CA5F71" w:rsidRPr="004D5AB1" w:rsidRDefault="00CA5F71" w:rsidP="0015226E">
      <w:pPr>
        <w:autoSpaceDE w:val="0"/>
        <w:autoSpaceDN w:val="0"/>
        <w:adjustRightInd w:val="0"/>
        <w:ind w:left="851"/>
        <w:rPr>
          <w:noProof/>
          <w:color w:val="000000" w:themeColor="text1"/>
          <w:sz w:val="24"/>
          <w:szCs w:val="24"/>
        </w:rPr>
      </w:pPr>
    </w:p>
    <w:p w14:paraId="28B37A25" w14:textId="77777777" w:rsidR="00CA5F71" w:rsidRPr="004D5AB1" w:rsidRDefault="00CA5F71" w:rsidP="0015226E">
      <w:pPr>
        <w:autoSpaceDE w:val="0"/>
        <w:autoSpaceDN w:val="0"/>
        <w:adjustRightInd w:val="0"/>
        <w:ind w:left="851"/>
        <w:rPr>
          <w:noProof/>
          <w:color w:val="000000" w:themeColor="text1"/>
          <w:sz w:val="24"/>
          <w:szCs w:val="24"/>
        </w:rPr>
      </w:pPr>
      <w:r w:rsidRPr="004D5AB1">
        <w:rPr>
          <w:noProof/>
          <w:color w:val="000000" w:themeColor="text1"/>
          <w:sz w:val="24"/>
          <w:szCs w:val="24"/>
        </w:rPr>
        <w:t>Lægemiddelstyrelsen</w:t>
      </w:r>
    </w:p>
    <w:p w14:paraId="08619305" w14:textId="77777777" w:rsidR="00CA5F71" w:rsidRPr="004D5AB1" w:rsidRDefault="00CA5F71" w:rsidP="0015226E">
      <w:pPr>
        <w:autoSpaceDE w:val="0"/>
        <w:autoSpaceDN w:val="0"/>
        <w:adjustRightInd w:val="0"/>
        <w:ind w:left="851"/>
        <w:rPr>
          <w:noProof/>
          <w:color w:val="000000" w:themeColor="text1"/>
          <w:sz w:val="24"/>
          <w:szCs w:val="24"/>
        </w:rPr>
      </w:pPr>
      <w:r w:rsidRPr="004D5AB1">
        <w:rPr>
          <w:noProof/>
          <w:color w:val="000000" w:themeColor="text1"/>
          <w:sz w:val="24"/>
          <w:szCs w:val="24"/>
        </w:rPr>
        <w:t>Axel Heides Gade 1</w:t>
      </w:r>
    </w:p>
    <w:p w14:paraId="2251D56D" w14:textId="77777777" w:rsidR="00CA5F71" w:rsidRPr="004D5AB1" w:rsidRDefault="00CA5F71" w:rsidP="0015226E">
      <w:pPr>
        <w:autoSpaceDE w:val="0"/>
        <w:autoSpaceDN w:val="0"/>
        <w:adjustRightInd w:val="0"/>
        <w:ind w:left="851"/>
        <w:rPr>
          <w:noProof/>
          <w:color w:val="000000" w:themeColor="text1"/>
          <w:sz w:val="24"/>
          <w:szCs w:val="24"/>
        </w:rPr>
      </w:pPr>
      <w:r w:rsidRPr="004D5AB1">
        <w:rPr>
          <w:noProof/>
          <w:color w:val="000000" w:themeColor="text1"/>
          <w:sz w:val="24"/>
          <w:szCs w:val="24"/>
        </w:rPr>
        <w:t>DK-2300 København S</w:t>
      </w:r>
    </w:p>
    <w:p w14:paraId="38756953" w14:textId="77777777" w:rsidR="00CA5F71" w:rsidRPr="004D5AB1" w:rsidRDefault="00CA5F71" w:rsidP="0015226E">
      <w:pPr>
        <w:autoSpaceDE w:val="0"/>
        <w:autoSpaceDN w:val="0"/>
        <w:adjustRightInd w:val="0"/>
        <w:ind w:left="851"/>
        <w:rPr>
          <w:color w:val="000000" w:themeColor="text1"/>
          <w:sz w:val="24"/>
          <w:szCs w:val="24"/>
        </w:rPr>
      </w:pPr>
      <w:r w:rsidRPr="004D5AB1">
        <w:rPr>
          <w:noProof/>
          <w:color w:val="000000" w:themeColor="text1"/>
          <w:sz w:val="24"/>
          <w:szCs w:val="24"/>
        </w:rPr>
        <w:t xml:space="preserve">Websted: </w:t>
      </w:r>
      <w:r w:rsidRPr="004D5AB1">
        <w:rPr>
          <w:color w:val="000000" w:themeColor="text1"/>
          <w:sz w:val="24"/>
          <w:szCs w:val="24"/>
        </w:rPr>
        <w:t>www.meldenbivirkning.dk</w:t>
      </w:r>
    </w:p>
    <w:p w14:paraId="5B625E84" w14:textId="77777777" w:rsidR="009260DE" w:rsidRPr="004D5AB1" w:rsidRDefault="009260DE" w:rsidP="00A10294">
      <w:pPr>
        <w:tabs>
          <w:tab w:val="left" w:pos="851"/>
        </w:tabs>
        <w:ind w:left="851"/>
        <w:rPr>
          <w:sz w:val="24"/>
          <w:szCs w:val="24"/>
        </w:rPr>
      </w:pPr>
    </w:p>
    <w:p w14:paraId="67D0DBF2" w14:textId="77777777" w:rsidR="009260DE" w:rsidRPr="004D5AB1" w:rsidRDefault="009260DE" w:rsidP="009260DE">
      <w:pPr>
        <w:tabs>
          <w:tab w:val="left" w:pos="851"/>
        </w:tabs>
        <w:ind w:left="851" w:hanging="851"/>
        <w:rPr>
          <w:b/>
          <w:sz w:val="24"/>
          <w:szCs w:val="24"/>
        </w:rPr>
      </w:pPr>
      <w:r w:rsidRPr="004D5AB1">
        <w:rPr>
          <w:b/>
          <w:sz w:val="24"/>
          <w:szCs w:val="24"/>
        </w:rPr>
        <w:lastRenderedPageBreak/>
        <w:t>4.9</w:t>
      </w:r>
      <w:r w:rsidRPr="004D5AB1">
        <w:rPr>
          <w:b/>
          <w:sz w:val="24"/>
          <w:szCs w:val="24"/>
        </w:rPr>
        <w:tab/>
        <w:t>Overdosering</w:t>
      </w:r>
    </w:p>
    <w:p w14:paraId="3B5F6844" w14:textId="77777777" w:rsidR="00CA5F71" w:rsidRPr="004D5AB1" w:rsidRDefault="00CA5F71" w:rsidP="0015226E">
      <w:pPr>
        <w:ind w:left="851"/>
        <w:rPr>
          <w:iCs/>
          <w:noProof/>
          <w:sz w:val="24"/>
          <w:szCs w:val="24"/>
        </w:rPr>
      </w:pPr>
      <w:r w:rsidRPr="004D5AB1">
        <w:rPr>
          <w:iCs/>
          <w:noProof/>
          <w:sz w:val="24"/>
          <w:szCs w:val="24"/>
        </w:rPr>
        <w:t>Der findes ingen specifik antidot mod eller behandling af overdosering med nintedanib. To patienter i onkologiprogrammet fik en overdosis på højst 600 mg to gange dagligt i op til otte dage. De observerede bivirkninger var forenelige med den kendte sikkerhedsprofil for nintedanib, dvs. forhøjede leverenzymer og gastrointestinale symptomer. Begge patienter kom sig efter disse bivirkninger. I INPULSIS-studierne blev en patient utilsigtet eksponeret over for en dosis på 600 mg dagligt i 21 dage i alt. En ikke-alvorlig bivirkning (nasopharyngitis) opstod og forsvandt i løbet af perioden med den forkerte dosering uden forekomst af andre indberettede bivirkninger. I tilfælde af overdosering skal behandlingen afbrydes og generel understøttende behandling iværksættes efter behov.</w:t>
      </w:r>
    </w:p>
    <w:p w14:paraId="63B48ED9" w14:textId="77777777" w:rsidR="009260DE" w:rsidRPr="004D5AB1" w:rsidRDefault="009260DE" w:rsidP="009260DE">
      <w:pPr>
        <w:tabs>
          <w:tab w:val="left" w:pos="851"/>
        </w:tabs>
        <w:ind w:left="851"/>
        <w:rPr>
          <w:sz w:val="24"/>
          <w:szCs w:val="24"/>
        </w:rPr>
      </w:pPr>
    </w:p>
    <w:p w14:paraId="20D9011D" w14:textId="77777777" w:rsidR="009260DE" w:rsidRPr="004D5AB1" w:rsidRDefault="009260DE" w:rsidP="009260DE">
      <w:pPr>
        <w:tabs>
          <w:tab w:val="left" w:pos="851"/>
        </w:tabs>
        <w:ind w:left="851" w:hanging="851"/>
        <w:rPr>
          <w:b/>
          <w:sz w:val="24"/>
          <w:szCs w:val="24"/>
        </w:rPr>
      </w:pPr>
      <w:r w:rsidRPr="004D5AB1">
        <w:rPr>
          <w:b/>
          <w:sz w:val="24"/>
          <w:szCs w:val="24"/>
        </w:rPr>
        <w:t>4.10</w:t>
      </w:r>
      <w:r w:rsidRPr="004D5AB1">
        <w:rPr>
          <w:b/>
          <w:sz w:val="24"/>
          <w:szCs w:val="24"/>
        </w:rPr>
        <w:tab/>
        <w:t>Udlevering</w:t>
      </w:r>
    </w:p>
    <w:p w14:paraId="70880D12" w14:textId="77777777" w:rsidR="00CA5F71" w:rsidRPr="004D5AB1" w:rsidRDefault="00CA5F71" w:rsidP="0015226E">
      <w:pPr>
        <w:ind w:left="851"/>
        <w:rPr>
          <w:sz w:val="24"/>
          <w:szCs w:val="24"/>
        </w:rPr>
      </w:pPr>
      <w:r w:rsidRPr="004D5AB1">
        <w:rPr>
          <w:sz w:val="24"/>
          <w:szCs w:val="24"/>
        </w:rPr>
        <w:t>BEGR (kun til sygehuse)</w:t>
      </w:r>
    </w:p>
    <w:p w14:paraId="36CC4DC6" w14:textId="77777777" w:rsidR="009260DE" w:rsidRPr="004D5AB1" w:rsidRDefault="009260DE" w:rsidP="009260DE">
      <w:pPr>
        <w:tabs>
          <w:tab w:val="left" w:pos="851"/>
        </w:tabs>
        <w:ind w:left="851"/>
        <w:rPr>
          <w:sz w:val="24"/>
          <w:szCs w:val="24"/>
        </w:rPr>
      </w:pPr>
    </w:p>
    <w:p w14:paraId="56D0649E" w14:textId="77777777" w:rsidR="009260DE" w:rsidRPr="004D5AB1" w:rsidRDefault="009260DE" w:rsidP="009260DE">
      <w:pPr>
        <w:tabs>
          <w:tab w:val="left" w:pos="851"/>
        </w:tabs>
        <w:ind w:left="851"/>
        <w:rPr>
          <w:sz w:val="24"/>
          <w:szCs w:val="24"/>
        </w:rPr>
      </w:pPr>
    </w:p>
    <w:p w14:paraId="13B0EA60" w14:textId="77777777" w:rsidR="009260DE" w:rsidRPr="004D5AB1" w:rsidRDefault="009260DE" w:rsidP="009260DE">
      <w:pPr>
        <w:tabs>
          <w:tab w:val="left" w:pos="851"/>
        </w:tabs>
        <w:ind w:left="851" w:hanging="851"/>
        <w:rPr>
          <w:b/>
          <w:sz w:val="24"/>
          <w:szCs w:val="24"/>
        </w:rPr>
      </w:pPr>
      <w:r w:rsidRPr="004D5AB1">
        <w:rPr>
          <w:b/>
          <w:sz w:val="24"/>
          <w:szCs w:val="24"/>
        </w:rPr>
        <w:t>5.</w:t>
      </w:r>
      <w:r w:rsidRPr="004D5AB1">
        <w:rPr>
          <w:b/>
          <w:sz w:val="24"/>
          <w:szCs w:val="24"/>
        </w:rPr>
        <w:tab/>
        <w:t>FARMAKOLOGISKE EGENSKABER</w:t>
      </w:r>
    </w:p>
    <w:p w14:paraId="051C2AB6" w14:textId="77777777" w:rsidR="009260DE" w:rsidRPr="004D5AB1" w:rsidRDefault="009260DE" w:rsidP="009260DE">
      <w:pPr>
        <w:tabs>
          <w:tab w:val="left" w:pos="851"/>
        </w:tabs>
        <w:ind w:left="851"/>
        <w:rPr>
          <w:sz w:val="24"/>
          <w:szCs w:val="24"/>
        </w:rPr>
      </w:pPr>
    </w:p>
    <w:p w14:paraId="249F46AF" w14:textId="77777777" w:rsidR="009260DE" w:rsidRPr="004D5AB1" w:rsidRDefault="009260DE" w:rsidP="009260DE">
      <w:pPr>
        <w:tabs>
          <w:tab w:val="num" w:pos="851"/>
        </w:tabs>
        <w:ind w:left="851" w:hanging="851"/>
        <w:rPr>
          <w:b/>
          <w:sz w:val="24"/>
          <w:szCs w:val="24"/>
        </w:rPr>
      </w:pPr>
      <w:r w:rsidRPr="004D5AB1">
        <w:rPr>
          <w:b/>
          <w:sz w:val="24"/>
          <w:szCs w:val="24"/>
        </w:rPr>
        <w:t>5.1</w:t>
      </w:r>
      <w:r w:rsidRPr="004D5AB1">
        <w:rPr>
          <w:b/>
          <w:sz w:val="24"/>
          <w:szCs w:val="24"/>
        </w:rPr>
        <w:tab/>
      </w:r>
      <w:proofErr w:type="spellStart"/>
      <w:r w:rsidRPr="004D5AB1">
        <w:rPr>
          <w:b/>
          <w:sz w:val="24"/>
          <w:szCs w:val="24"/>
        </w:rPr>
        <w:t>Farmakodynamiske</w:t>
      </w:r>
      <w:proofErr w:type="spellEnd"/>
      <w:r w:rsidRPr="004D5AB1">
        <w:rPr>
          <w:b/>
          <w:sz w:val="24"/>
          <w:szCs w:val="24"/>
        </w:rPr>
        <w:t xml:space="preserve"> egenskaber</w:t>
      </w:r>
    </w:p>
    <w:p w14:paraId="46CF56B3" w14:textId="1335766A" w:rsidR="00CA5F71" w:rsidRPr="004D5AB1" w:rsidRDefault="00CA5F71" w:rsidP="0015226E">
      <w:pPr>
        <w:suppressAutoHyphens/>
        <w:ind w:left="851"/>
        <w:rPr>
          <w:sz w:val="24"/>
          <w:szCs w:val="24"/>
        </w:rPr>
      </w:pPr>
      <w:proofErr w:type="spellStart"/>
      <w:r w:rsidRPr="004D5AB1">
        <w:rPr>
          <w:sz w:val="24"/>
          <w:szCs w:val="24"/>
        </w:rPr>
        <w:t>Farmakoterapeutisk</w:t>
      </w:r>
      <w:proofErr w:type="spellEnd"/>
      <w:r w:rsidRPr="004D5AB1">
        <w:rPr>
          <w:sz w:val="24"/>
          <w:szCs w:val="24"/>
        </w:rPr>
        <w:t xml:space="preserve"> klassifikation: Andre midler med virkning på respirationssystemet</w:t>
      </w:r>
      <w:r w:rsidR="005F0117">
        <w:rPr>
          <w:sz w:val="24"/>
          <w:szCs w:val="24"/>
        </w:rPr>
        <w:t>,</w:t>
      </w:r>
      <w:r w:rsidRPr="004D5AB1">
        <w:rPr>
          <w:sz w:val="24"/>
          <w:szCs w:val="24"/>
        </w:rPr>
        <w:t xml:space="preserve"> ATC-kode:</w:t>
      </w:r>
      <w:r w:rsidRPr="004D5AB1">
        <w:rPr>
          <w:sz w:val="24"/>
          <w:szCs w:val="24"/>
          <w:lang w:eastAsia="da-DK"/>
        </w:rPr>
        <w:t xml:space="preserve"> </w:t>
      </w:r>
      <w:r w:rsidRPr="004D5AB1">
        <w:rPr>
          <w:sz w:val="24"/>
          <w:szCs w:val="24"/>
        </w:rPr>
        <w:t>L01EX09</w:t>
      </w:r>
    </w:p>
    <w:p w14:paraId="1B3DDF7B" w14:textId="77777777" w:rsidR="00CA5F71" w:rsidRPr="004D5AB1" w:rsidRDefault="00CA5F71" w:rsidP="0015226E">
      <w:pPr>
        <w:suppressAutoHyphens/>
        <w:ind w:left="851"/>
        <w:rPr>
          <w:bCs/>
          <w:noProof/>
          <w:sz w:val="24"/>
          <w:szCs w:val="24"/>
        </w:rPr>
      </w:pPr>
    </w:p>
    <w:p w14:paraId="2FB32BFB" w14:textId="77777777" w:rsidR="00CA5F71" w:rsidRPr="004D5AB1" w:rsidRDefault="00CA5F71" w:rsidP="0015226E">
      <w:pPr>
        <w:suppressAutoHyphens/>
        <w:ind w:left="851"/>
        <w:rPr>
          <w:bCs/>
          <w:noProof/>
          <w:sz w:val="24"/>
          <w:szCs w:val="24"/>
        </w:rPr>
      </w:pPr>
      <w:r w:rsidRPr="004D5AB1">
        <w:rPr>
          <w:bCs/>
          <w:noProof/>
          <w:sz w:val="24"/>
          <w:szCs w:val="24"/>
          <w:u w:val="single"/>
        </w:rPr>
        <w:t>Virkningsmekanisme</w:t>
      </w:r>
    </w:p>
    <w:p w14:paraId="07AAFBCD" w14:textId="391DCB72" w:rsidR="00CA5F71" w:rsidRPr="004D5AB1" w:rsidRDefault="00CA5F71" w:rsidP="0015226E">
      <w:pPr>
        <w:suppressAutoHyphens/>
        <w:ind w:left="851"/>
        <w:rPr>
          <w:bCs/>
          <w:noProof/>
          <w:sz w:val="24"/>
          <w:szCs w:val="24"/>
        </w:rPr>
      </w:pPr>
      <w:r w:rsidRPr="004D5AB1">
        <w:rPr>
          <w:bCs/>
          <w:noProof/>
          <w:sz w:val="24"/>
          <w:szCs w:val="24"/>
        </w:rPr>
        <w:t>Nintedanib er en lav-molekylær tyrosinkinasehæmmer, herunder påvirkes trombocyt</w:t>
      </w:r>
      <w:r w:rsidR="00676A6A">
        <w:rPr>
          <w:bCs/>
          <w:noProof/>
          <w:sz w:val="24"/>
          <w:szCs w:val="24"/>
        </w:rPr>
        <w:softHyphen/>
      </w:r>
      <w:r w:rsidRPr="004D5AB1">
        <w:rPr>
          <w:bCs/>
          <w:noProof/>
          <w:sz w:val="24"/>
          <w:szCs w:val="24"/>
        </w:rPr>
        <w:t>deriverede vækstfaktor-receptorer (PDGFR) α og β, fibroblast vækstfaktor-receptorer (FGFR) 1-3 og VEGFR 1-3. Desuden hæmmer nintedanib Lck (lymfocytspecifik tyrosinproteinkinase), Lyn (tyrosinproteinkinase lyn), Src (proto-onkogen tyrosinproteinkinase src) og CSF1R (kolonistimulerende faktor 1-receptor)-kinaser. Nintedanib binder kompetitivt til disse kinasers ATP-bindende lommer og blokerer de intracellulære signaleringskaskader, hvilket har vist sig at være involveret i patogenesen af fibrotisk vævsremodellering ved interstitiel lungesygdom.</w:t>
      </w:r>
    </w:p>
    <w:p w14:paraId="458AA31E" w14:textId="77777777" w:rsidR="00CA5F71" w:rsidRPr="004D5AB1" w:rsidRDefault="00CA5F71" w:rsidP="0015226E">
      <w:pPr>
        <w:suppressAutoHyphens/>
        <w:ind w:left="851"/>
        <w:rPr>
          <w:bCs/>
          <w:noProof/>
          <w:sz w:val="24"/>
          <w:szCs w:val="24"/>
          <w:u w:val="single"/>
        </w:rPr>
      </w:pPr>
    </w:p>
    <w:p w14:paraId="72A07FDA" w14:textId="77777777" w:rsidR="00CA5F71" w:rsidRPr="004D5AB1" w:rsidRDefault="00CA5F71" w:rsidP="0015226E">
      <w:pPr>
        <w:suppressAutoHyphens/>
        <w:ind w:left="851"/>
        <w:rPr>
          <w:bCs/>
          <w:noProof/>
          <w:sz w:val="24"/>
          <w:szCs w:val="24"/>
        </w:rPr>
      </w:pPr>
      <w:r w:rsidRPr="004D5AB1">
        <w:rPr>
          <w:bCs/>
          <w:noProof/>
          <w:sz w:val="24"/>
          <w:szCs w:val="24"/>
          <w:u w:val="single"/>
        </w:rPr>
        <w:t>Farmakodynamisk virkning</w:t>
      </w:r>
    </w:p>
    <w:p w14:paraId="1255B2C1" w14:textId="77777777" w:rsidR="00CA5F71" w:rsidRPr="004D5AB1" w:rsidRDefault="00CA5F71" w:rsidP="0015226E">
      <w:pPr>
        <w:suppressAutoHyphens/>
        <w:ind w:left="851"/>
        <w:rPr>
          <w:bCs/>
          <w:noProof/>
          <w:sz w:val="24"/>
          <w:szCs w:val="24"/>
        </w:rPr>
      </w:pPr>
      <w:r w:rsidRPr="004D5AB1">
        <w:rPr>
          <w:bCs/>
          <w:noProof/>
          <w:sz w:val="24"/>
          <w:szCs w:val="24"/>
        </w:rPr>
        <w:t xml:space="preserve">I </w:t>
      </w:r>
      <w:r w:rsidRPr="004D5AB1">
        <w:rPr>
          <w:bCs/>
          <w:i/>
          <w:iCs/>
          <w:noProof/>
          <w:sz w:val="24"/>
          <w:szCs w:val="24"/>
        </w:rPr>
        <w:t>in vitro</w:t>
      </w:r>
      <w:r w:rsidRPr="004D5AB1">
        <w:rPr>
          <w:bCs/>
          <w:noProof/>
          <w:sz w:val="24"/>
          <w:szCs w:val="24"/>
        </w:rPr>
        <w:t>-studier med humane celler har nintedanib vist sig at hæmme processer, der antages at være involveret i initieringen af fibrotisk patogenese, frigivelsen af profibrotiske mediatorer fra perifere monocytceller i blodet og makrofag-polarisering til alternativt aktiverede makrofager. Nintedanib har vist sig at hæmme fundamentale processer i organfibrose, proliferation og migration af fibroblaster, og tranformation til den aktive myofibroblast-fænotype og secernering af ekstracellulær matriks. I flere dyrestudie-modeller af IPF, SSc/SSc-ILS, reumatoid artritis-associeret-(RA)-ILS og anden organfibrose, har nintedanib vist antiinflammatorisk virkning og antifibrotisk virkning i lungerne, huden, hjertet, nyrerne og leveren. Nintedanib udviste også vaskulær aktivitet.</w:t>
      </w:r>
    </w:p>
    <w:p w14:paraId="7CB74098" w14:textId="77777777" w:rsidR="00CA5F71" w:rsidRPr="004D5AB1" w:rsidRDefault="00CA5F71" w:rsidP="0015226E">
      <w:pPr>
        <w:suppressAutoHyphens/>
        <w:ind w:left="851"/>
        <w:rPr>
          <w:bCs/>
          <w:noProof/>
          <w:sz w:val="24"/>
          <w:szCs w:val="24"/>
        </w:rPr>
      </w:pPr>
      <w:r w:rsidRPr="004D5AB1">
        <w:rPr>
          <w:bCs/>
          <w:noProof/>
          <w:sz w:val="24"/>
          <w:szCs w:val="24"/>
        </w:rPr>
        <w:t>Det nedsatte dermal mikrovaskulær endotelcelleapoptose og svækkede pulmonal vaskulær remodellering ved at reducere proliferationen af vaskulære glatte muskelceller, tykkelsen af lungekarvæggene og procentdelen af okkluderede lungekar.</w:t>
      </w:r>
    </w:p>
    <w:p w14:paraId="1D36070D" w14:textId="77777777" w:rsidR="00CA5F71" w:rsidRPr="004D5AB1" w:rsidRDefault="00CA5F71" w:rsidP="0015226E">
      <w:pPr>
        <w:suppressAutoHyphens/>
        <w:ind w:left="851"/>
        <w:rPr>
          <w:bCs/>
          <w:noProof/>
          <w:sz w:val="24"/>
          <w:szCs w:val="24"/>
        </w:rPr>
      </w:pPr>
    </w:p>
    <w:p w14:paraId="3CB92CB4" w14:textId="77777777" w:rsidR="00CA5F71" w:rsidRPr="004D5AB1" w:rsidRDefault="00CA5F71" w:rsidP="0015226E">
      <w:pPr>
        <w:suppressAutoHyphens/>
        <w:ind w:left="851"/>
        <w:rPr>
          <w:bCs/>
          <w:noProof/>
          <w:sz w:val="24"/>
          <w:szCs w:val="24"/>
        </w:rPr>
      </w:pPr>
      <w:r w:rsidRPr="004D5AB1">
        <w:rPr>
          <w:bCs/>
          <w:noProof/>
          <w:sz w:val="24"/>
          <w:szCs w:val="24"/>
          <w:u w:val="single"/>
        </w:rPr>
        <w:t>Klinisk virkning og sikkerhed</w:t>
      </w:r>
    </w:p>
    <w:p w14:paraId="26F4CAF6" w14:textId="77777777" w:rsidR="00CA5F71" w:rsidRPr="004D5AB1" w:rsidRDefault="00CA5F71" w:rsidP="0015226E">
      <w:pPr>
        <w:suppressAutoHyphens/>
        <w:ind w:left="851"/>
        <w:rPr>
          <w:bCs/>
          <w:i/>
          <w:iCs/>
          <w:noProof/>
          <w:sz w:val="24"/>
          <w:szCs w:val="24"/>
        </w:rPr>
      </w:pPr>
      <w:r w:rsidRPr="004D5AB1">
        <w:rPr>
          <w:bCs/>
          <w:i/>
          <w:iCs/>
          <w:noProof/>
          <w:sz w:val="24"/>
          <w:szCs w:val="24"/>
        </w:rPr>
        <w:t>Idiopatisk lungefibrose (IPF)</w:t>
      </w:r>
    </w:p>
    <w:p w14:paraId="181B037B" w14:textId="77777777" w:rsidR="00CA5F71" w:rsidRPr="004D5AB1" w:rsidRDefault="00CA5F71" w:rsidP="0015226E">
      <w:pPr>
        <w:suppressAutoHyphens/>
        <w:ind w:left="851"/>
        <w:rPr>
          <w:bCs/>
          <w:noProof/>
          <w:sz w:val="24"/>
          <w:szCs w:val="24"/>
        </w:rPr>
      </w:pPr>
      <w:r w:rsidRPr="004D5AB1">
        <w:rPr>
          <w:bCs/>
          <w:noProof/>
          <w:sz w:val="24"/>
          <w:szCs w:val="24"/>
        </w:rPr>
        <w:t xml:space="preserve">Nintedanibs kliniske virkning er blevet undersøgt hos patienter med IPF i to randomiserede, dobbeltblindede, placebokontrollerede fase III-studier med identisk design (INPULSIS-1 (1199.32) og INPULSIS-2 (1199.34)). Patienter med FVC &lt;50 % af forventet ved </w:t>
      </w:r>
      <w:r w:rsidRPr="004D5AB1">
        <w:rPr>
          <w:bCs/>
          <w:i/>
          <w:iCs/>
          <w:noProof/>
          <w:sz w:val="24"/>
          <w:szCs w:val="24"/>
        </w:rPr>
        <w:t xml:space="preserve">baseline </w:t>
      </w:r>
      <w:r w:rsidRPr="004D5AB1">
        <w:rPr>
          <w:bCs/>
          <w:noProof/>
          <w:sz w:val="24"/>
          <w:szCs w:val="24"/>
        </w:rPr>
        <w:t xml:space="preserve">eller carbonmonooxid diffusionskapacitet (DLCO, korrigeret for </w:t>
      </w:r>
      <w:r w:rsidRPr="004D5AB1">
        <w:rPr>
          <w:bCs/>
          <w:noProof/>
          <w:sz w:val="24"/>
          <w:szCs w:val="24"/>
        </w:rPr>
        <w:lastRenderedPageBreak/>
        <w:t xml:space="preserve">hæmoglobin) &lt;30 % af forventet ved </w:t>
      </w:r>
      <w:r w:rsidRPr="004D5AB1">
        <w:rPr>
          <w:bCs/>
          <w:i/>
          <w:iCs/>
          <w:noProof/>
          <w:sz w:val="24"/>
          <w:szCs w:val="24"/>
        </w:rPr>
        <w:t>baseline</w:t>
      </w:r>
      <w:r w:rsidRPr="004D5AB1">
        <w:rPr>
          <w:bCs/>
          <w:noProof/>
          <w:sz w:val="24"/>
          <w:szCs w:val="24"/>
        </w:rPr>
        <w:t>, blev ekskluderet fra studierne. Patienterne blev randomiseret i forholdet 3:2 til behandling med nintedanib 150 mg eller placebo to gange dagligt i 52 uger.</w:t>
      </w:r>
    </w:p>
    <w:p w14:paraId="5F613D6E" w14:textId="77777777" w:rsidR="00CA5F71" w:rsidRPr="004D5AB1" w:rsidRDefault="00CA5F71" w:rsidP="0015226E">
      <w:pPr>
        <w:suppressAutoHyphens/>
        <w:ind w:left="851"/>
        <w:rPr>
          <w:bCs/>
          <w:noProof/>
          <w:sz w:val="24"/>
          <w:szCs w:val="24"/>
        </w:rPr>
      </w:pPr>
    </w:p>
    <w:p w14:paraId="307E8432" w14:textId="77777777" w:rsidR="00CA5F71" w:rsidRPr="004D5AB1" w:rsidRDefault="00CA5F71" w:rsidP="0015226E">
      <w:pPr>
        <w:suppressAutoHyphens/>
        <w:ind w:left="851"/>
        <w:rPr>
          <w:bCs/>
          <w:i/>
          <w:iCs/>
          <w:noProof/>
          <w:sz w:val="24"/>
          <w:szCs w:val="24"/>
        </w:rPr>
      </w:pPr>
      <w:r w:rsidRPr="004D5AB1">
        <w:rPr>
          <w:bCs/>
          <w:noProof/>
          <w:sz w:val="24"/>
          <w:szCs w:val="24"/>
        </w:rPr>
        <w:t xml:space="preserve">Det primære endepunkt var det årlige fald i forceret vitalkapacitet (FVC). De væsentligste sekundære endepunkter var ændring fra </w:t>
      </w:r>
      <w:r w:rsidRPr="004D5AB1">
        <w:rPr>
          <w:bCs/>
          <w:i/>
          <w:iCs/>
          <w:noProof/>
          <w:sz w:val="24"/>
          <w:szCs w:val="24"/>
        </w:rPr>
        <w:t xml:space="preserve">baseline </w:t>
      </w:r>
      <w:r w:rsidRPr="004D5AB1">
        <w:rPr>
          <w:bCs/>
          <w:noProof/>
          <w:sz w:val="24"/>
          <w:szCs w:val="24"/>
        </w:rPr>
        <w:t>i den samlede score i Saint Georges spørgeskema (</w:t>
      </w:r>
      <w:r w:rsidRPr="004D5AB1">
        <w:rPr>
          <w:bCs/>
          <w:i/>
          <w:iCs/>
          <w:noProof/>
          <w:sz w:val="24"/>
          <w:szCs w:val="24"/>
        </w:rPr>
        <w:t>Saint George's Respiratory Questionnaire</w:t>
      </w:r>
      <w:r w:rsidRPr="004D5AB1">
        <w:rPr>
          <w:bCs/>
          <w:noProof/>
          <w:sz w:val="24"/>
          <w:szCs w:val="24"/>
        </w:rPr>
        <w:t>, SGRQ) ved 52 uger og tid til første akutte IPF-eksacerbation.</w:t>
      </w:r>
    </w:p>
    <w:p w14:paraId="00A246D6" w14:textId="77777777" w:rsidR="00CA5F71" w:rsidRPr="004D5AB1" w:rsidRDefault="00CA5F71" w:rsidP="0015226E">
      <w:pPr>
        <w:suppressAutoHyphens/>
        <w:ind w:left="851"/>
        <w:rPr>
          <w:bCs/>
          <w:i/>
          <w:iCs/>
          <w:noProof/>
          <w:sz w:val="24"/>
          <w:szCs w:val="24"/>
        </w:rPr>
      </w:pPr>
    </w:p>
    <w:p w14:paraId="6C843CF5"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Årligt fald i FVC</w:t>
      </w:r>
    </w:p>
    <w:p w14:paraId="28236C35" w14:textId="77777777" w:rsidR="00CA5F71" w:rsidRPr="004D5AB1" w:rsidRDefault="00CA5F71" w:rsidP="0015226E">
      <w:pPr>
        <w:suppressAutoHyphens/>
        <w:ind w:left="851"/>
        <w:rPr>
          <w:bCs/>
          <w:noProof/>
          <w:sz w:val="24"/>
          <w:szCs w:val="24"/>
        </w:rPr>
      </w:pPr>
      <w:r w:rsidRPr="004D5AB1">
        <w:rPr>
          <w:bCs/>
          <w:noProof/>
          <w:sz w:val="24"/>
          <w:szCs w:val="24"/>
        </w:rPr>
        <w:t>Det årlige fald i FVC (i ml) blev signifikant reduceret hos patienter, der fik nintedanib, sammenlignet med patienter, der fik placebo. Behandlingseffekten var konsistent i begge studier. Se Tabel 3 for individuelle og samlede studieresultater.</w:t>
      </w:r>
    </w:p>
    <w:p w14:paraId="71FAED2A" w14:textId="77777777" w:rsidR="00CA5F71" w:rsidRPr="004D5AB1" w:rsidRDefault="00CA5F71" w:rsidP="0015226E">
      <w:pPr>
        <w:suppressAutoHyphens/>
        <w:ind w:left="851"/>
        <w:rPr>
          <w:bCs/>
          <w:noProof/>
          <w:sz w:val="24"/>
          <w:szCs w:val="24"/>
        </w:rPr>
      </w:pPr>
    </w:p>
    <w:p w14:paraId="42696223" w14:textId="77777777" w:rsidR="00CA5F71" w:rsidRPr="004D5AB1" w:rsidRDefault="00CA5F71" w:rsidP="0099618E">
      <w:pPr>
        <w:suppressAutoHyphens/>
        <w:ind w:left="1304" w:hanging="1304"/>
        <w:rPr>
          <w:bCs/>
          <w:noProof/>
          <w:sz w:val="24"/>
          <w:szCs w:val="24"/>
        </w:rPr>
      </w:pPr>
      <w:r w:rsidRPr="004D5AB1">
        <w:rPr>
          <w:b/>
          <w:bCs/>
          <w:noProof/>
          <w:sz w:val="24"/>
          <w:szCs w:val="24"/>
        </w:rPr>
        <w:t xml:space="preserve">Tabel 3: </w:t>
      </w:r>
      <w:r w:rsidRPr="004D5AB1">
        <w:rPr>
          <w:b/>
          <w:bCs/>
          <w:noProof/>
          <w:sz w:val="24"/>
          <w:szCs w:val="24"/>
        </w:rPr>
        <w:tab/>
        <w:t xml:space="preserve">Årligt fald i FVC (ml) i studierne INPULSIS-1 og INPULSIS-2 og deres samlede data - </w:t>
      </w:r>
      <w:r w:rsidRPr="004D5AB1">
        <w:rPr>
          <w:b/>
          <w:bCs/>
          <w:i/>
          <w:iCs/>
          <w:noProof/>
          <w:sz w:val="24"/>
          <w:szCs w:val="24"/>
        </w:rPr>
        <w:t>treated set</w:t>
      </w:r>
    </w:p>
    <w:tbl>
      <w:tblPr>
        <w:tblStyle w:val="Tabel-Gitter"/>
        <w:tblW w:w="5000" w:type="pct"/>
        <w:tblInd w:w="0" w:type="dxa"/>
        <w:tblLook w:val="04A0" w:firstRow="1" w:lastRow="0" w:firstColumn="1" w:lastColumn="0" w:noHBand="0" w:noVBand="1"/>
      </w:tblPr>
      <w:tblGrid>
        <w:gridCol w:w="1609"/>
        <w:gridCol w:w="1314"/>
        <w:gridCol w:w="1359"/>
        <w:gridCol w:w="1313"/>
        <w:gridCol w:w="1361"/>
        <w:gridCol w:w="1313"/>
        <w:gridCol w:w="1359"/>
      </w:tblGrid>
      <w:tr w:rsidR="00CA5F71" w:rsidRPr="004D5AB1" w14:paraId="38868426" w14:textId="77777777" w:rsidTr="0015226E">
        <w:tc>
          <w:tcPr>
            <w:tcW w:w="835" w:type="pct"/>
            <w:vMerge w:val="restart"/>
            <w:tcBorders>
              <w:top w:val="single" w:sz="4" w:space="0" w:color="auto"/>
              <w:left w:val="single" w:sz="4" w:space="0" w:color="auto"/>
              <w:bottom w:val="single" w:sz="4" w:space="0" w:color="auto"/>
              <w:right w:val="single" w:sz="4" w:space="0" w:color="auto"/>
            </w:tcBorders>
          </w:tcPr>
          <w:p w14:paraId="5FE6B88C" w14:textId="77777777" w:rsidR="00CA5F71" w:rsidRPr="004D5AB1" w:rsidRDefault="00CA5F71">
            <w:pPr>
              <w:autoSpaceDE w:val="0"/>
              <w:autoSpaceDN w:val="0"/>
              <w:adjustRightInd w:val="0"/>
              <w:rPr>
                <w:noProof/>
                <w:sz w:val="24"/>
                <w:szCs w:val="24"/>
              </w:rPr>
            </w:pPr>
          </w:p>
        </w:tc>
        <w:tc>
          <w:tcPr>
            <w:tcW w:w="1388" w:type="pct"/>
            <w:gridSpan w:val="2"/>
            <w:tcBorders>
              <w:top w:val="single" w:sz="4" w:space="0" w:color="auto"/>
              <w:left w:val="single" w:sz="4" w:space="0" w:color="auto"/>
              <w:bottom w:val="single" w:sz="4" w:space="0" w:color="auto"/>
              <w:right w:val="single" w:sz="4" w:space="0" w:color="auto"/>
            </w:tcBorders>
            <w:hideMark/>
          </w:tcPr>
          <w:p w14:paraId="3142B8EA" w14:textId="77777777" w:rsidR="00CA5F71" w:rsidRPr="004D5AB1" w:rsidRDefault="00CA5F71">
            <w:pPr>
              <w:autoSpaceDE w:val="0"/>
              <w:autoSpaceDN w:val="0"/>
              <w:adjustRightInd w:val="0"/>
              <w:jc w:val="center"/>
              <w:rPr>
                <w:noProof/>
                <w:sz w:val="24"/>
                <w:szCs w:val="24"/>
              </w:rPr>
            </w:pPr>
            <w:r w:rsidRPr="004D5AB1">
              <w:rPr>
                <w:noProof/>
                <w:sz w:val="24"/>
                <w:szCs w:val="24"/>
              </w:rPr>
              <w:t>INPULSIS-1</w:t>
            </w:r>
          </w:p>
        </w:tc>
        <w:tc>
          <w:tcPr>
            <w:tcW w:w="1389" w:type="pct"/>
            <w:gridSpan w:val="2"/>
            <w:tcBorders>
              <w:top w:val="single" w:sz="4" w:space="0" w:color="auto"/>
              <w:left w:val="single" w:sz="4" w:space="0" w:color="auto"/>
              <w:bottom w:val="single" w:sz="4" w:space="0" w:color="auto"/>
              <w:right w:val="single" w:sz="4" w:space="0" w:color="auto"/>
            </w:tcBorders>
            <w:hideMark/>
          </w:tcPr>
          <w:p w14:paraId="67BCAB9E" w14:textId="77777777" w:rsidR="00CA5F71" w:rsidRPr="004D5AB1" w:rsidRDefault="00CA5F71">
            <w:pPr>
              <w:autoSpaceDE w:val="0"/>
              <w:autoSpaceDN w:val="0"/>
              <w:adjustRightInd w:val="0"/>
              <w:jc w:val="center"/>
              <w:rPr>
                <w:noProof/>
                <w:sz w:val="24"/>
                <w:szCs w:val="24"/>
              </w:rPr>
            </w:pPr>
            <w:r w:rsidRPr="004D5AB1">
              <w:rPr>
                <w:noProof/>
                <w:sz w:val="24"/>
                <w:szCs w:val="24"/>
              </w:rPr>
              <w:t>INPULSIS-3</w:t>
            </w:r>
          </w:p>
        </w:tc>
        <w:tc>
          <w:tcPr>
            <w:tcW w:w="1389" w:type="pct"/>
            <w:gridSpan w:val="2"/>
            <w:tcBorders>
              <w:top w:val="single" w:sz="4" w:space="0" w:color="auto"/>
              <w:left w:val="single" w:sz="4" w:space="0" w:color="auto"/>
              <w:bottom w:val="single" w:sz="4" w:space="0" w:color="auto"/>
              <w:right w:val="single" w:sz="4" w:space="0" w:color="auto"/>
            </w:tcBorders>
            <w:hideMark/>
          </w:tcPr>
          <w:p w14:paraId="4C10B898" w14:textId="77777777" w:rsidR="00CA5F71" w:rsidRPr="004D5AB1" w:rsidRDefault="00CA5F71">
            <w:pPr>
              <w:autoSpaceDE w:val="0"/>
              <w:autoSpaceDN w:val="0"/>
              <w:adjustRightInd w:val="0"/>
              <w:jc w:val="center"/>
              <w:rPr>
                <w:noProof/>
                <w:sz w:val="24"/>
                <w:szCs w:val="24"/>
              </w:rPr>
            </w:pPr>
            <w:r w:rsidRPr="004D5AB1">
              <w:rPr>
                <w:noProof/>
                <w:sz w:val="24"/>
                <w:szCs w:val="24"/>
              </w:rPr>
              <w:t>INPULSIS-1 og INPULSIS-2 samlet</w:t>
            </w:r>
          </w:p>
        </w:tc>
      </w:tr>
      <w:tr w:rsidR="00CA5F71" w:rsidRPr="004D5AB1" w14:paraId="6DAD68EF" w14:textId="77777777" w:rsidTr="0015226E">
        <w:tc>
          <w:tcPr>
            <w:tcW w:w="835" w:type="pct"/>
            <w:vMerge/>
            <w:tcBorders>
              <w:top w:val="single" w:sz="4" w:space="0" w:color="auto"/>
              <w:left w:val="single" w:sz="4" w:space="0" w:color="auto"/>
              <w:bottom w:val="single" w:sz="4" w:space="0" w:color="auto"/>
              <w:right w:val="single" w:sz="4" w:space="0" w:color="auto"/>
            </w:tcBorders>
            <w:vAlign w:val="center"/>
            <w:hideMark/>
          </w:tcPr>
          <w:p w14:paraId="1B8872FC" w14:textId="77777777" w:rsidR="00CA5F71" w:rsidRPr="004D5AB1" w:rsidRDefault="00CA5F71">
            <w:pPr>
              <w:rPr>
                <w:noProof/>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5CAFE478"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62DCAEE7"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472EAF8E"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6511BA0B"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741B2191"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4FE3B541"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r>
      <w:tr w:rsidR="00CA5F71" w:rsidRPr="004D5AB1" w14:paraId="6A45EFF2"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309F8F5D" w14:textId="77777777" w:rsidR="00CA5F71" w:rsidRPr="004D5AB1" w:rsidRDefault="00CA5F71">
            <w:pPr>
              <w:autoSpaceDE w:val="0"/>
              <w:autoSpaceDN w:val="0"/>
              <w:adjustRightInd w:val="0"/>
              <w:rPr>
                <w:noProof/>
                <w:sz w:val="24"/>
                <w:szCs w:val="24"/>
              </w:rPr>
            </w:pPr>
            <w:r w:rsidRPr="004D5AB1">
              <w:rPr>
                <w:noProof/>
                <w:sz w:val="24"/>
                <w:szCs w:val="24"/>
              </w:rPr>
              <w:t>Antal analyserede patienter</w:t>
            </w:r>
          </w:p>
        </w:tc>
        <w:tc>
          <w:tcPr>
            <w:tcW w:w="682" w:type="pct"/>
            <w:tcBorders>
              <w:top w:val="single" w:sz="4" w:space="0" w:color="auto"/>
              <w:left w:val="single" w:sz="4" w:space="0" w:color="auto"/>
              <w:bottom w:val="single" w:sz="4" w:space="0" w:color="auto"/>
              <w:right w:val="single" w:sz="4" w:space="0" w:color="auto"/>
            </w:tcBorders>
            <w:vAlign w:val="bottom"/>
            <w:hideMark/>
          </w:tcPr>
          <w:p w14:paraId="744BA40B" w14:textId="77777777" w:rsidR="00CA5F71" w:rsidRPr="004D5AB1" w:rsidRDefault="00CA5F71">
            <w:pPr>
              <w:autoSpaceDE w:val="0"/>
              <w:autoSpaceDN w:val="0"/>
              <w:adjustRightInd w:val="0"/>
              <w:jc w:val="center"/>
              <w:rPr>
                <w:noProof/>
                <w:sz w:val="24"/>
                <w:szCs w:val="24"/>
                <w:u w:val="single"/>
              </w:rPr>
            </w:pPr>
            <w:r w:rsidRPr="004D5AB1">
              <w:rPr>
                <w:sz w:val="24"/>
                <w:szCs w:val="24"/>
              </w:rPr>
              <w:t>204</w:t>
            </w:r>
          </w:p>
        </w:tc>
        <w:tc>
          <w:tcPr>
            <w:tcW w:w="706" w:type="pct"/>
            <w:tcBorders>
              <w:top w:val="single" w:sz="4" w:space="0" w:color="auto"/>
              <w:left w:val="single" w:sz="4" w:space="0" w:color="auto"/>
              <w:bottom w:val="single" w:sz="4" w:space="0" w:color="auto"/>
              <w:right w:val="single" w:sz="4" w:space="0" w:color="auto"/>
            </w:tcBorders>
            <w:vAlign w:val="bottom"/>
            <w:hideMark/>
          </w:tcPr>
          <w:p w14:paraId="14E14238" w14:textId="77777777" w:rsidR="00CA5F71" w:rsidRPr="004D5AB1" w:rsidRDefault="00CA5F71">
            <w:pPr>
              <w:autoSpaceDE w:val="0"/>
              <w:autoSpaceDN w:val="0"/>
              <w:adjustRightInd w:val="0"/>
              <w:jc w:val="center"/>
              <w:rPr>
                <w:noProof/>
                <w:sz w:val="24"/>
                <w:szCs w:val="24"/>
                <w:u w:val="single"/>
              </w:rPr>
            </w:pPr>
            <w:r w:rsidRPr="004D5AB1">
              <w:rPr>
                <w:sz w:val="24"/>
                <w:szCs w:val="24"/>
              </w:rPr>
              <w:t>309</w:t>
            </w:r>
          </w:p>
        </w:tc>
        <w:tc>
          <w:tcPr>
            <w:tcW w:w="682" w:type="pct"/>
            <w:tcBorders>
              <w:top w:val="single" w:sz="4" w:space="0" w:color="auto"/>
              <w:left w:val="single" w:sz="4" w:space="0" w:color="auto"/>
              <w:bottom w:val="single" w:sz="4" w:space="0" w:color="auto"/>
              <w:right w:val="single" w:sz="4" w:space="0" w:color="auto"/>
            </w:tcBorders>
            <w:vAlign w:val="bottom"/>
            <w:hideMark/>
          </w:tcPr>
          <w:p w14:paraId="20B61A83" w14:textId="77777777" w:rsidR="00CA5F71" w:rsidRPr="004D5AB1" w:rsidRDefault="00CA5F71">
            <w:pPr>
              <w:autoSpaceDE w:val="0"/>
              <w:autoSpaceDN w:val="0"/>
              <w:adjustRightInd w:val="0"/>
              <w:jc w:val="center"/>
              <w:rPr>
                <w:noProof/>
                <w:sz w:val="24"/>
                <w:szCs w:val="24"/>
                <w:u w:val="single"/>
              </w:rPr>
            </w:pPr>
            <w:r w:rsidRPr="004D5AB1">
              <w:rPr>
                <w:sz w:val="24"/>
                <w:szCs w:val="24"/>
              </w:rPr>
              <w:t>219</w:t>
            </w:r>
          </w:p>
        </w:tc>
        <w:tc>
          <w:tcPr>
            <w:tcW w:w="706" w:type="pct"/>
            <w:tcBorders>
              <w:top w:val="single" w:sz="4" w:space="0" w:color="auto"/>
              <w:left w:val="single" w:sz="4" w:space="0" w:color="auto"/>
              <w:bottom w:val="single" w:sz="4" w:space="0" w:color="auto"/>
              <w:right w:val="single" w:sz="4" w:space="0" w:color="auto"/>
            </w:tcBorders>
            <w:vAlign w:val="bottom"/>
            <w:hideMark/>
          </w:tcPr>
          <w:p w14:paraId="0523E7F7" w14:textId="77777777" w:rsidR="00CA5F71" w:rsidRPr="004D5AB1" w:rsidRDefault="00CA5F71">
            <w:pPr>
              <w:autoSpaceDE w:val="0"/>
              <w:autoSpaceDN w:val="0"/>
              <w:adjustRightInd w:val="0"/>
              <w:jc w:val="center"/>
              <w:rPr>
                <w:noProof/>
                <w:sz w:val="24"/>
                <w:szCs w:val="24"/>
                <w:u w:val="single"/>
              </w:rPr>
            </w:pPr>
            <w:r w:rsidRPr="004D5AB1">
              <w:rPr>
                <w:sz w:val="24"/>
                <w:szCs w:val="24"/>
              </w:rPr>
              <w:t>329</w:t>
            </w:r>
          </w:p>
        </w:tc>
        <w:tc>
          <w:tcPr>
            <w:tcW w:w="682" w:type="pct"/>
            <w:tcBorders>
              <w:top w:val="single" w:sz="4" w:space="0" w:color="auto"/>
              <w:left w:val="single" w:sz="4" w:space="0" w:color="auto"/>
              <w:bottom w:val="single" w:sz="4" w:space="0" w:color="auto"/>
              <w:right w:val="single" w:sz="4" w:space="0" w:color="auto"/>
            </w:tcBorders>
            <w:vAlign w:val="bottom"/>
            <w:hideMark/>
          </w:tcPr>
          <w:p w14:paraId="4D869013" w14:textId="77777777" w:rsidR="00CA5F71" w:rsidRPr="004D5AB1" w:rsidRDefault="00CA5F71">
            <w:pPr>
              <w:autoSpaceDE w:val="0"/>
              <w:autoSpaceDN w:val="0"/>
              <w:adjustRightInd w:val="0"/>
              <w:jc w:val="center"/>
              <w:rPr>
                <w:noProof/>
                <w:sz w:val="24"/>
                <w:szCs w:val="24"/>
                <w:u w:val="single"/>
              </w:rPr>
            </w:pPr>
            <w:r w:rsidRPr="004D5AB1">
              <w:rPr>
                <w:sz w:val="24"/>
                <w:szCs w:val="24"/>
              </w:rPr>
              <w:t>423</w:t>
            </w:r>
          </w:p>
        </w:tc>
        <w:tc>
          <w:tcPr>
            <w:tcW w:w="706" w:type="pct"/>
            <w:tcBorders>
              <w:top w:val="single" w:sz="4" w:space="0" w:color="auto"/>
              <w:left w:val="single" w:sz="4" w:space="0" w:color="auto"/>
              <w:bottom w:val="single" w:sz="4" w:space="0" w:color="auto"/>
              <w:right w:val="single" w:sz="4" w:space="0" w:color="auto"/>
            </w:tcBorders>
            <w:vAlign w:val="bottom"/>
            <w:hideMark/>
          </w:tcPr>
          <w:p w14:paraId="3E51FC39" w14:textId="77777777" w:rsidR="00CA5F71" w:rsidRPr="004D5AB1" w:rsidRDefault="00CA5F71">
            <w:pPr>
              <w:autoSpaceDE w:val="0"/>
              <w:autoSpaceDN w:val="0"/>
              <w:adjustRightInd w:val="0"/>
              <w:jc w:val="center"/>
              <w:rPr>
                <w:noProof/>
                <w:sz w:val="24"/>
                <w:szCs w:val="24"/>
                <w:u w:val="single"/>
              </w:rPr>
            </w:pPr>
            <w:r w:rsidRPr="004D5AB1">
              <w:rPr>
                <w:sz w:val="24"/>
                <w:szCs w:val="24"/>
              </w:rPr>
              <w:t>638</w:t>
            </w:r>
          </w:p>
        </w:tc>
      </w:tr>
      <w:tr w:rsidR="00CA5F71" w:rsidRPr="004D5AB1" w14:paraId="18C1FE17"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812FD92" w14:textId="77777777" w:rsidR="00CA5F71" w:rsidRPr="004D5AB1" w:rsidRDefault="00CA5F71">
            <w:pPr>
              <w:autoSpaceDE w:val="0"/>
              <w:autoSpaceDN w:val="0"/>
              <w:adjustRightInd w:val="0"/>
              <w:rPr>
                <w:noProof/>
                <w:sz w:val="24"/>
                <w:szCs w:val="24"/>
              </w:rPr>
            </w:pPr>
            <w:r w:rsidRPr="004D5AB1">
              <w:rPr>
                <w:noProof/>
                <w:sz w:val="24"/>
                <w:szCs w:val="24"/>
              </w:rPr>
              <w:t>Grad</w:t>
            </w:r>
            <w:r w:rsidRPr="004D5AB1">
              <w:rPr>
                <w:noProof/>
                <w:sz w:val="24"/>
                <w:szCs w:val="24"/>
                <w:vertAlign w:val="superscript"/>
              </w:rPr>
              <w:t>1</w:t>
            </w:r>
            <w:r w:rsidRPr="004D5AB1">
              <w:rPr>
                <w:noProof/>
                <w:sz w:val="24"/>
                <w:szCs w:val="24"/>
              </w:rPr>
              <w:t xml:space="preserve"> (SE) af forværring i 52 uger</w:t>
            </w:r>
          </w:p>
        </w:tc>
        <w:tc>
          <w:tcPr>
            <w:tcW w:w="682" w:type="pct"/>
            <w:tcBorders>
              <w:top w:val="single" w:sz="4" w:space="0" w:color="auto"/>
              <w:left w:val="single" w:sz="4" w:space="0" w:color="auto"/>
              <w:bottom w:val="single" w:sz="4" w:space="0" w:color="auto"/>
              <w:right w:val="single" w:sz="4" w:space="0" w:color="auto"/>
            </w:tcBorders>
            <w:vAlign w:val="bottom"/>
            <w:hideMark/>
          </w:tcPr>
          <w:p w14:paraId="2B9677AC" w14:textId="77777777" w:rsidR="00CA5F71" w:rsidRPr="004D5AB1" w:rsidRDefault="00CA5F71">
            <w:pPr>
              <w:autoSpaceDE w:val="0"/>
              <w:autoSpaceDN w:val="0"/>
              <w:adjustRightInd w:val="0"/>
              <w:jc w:val="center"/>
              <w:rPr>
                <w:noProof/>
                <w:sz w:val="24"/>
                <w:szCs w:val="24"/>
                <w:u w:val="single"/>
              </w:rPr>
            </w:pPr>
            <w:r w:rsidRPr="004D5AB1">
              <w:rPr>
                <w:sz w:val="24"/>
                <w:szCs w:val="24"/>
              </w:rPr>
              <w:t>-239,9 (18,71)</w:t>
            </w:r>
          </w:p>
        </w:tc>
        <w:tc>
          <w:tcPr>
            <w:tcW w:w="706" w:type="pct"/>
            <w:tcBorders>
              <w:top w:val="single" w:sz="4" w:space="0" w:color="auto"/>
              <w:left w:val="single" w:sz="4" w:space="0" w:color="auto"/>
              <w:bottom w:val="single" w:sz="4" w:space="0" w:color="auto"/>
              <w:right w:val="single" w:sz="4" w:space="0" w:color="auto"/>
            </w:tcBorders>
            <w:vAlign w:val="bottom"/>
            <w:hideMark/>
          </w:tcPr>
          <w:p w14:paraId="4679CCB6" w14:textId="77777777" w:rsidR="00CA5F71" w:rsidRPr="004D5AB1" w:rsidRDefault="00CA5F71">
            <w:pPr>
              <w:autoSpaceDE w:val="0"/>
              <w:autoSpaceDN w:val="0"/>
              <w:adjustRightInd w:val="0"/>
              <w:jc w:val="center"/>
              <w:rPr>
                <w:noProof/>
                <w:sz w:val="24"/>
                <w:szCs w:val="24"/>
                <w:u w:val="single"/>
              </w:rPr>
            </w:pPr>
            <w:r w:rsidRPr="004D5AB1">
              <w:rPr>
                <w:sz w:val="24"/>
                <w:szCs w:val="24"/>
              </w:rPr>
              <w:t>-114,7 (15,33)</w:t>
            </w:r>
          </w:p>
        </w:tc>
        <w:tc>
          <w:tcPr>
            <w:tcW w:w="682" w:type="pct"/>
            <w:tcBorders>
              <w:top w:val="single" w:sz="4" w:space="0" w:color="auto"/>
              <w:left w:val="single" w:sz="4" w:space="0" w:color="auto"/>
              <w:bottom w:val="single" w:sz="4" w:space="0" w:color="auto"/>
              <w:right w:val="single" w:sz="4" w:space="0" w:color="auto"/>
            </w:tcBorders>
            <w:vAlign w:val="bottom"/>
            <w:hideMark/>
          </w:tcPr>
          <w:p w14:paraId="49AF4A0B" w14:textId="77777777" w:rsidR="00CA5F71" w:rsidRPr="004D5AB1" w:rsidRDefault="00CA5F71">
            <w:pPr>
              <w:autoSpaceDE w:val="0"/>
              <w:autoSpaceDN w:val="0"/>
              <w:adjustRightInd w:val="0"/>
              <w:jc w:val="center"/>
              <w:rPr>
                <w:noProof/>
                <w:sz w:val="24"/>
                <w:szCs w:val="24"/>
                <w:u w:val="single"/>
              </w:rPr>
            </w:pPr>
            <w:r w:rsidRPr="004D5AB1">
              <w:rPr>
                <w:sz w:val="24"/>
                <w:szCs w:val="24"/>
              </w:rPr>
              <w:t>-207,3 (19,31)</w:t>
            </w:r>
          </w:p>
        </w:tc>
        <w:tc>
          <w:tcPr>
            <w:tcW w:w="706" w:type="pct"/>
            <w:tcBorders>
              <w:top w:val="single" w:sz="4" w:space="0" w:color="auto"/>
              <w:left w:val="single" w:sz="4" w:space="0" w:color="auto"/>
              <w:bottom w:val="single" w:sz="4" w:space="0" w:color="auto"/>
              <w:right w:val="single" w:sz="4" w:space="0" w:color="auto"/>
            </w:tcBorders>
            <w:vAlign w:val="bottom"/>
            <w:hideMark/>
          </w:tcPr>
          <w:p w14:paraId="64B85F5C" w14:textId="77777777" w:rsidR="00CA5F71" w:rsidRPr="004D5AB1" w:rsidRDefault="00CA5F71">
            <w:pPr>
              <w:autoSpaceDE w:val="0"/>
              <w:autoSpaceDN w:val="0"/>
              <w:adjustRightInd w:val="0"/>
              <w:jc w:val="center"/>
              <w:rPr>
                <w:noProof/>
                <w:sz w:val="24"/>
                <w:szCs w:val="24"/>
                <w:u w:val="single"/>
              </w:rPr>
            </w:pPr>
            <w:r w:rsidRPr="004D5AB1">
              <w:rPr>
                <w:sz w:val="24"/>
                <w:szCs w:val="24"/>
              </w:rPr>
              <w:t>-113,6 (15,73)</w:t>
            </w:r>
          </w:p>
        </w:tc>
        <w:tc>
          <w:tcPr>
            <w:tcW w:w="682" w:type="pct"/>
            <w:tcBorders>
              <w:top w:val="single" w:sz="4" w:space="0" w:color="auto"/>
              <w:left w:val="single" w:sz="4" w:space="0" w:color="auto"/>
              <w:bottom w:val="single" w:sz="4" w:space="0" w:color="auto"/>
              <w:right w:val="single" w:sz="4" w:space="0" w:color="auto"/>
            </w:tcBorders>
            <w:vAlign w:val="bottom"/>
            <w:hideMark/>
          </w:tcPr>
          <w:p w14:paraId="102F44AF" w14:textId="77777777" w:rsidR="00CA5F71" w:rsidRPr="004D5AB1" w:rsidRDefault="00CA5F71">
            <w:pPr>
              <w:autoSpaceDE w:val="0"/>
              <w:autoSpaceDN w:val="0"/>
              <w:adjustRightInd w:val="0"/>
              <w:jc w:val="center"/>
              <w:rPr>
                <w:noProof/>
                <w:sz w:val="24"/>
                <w:szCs w:val="24"/>
                <w:u w:val="single"/>
              </w:rPr>
            </w:pPr>
            <w:r w:rsidRPr="004D5AB1">
              <w:rPr>
                <w:sz w:val="24"/>
                <w:szCs w:val="24"/>
              </w:rPr>
              <w:t>-223,5 (13,45)</w:t>
            </w:r>
          </w:p>
        </w:tc>
        <w:tc>
          <w:tcPr>
            <w:tcW w:w="706" w:type="pct"/>
            <w:tcBorders>
              <w:top w:val="single" w:sz="4" w:space="0" w:color="auto"/>
              <w:left w:val="single" w:sz="4" w:space="0" w:color="auto"/>
              <w:bottom w:val="single" w:sz="4" w:space="0" w:color="auto"/>
              <w:right w:val="single" w:sz="4" w:space="0" w:color="auto"/>
            </w:tcBorders>
            <w:vAlign w:val="bottom"/>
            <w:hideMark/>
          </w:tcPr>
          <w:p w14:paraId="006AB582" w14:textId="77777777" w:rsidR="00CA5F71" w:rsidRPr="004D5AB1" w:rsidRDefault="00CA5F71">
            <w:pPr>
              <w:autoSpaceDE w:val="0"/>
              <w:autoSpaceDN w:val="0"/>
              <w:adjustRightInd w:val="0"/>
              <w:jc w:val="center"/>
              <w:rPr>
                <w:noProof/>
                <w:sz w:val="24"/>
                <w:szCs w:val="24"/>
                <w:u w:val="single"/>
              </w:rPr>
            </w:pPr>
            <w:r w:rsidRPr="004D5AB1">
              <w:rPr>
                <w:sz w:val="24"/>
                <w:szCs w:val="24"/>
              </w:rPr>
              <w:t>-113,6 (10,98)</w:t>
            </w:r>
          </w:p>
        </w:tc>
      </w:tr>
      <w:tr w:rsidR="00CA5F71" w:rsidRPr="004D5AB1" w14:paraId="042D1BB7"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653D853B" w14:textId="77777777" w:rsidR="00CA5F71" w:rsidRPr="004D5AB1" w:rsidRDefault="00CA5F71">
            <w:pPr>
              <w:autoSpaceDE w:val="0"/>
              <w:autoSpaceDN w:val="0"/>
              <w:adjustRightInd w:val="0"/>
              <w:rPr>
                <w:noProof/>
                <w:sz w:val="24"/>
                <w:szCs w:val="24"/>
                <w:u w:val="single"/>
              </w:rPr>
            </w:pPr>
            <w:r w:rsidRPr="004D5AB1">
              <w:rPr>
                <w:noProof/>
                <w:sz w:val="24"/>
                <w:szCs w:val="24"/>
              </w:rPr>
              <w:t>Sammenlignet med placebo</w:t>
            </w:r>
          </w:p>
        </w:tc>
      </w:tr>
      <w:tr w:rsidR="00CA5F71" w:rsidRPr="004D5AB1" w14:paraId="0154D96D"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518CED3B" w14:textId="77777777" w:rsidR="00CA5F71" w:rsidRPr="004D5AB1" w:rsidRDefault="00CA5F71">
            <w:pPr>
              <w:autoSpaceDE w:val="0"/>
              <w:autoSpaceDN w:val="0"/>
              <w:adjustRightInd w:val="0"/>
              <w:rPr>
                <w:noProof/>
                <w:sz w:val="24"/>
                <w:szCs w:val="24"/>
              </w:rPr>
            </w:pPr>
            <w:r w:rsidRPr="004D5AB1">
              <w:rPr>
                <w:noProof/>
                <w:sz w:val="24"/>
                <w:szCs w:val="24"/>
              </w:rPr>
              <w:t>Forskel</w:t>
            </w:r>
          </w:p>
        </w:tc>
        <w:tc>
          <w:tcPr>
            <w:tcW w:w="682" w:type="pct"/>
            <w:tcBorders>
              <w:top w:val="single" w:sz="4" w:space="0" w:color="auto"/>
              <w:left w:val="single" w:sz="4" w:space="0" w:color="auto"/>
              <w:bottom w:val="single" w:sz="4" w:space="0" w:color="auto"/>
              <w:right w:val="single" w:sz="4" w:space="0" w:color="auto"/>
            </w:tcBorders>
          </w:tcPr>
          <w:p w14:paraId="2675E1A7"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35E88C1" w14:textId="77777777" w:rsidR="00CA5F71" w:rsidRPr="004D5AB1" w:rsidRDefault="00CA5F71">
            <w:pPr>
              <w:autoSpaceDE w:val="0"/>
              <w:autoSpaceDN w:val="0"/>
              <w:adjustRightInd w:val="0"/>
              <w:jc w:val="center"/>
              <w:rPr>
                <w:noProof/>
                <w:sz w:val="24"/>
                <w:szCs w:val="24"/>
                <w:u w:val="single"/>
              </w:rPr>
            </w:pPr>
            <w:r w:rsidRPr="004D5AB1">
              <w:rPr>
                <w:sz w:val="24"/>
                <w:szCs w:val="24"/>
              </w:rPr>
              <w:t>125,3</w:t>
            </w:r>
          </w:p>
        </w:tc>
        <w:tc>
          <w:tcPr>
            <w:tcW w:w="682" w:type="pct"/>
            <w:tcBorders>
              <w:top w:val="single" w:sz="4" w:space="0" w:color="auto"/>
              <w:left w:val="single" w:sz="4" w:space="0" w:color="auto"/>
              <w:bottom w:val="single" w:sz="4" w:space="0" w:color="auto"/>
              <w:right w:val="single" w:sz="4" w:space="0" w:color="auto"/>
            </w:tcBorders>
            <w:vAlign w:val="center"/>
          </w:tcPr>
          <w:p w14:paraId="2CB119B9"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21349E3C" w14:textId="77777777" w:rsidR="00CA5F71" w:rsidRPr="004D5AB1" w:rsidRDefault="00CA5F71">
            <w:pPr>
              <w:autoSpaceDE w:val="0"/>
              <w:autoSpaceDN w:val="0"/>
              <w:adjustRightInd w:val="0"/>
              <w:jc w:val="center"/>
              <w:rPr>
                <w:noProof/>
                <w:sz w:val="24"/>
                <w:szCs w:val="24"/>
                <w:u w:val="single"/>
              </w:rPr>
            </w:pPr>
            <w:r w:rsidRPr="004D5AB1">
              <w:rPr>
                <w:sz w:val="24"/>
                <w:szCs w:val="24"/>
              </w:rPr>
              <w:t>93,7</w:t>
            </w:r>
          </w:p>
        </w:tc>
        <w:tc>
          <w:tcPr>
            <w:tcW w:w="682" w:type="pct"/>
            <w:tcBorders>
              <w:top w:val="single" w:sz="4" w:space="0" w:color="auto"/>
              <w:left w:val="single" w:sz="4" w:space="0" w:color="auto"/>
              <w:bottom w:val="single" w:sz="4" w:space="0" w:color="auto"/>
              <w:right w:val="single" w:sz="4" w:space="0" w:color="auto"/>
            </w:tcBorders>
            <w:vAlign w:val="center"/>
          </w:tcPr>
          <w:p w14:paraId="7AA716F8"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7292A9E" w14:textId="77777777" w:rsidR="00CA5F71" w:rsidRPr="004D5AB1" w:rsidRDefault="00CA5F71">
            <w:pPr>
              <w:autoSpaceDE w:val="0"/>
              <w:autoSpaceDN w:val="0"/>
              <w:adjustRightInd w:val="0"/>
              <w:jc w:val="center"/>
              <w:rPr>
                <w:noProof/>
                <w:sz w:val="24"/>
                <w:szCs w:val="24"/>
                <w:u w:val="single"/>
              </w:rPr>
            </w:pPr>
            <w:r w:rsidRPr="004D5AB1">
              <w:rPr>
                <w:sz w:val="24"/>
                <w:szCs w:val="24"/>
              </w:rPr>
              <w:t>109,9</w:t>
            </w:r>
          </w:p>
        </w:tc>
      </w:tr>
      <w:tr w:rsidR="00CA5F71" w:rsidRPr="004D5AB1" w14:paraId="5BB750E7"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2F25DEF9" w14:textId="77777777" w:rsidR="00CA5F71" w:rsidRPr="004D5AB1" w:rsidRDefault="00CA5F71">
            <w:pPr>
              <w:autoSpaceDE w:val="0"/>
              <w:autoSpaceDN w:val="0"/>
              <w:adjustRightInd w:val="0"/>
              <w:rPr>
                <w:noProof/>
                <w:sz w:val="24"/>
                <w:szCs w:val="24"/>
              </w:rPr>
            </w:pPr>
            <w:r w:rsidRPr="004D5AB1">
              <w:rPr>
                <w:sz w:val="24"/>
                <w:szCs w:val="24"/>
              </w:rPr>
              <w:t>95 % CI</w:t>
            </w:r>
          </w:p>
        </w:tc>
        <w:tc>
          <w:tcPr>
            <w:tcW w:w="682" w:type="pct"/>
            <w:tcBorders>
              <w:top w:val="single" w:sz="4" w:space="0" w:color="auto"/>
              <w:left w:val="single" w:sz="4" w:space="0" w:color="auto"/>
              <w:bottom w:val="single" w:sz="4" w:space="0" w:color="auto"/>
              <w:right w:val="single" w:sz="4" w:space="0" w:color="auto"/>
            </w:tcBorders>
          </w:tcPr>
          <w:p w14:paraId="5AE7CF06"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9FDF2FC" w14:textId="77777777" w:rsidR="00CA5F71" w:rsidRPr="004D5AB1" w:rsidRDefault="00CA5F71">
            <w:pPr>
              <w:autoSpaceDE w:val="0"/>
              <w:autoSpaceDN w:val="0"/>
              <w:adjustRightInd w:val="0"/>
              <w:jc w:val="center"/>
              <w:rPr>
                <w:sz w:val="24"/>
                <w:szCs w:val="24"/>
              </w:rPr>
            </w:pPr>
            <w:r w:rsidRPr="004D5AB1">
              <w:rPr>
                <w:sz w:val="24"/>
                <w:szCs w:val="24"/>
              </w:rPr>
              <w:t>(77,7; 172,8)</w:t>
            </w:r>
          </w:p>
        </w:tc>
        <w:tc>
          <w:tcPr>
            <w:tcW w:w="682" w:type="pct"/>
            <w:tcBorders>
              <w:top w:val="single" w:sz="4" w:space="0" w:color="auto"/>
              <w:left w:val="single" w:sz="4" w:space="0" w:color="auto"/>
              <w:bottom w:val="single" w:sz="4" w:space="0" w:color="auto"/>
              <w:right w:val="single" w:sz="4" w:space="0" w:color="auto"/>
            </w:tcBorders>
            <w:vAlign w:val="center"/>
          </w:tcPr>
          <w:p w14:paraId="6E5F6896"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5D3C47CA" w14:textId="77777777" w:rsidR="00CA5F71" w:rsidRPr="004D5AB1" w:rsidRDefault="00CA5F71">
            <w:pPr>
              <w:autoSpaceDE w:val="0"/>
              <w:autoSpaceDN w:val="0"/>
              <w:adjustRightInd w:val="0"/>
              <w:jc w:val="center"/>
              <w:rPr>
                <w:sz w:val="24"/>
                <w:szCs w:val="24"/>
              </w:rPr>
            </w:pPr>
            <w:r w:rsidRPr="004D5AB1">
              <w:rPr>
                <w:sz w:val="24"/>
                <w:szCs w:val="24"/>
              </w:rPr>
              <w:t>(44,8; 142,7)</w:t>
            </w:r>
          </w:p>
        </w:tc>
        <w:tc>
          <w:tcPr>
            <w:tcW w:w="682" w:type="pct"/>
            <w:tcBorders>
              <w:top w:val="single" w:sz="4" w:space="0" w:color="auto"/>
              <w:left w:val="single" w:sz="4" w:space="0" w:color="auto"/>
              <w:bottom w:val="single" w:sz="4" w:space="0" w:color="auto"/>
              <w:right w:val="single" w:sz="4" w:space="0" w:color="auto"/>
            </w:tcBorders>
            <w:vAlign w:val="center"/>
          </w:tcPr>
          <w:p w14:paraId="6C9AEF9D"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EE75512" w14:textId="77777777" w:rsidR="00CA5F71" w:rsidRPr="004D5AB1" w:rsidRDefault="00CA5F71">
            <w:pPr>
              <w:autoSpaceDE w:val="0"/>
              <w:autoSpaceDN w:val="0"/>
              <w:adjustRightInd w:val="0"/>
              <w:jc w:val="center"/>
              <w:rPr>
                <w:sz w:val="24"/>
                <w:szCs w:val="24"/>
              </w:rPr>
            </w:pPr>
            <w:r w:rsidRPr="004D5AB1">
              <w:rPr>
                <w:sz w:val="24"/>
                <w:szCs w:val="24"/>
              </w:rPr>
              <w:t>(75,9; 144,0)</w:t>
            </w:r>
          </w:p>
        </w:tc>
      </w:tr>
      <w:tr w:rsidR="00CA5F71" w:rsidRPr="004D5AB1" w14:paraId="5913FEE7"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22A7A50E" w14:textId="77777777" w:rsidR="00CA5F71" w:rsidRPr="004D5AB1" w:rsidRDefault="00CA5F71">
            <w:pPr>
              <w:autoSpaceDE w:val="0"/>
              <w:autoSpaceDN w:val="0"/>
              <w:adjustRightInd w:val="0"/>
              <w:rPr>
                <w:noProof/>
                <w:sz w:val="24"/>
                <w:szCs w:val="24"/>
              </w:rPr>
            </w:pPr>
            <w:proofErr w:type="spellStart"/>
            <w:r w:rsidRPr="004D5AB1">
              <w:rPr>
                <w:sz w:val="24"/>
                <w:szCs w:val="24"/>
              </w:rPr>
              <w:t>p-værdi</w:t>
            </w:r>
            <w:proofErr w:type="spellEnd"/>
          </w:p>
        </w:tc>
        <w:tc>
          <w:tcPr>
            <w:tcW w:w="682" w:type="pct"/>
            <w:tcBorders>
              <w:top w:val="single" w:sz="4" w:space="0" w:color="auto"/>
              <w:left w:val="single" w:sz="4" w:space="0" w:color="auto"/>
              <w:bottom w:val="single" w:sz="4" w:space="0" w:color="auto"/>
              <w:right w:val="single" w:sz="4" w:space="0" w:color="auto"/>
            </w:tcBorders>
          </w:tcPr>
          <w:p w14:paraId="1473DC96"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3BE21972" w14:textId="77777777" w:rsidR="00CA5F71" w:rsidRPr="004D5AB1" w:rsidRDefault="00CA5F71">
            <w:pPr>
              <w:autoSpaceDE w:val="0"/>
              <w:autoSpaceDN w:val="0"/>
              <w:adjustRightInd w:val="0"/>
              <w:jc w:val="center"/>
              <w:rPr>
                <w:sz w:val="24"/>
                <w:szCs w:val="24"/>
              </w:rPr>
            </w:pPr>
            <w:r w:rsidRPr="004D5AB1">
              <w:rPr>
                <w:sz w:val="24"/>
                <w:szCs w:val="24"/>
              </w:rPr>
              <w:t>&lt;0,0001</w:t>
            </w:r>
          </w:p>
        </w:tc>
        <w:tc>
          <w:tcPr>
            <w:tcW w:w="682" w:type="pct"/>
            <w:tcBorders>
              <w:top w:val="single" w:sz="4" w:space="0" w:color="auto"/>
              <w:left w:val="single" w:sz="4" w:space="0" w:color="auto"/>
              <w:bottom w:val="single" w:sz="4" w:space="0" w:color="auto"/>
              <w:right w:val="single" w:sz="4" w:space="0" w:color="auto"/>
            </w:tcBorders>
            <w:vAlign w:val="center"/>
          </w:tcPr>
          <w:p w14:paraId="6BF6F1AB"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BA2235B" w14:textId="77777777" w:rsidR="00CA5F71" w:rsidRPr="004D5AB1" w:rsidRDefault="00CA5F71">
            <w:pPr>
              <w:autoSpaceDE w:val="0"/>
              <w:autoSpaceDN w:val="0"/>
              <w:adjustRightInd w:val="0"/>
              <w:jc w:val="center"/>
              <w:rPr>
                <w:sz w:val="24"/>
                <w:szCs w:val="24"/>
              </w:rPr>
            </w:pPr>
            <w:r w:rsidRPr="004D5AB1">
              <w:rPr>
                <w:sz w:val="24"/>
                <w:szCs w:val="24"/>
              </w:rPr>
              <w:t>0,0002</w:t>
            </w:r>
          </w:p>
        </w:tc>
        <w:tc>
          <w:tcPr>
            <w:tcW w:w="682" w:type="pct"/>
            <w:tcBorders>
              <w:top w:val="single" w:sz="4" w:space="0" w:color="auto"/>
              <w:left w:val="single" w:sz="4" w:space="0" w:color="auto"/>
              <w:bottom w:val="single" w:sz="4" w:space="0" w:color="auto"/>
              <w:right w:val="single" w:sz="4" w:space="0" w:color="auto"/>
            </w:tcBorders>
            <w:vAlign w:val="center"/>
          </w:tcPr>
          <w:p w14:paraId="16334C2D"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8FE2666" w14:textId="77777777" w:rsidR="00CA5F71" w:rsidRPr="004D5AB1" w:rsidRDefault="00CA5F71">
            <w:pPr>
              <w:autoSpaceDE w:val="0"/>
              <w:autoSpaceDN w:val="0"/>
              <w:adjustRightInd w:val="0"/>
              <w:jc w:val="center"/>
              <w:rPr>
                <w:sz w:val="24"/>
                <w:szCs w:val="24"/>
              </w:rPr>
            </w:pPr>
            <w:r w:rsidRPr="004D5AB1">
              <w:rPr>
                <w:sz w:val="24"/>
                <w:szCs w:val="24"/>
              </w:rPr>
              <w:t>&lt;0,0001</w:t>
            </w:r>
          </w:p>
        </w:tc>
      </w:tr>
    </w:tbl>
    <w:p w14:paraId="6F26DAAD"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Estimat baseret på en tilfældig koefficientregressionsmodel.</w:t>
      </w:r>
    </w:p>
    <w:p w14:paraId="40A01B3B" w14:textId="77777777" w:rsidR="00CA5F71" w:rsidRPr="0099618E" w:rsidRDefault="00CA5F71" w:rsidP="00CA5F71">
      <w:pPr>
        <w:autoSpaceDE w:val="0"/>
        <w:autoSpaceDN w:val="0"/>
        <w:adjustRightInd w:val="0"/>
        <w:rPr>
          <w:sz w:val="20"/>
        </w:rPr>
      </w:pPr>
      <w:r w:rsidRPr="0099618E">
        <w:rPr>
          <w:sz w:val="20"/>
        </w:rPr>
        <w:t>CI: konfidensinterval</w:t>
      </w:r>
    </w:p>
    <w:p w14:paraId="59416DFD" w14:textId="77777777" w:rsidR="00CA5F71" w:rsidRPr="004D5AB1" w:rsidRDefault="00CA5F71" w:rsidP="00CA5F71">
      <w:pPr>
        <w:suppressAutoHyphens/>
        <w:rPr>
          <w:bCs/>
          <w:noProof/>
          <w:sz w:val="24"/>
          <w:szCs w:val="24"/>
        </w:rPr>
      </w:pPr>
    </w:p>
    <w:p w14:paraId="3E256EA8" w14:textId="4D7651EE" w:rsidR="00CA5F71" w:rsidRPr="004D5AB1" w:rsidRDefault="00CA5F71" w:rsidP="0015226E">
      <w:pPr>
        <w:suppressAutoHyphens/>
        <w:ind w:left="851"/>
        <w:rPr>
          <w:bCs/>
          <w:noProof/>
          <w:sz w:val="24"/>
          <w:szCs w:val="24"/>
        </w:rPr>
      </w:pPr>
      <w:r w:rsidRPr="004D5AB1">
        <w:rPr>
          <w:bCs/>
          <w:noProof/>
          <w:sz w:val="24"/>
          <w:szCs w:val="24"/>
        </w:rPr>
        <w:t>I en sensitivitetsanalyse, der antog, at faldet i FVC efter den sidst observerede værdi hos patienter med manglende data ved uge 52 ville være sammenligneligt med værdierne, der fandtes hos alle patienter i placebogruppen, var den justerede forskel i den årlige faldrate mellem nintedanib og placebo 113,9 ml/år (95 % CI 69,2; 158,5) i INPULSIS-1 og 83,3</w:t>
      </w:r>
      <w:r w:rsidR="005F0117">
        <w:rPr>
          <w:bCs/>
          <w:noProof/>
          <w:sz w:val="24"/>
          <w:szCs w:val="24"/>
        </w:rPr>
        <w:t> </w:t>
      </w:r>
      <w:r w:rsidRPr="004D5AB1">
        <w:rPr>
          <w:bCs/>
          <w:noProof/>
          <w:sz w:val="24"/>
          <w:szCs w:val="24"/>
        </w:rPr>
        <w:t>ml/år (95 % CI 37,6; 129,0) i INPULSIS-2.</w:t>
      </w:r>
    </w:p>
    <w:p w14:paraId="3D130483" w14:textId="77777777" w:rsidR="00CA5F71" w:rsidRPr="004D5AB1" w:rsidRDefault="00CA5F71" w:rsidP="0015226E">
      <w:pPr>
        <w:suppressAutoHyphens/>
        <w:ind w:left="851"/>
        <w:rPr>
          <w:bCs/>
          <w:noProof/>
          <w:sz w:val="24"/>
          <w:szCs w:val="24"/>
        </w:rPr>
      </w:pPr>
    </w:p>
    <w:p w14:paraId="1DA0FB7F" w14:textId="77777777" w:rsidR="00CA5F71" w:rsidRPr="004D5AB1" w:rsidRDefault="00CA5F71" w:rsidP="0015226E">
      <w:pPr>
        <w:suppressAutoHyphens/>
        <w:ind w:left="851"/>
        <w:rPr>
          <w:bCs/>
          <w:noProof/>
          <w:sz w:val="24"/>
          <w:szCs w:val="24"/>
        </w:rPr>
      </w:pPr>
      <w:r w:rsidRPr="004D5AB1">
        <w:rPr>
          <w:bCs/>
          <w:noProof/>
          <w:sz w:val="24"/>
          <w:szCs w:val="24"/>
        </w:rPr>
        <w:t xml:space="preserve">Se Figur 1 for udvikling i ændringen over tid fra </w:t>
      </w:r>
      <w:r w:rsidRPr="004D5AB1">
        <w:rPr>
          <w:bCs/>
          <w:i/>
          <w:iCs/>
          <w:noProof/>
          <w:sz w:val="24"/>
          <w:szCs w:val="24"/>
        </w:rPr>
        <w:t xml:space="preserve">baseline </w:t>
      </w:r>
      <w:r w:rsidRPr="004D5AB1">
        <w:rPr>
          <w:bCs/>
          <w:noProof/>
          <w:sz w:val="24"/>
          <w:szCs w:val="24"/>
        </w:rPr>
        <w:t>i de 2 behandlingsgrupper, baseret på den samlede analyse af studierne INPULSIS-1 og INPULSIS-2.</w:t>
      </w:r>
    </w:p>
    <w:p w14:paraId="43DCEBD0" w14:textId="77777777" w:rsidR="00CA5F71" w:rsidRPr="004D5AB1" w:rsidRDefault="00CA5F71" w:rsidP="0015226E">
      <w:pPr>
        <w:suppressAutoHyphens/>
        <w:ind w:left="851"/>
        <w:rPr>
          <w:bCs/>
          <w:noProof/>
          <w:sz w:val="24"/>
          <w:szCs w:val="24"/>
        </w:rPr>
      </w:pPr>
    </w:p>
    <w:p w14:paraId="0D4F58A4" w14:textId="77777777" w:rsidR="00CA5F71" w:rsidRPr="004D5AB1" w:rsidRDefault="00CA5F71" w:rsidP="0099618E">
      <w:pPr>
        <w:keepNext/>
        <w:suppressAutoHyphens/>
        <w:ind w:left="1440" w:hanging="1440"/>
        <w:rPr>
          <w:sz w:val="24"/>
          <w:szCs w:val="24"/>
        </w:rPr>
      </w:pPr>
      <w:r w:rsidRPr="004D5AB1">
        <w:rPr>
          <w:b/>
          <w:noProof/>
          <w:sz w:val="24"/>
          <w:szCs w:val="24"/>
        </w:rPr>
        <w:lastRenderedPageBreak/>
        <w:t xml:space="preserve">Figur 1: </w:t>
      </w:r>
      <w:r w:rsidRPr="004D5AB1">
        <w:rPr>
          <w:b/>
          <w:noProof/>
          <w:sz w:val="24"/>
          <w:szCs w:val="24"/>
        </w:rPr>
        <w:tab/>
        <w:t xml:space="preserve">Middelværdi for observeret ændring i FVC over tid fra </w:t>
      </w:r>
      <w:r w:rsidRPr="004D5AB1">
        <w:rPr>
          <w:b/>
          <w:i/>
          <w:iCs/>
          <w:noProof/>
          <w:sz w:val="24"/>
          <w:szCs w:val="24"/>
        </w:rPr>
        <w:t xml:space="preserve">baseline </w:t>
      </w:r>
      <w:r w:rsidRPr="004D5AB1">
        <w:rPr>
          <w:b/>
          <w:noProof/>
          <w:sz w:val="24"/>
          <w:szCs w:val="24"/>
        </w:rPr>
        <w:t>(ml), samlet for studierne INPULSIS-1 og INPULSIS-2</w:t>
      </w:r>
    </w:p>
    <w:p w14:paraId="38084965" w14:textId="77777777" w:rsidR="00CA5F71" w:rsidRPr="004D5AB1" w:rsidRDefault="00CA5F71" w:rsidP="0099618E">
      <w:pPr>
        <w:keepNext/>
        <w:autoSpaceDE w:val="0"/>
        <w:autoSpaceDN w:val="0"/>
        <w:adjustRightInd w:val="0"/>
        <w:ind w:left="1134" w:hanging="1134"/>
        <w:rPr>
          <w:b/>
          <w:sz w:val="24"/>
          <w:szCs w:val="24"/>
        </w:rPr>
      </w:pPr>
    </w:p>
    <w:p w14:paraId="30F47BE9" w14:textId="5DBD63A1" w:rsidR="00CA5F71" w:rsidRPr="004D5AB1" w:rsidRDefault="00CA5F71" w:rsidP="0099618E">
      <w:pPr>
        <w:keepNext/>
        <w:autoSpaceDE w:val="0"/>
        <w:autoSpaceDN w:val="0"/>
        <w:adjustRightInd w:val="0"/>
        <w:rPr>
          <w:sz w:val="24"/>
          <w:szCs w:val="24"/>
        </w:rPr>
      </w:pPr>
      <w:r w:rsidRPr="004D5AB1">
        <w:rPr>
          <w:noProof/>
          <w:sz w:val="24"/>
          <w:szCs w:val="24"/>
        </w:rPr>
        <w:drawing>
          <wp:inline distT="0" distB="0" distL="0" distR="0" wp14:anchorId="178B8CCC" wp14:editId="42B6112B">
            <wp:extent cx="5753100" cy="3543300"/>
            <wp:effectExtent l="0" t="0" r="0" b="0"/>
            <wp:docPr id="6" name="Billede 6" descr="A graph of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of a number of number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2E4279C7" w14:textId="77777777" w:rsidR="00CA5F71" w:rsidRPr="0099618E" w:rsidRDefault="00CA5F71" w:rsidP="0099618E">
      <w:pPr>
        <w:keepNext/>
        <w:autoSpaceDE w:val="0"/>
        <w:autoSpaceDN w:val="0"/>
        <w:adjustRightInd w:val="0"/>
        <w:rPr>
          <w:sz w:val="20"/>
        </w:rPr>
      </w:pPr>
      <w:r w:rsidRPr="0099618E">
        <w:rPr>
          <w:sz w:val="20"/>
        </w:rPr>
        <w:t>bid = to gange dagligt</w:t>
      </w:r>
    </w:p>
    <w:p w14:paraId="4746A2DB" w14:textId="77777777" w:rsidR="00CA5F71" w:rsidRPr="004D5AB1" w:rsidRDefault="00CA5F71" w:rsidP="00CA5F71">
      <w:pPr>
        <w:suppressAutoHyphens/>
        <w:rPr>
          <w:bCs/>
          <w:noProof/>
          <w:sz w:val="24"/>
          <w:szCs w:val="24"/>
        </w:rPr>
      </w:pPr>
    </w:p>
    <w:p w14:paraId="7BE2840C"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FVC-responder-analyse</w:t>
      </w:r>
    </w:p>
    <w:p w14:paraId="3BF0AE0E" w14:textId="77777777" w:rsidR="00CA5F71" w:rsidRPr="004D5AB1" w:rsidRDefault="00CA5F71" w:rsidP="0015226E">
      <w:pPr>
        <w:suppressAutoHyphens/>
        <w:ind w:left="851"/>
        <w:rPr>
          <w:bCs/>
          <w:noProof/>
          <w:sz w:val="24"/>
          <w:szCs w:val="24"/>
        </w:rPr>
      </w:pPr>
      <w:r w:rsidRPr="004D5AB1">
        <w:rPr>
          <w:bCs/>
          <w:noProof/>
          <w:sz w:val="24"/>
          <w:szCs w:val="24"/>
        </w:rPr>
        <w:t>I begge INPULSIS-studier var andelen af FVC-respondere, defineret som patienter med en absolut forværring i FVC % af forventet ikke højere end 5 % (en tærskelværdi indikativ for den øgede risiko for mortalitet ved IPF), signifikant højere i nintedanib-gruppen sammenlignet med placebo. Der blev observeret lignende resultater i analyser, der benyttede en konservativ tærskelværdi på 10 %. Se Tabel 4 for individuelle og samlede studieresultater.</w:t>
      </w:r>
    </w:p>
    <w:p w14:paraId="1B5225EE" w14:textId="77777777" w:rsidR="00CA5F71" w:rsidRPr="004D5AB1" w:rsidRDefault="00CA5F71" w:rsidP="0015226E">
      <w:pPr>
        <w:suppressAutoHyphens/>
        <w:ind w:left="851"/>
        <w:rPr>
          <w:bCs/>
          <w:noProof/>
          <w:sz w:val="24"/>
          <w:szCs w:val="24"/>
        </w:rPr>
      </w:pPr>
    </w:p>
    <w:p w14:paraId="3985E2F1" w14:textId="77777777" w:rsidR="00CA5F71" w:rsidRPr="004D5AB1" w:rsidRDefault="00CA5F71" w:rsidP="00CA5F71">
      <w:pPr>
        <w:suppressAutoHyphens/>
        <w:ind w:left="1440" w:hanging="1440"/>
        <w:rPr>
          <w:b/>
          <w:bCs/>
          <w:noProof/>
          <w:sz w:val="24"/>
          <w:szCs w:val="24"/>
        </w:rPr>
      </w:pPr>
      <w:r w:rsidRPr="004D5AB1">
        <w:rPr>
          <w:b/>
          <w:bCs/>
          <w:noProof/>
          <w:sz w:val="24"/>
          <w:szCs w:val="24"/>
        </w:rPr>
        <w:t xml:space="preserve">Tabel 4: </w:t>
      </w:r>
      <w:r w:rsidRPr="004D5AB1">
        <w:rPr>
          <w:b/>
          <w:bCs/>
          <w:noProof/>
          <w:sz w:val="24"/>
          <w:szCs w:val="24"/>
        </w:rPr>
        <w:tab/>
        <w:t>Andel af FVC-respondere ved uge 52 i studierne INPULSIS-1, INPULSIS-2 og de samlede data - behandlede</w:t>
      </w:r>
    </w:p>
    <w:tbl>
      <w:tblPr>
        <w:tblStyle w:val="Tabel-Gitter"/>
        <w:tblW w:w="5000" w:type="pct"/>
        <w:tblInd w:w="0" w:type="dxa"/>
        <w:tblLook w:val="04A0" w:firstRow="1" w:lastRow="0" w:firstColumn="1" w:lastColumn="0" w:noHBand="0" w:noVBand="1"/>
      </w:tblPr>
      <w:tblGrid>
        <w:gridCol w:w="1609"/>
        <w:gridCol w:w="1314"/>
        <w:gridCol w:w="1359"/>
        <w:gridCol w:w="1313"/>
        <w:gridCol w:w="1361"/>
        <w:gridCol w:w="1313"/>
        <w:gridCol w:w="1359"/>
      </w:tblGrid>
      <w:tr w:rsidR="00CA5F71" w:rsidRPr="004D5AB1" w14:paraId="7BFC9135" w14:textId="77777777" w:rsidTr="0015226E">
        <w:trPr>
          <w:tblHeader/>
        </w:trPr>
        <w:tc>
          <w:tcPr>
            <w:tcW w:w="835" w:type="pct"/>
            <w:vMerge w:val="restart"/>
            <w:tcBorders>
              <w:top w:val="single" w:sz="4" w:space="0" w:color="auto"/>
              <w:left w:val="single" w:sz="4" w:space="0" w:color="auto"/>
              <w:bottom w:val="single" w:sz="4" w:space="0" w:color="auto"/>
              <w:right w:val="single" w:sz="4" w:space="0" w:color="auto"/>
            </w:tcBorders>
          </w:tcPr>
          <w:p w14:paraId="60601C54" w14:textId="77777777" w:rsidR="00CA5F71" w:rsidRPr="004D5AB1" w:rsidRDefault="00CA5F71">
            <w:pPr>
              <w:autoSpaceDE w:val="0"/>
              <w:autoSpaceDN w:val="0"/>
              <w:adjustRightInd w:val="0"/>
              <w:rPr>
                <w:noProof/>
                <w:sz w:val="24"/>
                <w:szCs w:val="24"/>
              </w:rPr>
            </w:pPr>
          </w:p>
        </w:tc>
        <w:tc>
          <w:tcPr>
            <w:tcW w:w="1388" w:type="pct"/>
            <w:gridSpan w:val="2"/>
            <w:tcBorders>
              <w:top w:val="single" w:sz="4" w:space="0" w:color="auto"/>
              <w:left w:val="single" w:sz="4" w:space="0" w:color="auto"/>
              <w:bottom w:val="single" w:sz="4" w:space="0" w:color="auto"/>
              <w:right w:val="single" w:sz="4" w:space="0" w:color="auto"/>
            </w:tcBorders>
            <w:hideMark/>
          </w:tcPr>
          <w:p w14:paraId="622BA81E" w14:textId="77777777" w:rsidR="00CA5F71" w:rsidRPr="004D5AB1" w:rsidRDefault="00CA5F71">
            <w:pPr>
              <w:autoSpaceDE w:val="0"/>
              <w:autoSpaceDN w:val="0"/>
              <w:adjustRightInd w:val="0"/>
              <w:jc w:val="center"/>
              <w:rPr>
                <w:noProof/>
                <w:sz w:val="24"/>
                <w:szCs w:val="24"/>
              </w:rPr>
            </w:pPr>
            <w:r w:rsidRPr="004D5AB1">
              <w:rPr>
                <w:noProof/>
                <w:sz w:val="24"/>
                <w:szCs w:val="24"/>
              </w:rPr>
              <w:t>INPULSIS-1</w:t>
            </w:r>
          </w:p>
        </w:tc>
        <w:tc>
          <w:tcPr>
            <w:tcW w:w="1389" w:type="pct"/>
            <w:gridSpan w:val="2"/>
            <w:tcBorders>
              <w:top w:val="single" w:sz="4" w:space="0" w:color="auto"/>
              <w:left w:val="single" w:sz="4" w:space="0" w:color="auto"/>
              <w:bottom w:val="single" w:sz="4" w:space="0" w:color="auto"/>
              <w:right w:val="single" w:sz="4" w:space="0" w:color="auto"/>
            </w:tcBorders>
            <w:hideMark/>
          </w:tcPr>
          <w:p w14:paraId="3FDD6C6D" w14:textId="77777777" w:rsidR="00CA5F71" w:rsidRPr="004D5AB1" w:rsidRDefault="00CA5F71">
            <w:pPr>
              <w:autoSpaceDE w:val="0"/>
              <w:autoSpaceDN w:val="0"/>
              <w:adjustRightInd w:val="0"/>
              <w:jc w:val="center"/>
              <w:rPr>
                <w:noProof/>
                <w:sz w:val="24"/>
                <w:szCs w:val="24"/>
              </w:rPr>
            </w:pPr>
            <w:r w:rsidRPr="004D5AB1">
              <w:rPr>
                <w:noProof/>
                <w:sz w:val="24"/>
                <w:szCs w:val="24"/>
              </w:rPr>
              <w:t>INPULSIS-3</w:t>
            </w:r>
          </w:p>
        </w:tc>
        <w:tc>
          <w:tcPr>
            <w:tcW w:w="1389" w:type="pct"/>
            <w:gridSpan w:val="2"/>
            <w:tcBorders>
              <w:top w:val="single" w:sz="4" w:space="0" w:color="auto"/>
              <w:left w:val="single" w:sz="4" w:space="0" w:color="auto"/>
              <w:bottom w:val="single" w:sz="4" w:space="0" w:color="auto"/>
              <w:right w:val="single" w:sz="4" w:space="0" w:color="auto"/>
            </w:tcBorders>
            <w:hideMark/>
          </w:tcPr>
          <w:p w14:paraId="2C957029" w14:textId="77777777" w:rsidR="00CA5F71" w:rsidRPr="004D5AB1" w:rsidRDefault="00CA5F71">
            <w:pPr>
              <w:autoSpaceDE w:val="0"/>
              <w:autoSpaceDN w:val="0"/>
              <w:adjustRightInd w:val="0"/>
              <w:jc w:val="center"/>
              <w:rPr>
                <w:noProof/>
                <w:sz w:val="24"/>
                <w:szCs w:val="24"/>
              </w:rPr>
            </w:pPr>
            <w:r w:rsidRPr="004D5AB1">
              <w:rPr>
                <w:noProof/>
                <w:sz w:val="24"/>
                <w:szCs w:val="24"/>
              </w:rPr>
              <w:t>INPULSIS-1 og INPULSIS-2 samlet</w:t>
            </w:r>
          </w:p>
        </w:tc>
      </w:tr>
      <w:tr w:rsidR="00CA5F71" w:rsidRPr="004D5AB1" w14:paraId="2311EC85" w14:textId="77777777" w:rsidTr="0015226E">
        <w:tc>
          <w:tcPr>
            <w:tcW w:w="835" w:type="pct"/>
            <w:vMerge/>
            <w:tcBorders>
              <w:top w:val="single" w:sz="4" w:space="0" w:color="auto"/>
              <w:left w:val="single" w:sz="4" w:space="0" w:color="auto"/>
              <w:bottom w:val="single" w:sz="4" w:space="0" w:color="auto"/>
              <w:right w:val="single" w:sz="4" w:space="0" w:color="auto"/>
            </w:tcBorders>
            <w:vAlign w:val="center"/>
            <w:hideMark/>
          </w:tcPr>
          <w:p w14:paraId="235BA6ED" w14:textId="77777777" w:rsidR="00CA5F71" w:rsidRPr="004D5AB1" w:rsidRDefault="00CA5F71">
            <w:pPr>
              <w:rPr>
                <w:noProof/>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0E1F9191"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6C201561"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25E122CD"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4900CFFD"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3F37FB9F"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61BCCD04"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r>
      <w:tr w:rsidR="00CA5F71" w:rsidRPr="004D5AB1" w14:paraId="12BBAABC"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01AB6A89" w14:textId="77777777" w:rsidR="00CA5F71" w:rsidRPr="004D5AB1" w:rsidRDefault="00CA5F71">
            <w:pPr>
              <w:autoSpaceDE w:val="0"/>
              <w:autoSpaceDN w:val="0"/>
              <w:adjustRightInd w:val="0"/>
              <w:rPr>
                <w:noProof/>
                <w:sz w:val="24"/>
                <w:szCs w:val="24"/>
              </w:rPr>
            </w:pPr>
            <w:r w:rsidRPr="004D5AB1">
              <w:rPr>
                <w:noProof/>
                <w:sz w:val="24"/>
                <w:szCs w:val="24"/>
              </w:rPr>
              <w:t>Antal analyserede patienter</w:t>
            </w:r>
          </w:p>
        </w:tc>
        <w:tc>
          <w:tcPr>
            <w:tcW w:w="682" w:type="pct"/>
            <w:tcBorders>
              <w:top w:val="single" w:sz="4" w:space="0" w:color="auto"/>
              <w:left w:val="single" w:sz="4" w:space="0" w:color="auto"/>
              <w:bottom w:val="single" w:sz="4" w:space="0" w:color="auto"/>
              <w:right w:val="single" w:sz="4" w:space="0" w:color="auto"/>
            </w:tcBorders>
            <w:vAlign w:val="bottom"/>
            <w:hideMark/>
          </w:tcPr>
          <w:p w14:paraId="2822B06F" w14:textId="77777777" w:rsidR="00CA5F71" w:rsidRPr="004D5AB1" w:rsidRDefault="00CA5F71">
            <w:pPr>
              <w:autoSpaceDE w:val="0"/>
              <w:autoSpaceDN w:val="0"/>
              <w:adjustRightInd w:val="0"/>
              <w:jc w:val="center"/>
              <w:rPr>
                <w:noProof/>
                <w:sz w:val="24"/>
                <w:szCs w:val="24"/>
                <w:u w:val="single"/>
              </w:rPr>
            </w:pPr>
            <w:r w:rsidRPr="004D5AB1">
              <w:rPr>
                <w:sz w:val="24"/>
                <w:szCs w:val="24"/>
              </w:rPr>
              <w:t>204</w:t>
            </w:r>
          </w:p>
        </w:tc>
        <w:tc>
          <w:tcPr>
            <w:tcW w:w="706" w:type="pct"/>
            <w:tcBorders>
              <w:top w:val="single" w:sz="4" w:space="0" w:color="auto"/>
              <w:left w:val="single" w:sz="4" w:space="0" w:color="auto"/>
              <w:bottom w:val="single" w:sz="4" w:space="0" w:color="auto"/>
              <w:right w:val="single" w:sz="4" w:space="0" w:color="auto"/>
            </w:tcBorders>
            <w:vAlign w:val="bottom"/>
            <w:hideMark/>
          </w:tcPr>
          <w:p w14:paraId="55D761AD" w14:textId="77777777" w:rsidR="00CA5F71" w:rsidRPr="004D5AB1" w:rsidRDefault="00CA5F71">
            <w:pPr>
              <w:autoSpaceDE w:val="0"/>
              <w:autoSpaceDN w:val="0"/>
              <w:adjustRightInd w:val="0"/>
              <w:jc w:val="center"/>
              <w:rPr>
                <w:noProof/>
                <w:sz w:val="24"/>
                <w:szCs w:val="24"/>
                <w:u w:val="single"/>
              </w:rPr>
            </w:pPr>
            <w:r w:rsidRPr="004D5AB1">
              <w:rPr>
                <w:sz w:val="24"/>
                <w:szCs w:val="24"/>
              </w:rPr>
              <w:t>309</w:t>
            </w:r>
          </w:p>
        </w:tc>
        <w:tc>
          <w:tcPr>
            <w:tcW w:w="682" w:type="pct"/>
            <w:tcBorders>
              <w:top w:val="single" w:sz="4" w:space="0" w:color="auto"/>
              <w:left w:val="single" w:sz="4" w:space="0" w:color="auto"/>
              <w:bottom w:val="single" w:sz="4" w:space="0" w:color="auto"/>
              <w:right w:val="single" w:sz="4" w:space="0" w:color="auto"/>
            </w:tcBorders>
            <w:vAlign w:val="bottom"/>
            <w:hideMark/>
          </w:tcPr>
          <w:p w14:paraId="42CB020A" w14:textId="77777777" w:rsidR="00CA5F71" w:rsidRPr="004D5AB1" w:rsidRDefault="00CA5F71">
            <w:pPr>
              <w:autoSpaceDE w:val="0"/>
              <w:autoSpaceDN w:val="0"/>
              <w:adjustRightInd w:val="0"/>
              <w:jc w:val="center"/>
              <w:rPr>
                <w:noProof/>
                <w:sz w:val="24"/>
                <w:szCs w:val="24"/>
                <w:u w:val="single"/>
              </w:rPr>
            </w:pPr>
            <w:r w:rsidRPr="004D5AB1">
              <w:rPr>
                <w:sz w:val="24"/>
                <w:szCs w:val="24"/>
              </w:rPr>
              <w:t>219</w:t>
            </w:r>
          </w:p>
        </w:tc>
        <w:tc>
          <w:tcPr>
            <w:tcW w:w="706" w:type="pct"/>
            <w:tcBorders>
              <w:top w:val="single" w:sz="4" w:space="0" w:color="auto"/>
              <w:left w:val="single" w:sz="4" w:space="0" w:color="auto"/>
              <w:bottom w:val="single" w:sz="4" w:space="0" w:color="auto"/>
              <w:right w:val="single" w:sz="4" w:space="0" w:color="auto"/>
            </w:tcBorders>
            <w:vAlign w:val="bottom"/>
            <w:hideMark/>
          </w:tcPr>
          <w:p w14:paraId="011A0B75" w14:textId="77777777" w:rsidR="00CA5F71" w:rsidRPr="004D5AB1" w:rsidRDefault="00CA5F71">
            <w:pPr>
              <w:autoSpaceDE w:val="0"/>
              <w:autoSpaceDN w:val="0"/>
              <w:adjustRightInd w:val="0"/>
              <w:jc w:val="center"/>
              <w:rPr>
                <w:noProof/>
                <w:sz w:val="24"/>
                <w:szCs w:val="24"/>
                <w:u w:val="single"/>
              </w:rPr>
            </w:pPr>
            <w:r w:rsidRPr="004D5AB1">
              <w:rPr>
                <w:sz w:val="24"/>
                <w:szCs w:val="24"/>
              </w:rPr>
              <w:t>329</w:t>
            </w:r>
          </w:p>
        </w:tc>
        <w:tc>
          <w:tcPr>
            <w:tcW w:w="682" w:type="pct"/>
            <w:tcBorders>
              <w:top w:val="single" w:sz="4" w:space="0" w:color="auto"/>
              <w:left w:val="single" w:sz="4" w:space="0" w:color="auto"/>
              <w:bottom w:val="single" w:sz="4" w:space="0" w:color="auto"/>
              <w:right w:val="single" w:sz="4" w:space="0" w:color="auto"/>
            </w:tcBorders>
            <w:vAlign w:val="bottom"/>
            <w:hideMark/>
          </w:tcPr>
          <w:p w14:paraId="5F364877" w14:textId="77777777" w:rsidR="00CA5F71" w:rsidRPr="004D5AB1" w:rsidRDefault="00CA5F71">
            <w:pPr>
              <w:autoSpaceDE w:val="0"/>
              <w:autoSpaceDN w:val="0"/>
              <w:adjustRightInd w:val="0"/>
              <w:jc w:val="center"/>
              <w:rPr>
                <w:noProof/>
                <w:sz w:val="24"/>
                <w:szCs w:val="24"/>
                <w:u w:val="single"/>
              </w:rPr>
            </w:pPr>
            <w:r w:rsidRPr="004D5AB1">
              <w:rPr>
                <w:sz w:val="24"/>
                <w:szCs w:val="24"/>
              </w:rPr>
              <w:t>423</w:t>
            </w:r>
          </w:p>
        </w:tc>
        <w:tc>
          <w:tcPr>
            <w:tcW w:w="706" w:type="pct"/>
            <w:tcBorders>
              <w:top w:val="single" w:sz="4" w:space="0" w:color="auto"/>
              <w:left w:val="single" w:sz="4" w:space="0" w:color="auto"/>
              <w:bottom w:val="single" w:sz="4" w:space="0" w:color="auto"/>
              <w:right w:val="single" w:sz="4" w:space="0" w:color="auto"/>
            </w:tcBorders>
            <w:vAlign w:val="bottom"/>
            <w:hideMark/>
          </w:tcPr>
          <w:p w14:paraId="4086E994" w14:textId="77777777" w:rsidR="00CA5F71" w:rsidRPr="004D5AB1" w:rsidRDefault="00CA5F71">
            <w:pPr>
              <w:autoSpaceDE w:val="0"/>
              <w:autoSpaceDN w:val="0"/>
              <w:adjustRightInd w:val="0"/>
              <w:jc w:val="center"/>
              <w:rPr>
                <w:noProof/>
                <w:sz w:val="24"/>
                <w:szCs w:val="24"/>
                <w:u w:val="single"/>
              </w:rPr>
            </w:pPr>
            <w:r w:rsidRPr="004D5AB1">
              <w:rPr>
                <w:sz w:val="24"/>
                <w:szCs w:val="24"/>
              </w:rPr>
              <w:t>638</w:t>
            </w:r>
          </w:p>
        </w:tc>
      </w:tr>
      <w:tr w:rsidR="00CA5F71" w:rsidRPr="004D5AB1" w14:paraId="23622A4F"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4491AB37" w14:textId="77777777" w:rsidR="00CA5F71" w:rsidRPr="004D5AB1" w:rsidRDefault="00CA5F71">
            <w:pPr>
              <w:tabs>
                <w:tab w:val="left" w:pos="1005"/>
              </w:tabs>
              <w:autoSpaceDE w:val="0"/>
              <w:autoSpaceDN w:val="0"/>
              <w:adjustRightInd w:val="0"/>
              <w:rPr>
                <w:sz w:val="24"/>
                <w:szCs w:val="24"/>
              </w:rPr>
            </w:pPr>
            <w:r w:rsidRPr="004D5AB1">
              <w:rPr>
                <w:b/>
                <w:bCs/>
                <w:sz w:val="24"/>
                <w:szCs w:val="24"/>
              </w:rPr>
              <w:t>5 % tærskelværdi</w:t>
            </w:r>
          </w:p>
        </w:tc>
      </w:tr>
      <w:tr w:rsidR="00CA5F71" w:rsidRPr="004D5AB1" w14:paraId="25788656"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07FDDD90" w14:textId="77777777" w:rsidR="00CA5F71" w:rsidRPr="004D5AB1" w:rsidRDefault="00CA5F71">
            <w:pPr>
              <w:autoSpaceDE w:val="0"/>
              <w:autoSpaceDN w:val="0"/>
              <w:adjustRightInd w:val="0"/>
              <w:rPr>
                <w:noProof/>
                <w:sz w:val="24"/>
                <w:szCs w:val="24"/>
              </w:rPr>
            </w:pPr>
            <w:r w:rsidRPr="004D5AB1">
              <w:rPr>
                <w:noProof/>
                <w:sz w:val="24"/>
                <w:szCs w:val="24"/>
              </w:rPr>
              <w:t>Antal (%) FVC-respondere</w:t>
            </w:r>
            <w:r w:rsidRPr="004D5AB1">
              <w:rPr>
                <w:noProof/>
                <w:sz w:val="24"/>
                <w:szCs w:val="24"/>
                <w:vertAlign w:val="superscript"/>
              </w:rPr>
              <w:t>1</w:t>
            </w:r>
          </w:p>
        </w:tc>
        <w:tc>
          <w:tcPr>
            <w:tcW w:w="682" w:type="pct"/>
            <w:tcBorders>
              <w:top w:val="single" w:sz="4" w:space="0" w:color="auto"/>
              <w:left w:val="single" w:sz="4" w:space="0" w:color="auto"/>
              <w:bottom w:val="single" w:sz="4" w:space="0" w:color="auto"/>
              <w:right w:val="single" w:sz="4" w:space="0" w:color="auto"/>
            </w:tcBorders>
            <w:vAlign w:val="bottom"/>
            <w:hideMark/>
          </w:tcPr>
          <w:p w14:paraId="31298E04" w14:textId="77777777" w:rsidR="00CA5F71" w:rsidRPr="004D5AB1" w:rsidRDefault="00CA5F71">
            <w:pPr>
              <w:autoSpaceDE w:val="0"/>
              <w:autoSpaceDN w:val="0"/>
              <w:adjustRightInd w:val="0"/>
              <w:jc w:val="center"/>
              <w:rPr>
                <w:noProof/>
                <w:sz w:val="24"/>
                <w:szCs w:val="24"/>
                <w:u w:val="single"/>
              </w:rPr>
            </w:pPr>
            <w:r w:rsidRPr="004D5AB1">
              <w:rPr>
                <w:sz w:val="24"/>
                <w:szCs w:val="24"/>
              </w:rPr>
              <w:t>78 (38,2)</w:t>
            </w:r>
          </w:p>
        </w:tc>
        <w:tc>
          <w:tcPr>
            <w:tcW w:w="706" w:type="pct"/>
            <w:tcBorders>
              <w:top w:val="single" w:sz="4" w:space="0" w:color="auto"/>
              <w:left w:val="single" w:sz="4" w:space="0" w:color="auto"/>
              <w:bottom w:val="single" w:sz="4" w:space="0" w:color="auto"/>
              <w:right w:val="single" w:sz="4" w:space="0" w:color="auto"/>
            </w:tcBorders>
            <w:vAlign w:val="bottom"/>
            <w:hideMark/>
          </w:tcPr>
          <w:p w14:paraId="223A0BD8" w14:textId="77777777" w:rsidR="00CA5F71" w:rsidRPr="004D5AB1" w:rsidRDefault="00CA5F71">
            <w:pPr>
              <w:autoSpaceDE w:val="0"/>
              <w:autoSpaceDN w:val="0"/>
              <w:adjustRightInd w:val="0"/>
              <w:jc w:val="center"/>
              <w:rPr>
                <w:noProof/>
                <w:sz w:val="24"/>
                <w:szCs w:val="24"/>
                <w:u w:val="single"/>
              </w:rPr>
            </w:pPr>
            <w:r w:rsidRPr="004D5AB1">
              <w:rPr>
                <w:sz w:val="24"/>
                <w:szCs w:val="24"/>
              </w:rPr>
              <w:t>163 (52,8)</w:t>
            </w:r>
          </w:p>
        </w:tc>
        <w:tc>
          <w:tcPr>
            <w:tcW w:w="682" w:type="pct"/>
            <w:tcBorders>
              <w:top w:val="single" w:sz="4" w:space="0" w:color="auto"/>
              <w:left w:val="single" w:sz="4" w:space="0" w:color="auto"/>
              <w:bottom w:val="single" w:sz="4" w:space="0" w:color="auto"/>
              <w:right w:val="single" w:sz="4" w:space="0" w:color="auto"/>
            </w:tcBorders>
            <w:vAlign w:val="bottom"/>
            <w:hideMark/>
          </w:tcPr>
          <w:p w14:paraId="27E50F86" w14:textId="77777777" w:rsidR="00CA5F71" w:rsidRPr="004D5AB1" w:rsidRDefault="00CA5F71">
            <w:pPr>
              <w:autoSpaceDE w:val="0"/>
              <w:autoSpaceDN w:val="0"/>
              <w:adjustRightInd w:val="0"/>
              <w:jc w:val="center"/>
              <w:rPr>
                <w:noProof/>
                <w:sz w:val="24"/>
                <w:szCs w:val="24"/>
                <w:u w:val="single"/>
              </w:rPr>
            </w:pPr>
            <w:r w:rsidRPr="004D5AB1">
              <w:rPr>
                <w:sz w:val="24"/>
                <w:szCs w:val="24"/>
              </w:rPr>
              <w:t>86 (39,3)</w:t>
            </w:r>
          </w:p>
        </w:tc>
        <w:tc>
          <w:tcPr>
            <w:tcW w:w="706" w:type="pct"/>
            <w:tcBorders>
              <w:top w:val="single" w:sz="4" w:space="0" w:color="auto"/>
              <w:left w:val="single" w:sz="4" w:space="0" w:color="auto"/>
              <w:bottom w:val="single" w:sz="4" w:space="0" w:color="auto"/>
              <w:right w:val="single" w:sz="4" w:space="0" w:color="auto"/>
            </w:tcBorders>
            <w:vAlign w:val="bottom"/>
            <w:hideMark/>
          </w:tcPr>
          <w:p w14:paraId="1991480C" w14:textId="77777777" w:rsidR="00CA5F71" w:rsidRPr="004D5AB1" w:rsidRDefault="00CA5F71">
            <w:pPr>
              <w:autoSpaceDE w:val="0"/>
              <w:autoSpaceDN w:val="0"/>
              <w:adjustRightInd w:val="0"/>
              <w:jc w:val="center"/>
              <w:rPr>
                <w:noProof/>
                <w:sz w:val="24"/>
                <w:szCs w:val="24"/>
                <w:u w:val="single"/>
              </w:rPr>
            </w:pPr>
            <w:r w:rsidRPr="004D5AB1">
              <w:rPr>
                <w:sz w:val="24"/>
                <w:szCs w:val="24"/>
              </w:rPr>
              <w:t>175 (53,2)</w:t>
            </w:r>
          </w:p>
        </w:tc>
        <w:tc>
          <w:tcPr>
            <w:tcW w:w="682" w:type="pct"/>
            <w:tcBorders>
              <w:top w:val="single" w:sz="4" w:space="0" w:color="auto"/>
              <w:left w:val="single" w:sz="4" w:space="0" w:color="auto"/>
              <w:bottom w:val="single" w:sz="4" w:space="0" w:color="auto"/>
              <w:right w:val="single" w:sz="4" w:space="0" w:color="auto"/>
            </w:tcBorders>
            <w:vAlign w:val="bottom"/>
            <w:hideMark/>
          </w:tcPr>
          <w:p w14:paraId="7585A8F5" w14:textId="77777777" w:rsidR="00CA5F71" w:rsidRPr="004D5AB1" w:rsidRDefault="00CA5F71">
            <w:pPr>
              <w:autoSpaceDE w:val="0"/>
              <w:autoSpaceDN w:val="0"/>
              <w:adjustRightInd w:val="0"/>
              <w:jc w:val="center"/>
              <w:rPr>
                <w:noProof/>
                <w:sz w:val="24"/>
                <w:szCs w:val="24"/>
                <w:u w:val="single"/>
              </w:rPr>
            </w:pPr>
            <w:r w:rsidRPr="004D5AB1">
              <w:rPr>
                <w:sz w:val="24"/>
                <w:szCs w:val="24"/>
              </w:rPr>
              <w:t>164 (38,8)</w:t>
            </w:r>
          </w:p>
        </w:tc>
        <w:tc>
          <w:tcPr>
            <w:tcW w:w="706" w:type="pct"/>
            <w:tcBorders>
              <w:top w:val="single" w:sz="4" w:space="0" w:color="auto"/>
              <w:left w:val="single" w:sz="4" w:space="0" w:color="auto"/>
              <w:bottom w:val="single" w:sz="4" w:space="0" w:color="auto"/>
              <w:right w:val="single" w:sz="4" w:space="0" w:color="auto"/>
            </w:tcBorders>
            <w:vAlign w:val="bottom"/>
            <w:hideMark/>
          </w:tcPr>
          <w:p w14:paraId="23AFAC7A" w14:textId="77777777" w:rsidR="00CA5F71" w:rsidRPr="004D5AB1" w:rsidRDefault="00CA5F71">
            <w:pPr>
              <w:autoSpaceDE w:val="0"/>
              <w:autoSpaceDN w:val="0"/>
              <w:adjustRightInd w:val="0"/>
              <w:jc w:val="center"/>
              <w:rPr>
                <w:noProof/>
                <w:sz w:val="24"/>
                <w:szCs w:val="24"/>
                <w:u w:val="single"/>
              </w:rPr>
            </w:pPr>
            <w:r w:rsidRPr="004D5AB1">
              <w:rPr>
                <w:sz w:val="24"/>
                <w:szCs w:val="24"/>
              </w:rPr>
              <w:t>338 (53,0)</w:t>
            </w:r>
          </w:p>
        </w:tc>
      </w:tr>
      <w:tr w:rsidR="00CA5F71" w:rsidRPr="004D5AB1" w14:paraId="206C76D6"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1BC645B2" w14:textId="77777777" w:rsidR="00CA5F71" w:rsidRPr="004D5AB1" w:rsidRDefault="00CA5F71">
            <w:pPr>
              <w:autoSpaceDE w:val="0"/>
              <w:autoSpaceDN w:val="0"/>
              <w:adjustRightInd w:val="0"/>
              <w:rPr>
                <w:noProof/>
                <w:sz w:val="24"/>
                <w:szCs w:val="24"/>
                <w:u w:val="single"/>
              </w:rPr>
            </w:pPr>
            <w:r w:rsidRPr="004D5AB1">
              <w:rPr>
                <w:noProof/>
                <w:sz w:val="24"/>
                <w:szCs w:val="24"/>
              </w:rPr>
              <w:t>Sammenlignet med placebo</w:t>
            </w:r>
          </w:p>
        </w:tc>
      </w:tr>
      <w:tr w:rsidR="00CA5F71" w:rsidRPr="004D5AB1" w14:paraId="0738876D"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7C17B9EB" w14:textId="77777777" w:rsidR="00CA5F71" w:rsidRPr="004D5AB1" w:rsidRDefault="00CA5F71">
            <w:pPr>
              <w:autoSpaceDE w:val="0"/>
              <w:autoSpaceDN w:val="0"/>
              <w:adjustRightInd w:val="0"/>
              <w:rPr>
                <w:noProof/>
                <w:sz w:val="24"/>
                <w:szCs w:val="24"/>
              </w:rPr>
            </w:pPr>
            <w:r w:rsidRPr="004D5AB1">
              <w:rPr>
                <w:noProof/>
                <w:sz w:val="24"/>
                <w:szCs w:val="24"/>
              </w:rPr>
              <w:t>Oddsratio</w:t>
            </w:r>
          </w:p>
        </w:tc>
        <w:tc>
          <w:tcPr>
            <w:tcW w:w="682" w:type="pct"/>
            <w:tcBorders>
              <w:top w:val="single" w:sz="4" w:space="0" w:color="auto"/>
              <w:left w:val="single" w:sz="4" w:space="0" w:color="auto"/>
              <w:bottom w:val="single" w:sz="4" w:space="0" w:color="auto"/>
              <w:right w:val="single" w:sz="4" w:space="0" w:color="auto"/>
            </w:tcBorders>
            <w:vAlign w:val="center"/>
          </w:tcPr>
          <w:p w14:paraId="354465D5"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C0360CA" w14:textId="77777777" w:rsidR="00CA5F71" w:rsidRPr="004D5AB1" w:rsidRDefault="00CA5F71">
            <w:pPr>
              <w:autoSpaceDE w:val="0"/>
              <w:autoSpaceDN w:val="0"/>
              <w:adjustRightInd w:val="0"/>
              <w:jc w:val="center"/>
              <w:rPr>
                <w:noProof/>
                <w:sz w:val="24"/>
                <w:szCs w:val="24"/>
                <w:u w:val="single"/>
              </w:rPr>
            </w:pPr>
            <w:r w:rsidRPr="004D5AB1">
              <w:rPr>
                <w:sz w:val="24"/>
                <w:szCs w:val="24"/>
              </w:rPr>
              <w:t>1,85</w:t>
            </w:r>
          </w:p>
        </w:tc>
        <w:tc>
          <w:tcPr>
            <w:tcW w:w="682" w:type="pct"/>
            <w:tcBorders>
              <w:top w:val="single" w:sz="4" w:space="0" w:color="auto"/>
              <w:left w:val="single" w:sz="4" w:space="0" w:color="auto"/>
              <w:bottom w:val="single" w:sz="4" w:space="0" w:color="auto"/>
              <w:right w:val="single" w:sz="4" w:space="0" w:color="auto"/>
            </w:tcBorders>
            <w:vAlign w:val="center"/>
          </w:tcPr>
          <w:p w14:paraId="48A4F901"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BF16A1C" w14:textId="77777777" w:rsidR="00CA5F71" w:rsidRPr="004D5AB1" w:rsidRDefault="00CA5F71">
            <w:pPr>
              <w:autoSpaceDE w:val="0"/>
              <w:autoSpaceDN w:val="0"/>
              <w:adjustRightInd w:val="0"/>
              <w:jc w:val="center"/>
              <w:rPr>
                <w:noProof/>
                <w:sz w:val="24"/>
                <w:szCs w:val="24"/>
                <w:u w:val="single"/>
              </w:rPr>
            </w:pPr>
            <w:r w:rsidRPr="004D5AB1">
              <w:rPr>
                <w:sz w:val="24"/>
                <w:szCs w:val="24"/>
              </w:rPr>
              <w:t>1,79</w:t>
            </w:r>
          </w:p>
        </w:tc>
        <w:tc>
          <w:tcPr>
            <w:tcW w:w="682" w:type="pct"/>
            <w:tcBorders>
              <w:top w:val="single" w:sz="4" w:space="0" w:color="auto"/>
              <w:left w:val="single" w:sz="4" w:space="0" w:color="auto"/>
              <w:bottom w:val="single" w:sz="4" w:space="0" w:color="auto"/>
              <w:right w:val="single" w:sz="4" w:space="0" w:color="auto"/>
            </w:tcBorders>
            <w:vAlign w:val="center"/>
          </w:tcPr>
          <w:p w14:paraId="7780B0B3"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F07BF09" w14:textId="77777777" w:rsidR="00CA5F71" w:rsidRPr="004D5AB1" w:rsidRDefault="00CA5F71">
            <w:pPr>
              <w:autoSpaceDE w:val="0"/>
              <w:autoSpaceDN w:val="0"/>
              <w:adjustRightInd w:val="0"/>
              <w:jc w:val="center"/>
              <w:rPr>
                <w:noProof/>
                <w:sz w:val="24"/>
                <w:szCs w:val="24"/>
                <w:u w:val="single"/>
              </w:rPr>
            </w:pPr>
            <w:r w:rsidRPr="004D5AB1">
              <w:rPr>
                <w:sz w:val="24"/>
                <w:szCs w:val="24"/>
              </w:rPr>
              <w:t>1,84</w:t>
            </w:r>
          </w:p>
        </w:tc>
      </w:tr>
      <w:tr w:rsidR="00CA5F71" w:rsidRPr="004D5AB1" w14:paraId="23E4DBA9"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EB01B32" w14:textId="77777777" w:rsidR="00CA5F71" w:rsidRPr="004D5AB1" w:rsidRDefault="00CA5F71">
            <w:pPr>
              <w:autoSpaceDE w:val="0"/>
              <w:autoSpaceDN w:val="0"/>
              <w:adjustRightInd w:val="0"/>
              <w:rPr>
                <w:noProof/>
                <w:sz w:val="24"/>
                <w:szCs w:val="24"/>
              </w:rPr>
            </w:pPr>
            <w:r w:rsidRPr="004D5AB1">
              <w:rPr>
                <w:sz w:val="24"/>
                <w:szCs w:val="24"/>
              </w:rPr>
              <w:t>95 % CI</w:t>
            </w:r>
          </w:p>
        </w:tc>
        <w:tc>
          <w:tcPr>
            <w:tcW w:w="682" w:type="pct"/>
            <w:tcBorders>
              <w:top w:val="single" w:sz="4" w:space="0" w:color="auto"/>
              <w:left w:val="single" w:sz="4" w:space="0" w:color="auto"/>
              <w:bottom w:val="single" w:sz="4" w:space="0" w:color="auto"/>
              <w:right w:val="single" w:sz="4" w:space="0" w:color="auto"/>
            </w:tcBorders>
            <w:vAlign w:val="center"/>
          </w:tcPr>
          <w:p w14:paraId="65100249"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3234A268" w14:textId="77777777" w:rsidR="00CA5F71" w:rsidRPr="004D5AB1" w:rsidRDefault="00CA5F71">
            <w:pPr>
              <w:autoSpaceDE w:val="0"/>
              <w:autoSpaceDN w:val="0"/>
              <w:adjustRightInd w:val="0"/>
              <w:jc w:val="center"/>
              <w:rPr>
                <w:sz w:val="24"/>
                <w:szCs w:val="24"/>
              </w:rPr>
            </w:pPr>
            <w:r w:rsidRPr="004D5AB1">
              <w:rPr>
                <w:sz w:val="24"/>
                <w:szCs w:val="24"/>
              </w:rPr>
              <w:t>(1,28; 2,66)</w:t>
            </w:r>
          </w:p>
        </w:tc>
        <w:tc>
          <w:tcPr>
            <w:tcW w:w="682" w:type="pct"/>
            <w:tcBorders>
              <w:top w:val="single" w:sz="4" w:space="0" w:color="auto"/>
              <w:left w:val="single" w:sz="4" w:space="0" w:color="auto"/>
              <w:bottom w:val="single" w:sz="4" w:space="0" w:color="auto"/>
              <w:right w:val="single" w:sz="4" w:space="0" w:color="auto"/>
            </w:tcBorders>
            <w:vAlign w:val="center"/>
          </w:tcPr>
          <w:p w14:paraId="28473B3C"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FB84343" w14:textId="77777777" w:rsidR="00CA5F71" w:rsidRPr="004D5AB1" w:rsidRDefault="00CA5F71">
            <w:pPr>
              <w:autoSpaceDE w:val="0"/>
              <w:autoSpaceDN w:val="0"/>
              <w:adjustRightInd w:val="0"/>
              <w:jc w:val="center"/>
              <w:rPr>
                <w:sz w:val="24"/>
                <w:szCs w:val="24"/>
              </w:rPr>
            </w:pPr>
            <w:r w:rsidRPr="004D5AB1">
              <w:rPr>
                <w:sz w:val="24"/>
                <w:szCs w:val="24"/>
              </w:rPr>
              <w:t>(1,26; 2,55)</w:t>
            </w:r>
          </w:p>
        </w:tc>
        <w:tc>
          <w:tcPr>
            <w:tcW w:w="682" w:type="pct"/>
            <w:tcBorders>
              <w:top w:val="single" w:sz="4" w:space="0" w:color="auto"/>
              <w:left w:val="single" w:sz="4" w:space="0" w:color="auto"/>
              <w:bottom w:val="single" w:sz="4" w:space="0" w:color="auto"/>
              <w:right w:val="single" w:sz="4" w:space="0" w:color="auto"/>
            </w:tcBorders>
            <w:vAlign w:val="center"/>
          </w:tcPr>
          <w:p w14:paraId="6AF952B4"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9E6BCC5" w14:textId="77777777" w:rsidR="00CA5F71" w:rsidRPr="004D5AB1" w:rsidRDefault="00CA5F71">
            <w:pPr>
              <w:autoSpaceDE w:val="0"/>
              <w:autoSpaceDN w:val="0"/>
              <w:adjustRightInd w:val="0"/>
              <w:jc w:val="center"/>
              <w:rPr>
                <w:sz w:val="24"/>
                <w:szCs w:val="24"/>
              </w:rPr>
            </w:pPr>
            <w:r w:rsidRPr="004D5AB1">
              <w:rPr>
                <w:sz w:val="24"/>
                <w:szCs w:val="24"/>
              </w:rPr>
              <w:t>(1,43; 2,36)</w:t>
            </w:r>
          </w:p>
        </w:tc>
      </w:tr>
      <w:tr w:rsidR="00CA5F71" w:rsidRPr="004D5AB1" w14:paraId="23AA7D73"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DCBB33F" w14:textId="77777777" w:rsidR="00CA5F71" w:rsidRPr="004D5AB1" w:rsidRDefault="00CA5F71">
            <w:pPr>
              <w:autoSpaceDE w:val="0"/>
              <w:autoSpaceDN w:val="0"/>
              <w:adjustRightInd w:val="0"/>
              <w:rPr>
                <w:noProof/>
                <w:sz w:val="24"/>
                <w:szCs w:val="24"/>
                <w:vertAlign w:val="superscript"/>
              </w:rPr>
            </w:pPr>
            <w:r w:rsidRPr="004D5AB1">
              <w:rPr>
                <w:sz w:val="24"/>
                <w:szCs w:val="24"/>
              </w:rPr>
              <w:lastRenderedPageBreak/>
              <w:t>p-værdi</w:t>
            </w:r>
            <w:r w:rsidRPr="004D5AB1">
              <w:rPr>
                <w:sz w:val="24"/>
                <w:szCs w:val="24"/>
                <w:vertAlign w:val="superscript"/>
              </w:rPr>
              <w:t>2</w:t>
            </w:r>
          </w:p>
        </w:tc>
        <w:tc>
          <w:tcPr>
            <w:tcW w:w="682" w:type="pct"/>
            <w:tcBorders>
              <w:top w:val="single" w:sz="4" w:space="0" w:color="auto"/>
              <w:left w:val="single" w:sz="4" w:space="0" w:color="auto"/>
              <w:bottom w:val="single" w:sz="4" w:space="0" w:color="auto"/>
              <w:right w:val="single" w:sz="4" w:space="0" w:color="auto"/>
            </w:tcBorders>
            <w:vAlign w:val="center"/>
          </w:tcPr>
          <w:p w14:paraId="2AA82AFD"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086011B" w14:textId="77777777" w:rsidR="00CA5F71" w:rsidRPr="004D5AB1" w:rsidRDefault="00CA5F71">
            <w:pPr>
              <w:autoSpaceDE w:val="0"/>
              <w:autoSpaceDN w:val="0"/>
              <w:adjustRightInd w:val="0"/>
              <w:jc w:val="center"/>
              <w:rPr>
                <w:sz w:val="24"/>
                <w:szCs w:val="24"/>
              </w:rPr>
            </w:pPr>
            <w:r w:rsidRPr="004D5AB1">
              <w:rPr>
                <w:sz w:val="24"/>
                <w:szCs w:val="24"/>
              </w:rPr>
              <w:t>0,0010</w:t>
            </w:r>
          </w:p>
        </w:tc>
        <w:tc>
          <w:tcPr>
            <w:tcW w:w="682" w:type="pct"/>
            <w:tcBorders>
              <w:top w:val="single" w:sz="4" w:space="0" w:color="auto"/>
              <w:left w:val="single" w:sz="4" w:space="0" w:color="auto"/>
              <w:bottom w:val="single" w:sz="4" w:space="0" w:color="auto"/>
              <w:right w:val="single" w:sz="4" w:space="0" w:color="auto"/>
            </w:tcBorders>
            <w:vAlign w:val="center"/>
          </w:tcPr>
          <w:p w14:paraId="7FE53070"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6802B68" w14:textId="77777777" w:rsidR="00CA5F71" w:rsidRPr="004D5AB1" w:rsidRDefault="00CA5F71">
            <w:pPr>
              <w:autoSpaceDE w:val="0"/>
              <w:autoSpaceDN w:val="0"/>
              <w:adjustRightInd w:val="0"/>
              <w:jc w:val="center"/>
              <w:rPr>
                <w:sz w:val="24"/>
                <w:szCs w:val="24"/>
              </w:rPr>
            </w:pPr>
            <w:r w:rsidRPr="004D5AB1">
              <w:rPr>
                <w:sz w:val="24"/>
                <w:szCs w:val="24"/>
              </w:rPr>
              <w:t>0,0011</w:t>
            </w:r>
          </w:p>
        </w:tc>
        <w:tc>
          <w:tcPr>
            <w:tcW w:w="682" w:type="pct"/>
            <w:tcBorders>
              <w:top w:val="single" w:sz="4" w:space="0" w:color="auto"/>
              <w:left w:val="single" w:sz="4" w:space="0" w:color="auto"/>
              <w:bottom w:val="single" w:sz="4" w:space="0" w:color="auto"/>
              <w:right w:val="single" w:sz="4" w:space="0" w:color="auto"/>
            </w:tcBorders>
            <w:vAlign w:val="center"/>
          </w:tcPr>
          <w:p w14:paraId="4E0DEBDA"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71DF772" w14:textId="77777777" w:rsidR="00CA5F71" w:rsidRPr="004D5AB1" w:rsidRDefault="00CA5F71">
            <w:pPr>
              <w:autoSpaceDE w:val="0"/>
              <w:autoSpaceDN w:val="0"/>
              <w:adjustRightInd w:val="0"/>
              <w:jc w:val="center"/>
              <w:rPr>
                <w:sz w:val="24"/>
                <w:szCs w:val="24"/>
              </w:rPr>
            </w:pPr>
            <w:r w:rsidRPr="004D5AB1">
              <w:rPr>
                <w:sz w:val="24"/>
                <w:szCs w:val="24"/>
              </w:rPr>
              <w:t>&lt;0,0001</w:t>
            </w:r>
          </w:p>
        </w:tc>
      </w:tr>
      <w:tr w:rsidR="00CA5F71" w:rsidRPr="004D5AB1" w14:paraId="0989DC4C"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5E9B5E9F" w14:textId="77777777" w:rsidR="00CA5F71" w:rsidRPr="004D5AB1" w:rsidRDefault="00CA5F71">
            <w:pPr>
              <w:autoSpaceDE w:val="0"/>
              <w:autoSpaceDN w:val="0"/>
              <w:adjustRightInd w:val="0"/>
              <w:rPr>
                <w:sz w:val="24"/>
                <w:szCs w:val="24"/>
              </w:rPr>
            </w:pPr>
            <w:r w:rsidRPr="004D5AB1">
              <w:rPr>
                <w:b/>
                <w:bCs/>
                <w:sz w:val="24"/>
                <w:szCs w:val="24"/>
              </w:rPr>
              <w:t>10 % tærskelværdi</w:t>
            </w:r>
          </w:p>
        </w:tc>
      </w:tr>
      <w:tr w:rsidR="00CA5F71" w:rsidRPr="004D5AB1" w14:paraId="78E4E8D3"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08D4FD9E" w14:textId="77777777" w:rsidR="00CA5F71" w:rsidRPr="004D5AB1" w:rsidRDefault="00CA5F71">
            <w:pPr>
              <w:autoSpaceDE w:val="0"/>
              <w:autoSpaceDN w:val="0"/>
              <w:adjustRightInd w:val="0"/>
              <w:rPr>
                <w:sz w:val="24"/>
                <w:szCs w:val="24"/>
              </w:rPr>
            </w:pPr>
            <w:r w:rsidRPr="004D5AB1">
              <w:rPr>
                <w:noProof/>
                <w:sz w:val="24"/>
                <w:szCs w:val="24"/>
              </w:rPr>
              <w:t>Antal (%) FVC-respondere</w:t>
            </w:r>
            <w:r w:rsidRPr="004D5AB1">
              <w:rPr>
                <w:noProof/>
                <w:sz w:val="24"/>
                <w:szCs w:val="24"/>
                <w:vertAlign w:val="superscript"/>
              </w:rPr>
              <w:t>1</w:t>
            </w:r>
          </w:p>
        </w:tc>
        <w:tc>
          <w:tcPr>
            <w:tcW w:w="682" w:type="pct"/>
            <w:tcBorders>
              <w:top w:val="single" w:sz="4" w:space="0" w:color="auto"/>
              <w:left w:val="single" w:sz="4" w:space="0" w:color="auto"/>
              <w:bottom w:val="single" w:sz="4" w:space="0" w:color="auto"/>
              <w:right w:val="single" w:sz="4" w:space="0" w:color="auto"/>
            </w:tcBorders>
            <w:vAlign w:val="bottom"/>
            <w:hideMark/>
          </w:tcPr>
          <w:p w14:paraId="6E125E1A" w14:textId="77777777" w:rsidR="00CA5F71" w:rsidRPr="004D5AB1" w:rsidRDefault="00CA5F71">
            <w:pPr>
              <w:autoSpaceDE w:val="0"/>
              <w:autoSpaceDN w:val="0"/>
              <w:adjustRightInd w:val="0"/>
              <w:jc w:val="center"/>
              <w:rPr>
                <w:noProof/>
                <w:sz w:val="24"/>
                <w:szCs w:val="24"/>
                <w:u w:val="single"/>
              </w:rPr>
            </w:pPr>
            <w:r w:rsidRPr="004D5AB1">
              <w:rPr>
                <w:sz w:val="24"/>
                <w:szCs w:val="24"/>
              </w:rPr>
              <w:t>116 (56,9)</w:t>
            </w:r>
          </w:p>
        </w:tc>
        <w:tc>
          <w:tcPr>
            <w:tcW w:w="706" w:type="pct"/>
            <w:tcBorders>
              <w:top w:val="single" w:sz="4" w:space="0" w:color="auto"/>
              <w:left w:val="single" w:sz="4" w:space="0" w:color="auto"/>
              <w:bottom w:val="single" w:sz="4" w:space="0" w:color="auto"/>
              <w:right w:val="single" w:sz="4" w:space="0" w:color="auto"/>
            </w:tcBorders>
            <w:vAlign w:val="bottom"/>
            <w:hideMark/>
          </w:tcPr>
          <w:p w14:paraId="51B10521" w14:textId="77777777" w:rsidR="00CA5F71" w:rsidRPr="004D5AB1" w:rsidRDefault="00CA5F71">
            <w:pPr>
              <w:autoSpaceDE w:val="0"/>
              <w:autoSpaceDN w:val="0"/>
              <w:adjustRightInd w:val="0"/>
              <w:jc w:val="center"/>
              <w:rPr>
                <w:sz w:val="24"/>
                <w:szCs w:val="24"/>
              </w:rPr>
            </w:pPr>
            <w:r w:rsidRPr="004D5AB1">
              <w:rPr>
                <w:sz w:val="24"/>
                <w:szCs w:val="24"/>
              </w:rPr>
              <w:t>218 (70,6)</w:t>
            </w:r>
          </w:p>
        </w:tc>
        <w:tc>
          <w:tcPr>
            <w:tcW w:w="682" w:type="pct"/>
            <w:tcBorders>
              <w:top w:val="single" w:sz="4" w:space="0" w:color="auto"/>
              <w:left w:val="single" w:sz="4" w:space="0" w:color="auto"/>
              <w:bottom w:val="single" w:sz="4" w:space="0" w:color="auto"/>
              <w:right w:val="single" w:sz="4" w:space="0" w:color="auto"/>
            </w:tcBorders>
            <w:vAlign w:val="bottom"/>
            <w:hideMark/>
          </w:tcPr>
          <w:p w14:paraId="0F1E9C3B" w14:textId="77777777" w:rsidR="00CA5F71" w:rsidRPr="004D5AB1" w:rsidRDefault="00CA5F71">
            <w:pPr>
              <w:autoSpaceDE w:val="0"/>
              <w:autoSpaceDN w:val="0"/>
              <w:adjustRightInd w:val="0"/>
              <w:jc w:val="center"/>
              <w:rPr>
                <w:noProof/>
                <w:sz w:val="24"/>
                <w:szCs w:val="24"/>
                <w:u w:val="single"/>
              </w:rPr>
            </w:pPr>
            <w:r w:rsidRPr="004D5AB1">
              <w:rPr>
                <w:sz w:val="24"/>
                <w:szCs w:val="24"/>
              </w:rPr>
              <w:t>140 (63,9)</w:t>
            </w:r>
          </w:p>
        </w:tc>
        <w:tc>
          <w:tcPr>
            <w:tcW w:w="706" w:type="pct"/>
            <w:tcBorders>
              <w:top w:val="single" w:sz="4" w:space="0" w:color="auto"/>
              <w:left w:val="single" w:sz="4" w:space="0" w:color="auto"/>
              <w:bottom w:val="single" w:sz="4" w:space="0" w:color="auto"/>
              <w:right w:val="single" w:sz="4" w:space="0" w:color="auto"/>
            </w:tcBorders>
            <w:vAlign w:val="bottom"/>
            <w:hideMark/>
          </w:tcPr>
          <w:p w14:paraId="245C43B9" w14:textId="77777777" w:rsidR="00CA5F71" w:rsidRPr="004D5AB1" w:rsidRDefault="00CA5F71">
            <w:pPr>
              <w:autoSpaceDE w:val="0"/>
              <w:autoSpaceDN w:val="0"/>
              <w:adjustRightInd w:val="0"/>
              <w:jc w:val="center"/>
              <w:rPr>
                <w:sz w:val="24"/>
                <w:szCs w:val="24"/>
              </w:rPr>
            </w:pPr>
            <w:r w:rsidRPr="004D5AB1">
              <w:rPr>
                <w:sz w:val="24"/>
                <w:szCs w:val="24"/>
              </w:rPr>
              <w:t>229 (69,6)</w:t>
            </w:r>
          </w:p>
        </w:tc>
        <w:tc>
          <w:tcPr>
            <w:tcW w:w="682" w:type="pct"/>
            <w:tcBorders>
              <w:top w:val="single" w:sz="4" w:space="0" w:color="auto"/>
              <w:left w:val="single" w:sz="4" w:space="0" w:color="auto"/>
              <w:bottom w:val="single" w:sz="4" w:space="0" w:color="auto"/>
              <w:right w:val="single" w:sz="4" w:space="0" w:color="auto"/>
            </w:tcBorders>
            <w:vAlign w:val="bottom"/>
            <w:hideMark/>
          </w:tcPr>
          <w:p w14:paraId="029EE435" w14:textId="77777777" w:rsidR="00CA5F71" w:rsidRPr="004D5AB1" w:rsidRDefault="00CA5F71">
            <w:pPr>
              <w:autoSpaceDE w:val="0"/>
              <w:autoSpaceDN w:val="0"/>
              <w:adjustRightInd w:val="0"/>
              <w:jc w:val="center"/>
              <w:rPr>
                <w:noProof/>
                <w:sz w:val="24"/>
                <w:szCs w:val="24"/>
                <w:u w:val="single"/>
              </w:rPr>
            </w:pPr>
            <w:r w:rsidRPr="004D5AB1">
              <w:rPr>
                <w:sz w:val="24"/>
                <w:szCs w:val="24"/>
              </w:rPr>
              <w:t>256 (60,5)</w:t>
            </w:r>
          </w:p>
        </w:tc>
        <w:tc>
          <w:tcPr>
            <w:tcW w:w="706" w:type="pct"/>
            <w:tcBorders>
              <w:top w:val="single" w:sz="4" w:space="0" w:color="auto"/>
              <w:left w:val="single" w:sz="4" w:space="0" w:color="auto"/>
              <w:bottom w:val="single" w:sz="4" w:space="0" w:color="auto"/>
              <w:right w:val="single" w:sz="4" w:space="0" w:color="auto"/>
            </w:tcBorders>
            <w:vAlign w:val="bottom"/>
            <w:hideMark/>
          </w:tcPr>
          <w:p w14:paraId="24A56A1F" w14:textId="77777777" w:rsidR="00CA5F71" w:rsidRPr="004D5AB1" w:rsidRDefault="00CA5F71">
            <w:pPr>
              <w:autoSpaceDE w:val="0"/>
              <w:autoSpaceDN w:val="0"/>
              <w:adjustRightInd w:val="0"/>
              <w:jc w:val="center"/>
              <w:rPr>
                <w:sz w:val="24"/>
                <w:szCs w:val="24"/>
              </w:rPr>
            </w:pPr>
            <w:r w:rsidRPr="004D5AB1">
              <w:rPr>
                <w:sz w:val="24"/>
                <w:szCs w:val="24"/>
              </w:rPr>
              <w:t>447 (70,1)</w:t>
            </w:r>
          </w:p>
        </w:tc>
      </w:tr>
      <w:tr w:rsidR="00CA5F71" w:rsidRPr="004D5AB1" w14:paraId="1A2D1016"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00C4D507" w14:textId="77777777" w:rsidR="00CA5F71" w:rsidRPr="004D5AB1" w:rsidRDefault="00CA5F71">
            <w:pPr>
              <w:autoSpaceDE w:val="0"/>
              <w:autoSpaceDN w:val="0"/>
              <w:adjustRightInd w:val="0"/>
              <w:rPr>
                <w:sz w:val="24"/>
                <w:szCs w:val="24"/>
              </w:rPr>
            </w:pPr>
            <w:r w:rsidRPr="004D5AB1">
              <w:rPr>
                <w:noProof/>
                <w:sz w:val="24"/>
                <w:szCs w:val="24"/>
              </w:rPr>
              <w:t>Sammenlignet med placebo</w:t>
            </w:r>
          </w:p>
        </w:tc>
      </w:tr>
      <w:tr w:rsidR="00CA5F71" w:rsidRPr="004D5AB1" w14:paraId="7D2A1B4A"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4DCEEBB7" w14:textId="77777777" w:rsidR="00CA5F71" w:rsidRPr="004D5AB1" w:rsidRDefault="00CA5F71">
            <w:pPr>
              <w:autoSpaceDE w:val="0"/>
              <w:autoSpaceDN w:val="0"/>
              <w:adjustRightInd w:val="0"/>
              <w:rPr>
                <w:sz w:val="24"/>
                <w:szCs w:val="24"/>
              </w:rPr>
            </w:pPr>
            <w:r w:rsidRPr="004D5AB1">
              <w:rPr>
                <w:noProof/>
                <w:sz w:val="24"/>
                <w:szCs w:val="24"/>
              </w:rPr>
              <w:t>Oddsratio</w:t>
            </w:r>
          </w:p>
        </w:tc>
        <w:tc>
          <w:tcPr>
            <w:tcW w:w="682" w:type="pct"/>
            <w:tcBorders>
              <w:top w:val="single" w:sz="4" w:space="0" w:color="auto"/>
              <w:left w:val="single" w:sz="4" w:space="0" w:color="auto"/>
              <w:bottom w:val="single" w:sz="4" w:space="0" w:color="auto"/>
              <w:right w:val="single" w:sz="4" w:space="0" w:color="auto"/>
            </w:tcBorders>
          </w:tcPr>
          <w:p w14:paraId="1635BB04"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2654370F" w14:textId="77777777" w:rsidR="00CA5F71" w:rsidRPr="004D5AB1" w:rsidRDefault="00CA5F71">
            <w:pPr>
              <w:autoSpaceDE w:val="0"/>
              <w:autoSpaceDN w:val="0"/>
              <w:adjustRightInd w:val="0"/>
              <w:jc w:val="center"/>
              <w:rPr>
                <w:sz w:val="24"/>
                <w:szCs w:val="24"/>
              </w:rPr>
            </w:pPr>
            <w:r w:rsidRPr="004D5AB1">
              <w:rPr>
                <w:sz w:val="24"/>
                <w:szCs w:val="24"/>
              </w:rPr>
              <w:t>1,91</w:t>
            </w:r>
          </w:p>
        </w:tc>
        <w:tc>
          <w:tcPr>
            <w:tcW w:w="682" w:type="pct"/>
            <w:tcBorders>
              <w:top w:val="single" w:sz="4" w:space="0" w:color="auto"/>
              <w:left w:val="single" w:sz="4" w:space="0" w:color="auto"/>
              <w:bottom w:val="single" w:sz="4" w:space="0" w:color="auto"/>
              <w:right w:val="single" w:sz="4" w:space="0" w:color="auto"/>
            </w:tcBorders>
            <w:vAlign w:val="center"/>
          </w:tcPr>
          <w:p w14:paraId="07D1138B"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AE76DD8" w14:textId="77777777" w:rsidR="00CA5F71" w:rsidRPr="004D5AB1" w:rsidRDefault="00CA5F71">
            <w:pPr>
              <w:autoSpaceDE w:val="0"/>
              <w:autoSpaceDN w:val="0"/>
              <w:adjustRightInd w:val="0"/>
              <w:jc w:val="center"/>
              <w:rPr>
                <w:sz w:val="24"/>
                <w:szCs w:val="24"/>
              </w:rPr>
            </w:pPr>
            <w:r w:rsidRPr="004D5AB1">
              <w:rPr>
                <w:sz w:val="24"/>
                <w:szCs w:val="24"/>
              </w:rPr>
              <w:t>1,29</w:t>
            </w:r>
          </w:p>
        </w:tc>
        <w:tc>
          <w:tcPr>
            <w:tcW w:w="682" w:type="pct"/>
            <w:tcBorders>
              <w:top w:val="single" w:sz="4" w:space="0" w:color="auto"/>
              <w:left w:val="single" w:sz="4" w:space="0" w:color="auto"/>
              <w:bottom w:val="single" w:sz="4" w:space="0" w:color="auto"/>
              <w:right w:val="single" w:sz="4" w:space="0" w:color="auto"/>
            </w:tcBorders>
            <w:vAlign w:val="center"/>
          </w:tcPr>
          <w:p w14:paraId="1B6DFA12"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651F4F17" w14:textId="77777777" w:rsidR="00CA5F71" w:rsidRPr="004D5AB1" w:rsidRDefault="00CA5F71">
            <w:pPr>
              <w:autoSpaceDE w:val="0"/>
              <w:autoSpaceDN w:val="0"/>
              <w:adjustRightInd w:val="0"/>
              <w:jc w:val="center"/>
              <w:rPr>
                <w:sz w:val="24"/>
                <w:szCs w:val="24"/>
              </w:rPr>
            </w:pPr>
            <w:r w:rsidRPr="004D5AB1">
              <w:rPr>
                <w:sz w:val="24"/>
                <w:szCs w:val="24"/>
              </w:rPr>
              <w:t>1,58</w:t>
            </w:r>
          </w:p>
        </w:tc>
      </w:tr>
      <w:tr w:rsidR="00CA5F71" w:rsidRPr="004D5AB1" w14:paraId="0651D137"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5365E256" w14:textId="77777777" w:rsidR="00CA5F71" w:rsidRPr="004D5AB1" w:rsidRDefault="00CA5F71">
            <w:pPr>
              <w:autoSpaceDE w:val="0"/>
              <w:autoSpaceDN w:val="0"/>
              <w:adjustRightInd w:val="0"/>
              <w:rPr>
                <w:sz w:val="24"/>
                <w:szCs w:val="24"/>
              </w:rPr>
            </w:pPr>
            <w:r w:rsidRPr="004D5AB1">
              <w:rPr>
                <w:sz w:val="24"/>
                <w:szCs w:val="24"/>
              </w:rPr>
              <w:t>95 % CI</w:t>
            </w:r>
          </w:p>
        </w:tc>
        <w:tc>
          <w:tcPr>
            <w:tcW w:w="682" w:type="pct"/>
            <w:tcBorders>
              <w:top w:val="single" w:sz="4" w:space="0" w:color="auto"/>
              <w:left w:val="single" w:sz="4" w:space="0" w:color="auto"/>
              <w:bottom w:val="single" w:sz="4" w:space="0" w:color="auto"/>
              <w:right w:val="single" w:sz="4" w:space="0" w:color="auto"/>
            </w:tcBorders>
          </w:tcPr>
          <w:p w14:paraId="06A8F236"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A60A37D" w14:textId="77777777" w:rsidR="00CA5F71" w:rsidRPr="004D5AB1" w:rsidRDefault="00CA5F71">
            <w:pPr>
              <w:autoSpaceDE w:val="0"/>
              <w:autoSpaceDN w:val="0"/>
              <w:adjustRightInd w:val="0"/>
              <w:jc w:val="center"/>
              <w:rPr>
                <w:sz w:val="24"/>
                <w:szCs w:val="24"/>
              </w:rPr>
            </w:pPr>
            <w:r w:rsidRPr="004D5AB1">
              <w:rPr>
                <w:rFonts w:eastAsia="SimSun"/>
                <w:sz w:val="24"/>
                <w:szCs w:val="24"/>
                <w:lang w:val="en-US" w:eastAsia="en-GB"/>
              </w:rPr>
              <w:t>(1,32; 2,79)</w:t>
            </w:r>
          </w:p>
        </w:tc>
        <w:tc>
          <w:tcPr>
            <w:tcW w:w="682" w:type="pct"/>
            <w:tcBorders>
              <w:top w:val="single" w:sz="4" w:space="0" w:color="auto"/>
              <w:left w:val="single" w:sz="4" w:space="0" w:color="auto"/>
              <w:bottom w:val="single" w:sz="4" w:space="0" w:color="auto"/>
              <w:right w:val="single" w:sz="4" w:space="0" w:color="auto"/>
            </w:tcBorders>
            <w:vAlign w:val="center"/>
          </w:tcPr>
          <w:p w14:paraId="086CA9C9"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BBA4069" w14:textId="77777777" w:rsidR="00CA5F71" w:rsidRPr="004D5AB1" w:rsidRDefault="00CA5F71">
            <w:pPr>
              <w:autoSpaceDE w:val="0"/>
              <w:autoSpaceDN w:val="0"/>
              <w:adjustRightInd w:val="0"/>
              <w:jc w:val="center"/>
              <w:rPr>
                <w:sz w:val="24"/>
                <w:szCs w:val="24"/>
              </w:rPr>
            </w:pPr>
            <w:r w:rsidRPr="004D5AB1">
              <w:rPr>
                <w:rFonts w:eastAsia="SimSun"/>
                <w:sz w:val="24"/>
                <w:szCs w:val="24"/>
                <w:lang w:val="en-US" w:eastAsia="en-GB"/>
              </w:rPr>
              <w:t>(0,89; 1,86)</w:t>
            </w:r>
          </w:p>
        </w:tc>
        <w:tc>
          <w:tcPr>
            <w:tcW w:w="682" w:type="pct"/>
            <w:tcBorders>
              <w:top w:val="single" w:sz="4" w:space="0" w:color="auto"/>
              <w:left w:val="single" w:sz="4" w:space="0" w:color="auto"/>
              <w:bottom w:val="single" w:sz="4" w:space="0" w:color="auto"/>
              <w:right w:val="single" w:sz="4" w:space="0" w:color="auto"/>
            </w:tcBorders>
            <w:vAlign w:val="center"/>
          </w:tcPr>
          <w:p w14:paraId="4345E56B"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6B7F1B93" w14:textId="77777777" w:rsidR="00CA5F71" w:rsidRPr="004D5AB1" w:rsidRDefault="00CA5F71">
            <w:pPr>
              <w:autoSpaceDE w:val="0"/>
              <w:autoSpaceDN w:val="0"/>
              <w:adjustRightInd w:val="0"/>
              <w:jc w:val="center"/>
              <w:rPr>
                <w:sz w:val="24"/>
                <w:szCs w:val="24"/>
              </w:rPr>
            </w:pPr>
            <w:r w:rsidRPr="004D5AB1">
              <w:rPr>
                <w:rFonts w:eastAsia="SimSun"/>
                <w:sz w:val="24"/>
                <w:szCs w:val="24"/>
                <w:lang w:val="en-US" w:eastAsia="en-GB"/>
              </w:rPr>
              <w:t>(1,21; 2,05)</w:t>
            </w:r>
          </w:p>
        </w:tc>
      </w:tr>
      <w:tr w:rsidR="00CA5F71" w:rsidRPr="004D5AB1" w14:paraId="46678F76"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0BD3D35F" w14:textId="77777777" w:rsidR="00CA5F71" w:rsidRPr="004D5AB1" w:rsidRDefault="00CA5F71">
            <w:pPr>
              <w:autoSpaceDE w:val="0"/>
              <w:autoSpaceDN w:val="0"/>
              <w:adjustRightInd w:val="0"/>
              <w:rPr>
                <w:sz w:val="24"/>
                <w:szCs w:val="24"/>
                <w:vertAlign w:val="superscript"/>
              </w:rPr>
            </w:pPr>
            <w:r w:rsidRPr="004D5AB1">
              <w:rPr>
                <w:sz w:val="24"/>
                <w:szCs w:val="24"/>
              </w:rPr>
              <w:t>p-værdi</w:t>
            </w:r>
            <w:r w:rsidRPr="004D5AB1">
              <w:rPr>
                <w:sz w:val="24"/>
                <w:szCs w:val="24"/>
                <w:vertAlign w:val="superscript"/>
              </w:rPr>
              <w:t>2</w:t>
            </w:r>
          </w:p>
        </w:tc>
        <w:tc>
          <w:tcPr>
            <w:tcW w:w="682" w:type="pct"/>
            <w:tcBorders>
              <w:top w:val="single" w:sz="4" w:space="0" w:color="auto"/>
              <w:left w:val="single" w:sz="4" w:space="0" w:color="auto"/>
              <w:bottom w:val="single" w:sz="4" w:space="0" w:color="auto"/>
              <w:right w:val="single" w:sz="4" w:space="0" w:color="auto"/>
            </w:tcBorders>
          </w:tcPr>
          <w:p w14:paraId="58609351"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C005FEC" w14:textId="77777777" w:rsidR="00CA5F71" w:rsidRPr="004D5AB1" w:rsidRDefault="00CA5F71">
            <w:pPr>
              <w:autoSpaceDE w:val="0"/>
              <w:autoSpaceDN w:val="0"/>
              <w:adjustRightInd w:val="0"/>
              <w:jc w:val="center"/>
              <w:rPr>
                <w:sz w:val="24"/>
                <w:szCs w:val="24"/>
              </w:rPr>
            </w:pPr>
            <w:r w:rsidRPr="004D5AB1">
              <w:rPr>
                <w:sz w:val="24"/>
                <w:szCs w:val="24"/>
              </w:rPr>
              <w:t>0,0007</w:t>
            </w:r>
          </w:p>
        </w:tc>
        <w:tc>
          <w:tcPr>
            <w:tcW w:w="682" w:type="pct"/>
            <w:tcBorders>
              <w:top w:val="single" w:sz="4" w:space="0" w:color="auto"/>
              <w:left w:val="single" w:sz="4" w:space="0" w:color="auto"/>
              <w:bottom w:val="single" w:sz="4" w:space="0" w:color="auto"/>
              <w:right w:val="single" w:sz="4" w:space="0" w:color="auto"/>
            </w:tcBorders>
            <w:vAlign w:val="center"/>
          </w:tcPr>
          <w:p w14:paraId="056C9DE1"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32F17C9B" w14:textId="77777777" w:rsidR="00CA5F71" w:rsidRPr="004D5AB1" w:rsidRDefault="00CA5F71">
            <w:pPr>
              <w:autoSpaceDE w:val="0"/>
              <w:autoSpaceDN w:val="0"/>
              <w:adjustRightInd w:val="0"/>
              <w:jc w:val="center"/>
              <w:rPr>
                <w:sz w:val="24"/>
                <w:szCs w:val="24"/>
              </w:rPr>
            </w:pPr>
            <w:r w:rsidRPr="004D5AB1">
              <w:rPr>
                <w:sz w:val="24"/>
                <w:szCs w:val="24"/>
              </w:rPr>
              <w:t>0,1833</w:t>
            </w:r>
          </w:p>
        </w:tc>
        <w:tc>
          <w:tcPr>
            <w:tcW w:w="682" w:type="pct"/>
            <w:tcBorders>
              <w:top w:val="single" w:sz="4" w:space="0" w:color="auto"/>
              <w:left w:val="single" w:sz="4" w:space="0" w:color="auto"/>
              <w:bottom w:val="single" w:sz="4" w:space="0" w:color="auto"/>
              <w:right w:val="single" w:sz="4" w:space="0" w:color="auto"/>
            </w:tcBorders>
            <w:vAlign w:val="center"/>
          </w:tcPr>
          <w:p w14:paraId="7546252A"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F0CBAD0" w14:textId="77777777" w:rsidR="00CA5F71" w:rsidRPr="004D5AB1" w:rsidRDefault="00CA5F71">
            <w:pPr>
              <w:autoSpaceDE w:val="0"/>
              <w:autoSpaceDN w:val="0"/>
              <w:adjustRightInd w:val="0"/>
              <w:jc w:val="center"/>
              <w:rPr>
                <w:sz w:val="24"/>
                <w:szCs w:val="24"/>
              </w:rPr>
            </w:pPr>
            <w:r w:rsidRPr="004D5AB1">
              <w:rPr>
                <w:sz w:val="24"/>
                <w:szCs w:val="24"/>
              </w:rPr>
              <w:t>0,0007</w:t>
            </w:r>
          </w:p>
        </w:tc>
      </w:tr>
    </w:tbl>
    <w:p w14:paraId="0DF769CD" w14:textId="7D9D49CF" w:rsidR="00CA5F71" w:rsidRPr="0099618E" w:rsidRDefault="00CA5F71" w:rsidP="0099618E">
      <w:pPr>
        <w:autoSpaceDE w:val="0"/>
        <w:autoSpaceDN w:val="0"/>
        <w:adjustRightInd w:val="0"/>
        <w:ind w:left="284" w:hanging="284"/>
        <w:rPr>
          <w:sz w:val="20"/>
        </w:rPr>
      </w:pPr>
      <w:r w:rsidRPr="0099618E">
        <w:rPr>
          <w:sz w:val="20"/>
          <w:vertAlign w:val="superscript"/>
        </w:rPr>
        <w:t xml:space="preserve">1 </w:t>
      </w:r>
      <w:r w:rsidR="0099618E" w:rsidRPr="0099618E">
        <w:rPr>
          <w:sz w:val="20"/>
          <w:vertAlign w:val="superscript"/>
        </w:rPr>
        <w:tab/>
      </w:r>
      <w:proofErr w:type="spellStart"/>
      <w:r w:rsidRPr="0099618E">
        <w:rPr>
          <w:sz w:val="20"/>
        </w:rPr>
        <w:t>Responderpatienter</w:t>
      </w:r>
      <w:proofErr w:type="spellEnd"/>
      <w:r w:rsidRPr="0099618E">
        <w:rPr>
          <w:sz w:val="20"/>
        </w:rPr>
        <w:t xml:space="preserve"> er dem, der ikke har noget absolut fald større end 5 % eller større end 10 % i FVC % forventet, afhængigt af tærskelværdien og med FVC-evaluering efter 52 uger.</w:t>
      </w:r>
    </w:p>
    <w:p w14:paraId="67A29F55" w14:textId="16257FC4" w:rsidR="00CA5F71" w:rsidRPr="0099618E" w:rsidRDefault="00CA5F71" w:rsidP="0099618E">
      <w:pPr>
        <w:suppressAutoHyphens/>
        <w:ind w:left="284" w:hanging="284"/>
        <w:rPr>
          <w:sz w:val="20"/>
        </w:rPr>
      </w:pPr>
      <w:r w:rsidRPr="0099618E">
        <w:rPr>
          <w:sz w:val="20"/>
          <w:vertAlign w:val="superscript"/>
        </w:rPr>
        <w:t xml:space="preserve">2 </w:t>
      </w:r>
      <w:r w:rsidR="0099618E" w:rsidRPr="0099618E">
        <w:rPr>
          <w:sz w:val="20"/>
          <w:vertAlign w:val="superscript"/>
        </w:rPr>
        <w:tab/>
      </w:r>
      <w:r w:rsidRPr="0099618E">
        <w:rPr>
          <w:sz w:val="20"/>
        </w:rPr>
        <w:t>Baseret på logistisk regression</w:t>
      </w:r>
    </w:p>
    <w:p w14:paraId="64C7731E" w14:textId="77777777" w:rsidR="00CA5F71" w:rsidRPr="004D5AB1" w:rsidRDefault="00CA5F71" w:rsidP="0015226E">
      <w:pPr>
        <w:suppressAutoHyphens/>
        <w:ind w:left="851"/>
        <w:rPr>
          <w:bCs/>
          <w:noProof/>
          <w:sz w:val="24"/>
          <w:szCs w:val="24"/>
        </w:rPr>
      </w:pPr>
    </w:p>
    <w:p w14:paraId="52982DAC"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Tid indtil progression (≥10 % absolut fald i FVC % forventet eller død)</w:t>
      </w:r>
    </w:p>
    <w:p w14:paraId="331D0F47" w14:textId="77777777" w:rsidR="00CA5F71" w:rsidRPr="004D5AB1" w:rsidRDefault="00CA5F71" w:rsidP="0015226E">
      <w:pPr>
        <w:suppressAutoHyphens/>
        <w:ind w:left="851"/>
        <w:rPr>
          <w:bCs/>
          <w:noProof/>
          <w:sz w:val="24"/>
          <w:szCs w:val="24"/>
        </w:rPr>
      </w:pPr>
      <w:r w:rsidRPr="004D5AB1">
        <w:rPr>
          <w:bCs/>
          <w:noProof/>
          <w:sz w:val="24"/>
          <w:szCs w:val="24"/>
        </w:rPr>
        <w:t>I begge INPULSIS-studier var risikoen for progression statistisk signifikant reduceret hos patienter, der blev behandlet med nintedanib, i forhold til placebogruppen. I den samlede analyse var HR 0,60, hvilket indikerede en 40 % risikoreduktion for progression hos patienter, der blev behandlet med nintedanib, i forhold til placebogruppen.</w:t>
      </w:r>
    </w:p>
    <w:p w14:paraId="7CDFF0EE" w14:textId="77777777" w:rsidR="00CA5F71" w:rsidRPr="004D5AB1" w:rsidRDefault="00CA5F71" w:rsidP="00CA5F71">
      <w:pPr>
        <w:suppressAutoHyphens/>
        <w:rPr>
          <w:bCs/>
          <w:noProof/>
          <w:sz w:val="24"/>
          <w:szCs w:val="24"/>
        </w:rPr>
      </w:pPr>
    </w:p>
    <w:p w14:paraId="362AC802" w14:textId="77777777" w:rsidR="00CA5F71" w:rsidRPr="004D5AB1" w:rsidRDefault="00CA5F71" w:rsidP="00CA5F71">
      <w:pPr>
        <w:suppressAutoHyphens/>
        <w:ind w:left="1440" w:hanging="1440"/>
        <w:rPr>
          <w:b/>
          <w:bCs/>
          <w:noProof/>
          <w:sz w:val="24"/>
          <w:szCs w:val="24"/>
        </w:rPr>
      </w:pPr>
      <w:r w:rsidRPr="004D5AB1">
        <w:rPr>
          <w:b/>
          <w:bCs/>
          <w:noProof/>
          <w:sz w:val="24"/>
          <w:szCs w:val="24"/>
        </w:rPr>
        <w:t xml:space="preserve">Tabel 5: </w:t>
      </w:r>
      <w:r w:rsidRPr="004D5AB1">
        <w:rPr>
          <w:b/>
          <w:bCs/>
          <w:noProof/>
          <w:sz w:val="24"/>
          <w:szCs w:val="24"/>
        </w:rPr>
        <w:tab/>
        <w:t xml:space="preserve">Hyppighed af patienter med et fald ≥ 10 % i FVC % forventet eller død i 52 uger og tid til progression i studierne INPULSIS-1 og INPULSIS-2 samt deres samlede data – </w:t>
      </w:r>
      <w:r w:rsidRPr="004D5AB1">
        <w:rPr>
          <w:b/>
          <w:bCs/>
          <w:i/>
          <w:iCs/>
          <w:noProof/>
          <w:sz w:val="24"/>
          <w:szCs w:val="24"/>
        </w:rPr>
        <w:t>treated set</w:t>
      </w:r>
    </w:p>
    <w:tbl>
      <w:tblPr>
        <w:tblStyle w:val="Tabel-Gitter"/>
        <w:tblW w:w="5000" w:type="pct"/>
        <w:tblInd w:w="0" w:type="dxa"/>
        <w:tblLook w:val="04A0" w:firstRow="1" w:lastRow="0" w:firstColumn="1" w:lastColumn="0" w:noHBand="0" w:noVBand="1"/>
      </w:tblPr>
      <w:tblGrid>
        <w:gridCol w:w="1609"/>
        <w:gridCol w:w="1314"/>
        <w:gridCol w:w="1359"/>
        <w:gridCol w:w="1313"/>
        <w:gridCol w:w="1361"/>
        <w:gridCol w:w="1313"/>
        <w:gridCol w:w="1359"/>
      </w:tblGrid>
      <w:tr w:rsidR="00CA5F71" w:rsidRPr="004D5AB1" w14:paraId="66F3D76B" w14:textId="77777777" w:rsidTr="0015226E">
        <w:tc>
          <w:tcPr>
            <w:tcW w:w="835" w:type="pct"/>
            <w:vMerge w:val="restart"/>
            <w:tcBorders>
              <w:top w:val="single" w:sz="4" w:space="0" w:color="auto"/>
              <w:left w:val="single" w:sz="4" w:space="0" w:color="auto"/>
              <w:bottom w:val="single" w:sz="4" w:space="0" w:color="auto"/>
              <w:right w:val="single" w:sz="4" w:space="0" w:color="auto"/>
            </w:tcBorders>
          </w:tcPr>
          <w:p w14:paraId="2247BDC9" w14:textId="77777777" w:rsidR="00CA5F71" w:rsidRPr="004D5AB1" w:rsidRDefault="00CA5F71">
            <w:pPr>
              <w:autoSpaceDE w:val="0"/>
              <w:autoSpaceDN w:val="0"/>
              <w:adjustRightInd w:val="0"/>
              <w:rPr>
                <w:noProof/>
                <w:sz w:val="24"/>
                <w:szCs w:val="24"/>
              </w:rPr>
            </w:pPr>
          </w:p>
        </w:tc>
        <w:tc>
          <w:tcPr>
            <w:tcW w:w="1388" w:type="pct"/>
            <w:gridSpan w:val="2"/>
            <w:tcBorders>
              <w:top w:val="single" w:sz="4" w:space="0" w:color="auto"/>
              <w:left w:val="single" w:sz="4" w:space="0" w:color="auto"/>
              <w:bottom w:val="single" w:sz="4" w:space="0" w:color="auto"/>
              <w:right w:val="single" w:sz="4" w:space="0" w:color="auto"/>
            </w:tcBorders>
            <w:hideMark/>
          </w:tcPr>
          <w:p w14:paraId="35487F51" w14:textId="77777777" w:rsidR="00CA5F71" w:rsidRPr="004D5AB1" w:rsidRDefault="00CA5F71">
            <w:pPr>
              <w:autoSpaceDE w:val="0"/>
              <w:autoSpaceDN w:val="0"/>
              <w:adjustRightInd w:val="0"/>
              <w:jc w:val="center"/>
              <w:rPr>
                <w:noProof/>
                <w:sz w:val="24"/>
                <w:szCs w:val="24"/>
              </w:rPr>
            </w:pPr>
            <w:r w:rsidRPr="004D5AB1">
              <w:rPr>
                <w:noProof/>
                <w:sz w:val="24"/>
                <w:szCs w:val="24"/>
              </w:rPr>
              <w:t>INPULSIS-1</w:t>
            </w:r>
          </w:p>
        </w:tc>
        <w:tc>
          <w:tcPr>
            <w:tcW w:w="1389" w:type="pct"/>
            <w:gridSpan w:val="2"/>
            <w:tcBorders>
              <w:top w:val="single" w:sz="4" w:space="0" w:color="auto"/>
              <w:left w:val="single" w:sz="4" w:space="0" w:color="auto"/>
              <w:bottom w:val="single" w:sz="4" w:space="0" w:color="auto"/>
              <w:right w:val="single" w:sz="4" w:space="0" w:color="auto"/>
            </w:tcBorders>
            <w:hideMark/>
          </w:tcPr>
          <w:p w14:paraId="39492237" w14:textId="77777777" w:rsidR="00CA5F71" w:rsidRPr="004D5AB1" w:rsidRDefault="00CA5F71">
            <w:pPr>
              <w:autoSpaceDE w:val="0"/>
              <w:autoSpaceDN w:val="0"/>
              <w:adjustRightInd w:val="0"/>
              <w:jc w:val="center"/>
              <w:rPr>
                <w:noProof/>
                <w:sz w:val="24"/>
                <w:szCs w:val="24"/>
              </w:rPr>
            </w:pPr>
            <w:r w:rsidRPr="004D5AB1">
              <w:rPr>
                <w:noProof/>
                <w:sz w:val="24"/>
                <w:szCs w:val="24"/>
              </w:rPr>
              <w:t>INPULSIS-3</w:t>
            </w:r>
          </w:p>
        </w:tc>
        <w:tc>
          <w:tcPr>
            <w:tcW w:w="1389" w:type="pct"/>
            <w:gridSpan w:val="2"/>
            <w:tcBorders>
              <w:top w:val="single" w:sz="4" w:space="0" w:color="auto"/>
              <w:left w:val="single" w:sz="4" w:space="0" w:color="auto"/>
              <w:bottom w:val="single" w:sz="4" w:space="0" w:color="auto"/>
              <w:right w:val="single" w:sz="4" w:space="0" w:color="auto"/>
            </w:tcBorders>
            <w:hideMark/>
          </w:tcPr>
          <w:p w14:paraId="45B25F03" w14:textId="77777777" w:rsidR="00CA5F71" w:rsidRPr="004D5AB1" w:rsidRDefault="00CA5F71">
            <w:pPr>
              <w:autoSpaceDE w:val="0"/>
              <w:autoSpaceDN w:val="0"/>
              <w:adjustRightInd w:val="0"/>
              <w:jc w:val="center"/>
              <w:rPr>
                <w:noProof/>
                <w:sz w:val="24"/>
                <w:szCs w:val="24"/>
              </w:rPr>
            </w:pPr>
            <w:r w:rsidRPr="004D5AB1">
              <w:rPr>
                <w:noProof/>
                <w:sz w:val="24"/>
                <w:szCs w:val="24"/>
              </w:rPr>
              <w:t>INPULSIS-1 og INPULSIS-2 samlet</w:t>
            </w:r>
          </w:p>
        </w:tc>
      </w:tr>
      <w:tr w:rsidR="00CA5F71" w:rsidRPr="004D5AB1" w14:paraId="04D91CE4" w14:textId="77777777" w:rsidTr="0015226E">
        <w:tc>
          <w:tcPr>
            <w:tcW w:w="835" w:type="pct"/>
            <w:vMerge/>
            <w:tcBorders>
              <w:top w:val="single" w:sz="4" w:space="0" w:color="auto"/>
              <w:left w:val="single" w:sz="4" w:space="0" w:color="auto"/>
              <w:bottom w:val="single" w:sz="4" w:space="0" w:color="auto"/>
              <w:right w:val="single" w:sz="4" w:space="0" w:color="auto"/>
            </w:tcBorders>
            <w:vAlign w:val="center"/>
            <w:hideMark/>
          </w:tcPr>
          <w:p w14:paraId="339C2234" w14:textId="77777777" w:rsidR="00CA5F71" w:rsidRPr="004D5AB1" w:rsidRDefault="00CA5F71">
            <w:pPr>
              <w:rPr>
                <w:noProof/>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07D8E1D0"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265B8F87"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219DF2E7"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437C5EFC"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1554C5F0"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703A3A3D"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r>
      <w:tr w:rsidR="00CA5F71" w:rsidRPr="004D5AB1" w14:paraId="6028BDF1"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8360B81" w14:textId="77777777" w:rsidR="00CA5F71" w:rsidRPr="004D5AB1" w:rsidRDefault="00CA5F71">
            <w:pPr>
              <w:autoSpaceDE w:val="0"/>
              <w:autoSpaceDN w:val="0"/>
              <w:adjustRightInd w:val="0"/>
              <w:rPr>
                <w:noProof/>
                <w:sz w:val="24"/>
                <w:szCs w:val="24"/>
              </w:rPr>
            </w:pPr>
            <w:r w:rsidRPr="004D5AB1">
              <w:rPr>
                <w:noProof/>
                <w:sz w:val="24"/>
                <w:szCs w:val="24"/>
              </w:rPr>
              <w:t>Antal i risiko</w:t>
            </w:r>
          </w:p>
        </w:tc>
        <w:tc>
          <w:tcPr>
            <w:tcW w:w="682" w:type="pct"/>
            <w:tcBorders>
              <w:top w:val="single" w:sz="4" w:space="0" w:color="auto"/>
              <w:left w:val="single" w:sz="4" w:space="0" w:color="auto"/>
              <w:bottom w:val="single" w:sz="4" w:space="0" w:color="auto"/>
              <w:right w:val="single" w:sz="4" w:space="0" w:color="auto"/>
            </w:tcBorders>
            <w:vAlign w:val="bottom"/>
            <w:hideMark/>
          </w:tcPr>
          <w:p w14:paraId="6C6421F0" w14:textId="77777777" w:rsidR="00CA5F71" w:rsidRPr="004D5AB1" w:rsidRDefault="00CA5F71">
            <w:pPr>
              <w:autoSpaceDE w:val="0"/>
              <w:autoSpaceDN w:val="0"/>
              <w:adjustRightInd w:val="0"/>
              <w:jc w:val="center"/>
              <w:rPr>
                <w:noProof/>
                <w:sz w:val="24"/>
                <w:szCs w:val="24"/>
                <w:u w:val="single"/>
              </w:rPr>
            </w:pPr>
            <w:r w:rsidRPr="004D5AB1">
              <w:rPr>
                <w:sz w:val="24"/>
                <w:szCs w:val="24"/>
              </w:rPr>
              <w:t>204</w:t>
            </w:r>
          </w:p>
        </w:tc>
        <w:tc>
          <w:tcPr>
            <w:tcW w:w="706" w:type="pct"/>
            <w:tcBorders>
              <w:top w:val="single" w:sz="4" w:space="0" w:color="auto"/>
              <w:left w:val="single" w:sz="4" w:space="0" w:color="auto"/>
              <w:bottom w:val="single" w:sz="4" w:space="0" w:color="auto"/>
              <w:right w:val="single" w:sz="4" w:space="0" w:color="auto"/>
            </w:tcBorders>
            <w:vAlign w:val="bottom"/>
            <w:hideMark/>
          </w:tcPr>
          <w:p w14:paraId="5876D85E" w14:textId="77777777" w:rsidR="00CA5F71" w:rsidRPr="004D5AB1" w:rsidRDefault="00CA5F71">
            <w:pPr>
              <w:autoSpaceDE w:val="0"/>
              <w:autoSpaceDN w:val="0"/>
              <w:adjustRightInd w:val="0"/>
              <w:jc w:val="center"/>
              <w:rPr>
                <w:noProof/>
                <w:sz w:val="24"/>
                <w:szCs w:val="24"/>
                <w:u w:val="single"/>
              </w:rPr>
            </w:pPr>
            <w:r w:rsidRPr="004D5AB1">
              <w:rPr>
                <w:sz w:val="24"/>
                <w:szCs w:val="24"/>
              </w:rPr>
              <w:t>309</w:t>
            </w:r>
          </w:p>
        </w:tc>
        <w:tc>
          <w:tcPr>
            <w:tcW w:w="682" w:type="pct"/>
            <w:tcBorders>
              <w:top w:val="single" w:sz="4" w:space="0" w:color="auto"/>
              <w:left w:val="single" w:sz="4" w:space="0" w:color="auto"/>
              <w:bottom w:val="single" w:sz="4" w:space="0" w:color="auto"/>
              <w:right w:val="single" w:sz="4" w:space="0" w:color="auto"/>
            </w:tcBorders>
            <w:vAlign w:val="bottom"/>
            <w:hideMark/>
          </w:tcPr>
          <w:p w14:paraId="62576271" w14:textId="77777777" w:rsidR="00CA5F71" w:rsidRPr="004D5AB1" w:rsidRDefault="00CA5F71">
            <w:pPr>
              <w:autoSpaceDE w:val="0"/>
              <w:autoSpaceDN w:val="0"/>
              <w:adjustRightInd w:val="0"/>
              <w:jc w:val="center"/>
              <w:rPr>
                <w:noProof/>
                <w:sz w:val="24"/>
                <w:szCs w:val="24"/>
                <w:u w:val="single"/>
              </w:rPr>
            </w:pPr>
            <w:r w:rsidRPr="004D5AB1">
              <w:rPr>
                <w:sz w:val="24"/>
                <w:szCs w:val="24"/>
              </w:rPr>
              <w:t>219</w:t>
            </w:r>
          </w:p>
        </w:tc>
        <w:tc>
          <w:tcPr>
            <w:tcW w:w="706" w:type="pct"/>
            <w:tcBorders>
              <w:top w:val="single" w:sz="4" w:space="0" w:color="auto"/>
              <w:left w:val="single" w:sz="4" w:space="0" w:color="auto"/>
              <w:bottom w:val="single" w:sz="4" w:space="0" w:color="auto"/>
              <w:right w:val="single" w:sz="4" w:space="0" w:color="auto"/>
            </w:tcBorders>
            <w:vAlign w:val="bottom"/>
            <w:hideMark/>
          </w:tcPr>
          <w:p w14:paraId="4D687027" w14:textId="77777777" w:rsidR="00CA5F71" w:rsidRPr="004D5AB1" w:rsidRDefault="00CA5F71">
            <w:pPr>
              <w:autoSpaceDE w:val="0"/>
              <w:autoSpaceDN w:val="0"/>
              <w:adjustRightInd w:val="0"/>
              <w:jc w:val="center"/>
              <w:rPr>
                <w:noProof/>
                <w:sz w:val="24"/>
                <w:szCs w:val="24"/>
                <w:u w:val="single"/>
              </w:rPr>
            </w:pPr>
            <w:r w:rsidRPr="004D5AB1">
              <w:rPr>
                <w:sz w:val="24"/>
                <w:szCs w:val="24"/>
              </w:rPr>
              <w:t>329</w:t>
            </w:r>
          </w:p>
        </w:tc>
        <w:tc>
          <w:tcPr>
            <w:tcW w:w="682" w:type="pct"/>
            <w:tcBorders>
              <w:top w:val="single" w:sz="4" w:space="0" w:color="auto"/>
              <w:left w:val="single" w:sz="4" w:space="0" w:color="auto"/>
              <w:bottom w:val="single" w:sz="4" w:space="0" w:color="auto"/>
              <w:right w:val="single" w:sz="4" w:space="0" w:color="auto"/>
            </w:tcBorders>
            <w:vAlign w:val="bottom"/>
            <w:hideMark/>
          </w:tcPr>
          <w:p w14:paraId="3AA35F9C" w14:textId="77777777" w:rsidR="00CA5F71" w:rsidRPr="004D5AB1" w:rsidRDefault="00CA5F71">
            <w:pPr>
              <w:autoSpaceDE w:val="0"/>
              <w:autoSpaceDN w:val="0"/>
              <w:adjustRightInd w:val="0"/>
              <w:jc w:val="center"/>
              <w:rPr>
                <w:noProof/>
                <w:sz w:val="24"/>
                <w:szCs w:val="24"/>
                <w:u w:val="single"/>
              </w:rPr>
            </w:pPr>
            <w:r w:rsidRPr="004D5AB1">
              <w:rPr>
                <w:sz w:val="24"/>
                <w:szCs w:val="24"/>
              </w:rPr>
              <w:t>423</w:t>
            </w:r>
          </w:p>
        </w:tc>
        <w:tc>
          <w:tcPr>
            <w:tcW w:w="706" w:type="pct"/>
            <w:tcBorders>
              <w:top w:val="single" w:sz="4" w:space="0" w:color="auto"/>
              <w:left w:val="single" w:sz="4" w:space="0" w:color="auto"/>
              <w:bottom w:val="single" w:sz="4" w:space="0" w:color="auto"/>
              <w:right w:val="single" w:sz="4" w:space="0" w:color="auto"/>
            </w:tcBorders>
            <w:vAlign w:val="bottom"/>
            <w:hideMark/>
          </w:tcPr>
          <w:p w14:paraId="2897BC8A" w14:textId="77777777" w:rsidR="00CA5F71" w:rsidRPr="004D5AB1" w:rsidRDefault="00CA5F71">
            <w:pPr>
              <w:autoSpaceDE w:val="0"/>
              <w:autoSpaceDN w:val="0"/>
              <w:adjustRightInd w:val="0"/>
              <w:jc w:val="center"/>
              <w:rPr>
                <w:noProof/>
                <w:sz w:val="24"/>
                <w:szCs w:val="24"/>
                <w:u w:val="single"/>
              </w:rPr>
            </w:pPr>
            <w:r w:rsidRPr="004D5AB1">
              <w:rPr>
                <w:sz w:val="24"/>
                <w:szCs w:val="24"/>
              </w:rPr>
              <w:t>638</w:t>
            </w:r>
          </w:p>
        </w:tc>
      </w:tr>
      <w:tr w:rsidR="00CA5F71" w:rsidRPr="004D5AB1" w14:paraId="3873439C"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60BAF27" w14:textId="77777777" w:rsidR="00CA5F71" w:rsidRPr="004D5AB1" w:rsidRDefault="00CA5F71">
            <w:pPr>
              <w:autoSpaceDE w:val="0"/>
              <w:autoSpaceDN w:val="0"/>
              <w:adjustRightInd w:val="0"/>
              <w:rPr>
                <w:noProof/>
                <w:sz w:val="24"/>
                <w:szCs w:val="24"/>
              </w:rPr>
            </w:pPr>
            <w:r w:rsidRPr="004D5AB1">
              <w:rPr>
                <w:noProof/>
                <w:sz w:val="24"/>
                <w:szCs w:val="24"/>
              </w:rPr>
              <w:t>Patienter med hændelser, N (%)</w:t>
            </w:r>
          </w:p>
        </w:tc>
        <w:tc>
          <w:tcPr>
            <w:tcW w:w="682" w:type="pct"/>
            <w:tcBorders>
              <w:top w:val="single" w:sz="4" w:space="0" w:color="auto"/>
              <w:left w:val="single" w:sz="4" w:space="0" w:color="auto"/>
              <w:bottom w:val="single" w:sz="4" w:space="0" w:color="auto"/>
              <w:right w:val="single" w:sz="4" w:space="0" w:color="auto"/>
            </w:tcBorders>
            <w:vAlign w:val="center"/>
            <w:hideMark/>
          </w:tcPr>
          <w:p w14:paraId="594B3486" w14:textId="77777777" w:rsidR="00CA5F71" w:rsidRPr="004D5AB1" w:rsidRDefault="00CA5F71">
            <w:pPr>
              <w:autoSpaceDE w:val="0"/>
              <w:autoSpaceDN w:val="0"/>
              <w:adjustRightInd w:val="0"/>
              <w:jc w:val="center"/>
              <w:rPr>
                <w:noProof/>
                <w:sz w:val="24"/>
                <w:szCs w:val="24"/>
                <w:u w:val="single"/>
              </w:rPr>
            </w:pPr>
            <w:r w:rsidRPr="004D5AB1">
              <w:rPr>
                <w:sz w:val="24"/>
                <w:szCs w:val="24"/>
              </w:rPr>
              <w:t>83 (40,7)</w:t>
            </w:r>
          </w:p>
        </w:tc>
        <w:tc>
          <w:tcPr>
            <w:tcW w:w="706" w:type="pct"/>
            <w:tcBorders>
              <w:top w:val="single" w:sz="4" w:space="0" w:color="auto"/>
              <w:left w:val="single" w:sz="4" w:space="0" w:color="auto"/>
              <w:bottom w:val="single" w:sz="4" w:space="0" w:color="auto"/>
              <w:right w:val="single" w:sz="4" w:space="0" w:color="auto"/>
            </w:tcBorders>
            <w:vAlign w:val="center"/>
            <w:hideMark/>
          </w:tcPr>
          <w:p w14:paraId="352ACBDA" w14:textId="77777777" w:rsidR="00CA5F71" w:rsidRPr="004D5AB1" w:rsidRDefault="00CA5F71">
            <w:pPr>
              <w:autoSpaceDE w:val="0"/>
              <w:autoSpaceDN w:val="0"/>
              <w:adjustRightInd w:val="0"/>
              <w:jc w:val="center"/>
              <w:rPr>
                <w:noProof/>
                <w:sz w:val="24"/>
                <w:szCs w:val="24"/>
                <w:u w:val="single"/>
              </w:rPr>
            </w:pPr>
            <w:r w:rsidRPr="004D5AB1">
              <w:rPr>
                <w:sz w:val="24"/>
                <w:szCs w:val="24"/>
              </w:rPr>
              <w:t>75 (24,3)</w:t>
            </w:r>
          </w:p>
        </w:tc>
        <w:tc>
          <w:tcPr>
            <w:tcW w:w="682" w:type="pct"/>
            <w:tcBorders>
              <w:top w:val="single" w:sz="4" w:space="0" w:color="auto"/>
              <w:left w:val="single" w:sz="4" w:space="0" w:color="auto"/>
              <w:bottom w:val="single" w:sz="4" w:space="0" w:color="auto"/>
              <w:right w:val="single" w:sz="4" w:space="0" w:color="auto"/>
            </w:tcBorders>
            <w:vAlign w:val="center"/>
            <w:hideMark/>
          </w:tcPr>
          <w:p w14:paraId="45DB3580" w14:textId="77777777" w:rsidR="00CA5F71" w:rsidRPr="004D5AB1" w:rsidRDefault="00CA5F71">
            <w:pPr>
              <w:autoSpaceDE w:val="0"/>
              <w:autoSpaceDN w:val="0"/>
              <w:adjustRightInd w:val="0"/>
              <w:jc w:val="center"/>
              <w:rPr>
                <w:noProof/>
                <w:sz w:val="24"/>
                <w:szCs w:val="24"/>
                <w:u w:val="single"/>
              </w:rPr>
            </w:pPr>
            <w:r w:rsidRPr="004D5AB1">
              <w:rPr>
                <w:sz w:val="24"/>
                <w:szCs w:val="24"/>
              </w:rPr>
              <w:t>92 (42,0)</w:t>
            </w:r>
          </w:p>
        </w:tc>
        <w:tc>
          <w:tcPr>
            <w:tcW w:w="706" w:type="pct"/>
            <w:tcBorders>
              <w:top w:val="single" w:sz="4" w:space="0" w:color="auto"/>
              <w:left w:val="single" w:sz="4" w:space="0" w:color="auto"/>
              <w:bottom w:val="single" w:sz="4" w:space="0" w:color="auto"/>
              <w:right w:val="single" w:sz="4" w:space="0" w:color="auto"/>
            </w:tcBorders>
            <w:vAlign w:val="center"/>
            <w:hideMark/>
          </w:tcPr>
          <w:p w14:paraId="05A03809" w14:textId="77777777" w:rsidR="00CA5F71" w:rsidRPr="004D5AB1" w:rsidRDefault="00CA5F71">
            <w:pPr>
              <w:autoSpaceDE w:val="0"/>
              <w:autoSpaceDN w:val="0"/>
              <w:adjustRightInd w:val="0"/>
              <w:jc w:val="center"/>
              <w:rPr>
                <w:noProof/>
                <w:sz w:val="24"/>
                <w:szCs w:val="24"/>
                <w:u w:val="single"/>
              </w:rPr>
            </w:pPr>
            <w:r w:rsidRPr="004D5AB1">
              <w:rPr>
                <w:sz w:val="24"/>
                <w:szCs w:val="24"/>
              </w:rPr>
              <w:t>98 (29,8)</w:t>
            </w:r>
          </w:p>
        </w:tc>
        <w:tc>
          <w:tcPr>
            <w:tcW w:w="682" w:type="pct"/>
            <w:tcBorders>
              <w:top w:val="single" w:sz="4" w:space="0" w:color="auto"/>
              <w:left w:val="single" w:sz="4" w:space="0" w:color="auto"/>
              <w:bottom w:val="single" w:sz="4" w:space="0" w:color="auto"/>
              <w:right w:val="single" w:sz="4" w:space="0" w:color="auto"/>
            </w:tcBorders>
            <w:vAlign w:val="center"/>
            <w:hideMark/>
          </w:tcPr>
          <w:p w14:paraId="6E925E26" w14:textId="77777777" w:rsidR="00CA5F71" w:rsidRPr="004D5AB1" w:rsidRDefault="00CA5F71">
            <w:pPr>
              <w:autoSpaceDE w:val="0"/>
              <w:autoSpaceDN w:val="0"/>
              <w:adjustRightInd w:val="0"/>
              <w:jc w:val="center"/>
              <w:rPr>
                <w:noProof/>
                <w:sz w:val="24"/>
                <w:szCs w:val="24"/>
                <w:u w:val="single"/>
              </w:rPr>
            </w:pPr>
            <w:r w:rsidRPr="004D5AB1">
              <w:rPr>
                <w:sz w:val="24"/>
                <w:szCs w:val="24"/>
              </w:rPr>
              <w:t>175 (41,4)</w:t>
            </w:r>
          </w:p>
        </w:tc>
        <w:tc>
          <w:tcPr>
            <w:tcW w:w="706" w:type="pct"/>
            <w:tcBorders>
              <w:top w:val="single" w:sz="4" w:space="0" w:color="auto"/>
              <w:left w:val="single" w:sz="4" w:space="0" w:color="auto"/>
              <w:bottom w:val="single" w:sz="4" w:space="0" w:color="auto"/>
              <w:right w:val="single" w:sz="4" w:space="0" w:color="auto"/>
            </w:tcBorders>
            <w:vAlign w:val="center"/>
            <w:hideMark/>
          </w:tcPr>
          <w:p w14:paraId="0032D072" w14:textId="77777777" w:rsidR="00CA5F71" w:rsidRPr="004D5AB1" w:rsidRDefault="00CA5F71">
            <w:pPr>
              <w:autoSpaceDE w:val="0"/>
              <w:autoSpaceDN w:val="0"/>
              <w:adjustRightInd w:val="0"/>
              <w:jc w:val="center"/>
              <w:rPr>
                <w:noProof/>
                <w:sz w:val="24"/>
                <w:szCs w:val="24"/>
                <w:u w:val="single"/>
              </w:rPr>
            </w:pPr>
            <w:r w:rsidRPr="004D5AB1">
              <w:rPr>
                <w:sz w:val="24"/>
                <w:szCs w:val="24"/>
              </w:rPr>
              <w:t>173 (27,1)</w:t>
            </w:r>
          </w:p>
        </w:tc>
      </w:tr>
      <w:tr w:rsidR="00CA5F71" w:rsidRPr="004D5AB1" w14:paraId="41044154"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38F5993B" w14:textId="77777777" w:rsidR="00CA5F71" w:rsidRPr="004D5AB1" w:rsidRDefault="00CA5F71">
            <w:pPr>
              <w:autoSpaceDE w:val="0"/>
              <w:autoSpaceDN w:val="0"/>
              <w:adjustRightInd w:val="0"/>
              <w:rPr>
                <w:noProof/>
                <w:sz w:val="24"/>
                <w:szCs w:val="24"/>
                <w:u w:val="single"/>
                <w:vertAlign w:val="superscript"/>
              </w:rPr>
            </w:pPr>
            <w:r w:rsidRPr="004D5AB1">
              <w:rPr>
                <w:noProof/>
                <w:sz w:val="24"/>
                <w:szCs w:val="24"/>
              </w:rPr>
              <w:t>Sammenlignet med placebo</w:t>
            </w:r>
            <w:r w:rsidRPr="004D5AB1">
              <w:rPr>
                <w:noProof/>
                <w:sz w:val="24"/>
                <w:szCs w:val="24"/>
                <w:vertAlign w:val="superscript"/>
              </w:rPr>
              <w:t>1</w:t>
            </w:r>
          </w:p>
        </w:tc>
      </w:tr>
      <w:tr w:rsidR="00CA5F71" w:rsidRPr="004D5AB1" w14:paraId="0D68C7CB"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5B4B05A3" w14:textId="77777777" w:rsidR="00CA5F71" w:rsidRPr="004D5AB1" w:rsidRDefault="00CA5F71">
            <w:pPr>
              <w:autoSpaceDE w:val="0"/>
              <w:autoSpaceDN w:val="0"/>
              <w:adjustRightInd w:val="0"/>
              <w:rPr>
                <w:noProof/>
                <w:sz w:val="24"/>
                <w:szCs w:val="24"/>
                <w:vertAlign w:val="superscript"/>
              </w:rPr>
            </w:pPr>
            <w:r w:rsidRPr="004D5AB1">
              <w:rPr>
                <w:sz w:val="24"/>
                <w:szCs w:val="24"/>
              </w:rPr>
              <w:t>p-værdi</w:t>
            </w:r>
            <w:r w:rsidRPr="004D5AB1">
              <w:rPr>
                <w:sz w:val="24"/>
                <w:szCs w:val="24"/>
                <w:vertAlign w:val="superscript"/>
              </w:rPr>
              <w:t>2</w:t>
            </w:r>
          </w:p>
        </w:tc>
        <w:tc>
          <w:tcPr>
            <w:tcW w:w="682" w:type="pct"/>
            <w:tcBorders>
              <w:top w:val="single" w:sz="4" w:space="0" w:color="auto"/>
              <w:left w:val="single" w:sz="4" w:space="0" w:color="auto"/>
              <w:bottom w:val="single" w:sz="4" w:space="0" w:color="auto"/>
              <w:right w:val="single" w:sz="4" w:space="0" w:color="auto"/>
            </w:tcBorders>
            <w:vAlign w:val="center"/>
          </w:tcPr>
          <w:p w14:paraId="68241B0D"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C2E9D96" w14:textId="77777777" w:rsidR="00CA5F71" w:rsidRPr="004D5AB1" w:rsidRDefault="00CA5F71">
            <w:pPr>
              <w:autoSpaceDE w:val="0"/>
              <w:autoSpaceDN w:val="0"/>
              <w:adjustRightInd w:val="0"/>
              <w:jc w:val="center"/>
              <w:rPr>
                <w:noProof/>
                <w:sz w:val="24"/>
                <w:szCs w:val="24"/>
                <w:u w:val="single"/>
              </w:rPr>
            </w:pPr>
            <w:r w:rsidRPr="004D5AB1">
              <w:rPr>
                <w:sz w:val="24"/>
                <w:szCs w:val="24"/>
              </w:rPr>
              <w:t>0,0001</w:t>
            </w:r>
          </w:p>
        </w:tc>
        <w:tc>
          <w:tcPr>
            <w:tcW w:w="682" w:type="pct"/>
            <w:tcBorders>
              <w:top w:val="single" w:sz="4" w:space="0" w:color="auto"/>
              <w:left w:val="single" w:sz="4" w:space="0" w:color="auto"/>
              <w:bottom w:val="single" w:sz="4" w:space="0" w:color="auto"/>
              <w:right w:val="single" w:sz="4" w:space="0" w:color="auto"/>
            </w:tcBorders>
            <w:vAlign w:val="center"/>
          </w:tcPr>
          <w:p w14:paraId="3360517E"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1232BFD" w14:textId="77777777" w:rsidR="00CA5F71" w:rsidRPr="004D5AB1" w:rsidRDefault="00CA5F71">
            <w:pPr>
              <w:autoSpaceDE w:val="0"/>
              <w:autoSpaceDN w:val="0"/>
              <w:adjustRightInd w:val="0"/>
              <w:jc w:val="center"/>
              <w:rPr>
                <w:noProof/>
                <w:sz w:val="24"/>
                <w:szCs w:val="24"/>
                <w:u w:val="single"/>
              </w:rPr>
            </w:pPr>
            <w:r w:rsidRPr="004D5AB1">
              <w:rPr>
                <w:sz w:val="24"/>
                <w:szCs w:val="24"/>
              </w:rPr>
              <w:t>0,0054</w:t>
            </w:r>
          </w:p>
        </w:tc>
        <w:tc>
          <w:tcPr>
            <w:tcW w:w="682" w:type="pct"/>
            <w:tcBorders>
              <w:top w:val="single" w:sz="4" w:space="0" w:color="auto"/>
              <w:left w:val="single" w:sz="4" w:space="0" w:color="auto"/>
              <w:bottom w:val="single" w:sz="4" w:space="0" w:color="auto"/>
              <w:right w:val="single" w:sz="4" w:space="0" w:color="auto"/>
            </w:tcBorders>
            <w:vAlign w:val="center"/>
          </w:tcPr>
          <w:p w14:paraId="0D5B3AE4"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FEEF638" w14:textId="77777777" w:rsidR="00CA5F71" w:rsidRPr="004D5AB1" w:rsidRDefault="00CA5F71">
            <w:pPr>
              <w:autoSpaceDE w:val="0"/>
              <w:autoSpaceDN w:val="0"/>
              <w:adjustRightInd w:val="0"/>
              <w:jc w:val="center"/>
              <w:rPr>
                <w:noProof/>
                <w:sz w:val="24"/>
                <w:szCs w:val="24"/>
                <w:u w:val="single"/>
              </w:rPr>
            </w:pPr>
            <w:r w:rsidRPr="004D5AB1">
              <w:rPr>
                <w:sz w:val="24"/>
                <w:szCs w:val="24"/>
              </w:rPr>
              <w:t>&lt;0,0001</w:t>
            </w:r>
          </w:p>
        </w:tc>
      </w:tr>
      <w:tr w:rsidR="00CA5F71" w:rsidRPr="004D5AB1" w14:paraId="4C35C13E"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07C57D8F" w14:textId="77777777" w:rsidR="00CA5F71" w:rsidRPr="004D5AB1" w:rsidRDefault="00CA5F71">
            <w:pPr>
              <w:autoSpaceDE w:val="0"/>
              <w:autoSpaceDN w:val="0"/>
              <w:adjustRightInd w:val="0"/>
              <w:rPr>
                <w:noProof/>
                <w:sz w:val="24"/>
                <w:szCs w:val="24"/>
                <w:vertAlign w:val="superscript"/>
              </w:rPr>
            </w:pPr>
            <w:r w:rsidRPr="004D5AB1">
              <w:rPr>
                <w:i/>
                <w:iCs/>
                <w:noProof/>
                <w:sz w:val="24"/>
                <w:szCs w:val="24"/>
              </w:rPr>
              <w:t>Hazard ratio</w:t>
            </w:r>
            <w:r w:rsidRPr="004D5AB1">
              <w:rPr>
                <w:noProof/>
                <w:sz w:val="24"/>
                <w:szCs w:val="24"/>
                <w:vertAlign w:val="superscript"/>
              </w:rPr>
              <w:t>3</w:t>
            </w:r>
          </w:p>
        </w:tc>
        <w:tc>
          <w:tcPr>
            <w:tcW w:w="682" w:type="pct"/>
            <w:tcBorders>
              <w:top w:val="single" w:sz="4" w:space="0" w:color="auto"/>
              <w:left w:val="single" w:sz="4" w:space="0" w:color="auto"/>
              <w:bottom w:val="single" w:sz="4" w:space="0" w:color="auto"/>
              <w:right w:val="single" w:sz="4" w:space="0" w:color="auto"/>
            </w:tcBorders>
            <w:vAlign w:val="center"/>
          </w:tcPr>
          <w:p w14:paraId="3E6E7D03"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2FBEC06C" w14:textId="77777777" w:rsidR="00CA5F71" w:rsidRPr="004D5AB1" w:rsidRDefault="00CA5F71">
            <w:pPr>
              <w:autoSpaceDE w:val="0"/>
              <w:autoSpaceDN w:val="0"/>
              <w:adjustRightInd w:val="0"/>
              <w:jc w:val="center"/>
              <w:rPr>
                <w:sz w:val="24"/>
                <w:szCs w:val="24"/>
              </w:rPr>
            </w:pPr>
            <w:r w:rsidRPr="004D5AB1">
              <w:rPr>
                <w:sz w:val="24"/>
                <w:szCs w:val="24"/>
              </w:rPr>
              <w:t>0,53</w:t>
            </w:r>
          </w:p>
        </w:tc>
        <w:tc>
          <w:tcPr>
            <w:tcW w:w="682" w:type="pct"/>
            <w:tcBorders>
              <w:top w:val="single" w:sz="4" w:space="0" w:color="auto"/>
              <w:left w:val="single" w:sz="4" w:space="0" w:color="auto"/>
              <w:bottom w:val="single" w:sz="4" w:space="0" w:color="auto"/>
              <w:right w:val="single" w:sz="4" w:space="0" w:color="auto"/>
            </w:tcBorders>
            <w:vAlign w:val="center"/>
          </w:tcPr>
          <w:p w14:paraId="43E8AB07"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4FF6036F" w14:textId="77777777" w:rsidR="00CA5F71" w:rsidRPr="004D5AB1" w:rsidRDefault="00CA5F71">
            <w:pPr>
              <w:autoSpaceDE w:val="0"/>
              <w:autoSpaceDN w:val="0"/>
              <w:adjustRightInd w:val="0"/>
              <w:jc w:val="center"/>
              <w:rPr>
                <w:sz w:val="24"/>
                <w:szCs w:val="24"/>
              </w:rPr>
            </w:pPr>
            <w:r w:rsidRPr="004D5AB1">
              <w:rPr>
                <w:sz w:val="24"/>
                <w:szCs w:val="24"/>
              </w:rPr>
              <w:t>0,67</w:t>
            </w:r>
          </w:p>
        </w:tc>
        <w:tc>
          <w:tcPr>
            <w:tcW w:w="682" w:type="pct"/>
            <w:tcBorders>
              <w:top w:val="single" w:sz="4" w:space="0" w:color="auto"/>
              <w:left w:val="single" w:sz="4" w:space="0" w:color="auto"/>
              <w:bottom w:val="single" w:sz="4" w:space="0" w:color="auto"/>
              <w:right w:val="single" w:sz="4" w:space="0" w:color="auto"/>
            </w:tcBorders>
            <w:vAlign w:val="center"/>
          </w:tcPr>
          <w:p w14:paraId="2BEE95A3"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AEF5FA9" w14:textId="77777777" w:rsidR="00CA5F71" w:rsidRPr="004D5AB1" w:rsidRDefault="00CA5F71">
            <w:pPr>
              <w:autoSpaceDE w:val="0"/>
              <w:autoSpaceDN w:val="0"/>
              <w:adjustRightInd w:val="0"/>
              <w:jc w:val="center"/>
              <w:rPr>
                <w:sz w:val="24"/>
                <w:szCs w:val="24"/>
              </w:rPr>
            </w:pPr>
            <w:r w:rsidRPr="004D5AB1">
              <w:rPr>
                <w:sz w:val="24"/>
                <w:szCs w:val="24"/>
              </w:rPr>
              <w:t>0,60</w:t>
            </w:r>
          </w:p>
        </w:tc>
      </w:tr>
      <w:tr w:rsidR="00CA5F71" w:rsidRPr="004D5AB1" w14:paraId="61DC581C"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45434243" w14:textId="77777777" w:rsidR="00CA5F71" w:rsidRPr="004D5AB1" w:rsidRDefault="00CA5F71">
            <w:pPr>
              <w:autoSpaceDE w:val="0"/>
              <w:autoSpaceDN w:val="0"/>
              <w:adjustRightInd w:val="0"/>
              <w:rPr>
                <w:noProof/>
                <w:sz w:val="24"/>
                <w:szCs w:val="24"/>
              </w:rPr>
            </w:pPr>
            <w:r w:rsidRPr="004D5AB1">
              <w:rPr>
                <w:sz w:val="24"/>
                <w:szCs w:val="24"/>
              </w:rPr>
              <w:t>95 % CI</w:t>
            </w:r>
          </w:p>
        </w:tc>
        <w:tc>
          <w:tcPr>
            <w:tcW w:w="682" w:type="pct"/>
            <w:tcBorders>
              <w:top w:val="single" w:sz="4" w:space="0" w:color="auto"/>
              <w:left w:val="single" w:sz="4" w:space="0" w:color="auto"/>
              <w:bottom w:val="single" w:sz="4" w:space="0" w:color="auto"/>
              <w:right w:val="single" w:sz="4" w:space="0" w:color="auto"/>
            </w:tcBorders>
            <w:vAlign w:val="center"/>
          </w:tcPr>
          <w:p w14:paraId="4051DCE8"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F947E95" w14:textId="77777777" w:rsidR="00CA5F71" w:rsidRPr="004D5AB1" w:rsidRDefault="00CA5F71">
            <w:pPr>
              <w:autoSpaceDE w:val="0"/>
              <w:autoSpaceDN w:val="0"/>
              <w:adjustRightInd w:val="0"/>
              <w:jc w:val="center"/>
              <w:rPr>
                <w:sz w:val="24"/>
                <w:szCs w:val="24"/>
              </w:rPr>
            </w:pPr>
            <w:r w:rsidRPr="004D5AB1">
              <w:rPr>
                <w:sz w:val="24"/>
                <w:szCs w:val="24"/>
              </w:rPr>
              <w:t>(0,39; 0,72)</w:t>
            </w:r>
          </w:p>
        </w:tc>
        <w:tc>
          <w:tcPr>
            <w:tcW w:w="682" w:type="pct"/>
            <w:tcBorders>
              <w:top w:val="single" w:sz="4" w:space="0" w:color="auto"/>
              <w:left w:val="single" w:sz="4" w:space="0" w:color="auto"/>
              <w:bottom w:val="single" w:sz="4" w:space="0" w:color="auto"/>
              <w:right w:val="single" w:sz="4" w:space="0" w:color="auto"/>
            </w:tcBorders>
            <w:vAlign w:val="center"/>
          </w:tcPr>
          <w:p w14:paraId="1EC8ECDA"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1D332F0E" w14:textId="77777777" w:rsidR="00CA5F71" w:rsidRPr="004D5AB1" w:rsidRDefault="00CA5F71">
            <w:pPr>
              <w:autoSpaceDE w:val="0"/>
              <w:autoSpaceDN w:val="0"/>
              <w:adjustRightInd w:val="0"/>
              <w:jc w:val="center"/>
              <w:rPr>
                <w:sz w:val="24"/>
                <w:szCs w:val="24"/>
              </w:rPr>
            </w:pPr>
            <w:r w:rsidRPr="004D5AB1">
              <w:rPr>
                <w:sz w:val="24"/>
                <w:szCs w:val="24"/>
              </w:rPr>
              <w:t>(0,51; 0,89)</w:t>
            </w:r>
          </w:p>
        </w:tc>
        <w:tc>
          <w:tcPr>
            <w:tcW w:w="682" w:type="pct"/>
            <w:tcBorders>
              <w:top w:val="single" w:sz="4" w:space="0" w:color="auto"/>
              <w:left w:val="single" w:sz="4" w:space="0" w:color="auto"/>
              <w:bottom w:val="single" w:sz="4" w:space="0" w:color="auto"/>
              <w:right w:val="single" w:sz="4" w:space="0" w:color="auto"/>
            </w:tcBorders>
            <w:vAlign w:val="center"/>
          </w:tcPr>
          <w:p w14:paraId="4FA0E6FB"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6AC9FC2E" w14:textId="77777777" w:rsidR="00CA5F71" w:rsidRPr="004D5AB1" w:rsidRDefault="00CA5F71">
            <w:pPr>
              <w:autoSpaceDE w:val="0"/>
              <w:autoSpaceDN w:val="0"/>
              <w:adjustRightInd w:val="0"/>
              <w:jc w:val="center"/>
              <w:rPr>
                <w:sz w:val="24"/>
                <w:szCs w:val="24"/>
              </w:rPr>
            </w:pPr>
            <w:r w:rsidRPr="004D5AB1">
              <w:rPr>
                <w:sz w:val="24"/>
                <w:szCs w:val="24"/>
              </w:rPr>
              <w:t>(0,49; 0,74)</w:t>
            </w:r>
          </w:p>
        </w:tc>
      </w:tr>
    </w:tbl>
    <w:p w14:paraId="5D2D1D7C"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Baseret på data indsamlet op til 372 dage (52 uger + 7 dages margin).</w:t>
      </w:r>
    </w:p>
    <w:p w14:paraId="26D10CCB" w14:textId="77777777" w:rsidR="00CA5F71" w:rsidRPr="0099618E" w:rsidRDefault="00CA5F71" w:rsidP="00CA5F71">
      <w:pPr>
        <w:suppressAutoHyphens/>
        <w:rPr>
          <w:sz w:val="20"/>
        </w:rPr>
      </w:pPr>
      <w:r w:rsidRPr="0099618E">
        <w:rPr>
          <w:sz w:val="20"/>
          <w:vertAlign w:val="superscript"/>
        </w:rPr>
        <w:t xml:space="preserve">2 </w:t>
      </w:r>
      <w:r w:rsidRPr="0099618E">
        <w:rPr>
          <w:sz w:val="20"/>
        </w:rPr>
        <w:t>Baseret på en Log-rank-test.</w:t>
      </w:r>
    </w:p>
    <w:p w14:paraId="3CE48D0E" w14:textId="77777777" w:rsidR="00CA5F71" w:rsidRPr="0099618E" w:rsidRDefault="00CA5F71" w:rsidP="00CA5F71">
      <w:pPr>
        <w:suppressAutoHyphens/>
        <w:rPr>
          <w:bCs/>
          <w:noProof/>
          <w:sz w:val="20"/>
          <w:vertAlign w:val="superscript"/>
        </w:rPr>
      </w:pPr>
      <w:r w:rsidRPr="0099618E">
        <w:rPr>
          <w:sz w:val="20"/>
          <w:vertAlign w:val="superscript"/>
        </w:rPr>
        <w:t xml:space="preserve">3 </w:t>
      </w:r>
      <w:r w:rsidRPr="0099618E">
        <w:rPr>
          <w:sz w:val="20"/>
        </w:rPr>
        <w:t>Baseret på en Cox' regressionsmodel.</w:t>
      </w:r>
    </w:p>
    <w:p w14:paraId="27042C9A" w14:textId="77777777" w:rsidR="00CA5F71" w:rsidRPr="004D5AB1" w:rsidRDefault="00CA5F71" w:rsidP="0015226E">
      <w:pPr>
        <w:suppressAutoHyphens/>
        <w:ind w:left="851"/>
        <w:rPr>
          <w:bCs/>
          <w:noProof/>
          <w:sz w:val="24"/>
          <w:szCs w:val="24"/>
        </w:rPr>
      </w:pPr>
    </w:p>
    <w:p w14:paraId="662FD39B"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Ændring fra baseline i samlet SGRQ-score i uge 52</w:t>
      </w:r>
    </w:p>
    <w:p w14:paraId="53D5BBF9" w14:textId="77777777" w:rsidR="00CA5F71" w:rsidRPr="004D5AB1" w:rsidRDefault="00CA5F71" w:rsidP="0015226E">
      <w:pPr>
        <w:suppressAutoHyphens/>
        <w:ind w:left="851"/>
        <w:rPr>
          <w:bCs/>
          <w:noProof/>
          <w:sz w:val="24"/>
          <w:szCs w:val="24"/>
        </w:rPr>
      </w:pPr>
      <w:r w:rsidRPr="004D5AB1">
        <w:rPr>
          <w:bCs/>
          <w:noProof/>
          <w:sz w:val="24"/>
          <w:szCs w:val="24"/>
        </w:rPr>
        <w:t xml:space="preserve">I INPULSIS-studiernes samlede analyse var SGRQ-scorer ved baseline 39,51 i nintedanib-gruppen, og 39,58 i placebogruppen. Den estimerede middelændring fra baseline i den samlede SGRO-score i uge 52 mindre i nintedanib-gruppen (3,53) end i placebogruppen (4,96) med en forskel mellem behandlingsgrupperne på -1,43 (95 % CI:-3,09; 0,23; </w:t>
      </w:r>
      <w:r w:rsidRPr="004D5AB1">
        <w:rPr>
          <w:bCs/>
          <w:noProof/>
          <w:sz w:val="24"/>
          <w:szCs w:val="24"/>
        </w:rPr>
        <w:lastRenderedPageBreak/>
        <w:t>p=0,0923). Generelt er virkningen af nintedanib på livskvalitet, målt ved den samlede SGRQ-score, beskeden og indikerer mindre forværring sammenlignet med placebo.</w:t>
      </w:r>
    </w:p>
    <w:p w14:paraId="4999110E" w14:textId="77777777" w:rsidR="00CA5F71" w:rsidRPr="004D5AB1" w:rsidRDefault="00CA5F71" w:rsidP="0015226E">
      <w:pPr>
        <w:suppressAutoHyphens/>
        <w:ind w:left="851"/>
        <w:rPr>
          <w:bCs/>
          <w:noProof/>
          <w:sz w:val="24"/>
          <w:szCs w:val="24"/>
        </w:rPr>
      </w:pPr>
    </w:p>
    <w:p w14:paraId="10301883"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Tid til den første akutte IPF-eksacerbation</w:t>
      </w:r>
    </w:p>
    <w:p w14:paraId="20290593" w14:textId="77777777" w:rsidR="00CA5F71" w:rsidRPr="004D5AB1" w:rsidRDefault="00CA5F71" w:rsidP="0015226E">
      <w:pPr>
        <w:suppressAutoHyphens/>
        <w:ind w:left="851"/>
        <w:rPr>
          <w:bCs/>
          <w:noProof/>
          <w:sz w:val="24"/>
          <w:szCs w:val="24"/>
        </w:rPr>
      </w:pPr>
      <w:r w:rsidRPr="004D5AB1">
        <w:rPr>
          <w:bCs/>
          <w:noProof/>
          <w:sz w:val="24"/>
          <w:szCs w:val="24"/>
        </w:rPr>
        <w:t>I INPULSIS-studiernes samlede analyse blev en numerisk lavere risiko for den første akutte eksacerbation observeret hos patienter, der fik nintedanib, sammenlignet med placebo. Se Tabel 6 for individuelle og samlede studieresultater.</w:t>
      </w:r>
    </w:p>
    <w:p w14:paraId="60C7A3C7" w14:textId="77777777" w:rsidR="00CA5F71" w:rsidRPr="004D5AB1" w:rsidRDefault="00CA5F71" w:rsidP="0015226E">
      <w:pPr>
        <w:suppressAutoHyphens/>
        <w:ind w:left="851"/>
        <w:rPr>
          <w:bCs/>
          <w:noProof/>
          <w:sz w:val="24"/>
          <w:szCs w:val="24"/>
        </w:rPr>
      </w:pPr>
    </w:p>
    <w:p w14:paraId="65E2FF27" w14:textId="77777777" w:rsidR="00CA5F71" w:rsidRPr="004D5AB1" w:rsidRDefault="00CA5F71" w:rsidP="00CA5F71">
      <w:pPr>
        <w:suppressAutoHyphens/>
        <w:ind w:left="1440" w:hanging="1440"/>
        <w:rPr>
          <w:b/>
          <w:bCs/>
          <w:noProof/>
          <w:sz w:val="24"/>
          <w:szCs w:val="24"/>
        </w:rPr>
      </w:pPr>
      <w:r w:rsidRPr="004D5AB1">
        <w:rPr>
          <w:b/>
          <w:bCs/>
          <w:noProof/>
          <w:sz w:val="24"/>
          <w:szCs w:val="24"/>
        </w:rPr>
        <w:t xml:space="preserve">Tabel 6: </w:t>
      </w:r>
      <w:r w:rsidRPr="004D5AB1">
        <w:rPr>
          <w:b/>
          <w:bCs/>
          <w:noProof/>
          <w:sz w:val="24"/>
          <w:szCs w:val="24"/>
        </w:rPr>
        <w:tab/>
        <w:t xml:space="preserve">Andel af patienter med akutte IPF-eksacerbationer i 52 uger og analyse af tid til første eksacerbation baseret på investigatorindberettede hændelser i studierne INPULSIS-1 og INPULSIS-2 og deres samlede data - </w:t>
      </w:r>
      <w:r w:rsidRPr="004D5AB1">
        <w:rPr>
          <w:b/>
          <w:bCs/>
          <w:i/>
          <w:iCs/>
          <w:noProof/>
          <w:sz w:val="24"/>
          <w:szCs w:val="24"/>
        </w:rPr>
        <w:t>treated set</w:t>
      </w:r>
    </w:p>
    <w:tbl>
      <w:tblPr>
        <w:tblStyle w:val="Tabel-Gitter"/>
        <w:tblW w:w="5000" w:type="pct"/>
        <w:tblInd w:w="0" w:type="dxa"/>
        <w:tblLook w:val="04A0" w:firstRow="1" w:lastRow="0" w:firstColumn="1" w:lastColumn="0" w:noHBand="0" w:noVBand="1"/>
      </w:tblPr>
      <w:tblGrid>
        <w:gridCol w:w="1609"/>
        <w:gridCol w:w="1314"/>
        <w:gridCol w:w="1359"/>
        <w:gridCol w:w="1313"/>
        <w:gridCol w:w="1361"/>
        <w:gridCol w:w="1313"/>
        <w:gridCol w:w="1359"/>
      </w:tblGrid>
      <w:tr w:rsidR="00CA5F71" w:rsidRPr="004D5AB1" w14:paraId="17B6F27E" w14:textId="77777777" w:rsidTr="0015226E">
        <w:tc>
          <w:tcPr>
            <w:tcW w:w="835" w:type="pct"/>
            <w:vMerge w:val="restart"/>
            <w:tcBorders>
              <w:top w:val="single" w:sz="4" w:space="0" w:color="auto"/>
              <w:left w:val="single" w:sz="4" w:space="0" w:color="auto"/>
              <w:bottom w:val="single" w:sz="4" w:space="0" w:color="auto"/>
              <w:right w:val="single" w:sz="4" w:space="0" w:color="auto"/>
            </w:tcBorders>
          </w:tcPr>
          <w:p w14:paraId="506370A8" w14:textId="77777777" w:rsidR="00CA5F71" w:rsidRPr="004D5AB1" w:rsidRDefault="00CA5F71">
            <w:pPr>
              <w:autoSpaceDE w:val="0"/>
              <w:autoSpaceDN w:val="0"/>
              <w:adjustRightInd w:val="0"/>
              <w:rPr>
                <w:noProof/>
                <w:sz w:val="24"/>
                <w:szCs w:val="24"/>
              </w:rPr>
            </w:pPr>
          </w:p>
        </w:tc>
        <w:tc>
          <w:tcPr>
            <w:tcW w:w="1388" w:type="pct"/>
            <w:gridSpan w:val="2"/>
            <w:tcBorders>
              <w:top w:val="single" w:sz="4" w:space="0" w:color="auto"/>
              <w:left w:val="single" w:sz="4" w:space="0" w:color="auto"/>
              <w:bottom w:val="single" w:sz="4" w:space="0" w:color="auto"/>
              <w:right w:val="single" w:sz="4" w:space="0" w:color="auto"/>
            </w:tcBorders>
            <w:hideMark/>
          </w:tcPr>
          <w:p w14:paraId="11E5AFAE" w14:textId="77777777" w:rsidR="00CA5F71" w:rsidRPr="004D5AB1" w:rsidRDefault="00CA5F71">
            <w:pPr>
              <w:autoSpaceDE w:val="0"/>
              <w:autoSpaceDN w:val="0"/>
              <w:adjustRightInd w:val="0"/>
              <w:jc w:val="center"/>
              <w:rPr>
                <w:noProof/>
                <w:sz w:val="24"/>
                <w:szCs w:val="24"/>
              </w:rPr>
            </w:pPr>
            <w:r w:rsidRPr="004D5AB1">
              <w:rPr>
                <w:noProof/>
                <w:sz w:val="24"/>
                <w:szCs w:val="24"/>
              </w:rPr>
              <w:t>INPULSIS-1</w:t>
            </w:r>
          </w:p>
        </w:tc>
        <w:tc>
          <w:tcPr>
            <w:tcW w:w="1389" w:type="pct"/>
            <w:gridSpan w:val="2"/>
            <w:tcBorders>
              <w:top w:val="single" w:sz="4" w:space="0" w:color="auto"/>
              <w:left w:val="single" w:sz="4" w:space="0" w:color="auto"/>
              <w:bottom w:val="single" w:sz="4" w:space="0" w:color="auto"/>
              <w:right w:val="single" w:sz="4" w:space="0" w:color="auto"/>
            </w:tcBorders>
            <w:hideMark/>
          </w:tcPr>
          <w:p w14:paraId="3391671A" w14:textId="77777777" w:rsidR="00CA5F71" w:rsidRPr="004D5AB1" w:rsidRDefault="00CA5F71">
            <w:pPr>
              <w:autoSpaceDE w:val="0"/>
              <w:autoSpaceDN w:val="0"/>
              <w:adjustRightInd w:val="0"/>
              <w:jc w:val="center"/>
              <w:rPr>
                <w:noProof/>
                <w:sz w:val="24"/>
                <w:szCs w:val="24"/>
              </w:rPr>
            </w:pPr>
            <w:r w:rsidRPr="004D5AB1">
              <w:rPr>
                <w:noProof/>
                <w:sz w:val="24"/>
                <w:szCs w:val="24"/>
              </w:rPr>
              <w:t>INPULSIS-3</w:t>
            </w:r>
          </w:p>
        </w:tc>
        <w:tc>
          <w:tcPr>
            <w:tcW w:w="1389" w:type="pct"/>
            <w:gridSpan w:val="2"/>
            <w:tcBorders>
              <w:top w:val="single" w:sz="4" w:space="0" w:color="auto"/>
              <w:left w:val="single" w:sz="4" w:space="0" w:color="auto"/>
              <w:bottom w:val="single" w:sz="4" w:space="0" w:color="auto"/>
              <w:right w:val="single" w:sz="4" w:space="0" w:color="auto"/>
            </w:tcBorders>
            <w:hideMark/>
          </w:tcPr>
          <w:p w14:paraId="6C2D0F75" w14:textId="77777777" w:rsidR="00CA5F71" w:rsidRPr="004D5AB1" w:rsidRDefault="00CA5F71">
            <w:pPr>
              <w:autoSpaceDE w:val="0"/>
              <w:autoSpaceDN w:val="0"/>
              <w:adjustRightInd w:val="0"/>
              <w:jc w:val="center"/>
              <w:rPr>
                <w:noProof/>
                <w:sz w:val="24"/>
                <w:szCs w:val="24"/>
              </w:rPr>
            </w:pPr>
            <w:r w:rsidRPr="004D5AB1">
              <w:rPr>
                <w:noProof/>
                <w:sz w:val="24"/>
                <w:szCs w:val="24"/>
              </w:rPr>
              <w:t>INPULSIS-1 og INPULSIS-2 samlet</w:t>
            </w:r>
          </w:p>
        </w:tc>
      </w:tr>
      <w:tr w:rsidR="00CA5F71" w:rsidRPr="004D5AB1" w14:paraId="74D01FDD" w14:textId="77777777" w:rsidTr="0015226E">
        <w:tc>
          <w:tcPr>
            <w:tcW w:w="835" w:type="pct"/>
            <w:vMerge/>
            <w:tcBorders>
              <w:top w:val="single" w:sz="4" w:space="0" w:color="auto"/>
              <w:left w:val="single" w:sz="4" w:space="0" w:color="auto"/>
              <w:bottom w:val="single" w:sz="4" w:space="0" w:color="auto"/>
              <w:right w:val="single" w:sz="4" w:space="0" w:color="auto"/>
            </w:tcBorders>
            <w:vAlign w:val="center"/>
            <w:hideMark/>
          </w:tcPr>
          <w:p w14:paraId="60819055" w14:textId="77777777" w:rsidR="00CA5F71" w:rsidRPr="004D5AB1" w:rsidRDefault="00CA5F71">
            <w:pPr>
              <w:rPr>
                <w:noProof/>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658AEE6F"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1DEA0533"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35D62615"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737FC213"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074559ED"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0A9798DD"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r>
      <w:tr w:rsidR="00CA5F71" w:rsidRPr="004D5AB1" w14:paraId="4570418E"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6F63495C" w14:textId="77777777" w:rsidR="00CA5F71" w:rsidRPr="004D5AB1" w:rsidRDefault="00CA5F71">
            <w:pPr>
              <w:autoSpaceDE w:val="0"/>
              <w:autoSpaceDN w:val="0"/>
              <w:adjustRightInd w:val="0"/>
              <w:rPr>
                <w:noProof/>
                <w:sz w:val="24"/>
                <w:szCs w:val="24"/>
              </w:rPr>
            </w:pPr>
            <w:r w:rsidRPr="004D5AB1">
              <w:rPr>
                <w:noProof/>
                <w:sz w:val="24"/>
                <w:szCs w:val="24"/>
              </w:rPr>
              <w:t>Antal i risiko</w:t>
            </w:r>
          </w:p>
        </w:tc>
        <w:tc>
          <w:tcPr>
            <w:tcW w:w="682" w:type="pct"/>
            <w:tcBorders>
              <w:top w:val="single" w:sz="4" w:space="0" w:color="auto"/>
              <w:left w:val="single" w:sz="4" w:space="0" w:color="auto"/>
              <w:bottom w:val="single" w:sz="4" w:space="0" w:color="auto"/>
              <w:right w:val="single" w:sz="4" w:space="0" w:color="auto"/>
            </w:tcBorders>
            <w:vAlign w:val="bottom"/>
            <w:hideMark/>
          </w:tcPr>
          <w:p w14:paraId="4F0233CD" w14:textId="77777777" w:rsidR="00CA5F71" w:rsidRPr="004D5AB1" w:rsidRDefault="00CA5F71">
            <w:pPr>
              <w:autoSpaceDE w:val="0"/>
              <w:autoSpaceDN w:val="0"/>
              <w:adjustRightInd w:val="0"/>
              <w:jc w:val="center"/>
              <w:rPr>
                <w:noProof/>
                <w:sz w:val="24"/>
                <w:szCs w:val="24"/>
                <w:u w:val="single"/>
              </w:rPr>
            </w:pPr>
            <w:r w:rsidRPr="004D5AB1">
              <w:rPr>
                <w:sz w:val="24"/>
                <w:szCs w:val="24"/>
              </w:rPr>
              <w:t>204</w:t>
            </w:r>
          </w:p>
        </w:tc>
        <w:tc>
          <w:tcPr>
            <w:tcW w:w="706" w:type="pct"/>
            <w:tcBorders>
              <w:top w:val="single" w:sz="4" w:space="0" w:color="auto"/>
              <w:left w:val="single" w:sz="4" w:space="0" w:color="auto"/>
              <w:bottom w:val="single" w:sz="4" w:space="0" w:color="auto"/>
              <w:right w:val="single" w:sz="4" w:space="0" w:color="auto"/>
            </w:tcBorders>
            <w:vAlign w:val="bottom"/>
            <w:hideMark/>
          </w:tcPr>
          <w:p w14:paraId="228A102C" w14:textId="77777777" w:rsidR="00CA5F71" w:rsidRPr="004D5AB1" w:rsidRDefault="00CA5F71">
            <w:pPr>
              <w:autoSpaceDE w:val="0"/>
              <w:autoSpaceDN w:val="0"/>
              <w:adjustRightInd w:val="0"/>
              <w:jc w:val="center"/>
              <w:rPr>
                <w:noProof/>
                <w:sz w:val="24"/>
                <w:szCs w:val="24"/>
                <w:u w:val="single"/>
              </w:rPr>
            </w:pPr>
            <w:r w:rsidRPr="004D5AB1">
              <w:rPr>
                <w:sz w:val="24"/>
                <w:szCs w:val="24"/>
              </w:rPr>
              <w:t>309</w:t>
            </w:r>
          </w:p>
        </w:tc>
        <w:tc>
          <w:tcPr>
            <w:tcW w:w="682" w:type="pct"/>
            <w:tcBorders>
              <w:top w:val="single" w:sz="4" w:space="0" w:color="auto"/>
              <w:left w:val="single" w:sz="4" w:space="0" w:color="auto"/>
              <w:bottom w:val="single" w:sz="4" w:space="0" w:color="auto"/>
              <w:right w:val="single" w:sz="4" w:space="0" w:color="auto"/>
            </w:tcBorders>
            <w:vAlign w:val="bottom"/>
            <w:hideMark/>
          </w:tcPr>
          <w:p w14:paraId="259B3384" w14:textId="77777777" w:rsidR="00CA5F71" w:rsidRPr="004D5AB1" w:rsidRDefault="00CA5F71">
            <w:pPr>
              <w:autoSpaceDE w:val="0"/>
              <w:autoSpaceDN w:val="0"/>
              <w:adjustRightInd w:val="0"/>
              <w:jc w:val="center"/>
              <w:rPr>
                <w:noProof/>
                <w:sz w:val="24"/>
                <w:szCs w:val="24"/>
                <w:u w:val="single"/>
              </w:rPr>
            </w:pPr>
            <w:r w:rsidRPr="004D5AB1">
              <w:rPr>
                <w:sz w:val="24"/>
                <w:szCs w:val="24"/>
              </w:rPr>
              <w:t>219</w:t>
            </w:r>
          </w:p>
        </w:tc>
        <w:tc>
          <w:tcPr>
            <w:tcW w:w="706" w:type="pct"/>
            <w:tcBorders>
              <w:top w:val="single" w:sz="4" w:space="0" w:color="auto"/>
              <w:left w:val="single" w:sz="4" w:space="0" w:color="auto"/>
              <w:bottom w:val="single" w:sz="4" w:space="0" w:color="auto"/>
              <w:right w:val="single" w:sz="4" w:space="0" w:color="auto"/>
            </w:tcBorders>
            <w:vAlign w:val="bottom"/>
            <w:hideMark/>
          </w:tcPr>
          <w:p w14:paraId="4E140606" w14:textId="77777777" w:rsidR="00CA5F71" w:rsidRPr="004D5AB1" w:rsidRDefault="00CA5F71">
            <w:pPr>
              <w:autoSpaceDE w:val="0"/>
              <w:autoSpaceDN w:val="0"/>
              <w:adjustRightInd w:val="0"/>
              <w:jc w:val="center"/>
              <w:rPr>
                <w:noProof/>
                <w:sz w:val="24"/>
                <w:szCs w:val="24"/>
                <w:u w:val="single"/>
              </w:rPr>
            </w:pPr>
            <w:r w:rsidRPr="004D5AB1">
              <w:rPr>
                <w:sz w:val="24"/>
                <w:szCs w:val="24"/>
              </w:rPr>
              <w:t>329</w:t>
            </w:r>
          </w:p>
        </w:tc>
        <w:tc>
          <w:tcPr>
            <w:tcW w:w="682" w:type="pct"/>
            <w:tcBorders>
              <w:top w:val="single" w:sz="4" w:space="0" w:color="auto"/>
              <w:left w:val="single" w:sz="4" w:space="0" w:color="auto"/>
              <w:bottom w:val="single" w:sz="4" w:space="0" w:color="auto"/>
              <w:right w:val="single" w:sz="4" w:space="0" w:color="auto"/>
            </w:tcBorders>
            <w:vAlign w:val="bottom"/>
            <w:hideMark/>
          </w:tcPr>
          <w:p w14:paraId="7138016C" w14:textId="77777777" w:rsidR="00CA5F71" w:rsidRPr="004D5AB1" w:rsidRDefault="00CA5F71">
            <w:pPr>
              <w:autoSpaceDE w:val="0"/>
              <w:autoSpaceDN w:val="0"/>
              <w:adjustRightInd w:val="0"/>
              <w:jc w:val="center"/>
              <w:rPr>
                <w:noProof/>
                <w:sz w:val="24"/>
                <w:szCs w:val="24"/>
                <w:u w:val="single"/>
              </w:rPr>
            </w:pPr>
            <w:r w:rsidRPr="004D5AB1">
              <w:rPr>
                <w:sz w:val="24"/>
                <w:szCs w:val="24"/>
              </w:rPr>
              <w:t>423</w:t>
            </w:r>
          </w:p>
        </w:tc>
        <w:tc>
          <w:tcPr>
            <w:tcW w:w="706" w:type="pct"/>
            <w:tcBorders>
              <w:top w:val="single" w:sz="4" w:space="0" w:color="auto"/>
              <w:left w:val="single" w:sz="4" w:space="0" w:color="auto"/>
              <w:bottom w:val="single" w:sz="4" w:space="0" w:color="auto"/>
              <w:right w:val="single" w:sz="4" w:space="0" w:color="auto"/>
            </w:tcBorders>
            <w:vAlign w:val="bottom"/>
            <w:hideMark/>
          </w:tcPr>
          <w:p w14:paraId="0C9B85FF" w14:textId="77777777" w:rsidR="00CA5F71" w:rsidRPr="004D5AB1" w:rsidRDefault="00CA5F71">
            <w:pPr>
              <w:autoSpaceDE w:val="0"/>
              <w:autoSpaceDN w:val="0"/>
              <w:adjustRightInd w:val="0"/>
              <w:jc w:val="center"/>
              <w:rPr>
                <w:noProof/>
                <w:sz w:val="24"/>
                <w:szCs w:val="24"/>
                <w:u w:val="single"/>
              </w:rPr>
            </w:pPr>
            <w:r w:rsidRPr="004D5AB1">
              <w:rPr>
                <w:sz w:val="24"/>
                <w:szCs w:val="24"/>
              </w:rPr>
              <w:t>638</w:t>
            </w:r>
          </w:p>
        </w:tc>
      </w:tr>
      <w:tr w:rsidR="00CA5F71" w:rsidRPr="004D5AB1" w14:paraId="59D1B68D"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7E8FCE15" w14:textId="77777777" w:rsidR="00CA5F71" w:rsidRPr="004D5AB1" w:rsidRDefault="00CA5F71">
            <w:pPr>
              <w:autoSpaceDE w:val="0"/>
              <w:autoSpaceDN w:val="0"/>
              <w:adjustRightInd w:val="0"/>
              <w:rPr>
                <w:noProof/>
                <w:sz w:val="24"/>
                <w:szCs w:val="24"/>
              </w:rPr>
            </w:pPr>
            <w:r w:rsidRPr="004D5AB1">
              <w:rPr>
                <w:noProof/>
                <w:sz w:val="24"/>
                <w:szCs w:val="24"/>
              </w:rPr>
              <w:t>Patienter med hændelser, N (%)</w:t>
            </w:r>
          </w:p>
        </w:tc>
        <w:tc>
          <w:tcPr>
            <w:tcW w:w="682" w:type="pct"/>
            <w:tcBorders>
              <w:top w:val="single" w:sz="4" w:space="0" w:color="auto"/>
              <w:left w:val="single" w:sz="4" w:space="0" w:color="auto"/>
              <w:bottom w:val="single" w:sz="4" w:space="0" w:color="auto"/>
              <w:right w:val="single" w:sz="4" w:space="0" w:color="auto"/>
            </w:tcBorders>
            <w:vAlign w:val="bottom"/>
            <w:hideMark/>
          </w:tcPr>
          <w:p w14:paraId="6DE1F23D" w14:textId="77777777" w:rsidR="00CA5F71" w:rsidRPr="004D5AB1" w:rsidRDefault="00CA5F71">
            <w:pPr>
              <w:autoSpaceDE w:val="0"/>
              <w:autoSpaceDN w:val="0"/>
              <w:adjustRightInd w:val="0"/>
              <w:jc w:val="center"/>
              <w:rPr>
                <w:noProof/>
                <w:sz w:val="24"/>
                <w:szCs w:val="24"/>
                <w:u w:val="single"/>
              </w:rPr>
            </w:pPr>
            <w:r w:rsidRPr="004D5AB1">
              <w:rPr>
                <w:sz w:val="24"/>
                <w:szCs w:val="24"/>
              </w:rPr>
              <w:t>11 (5,4)</w:t>
            </w:r>
          </w:p>
        </w:tc>
        <w:tc>
          <w:tcPr>
            <w:tcW w:w="706" w:type="pct"/>
            <w:tcBorders>
              <w:top w:val="single" w:sz="4" w:space="0" w:color="auto"/>
              <w:left w:val="single" w:sz="4" w:space="0" w:color="auto"/>
              <w:bottom w:val="single" w:sz="4" w:space="0" w:color="auto"/>
              <w:right w:val="single" w:sz="4" w:space="0" w:color="auto"/>
            </w:tcBorders>
            <w:vAlign w:val="bottom"/>
            <w:hideMark/>
          </w:tcPr>
          <w:p w14:paraId="1016FCAF" w14:textId="77777777" w:rsidR="00CA5F71" w:rsidRPr="004D5AB1" w:rsidRDefault="00CA5F71">
            <w:pPr>
              <w:autoSpaceDE w:val="0"/>
              <w:autoSpaceDN w:val="0"/>
              <w:adjustRightInd w:val="0"/>
              <w:jc w:val="center"/>
              <w:rPr>
                <w:noProof/>
                <w:sz w:val="24"/>
                <w:szCs w:val="24"/>
                <w:u w:val="single"/>
              </w:rPr>
            </w:pPr>
            <w:r w:rsidRPr="004D5AB1">
              <w:rPr>
                <w:sz w:val="24"/>
                <w:szCs w:val="24"/>
              </w:rPr>
              <w:t>19 (6,1)</w:t>
            </w:r>
          </w:p>
        </w:tc>
        <w:tc>
          <w:tcPr>
            <w:tcW w:w="682" w:type="pct"/>
            <w:tcBorders>
              <w:top w:val="single" w:sz="4" w:space="0" w:color="auto"/>
              <w:left w:val="single" w:sz="4" w:space="0" w:color="auto"/>
              <w:bottom w:val="single" w:sz="4" w:space="0" w:color="auto"/>
              <w:right w:val="single" w:sz="4" w:space="0" w:color="auto"/>
            </w:tcBorders>
            <w:vAlign w:val="bottom"/>
            <w:hideMark/>
          </w:tcPr>
          <w:p w14:paraId="5CE8760D" w14:textId="77777777" w:rsidR="00CA5F71" w:rsidRPr="004D5AB1" w:rsidRDefault="00CA5F71">
            <w:pPr>
              <w:autoSpaceDE w:val="0"/>
              <w:autoSpaceDN w:val="0"/>
              <w:adjustRightInd w:val="0"/>
              <w:jc w:val="center"/>
              <w:rPr>
                <w:noProof/>
                <w:sz w:val="24"/>
                <w:szCs w:val="24"/>
                <w:u w:val="single"/>
              </w:rPr>
            </w:pPr>
            <w:r w:rsidRPr="004D5AB1">
              <w:rPr>
                <w:sz w:val="24"/>
                <w:szCs w:val="24"/>
              </w:rPr>
              <w:t>21 (9,6)</w:t>
            </w:r>
          </w:p>
        </w:tc>
        <w:tc>
          <w:tcPr>
            <w:tcW w:w="706" w:type="pct"/>
            <w:tcBorders>
              <w:top w:val="single" w:sz="4" w:space="0" w:color="auto"/>
              <w:left w:val="single" w:sz="4" w:space="0" w:color="auto"/>
              <w:bottom w:val="single" w:sz="4" w:space="0" w:color="auto"/>
              <w:right w:val="single" w:sz="4" w:space="0" w:color="auto"/>
            </w:tcBorders>
            <w:vAlign w:val="bottom"/>
            <w:hideMark/>
          </w:tcPr>
          <w:p w14:paraId="5D05BE91" w14:textId="77777777" w:rsidR="00CA5F71" w:rsidRPr="004D5AB1" w:rsidRDefault="00CA5F71">
            <w:pPr>
              <w:autoSpaceDE w:val="0"/>
              <w:autoSpaceDN w:val="0"/>
              <w:adjustRightInd w:val="0"/>
              <w:jc w:val="center"/>
              <w:rPr>
                <w:noProof/>
                <w:sz w:val="24"/>
                <w:szCs w:val="24"/>
                <w:u w:val="single"/>
              </w:rPr>
            </w:pPr>
            <w:r w:rsidRPr="004D5AB1">
              <w:rPr>
                <w:sz w:val="24"/>
                <w:szCs w:val="24"/>
              </w:rPr>
              <w:t>12 (3,6)</w:t>
            </w:r>
          </w:p>
        </w:tc>
        <w:tc>
          <w:tcPr>
            <w:tcW w:w="682" w:type="pct"/>
            <w:tcBorders>
              <w:top w:val="single" w:sz="4" w:space="0" w:color="auto"/>
              <w:left w:val="single" w:sz="4" w:space="0" w:color="auto"/>
              <w:bottom w:val="single" w:sz="4" w:space="0" w:color="auto"/>
              <w:right w:val="single" w:sz="4" w:space="0" w:color="auto"/>
            </w:tcBorders>
            <w:vAlign w:val="bottom"/>
            <w:hideMark/>
          </w:tcPr>
          <w:p w14:paraId="406CA574" w14:textId="77777777" w:rsidR="00CA5F71" w:rsidRPr="004D5AB1" w:rsidRDefault="00CA5F71">
            <w:pPr>
              <w:autoSpaceDE w:val="0"/>
              <w:autoSpaceDN w:val="0"/>
              <w:adjustRightInd w:val="0"/>
              <w:jc w:val="center"/>
              <w:rPr>
                <w:noProof/>
                <w:sz w:val="24"/>
                <w:szCs w:val="24"/>
                <w:u w:val="single"/>
              </w:rPr>
            </w:pPr>
            <w:r w:rsidRPr="004D5AB1">
              <w:rPr>
                <w:sz w:val="24"/>
                <w:szCs w:val="24"/>
              </w:rPr>
              <w:t>32 (7,6)</w:t>
            </w:r>
          </w:p>
        </w:tc>
        <w:tc>
          <w:tcPr>
            <w:tcW w:w="706" w:type="pct"/>
            <w:tcBorders>
              <w:top w:val="single" w:sz="4" w:space="0" w:color="auto"/>
              <w:left w:val="single" w:sz="4" w:space="0" w:color="auto"/>
              <w:bottom w:val="single" w:sz="4" w:space="0" w:color="auto"/>
              <w:right w:val="single" w:sz="4" w:space="0" w:color="auto"/>
            </w:tcBorders>
            <w:vAlign w:val="bottom"/>
            <w:hideMark/>
          </w:tcPr>
          <w:p w14:paraId="231438BF" w14:textId="77777777" w:rsidR="00CA5F71" w:rsidRPr="004D5AB1" w:rsidRDefault="00CA5F71">
            <w:pPr>
              <w:autoSpaceDE w:val="0"/>
              <w:autoSpaceDN w:val="0"/>
              <w:adjustRightInd w:val="0"/>
              <w:jc w:val="center"/>
              <w:rPr>
                <w:noProof/>
                <w:sz w:val="24"/>
                <w:szCs w:val="24"/>
                <w:u w:val="single"/>
              </w:rPr>
            </w:pPr>
            <w:r w:rsidRPr="004D5AB1">
              <w:rPr>
                <w:sz w:val="24"/>
                <w:szCs w:val="24"/>
              </w:rPr>
              <w:t>31 (4,9)</w:t>
            </w:r>
          </w:p>
        </w:tc>
      </w:tr>
      <w:tr w:rsidR="00CA5F71" w:rsidRPr="004D5AB1" w14:paraId="25646457"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5D551DC8" w14:textId="77777777" w:rsidR="00CA5F71" w:rsidRPr="004D5AB1" w:rsidRDefault="00CA5F71">
            <w:pPr>
              <w:autoSpaceDE w:val="0"/>
              <w:autoSpaceDN w:val="0"/>
              <w:adjustRightInd w:val="0"/>
              <w:rPr>
                <w:noProof/>
                <w:sz w:val="24"/>
                <w:szCs w:val="24"/>
                <w:u w:val="single"/>
                <w:vertAlign w:val="superscript"/>
              </w:rPr>
            </w:pPr>
            <w:r w:rsidRPr="004D5AB1">
              <w:rPr>
                <w:noProof/>
                <w:sz w:val="24"/>
                <w:szCs w:val="24"/>
              </w:rPr>
              <w:t>Sammenlignet med placebo</w:t>
            </w:r>
            <w:r w:rsidRPr="004D5AB1">
              <w:rPr>
                <w:noProof/>
                <w:sz w:val="24"/>
                <w:szCs w:val="24"/>
                <w:vertAlign w:val="superscript"/>
              </w:rPr>
              <w:t>1</w:t>
            </w:r>
          </w:p>
        </w:tc>
      </w:tr>
      <w:tr w:rsidR="00CA5F71" w:rsidRPr="004D5AB1" w14:paraId="0A574350"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76A198D" w14:textId="77777777" w:rsidR="00CA5F71" w:rsidRPr="004D5AB1" w:rsidRDefault="00CA5F71">
            <w:pPr>
              <w:autoSpaceDE w:val="0"/>
              <w:autoSpaceDN w:val="0"/>
              <w:adjustRightInd w:val="0"/>
              <w:rPr>
                <w:noProof/>
                <w:sz w:val="24"/>
                <w:szCs w:val="24"/>
                <w:vertAlign w:val="superscript"/>
              </w:rPr>
            </w:pPr>
            <w:r w:rsidRPr="004D5AB1">
              <w:rPr>
                <w:sz w:val="24"/>
                <w:szCs w:val="24"/>
              </w:rPr>
              <w:t>p-værdi</w:t>
            </w:r>
            <w:r w:rsidRPr="004D5AB1">
              <w:rPr>
                <w:sz w:val="24"/>
                <w:szCs w:val="24"/>
                <w:vertAlign w:val="superscript"/>
              </w:rPr>
              <w:t>2</w:t>
            </w:r>
          </w:p>
        </w:tc>
        <w:tc>
          <w:tcPr>
            <w:tcW w:w="682" w:type="pct"/>
            <w:tcBorders>
              <w:top w:val="single" w:sz="4" w:space="0" w:color="auto"/>
              <w:left w:val="single" w:sz="4" w:space="0" w:color="auto"/>
              <w:bottom w:val="single" w:sz="4" w:space="0" w:color="auto"/>
              <w:right w:val="single" w:sz="4" w:space="0" w:color="auto"/>
            </w:tcBorders>
          </w:tcPr>
          <w:p w14:paraId="5C62F5AF"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5B783501" w14:textId="77777777" w:rsidR="00CA5F71" w:rsidRPr="004D5AB1" w:rsidRDefault="00CA5F71">
            <w:pPr>
              <w:autoSpaceDE w:val="0"/>
              <w:autoSpaceDN w:val="0"/>
              <w:adjustRightInd w:val="0"/>
              <w:jc w:val="center"/>
              <w:rPr>
                <w:noProof/>
                <w:sz w:val="24"/>
                <w:szCs w:val="24"/>
                <w:u w:val="single"/>
              </w:rPr>
            </w:pPr>
            <w:r w:rsidRPr="004D5AB1">
              <w:rPr>
                <w:sz w:val="24"/>
                <w:szCs w:val="24"/>
              </w:rPr>
              <w:t>0,6728</w:t>
            </w:r>
          </w:p>
        </w:tc>
        <w:tc>
          <w:tcPr>
            <w:tcW w:w="682" w:type="pct"/>
            <w:tcBorders>
              <w:top w:val="single" w:sz="4" w:space="0" w:color="auto"/>
              <w:left w:val="single" w:sz="4" w:space="0" w:color="auto"/>
              <w:bottom w:val="single" w:sz="4" w:space="0" w:color="auto"/>
              <w:right w:val="single" w:sz="4" w:space="0" w:color="auto"/>
            </w:tcBorders>
          </w:tcPr>
          <w:p w14:paraId="2D965FED"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7CEAC489" w14:textId="77777777" w:rsidR="00CA5F71" w:rsidRPr="004D5AB1" w:rsidRDefault="00CA5F71">
            <w:pPr>
              <w:autoSpaceDE w:val="0"/>
              <w:autoSpaceDN w:val="0"/>
              <w:adjustRightInd w:val="0"/>
              <w:jc w:val="center"/>
              <w:rPr>
                <w:noProof/>
                <w:sz w:val="24"/>
                <w:szCs w:val="24"/>
                <w:u w:val="single"/>
              </w:rPr>
            </w:pPr>
            <w:r w:rsidRPr="004D5AB1">
              <w:rPr>
                <w:sz w:val="24"/>
                <w:szCs w:val="24"/>
              </w:rPr>
              <w:t>0,0050</w:t>
            </w:r>
          </w:p>
        </w:tc>
        <w:tc>
          <w:tcPr>
            <w:tcW w:w="682" w:type="pct"/>
            <w:tcBorders>
              <w:top w:val="single" w:sz="4" w:space="0" w:color="auto"/>
              <w:left w:val="single" w:sz="4" w:space="0" w:color="auto"/>
              <w:bottom w:val="single" w:sz="4" w:space="0" w:color="auto"/>
              <w:right w:val="single" w:sz="4" w:space="0" w:color="auto"/>
            </w:tcBorders>
          </w:tcPr>
          <w:p w14:paraId="5582B9DF"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132194D4" w14:textId="77777777" w:rsidR="00CA5F71" w:rsidRPr="004D5AB1" w:rsidRDefault="00CA5F71">
            <w:pPr>
              <w:autoSpaceDE w:val="0"/>
              <w:autoSpaceDN w:val="0"/>
              <w:adjustRightInd w:val="0"/>
              <w:jc w:val="center"/>
              <w:rPr>
                <w:noProof/>
                <w:sz w:val="24"/>
                <w:szCs w:val="24"/>
                <w:u w:val="single"/>
              </w:rPr>
            </w:pPr>
            <w:r w:rsidRPr="004D5AB1">
              <w:rPr>
                <w:sz w:val="24"/>
                <w:szCs w:val="24"/>
              </w:rPr>
              <w:t>0,0823</w:t>
            </w:r>
          </w:p>
        </w:tc>
      </w:tr>
      <w:tr w:rsidR="00CA5F71" w:rsidRPr="004D5AB1" w14:paraId="7CC5CF44"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50BE13AD" w14:textId="77777777" w:rsidR="00CA5F71" w:rsidRPr="004D5AB1" w:rsidRDefault="00CA5F71">
            <w:pPr>
              <w:autoSpaceDE w:val="0"/>
              <w:autoSpaceDN w:val="0"/>
              <w:adjustRightInd w:val="0"/>
              <w:rPr>
                <w:noProof/>
                <w:sz w:val="24"/>
                <w:szCs w:val="24"/>
                <w:vertAlign w:val="superscript"/>
              </w:rPr>
            </w:pPr>
            <w:r w:rsidRPr="004D5AB1">
              <w:rPr>
                <w:i/>
                <w:iCs/>
                <w:noProof/>
                <w:sz w:val="24"/>
                <w:szCs w:val="24"/>
              </w:rPr>
              <w:t>Hazard ratio</w:t>
            </w:r>
            <w:r w:rsidRPr="004D5AB1">
              <w:rPr>
                <w:noProof/>
                <w:sz w:val="24"/>
                <w:szCs w:val="24"/>
                <w:vertAlign w:val="superscript"/>
              </w:rPr>
              <w:t>3</w:t>
            </w:r>
          </w:p>
        </w:tc>
        <w:tc>
          <w:tcPr>
            <w:tcW w:w="682" w:type="pct"/>
            <w:tcBorders>
              <w:top w:val="single" w:sz="4" w:space="0" w:color="auto"/>
              <w:left w:val="single" w:sz="4" w:space="0" w:color="auto"/>
              <w:bottom w:val="single" w:sz="4" w:space="0" w:color="auto"/>
              <w:right w:val="single" w:sz="4" w:space="0" w:color="auto"/>
            </w:tcBorders>
          </w:tcPr>
          <w:p w14:paraId="2705B5DB"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211E5C84" w14:textId="77777777" w:rsidR="00CA5F71" w:rsidRPr="004D5AB1" w:rsidRDefault="00CA5F71">
            <w:pPr>
              <w:autoSpaceDE w:val="0"/>
              <w:autoSpaceDN w:val="0"/>
              <w:adjustRightInd w:val="0"/>
              <w:jc w:val="center"/>
              <w:rPr>
                <w:sz w:val="24"/>
                <w:szCs w:val="24"/>
              </w:rPr>
            </w:pPr>
            <w:r w:rsidRPr="004D5AB1">
              <w:rPr>
                <w:sz w:val="24"/>
                <w:szCs w:val="24"/>
              </w:rPr>
              <w:t>1,15</w:t>
            </w:r>
          </w:p>
        </w:tc>
        <w:tc>
          <w:tcPr>
            <w:tcW w:w="682" w:type="pct"/>
            <w:tcBorders>
              <w:top w:val="single" w:sz="4" w:space="0" w:color="auto"/>
              <w:left w:val="single" w:sz="4" w:space="0" w:color="auto"/>
              <w:bottom w:val="single" w:sz="4" w:space="0" w:color="auto"/>
              <w:right w:val="single" w:sz="4" w:space="0" w:color="auto"/>
            </w:tcBorders>
          </w:tcPr>
          <w:p w14:paraId="24CFF225"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58894623" w14:textId="77777777" w:rsidR="00CA5F71" w:rsidRPr="004D5AB1" w:rsidRDefault="00CA5F71">
            <w:pPr>
              <w:autoSpaceDE w:val="0"/>
              <w:autoSpaceDN w:val="0"/>
              <w:adjustRightInd w:val="0"/>
              <w:jc w:val="center"/>
              <w:rPr>
                <w:sz w:val="24"/>
                <w:szCs w:val="24"/>
              </w:rPr>
            </w:pPr>
            <w:r w:rsidRPr="004D5AB1">
              <w:rPr>
                <w:sz w:val="24"/>
                <w:szCs w:val="24"/>
              </w:rPr>
              <w:t>0,38</w:t>
            </w:r>
          </w:p>
        </w:tc>
        <w:tc>
          <w:tcPr>
            <w:tcW w:w="682" w:type="pct"/>
            <w:tcBorders>
              <w:top w:val="single" w:sz="4" w:space="0" w:color="auto"/>
              <w:left w:val="single" w:sz="4" w:space="0" w:color="auto"/>
              <w:bottom w:val="single" w:sz="4" w:space="0" w:color="auto"/>
              <w:right w:val="single" w:sz="4" w:space="0" w:color="auto"/>
            </w:tcBorders>
          </w:tcPr>
          <w:p w14:paraId="25549E9C"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3A557DBF" w14:textId="77777777" w:rsidR="00CA5F71" w:rsidRPr="004D5AB1" w:rsidRDefault="00CA5F71">
            <w:pPr>
              <w:autoSpaceDE w:val="0"/>
              <w:autoSpaceDN w:val="0"/>
              <w:adjustRightInd w:val="0"/>
              <w:jc w:val="center"/>
              <w:rPr>
                <w:sz w:val="24"/>
                <w:szCs w:val="24"/>
              </w:rPr>
            </w:pPr>
            <w:r w:rsidRPr="004D5AB1">
              <w:rPr>
                <w:sz w:val="24"/>
                <w:szCs w:val="24"/>
              </w:rPr>
              <w:t>0,64</w:t>
            </w:r>
          </w:p>
        </w:tc>
      </w:tr>
      <w:tr w:rsidR="00CA5F71" w:rsidRPr="004D5AB1" w14:paraId="70CEA034"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4BAD5D76" w14:textId="77777777" w:rsidR="00CA5F71" w:rsidRPr="004D5AB1" w:rsidRDefault="00CA5F71">
            <w:pPr>
              <w:autoSpaceDE w:val="0"/>
              <w:autoSpaceDN w:val="0"/>
              <w:adjustRightInd w:val="0"/>
              <w:rPr>
                <w:noProof/>
                <w:sz w:val="24"/>
                <w:szCs w:val="24"/>
              </w:rPr>
            </w:pPr>
            <w:r w:rsidRPr="004D5AB1">
              <w:rPr>
                <w:sz w:val="24"/>
                <w:szCs w:val="24"/>
              </w:rPr>
              <w:t>95 % CI</w:t>
            </w:r>
          </w:p>
        </w:tc>
        <w:tc>
          <w:tcPr>
            <w:tcW w:w="682" w:type="pct"/>
            <w:tcBorders>
              <w:top w:val="single" w:sz="4" w:space="0" w:color="auto"/>
              <w:left w:val="single" w:sz="4" w:space="0" w:color="auto"/>
              <w:bottom w:val="single" w:sz="4" w:space="0" w:color="auto"/>
              <w:right w:val="single" w:sz="4" w:space="0" w:color="auto"/>
            </w:tcBorders>
          </w:tcPr>
          <w:p w14:paraId="54E75826"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4A2D934E" w14:textId="77777777" w:rsidR="00CA5F71" w:rsidRPr="004D5AB1" w:rsidRDefault="00CA5F71">
            <w:pPr>
              <w:autoSpaceDE w:val="0"/>
              <w:autoSpaceDN w:val="0"/>
              <w:adjustRightInd w:val="0"/>
              <w:jc w:val="center"/>
              <w:rPr>
                <w:sz w:val="24"/>
                <w:szCs w:val="24"/>
              </w:rPr>
            </w:pPr>
            <w:r w:rsidRPr="004D5AB1">
              <w:rPr>
                <w:sz w:val="24"/>
                <w:szCs w:val="24"/>
              </w:rPr>
              <w:t>(0,54; 2.42)</w:t>
            </w:r>
          </w:p>
        </w:tc>
        <w:tc>
          <w:tcPr>
            <w:tcW w:w="682" w:type="pct"/>
            <w:tcBorders>
              <w:top w:val="single" w:sz="4" w:space="0" w:color="auto"/>
              <w:left w:val="single" w:sz="4" w:space="0" w:color="auto"/>
              <w:bottom w:val="single" w:sz="4" w:space="0" w:color="auto"/>
              <w:right w:val="single" w:sz="4" w:space="0" w:color="auto"/>
            </w:tcBorders>
          </w:tcPr>
          <w:p w14:paraId="5178E795"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26592D93" w14:textId="77777777" w:rsidR="00CA5F71" w:rsidRPr="004D5AB1" w:rsidRDefault="00CA5F71">
            <w:pPr>
              <w:autoSpaceDE w:val="0"/>
              <w:autoSpaceDN w:val="0"/>
              <w:adjustRightInd w:val="0"/>
              <w:jc w:val="center"/>
              <w:rPr>
                <w:sz w:val="24"/>
                <w:szCs w:val="24"/>
              </w:rPr>
            </w:pPr>
            <w:r w:rsidRPr="004D5AB1">
              <w:rPr>
                <w:sz w:val="24"/>
                <w:szCs w:val="24"/>
              </w:rPr>
              <w:t>(0,19; 0,77)</w:t>
            </w:r>
          </w:p>
        </w:tc>
        <w:tc>
          <w:tcPr>
            <w:tcW w:w="682" w:type="pct"/>
            <w:tcBorders>
              <w:top w:val="single" w:sz="4" w:space="0" w:color="auto"/>
              <w:left w:val="single" w:sz="4" w:space="0" w:color="auto"/>
              <w:bottom w:val="single" w:sz="4" w:space="0" w:color="auto"/>
              <w:right w:val="single" w:sz="4" w:space="0" w:color="auto"/>
            </w:tcBorders>
          </w:tcPr>
          <w:p w14:paraId="46363033"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hideMark/>
          </w:tcPr>
          <w:p w14:paraId="27E3FF87" w14:textId="77777777" w:rsidR="00CA5F71" w:rsidRPr="004D5AB1" w:rsidRDefault="00CA5F71">
            <w:pPr>
              <w:autoSpaceDE w:val="0"/>
              <w:autoSpaceDN w:val="0"/>
              <w:adjustRightInd w:val="0"/>
              <w:jc w:val="center"/>
              <w:rPr>
                <w:sz w:val="24"/>
                <w:szCs w:val="24"/>
              </w:rPr>
            </w:pPr>
            <w:r w:rsidRPr="004D5AB1">
              <w:rPr>
                <w:sz w:val="24"/>
                <w:szCs w:val="24"/>
              </w:rPr>
              <w:t>(0,39; 1,05)</w:t>
            </w:r>
          </w:p>
        </w:tc>
      </w:tr>
    </w:tbl>
    <w:p w14:paraId="41E4D3A4"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Baseret på data indsamlet op til 372 dage (52 uger + 7 dages margin).</w:t>
      </w:r>
    </w:p>
    <w:p w14:paraId="02981206" w14:textId="77777777" w:rsidR="00CA5F71" w:rsidRPr="0099618E" w:rsidRDefault="00CA5F71" w:rsidP="00CA5F71">
      <w:pPr>
        <w:suppressAutoHyphens/>
        <w:rPr>
          <w:sz w:val="20"/>
        </w:rPr>
      </w:pPr>
      <w:r w:rsidRPr="0099618E">
        <w:rPr>
          <w:sz w:val="20"/>
          <w:vertAlign w:val="superscript"/>
        </w:rPr>
        <w:t xml:space="preserve">2 </w:t>
      </w:r>
      <w:r w:rsidRPr="0099618E">
        <w:rPr>
          <w:sz w:val="20"/>
        </w:rPr>
        <w:t>Baseret på en Log-rank-test.</w:t>
      </w:r>
    </w:p>
    <w:p w14:paraId="1EF822AF" w14:textId="77777777" w:rsidR="00CA5F71" w:rsidRPr="0099618E" w:rsidRDefault="00CA5F71" w:rsidP="00CA5F71">
      <w:pPr>
        <w:suppressAutoHyphens/>
        <w:rPr>
          <w:bCs/>
          <w:noProof/>
          <w:sz w:val="20"/>
          <w:vertAlign w:val="superscript"/>
        </w:rPr>
      </w:pPr>
      <w:r w:rsidRPr="0099618E">
        <w:rPr>
          <w:sz w:val="20"/>
          <w:vertAlign w:val="superscript"/>
        </w:rPr>
        <w:t xml:space="preserve">3 </w:t>
      </w:r>
      <w:r w:rsidRPr="0099618E">
        <w:rPr>
          <w:sz w:val="20"/>
        </w:rPr>
        <w:t>Baseret på en Cox' regressionsmodel.</w:t>
      </w:r>
    </w:p>
    <w:p w14:paraId="30575763" w14:textId="77777777" w:rsidR="00CA5F71" w:rsidRPr="004D5AB1" w:rsidRDefault="00CA5F71" w:rsidP="00CA5F71">
      <w:pPr>
        <w:suppressAutoHyphens/>
        <w:rPr>
          <w:bCs/>
          <w:noProof/>
          <w:sz w:val="24"/>
          <w:szCs w:val="24"/>
        </w:rPr>
      </w:pPr>
    </w:p>
    <w:p w14:paraId="21C04A35" w14:textId="77777777" w:rsidR="00CA5F71" w:rsidRPr="004D5AB1" w:rsidRDefault="00CA5F71" w:rsidP="0015226E">
      <w:pPr>
        <w:suppressAutoHyphens/>
        <w:ind w:left="851"/>
        <w:rPr>
          <w:bCs/>
          <w:noProof/>
          <w:sz w:val="24"/>
          <w:szCs w:val="24"/>
        </w:rPr>
      </w:pPr>
      <w:r w:rsidRPr="004D5AB1">
        <w:rPr>
          <w:bCs/>
          <w:noProof/>
          <w:sz w:val="24"/>
          <w:szCs w:val="24"/>
        </w:rPr>
        <w:t xml:space="preserve">I en præspecificeret sensitivitetsanalyse var andelen af patienter med mindst 1 vurderet eksacerbation, der forekom inden for 52 uger, var lavere i nintedanib-gruppen (1,9 % af patienterne) end i placebogruppen (5,7 % af patienterne). Analysen af tid til hændelse af de vurderede eksacerbationer, baseret på de samlede data, resulterede i en </w:t>
      </w:r>
      <w:r w:rsidRPr="004D5AB1">
        <w:rPr>
          <w:bCs/>
          <w:i/>
          <w:iCs/>
          <w:noProof/>
          <w:sz w:val="24"/>
          <w:szCs w:val="24"/>
        </w:rPr>
        <w:t>hazard ratio</w:t>
      </w:r>
      <w:r w:rsidRPr="004D5AB1">
        <w:rPr>
          <w:bCs/>
          <w:noProof/>
          <w:sz w:val="24"/>
          <w:szCs w:val="24"/>
        </w:rPr>
        <w:t xml:space="preserve"> (HR) på 0,32 (95 % CI 0,16; 0,65; p=0,0010).</w:t>
      </w:r>
    </w:p>
    <w:p w14:paraId="68EB938A" w14:textId="77777777" w:rsidR="00CA5F71" w:rsidRPr="004D5AB1" w:rsidRDefault="00CA5F71" w:rsidP="0015226E">
      <w:pPr>
        <w:suppressAutoHyphens/>
        <w:ind w:left="851"/>
        <w:rPr>
          <w:bCs/>
          <w:i/>
          <w:iCs/>
          <w:noProof/>
          <w:sz w:val="24"/>
          <w:szCs w:val="24"/>
        </w:rPr>
      </w:pPr>
    </w:p>
    <w:p w14:paraId="30880F7E"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Overlevelsesanalyse</w:t>
      </w:r>
    </w:p>
    <w:p w14:paraId="6EC72000" w14:textId="4712AD21" w:rsidR="00CA5F71" w:rsidRPr="004D5AB1" w:rsidRDefault="00CA5F71" w:rsidP="0015226E">
      <w:pPr>
        <w:suppressAutoHyphens/>
        <w:ind w:left="851"/>
        <w:rPr>
          <w:bCs/>
          <w:noProof/>
          <w:sz w:val="24"/>
          <w:szCs w:val="24"/>
        </w:rPr>
      </w:pPr>
      <w:r w:rsidRPr="004D5AB1">
        <w:rPr>
          <w:bCs/>
          <w:noProof/>
          <w:sz w:val="24"/>
          <w:szCs w:val="24"/>
        </w:rPr>
        <w:t xml:space="preserve">I den præ-specificerede samlede analyse af overlevelsesdata fra INPULSIS-studierne var den generelle mortalitet i løbet af 52 uger lavere i nintedanib-gruppen (5,5 %) sammenlignet med placebogruppen (7,8 %). Analysen af tid til død resulterede i en </w:t>
      </w:r>
      <w:r w:rsidRPr="004D5AB1">
        <w:rPr>
          <w:bCs/>
          <w:i/>
          <w:iCs/>
          <w:noProof/>
          <w:sz w:val="24"/>
          <w:szCs w:val="24"/>
        </w:rPr>
        <w:t xml:space="preserve">hazard </w:t>
      </w:r>
      <w:r w:rsidRPr="004D5AB1">
        <w:rPr>
          <w:bCs/>
          <w:noProof/>
          <w:sz w:val="24"/>
          <w:szCs w:val="24"/>
        </w:rPr>
        <w:t>ratio (HR) på 0,70 (95 % CI 0,43; 1,12; p=0,1399). Resultaterne af alle overlevelses</w:t>
      </w:r>
      <w:r w:rsidR="00676A6A">
        <w:rPr>
          <w:bCs/>
          <w:noProof/>
          <w:sz w:val="24"/>
          <w:szCs w:val="24"/>
        </w:rPr>
        <w:softHyphen/>
      </w:r>
      <w:r w:rsidRPr="004D5AB1">
        <w:rPr>
          <w:bCs/>
          <w:noProof/>
          <w:sz w:val="24"/>
          <w:szCs w:val="24"/>
        </w:rPr>
        <w:t>endepunkter (såsom i-behandlings-mortalitet og respiratorisk mortalitet) viste en konsistent numerisk forskel til fordel for nintedanib.</w:t>
      </w:r>
    </w:p>
    <w:p w14:paraId="682387EC" w14:textId="77777777" w:rsidR="00CA5F71" w:rsidRPr="004D5AB1" w:rsidRDefault="00CA5F71" w:rsidP="0015226E">
      <w:pPr>
        <w:suppressAutoHyphens/>
        <w:ind w:left="851"/>
        <w:rPr>
          <w:bCs/>
          <w:noProof/>
          <w:sz w:val="24"/>
          <w:szCs w:val="24"/>
        </w:rPr>
      </w:pPr>
    </w:p>
    <w:p w14:paraId="60C494FF" w14:textId="77777777" w:rsidR="00CA5F71" w:rsidRPr="004D5AB1" w:rsidRDefault="00CA5F71" w:rsidP="00CA5F71">
      <w:pPr>
        <w:suppressAutoHyphens/>
        <w:ind w:left="1440" w:hanging="1440"/>
        <w:rPr>
          <w:b/>
          <w:bCs/>
          <w:noProof/>
          <w:sz w:val="24"/>
          <w:szCs w:val="24"/>
        </w:rPr>
      </w:pPr>
      <w:r w:rsidRPr="004D5AB1">
        <w:rPr>
          <w:b/>
          <w:bCs/>
          <w:noProof/>
          <w:sz w:val="24"/>
          <w:szCs w:val="24"/>
        </w:rPr>
        <w:t xml:space="preserve">Tabel 7: </w:t>
      </w:r>
      <w:r w:rsidRPr="004D5AB1">
        <w:rPr>
          <w:b/>
          <w:bCs/>
          <w:noProof/>
          <w:sz w:val="24"/>
          <w:szCs w:val="24"/>
        </w:rPr>
        <w:tab/>
        <w:t xml:space="preserve">Mortalitet (alle årsager) i 52 uger i studierne INPULSIS-1og INPULSIS-2 og deres samlede data - </w:t>
      </w:r>
      <w:r w:rsidRPr="004D5AB1">
        <w:rPr>
          <w:b/>
          <w:bCs/>
          <w:i/>
          <w:iCs/>
          <w:noProof/>
          <w:sz w:val="24"/>
          <w:szCs w:val="24"/>
        </w:rPr>
        <w:t>treated set</w:t>
      </w:r>
    </w:p>
    <w:tbl>
      <w:tblPr>
        <w:tblStyle w:val="Tabel-Gitter"/>
        <w:tblW w:w="5000" w:type="pct"/>
        <w:tblInd w:w="0" w:type="dxa"/>
        <w:tblLook w:val="04A0" w:firstRow="1" w:lastRow="0" w:firstColumn="1" w:lastColumn="0" w:noHBand="0" w:noVBand="1"/>
      </w:tblPr>
      <w:tblGrid>
        <w:gridCol w:w="1609"/>
        <w:gridCol w:w="1314"/>
        <w:gridCol w:w="1359"/>
        <w:gridCol w:w="1313"/>
        <w:gridCol w:w="1361"/>
        <w:gridCol w:w="1313"/>
        <w:gridCol w:w="1359"/>
      </w:tblGrid>
      <w:tr w:rsidR="00CA5F71" w:rsidRPr="004D5AB1" w14:paraId="4C8A42E4" w14:textId="77777777" w:rsidTr="0015226E">
        <w:tc>
          <w:tcPr>
            <w:tcW w:w="835" w:type="pct"/>
            <w:vMerge w:val="restart"/>
            <w:tcBorders>
              <w:top w:val="single" w:sz="4" w:space="0" w:color="auto"/>
              <w:left w:val="single" w:sz="4" w:space="0" w:color="auto"/>
              <w:bottom w:val="single" w:sz="4" w:space="0" w:color="auto"/>
              <w:right w:val="single" w:sz="4" w:space="0" w:color="auto"/>
            </w:tcBorders>
          </w:tcPr>
          <w:p w14:paraId="7094E4CF" w14:textId="77777777" w:rsidR="00CA5F71" w:rsidRPr="004D5AB1" w:rsidRDefault="00CA5F71">
            <w:pPr>
              <w:autoSpaceDE w:val="0"/>
              <w:autoSpaceDN w:val="0"/>
              <w:adjustRightInd w:val="0"/>
              <w:rPr>
                <w:noProof/>
                <w:sz w:val="24"/>
                <w:szCs w:val="24"/>
              </w:rPr>
            </w:pPr>
          </w:p>
        </w:tc>
        <w:tc>
          <w:tcPr>
            <w:tcW w:w="1388" w:type="pct"/>
            <w:gridSpan w:val="2"/>
            <w:tcBorders>
              <w:top w:val="single" w:sz="4" w:space="0" w:color="auto"/>
              <w:left w:val="single" w:sz="4" w:space="0" w:color="auto"/>
              <w:bottom w:val="single" w:sz="4" w:space="0" w:color="auto"/>
              <w:right w:val="single" w:sz="4" w:space="0" w:color="auto"/>
            </w:tcBorders>
            <w:hideMark/>
          </w:tcPr>
          <w:p w14:paraId="1B1AC1CD" w14:textId="77777777" w:rsidR="00CA5F71" w:rsidRPr="004D5AB1" w:rsidRDefault="00CA5F71">
            <w:pPr>
              <w:autoSpaceDE w:val="0"/>
              <w:autoSpaceDN w:val="0"/>
              <w:adjustRightInd w:val="0"/>
              <w:jc w:val="center"/>
              <w:rPr>
                <w:noProof/>
                <w:sz w:val="24"/>
                <w:szCs w:val="24"/>
              </w:rPr>
            </w:pPr>
            <w:r w:rsidRPr="004D5AB1">
              <w:rPr>
                <w:noProof/>
                <w:sz w:val="24"/>
                <w:szCs w:val="24"/>
              </w:rPr>
              <w:t>INPULSIS-1</w:t>
            </w:r>
          </w:p>
        </w:tc>
        <w:tc>
          <w:tcPr>
            <w:tcW w:w="1389" w:type="pct"/>
            <w:gridSpan w:val="2"/>
            <w:tcBorders>
              <w:top w:val="single" w:sz="4" w:space="0" w:color="auto"/>
              <w:left w:val="single" w:sz="4" w:space="0" w:color="auto"/>
              <w:bottom w:val="single" w:sz="4" w:space="0" w:color="auto"/>
              <w:right w:val="single" w:sz="4" w:space="0" w:color="auto"/>
            </w:tcBorders>
            <w:hideMark/>
          </w:tcPr>
          <w:p w14:paraId="6C899ED3" w14:textId="77777777" w:rsidR="00CA5F71" w:rsidRPr="004D5AB1" w:rsidRDefault="00CA5F71">
            <w:pPr>
              <w:autoSpaceDE w:val="0"/>
              <w:autoSpaceDN w:val="0"/>
              <w:adjustRightInd w:val="0"/>
              <w:jc w:val="center"/>
              <w:rPr>
                <w:noProof/>
                <w:sz w:val="24"/>
                <w:szCs w:val="24"/>
              </w:rPr>
            </w:pPr>
            <w:r w:rsidRPr="004D5AB1">
              <w:rPr>
                <w:noProof/>
                <w:sz w:val="24"/>
                <w:szCs w:val="24"/>
              </w:rPr>
              <w:t>INPULSIS-3</w:t>
            </w:r>
          </w:p>
        </w:tc>
        <w:tc>
          <w:tcPr>
            <w:tcW w:w="1389" w:type="pct"/>
            <w:gridSpan w:val="2"/>
            <w:tcBorders>
              <w:top w:val="single" w:sz="4" w:space="0" w:color="auto"/>
              <w:left w:val="single" w:sz="4" w:space="0" w:color="auto"/>
              <w:bottom w:val="single" w:sz="4" w:space="0" w:color="auto"/>
              <w:right w:val="single" w:sz="4" w:space="0" w:color="auto"/>
            </w:tcBorders>
            <w:hideMark/>
          </w:tcPr>
          <w:p w14:paraId="769EFE2F" w14:textId="77777777" w:rsidR="00CA5F71" w:rsidRPr="004D5AB1" w:rsidRDefault="00CA5F71">
            <w:pPr>
              <w:autoSpaceDE w:val="0"/>
              <w:autoSpaceDN w:val="0"/>
              <w:adjustRightInd w:val="0"/>
              <w:jc w:val="center"/>
              <w:rPr>
                <w:noProof/>
                <w:sz w:val="24"/>
                <w:szCs w:val="24"/>
              </w:rPr>
            </w:pPr>
            <w:r w:rsidRPr="004D5AB1">
              <w:rPr>
                <w:noProof/>
                <w:sz w:val="24"/>
                <w:szCs w:val="24"/>
              </w:rPr>
              <w:t>INPULSIS-1 og INPULSIS-2 samlet</w:t>
            </w:r>
          </w:p>
        </w:tc>
      </w:tr>
      <w:tr w:rsidR="00CA5F71" w:rsidRPr="004D5AB1" w14:paraId="367AA3A1" w14:textId="77777777" w:rsidTr="0015226E">
        <w:tc>
          <w:tcPr>
            <w:tcW w:w="835" w:type="pct"/>
            <w:vMerge/>
            <w:tcBorders>
              <w:top w:val="single" w:sz="4" w:space="0" w:color="auto"/>
              <w:left w:val="single" w:sz="4" w:space="0" w:color="auto"/>
              <w:bottom w:val="single" w:sz="4" w:space="0" w:color="auto"/>
              <w:right w:val="single" w:sz="4" w:space="0" w:color="auto"/>
            </w:tcBorders>
            <w:vAlign w:val="center"/>
            <w:hideMark/>
          </w:tcPr>
          <w:p w14:paraId="6F34FB5E" w14:textId="77777777" w:rsidR="00CA5F71" w:rsidRPr="004D5AB1" w:rsidRDefault="00CA5F71">
            <w:pPr>
              <w:rPr>
                <w:noProof/>
                <w:sz w:val="24"/>
                <w:szCs w:val="24"/>
              </w:rPr>
            </w:pPr>
          </w:p>
        </w:tc>
        <w:tc>
          <w:tcPr>
            <w:tcW w:w="682" w:type="pct"/>
            <w:tcBorders>
              <w:top w:val="single" w:sz="4" w:space="0" w:color="auto"/>
              <w:left w:val="single" w:sz="4" w:space="0" w:color="auto"/>
              <w:bottom w:val="single" w:sz="4" w:space="0" w:color="auto"/>
              <w:right w:val="single" w:sz="4" w:space="0" w:color="auto"/>
            </w:tcBorders>
            <w:hideMark/>
          </w:tcPr>
          <w:p w14:paraId="5E9C3D7B"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2AEF8D19"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4304C3C2"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28D6D4DA"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c>
          <w:tcPr>
            <w:tcW w:w="682" w:type="pct"/>
            <w:tcBorders>
              <w:top w:val="single" w:sz="4" w:space="0" w:color="auto"/>
              <w:left w:val="single" w:sz="4" w:space="0" w:color="auto"/>
              <w:bottom w:val="single" w:sz="4" w:space="0" w:color="auto"/>
              <w:right w:val="single" w:sz="4" w:space="0" w:color="auto"/>
            </w:tcBorders>
            <w:hideMark/>
          </w:tcPr>
          <w:p w14:paraId="54B06DD6" w14:textId="77777777" w:rsidR="00CA5F71" w:rsidRPr="004D5AB1" w:rsidRDefault="00CA5F71">
            <w:pPr>
              <w:autoSpaceDE w:val="0"/>
              <w:autoSpaceDN w:val="0"/>
              <w:adjustRightInd w:val="0"/>
              <w:jc w:val="center"/>
              <w:rPr>
                <w:noProof/>
                <w:sz w:val="24"/>
                <w:szCs w:val="24"/>
              </w:rPr>
            </w:pPr>
            <w:r w:rsidRPr="004D5AB1">
              <w:rPr>
                <w:noProof/>
                <w:sz w:val="24"/>
                <w:szCs w:val="24"/>
              </w:rPr>
              <w:t>Placebo</w:t>
            </w:r>
          </w:p>
        </w:tc>
        <w:tc>
          <w:tcPr>
            <w:tcW w:w="706" w:type="pct"/>
            <w:tcBorders>
              <w:top w:val="single" w:sz="4" w:space="0" w:color="auto"/>
              <w:left w:val="single" w:sz="4" w:space="0" w:color="auto"/>
              <w:bottom w:val="single" w:sz="4" w:space="0" w:color="auto"/>
              <w:right w:val="single" w:sz="4" w:space="0" w:color="auto"/>
            </w:tcBorders>
            <w:hideMark/>
          </w:tcPr>
          <w:p w14:paraId="0F727EE4" w14:textId="77777777" w:rsidR="00CA5F71" w:rsidRPr="004D5AB1" w:rsidRDefault="00CA5F71">
            <w:pPr>
              <w:autoSpaceDE w:val="0"/>
              <w:autoSpaceDN w:val="0"/>
              <w:adjustRightInd w:val="0"/>
              <w:jc w:val="center"/>
              <w:rPr>
                <w:noProof/>
                <w:sz w:val="24"/>
                <w:szCs w:val="24"/>
              </w:rPr>
            </w:pPr>
            <w:r w:rsidRPr="004D5AB1">
              <w:rPr>
                <w:noProof/>
                <w:sz w:val="24"/>
                <w:szCs w:val="24"/>
              </w:rPr>
              <w:t>Nintedanib 150 mg to gange dagligt</w:t>
            </w:r>
          </w:p>
        </w:tc>
      </w:tr>
      <w:tr w:rsidR="00CA5F71" w:rsidRPr="004D5AB1" w14:paraId="61A7D54C"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19E4372D" w14:textId="77777777" w:rsidR="00CA5F71" w:rsidRPr="004D5AB1" w:rsidRDefault="00CA5F71">
            <w:pPr>
              <w:autoSpaceDE w:val="0"/>
              <w:autoSpaceDN w:val="0"/>
              <w:adjustRightInd w:val="0"/>
              <w:rPr>
                <w:noProof/>
                <w:sz w:val="24"/>
                <w:szCs w:val="24"/>
              </w:rPr>
            </w:pPr>
            <w:r w:rsidRPr="004D5AB1">
              <w:rPr>
                <w:noProof/>
                <w:sz w:val="24"/>
                <w:szCs w:val="24"/>
              </w:rPr>
              <w:lastRenderedPageBreak/>
              <w:t>Antal i risiko</w:t>
            </w:r>
          </w:p>
        </w:tc>
        <w:tc>
          <w:tcPr>
            <w:tcW w:w="682" w:type="pct"/>
            <w:tcBorders>
              <w:top w:val="single" w:sz="4" w:space="0" w:color="auto"/>
              <w:left w:val="single" w:sz="4" w:space="0" w:color="auto"/>
              <w:bottom w:val="single" w:sz="4" w:space="0" w:color="auto"/>
              <w:right w:val="single" w:sz="4" w:space="0" w:color="auto"/>
            </w:tcBorders>
            <w:vAlign w:val="bottom"/>
            <w:hideMark/>
          </w:tcPr>
          <w:p w14:paraId="63256B19" w14:textId="77777777" w:rsidR="00CA5F71" w:rsidRPr="004D5AB1" w:rsidRDefault="00CA5F71">
            <w:pPr>
              <w:autoSpaceDE w:val="0"/>
              <w:autoSpaceDN w:val="0"/>
              <w:adjustRightInd w:val="0"/>
              <w:jc w:val="center"/>
              <w:rPr>
                <w:noProof/>
                <w:sz w:val="24"/>
                <w:szCs w:val="24"/>
                <w:u w:val="single"/>
              </w:rPr>
            </w:pPr>
            <w:r w:rsidRPr="004D5AB1">
              <w:rPr>
                <w:sz w:val="24"/>
                <w:szCs w:val="24"/>
              </w:rPr>
              <w:t>204</w:t>
            </w:r>
          </w:p>
        </w:tc>
        <w:tc>
          <w:tcPr>
            <w:tcW w:w="706" w:type="pct"/>
            <w:tcBorders>
              <w:top w:val="single" w:sz="4" w:space="0" w:color="auto"/>
              <w:left w:val="single" w:sz="4" w:space="0" w:color="auto"/>
              <w:bottom w:val="single" w:sz="4" w:space="0" w:color="auto"/>
              <w:right w:val="single" w:sz="4" w:space="0" w:color="auto"/>
            </w:tcBorders>
            <w:vAlign w:val="bottom"/>
            <w:hideMark/>
          </w:tcPr>
          <w:p w14:paraId="2D8A8F4D" w14:textId="77777777" w:rsidR="00CA5F71" w:rsidRPr="004D5AB1" w:rsidRDefault="00CA5F71">
            <w:pPr>
              <w:autoSpaceDE w:val="0"/>
              <w:autoSpaceDN w:val="0"/>
              <w:adjustRightInd w:val="0"/>
              <w:jc w:val="center"/>
              <w:rPr>
                <w:noProof/>
                <w:sz w:val="24"/>
                <w:szCs w:val="24"/>
                <w:u w:val="single"/>
              </w:rPr>
            </w:pPr>
            <w:r w:rsidRPr="004D5AB1">
              <w:rPr>
                <w:sz w:val="24"/>
                <w:szCs w:val="24"/>
              </w:rPr>
              <w:t>309</w:t>
            </w:r>
          </w:p>
        </w:tc>
        <w:tc>
          <w:tcPr>
            <w:tcW w:w="682" w:type="pct"/>
            <w:tcBorders>
              <w:top w:val="single" w:sz="4" w:space="0" w:color="auto"/>
              <w:left w:val="single" w:sz="4" w:space="0" w:color="auto"/>
              <w:bottom w:val="single" w:sz="4" w:space="0" w:color="auto"/>
              <w:right w:val="single" w:sz="4" w:space="0" w:color="auto"/>
            </w:tcBorders>
            <w:vAlign w:val="bottom"/>
            <w:hideMark/>
          </w:tcPr>
          <w:p w14:paraId="37A8420F" w14:textId="77777777" w:rsidR="00CA5F71" w:rsidRPr="004D5AB1" w:rsidRDefault="00CA5F71">
            <w:pPr>
              <w:autoSpaceDE w:val="0"/>
              <w:autoSpaceDN w:val="0"/>
              <w:adjustRightInd w:val="0"/>
              <w:jc w:val="center"/>
              <w:rPr>
                <w:noProof/>
                <w:sz w:val="24"/>
                <w:szCs w:val="24"/>
                <w:u w:val="single"/>
              </w:rPr>
            </w:pPr>
            <w:r w:rsidRPr="004D5AB1">
              <w:rPr>
                <w:sz w:val="24"/>
                <w:szCs w:val="24"/>
              </w:rPr>
              <w:t>219</w:t>
            </w:r>
          </w:p>
        </w:tc>
        <w:tc>
          <w:tcPr>
            <w:tcW w:w="706" w:type="pct"/>
            <w:tcBorders>
              <w:top w:val="single" w:sz="4" w:space="0" w:color="auto"/>
              <w:left w:val="single" w:sz="4" w:space="0" w:color="auto"/>
              <w:bottom w:val="single" w:sz="4" w:space="0" w:color="auto"/>
              <w:right w:val="single" w:sz="4" w:space="0" w:color="auto"/>
            </w:tcBorders>
            <w:vAlign w:val="bottom"/>
            <w:hideMark/>
          </w:tcPr>
          <w:p w14:paraId="4CFAFF0F" w14:textId="77777777" w:rsidR="00CA5F71" w:rsidRPr="004D5AB1" w:rsidRDefault="00CA5F71">
            <w:pPr>
              <w:autoSpaceDE w:val="0"/>
              <w:autoSpaceDN w:val="0"/>
              <w:adjustRightInd w:val="0"/>
              <w:jc w:val="center"/>
              <w:rPr>
                <w:noProof/>
                <w:sz w:val="24"/>
                <w:szCs w:val="24"/>
                <w:u w:val="single"/>
              </w:rPr>
            </w:pPr>
            <w:r w:rsidRPr="004D5AB1">
              <w:rPr>
                <w:sz w:val="24"/>
                <w:szCs w:val="24"/>
              </w:rPr>
              <w:t>329</w:t>
            </w:r>
          </w:p>
        </w:tc>
        <w:tc>
          <w:tcPr>
            <w:tcW w:w="682" w:type="pct"/>
            <w:tcBorders>
              <w:top w:val="single" w:sz="4" w:space="0" w:color="auto"/>
              <w:left w:val="single" w:sz="4" w:space="0" w:color="auto"/>
              <w:bottom w:val="single" w:sz="4" w:space="0" w:color="auto"/>
              <w:right w:val="single" w:sz="4" w:space="0" w:color="auto"/>
            </w:tcBorders>
            <w:vAlign w:val="bottom"/>
            <w:hideMark/>
          </w:tcPr>
          <w:p w14:paraId="5417B279" w14:textId="77777777" w:rsidR="00CA5F71" w:rsidRPr="004D5AB1" w:rsidRDefault="00CA5F71">
            <w:pPr>
              <w:autoSpaceDE w:val="0"/>
              <w:autoSpaceDN w:val="0"/>
              <w:adjustRightInd w:val="0"/>
              <w:jc w:val="center"/>
              <w:rPr>
                <w:noProof/>
                <w:sz w:val="24"/>
                <w:szCs w:val="24"/>
                <w:u w:val="single"/>
              </w:rPr>
            </w:pPr>
            <w:r w:rsidRPr="004D5AB1">
              <w:rPr>
                <w:sz w:val="24"/>
                <w:szCs w:val="24"/>
              </w:rPr>
              <w:t>423</w:t>
            </w:r>
          </w:p>
        </w:tc>
        <w:tc>
          <w:tcPr>
            <w:tcW w:w="706" w:type="pct"/>
            <w:tcBorders>
              <w:top w:val="single" w:sz="4" w:space="0" w:color="auto"/>
              <w:left w:val="single" w:sz="4" w:space="0" w:color="auto"/>
              <w:bottom w:val="single" w:sz="4" w:space="0" w:color="auto"/>
              <w:right w:val="single" w:sz="4" w:space="0" w:color="auto"/>
            </w:tcBorders>
            <w:vAlign w:val="bottom"/>
            <w:hideMark/>
          </w:tcPr>
          <w:p w14:paraId="2C26A57F" w14:textId="77777777" w:rsidR="00CA5F71" w:rsidRPr="004D5AB1" w:rsidRDefault="00CA5F71">
            <w:pPr>
              <w:autoSpaceDE w:val="0"/>
              <w:autoSpaceDN w:val="0"/>
              <w:adjustRightInd w:val="0"/>
              <w:jc w:val="center"/>
              <w:rPr>
                <w:noProof/>
                <w:sz w:val="24"/>
                <w:szCs w:val="24"/>
                <w:u w:val="single"/>
              </w:rPr>
            </w:pPr>
            <w:r w:rsidRPr="004D5AB1">
              <w:rPr>
                <w:sz w:val="24"/>
                <w:szCs w:val="24"/>
              </w:rPr>
              <w:t>638</w:t>
            </w:r>
          </w:p>
        </w:tc>
      </w:tr>
      <w:tr w:rsidR="00CA5F71" w:rsidRPr="004D5AB1" w14:paraId="7309A145"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7EAEAE7B" w14:textId="77777777" w:rsidR="00CA5F71" w:rsidRPr="004D5AB1" w:rsidRDefault="00CA5F71">
            <w:pPr>
              <w:autoSpaceDE w:val="0"/>
              <w:autoSpaceDN w:val="0"/>
              <w:adjustRightInd w:val="0"/>
              <w:rPr>
                <w:noProof/>
                <w:sz w:val="24"/>
                <w:szCs w:val="24"/>
              </w:rPr>
            </w:pPr>
            <w:r w:rsidRPr="004D5AB1">
              <w:rPr>
                <w:noProof/>
                <w:sz w:val="24"/>
                <w:szCs w:val="24"/>
              </w:rPr>
              <w:t>Patienter med hændelser, N (%)</w:t>
            </w:r>
          </w:p>
        </w:tc>
        <w:tc>
          <w:tcPr>
            <w:tcW w:w="682" w:type="pct"/>
            <w:tcBorders>
              <w:top w:val="single" w:sz="4" w:space="0" w:color="auto"/>
              <w:left w:val="single" w:sz="4" w:space="0" w:color="auto"/>
              <w:bottom w:val="single" w:sz="4" w:space="0" w:color="auto"/>
              <w:right w:val="single" w:sz="4" w:space="0" w:color="auto"/>
            </w:tcBorders>
            <w:vAlign w:val="bottom"/>
            <w:hideMark/>
          </w:tcPr>
          <w:p w14:paraId="0E6897C7" w14:textId="77777777" w:rsidR="00CA5F71" w:rsidRPr="004D5AB1" w:rsidRDefault="00CA5F71">
            <w:pPr>
              <w:autoSpaceDE w:val="0"/>
              <w:autoSpaceDN w:val="0"/>
              <w:adjustRightInd w:val="0"/>
              <w:jc w:val="center"/>
              <w:rPr>
                <w:noProof/>
                <w:sz w:val="24"/>
                <w:szCs w:val="24"/>
                <w:u w:val="single"/>
              </w:rPr>
            </w:pPr>
            <w:r w:rsidRPr="004D5AB1">
              <w:rPr>
                <w:sz w:val="24"/>
                <w:szCs w:val="24"/>
              </w:rPr>
              <w:t>13 (6,4)</w:t>
            </w:r>
          </w:p>
        </w:tc>
        <w:tc>
          <w:tcPr>
            <w:tcW w:w="706" w:type="pct"/>
            <w:tcBorders>
              <w:top w:val="single" w:sz="4" w:space="0" w:color="auto"/>
              <w:left w:val="single" w:sz="4" w:space="0" w:color="auto"/>
              <w:bottom w:val="single" w:sz="4" w:space="0" w:color="auto"/>
              <w:right w:val="single" w:sz="4" w:space="0" w:color="auto"/>
            </w:tcBorders>
            <w:vAlign w:val="bottom"/>
            <w:hideMark/>
          </w:tcPr>
          <w:p w14:paraId="5D9360C4" w14:textId="77777777" w:rsidR="00CA5F71" w:rsidRPr="004D5AB1" w:rsidRDefault="00CA5F71">
            <w:pPr>
              <w:autoSpaceDE w:val="0"/>
              <w:autoSpaceDN w:val="0"/>
              <w:adjustRightInd w:val="0"/>
              <w:jc w:val="center"/>
              <w:rPr>
                <w:noProof/>
                <w:sz w:val="24"/>
                <w:szCs w:val="24"/>
                <w:u w:val="single"/>
              </w:rPr>
            </w:pPr>
            <w:r w:rsidRPr="004D5AB1">
              <w:rPr>
                <w:rFonts w:eastAsia="SimSun"/>
                <w:sz w:val="24"/>
                <w:szCs w:val="24"/>
                <w:lang w:val="en-US" w:eastAsia="en-GB"/>
              </w:rPr>
              <w:t>13 (4,2)</w:t>
            </w:r>
          </w:p>
        </w:tc>
        <w:tc>
          <w:tcPr>
            <w:tcW w:w="682" w:type="pct"/>
            <w:tcBorders>
              <w:top w:val="single" w:sz="4" w:space="0" w:color="auto"/>
              <w:left w:val="single" w:sz="4" w:space="0" w:color="auto"/>
              <w:bottom w:val="single" w:sz="4" w:space="0" w:color="auto"/>
              <w:right w:val="single" w:sz="4" w:space="0" w:color="auto"/>
            </w:tcBorders>
            <w:vAlign w:val="bottom"/>
            <w:hideMark/>
          </w:tcPr>
          <w:p w14:paraId="79F4373C" w14:textId="77777777" w:rsidR="00CA5F71" w:rsidRPr="004D5AB1" w:rsidRDefault="00CA5F71">
            <w:pPr>
              <w:autoSpaceDE w:val="0"/>
              <w:autoSpaceDN w:val="0"/>
              <w:adjustRightInd w:val="0"/>
              <w:jc w:val="center"/>
              <w:rPr>
                <w:noProof/>
                <w:sz w:val="24"/>
                <w:szCs w:val="24"/>
                <w:u w:val="single"/>
              </w:rPr>
            </w:pPr>
            <w:r w:rsidRPr="004D5AB1">
              <w:rPr>
                <w:sz w:val="24"/>
                <w:szCs w:val="24"/>
              </w:rPr>
              <w:t>20 (9,1)</w:t>
            </w:r>
          </w:p>
        </w:tc>
        <w:tc>
          <w:tcPr>
            <w:tcW w:w="706" w:type="pct"/>
            <w:tcBorders>
              <w:top w:val="single" w:sz="4" w:space="0" w:color="auto"/>
              <w:left w:val="single" w:sz="4" w:space="0" w:color="auto"/>
              <w:bottom w:val="single" w:sz="4" w:space="0" w:color="auto"/>
              <w:right w:val="single" w:sz="4" w:space="0" w:color="auto"/>
            </w:tcBorders>
            <w:vAlign w:val="bottom"/>
            <w:hideMark/>
          </w:tcPr>
          <w:p w14:paraId="28F7F88D" w14:textId="77777777" w:rsidR="00CA5F71" w:rsidRPr="004D5AB1" w:rsidRDefault="00CA5F71">
            <w:pPr>
              <w:autoSpaceDE w:val="0"/>
              <w:autoSpaceDN w:val="0"/>
              <w:adjustRightInd w:val="0"/>
              <w:jc w:val="center"/>
              <w:rPr>
                <w:noProof/>
                <w:sz w:val="24"/>
                <w:szCs w:val="24"/>
                <w:u w:val="single"/>
              </w:rPr>
            </w:pPr>
            <w:r w:rsidRPr="004D5AB1">
              <w:rPr>
                <w:sz w:val="24"/>
                <w:szCs w:val="24"/>
              </w:rPr>
              <w:t>22 (6,7)</w:t>
            </w:r>
          </w:p>
        </w:tc>
        <w:tc>
          <w:tcPr>
            <w:tcW w:w="682" w:type="pct"/>
            <w:tcBorders>
              <w:top w:val="single" w:sz="4" w:space="0" w:color="auto"/>
              <w:left w:val="single" w:sz="4" w:space="0" w:color="auto"/>
              <w:bottom w:val="single" w:sz="4" w:space="0" w:color="auto"/>
              <w:right w:val="single" w:sz="4" w:space="0" w:color="auto"/>
            </w:tcBorders>
            <w:vAlign w:val="bottom"/>
            <w:hideMark/>
          </w:tcPr>
          <w:p w14:paraId="4C070786" w14:textId="77777777" w:rsidR="00CA5F71" w:rsidRPr="004D5AB1" w:rsidRDefault="00CA5F71">
            <w:pPr>
              <w:autoSpaceDE w:val="0"/>
              <w:autoSpaceDN w:val="0"/>
              <w:adjustRightInd w:val="0"/>
              <w:jc w:val="center"/>
              <w:rPr>
                <w:noProof/>
                <w:sz w:val="24"/>
                <w:szCs w:val="24"/>
                <w:u w:val="single"/>
              </w:rPr>
            </w:pPr>
            <w:r w:rsidRPr="004D5AB1">
              <w:rPr>
                <w:sz w:val="24"/>
                <w:szCs w:val="24"/>
              </w:rPr>
              <w:t>33 (7,8)</w:t>
            </w:r>
          </w:p>
        </w:tc>
        <w:tc>
          <w:tcPr>
            <w:tcW w:w="706" w:type="pct"/>
            <w:tcBorders>
              <w:top w:val="single" w:sz="4" w:space="0" w:color="auto"/>
              <w:left w:val="single" w:sz="4" w:space="0" w:color="auto"/>
              <w:bottom w:val="single" w:sz="4" w:space="0" w:color="auto"/>
              <w:right w:val="single" w:sz="4" w:space="0" w:color="auto"/>
            </w:tcBorders>
            <w:vAlign w:val="bottom"/>
            <w:hideMark/>
          </w:tcPr>
          <w:p w14:paraId="44B87267" w14:textId="77777777" w:rsidR="00CA5F71" w:rsidRPr="004D5AB1" w:rsidRDefault="00CA5F71">
            <w:pPr>
              <w:autoSpaceDE w:val="0"/>
              <w:autoSpaceDN w:val="0"/>
              <w:adjustRightInd w:val="0"/>
              <w:jc w:val="center"/>
              <w:rPr>
                <w:noProof/>
                <w:sz w:val="24"/>
                <w:szCs w:val="24"/>
                <w:u w:val="single"/>
              </w:rPr>
            </w:pPr>
            <w:r w:rsidRPr="004D5AB1">
              <w:rPr>
                <w:sz w:val="24"/>
                <w:szCs w:val="24"/>
              </w:rPr>
              <w:t>35 (5,5)</w:t>
            </w:r>
          </w:p>
        </w:tc>
      </w:tr>
      <w:tr w:rsidR="00CA5F71" w:rsidRPr="004D5AB1" w14:paraId="7804C015" w14:textId="77777777" w:rsidTr="0015226E">
        <w:tc>
          <w:tcPr>
            <w:tcW w:w="5000" w:type="pct"/>
            <w:gridSpan w:val="7"/>
            <w:tcBorders>
              <w:top w:val="single" w:sz="4" w:space="0" w:color="auto"/>
              <w:left w:val="single" w:sz="4" w:space="0" w:color="auto"/>
              <w:bottom w:val="single" w:sz="4" w:space="0" w:color="auto"/>
              <w:right w:val="single" w:sz="4" w:space="0" w:color="auto"/>
            </w:tcBorders>
            <w:hideMark/>
          </w:tcPr>
          <w:p w14:paraId="537CDBB0" w14:textId="77777777" w:rsidR="00CA5F71" w:rsidRPr="004D5AB1" w:rsidRDefault="00CA5F71">
            <w:pPr>
              <w:autoSpaceDE w:val="0"/>
              <w:autoSpaceDN w:val="0"/>
              <w:adjustRightInd w:val="0"/>
              <w:rPr>
                <w:noProof/>
                <w:sz w:val="24"/>
                <w:szCs w:val="24"/>
                <w:u w:val="single"/>
                <w:vertAlign w:val="superscript"/>
              </w:rPr>
            </w:pPr>
            <w:r w:rsidRPr="004D5AB1">
              <w:rPr>
                <w:noProof/>
                <w:sz w:val="24"/>
                <w:szCs w:val="24"/>
              </w:rPr>
              <w:t>Sammenlignet med placebo</w:t>
            </w:r>
            <w:r w:rsidRPr="004D5AB1">
              <w:rPr>
                <w:noProof/>
                <w:sz w:val="24"/>
                <w:szCs w:val="24"/>
                <w:vertAlign w:val="superscript"/>
              </w:rPr>
              <w:t>1</w:t>
            </w:r>
          </w:p>
        </w:tc>
      </w:tr>
      <w:tr w:rsidR="00CA5F71" w:rsidRPr="004D5AB1" w14:paraId="44B5517D"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6949DAF7" w14:textId="77777777" w:rsidR="00CA5F71" w:rsidRPr="004D5AB1" w:rsidRDefault="00CA5F71">
            <w:pPr>
              <w:autoSpaceDE w:val="0"/>
              <w:autoSpaceDN w:val="0"/>
              <w:adjustRightInd w:val="0"/>
              <w:rPr>
                <w:noProof/>
                <w:sz w:val="24"/>
                <w:szCs w:val="24"/>
                <w:vertAlign w:val="superscript"/>
              </w:rPr>
            </w:pPr>
            <w:r w:rsidRPr="004D5AB1">
              <w:rPr>
                <w:sz w:val="24"/>
                <w:szCs w:val="24"/>
              </w:rPr>
              <w:t>p-værdi</w:t>
            </w:r>
            <w:r w:rsidRPr="004D5AB1">
              <w:rPr>
                <w:sz w:val="24"/>
                <w:szCs w:val="24"/>
                <w:vertAlign w:val="superscript"/>
              </w:rPr>
              <w:t>2</w:t>
            </w:r>
          </w:p>
        </w:tc>
        <w:tc>
          <w:tcPr>
            <w:tcW w:w="682" w:type="pct"/>
            <w:tcBorders>
              <w:top w:val="single" w:sz="4" w:space="0" w:color="auto"/>
              <w:left w:val="single" w:sz="4" w:space="0" w:color="auto"/>
              <w:bottom w:val="single" w:sz="4" w:space="0" w:color="auto"/>
              <w:right w:val="single" w:sz="4" w:space="0" w:color="auto"/>
            </w:tcBorders>
            <w:vAlign w:val="center"/>
          </w:tcPr>
          <w:p w14:paraId="516220F4"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3C9707B5" w14:textId="77777777" w:rsidR="00CA5F71" w:rsidRPr="004D5AB1" w:rsidRDefault="00CA5F71">
            <w:pPr>
              <w:autoSpaceDE w:val="0"/>
              <w:autoSpaceDN w:val="0"/>
              <w:adjustRightInd w:val="0"/>
              <w:jc w:val="center"/>
              <w:rPr>
                <w:noProof/>
                <w:sz w:val="24"/>
                <w:szCs w:val="24"/>
                <w:u w:val="single"/>
              </w:rPr>
            </w:pPr>
            <w:r w:rsidRPr="004D5AB1">
              <w:rPr>
                <w:rFonts w:eastAsia="SimSun"/>
                <w:sz w:val="24"/>
                <w:szCs w:val="24"/>
                <w:lang w:val="en-US" w:eastAsia="en-GB"/>
              </w:rPr>
              <w:t>0,2880</w:t>
            </w:r>
          </w:p>
        </w:tc>
        <w:tc>
          <w:tcPr>
            <w:tcW w:w="682" w:type="pct"/>
            <w:tcBorders>
              <w:top w:val="single" w:sz="4" w:space="0" w:color="auto"/>
              <w:left w:val="single" w:sz="4" w:space="0" w:color="auto"/>
              <w:bottom w:val="single" w:sz="4" w:space="0" w:color="auto"/>
              <w:right w:val="single" w:sz="4" w:space="0" w:color="auto"/>
            </w:tcBorders>
            <w:vAlign w:val="center"/>
          </w:tcPr>
          <w:p w14:paraId="090F8725"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33C0487F" w14:textId="77777777" w:rsidR="00CA5F71" w:rsidRPr="004D5AB1" w:rsidRDefault="00CA5F71">
            <w:pPr>
              <w:autoSpaceDE w:val="0"/>
              <w:autoSpaceDN w:val="0"/>
              <w:adjustRightInd w:val="0"/>
              <w:jc w:val="center"/>
              <w:rPr>
                <w:noProof/>
                <w:sz w:val="24"/>
                <w:szCs w:val="24"/>
                <w:u w:val="single"/>
              </w:rPr>
            </w:pPr>
            <w:r w:rsidRPr="004D5AB1">
              <w:rPr>
                <w:sz w:val="24"/>
                <w:szCs w:val="24"/>
              </w:rPr>
              <w:t>0,2995</w:t>
            </w:r>
          </w:p>
        </w:tc>
        <w:tc>
          <w:tcPr>
            <w:tcW w:w="682" w:type="pct"/>
            <w:tcBorders>
              <w:top w:val="single" w:sz="4" w:space="0" w:color="auto"/>
              <w:left w:val="single" w:sz="4" w:space="0" w:color="auto"/>
              <w:bottom w:val="single" w:sz="4" w:space="0" w:color="auto"/>
              <w:right w:val="single" w:sz="4" w:space="0" w:color="auto"/>
            </w:tcBorders>
            <w:vAlign w:val="center"/>
          </w:tcPr>
          <w:p w14:paraId="72A9F07F"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C7C3976" w14:textId="77777777" w:rsidR="00CA5F71" w:rsidRPr="004D5AB1" w:rsidRDefault="00CA5F71">
            <w:pPr>
              <w:autoSpaceDE w:val="0"/>
              <w:autoSpaceDN w:val="0"/>
              <w:adjustRightInd w:val="0"/>
              <w:jc w:val="center"/>
              <w:rPr>
                <w:noProof/>
                <w:sz w:val="24"/>
                <w:szCs w:val="24"/>
                <w:u w:val="single"/>
              </w:rPr>
            </w:pPr>
            <w:r w:rsidRPr="004D5AB1">
              <w:rPr>
                <w:sz w:val="24"/>
                <w:szCs w:val="24"/>
              </w:rPr>
              <w:t>0,1399</w:t>
            </w:r>
          </w:p>
        </w:tc>
      </w:tr>
      <w:tr w:rsidR="00CA5F71" w:rsidRPr="004D5AB1" w14:paraId="71461906"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7B03F85B" w14:textId="77777777" w:rsidR="00CA5F71" w:rsidRPr="004D5AB1" w:rsidRDefault="00CA5F71">
            <w:pPr>
              <w:autoSpaceDE w:val="0"/>
              <w:autoSpaceDN w:val="0"/>
              <w:adjustRightInd w:val="0"/>
              <w:rPr>
                <w:noProof/>
                <w:sz w:val="24"/>
                <w:szCs w:val="24"/>
                <w:vertAlign w:val="superscript"/>
              </w:rPr>
            </w:pPr>
            <w:r w:rsidRPr="004D5AB1">
              <w:rPr>
                <w:i/>
                <w:iCs/>
                <w:noProof/>
                <w:sz w:val="24"/>
                <w:szCs w:val="24"/>
              </w:rPr>
              <w:t>Hazard ratio</w:t>
            </w:r>
            <w:r w:rsidRPr="004D5AB1">
              <w:rPr>
                <w:noProof/>
                <w:sz w:val="24"/>
                <w:szCs w:val="24"/>
                <w:vertAlign w:val="superscript"/>
              </w:rPr>
              <w:t>3</w:t>
            </w:r>
          </w:p>
        </w:tc>
        <w:tc>
          <w:tcPr>
            <w:tcW w:w="682" w:type="pct"/>
            <w:tcBorders>
              <w:top w:val="single" w:sz="4" w:space="0" w:color="auto"/>
              <w:left w:val="single" w:sz="4" w:space="0" w:color="auto"/>
              <w:bottom w:val="single" w:sz="4" w:space="0" w:color="auto"/>
              <w:right w:val="single" w:sz="4" w:space="0" w:color="auto"/>
            </w:tcBorders>
            <w:vAlign w:val="center"/>
          </w:tcPr>
          <w:p w14:paraId="625BB3FE"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7314F7B4" w14:textId="77777777" w:rsidR="00CA5F71" w:rsidRPr="004D5AB1" w:rsidRDefault="00CA5F71">
            <w:pPr>
              <w:autoSpaceDE w:val="0"/>
              <w:autoSpaceDN w:val="0"/>
              <w:adjustRightInd w:val="0"/>
              <w:jc w:val="center"/>
              <w:rPr>
                <w:sz w:val="24"/>
                <w:szCs w:val="24"/>
              </w:rPr>
            </w:pPr>
            <w:r w:rsidRPr="004D5AB1">
              <w:rPr>
                <w:sz w:val="24"/>
                <w:szCs w:val="24"/>
              </w:rPr>
              <w:t>0,63</w:t>
            </w:r>
          </w:p>
        </w:tc>
        <w:tc>
          <w:tcPr>
            <w:tcW w:w="682" w:type="pct"/>
            <w:tcBorders>
              <w:top w:val="single" w:sz="4" w:space="0" w:color="auto"/>
              <w:left w:val="single" w:sz="4" w:space="0" w:color="auto"/>
              <w:bottom w:val="single" w:sz="4" w:space="0" w:color="auto"/>
              <w:right w:val="single" w:sz="4" w:space="0" w:color="auto"/>
            </w:tcBorders>
            <w:vAlign w:val="center"/>
          </w:tcPr>
          <w:p w14:paraId="066FABD5"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51FAC2D" w14:textId="77777777" w:rsidR="00CA5F71" w:rsidRPr="004D5AB1" w:rsidRDefault="00CA5F71">
            <w:pPr>
              <w:autoSpaceDE w:val="0"/>
              <w:autoSpaceDN w:val="0"/>
              <w:adjustRightInd w:val="0"/>
              <w:jc w:val="center"/>
              <w:rPr>
                <w:sz w:val="24"/>
                <w:szCs w:val="24"/>
              </w:rPr>
            </w:pPr>
            <w:r w:rsidRPr="004D5AB1">
              <w:rPr>
                <w:sz w:val="24"/>
                <w:szCs w:val="24"/>
              </w:rPr>
              <w:t>0,74</w:t>
            </w:r>
          </w:p>
        </w:tc>
        <w:tc>
          <w:tcPr>
            <w:tcW w:w="682" w:type="pct"/>
            <w:tcBorders>
              <w:top w:val="single" w:sz="4" w:space="0" w:color="auto"/>
              <w:left w:val="single" w:sz="4" w:space="0" w:color="auto"/>
              <w:bottom w:val="single" w:sz="4" w:space="0" w:color="auto"/>
              <w:right w:val="single" w:sz="4" w:space="0" w:color="auto"/>
            </w:tcBorders>
            <w:vAlign w:val="center"/>
          </w:tcPr>
          <w:p w14:paraId="2B1CEAC1"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F66AEA1" w14:textId="77777777" w:rsidR="00CA5F71" w:rsidRPr="004D5AB1" w:rsidRDefault="00CA5F71">
            <w:pPr>
              <w:autoSpaceDE w:val="0"/>
              <w:autoSpaceDN w:val="0"/>
              <w:adjustRightInd w:val="0"/>
              <w:jc w:val="center"/>
              <w:rPr>
                <w:sz w:val="24"/>
                <w:szCs w:val="24"/>
              </w:rPr>
            </w:pPr>
            <w:r w:rsidRPr="004D5AB1">
              <w:rPr>
                <w:sz w:val="24"/>
                <w:szCs w:val="24"/>
              </w:rPr>
              <w:t>0,70</w:t>
            </w:r>
          </w:p>
        </w:tc>
      </w:tr>
      <w:tr w:rsidR="00CA5F71" w:rsidRPr="004D5AB1" w14:paraId="3F63B549" w14:textId="77777777" w:rsidTr="0015226E">
        <w:tc>
          <w:tcPr>
            <w:tcW w:w="835" w:type="pct"/>
            <w:tcBorders>
              <w:top w:val="single" w:sz="4" w:space="0" w:color="auto"/>
              <w:left w:val="single" w:sz="4" w:space="0" w:color="auto"/>
              <w:bottom w:val="single" w:sz="4" w:space="0" w:color="auto"/>
              <w:right w:val="single" w:sz="4" w:space="0" w:color="auto"/>
            </w:tcBorders>
            <w:hideMark/>
          </w:tcPr>
          <w:p w14:paraId="293AE069" w14:textId="77777777" w:rsidR="00CA5F71" w:rsidRPr="004D5AB1" w:rsidRDefault="00CA5F71">
            <w:pPr>
              <w:autoSpaceDE w:val="0"/>
              <w:autoSpaceDN w:val="0"/>
              <w:adjustRightInd w:val="0"/>
              <w:rPr>
                <w:noProof/>
                <w:sz w:val="24"/>
                <w:szCs w:val="24"/>
              </w:rPr>
            </w:pPr>
            <w:r w:rsidRPr="004D5AB1">
              <w:rPr>
                <w:sz w:val="24"/>
                <w:szCs w:val="24"/>
              </w:rPr>
              <w:t>95 % CI</w:t>
            </w:r>
          </w:p>
        </w:tc>
        <w:tc>
          <w:tcPr>
            <w:tcW w:w="682" w:type="pct"/>
            <w:tcBorders>
              <w:top w:val="single" w:sz="4" w:space="0" w:color="auto"/>
              <w:left w:val="single" w:sz="4" w:space="0" w:color="auto"/>
              <w:bottom w:val="single" w:sz="4" w:space="0" w:color="auto"/>
              <w:right w:val="single" w:sz="4" w:space="0" w:color="auto"/>
            </w:tcBorders>
            <w:vAlign w:val="center"/>
          </w:tcPr>
          <w:p w14:paraId="52BFDEE8"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25D73E0E" w14:textId="77777777" w:rsidR="00CA5F71" w:rsidRPr="004D5AB1" w:rsidRDefault="00CA5F71">
            <w:pPr>
              <w:autoSpaceDE w:val="0"/>
              <w:autoSpaceDN w:val="0"/>
              <w:adjustRightInd w:val="0"/>
              <w:jc w:val="center"/>
              <w:rPr>
                <w:sz w:val="24"/>
                <w:szCs w:val="24"/>
              </w:rPr>
            </w:pPr>
            <w:r w:rsidRPr="004D5AB1">
              <w:rPr>
                <w:sz w:val="24"/>
                <w:szCs w:val="24"/>
              </w:rPr>
              <w:t>(0,29; 1,36)</w:t>
            </w:r>
          </w:p>
        </w:tc>
        <w:tc>
          <w:tcPr>
            <w:tcW w:w="682" w:type="pct"/>
            <w:tcBorders>
              <w:top w:val="single" w:sz="4" w:space="0" w:color="auto"/>
              <w:left w:val="single" w:sz="4" w:space="0" w:color="auto"/>
              <w:bottom w:val="single" w:sz="4" w:space="0" w:color="auto"/>
              <w:right w:val="single" w:sz="4" w:space="0" w:color="auto"/>
            </w:tcBorders>
            <w:vAlign w:val="center"/>
          </w:tcPr>
          <w:p w14:paraId="4D745569"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2FD6B13" w14:textId="77777777" w:rsidR="00CA5F71" w:rsidRPr="004D5AB1" w:rsidRDefault="00CA5F71">
            <w:pPr>
              <w:autoSpaceDE w:val="0"/>
              <w:autoSpaceDN w:val="0"/>
              <w:adjustRightInd w:val="0"/>
              <w:jc w:val="center"/>
              <w:rPr>
                <w:sz w:val="24"/>
                <w:szCs w:val="24"/>
              </w:rPr>
            </w:pPr>
            <w:r w:rsidRPr="004D5AB1">
              <w:rPr>
                <w:sz w:val="24"/>
                <w:szCs w:val="24"/>
              </w:rPr>
              <w:t>(0,40; 1,35)</w:t>
            </w:r>
          </w:p>
        </w:tc>
        <w:tc>
          <w:tcPr>
            <w:tcW w:w="682" w:type="pct"/>
            <w:tcBorders>
              <w:top w:val="single" w:sz="4" w:space="0" w:color="auto"/>
              <w:left w:val="single" w:sz="4" w:space="0" w:color="auto"/>
              <w:bottom w:val="single" w:sz="4" w:space="0" w:color="auto"/>
              <w:right w:val="single" w:sz="4" w:space="0" w:color="auto"/>
            </w:tcBorders>
            <w:vAlign w:val="center"/>
          </w:tcPr>
          <w:p w14:paraId="4F0167C8" w14:textId="77777777" w:rsidR="00CA5F71" w:rsidRPr="004D5AB1" w:rsidRDefault="00CA5F71">
            <w:pPr>
              <w:autoSpaceDE w:val="0"/>
              <w:autoSpaceDN w:val="0"/>
              <w:adjustRightInd w:val="0"/>
              <w:jc w:val="center"/>
              <w:rPr>
                <w:noProof/>
                <w:sz w:val="24"/>
                <w:szCs w:val="24"/>
                <w:u w:val="single"/>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3F74020" w14:textId="77777777" w:rsidR="00CA5F71" w:rsidRPr="004D5AB1" w:rsidRDefault="00CA5F71">
            <w:pPr>
              <w:autoSpaceDE w:val="0"/>
              <w:autoSpaceDN w:val="0"/>
              <w:adjustRightInd w:val="0"/>
              <w:jc w:val="center"/>
              <w:rPr>
                <w:sz w:val="24"/>
                <w:szCs w:val="24"/>
              </w:rPr>
            </w:pPr>
            <w:r w:rsidRPr="004D5AB1">
              <w:rPr>
                <w:sz w:val="24"/>
                <w:szCs w:val="24"/>
              </w:rPr>
              <w:t>(0,43; 1,12)</w:t>
            </w:r>
          </w:p>
        </w:tc>
      </w:tr>
    </w:tbl>
    <w:p w14:paraId="6F2E8B0E"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Baseret på data indsamlet op til 372 dage (52 uger + 7 dages margin).</w:t>
      </w:r>
    </w:p>
    <w:p w14:paraId="67999A9C" w14:textId="77777777" w:rsidR="00CA5F71" w:rsidRPr="0099618E" w:rsidRDefault="00CA5F71" w:rsidP="00CA5F71">
      <w:pPr>
        <w:suppressAutoHyphens/>
        <w:rPr>
          <w:sz w:val="20"/>
        </w:rPr>
      </w:pPr>
      <w:r w:rsidRPr="0099618E">
        <w:rPr>
          <w:sz w:val="20"/>
          <w:vertAlign w:val="superscript"/>
        </w:rPr>
        <w:t xml:space="preserve">2 </w:t>
      </w:r>
      <w:r w:rsidRPr="0099618E">
        <w:rPr>
          <w:sz w:val="20"/>
        </w:rPr>
        <w:t>Baseret på en Log-rank-test.</w:t>
      </w:r>
    </w:p>
    <w:p w14:paraId="0ACD3CB3" w14:textId="77777777" w:rsidR="00CA5F71" w:rsidRPr="0099618E" w:rsidRDefault="00CA5F71" w:rsidP="00CA5F71">
      <w:pPr>
        <w:suppressAutoHyphens/>
        <w:rPr>
          <w:bCs/>
          <w:noProof/>
          <w:sz w:val="20"/>
          <w:vertAlign w:val="superscript"/>
        </w:rPr>
      </w:pPr>
      <w:r w:rsidRPr="0099618E">
        <w:rPr>
          <w:sz w:val="20"/>
          <w:vertAlign w:val="superscript"/>
        </w:rPr>
        <w:t xml:space="preserve">3 </w:t>
      </w:r>
      <w:r w:rsidRPr="0099618E">
        <w:rPr>
          <w:sz w:val="20"/>
        </w:rPr>
        <w:t>Baseret på en Cox' regressionsmodel.</w:t>
      </w:r>
    </w:p>
    <w:p w14:paraId="7E9E5353" w14:textId="77777777" w:rsidR="00CA5F71" w:rsidRPr="004D5AB1" w:rsidRDefault="00CA5F71" w:rsidP="00CA5F71">
      <w:pPr>
        <w:suppressAutoHyphens/>
        <w:rPr>
          <w:bCs/>
          <w:noProof/>
          <w:sz w:val="24"/>
          <w:szCs w:val="24"/>
        </w:rPr>
      </w:pPr>
    </w:p>
    <w:p w14:paraId="1AEF8F1D"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Langvarig behandling med Nintedanib hos patienter med IPF (INPULSIS-ON)</w:t>
      </w:r>
    </w:p>
    <w:p w14:paraId="73521E07" w14:textId="77777777" w:rsidR="00CA5F71" w:rsidRPr="004D5AB1" w:rsidRDefault="00CA5F71" w:rsidP="0015226E">
      <w:pPr>
        <w:suppressAutoHyphens/>
        <w:ind w:left="851"/>
        <w:rPr>
          <w:bCs/>
          <w:noProof/>
          <w:sz w:val="24"/>
          <w:szCs w:val="24"/>
        </w:rPr>
      </w:pPr>
      <w:r w:rsidRPr="004D5AB1">
        <w:rPr>
          <w:bCs/>
          <w:noProof/>
          <w:sz w:val="24"/>
          <w:szCs w:val="24"/>
        </w:rPr>
        <w:t>Et åbent forlængelsesstudie med nintedanib inkluderede 734 patienter med IPF. Patienter, der gennemførte den 52-ugers behandlingsperiode i et INPULSIS-studie fik åben behandling med nintedanib i forlængelsesstudiet INPULSIS-ON. Median eksponeringstid for patienter behandlet med nintedanib i både INPULSIS- og INPULSIS-ON-studierne var 44,7 måneder (interval 11,9-68,3). De eksploratoriske virkningsendepunkter omfattede det årlige fald i FVC i løbet af 192 uger, hvilket var −135,1 (5,8) ml/år hos alle behandlede patienter, og som var i overensstemmelse med det årlige fald i FVC hos patienter i behandling med nintedanib i INPULSIS fase III-studierne (−113,6 ml årligt). Bivirkningsprofilen for nintedanib i INPULSIS-ON var i overensstemmelse med profilen i INPULSIS fase III-studierne.</w:t>
      </w:r>
    </w:p>
    <w:p w14:paraId="3056F239" w14:textId="77777777" w:rsidR="00CA5F71" w:rsidRPr="004D5AB1" w:rsidRDefault="00CA5F71" w:rsidP="0015226E">
      <w:pPr>
        <w:suppressAutoHyphens/>
        <w:ind w:left="851"/>
        <w:rPr>
          <w:bCs/>
          <w:i/>
          <w:iCs/>
          <w:noProof/>
          <w:sz w:val="24"/>
          <w:szCs w:val="24"/>
        </w:rPr>
      </w:pPr>
    </w:p>
    <w:p w14:paraId="12973BF8"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IPF-patienter med fremskreden nedsat lungefunktion (INSTAGE)</w:t>
      </w:r>
    </w:p>
    <w:p w14:paraId="4EE4429A" w14:textId="77777777" w:rsidR="00CA5F71" w:rsidRPr="004D5AB1" w:rsidRDefault="00CA5F71" w:rsidP="0015226E">
      <w:pPr>
        <w:suppressAutoHyphens/>
        <w:ind w:left="851"/>
        <w:rPr>
          <w:bCs/>
          <w:noProof/>
          <w:sz w:val="24"/>
          <w:szCs w:val="24"/>
        </w:rPr>
      </w:pPr>
      <w:r w:rsidRPr="004D5AB1">
        <w:rPr>
          <w:bCs/>
          <w:noProof/>
          <w:sz w:val="24"/>
          <w:szCs w:val="24"/>
        </w:rPr>
        <w:t xml:space="preserve">INSTAGE var et multinationalt, prospektivt, randomiseret, dobbeltblindet, parallelgruppe, klinisk multicenterstudie af IPF-patienter med fremskreden nedsat lungefunktion (DLCO ≤ 35 % forventet) i 24 uger. 136 patienter blev behandlet med nintedanib som monoterapi. Resultatet for det primære endepunkt viste en reduktion i den samlede score i spørgeskemaet </w:t>
      </w:r>
      <w:r w:rsidRPr="004D5AB1">
        <w:rPr>
          <w:bCs/>
          <w:i/>
          <w:iCs/>
          <w:noProof/>
          <w:sz w:val="24"/>
          <w:szCs w:val="24"/>
        </w:rPr>
        <w:t>St. George’s Respiratory Questionnaire</w:t>
      </w:r>
      <w:r w:rsidRPr="004D5AB1">
        <w:rPr>
          <w:bCs/>
          <w:noProof/>
          <w:sz w:val="24"/>
          <w:szCs w:val="24"/>
        </w:rPr>
        <w:t xml:space="preserve">, SGRQ, med -0,77 enheder ved uge 12 baseret på den justerede gennemsnitlige ændring fra </w:t>
      </w:r>
      <w:r w:rsidRPr="004D5AB1">
        <w:rPr>
          <w:bCs/>
          <w:i/>
          <w:iCs/>
          <w:noProof/>
          <w:sz w:val="24"/>
          <w:szCs w:val="24"/>
        </w:rPr>
        <w:t>baseline</w:t>
      </w:r>
      <w:r w:rsidRPr="004D5AB1">
        <w:rPr>
          <w:bCs/>
          <w:noProof/>
          <w:sz w:val="24"/>
          <w:szCs w:val="24"/>
        </w:rPr>
        <w:t xml:space="preserve">. En </w:t>
      </w:r>
      <w:r w:rsidRPr="004D5AB1">
        <w:rPr>
          <w:bCs/>
          <w:i/>
          <w:iCs/>
          <w:noProof/>
          <w:sz w:val="24"/>
          <w:szCs w:val="24"/>
        </w:rPr>
        <w:t>post hoc-</w:t>
      </w:r>
      <w:r w:rsidRPr="004D5AB1">
        <w:rPr>
          <w:bCs/>
          <w:noProof/>
          <w:sz w:val="24"/>
          <w:szCs w:val="24"/>
        </w:rPr>
        <w:t>sammenligning påviste, at faldet i FVC hos disse patienter var overensstemmende med faldet i FVC hos patienter med mindre fremskreden sygdom, og som blev behandlet med nintedanib i INPULSIS fase III-studierne. Nintedanibs sikkerheds- og tolerabilitetsprofil hos IPF-patienter med fremskreden nedsat lungefunktion var tilsvarende den profil, som blev observeret i INPULSIS fase III-studierne.</w:t>
      </w:r>
    </w:p>
    <w:p w14:paraId="25DBFFEA" w14:textId="77777777" w:rsidR="00CA5F71" w:rsidRPr="004D5AB1" w:rsidRDefault="00CA5F71" w:rsidP="0015226E">
      <w:pPr>
        <w:suppressAutoHyphens/>
        <w:ind w:left="851"/>
        <w:rPr>
          <w:bCs/>
          <w:i/>
          <w:iCs/>
          <w:noProof/>
          <w:sz w:val="24"/>
          <w:szCs w:val="24"/>
        </w:rPr>
      </w:pPr>
    </w:p>
    <w:p w14:paraId="03F5720D"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Yderligere data fra fase 4 INJOURNEY-studiet med Nintedanib 150 mg to gange dagligt og tillægsbehandling med pirfenidon</w:t>
      </w:r>
    </w:p>
    <w:p w14:paraId="7A251F7B" w14:textId="77777777" w:rsidR="00CA5F71" w:rsidRPr="004D5AB1" w:rsidRDefault="00CA5F71" w:rsidP="0015226E">
      <w:pPr>
        <w:suppressAutoHyphens/>
        <w:ind w:left="851"/>
        <w:rPr>
          <w:bCs/>
          <w:noProof/>
          <w:sz w:val="24"/>
          <w:szCs w:val="24"/>
        </w:rPr>
      </w:pPr>
      <w:r w:rsidRPr="004D5AB1">
        <w:rPr>
          <w:bCs/>
          <w:noProof/>
          <w:sz w:val="24"/>
          <w:szCs w:val="24"/>
        </w:rPr>
        <w:t xml:space="preserve">Samtidig behandling med nintedanib og pirfenidon er undersøgt i et eksploratorisk, åbent, randomiseret studie med nintedanib 150 mg to gange dagligt med tillægsbehandling med pirfenidon (titreret til 801 mg tre gange dagligt) sammenlignet med nintedanib 150 mg to gange dagligt alene hos 105 randomiserede patienter i 12 uger. Det primære endepunkt var procentdelen af patienter med mave-tarm-bivirkninger fra </w:t>
      </w:r>
      <w:r w:rsidRPr="004D5AB1">
        <w:rPr>
          <w:bCs/>
          <w:i/>
          <w:iCs/>
          <w:noProof/>
          <w:sz w:val="24"/>
          <w:szCs w:val="24"/>
        </w:rPr>
        <w:t xml:space="preserve">baseline </w:t>
      </w:r>
      <w:r w:rsidRPr="004D5AB1">
        <w:rPr>
          <w:bCs/>
          <w:noProof/>
          <w:sz w:val="24"/>
          <w:szCs w:val="24"/>
        </w:rPr>
        <w:t xml:space="preserve">til uge 12. Mave-tarm-bivirkninger var hyppige og på niveau med med den fastlagte sikkerhedsprofil for hver komponent. Diarré, kvalme og opkastning var de hyppigst rapporterede bivirkninger hos patienter, der blev behandlet med pirfenidon som tillægsbehandling til nintedanib </w:t>
      </w:r>
      <w:r w:rsidRPr="004D5AB1">
        <w:rPr>
          <w:bCs/>
          <w:i/>
          <w:iCs/>
          <w:noProof/>
          <w:sz w:val="24"/>
          <w:szCs w:val="24"/>
        </w:rPr>
        <w:t xml:space="preserve">versus </w:t>
      </w:r>
      <w:r w:rsidRPr="004D5AB1">
        <w:rPr>
          <w:bCs/>
          <w:noProof/>
          <w:sz w:val="24"/>
          <w:szCs w:val="24"/>
        </w:rPr>
        <w:t>nintedanib alene.</w:t>
      </w:r>
    </w:p>
    <w:p w14:paraId="7D35ABD0" w14:textId="77777777" w:rsidR="00CA5F71" w:rsidRPr="004D5AB1" w:rsidRDefault="00CA5F71" w:rsidP="0015226E">
      <w:pPr>
        <w:suppressAutoHyphens/>
        <w:ind w:left="851"/>
        <w:rPr>
          <w:bCs/>
          <w:noProof/>
          <w:sz w:val="24"/>
          <w:szCs w:val="24"/>
        </w:rPr>
      </w:pPr>
      <w:r w:rsidRPr="004D5AB1">
        <w:rPr>
          <w:bCs/>
          <w:noProof/>
          <w:sz w:val="24"/>
          <w:szCs w:val="24"/>
        </w:rPr>
        <w:t xml:space="preserve">Gennemsnitlige (SE) absolutte ændringer fra </w:t>
      </w:r>
      <w:r w:rsidRPr="004D5AB1">
        <w:rPr>
          <w:bCs/>
          <w:i/>
          <w:iCs/>
          <w:noProof/>
          <w:sz w:val="24"/>
          <w:szCs w:val="24"/>
        </w:rPr>
        <w:t xml:space="preserve">baseline </w:t>
      </w:r>
      <w:r w:rsidRPr="004D5AB1">
        <w:rPr>
          <w:bCs/>
          <w:noProof/>
          <w:sz w:val="24"/>
          <w:szCs w:val="24"/>
        </w:rPr>
        <w:t>i FVC ved uge 12 var −13,3 (17,4) ml hos patienter i behandling med nintedanib med tillægsbehandling med pirfenidon (N=48), sammenlignet med −40,9 (31,4) ml hos patienter i behandling med nintedanib alene (N=44).</w:t>
      </w:r>
    </w:p>
    <w:p w14:paraId="0F0D4DC4" w14:textId="77777777" w:rsidR="00CA5F71" w:rsidRPr="004D5AB1" w:rsidRDefault="00CA5F71" w:rsidP="0015226E">
      <w:pPr>
        <w:suppressAutoHyphens/>
        <w:ind w:left="851"/>
        <w:rPr>
          <w:bCs/>
          <w:i/>
          <w:iCs/>
          <w:noProof/>
          <w:sz w:val="24"/>
          <w:szCs w:val="24"/>
        </w:rPr>
      </w:pPr>
    </w:p>
    <w:p w14:paraId="0C6D0DC8" w14:textId="77777777" w:rsidR="00CA5F71" w:rsidRPr="004D5AB1" w:rsidRDefault="00CA5F71" w:rsidP="0015226E">
      <w:pPr>
        <w:suppressAutoHyphens/>
        <w:ind w:left="851"/>
        <w:rPr>
          <w:bCs/>
          <w:i/>
          <w:iCs/>
          <w:noProof/>
          <w:sz w:val="24"/>
          <w:szCs w:val="24"/>
        </w:rPr>
      </w:pPr>
      <w:r w:rsidRPr="004D5AB1">
        <w:rPr>
          <w:bCs/>
          <w:i/>
          <w:iCs/>
          <w:noProof/>
          <w:sz w:val="24"/>
          <w:szCs w:val="24"/>
        </w:rPr>
        <w:t>Andre kroniske fibroserende interstitielle lungesygdomme (ILS) med en progressiv fænotype</w:t>
      </w:r>
    </w:p>
    <w:p w14:paraId="4EB66043" w14:textId="77777777" w:rsidR="00CA5F71" w:rsidRPr="004D5AB1" w:rsidRDefault="00CA5F71" w:rsidP="0015226E">
      <w:pPr>
        <w:suppressAutoHyphens/>
        <w:ind w:left="851"/>
        <w:rPr>
          <w:bCs/>
          <w:noProof/>
          <w:sz w:val="24"/>
          <w:szCs w:val="24"/>
        </w:rPr>
      </w:pPr>
      <w:r w:rsidRPr="004D5AB1">
        <w:rPr>
          <w:bCs/>
          <w:noProof/>
          <w:sz w:val="24"/>
          <w:szCs w:val="24"/>
        </w:rPr>
        <w:t>Nintedanibs kliniske virkning er undersøgt hos patienter med andre kroniske fibroserende ILS med en progressiv fænotype i et dobbeltblindet, randomiseret, placebokontrolleret fase III-studie (INBUILD). Patienter med IPF blev ekskluderet. Patienter med en klinisk diagnose på kroniske fibroserende ILS blev udvalgt, hvis de havde relevant fibrose (mere end 10 % fibroseforandringer) på HRCT og viste kliniske tegn på progression (defineret som FVC-reduktion ≥10 %, FVC-reduktion ≥5 % og &lt;10 % med forværrede symptomer eller forværringer på billeddiagnostik, eller både forværrede symptomer og forværret billeddiagnostik i de 24 måneder før screening). Patienterne skulle have en FVC større end eller lig med 45 % af det forventede, og en DLCO på 30-80 % af det forventede. Patienterne skulle være progressive, på trods af en behandling, som blev fundet relevant i klinisk praksis til den specifikke ILS.</w:t>
      </w:r>
    </w:p>
    <w:p w14:paraId="4597C36E" w14:textId="77777777" w:rsidR="00CA5F71" w:rsidRPr="004D5AB1" w:rsidRDefault="00CA5F71" w:rsidP="0015226E">
      <w:pPr>
        <w:suppressAutoHyphens/>
        <w:ind w:left="851"/>
        <w:rPr>
          <w:bCs/>
          <w:noProof/>
          <w:sz w:val="24"/>
          <w:szCs w:val="24"/>
        </w:rPr>
      </w:pPr>
    </w:p>
    <w:p w14:paraId="6A312BAC" w14:textId="77777777" w:rsidR="00CA5F71" w:rsidRPr="004D5AB1" w:rsidRDefault="00CA5F71" w:rsidP="0015226E">
      <w:pPr>
        <w:suppressAutoHyphens/>
        <w:ind w:left="851"/>
        <w:rPr>
          <w:bCs/>
          <w:noProof/>
          <w:sz w:val="24"/>
          <w:szCs w:val="24"/>
        </w:rPr>
      </w:pPr>
      <w:r w:rsidRPr="004D5AB1">
        <w:rPr>
          <w:bCs/>
          <w:noProof/>
          <w:sz w:val="24"/>
          <w:szCs w:val="24"/>
        </w:rPr>
        <w:t xml:space="preserve">I alt 663 patienter blev randomiseret i forholdet 1:1 til at få enten nintedanib 150 mg to gange dagligt eller matchende placebo i mindst 52 uger. Den mediane nintedanib-eksponering i løbet af hele studiet var 17,4 måneder, og den gennemsnitlige nintedanib-eksponering i løbet af hele studiet var 15,6 måneder. Randomiseringen blev stratificeret baseret på HRCT-fibrotisk mønster, vurderet ved central aflæsning. 412 patienter med HRCT med </w:t>
      </w:r>
      <w:r w:rsidRPr="004D5AB1">
        <w:rPr>
          <w:bCs/>
          <w:i/>
          <w:iCs/>
          <w:noProof/>
          <w:sz w:val="24"/>
          <w:szCs w:val="24"/>
        </w:rPr>
        <w:t xml:space="preserve">usual interstitial pneumonitis </w:t>
      </w:r>
      <w:r w:rsidRPr="004D5AB1">
        <w:rPr>
          <w:bCs/>
          <w:noProof/>
          <w:sz w:val="24"/>
          <w:szCs w:val="24"/>
        </w:rPr>
        <w:t>(UIP)-lignende fibrotisk mønster, og 251 patienter med andre HRCT-fibrotiske mønstre blev randomiseret. Der var 2 co-primære populationer defineret for analyserne i dette studie: alle patienter (den samlede population) og patienter med HRCT med UIP-lignende fibrotisk mønster. Patienter med andre HRCT-fibrotiske mønstre udgjorde den ‘komplementære’ population.</w:t>
      </w:r>
    </w:p>
    <w:p w14:paraId="7B656815" w14:textId="77777777" w:rsidR="00CA5F71" w:rsidRPr="004D5AB1" w:rsidRDefault="00CA5F71" w:rsidP="0015226E">
      <w:pPr>
        <w:suppressAutoHyphens/>
        <w:ind w:left="851"/>
        <w:rPr>
          <w:bCs/>
          <w:noProof/>
          <w:sz w:val="24"/>
          <w:szCs w:val="24"/>
        </w:rPr>
      </w:pPr>
    </w:p>
    <w:p w14:paraId="7C56DE78" w14:textId="77777777" w:rsidR="00CA5F71" w:rsidRPr="004D5AB1" w:rsidRDefault="00CA5F71" w:rsidP="0015226E">
      <w:pPr>
        <w:suppressAutoHyphens/>
        <w:ind w:left="851"/>
        <w:rPr>
          <w:bCs/>
          <w:noProof/>
          <w:sz w:val="24"/>
          <w:szCs w:val="24"/>
        </w:rPr>
      </w:pPr>
      <w:r w:rsidRPr="004D5AB1">
        <w:rPr>
          <w:bCs/>
          <w:noProof/>
          <w:sz w:val="24"/>
          <w:szCs w:val="24"/>
        </w:rPr>
        <w:t xml:space="preserve">Det primære endepunkt var det årlige fald i forceret vitalkapacitet (FVC) (i ml) i løbet af 52 uger. De vigtigste sekundære endepunkter var absolut ændring fra </w:t>
      </w:r>
      <w:r w:rsidRPr="004D5AB1">
        <w:rPr>
          <w:bCs/>
          <w:i/>
          <w:iCs/>
          <w:noProof/>
          <w:sz w:val="24"/>
          <w:szCs w:val="24"/>
        </w:rPr>
        <w:t xml:space="preserve">baseline </w:t>
      </w:r>
      <w:r w:rsidRPr="004D5AB1">
        <w:rPr>
          <w:bCs/>
          <w:noProof/>
          <w:sz w:val="24"/>
          <w:szCs w:val="24"/>
        </w:rPr>
        <w:t xml:space="preserve">i </w:t>
      </w:r>
      <w:r w:rsidRPr="004D5AB1">
        <w:rPr>
          <w:bCs/>
          <w:i/>
          <w:iCs/>
          <w:noProof/>
          <w:sz w:val="24"/>
          <w:szCs w:val="24"/>
        </w:rPr>
        <w:t>King's Brief Interstitial Lung</w:t>
      </w:r>
      <w:r w:rsidRPr="004D5AB1">
        <w:rPr>
          <w:bCs/>
          <w:noProof/>
          <w:sz w:val="24"/>
          <w:szCs w:val="24"/>
        </w:rPr>
        <w:t xml:space="preserve"> </w:t>
      </w:r>
      <w:r w:rsidRPr="004D5AB1">
        <w:rPr>
          <w:bCs/>
          <w:i/>
          <w:iCs/>
          <w:noProof/>
          <w:sz w:val="24"/>
          <w:szCs w:val="24"/>
        </w:rPr>
        <w:t xml:space="preserve">Disease Questionnaire </w:t>
      </w:r>
      <w:r w:rsidRPr="004D5AB1">
        <w:rPr>
          <w:bCs/>
          <w:noProof/>
          <w:sz w:val="24"/>
          <w:szCs w:val="24"/>
        </w:rPr>
        <w:t>(K-BILD) total score ved uge 52, tid til første akutte ILS-eksacerbation eller død i løbet af 52 uger, og tid til død i løbet af 52 uger.</w:t>
      </w:r>
    </w:p>
    <w:p w14:paraId="2BA190B7" w14:textId="77777777" w:rsidR="00CA5F71" w:rsidRPr="004D5AB1" w:rsidRDefault="00CA5F71" w:rsidP="0015226E">
      <w:pPr>
        <w:suppressAutoHyphens/>
        <w:ind w:left="851"/>
        <w:rPr>
          <w:bCs/>
          <w:noProof/>
          <w:sz w:val="24"/>
          <w:szCs w:val="24"/>
        </w:rPr>
      </w:pPr>
    </w:p>
    <w:p w14:paraId="70397E57" w14:textId="77777777" w:rsidR="00CA5F71" w:rsidRPr="004D5AB1" w:rsidRDefault="00CA5F71" w:rsidP="0015226E">
      <w:pPr>
        <w:suppressAutoHyphens/>
        <w:ind w:left="851"/>
        <w:rPr>
          <w:bCs/>
          <w:noProof/>
          <w:sz w:val="24"/>
          <w:szCs w:val="24"/>
        </w:rPr>
      </w:pPr>
      <w:r w:rsidRPr="004D5AB1">
        <w:rPr>
          <w:bCs/>
          <w:noProof/>
          <w:sz w:val="24"/>
          <w:szCs w:val="24"/>
        </w:rPr>
        <w:t xml:space="preserve">Patienterne havde en gennemsnitlig (standardafvigelse [SD, min.-maks.]) alder på 65,8 (9,8, 27-87) år, og en gennemsnitlig FVC-procent forventet på 69,0 % (15,6, 42-137). De underliggende kliniske ILS-diagnoser repræsenteret i studiet var hypersensitivitetspneumonitis (26,1 %), autoimmune ILS (25,6 %), idiopatisk nonspecifik interstitiel pneumoni (iNSIP) (18,9 %), ikke-klassificerbar idiopatisk interstitiel pneumoni (uIIP) (17,2 %) og andre ILS (12,2 %). </w:t>
      </w:r>
    </w:p>
    <w:p w14:paraId="68B0C2D8" w14:textId="77777777" w:rsidR="00CA5F71" w:rsidRPr="004D5AB1" w:rsidRDefault="00CA5F71" w:rsidP="0015226E">
      <w:pPr>
        <w:suppressAutoHyphens/>
        <w:ind w:left="851"/>
        <w:rPr>
          <w:bCs/>
          <w:noProof/>
          <w:sz w:val="24"/>
          <w:szCs w:val="24"/>
        </w:rPr>
      </w:pPr>
    </w:p>
    <w:p w14:paraId="602FC065" w14:textId="77777777" w:rsidR="00CA5F71" w:rsidRPr="004D5AB1" w:rsidRDefault="00CA5F71" w:rsidP="0015226E">
      <w:pPr>
        <w:suppressAutoHyphens/>
        <w:ind w:left="851"/>
        <w:rPr>
          <w:bCs/>
          <w:noProof/>
          <w:sz w:val="24"/>
          <w:szCs w:val="24"/>
        </w:rPr>
      </w:pPr>
      <w:r w:rsidRPr="004D5AB1">
        <w:rPr>
          <w:bCs/>
          <w:noProof/>
          <w:sz w:val="24"/>
          <w:szCs w:val="24"/>
        </w:rPr>
        <w:t>INBUILD-studiet var ikke designet til og havde ikke styrke til at give evidens for en fordel ved nintedanib i specifikke diagnostiske undergrupper. Der blev påvist overensstemmende virkning i undergrupper baseret på ILS-diagnoserne. Erfaringen med nintedanib ved meget sjældne progressive fibroserende ILS er begrænset.</w:t>
      </w:r>
    </w:p>
    <w:p w14:paraId="22F4BA0F" w14:textId="77777777" w:rsidR="00CA5F71" w:rsidRPr="004D5AB1" w:rsidRDefault="00CA5F71" w:rsidP="0015226E">
      <w:pPr>
        <w:suppressAutoHyphens/>
        <w:ind w:left="851"/>
        <w:rPr>
          <w:bCs/>
          <w:noProof/>
          <w:sz w:val="24"/>
          <w:szCs w:val="24"/>
        </w:rPr>
      </w:pPr>
    </w:p>
    <w:p w14:paraId="2192A359"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Årligt fald i FVC</w:t>
      </w:r>
    </w:p>
    <w:p w14:paraId="11915544" w14:textId="77777777" w:rsidR="00CA5F71" w:rsidRPr="004D5AB1" w:rsidRDefault="00CA5F71" w:rsidP="0015226E">
      <w:pPr>
        <w:suppressAutoHyphens/>
        <w:ind w:left="851"/>
        <w:rPr>
          <w:bCs/>
          <w:noProof/>
          <w:sz w:val="24"/>
          <w:szCs w:val="24"/>
        </w:rPr>
      </w:pPr>
      <w:r w:rsidRPr="004D5AB1">
        <w:rPr>
          <w:bCs/>
          <w:noProof/>
          <w:sz w:val="24"/>
          <w:szCs w:val="24"/>
        </w:rPr>
        <w:t>Det årlige fald i FVC (i ml) i løbet af 52 uger var signifikant reduceret med 107,0 ml hos patienter, der fik nintedanib, sammenlignet med patienter, der fik placebo (tabel 8), hvilket svarer til en relativ behandlingsvirkning på 57,0 %.</w:t>
      </w:r>
    </w:p>
    <w:p w14:paraId="0F80D392" w14:textId="77777777" w:rsidR="00CA5F71" w:rsidRPr="004D5AB1" w:rsidRDefault="00CA5F71" w:rsidP="00CA5F71">
      <w:pPr>
        <w:suppressAutoHyphens/>
        <w:rPr>
          <w:bCs/>
          <w:noProof/>
          <w:sz w:val="24"/>
          <w:szCs w:val="24"/>
        </w:rPr>
      </w:pPr>
    </w:p>
    <w:p w14:paraId="5C412E8D" w14:textId="77777777" w:rsidR="00CA5F71" w:rsidRPr="004D5AB1" w:rsidRDefault="00CA5F71" w:rsidP="00CA5F71">
      <w:pPr>
        <w:keepNext/>
        <w:autoSpaceDE w:val="0"/>
        <w:autoSpaceDN w:val="0"/>
        <w:adjustRightInd w:val="0"/>
        <w:ind w:left="1134" w:hanging="1134"/>
        <w:rPr>
          <w:b/>
          <w:sz w:val="24"/>
          <w:szCs w:val="24"/>
        </w:rPr>
      </w:pPr>
      <w:r w:rsidRPr="004D5AB1">
        <w:rPr>
          <w:b/>
          <w:bCs/>
          <w:sz w:val="24"/>
          <w:szCs w:val="24"/>
        </w:rPr>
        <w:lastRenderedPageBreak/>
        <w:t xml:space="preserve">Tabel 8: </w:t>
      </w:r>
      <w:r w:rsidRPr="004D5AB1">
        <w:rPr>
          <w:b/>
          <w:bCs/>
          <w:sz w:val="24"/>
          <w:szCs w:val="24"/>
        </w:rPr>
        <w:tab/>
        <w:t>Årligt fald i FVC (ml) i løbet af 52 uger</w:t>
      </w:r>
    </w:p>
    <w:tbl>
      <w:tblPr>
        <w:tblStyle w:val="Tabel-Gitter"/>
        <w:tblW w:w="5000" w:type="pct"/>
        <w:tblInd w:w="0" w:type="dxa"/>
        <w:tblLook w:val="04A0" w:firstRow="1" w:lastRow="0" w:firstColumn="1" w:lastColumn="0" w:noHBand="0" w:noVBand="1"/>
      </w:tblPr>
      <w:tblGrid>
        <w:gridCol w:w="3208"/>
        <w:gridCol w:w="3208"/>
        <w:gridCol w:w="3212"/>
      </w:tblGrid>
      <w:tr w:rsidR="00CA5F71" w:rsidRPr="004D5AB1" w14:paraId="3811C765" w14:textId="77777777" w:rsidTr="0015226E">
        <w:trPr>
          <w:tblHeader/>
        </w:trPr>
        <w:tc>
          <w:tcPr>
            <w:tcW w:w="1666" w:type="pct"/>
            <w:tcBorders>
              <w:top w:val="single" w:sz="4" w:space="0" w:color="auto"/>
              <w:left w:val="single" w:sz="4" w:space="0" w:color="auto"/>
              <w:bottom w:val="single" w:sz="4" w:space="0" w:color="auto"/>
              <w:right w:val="single" w:sz="4" w:space="0" w:color="auto"/>
            </w:tcBorders>
          </w:tcPr>
          <w:p w14:paraId="4BA3BEFF" w14:textId="77777777" w:rsidR="00CA5F71" w:rsidRPr="004D5AB1" w:rsidRDefault="00CA5F71">
            <w:pPr>
              <w:autoSpaceDE w:val="0"/>
              <w:autoSpaceDN w:val="0"/>
              <w:adjustRightInd w:val="0"/>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63E32C6E" w14:textId="77777777" w:rsidR="00CA5F71" w:rsidRPr="004D5AB1" w:rsidRDefault="00CA5F71">
            <w:pPr>
              <w:autoSpaceDE w:val="0"/>
              <w:autoSpaceDN w:val="0"/>
              <w:adjustRightInd w:val="0"/>
              <w:jc w:val="center"/>
              <w:rPr>
                <w:sz w:val="24"/>
                <w:szCs w:val="24"/>
              </w:rPr>
            </w:pPr>
            <w:r w:rsidRPr="004D5AB1">
              <w:rPr>
                <w:sz w:val="24"/>
                <w:szCs w:val="24"/>
              </w:rPr>
              <w:t>Placebo</w:t>
            </w:r>
          </w:p>
        </w:tc>
        <w:tc>
          <w:tcPr>
            <w:tcW w:w="1668" w:type="pct"/>
            <w:tcBorders>
              <w:top w:val="single" w:sz="4" w:space="0" w:color="auto"/>
              <w:left w:val="single" w:sz="4" w:space="0" w:color="auto"/>
              <w:bottom w:val="single" w:sz="4" w:space="0" w:color="auto"/>
              <w:right w:val="single" w:sz="4" w:space="0" w:color="auto"/>
            </w:tcBorders>
            <w:hideMark/>
          </w:tcPr>
          <w:p w14:paraId="1D2C521A" w14:textId="77777777" w:rsidR="00CA5F71" w:rsidRPr="004D5AB1" w:rsidRDefault="00CA5F71">
            <w:pPr>
              <w:autoSpaceDE w:val="0"/>
              <w:autoSpaceDN w:val="0"/>
              <w:adjustRightInd w:val="0"/>
              <w:jc w:val="center"/>
              <w:rPr>
                <w:sz w:val="24"/>
                <w:szCs w:val="24"/>
              </w:rPr>
            </w:pPr>
            <w:proofErr w:type="spellStart"/>
            <w:r w:rsidRPr="004D5AB1">
              <w:rPr>
                <w:sz w:val="24"/>
                <w:szCs w:val="24"/>
              </w:rPr>
              <w:t>Nintedanib</w:t>
            </w:r>
            <w:proofErr w:type="spellEnd"/>
          </w:p>
          <w:p w14:paraId="485676A1" w14:textId="77777777" w:rsidR="00CA5F71" w:rsidRPr="004D5AB1" w:rsidRDefault="00CA5F71">
            <w:pPr>
              <w:autoSpaceDE w:val="0"/>
              <w:autoSpaceDN w:val="0"/>
              <w:adjustRightInd w:val="0"/>
              <w:jc w:val="center"/>
              <w:rPr>
                <w:sz w:val="24"/>
                <w:szCs w:val="24"/>
              </w:rPr>
            </w:pPr>
            <w:r w:rsidRPr="004D5AB1">
              <w:rPr>
                <w:sz w:val="24"/>
                <w:szCs w:val="24"/>
              </w:rPr>
              <w:t>150 mg to gange dagligt</w:t>
            </w:r>
          </w:p>
        </w:tc>
      </w:tr>
      <w:tr w:rsidR="00CA5F71" w:rsidRPr="004D5AB1" w14:paraId="4F7195E2"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1D1B3D6B" w14:textId="77777777" w:rsidR="00CA5F71" w:rsidRPr="004D5AB1" w:rsidRDefault="00CA5F71">
            <w:pPr>
              <w:autoSpaceDE w:val="0"/>
              <w:autoSpaceDN w:val="0"/>
              <w:adjustRightInd w:val="0"/>
              <w:rPr>
                <w:sz w:val="24"/>
                <w:szCs w:val="24"/>
              </w:rPr>
            </w:pPr>
            <w:r w:rsidRPr="004D5AB1">
              <w:rPr>
                <w:sz w:val="24"/>
                <w:szCs w:val="24"/>
              </w:rPr>
              <w:t>Antal analyserede patienter</w:t>
            </w:r>
          </w:p>
        </w:tc>
        <w:tc>
          <w:tcPr>
            <w:tcW w:w="1666" w:type="pct"/>
            <w:tcBorders>
              <w:top w:val="single" w:sz="4" w:space="0" w:color="auto"/>
              <w:left w:val="single" w:sz="4" w:space="0" w:color="auto"/>
              <w:bottom w:val="single" w:sz="4" w:space="0" w:color="auto"/>
              <w:right w:val="single" w:sz="4" w:space="0" w:color="auto"/>
            </w:tcBorders>
            <w:vAlign w:val="center"/>
            <w:hideMark/>
          </w:tcPr>
          <w:p w14:paraId="390FEF8A" w14:textId="77777777" w:rsidR="00CA5F71" w:rsidRPr="004D5AB1" w:rsidRDefault="00CA5F71">
            <w:pPr>
              <w:autoSpaceDE w:val="0"/>
              <w:autoSpaceDN w:val="0"/>
              <w:adjustRightInd w:val="0"/>
              <w:jc w:val="center"/>
              <w:rPr>
                <w:sz w:val="24"/>
                <w:szCs w:val="24"/>
              </w:rPr>
            </w:pPr>
            <w:r w:rsidRPr="004D5AB1">
              <w:rPr>
                <w:sz w:val="24"/>
                <w:szCs w:val="24"/>
              </w:rPr>
              <w:t>331</w:t>
            </w:r>
          </w:p>
        </w:tc>
        <w:tc>
          <w:tcPr>
            <w:tcW w:w="1668" w:type="pct"/>
            <w:tcBorders>
              <w:top w:val="single" w:sz="4" w:space="0" w:color="auto"/>
              <w:left w:val="single" w:sz="4" w:space="0" w:color="auto"/>
              <w:bottom w:val="single" w:sz="4" w:space="0" w:color="auto"/>
              <w:right w:val="single" w:sz="4" w:space="0" w:color="auto"/>
            </w:tcBorders>
            <w:vAlign w:val="center"/>
            <w:hideMark/>
          </w:tcPr>
          <w:p w14:paraId="3365476B" w14:textId="77777777" w:rsidR="00CA5F71" w:rsidRPr="004D5AB1" w:rsidRDefault="00CA5F71">
            <w:pPr>
              <w:autoSpaceDE w:val="0"/>
              <w:autoSpaceDN w:val="0"/>
              <w:adjustRightInd w:val="0"/>
              <w:jc w:val="center"/>
              <w:rPr>
                <w:sz w:val="24"/>
                <w:szCs w:val="24"/>
              </w:rPr>
            </w:pPr>
            <w:r w:rsidRPr="004D5AB1">
              <w:rPr>
                <w:sz w:val="24"/>
                <w:szCs w:val="24"/>
              </w:rPr>
              <w:t>332</w:t>
            </w:r>
          </w:p>
        </w:tc>
      </w:tr>
      <w:tr w:rsidR="00CA5F71" w:rsidRPr="004D5AB1" w14:paraId="1EFBD2F2"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538FD9EA" w14:textId="77777777" w:rsidR="00CA5F71" w:rsidRPr="004D5AB1" w:rsidRDefault="00CA5F71">
            <w:pPr>
              <w:autoSpaceDE w:val="0"/>
              <w:autoSpaceDN w:val="0"/>
              <w:adjustRightInd w:val="0"/>
              <w:rPr>
                <w:sz w:val="24"/>
                <w:szCs w:val="24"/>
              </w:rPr>
            </w:pPr>
            <w:r w:rsidRPr="004D5AB1">
              <w:rPr>
                <w:sz w:val="24"/>
                <w:szCs w:val="24"/>
              </w:rPr>
              <w:t>Fald i FVC</w:t>
            </w:r>
            <w:r w:rsidRPr="004D5AB1">
              <w:rPr>
                <w:sz w:val="24"/>
                <w:szCs w:val="24"/>
                <w:vertAlign w:val="superscript"/>
              </w:rPr>
              <w:t xml:space="preserve">1 </w:t>
            </w:r>
            <w:r w:rsidRPr="004D5AB1">
              <w:rPr>
                <w:sz w:val="24"/>
                <w:szCs w:val="24"/>
              </w:rPr>
              <w:t>(SE) over 52 uger</w:t>
            </w:r>
          </w:p>
        </w:tc>
        <w:tc>
          <w:tcPr>
            <w:tcW w:w="1666" w:type="pct"/>
            <w:tcBorders>
              <w:top w:val="single" w:sz="4" w:space="0" w:color="auto"/>
              <w:left w:val="single" w:sz="4" w:space="0" w:color="auto"/>
              <w:bottom w:val="single" w:sz="4" w:space="0" w:color="auto"/>
              <w:right w:val="single" w:sz="4" w:space="0" w:color="auto"/>
            </w:tcBorders>
            <w:vAlign w:val="bottom"/>
            <w:hideMark/>
          </w:tcPr>
          <w:p w14:paraId="50A7C58A" w14:textId="77777777" w:rsidR="00CA5F71" w:rsidRPr="004D5AB1" w:rsidRDefault="00CA5F71">
            <w:pPr>
              <w:autoSpaceDE w:val="0"/>
              <w:autoSpaceDN w:val="0"/>
              <w:adjustRightInd w:val="0"/>
              <w:jc w:val="center"/>
              <w:rPr>
                <w:sz w:val="24"/>
                <w:szCs w:val="24"/>
              </w:rPr>
            </w:pPr>
            <w:r w:rsidRPr="004D5AB1">
              <w:rPr>
                <w:sz w:val="24"/>
                <w:szCs w:val="24"/>
              </w:rPr>
              <w:t>-187,8 (14,8)</w:t>
            </w:r>
          </w:p>
        </w:tc>
        <w:tc>
          <w:tcPr>
            <w:tcW w:w="1668" w:type="pct"/>
            <w:tcBorders>
              <w:top w:val="single" w:sz="4" w:space="0" w:color="auto"/>
              <w:left w:val="single" w:sz="4" w:space="0" w:color="auto"/>
              <w:bottom w:val="single" w:sz="4" w:space="0" w:color="auto"/>
              <w:right w:val="single" w:sz="4" w:space="0" w:color="auto"/>
            </w:tcBorders>
            <w:vAlign w:val="bottom"/>
            <w:hideMark/>
          </w:tcPr>
          <w:p w14:paraId="4F522FAD" w14:textId="77777777" w:rsidR="00CA5F71" w:rsidRPr="004D5AB1" w:rsidRDefault="00CA5F71">
            <w:pPr>
              <w:autoSpaceDE w:val="0"/>
              <w:autoSpaceDN w:val="0"/>
              <w:adjustRightInd w:val="0"/>
              <w:jc w:val="center"/>
              <w:rPr>
                <w:sz w:val="24"/>
                <w:szCs w:val="24"/>
              </w:rPr>
            </w:pPr>
            <w:r w:rsidRPr="004D5AB1">
              <w:rPr>
                <w:sz w:val="24"/>
                <w:szCs w:val="24"/>
              </w:rPr>
              <w:t>-80,8 (15,1)</w:t>
            </w:r>
          </w:p>
        </w:tc>
      </w:tr>
      <w:tr w:rsidR="00CA5F71" w:rsidRPr="004D5AB1" w14:paraId="2ED82DE7" w14:textId="77777777" w:rsidTr="0015226E">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DD85240" w14:textId="77777777" w:rsidR="00CA5F71" w:rsidRPr="004D5AB1" w:rsidRDefault="00CA5F71">
            <w:pPr>
              <w:autoSpaceDE w:val="0"/>
              <w:autoSpaceDN w:val="0"/>
              <w:adjustRightInd w:val="0"/>
              <w:rPr>
                <w:sz w:val="24"/>
                <w:szCs w:val="24"/>
              </w:rPr>
            </w:pPr>
            <w:r w:rsidRPr="004D5AB1">
              <w:rPr>
                <w:sz w:val="24"/>
                <w:szCs w:val="24"/>
              </w:rPr>
              <w:t>Sammenlignet med placebo</w:t>
            </w:r>
          </w:p>
        </w:tc>
      </w:tr>
      <w:tr w:rsidR="00CA5F71" w:rsidRPr="004D5AB1" w14:paraId="666EBC88"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3665C9CA" w14:textId="77777777" w:rsidR="00CA5F71" w:rsidRPr="004D5AB1" w:rsidRDefault="00CA5F71">
            <w:pPr>
              <w:autoSpaceDE w:val="0"/>
              <w:autoSpaceDN w:val="0"/>
              <w:adjustRightInd w:val="0"/>
              <w:rPr>
                <w:sz w:val="24"/>
                <w:szCs w:val="24"/>
                <w:vertAlign w:val="superscript"/>
              </w:rPr>
            </w:pPr>
            <w:r w:rsidRPr="004D5AB1">
              <w:rPr>
                <w:sz w:val="24"/>
                <w:szCs w:val="24"/>
              </w:rPr>
              <w:t>Forskel</w:t>
            </w:r>
            <w:r w:rsidRPr="004D5AB1">
              <w:rPr>
                <w:sz w:val="24"/>
                <w:szCs w:val="24"/>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79FB202C"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320E375D" w14:textId="77777777" w:rsidR="00CA5F71" w:rsidRPr="004D5AB1" w:rsidRDefault="00CA5F71">
            <w:pPr>
              <w:autoSpaceDE w:val="0"/>
              <w:autoSpaceDN w:val="0"/>
              <w:adjustRightInd w:val="0"/>
              <w:jc w:val="center"/>
              <w:rPr>
                <w:sz w:val="24"/>
                <w:szCs w:val="24"/>
              </w:rPr>
            </w:pPr>
            <w:r w:rsidRPr="004D5AB1">
              <w:rPr>
                <w:sz w:val="24"/>
                <w:szCs w:val="24"/>
              </w:rPr>
              <w:t>107,0</w:t>
            </w:r>
          </w:p>
        </w:tc>
      </w:tr>
      <w:tr w:rsidR="00CA5F71" w:rsidRPr="004D5AB1" w14:paraId="6A045978" w14:textId="77777777" w:rsidTr="0015226E">
        <w:tc>
          <w:tcPr>
            <w:tcW w:w="1666" w:type="pct"/>
            <w:tcBorders>
              <w:top w:val="single" w:sz="4" w:space="0" w:color="auto"/>
              <w:left w:val="single" w:sz="4" w:space="0" w:color="auto"/>
              <w:bottom w:val="single" w:sz="4" w:space="0" w:color="auto"/>
              <w:right w:val="single" w:sz="4" w:space="0" w:color="auto"/>
            </w:tcBorders>
            <w:vAlign w:val="center"/>
            <w:hideMark/>
          </w:tcPr>
          <w:p w14:paraId="41438DC4" w14:textId="77777777" w:rsidR="00CA5F71" w:rsidRPr="004D5AB1" w:rsidRDefault="00CA5F71">
            <w:pPr>
              <w:autoSpaceDE w:val="0"/>
              <w:autoSpaceDN w:val="0"/>
              <w:adjustRightInd w:val="0"/>
              <w:rPr>
                <w:sz w:val="24"/>
                <w:szCs w:val="24"/>
              </w:rPr>
            </w:pPr>
            <w:r w:rsidRPr="004D5AB1">
              <w:rPr>
                <w:sz w:val="24"/>
                <w:szCs w:val="24"/>
              </w:rPr>
              <w:t>95 % CI</w:t>
            </w:r>
          </w:p>
        </w:tc>
        <w:tc>
          <w:tcPr>
            <w:tcW w:w="1666" w:type="pct"/>
            <w:tcBorders>
              <w:top w:val="single" w:sz="4" w:space="0" w:color="auto"/>
              <w:left w:val="single" w:sz="4" w:space="0" w:color="auto"/>
              <w:bottom w:val="single" w:sz="4" w:space="0" w:color="auto"/>
              <w:right w:val="single" w:sz="4" w:space="0" w:color="auto"/>
            </w:tcBorders>
            <w:vAlign w:val="center"/>
          </w:tcPr>
          <w:p w14:paraId="57A2624E"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0BA23CD4" w14:textId="77777777" w:rsidR="00CA5F71" w:rsidRPr="004D5AB1" w:rsidRDefault="00CA5F71">
            <w:pPr>
              <w:autoSpaceDE w:val="0"/>
              <w:autoSpaceDN w:val="0"/>
              <w:adjustRightInd w:val="0"/>
              <w:jc w:val="center"/>
              <w:rPr>
                <w:sz w:val="24"/>
                <w:szCs w:val="24"/>
              </w:rPr>
            </w:pPr>
            <w:r w:rsidRPr="004D5AB1">
              <w:rPr>
                <w:sz w:val="24"/>
                <w:szCs w:val="24"/>
              </w:rPr>
              <w:t>(65,4; 148,5)</w:t>
            </w:r>
          </w:p>
        </w:tc>
      </w:tr>
      <w:tr w:rsidR="00CA5F71" w:rsidRPr="004D5AB1" w14:paraId="440A7AE2" w14:textId="77777777" w:rsidTr="0015226E">
        <w:tc>
          <w:tcPr>
            <w:tcW w:w="1666" w:type="pct"/>
            <w:tcBorders>
              <w:top w:val="single" w:sz="4" w:space="0" w:color="auto"/>
              <w:left w:val="single" w:sz="4" w:space="0" w:color="auto"/>
              <w:bottom w:val="single" w:sz="4" w:space="0" w:color="auto"/>
              <w:right w:val="single" w:sz="4" w:space="0" w:color="auto"/>
            </w:tcBorders>
            <w:vAlign w:val="center"/>
            <w:hideMark/>
          </w:tcPr>
          <w:p w14:paraId="43E9433C" w14:textId="77777777" w:rsidR="00CA5F71" w:rsidRPr="004D5AB1" w:rsidRDefault="00CA5F71">
            <w:pPr>
              <w:autoSpaceDE w:val="0"/>
              <w:autoSpaceDN w:val="0"/>
              <w:adjustRightInd w:val="0"/>
              <w:rPr>
                <w:sz w:val="24"/>
                <w:szCs w:val="24"/>
              </w:rPr>
            </w:pPr>
            <w:proofErr w:type="spellStart"/>
            <w:r w:rsidRPr="004D5AB1">
              <w:rPr>
                <w:sz w:val="24"/>
                <w:szCs w:val="24"/>
              </w:rPr>
              <w:t>p-værdi</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66C52B30"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3516BAD6" w14:textId="77777777" w:rsidR="00CA5F71" w:rsidRPr="004D5AB1" w:rsidRDefault="00CA5F71">
            <w:pPr>
              <w:autoSpaceDE w:val="0"/>
              <w:autoSpaceDN w:val="0"/>
              <w:adjustRightInd w:val="0"/>
              <w:jc w:val="center"/>
              <w:rPr>
                <w:sz w:val="24"/>
                <w:szCs w:val="24"/>
              </w:rPr>
            </w:pPr>
            <w:r w:rsidRPr="004D5AB1">
              <w:rPr>
                <w:sz w:val="24"/>
                <w:szCs w:val="24"/>
              </w:rPr>
              <w:t>&lt;0,0001</w:t>
            </w:r>
          </w:p>
        </w:tc>
      </w:tr>
    </w:tbl>
    <w:p w14:paraId="6391D035" w14:textId="405C4BFD"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Baseret på en tilfældig koefficientregression med fikserede kategoriske behandlingsvirkninger, HRCT-mønster,</w:t>
      </w:r>
      <w:r w:rsidR="0099618E" w:rsidRPr="0099618E">
        <w:rPr>
          <w:sz w:val="20"/>
        </w:rPr>
        <w:t xml:space="preserve"> </w:t>
      </w:r>
      <w:r w:rsidRPr="0099618E">
        <w:rPr>
          <w:sz w:val="20"/>
        </w:rPr>
        <w:t xml:space="preserve">fikserede kontinuerlige virkninger af tid, </w:t>
      </w:r>
      <w:r w:rsidRPr="0099618E">
        <w:rPr>
          <w:i/>
          <w:iCs/>
          <w:sz w:val="20"/>
        </w:rPr>
        <w:t xml:space="preserve">baseline </w:t>
      </w:r>
      <w:r w:rsidRPr="0099618E">
        <w:rPr>
          <w:sz w:val="20"/>
        </w:rPr>
        <w:t>FVC [ml] og omfattende interaktioner fra behandling pr. tid og</w:t>
      </w:r>
      <w:r w:rsidR="0099618E" w:rsidRPr="0099618E">
        <w:rPr>
          <w:sz w:val="20"/>
        </w:rPr>
        <w:t xml:space="preserve"> </w:t>
      </w:r>
      <w:r w:rsidRPr="0099618E">
        <w:rPr>
          <w:i/>
          <w:iCs/>
          <w:sz w:val="20"/>
        </w:rPr>
        <w:t xml:space="preserve">baseline </w:t>
      </w:r>
      <w:r w:rsidRPr="0099618E">
        <w:rPr>
          <w:sz w:val="20"/>
        </w:rPr>
        <w:t>pr. tid</w:t>
      </w:r>
    </w:p>
    <w:p w14:paraId="6BED7F0E" w14:textId="77777777" w:rsidR="00CA5F71" w:rsidRPr="004D5AB1" w:rsidRDefault="00CA5F71" w:rsidP="00CA5F71">
      <w:pPr>
        <w:suppressAutoHyphens/>
        <w:rPr>
          <w:bCs/>
          <w:noProof/>
          <w:sz w:val="24"/>
          <w:szCs w:val="24"/>
        </w:rPr>
      </w:pPr>
    </w:p>
    <w:p w14:paraId="11303B51" w14:textId="44F66140" w:rsidR="00CA5F71" w:rsidRPr="004D5AB1" w:rsidRDefault="00CA5F71" w:rsidP="0015226E">
      <w:pPr>
        <w:suppressAutoHyphens/>
        <w:ind w:left="851"/>
        <w:rPr>
          <w:bCs/>
          <w:noProof/>
          <w:sz w:val="24"/>
          <w:szCs w:val="24"/>
        </w:rPr>
      </w:pPr>
      <w:r w:rsidRPr="004D5AB1">
        <w:rPr>
          <w:bCs/>
          <w:noProof/>
          <w:sz w:val="24"/>
          <w:szCs w:val="24"/>
        </w:rPr>
        <w:t>Tilsvarende resultater blev observeret hos den co-primære population af patienter med HRCT med UIP-lignende fibrotisk mønster. Behandlingsvirkningen var konsistent i den komplementære population af patienter med andre HRCT-fibrotiske mønstre (interaktions p-værdi 0,2268) (figur 2).</w:t>
      </w:r>
    </w:p>
    <w:p w14:paraId="3AFDA64C" w14:textId="77777777" w:rsidR="0015226E" w:rsidRPr="004D5AB1" w:rsidRDefault="0015226E" w:rsidP="0015226E">
      <w:pPr>
        <w:suppressAutoHyphens/>
        <w:ind w:left="851"/>
        <w:rPr>
          <w:bCs/>
          <w:noProof/>
          <w:sz w:val="24"/>
          <w:szCs w:val="24"/>
        </w:rPr>
      </w:pPr>
    </w:p>
    <w:p w14:paraId="02605664" w14:textId="77777777" w:rsidR="00CA5F71" w:rsidRPr="004D5AB1" w:rsidRDefault="00CA5F71" w:rsidP="00CA5F71">
      <w:pPr>
        <w:keepNext/>
        <w:autoSpaceDE w:val="0"/>
        <w:autoSpaceDN w:val="0"/>
        <w:adjustRightInd w:val="0"/>
        <w:ind w:left="1440" w:hanging="1440"/>
        <w:rPr>
          <w:sz w:val="24"/>
          <w:szCs w:val="24"/>
        </w:rPr>
      </w:pPr>
      <w:r w:rsidRPr="004D5AB1">
        <w:rPr>
          <w:b/>
          <w:bCs/>
          <w:sz w:val="24"/>
          <w:szCs w:val="24"/>
        </w:rPr>
        <w:t xml:space="preserve">Figur 2: </w:t>
      </w:r>
      <w:r w:rsidRPr="004D5AB1">
        <w:rPr>
          <w:b/>
          <w:bCs/>
          <w:sz w:val="24"/>
          <w:szCs w:val="24"/>
        </w:rPr>
        <w:tab/>
        <w:t>Forest-plot for det årlige fald i FVC (ml) i løbet af 52 uger i patientpopulationerne</w:t>
      </w:r>
    </w:p>
    <w:p w14:paraId="44DEE423" w14:textId="272FFBCC" w:rsidR="00CA5F71" w:rsidRPr="004D5AB1" w:rsidRDefault="00CA5F71" w:rsidP="00CA5F71">
      <w:pPr>
        <w:keepNext/>
        <w:autoSpaceDE w:val="0"/>
        <w:autoSpaceDN w:val="0"/>
        <w:adjustRightInd w:val="0"/>
        <w:rPr>
          <w:sz w:val="24"/>
          <w:szCs w:val="24"/>
        </w:rPr>
      </w:pPr>
      <w:r w:rsidRPr="004D5AB1">
        <w:rPr>
          <w:noProof/>
          <w:sz w:val="24"/>
          <w:szCs w:val="24"/>
        </w:rPr>
        <w:drawing>
          <wp:inline distT="0" distB="0" distL="0" distR="0" wp14:anchorId="5FA53EBB" wp14:editId="26EB2D27">
            <wp:extent cx="5760720" cy="3924300"/>
            <wp:effectExtent l="0" t="0" r="0" b="0"/>
            <wp:docPr id="5" name="Billede 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with numbers and lin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24300"/>
                    </a:xfrm>
                    <a:prstGeom prst="rect">
                      <a:avLst/>
                    </a:prstGeom>
                    <a:noFill/>
                    <a:ln>
                      <a:noFill/>
                    </a:ln>
                  </pic:spPr>
                </pic:pic>
              </a:graphicData>
            </a:graphic>
          </wp:inline>
        </w:drawing>
      </w:r>
    </w:p>
    <w:p w14:paraId="35E2FA32" w14:textId="77777777" w:rsidR="00CA5F71" w:rsidRPr="004D5AB1" w:rsidRDefault="00CA5F71" w:rsidP="00CA5F71">
      <w:pPr>
        <w:autoSpaceDE w:val="0"/>
        <w:autoSpaceDN w:val="0"/>
        <w:adjustRightInd w:val="0"/>
        <w:rPr>
          <w:sz w:val="24"/>
          <w:szCs w:val="24"/>
        </w:rPr>
      </w:pPr>
      <w:r w:rsidRPr="004D5AB1">
        <w:rPr>
          <w:sz w:val="24"/>
          <w:szCs w:val="24"/>
        </w:rPr>
        <w:t>bid = to gange dagligt</w:t>
      </w:r>
    </w:p>
    <w:p w14:paraId="5FA514B9" w14:textId="77777777" w:rsidR="00CA5F71" w:rsidRPr="004D5AB1" w:rsidRDefault="00CA5F71" w:rsidP="00CA5F71">
      <w:pPr>
        <w:suppressAutoHyphens/>
        <w:rPr>
          <w:bCs/>
          <w:noProof/>
          <w:sz w:val="24"/>
          <w:szCs w:val="24"/>
        </w:rPr>
      </w:pPr>
    </w:p>
    <w:p w14:paraId="5B18DEC3" w14:textId="77777777" w:rsidR="00CA5F71" w:rsidRPr="004D5AB1" w:rsidRDefault="00CA5F71" w:rsidP="0015226E">
      <w:pPr>
        <w:suppressAutoHyphens/>
        <w:ind w:left="851"/>
        <w:rPr>
          <w:bCs/>
          <w:noProof/>
          <w:sz w:val="24"/>
          <w:szCs w:val="24"/>
        </w:rPr>
      </w:pPr>
      <w:r w:rsidRPr="004D5AB1">
        <w:rPr>
          <w:bCs/>
          <w:noProof/>
          <w:sz w:val="24"/>
          <w:szCs w:val="24"/>
        </w:rPr>
        <w:t xml:space="preserve">Resultaterne for nintedanibs virkning til reduktion af det årlige fald i FVC blev bekræftet af alle præspecificerede sensitivitetsanalyser, og der blev observeret konsistente resultater i de præspecificerede undergrupper for virkning: køn, aldersgruppe, race, forventet </w:t>
      </w:r>
      <w:r w:rsidRPr="004D5AB1">
        <w:rPr>
          <w:bCs/>
          <w:i/>
          <w:iCs/>
          <w:noProof/>
          <w:sz w:val="24"/>
          <w:szCs w:val="24"/>
        </w:rPr>
        <w:t xml:space="preserve">baseline </w:t>
      </w:r>
      <w:r w:rsidRPr="004D5AB1">
        <w:rPr>
          <w:bCs/>
          <w:noProof/>
          <w:sz w:val="24"/>
          <w:szCs w:val="24"/>
        </w:rPr>
        <w:t>FVC % og oprindelig underliggende klinisk ILS-diagnose.</w:t>
      </w:r>
    </w:p>
    <w:p w14:paraId="6426CBB5" w14:textId="77777777" w:rsidR="00CA5F71" w:rsidRPr="004D5AB1" w:rsidRDefault="00CA5F71" w:rsidP="0015226E">
      <w:pPr>
        <w:suppressAutoHyphens/>
        <w:ind w:left="851"/>
        <w:rPr>
          <w:bCs/>
          <w:noProof/>
          <w:sz w:val="24"/>
          <w:szCs w:val="24"/>
        </w:rPr>
      </w:pPr>
    </w:p>
    <w:p w14:paraId="3F61DC09" w14:textId="77777777" w:rsidR="00CA5F71" w:rsidRPr="004D5AB1" w:rsidRDefault="00CA5F71" w:rsidP="0015226E">
      <w:pPr>
        <w:suppressAutoHyphens/>
        <w:ind w:left="851"/>
        <w:rPr>
          <w:bCs/>
          <w:noProof/>
          <w:sz w:val="24"/>
          <w:szCs w:val="24"/>
        </w:rPr>
      </w:pPr>
      <w:r w:rsidRPr="004D5AB1">
        <w:rPr>
          <w:bCs/>
          <w:noProof/>
          <w:sz w:val="24"/>
          <w:szCs w:val="24"/>
        </w:rPr>
        <w:t xml:space="preserve">Figur 3 viser udviklingen i ændring af FVC fra </w:t>
      </w:r>
      <w:r w:rsidRPr="004D5AB1">
        <w:rPr>
          <w:bCs/>
          <w:i/>
          <w:iCs/>
          <w:noProof/>
          <w:sz w:val="24"/>
          <w:szCs w:val="24"/>
        </w:rPr>
        <w:t xml:space="preserve">baseline </w:t>
      </w:r>
      <w:r w:rsidRPr="004D5AB1">
        <w:rPr>
          <w:bCs/>
          <w:noProof/>
          <w:sz w:val="24"/>
          <w:szCs w:val="24"/>
        </w:rPr>
        <w:t>over tid i behandlingsgrupperne.</w:t>
      </w:r>
    </w:p>
    <w:p w14:paraId="284313B9" w14:textId="77777777" w:rsidR="00CA5F71" w:rsidRPr="004D5AB1" w:rsidRDefault="00CA5F71" w:rsidP="00CA5F71">
      <w:pPr>
        <w:rPr>
          <w:bCs/>
          <w:noProof/>
          <w:sz w:val="24"/>
          <w:szCs w:val="24"/>
        </w:rPr>
      </w:pPr>
      <w:r w:rsidRPr="004D5AB1">
        <w:rPr>
          <w:bCs/>
          <w:noProof/>
          <w:sz w:val="24"/>
          <w:szCs w:val="24"/>
        </w:rPr>
        <w:br w:type="page"/>
      </w:r>
    </w:p>
    <w:p w14:paraId="30585A81" w14:textId="77777777" w:rsidR="00CA5F71" w:rsidRPr="004D5AB1" w:rsidRDefault="00CA5F71" w:rsidP="00CA5F71">
      <w:pPr>
        <w:suppressAutoHyphens/>
        <w:rPr>
          <w:bCs/>
          <w:noProof/>
          <w:sz w:val="24"/>
          <w:szCs w:val="24"/>
        </w:rPr>
      </w:pPr>
    </w:p>
    <w:p w14:paraId="4894C67A" w14:textId="77777777" w:rsidR="00CA5F71" w:rsidRPr="004D5AB1" w:rsidRDefault="00CA5F71" w:rsidP="00CA5F71">
      <w:pPr>
        <w:suppressAutoHyphens/>
        <w:rPr>
          <w:bCs/>
          <w:noProof/>
          <w:sz w:val="24"/>
          <w:szCs w:val="24"/>
        </w:rPr>
      </w:pPr>
      <w:r w:rsidRPr="004D5AB1">
        <w:rPr>
          <w:b/>
          <w:bCs/>
          <w:noProof/>
          <w:sz w:val="24"/>
          <w:szCs w:val="24"/>
        </w:rPr>
        <w:t xml:space="preserve">Figur 3 </w:t>
      </w:r>
      <w:r w:rsidRPr="004D5AB1">
        <w:rPr>
          <w:b/>
          <w:bCs/>
          <w:noProof/>
          <w:sz w:val="24"/>
          <w:szCs w:val="24"/>
        </w:rPr>
        <w:tab/>
        <w:t xml:space="preserve">Middelværdi (SEM) for observeret ændring i FVC fra </w:t>
      </w:r>
      <w:r w:rsidRPr="004D5AB1">
        <w:rPr>
          <w:b/>
          <w:bCs/>
          <w:i/>
          <w:iCs/>
          <w:noProof/>
          <w:sz w:val="24"/>
          <w:szCs w:val="24"/>
        </w:rPr>
        <w:t xml:space="preserve">baseline </w:t>
      </w:r>
      <w:r w:rsidRPr="004D5AB1">
        <w:rPr>
          <w:b/>
          <w:bCs/>
          <w:noProof/>
          <w:sz w:val="24"/>
          <w:szCs w:val="24"/>
        </w:rPr>
        <w:t>(ml) over 52 uger</w:t>
      </w:r>
    </w:p>
    <w:p w14:paraId="0E8F1854" w14:textId="57447C00" w:rsidR="00CA5F71" w:rsidRPr="004D5AB1" w:rsidRDefault="00CA5F71" w:rsidP="00CA5F71">
      <w:pPr>
        <w:keepNext/>
        <w:autoSpaceDE w:val="0"/>
        <w:autoSpaceDN w:val="0"/>
        <w:adjustRightInd w:val="0"/>
        <w:rPr>
          <w:sz w:val="24"/>
          <w:szCs w:val="24"/>
        </w:rPr>
      </w:pPr>
      <w:r w:rsidRPr="004D5AB1">
        <w:rPr>
          <w:noProof/>
          <w:sz w:val="24"/>
          <w:szCs w:val="24"/>
        </w:rPr>
        <w:drawing>
          <wp:inline distT="0" distB="0" distL="0" distR="0" wp14:anchorId="616476DB" wp14:editId="0701486F">
            <wp:extent cx="5760720" cy="4419600"/>
            <wp:effectExtent l="0" t="0" r="0" b="0"/>
            <wp:docPr id="4" name="Billede 4"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with numbers and lin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419600"/>
                    </a:xfrm>
                    <a:prstGeom prst="rect">
                      <a:avLst/>
                    </a:prstGeom>
                    <a:noFill/>
                    <a:ln>
                      <a:noFill/>
                    </a:ln>
                  </pic:spPr>
                </pic:pic>
              </a:graphicData>
            </a:graphic>
          </wp:inline>
        </w:drawing>
      </w:r>
    </w:p>
    <w:p w14:paraId="22A51879" w14:textId="77777777" w:rsidR="00CA5F71" w:rsidRPr="0099618E" w:rsidRDefault="00CA5F71" w:rsidP="00CA5F71">
      <w:pPr>
        <w:autoSpaceDE w:val="0"/>
        <w:autoSpaceDN w:val="0"/>
        <w:adjustRightInd w:val="0"/>
        <w:rPr>
          <w:sz w:val="20"/>
        </w:rPr>
      </w:pPr>
      <w:r w:rsidRPr="0099618E">
        <w:rPr>
          <w:sz w:val="20"/>
        </w:rPr>
        <w:t>bid = to gange dagligt</w:t>
      </w:r>
    </w:p>
    <w:p w14:paraId="32A89826" w14:textId="77777777" w:rsidR="00CA5F71" w:rsidRPr="004D5AB1" w:rsidRDefault="00CA5F71" w:rsidP="00CA5F71">
      <w:pPr>
        <w:tabs>
          <w:tab w:val="left" w:pos="1365"/>
        </w:tabs>
        <w:suppressAutoHyphens/>
        <w:rPr>
          <w:bCs/>
          <w:noProof/>
          <w:sz w:val="24"/>
          <w:szCs w:val="24"/>
        </w:rPr>
      </w:pPr>
    </w:p>
    <w:p w14:paraId="08E1BA82" w14:textId="77777777" w:rsidR="00CA5F71" w:rsidRPr="004D5AB1" w:rsidRDefault="00CA5F71" w:rsidP="0015226E">
      <w:pPr>
        <w:suppressAutoHyphens/>
        <w:ind w:left="851"/>
        <w:rPr>
          <w:bCs/>
          <w:noProof/>
          <w:sz w:val="24"/>
          <w:szCs w:val="24"/>
        </w:rPr>
      </w:pPr>
      <w:r w:rsidRPr="004D5AB1">
        <w:rPr>
          <w:bCs/>
          <w:noProof/>
          <w:sz w:val="24"/>
          <w:szCs w:val="24"/>
        </w:rPr>
        <w:t xml:space="preserve">Desuden blev der observeret en favorabel virkning for nintedanib på den justerede gennemsnitlige absolutte ændring fra </w:t>
      </w:r>
      <w:r w:rsidRPr="004D5AB1">
        <w:rPr>
          <w:bCs/>
          <w:i/>
          <w:iCs/>
          <w:noProof/>
          <w:sz w:val="24"/>
          <w:szCs w:val="24"/>
        </w:rPr>
        <w:t xml:space="preserve">baseline </w:t>
      </w:r>
      <w:r w:rsidRPr="004D5AB1">
        <w:rPr>
          <w:bCs/>
          <w:noProof/>
          <w:sz w:val="24"/>
          <w:szCs w:val="24"/>
        </w:rPr>
        <w:t xml:space="preserve">i FVC % forventet ved uge 52. Den justerede gennemsnitlige absolutte ændring fra </w:t>
      </w:r>
      <w:r w:rsidRPr="004D5AB1">
        <w:rPr>
          <w:bCs/>
          <w:i/>
          <w:iCs/>
          <w:noProof/>
          <w:sz w:val="24"/>
          <w:szCs w:val="24"/>
        </w:rPr>
        <w:t xml:space="preserve">baseline </w:t>
      </w:r>
      <w:r w:rsidRPr="004D5AB1">
        <w:rPr>
          <w:bCs/>
          <w:noProof/>
          <w:sz w:val="24"/>
          <w:szCs w:val="24"/>
        </w:rPr>
        <w:t>til uge 52 i FVC % forventet var lavere i nintedanib-gruppen (-2,62 %) end i placebogruppen (-5,86 %). Den justerede gennemsnitlige forskel mellem behandlingsgrupperne var 3,24 (95 % CI: 2,09; 4,40, nominel p&lt;0,0001).</w:t>
      </w:r>
    </w:p>
    <w:p w14:paraId="56BCB264" w14:textId="77777777" w:rsidR="00CA5F71" w:rsidRPr="004D5AB1" w:rsidRDefault="00CA5F71" w:rsidP="0015226E">
      <w:pPr>
        <w:suppressAutoHyphens/>
        <w:ind w:left="851"/>
        <w:rPr>
          <w:bCs/>
          <w:i/>
          <w:iCs/>
          <w:noProof/>
          <w:sz w:val="24"/>
          <w:szCs w:val="24"/>
        </w:rPr>
      </w:pPr>
    </w:p>
    <w:p w14:paraId="201483C4"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FVC responder-analyse</w:t>
      </w:r>
    </w:p>
    <w:p w14:paraId="4E0FBD16" w14:textId="77777777" w:rsidR="00CA5F71" w:rsidRPr="004D5AB1" w:rsidRDefault="00CA5F71" w:rsidP="0015226E">
      <w:pPr>
        <w:suppressAutoHyphens/>
        <w:ind w:left="851"/>
        <w:rPr>
          <w:bCs/>
          <w:i/>
          <w:iCs/>
          <w:noProof/>
          <w:sz w:val="24"/>
          <w:szCs w:val="24"/>
        </w:rPr>
      </w:pPr>
      <w:r w:rsidRPr="004D5AB1">
        <w:rPr>
          <w:bCs/>
          <w:noProof/>
          <w:sz w:val="24"/>
          <w:szCs w:val="24"/>
        </w:rPr>
        <w:t>Andelen af FVC-respondere, defineret som patienter med et relativt fald i FVC % forventet på ikke over</w:t>
      </w:r>
      <w:r w:rsidRPr="004D5AB1">
        <w:rPr>
          <w:bCs/>
          <w:i/>
          <w:iCs/>
          <w:noProof/>
          <w:sz w:val="24"/>
          <w:szCs w:val="24"/>
        </w:rPr>
        <w:t xml:space="preserve"> </w:t>
      </w:r>
      <w:r w:rsidRPr="004D5AB1">
        <w:rPr>
          <w:bCs/>
          <w:noProof/>
          <w:sz w:val="24"/>
          <w:szCs w:val="24"/>
        </w:rPr>
        <w:t>5 %, var højere i nintedanib-gruppen, sammenlignet med placebo. Der blev observeret lignende resultater i</w:t>
      </w:r>
      <w:r w:rsidRPr="004D5AB1">
        <w:rPr>
          <w:bCs/>
          <w:i/>
          <w:iCs/>
          <w:noProof/>
          <w:sz w:val="24"/>
          <w:szCs w:val="24"/>
        </w:rPr>
        <w:t xml:space="preserve"> </w:t>
      </w:r>
      <w:r w:rsidRPr="004D5AB1">
        <w:rPr>
          <w:bCs/>
          <w:noProof/>
          <w:sz w:val="24"/>
          <w:szCs w:val="24"/>
        </w:rPr>
        <w:t>analyser, der benyttede en tærskelværdi på 10 % (tabel 9).</w:t>
      </w:r>
    </w:p>
    <w:p w14:paraId="4CD5C863" w14:textId="77777777" w:rsidR="00CA5F71" w:rsidRPr="004D5AB1" w:rsidRDefault="00CA5F71" w:rsidP="0015226E">
      <w:pPr>
        <w:suppressAutoHyphens/>
        <w:ind w:left="851"/>
        <w:rPr>
          <w:bCs/>
          <w:noProof/>
          <w:sz w:val="24"/>
          <w:szCs w:val="24"/>
        </w:rPr>
      </w:pPr>
    </w:p>
    <w:p w14:paraId="40755E2C" w14:textId="77777777" w:rsidR="00CA5F71" w:rsidRPr="004D5AB1" w:rsidRDefault="00CA5F71" w:rsidP="00CA5F71">
      <w:pPr>
        <w:keepNext/>
        <w:autoSpaceDE w:val="0"/>
        <w:autoSpaceDN w:val="0"/>
        <w:adjustRightInd w:val="0"/>
        <w:ind w:left="1134" w:hanging="1134"/>
        <w:rPr>
          <w:b/>
          <w:sz w:val="24"/>
          <w:szCs w:val="24"/>
        </w:rPr>
      </w:pPr>
      <w:r w:rsidRPr="004D5AB1">
        <w:rPr>
          <w:b/>
          <w:bCs/>
          <w:sz w:val="24"/>
          <w:szCs w:val="24"/>
        </w:rPr>
        <w:t xml:space="preserve">Tabel 9: </w:t>
      </w:r>
      <w:r w:rsidRPr="004D5AB1">
        <w:rPr>
          <w:b/>
          <w:bCs/>
          <w:sz w:val="24"/>
          <w:szCs w:val="24"/>
        </w:rPr>
        <w:tab/>
        <w:t>Andel FVC-respondere ved 52 uger i INBUILD</w:t>
      </w:r>
    </w:p>
    <w:tbl>
      <w:tblPr>
        <w:tblStyle w:val="Tabel-Gitter"/>
        <w:tblW w:w="5000" w:type="pct"/>
        <w:tblInd w:w="0" w:type="dxa"/>
        <w:tblLook w:val="04A0" w:firstRow="1" w:lastRow="0" w:firstColumn="1" w:lastColumn="0" w:noHBand="0" w:noVBand="1"/>
      </w:tblPr>
      <w:tblGrid>
        <w:gridCol w:w="4669"/>
        <w:gridCol w:w="2411"/>
        <w:gridCol w:w="2548"/>
      </w:tblGrid>
      <w:tr w:rsidR="00CA5F71" w:rsidRPr="004D5AB1" w14:paraId="5AA221FB" w14:textId="77777777" w:rsidTr="0015226E">
        <w:trPr>
          <w:tblHeader/>
        </w:trPr>
        <w:tc>
          <w:tcPr>
            <w:tcW w:w="2425" w:type="pct"/>
            <w:tcBorders>
              <w:top w:val="single" w:sz="4" w:space="0" w:color="auto"/>
              <w:left w:val="single" w:sz="4" w:space="0" w:color="auto"/>
              <w:bottom w:val="single" w:sz="4" w:space="0" w:color="auto"/>
              <w:right w:val="single" w:sz="4" w:space="0" w:color="auto"/>
            </w:tcBorders>
          </w:tcPr>
          <w:p w14:paraId="71AAA083" w14:textId="77777777" w:rsidR="00CA5F71" w:rsidRPr="004D5AB1" w:rsidRDefault="00CA5F71">
            <w:pPr>
              <w:autoSpaceDE w:val="0"/>
              <w:autoSpaceDN w:val="0"/>
              <w:adjustRightInd w:val="0"/>
              <w:rPr>
                <w:sz w:val="24"/>
                <w:szCs w:val="24"/>
              </w:rPr>
            </w:pPr>
          </w:p>
        </w:tc>
        <w:tc>
          <w:tcPr>
            <w:tcW w:w="1252" w:type="pct"/>
            <w:tcBorders>
              <w:top w:val="single" w:sz="4" w:space="0" w:color="auto"/>
              <w:left w:val="single" w:sz="4" w:space="0" w:color="auto"/>
              <w:bottom w:val="single" w:sz="4" w:space="0" w:color="auto"/>
              <w:right w:val="single" w:sz="4" w:space="0" w:color="auto"/>
            </w:tcBorders>
            <w:hideMark/>
          </w:tcPr>
          <w:p w14:paraId="39DCBC53" w14:textId="77777777" w:rsidR="00CA5F71" w:rsidRPr="004D5AB1" w:rsidRDefault="00CA5F71">
            <w:pPr>
              <w:autoSpaceDE w:val="0"/>
              <w:autoSpaceDN w:val="0"/>
              <w:adjustRightInd w:val="0"/>
              <w:jc w:val="center"/>
              <w:rPr>
                <w:sz w:val="24"/>
                <w:szCs w:val="24"/>
              </w:rPr>
            </w:pPr>
            <w:r w:rsidRPr="004D5AB1">
              <w:rPr>
                <w:sz w:val="24"/>
                <w:szCs w:val="24"/>
              </w:rPr>
              <w:t>Placebo</w:t>
            </w:r>
          </w:p>
        </w:tc>
        <w:tc>
          <w:tcPr>
            <w:tcW w:w="1323" w:type="pct"/>
            <w:tcBorders>
              <w:top w:val="single" w:sz="4" w:space="0" w:color="auto"/>
              <w:left w:val="single" w:sz="4" w:space="0" w:color="auto"/>
              <w:bottom w:val="single" w:sz="4" w:space="0" w:color="auto"/>
              <w:right w:val="single" w:sz="4" w:space="0" w:color="auto"/>
            </w:tcBorders>
            <w:hideMark/>
          </w:tcPr>
          <w:p w14:paraId="64318402" w14:textId="77777777" w:rsidR="00CA5F71" w:rsidRPr="004D5AB1" w:rsidRDefault="00CA5F71">
            <w:pPr>
              <w:autoSpaceDE w:val="0"/>
              <w:autoSpaceDN w:val="0"/>
              <w:adjustRightInd w:val="0"/>
              <w:jc w:val="center"/>
              <w:rPr>
                <w:sz w:val="24"/>
                <w:szCs w:val="24"/>
              </w:rPr>
            </w:pPr>
            <w:proofErr w:type="spellStart"/>
            <w:r w:rsidRPr="004D5AB1">
              <w:rPr>
                <w:sz w:val="24"/>
                <w:szCs w:val="24"/>
              </w:rPr>
              <w:t>Nintedanib</w:t>
            </w:r>
            <w:proofErr w:type="spellEnd"/>
            <w:r w:rsidRPr="004D5AB1">
              <w:rPr>
                <w:sz w:val="24"/>
                <w:szCs w:val="24"/>
              </w:rPr>
              <w:t xml:space="preserve"> 150 mg to gange dagligt</w:t>
            </w:r>
          </w:p>
        </w:tc>
      </w:tr>
      <w:tr w:rsidR="00CA5F71" w:rsidRPr="004D5AB1" w14:paraId="1A2F9FAF"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18FE918C" w14:textId="77777777" w:rsidR="00CA5F71" w:rsidRPr="004D5AB1" w:rsidRDefault="00CA5F71">
            <w:pPr>
              <w:autoSpaceDE w:val="0"/>
              <w:autoSpaceDN w:val="0"/>
              <w:adjustRightInd w:val="0"/>
              <w:rPr>
                <w:sz w:val="24"/>
                <w:szCs w:val="24"/>
              </w:rPr>
            </w:pPr>
            <w:r w:rsidRPr="004D5AB1">
              <w:rPr>
                <w:sz w:val="24"/>
                <w:szCs w:val="24"/>
              </w:rPr>
              <w:t>Antal analyserede patienter</w:t>
            </w:r>
          </w:p>
        </w:tc>
        <w:tc>
          <w:tcPr>
            <w:tcW w:w="1252" w:type="pct"/>
            <w:tcBorders>
              <w:top w:val="single" w:sz="4" w:space="0" w:color="auto"/>
              <w:left w:val="single" w:sz="4" w:space="0" w:color="auto"/>
              <w:bottom w:val="single" w:sz="4" w:space="0" w:color="auto"/>
              <w:right w:val="single" w:sz="4" w:space="0" w:color="auto"/>
            </w:tcBorders>
            <w:vAlign w:val="center"/>
            <w:hideMark/>
          </w:tcPr>
          <w:p w14:paraId="792268E5" w14:textId="77777777" w:rsidR="00CA5F71" w:rsidRPr="004D5AB1" w:rsidRDefault="00CA5F71">
            <w:pPr>
              <w:autoSpaceDE w:val="0"/>
              <w:autoSpaceDN w:val="0"/>
              <w:adjustRightInd w:val="0"/>
              <w:jc w:val="center"/>
              <w:rPr>
                <w:sz w:val="24"/>
                <w:szCs w:val="24"/>
              </w:rPr>
            </w:pPr>
            <w:r w:rsidRPr="004D5AB1">
              <w:rPr>
                <w:sz w:val="24"/>
                <w:szCs w:val="24"/>
              </w:rPr>
              <w:t>331</w:t>
            </w:r>
          </w:p>
        </w:tc>
        <w:tc>
          <w:tcPr>
            <w:tcW w:w="1323" w:type="pct"/>
            <w:tcBorders>
              <w:top w:val="single" w:sz="4" w:space="0" w:color="auto"/>
              <w:left w:val="single" w:sz="4" w:space="0" w:color="auto"/>
              <w:bottom w:val="single" w:sz="4" w:space="0" w:color="auto"/>
              <w:right w:val="single" w:sz="4" w:space="0" w:color="auto"/>
            </w:tcBorders>
            <w:vAlign w:val="center"/>
            <w:hideMark/>
          </w:tcPr>
          <w:p w14:paraId="381F0C82" w14:textId="77777777" w:rsidR="00CA5F71" w:rsidRPr="004D5AB1" w:rsidRDefault="00CA5F71">
            <w:pPr>
              <w:autoSpaceDE w:val="0"/>
              <w:autoSpaceDN w:val="0"/>
              <w:adjustRightInd w:val="0"/>
              <w:jc w:val="center"/>
              <w:rPr>
                <w:sz w:val="24"/>
                <w:szCs w:val="24"/>
              </w:rPr>
            </w:pPr>
            <w:r w:rsidRPr="004D5AB1">
              <w:rPr>
                <w:sz w:val="24"/>
                <w:szCs w:val="24"/>
              </w:rPr>
              <w:t>332</w:t>
            </w:r>
          </w:p>
        </w:tc>
      </w:tr>
      <w:tr w:rsidR="00CA5F71" w:rsidRPr="004D5AB1" w14:paraId="1BDF2997" w14:textId="77777777" w:rsidTr="0015226E">
        <w:tc>
          <w:tcPr>
            <w:tcW w:w="5000" w:type="pct"/>
            <w:gridSpan w:val="3"/>
            <w:tcBorders>
              <w:top w:val="single" w:sz="4" w:space="0" w:color="auto"/>
              <w:left w:val="single" w:sz="4" w:space="0" w:color="auto"/>
              <w:bottom w:val="single" w:sz="4" w:space="0" w:color="auto"/>
              <w:right w:val="single" w:sz="4" w:space="0" w:color="auto"/>
            </w:tcBorders>
            <w:hideMark/>
          </w:tcPr>
          <w:p w14:paraId="300DC8DA" w14:textId="77777777" w:rsidR="00CA5F71" w:rsidRPr="004D5AB1" w:rsidRDefault="00CA5F71">
            <w:pPr>
              <w:autoSpaceDE w:val="0"/>
              <w:autoSpaceDN w:val="0"/>
              <w:adjustRightInd w:val="0"/>
              <w:rPr>
                <w:b/>
                <w:sz w:val="24"/>
                <w:szCs w:val="24"/>
              </w:rPr>
            </w:pPr>
            <w:r w:rsidRPr="004D5AB1">
              <w:rPr>
                <w:b/>
                <w:sz w:val="24"/>
                <w:szCs w:val="24"/>
              </w:rPr>
              <w:t xml:space="preserve">5 % </w:t>
            </w:r>
            <w:r w:rsidRPr="004D5AB1">
              <w:rPr>
                <w:b/>
                <w:bCs/>
                <w:sz w:val="24"/>
                <w:szCs w:val="24"/>
              </w:rPr>
              <w:t>tærskelværdi</w:t>
            </w:r>
          </w:p>
        </w:tc>
      </w:tr>
      <w:tr w:rsidR="00CA5F71" w:rsidRPr="004D5AB1" w14:paraId="795FFF38"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5B4B49E4" w14:textId="77777777" w:rsidR="00CA5F71" w:rsidRPr="004D5AB1" w:rsidRDefault="00CA5F71">
            <w:pPr>
              <w:autoSpaceDE w:val="0"/>
              <w:autoSpaceDN w:val="0"/>
              <w:adjustRightInd w:val="0"/>
              <w:rPr>
                <w:sz w:val="24"/>
                <w:szCs w:val="24"/>
              </w:rPr>
            </w:pPr>
            <w:r w:rsidRPr="004D5AB1">
              <w:rPr>
                <w:sz w:val="24"/>
                <w:szCs w:val="24"/>
              </w:rPr>
              <w:t>Antal (%) FVC-respondere</w:t>
            </w:r>
            <w:r w:rsidRPr="004D5AB1">
              <w:rPr>
                <w:sz w:val="24"/>
                <w:szCs w:val="24"/>
                <w:vertAlign w:val="superscript"/>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725E86F8" w14:textId="77777777" w:rsidR="00CA5F71" w:rsidRPr="004D5AB1" w:rsidRDefault="00CA5F71">
            <w:pPr>
              <w:autoSpaceDE w:val="0"/>
              <w:autoSpaceDN w:val="0"/>
              <w:adjustRightInd w:val="0"/>
              <w:jc w:val="center"/>
              <w:rPr>
                <w:sz w:val="24"/>
                <w:szCs w:val="24"/>
              </w:rPr>
            </w:pPr>
            <w:r w:rsidRPr="004D5AB1">
              <w:rPr>
                <w:sz w:val="24"/>
                <w:szCs w:val="24"/>
              </w:rPr>
              <w:t>104 (31,4)</w:t>
            </w:r>
          </w:p>
        </w:tc>
        <w:tc>
          <w:tcPr>
            <w:tcW w:w="1323" w:type="pct"/>
            <w:tcBorders>
              <w:top w:val="single" w:sz="4" w:space="0" w:color="auto"/>
              <w:left w:val="single" w:sz="4" w:space="0" w:color="auto"/>
              <w:bottom w:val="single" w:sz="4" w:space="0" w:color="auto"/>
              <w:right w:val="single" w:sz="4" w:space="0" w:color="auto"/>
            </w:tcBorders>
            <w:vAlign w:val="center"/>
            <w:hideMark/>
          </w:tcPr>
          <w:p w14:paraId="2F6CBB73" w14:textId="77777777" w:rsidR="00CA5F71" w:rsidRPr="004D5AB1" w:rsidRDefault="00CA5F71">
            <w:pPr>
              <w:autoSpaceDE w:val="0"/>
              <w:autoSpaceDN w:val="0"/>
              <w:adjustRightInd w:val="0"/>
              <w:jc w:val="center"/>
              <w:rPr>
                <w:sz w:val="24"/>
                <w:szCs w:val="24"/>
              </w:rPr>
            </w:pPr>
            <w:r w:rsidRPr="004D5AB1">
              <w:rPr>
                <w:sz w:val="24"/>
                <w:szCs w:val="24"/>
              </w:rPr>
              <w:t>158 (47,6)</w:t>
            </w:r>
          </w:p>
        </w:tc>
      </w:tr>
      <w:tr w:rsidR="00CA5F71" w:rsidRPr="004D5AB1" w14:paraId="09B50AF4" w14:textId="77777777" w:rsidTr="0015226E">
        <w:tc>
          <w:tcPr>
            <w:tcW w:w="5000" w:type="pct"/>
            <w:gridSpan w:val="3"/>
            <w:tcBorders>
              <w:top w:val="single" w:sz="4" w:space="0" w:color="auto"/>
              <w:left w:val="single" w:sz="4" w:space="0" w:color="auto"/>
              <w:bottom w:val="single" w:sz="4" w:space="0" w:color="auto"/>
              <w:right w:val="single" w:sz="4" w:space="0" w:color="auto"/>
            </w:tcBorders>
            <w:hideMark/>
          </w:tcPr>
          <w:p w14:paraId="72CEFC61" w14:textId="77777777" w:rsidR="00CA5F71" w:rsidRPr="004D5AB1" w:rsidRDefault="00CA5F71">
            <w:pPr>
              <w:autoSpaceDE w:val="0"/>
              <w:autoSpaceDN w:val="0"/>
              <w:adjustRightInd w:val="0"/>
              <w:rPr>
                <w:sz w:val="24"/>
                <w:szCs w:val="24"/>
              </w:rPr>
            </w:pPr>
            <w:r w:rsidRPr="004D5AB1">
              <w:rPr>
                <w:sz w:val="24"/>
                <w:szCs w:val="24"/>
              </w:rPr>
              <w:t>Sammenlignet med placebo</w:t>
            </w:r>
          </w:p>
        </w:tc>
      </w:tr>
      <w:tr w:rsidR="00CA5F71" w:rsidRPr="004D5AB1" w14:paraId="4AC1DAFF"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0171F3E8" w14:textId="77777777" w:rsidR="00CA5F71" w:rsidRPr="004D5AB1" w:rsidRDefault="00CA5F71">
            <w:pPr>
              <w:autoSpaceDE w:val="0"/>
              <w:autoSpaceDN w:val="0"/>
              <w:adjustRightInd w:val="0"/>
              <w:rPr>
                <w:sz w:val="24"/>
                <w:szCs w:val="24"/>
              </w:rPr>
            </w:pPr>
            <w:r w:rsidRPr="004D5AB1">
              <w:rPr>
                <w:sz w:val="24"/>
                <w:szCs w:val="24"/>
              </w:rPr>
              <w:t>Odds ratio²</w:t>
            </w:r>
          </w:p>
        </w:tc>
        <w:tc>
          <w:tcPr>
            <w:tcW w:w="1252" w:type="pct"/>
            <w:tcBorders>
              <w:top w:val="single" w:sz="4" w:space="0" w:color="auto"/>
              <w:left w:val="single" w:sz="4" w:space="0" w:color="auto"/>
              <w:bottom w:val="single" w:sz="4" w:space="0" w:color="auto"/>
              <w:right w:val="single" w:sz="4" w:space="0" w:color="auto"/>
            </w:tcBorders>
          </w:tcPr>
          <w:p w14:paraId="0BA6C6C7" w14:textId="77777777" w:rsidR="00CA5F71" w:rsidRPr="004D5AB1" w:rsidRDefault="00CA5F71">
            <w:pPr>
              <w:autoSpaceDE w:val="0"/>
              <w:autoSpaceDN w:val="0"/>
              <w:adjustRightInd w:val="0"/>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18247C51" w14:textId="77777777" w:rsidR="00CA5F71" w:rsidRPr="004D5AB1" w:rsidRDefault="00CA5F71">
            <w:pPr>
              <w:autoSpaceDE w:val="0"/>
              <w:autoSpaceDN w:val="0"/>
              <w:adjustRightInd w:val="0"/>
              <w:jc w:val="center"/>
              <w:rPr>
                <w:sz w:val="24"/>
                <w:szCs w:val="24"/>
              </w:rPr>
            </w:pPr>
            <w:r w:rsidRPr="004D5AB1">
              <w:rPr>
                <w:sz w:val="24"/>
                <w:szCs w:val="24"/>
              </w:rPr>
              <w:t>2,01</w:t>
            </w:r>
          </w:p>
        </w:tc>
      </w:tr>
      <w:tr w:rsidR="00CA5F71" w:rsidRPr="004D5AB1" w14:paraId="1F23F1CE"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09FB473D" w14:textId="77777777" w:rsidR="00CA5F71" w:rsidRPr="004D5AB1" w:rsidRDefault="00CA5F71">
            <w:pPr>
              <w:autoSpaceDE w:val="0"/>
              <w:autoSpaceDN w:val="0"/>
              <w:adjustRightInd w:val="0"/>
              <w:rPr>
                <w:sz w:val="24"/>
                <w:szCs w:val="24"/>
              </w:rPr>
            </w:pPr>
            <w:r w:rsidRPr="004D5AB1">
              <w:rPr>
                <w:sz w:val="24"/>
                <w:szCs w:val="24"/>
              </w:rPr>
              <w:t>95 % CI</w:t>
            </w:r>
          </w:p>
        </w:tc>
        <w:tc>
          <w:tcPr>
            <w:tcW w:w="1252" w:type="pct"/>
            <w:tcBorders>
              <w:top w:val="single" w:sz="4" w:space="0" w:color="auto"/>
              <w:left w:val="single" w:sz="4" w:space="0" w:color="auto"/>
              <w:bottom w:val="single" w:sz="4" w:space="0" w:color="auto"/>
              <w:right w:val="single" w:sz="4" w:space="0" w:color="auto"/>
            </w:tcBorders>
          </w:tcPr>
          <w:p w14:paraId="07E89BD2" w14:textId="77777777" w:rsidR="00CA5F71" w:rsidRPr="004D5AB1" w:rsidRDefault="00CA5F71">
            <w:pPr>
              <w:autoSpaceDE w:val="0"/>
              <w:autoSpaceDN w:val="0"/>
              <w:adjustRightInd w:val="0"/>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01AE84A9" w14:textId="77777777" w:rsidR="00CA5F71" w:rsidRPr="004D5AB1" w:rsidRDefault="00CA5F71">
            <w:pPr>
              <w:autoSpaceDE w:val="0"/>
              <w:autoSpaceDN w:val="0"/>
              <w:adjustRightInd w:val="0"/>
              <w:jc w:val="center"/>
              <w:rPr>
                <w:sz w:val="24"/>
                <w:szCs w:val="24"/>
              </w:rPr>
            </w:pPr>
            <w:r w:rsidRPr="004D5AB1">
              <w:rPr>
                <w:sz w:val="24"/>
                <w:szCs w:val="24"/>
              </w:rPr>
              <w:t>(1,46; 2,76)</w:t>
            </w:r>
          </w:p>
        </w:tc>
      </w:tr>
      <w:tr w:rsidR="00CA5F71" w:rsidRPr="004D5AB1" w14:paraId="566F088A"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41003E56" w14:textId="77777777" w:rsidR="00CA5F71" w:rsidRPr="004D5AB1" w:rsidRDefault="00CA5F71">
            <w:pPr>
              <w:autoSpaceDE w:val="0"/>
              <w:autoSpaceDN w:val="0"/>
              <w:adjustRightInd w:val="0"/>
              <w:rPr>
                <w:sz w:val="24"/>
                <w:szCs w:val="24"/>
              </w:rPr>
            </w:pPr>
            <w:r w:rsidRPr="004D5AB1">
              <w:rPr>
                <w:sz w:val="24"/>
                <w:szCs w:val="24"/>
              </w:rPr>
              <w:t xml:space="preserve">Nominel </w:t>
            </w:r>
            <w:proofErr w:type="spellStart"/>
            <w:r w:rsidRPr="004D5AB1">
              <w:rPr>
                <w:sz w:val="24"/>
                <w:szCs w:val="24"/>
              </w:rPr>
              <w:t>p-værdi</w:t>
            </w:r>
            <w:proofErr w:type="spellEnd"/>
          </w:p>
        </w:tc>
        <w:tc>
          <w:tcPr>
            <w:tcW w:w="1252" w:type="pct"/>
            <w:tcBorders>
              <w:top w:val="single" w:sz="4" w:space="0" w:color="auto"/>
              <w:left w:val="single" w:sz="4" w:space="0" w:color="auto"/>
              <w:bottom w:val="single" w:sz="4" w:space="0" w:color="auto"/>
              <w:right w:val="single" w:sz="4" w:space="0" w:color="auto"/>
            </w:tcBorders>
          </w:tcPr>
          <w:p w14:paraId="41643332" w14:textId="77777777" w:rsidR="00CA5F71" w:rsidRPr="004D5AB1" w:rsidRDefault="00CA5F71">
            <w:pPr>
              <w:autoSpaceDE w:val="0"/>
              <w:autoSpaceDN w:val="0"/>
              <w:adjustRightInd w:val="0"/>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3C0CE9B8" w14:textId="77777777" w:rsidR="00CA5F71" w:rsidRPr="004D5AB1" w:rsidRDefault="00CA5F71">
            <w:pPr>
              <w:autoSpaceDE w:val="0"/>
              <w:autoSpaceDN w:val="0"/>
              <w:adjustRightInd w:val="0"/>
              <w:jc w:val="center"/>
              <w:rPr>
                <w:sz w:val="24"/>
                <w:szCs w:val="24"/>
              </w:rPr>
            </w:pPr>
            <w:r w:rsidRPr="004D5AB1">
              <w:rPr>
                <w:sz w:val="24"/>
                <w:szCs w:val="24"/>
              </w:rPr>
              <w:t>&lt;0,0001</w:t>
            </w:r>
          </w:p>
        </w:tc>
      </w:tr>
      <w:tr w:rsidR="00CA5F71" w:rsidRPr="004D5AB1" w14:paraId="421A2B9E" w14:textId="77777777" w:rsidTr="0015226E">
        <w:tc>
          <w:tcPr>
            <w:tcW w:w="5000" w:type="pct"/>
            <w:gridSpan w:val="3"/>
            <w:tcBorders>
              <w:top w:val="single" w:sz="4" w:space="0" w:color="auto"/>
              <w:left w:val="single" w:sz="4" w:space="0" w:color="auto"/>
              <w:bottom w:val="single" w:sz="4" w:space="0" w:color="auto"/>
              <w:right w:val="single" w:sz="4" w:space="0" w:color="auto"/>
            </w:tcBorders>
            <w:hideMark/>
          </w:tcPr>
          <w:p w14:paraId="7CA78805" w14:textId="77777777" w:rsidR="00CA5F71" w:rsidRPr="004D5AB1" w:rsidRDefault="00CA5F71">
            <w:pPr>
              <w:autoSpaceDE w:val="0"/>
              <w:autoSpaceDN w:val="0"/>
              <w:adjustRightInd w:val="0"/>
              <w:rPr>
                <w:b/>
                <w:sz w:val="24"/>
                <w:szCs w:val="24"/>
              </w:rPr>
            </w:pPr>
            <w:r w:rsidRPr="004D5AB1">
              <w:rPr>
                <w:b/>
                <w:sz w:val="24"/>
                <w:szCs w:val="24"/>
              </w:rPr>
              <w:lastRenderedPageBreak/>
              <w:t xml:space="preserve">10 % </w:t>
            </w:r>
            <w:r w:rsidRPr="004D5AB1">
              <w:rPr>
                <w:b/>
                <w:bCs/>
                <w:sz w:val="24"/>
                <w:szCs w:val="24"/>
              </w:rPr>
              <w:t>tærskelværdi</w:t>
            </w:r>
          </w:p>
        </w:tc>
      </w:tr>
      <w:tr w:rsidR="00CA5F71" w:rsidRPr="004D5AB1" w14:paraId="5A5DBB32"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0108135C" w14:textId="77777777" w:rsidR="00CA5F71" w:rsidRPr="004D5AB1" w:rsidRDefault="00CA5F71">
            <w:pPr>
              <w:autoSpaceDE w:val="0"/>
              <w:autoSpaceDN w:val="0"/>
              <w:adjustRightInd w:val="0"/>
              <w:rPr>
                <w:sz w:val="24"/>
                <w:szCs w:val="24"/>
              </w:rPr>
            </w:pPr>
            <w:r w:rsidRPr="004D5AB1">
              <w:rPr>
                <w:sz w:val="24"/>
                <w:szCs w:val="24"/>
              </w:rPr>
              <w:t>Antal (%) FVC-respondere</w:t>
            </w:r>
            <w:r w:rsidRPr="004D5AB1">
              <w:rPr>
                <w:sz w:val="24"/>
                <w:szCs w:val="24"/>
                <w:vertAlign w:val="superscript"/>
              </w:rPr>
              <w:t>1</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DDB646C" w14:textId="77777777" w:rsidR="00CA5F71" w:rsidRPr="004D5AB1" w:rsidRDefault="00CA5F71">
            <w:pPr>
              <w:autoSpaceDE w:val="0"/>
              <w:autoSpaceDN w:val="0"/>
              <w:adjustRightInd w:val="0"/>
              <w:jc w:val="center"/>
              <w:rPr>
                <w:sz w:val="24"/>
                <w:szCs w:val="24"/>
              </w:rPr>
            </w:pPr>
            <w:r w:rsidRPr="004D5AB1">
              <w:rPr>
                <w:sz w:val="24"/>
                <w:szCs w:val="24"/>
              </w:rPr>
              <w:t>169 (51,1)</w:t>
            </w:r>
          </w:p>
        </w:tc>
        <w:tc>
          <w:tcPr>
            <w:tcW w:w="1323" w:type="pct"/>
            <w:tcBorders>
              <w:top w:val="single" w:sz="4" w:space="0" w:color="auto"/>
              <w:left w:val="single" w:sz="4" w:space="0" w:color="auto"/>
              <w:bottom w:val="single" w:sz="4" w:space="0" w:color="auto"/>
              <w:right w:val="single" w:sz="4" w:space="0" w:color="auto"/>
            </w:tcBorders>
            <w:vAlign w:val="center"/>
            <w:hideMark/>
          </w:tcPr>
          <w:p w14:paraId="54A85F52" w14:textId="77777777" w:rsidR="00CA5F71" w:rsidRPr="004D5AB1" w:rsidRDefault="00CA5F71">
            <w:pPr>
              <w:autoSpaceDE w:val="0"/>
              <w:autoSpaceDN w:val="0"/>
              <w:adjustRightInd w:val="0"/>
              <w:jc w:val="center"/>
              <w:rPr>
                <w:sz w:val="24"/>
                <w:szCs w:val="24"/>
              </w:rPr>
            </w:pPr>
            <w:r w:rsidRPr="004D5AB1">
              <w:rPr>
                <w:sz w:val="24"/>
                <w:szCs w:val="24"/>
              </w:rPr>
              <w:t>197 (59,3)</w:t>
            </w:r>
          </w:p>
        </w:tc>
      </w:tr>
      <w:tr w:rsidR="00CA5F71" w:rsidRPr="004D5AB1" w14:paraId="22FF5956" w14:textId="77777777" w:rsidTr="0015226E">
        <w:tc>
          <w:tcPr>
            <w:tcW w:w="5000" w:type="pct"/>
            <w:gridSpan w:val="3"/>
            <w:tcBorders>
              <w:top w:val="single" w:sz="4" w:space="0" w:color="auto"/>
              <w:left w:val="single" w:sz="4" w:space="0" w:color="auto"/>
              <w:bottom w:val="single" w:sz="4" w:space="0" w:color="auto"/>
              <w:right w:val="single" w:sz="4" w:space="0" w:color="auto"/>
            </w:tcBorders>
            <w:hideMark/>
          </w:tcPr>
          <w:p w14:paraId="58E34C9F" w14:textId="77777777" w:rsidR="00CA5F71" w:rsidRPr="004D5AB1" w:rsidRDefault="00CA5F71">
            <w:pPr>
              <w:autoSpaceDE w:val="0"/>
              <w:autoSpaceDN w:val="0"/>
              <w:adjustRightInd w:val="0"/>
              <w:rPr>
                <w:sz w:val="24"/>
                <w:szCs w:val="24"/>
              </w:rPr>
            </w:pPr>
            <w:r w:rsidRPr="004D5AB1">
              <w:rPr>
                <w:sz w:val="24"/>
                <w:szCs w:val="24"/>
              </w:rPr>
              <w:t>Sammenlignet med placebo</w:t>
            </w:r>
          </w:p>
        </w:tc>
      </w:tr>
      <w:tr w:rsidR="00CA5F71" w:rsidRPr="004D5AB1" w14:paraId="498D06EA"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39130F76" w14:textId="77777777" w:rsidR="00CA5F71" w:rsidRPr="004D5AB1" w:rsidRDefault="00CA5F71">
            <w:pPr>
              <w:autoSpaceDE w:val="0"/>
              <w:autoSpaceDN w:val="0"/>
              <w:adjustRightInd w:val="0"/>
              <w:rPr>
                <w:sz w:val="24"/>
                <w:szCs w:val="24"/>
              </w:rPr>
            </w:pPr>
            <w:r w:rsidRPr="004D5AB1">
              <w:rPr>
                <w:sz w:val="24"/>
                <w:szCs w:val="24"/>
              </w:rPr>
              <w:t>Odds ratio²</w:t>
            </w:r>
          </w:p>
        </w:tc>
        <w:tc>
          <w:tcPr>
            <w:tcW w:w="1252" w:type="pct"/>
            <w:tcBorders>
              <w:top w:val="single" w:sz="4" w:space="0" w:color="auto"/>
              <w:left w:val="single" w:sz="4" w:space="0" w:color="auto"/>
              <w:bottom w:val="single" w:sz="4" w:space="0" w:color="auto"/>
              <w:right w:val="single" w:sz="4" w:space="0" w:color="auto"/>
            </w:tcBorders>
          </w:tcPr>
          <w:p w14:paraId="2B44E5D4" w14:textId="77777777" w:rsidR="00CA5F71" w:rsidRPr="004D5AB1" w:rsidRDefault="00CA5F71">
            <w:pPr>
              <w:autoSpaceDE w:val="0"/>
              <w:autoSpaceDN w:val="0"/>
              <w:adjustRightInd w:val="0"/>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0D31C631" w14:textId="77777777" w:rsidR="00CA5F71" w:rsidRPr="004D5AB1" w:rsidRDefault="00CA5F71">
            <w:pPr>
              <w:autoSpaceDE w:val="0"/>
              <w:autoSpaceDN w:val="0"/>
              <w:adjustRightInd w:val="0"/>
              <w:jc w:val="center"/>
              <w:rPr>
                <w:sz w:val="24"/>
                <w:szCs w:val="24"/>
              </w:rPr>
            </w:pPr>
            <w:r w:rsidRPr="004D5AB1">
              <w:rPr>
                <w:sz w:val="24"/>
                <w:szCs w:val="24"/>
              </w:rPr>
              <w:t>1,42</w:t>
            </w:r>
          </w:p>
        </w:tc>
      </w:tr>
      <w:tr w:rsidR="00CA5F71" w:rsidRPr="004D5AB1" w14:paraId="0F707FF9"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424F12ED" w14:textId="77777777" w:rsidR="00CA5F71" w:rsidRPr="004D5AB1" w:rsidRDefault="00CA5F71">
            <w:pPr>
              <w:autoSpaceDE w:val="0"/>
              <w:autoSpaceDN w:val="0"/>
              <w:adjustRightInd w:val="0"/>
              <w:rPr>
                <w:sz w:val="24"/>
                <w:szCs w:val="24"/>
              </w:rPr>
            </w:pPr>
            <w:r w:rsidRPr="004D5AB1">
              <w:rPr>
                <w:sz w:val="24"/>
                <w:szCs w:val="24"/>
              </w:rPr>
              <w:t>95 % CI</w:t>
            </w:r>
          </w:p>
        </w:tc>
        <w:tc>
          <w:tcPr>
            <w:tcW w:w="1252" w:type="pct"/>
            <w:tcBorders>
              <w:top w:val="single" w:sz="4" w:space="0" w:color="auto"/>
              <w:left w:val="single" w:sz="4" w:space="0" w:color="auto"/>
              <w:bottom w:val="single" w:sz="4" w:space="0" w:color="auto"/>
              <w:right w:val="single" w:sz="4" w:space="0" w:color="auto"/>
            </w:tcBorders>
          </w:tcPr>
          <w:p w14:paraId="6E95F8B8" w14:textId="77777777" w:rsidR="00CA5F71" w:rsidRPr="004D5AB1" w:rsidRDefault="00CA5F71">
            <w:pPr>
              <w:autoSpaceDE w:val="0"/>
              <w:autoSpaceDN w:val="0"/>
              <w:adjustRightInd w:val="0"/>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0A7396E5" w14:textId="77777777" w:rsidR="00CA5F71" w:rsidRPr="004D5AB1" w:rsidRDefault="00CA5F71">
            <w:pPr>
              <w:autoSpaceDE w:val="0"/>
              <w:autoSpaceDN w:val="0"/>
              <w:adjustRightInd w:val="0"/>
              <w:jc w:val="center"/>
              <w:rPr>
                <w:sz w:val="24"/>
                <w:szCs w:val="24"/>
              </w:rPr>
            </w:pPr>
            <w:r w:rsidRPr="004D5AB1">
              <w:rPr>
                <w:sz w:val="24"/>
                <w:szCs w:val="24"/>
              </w:rPr>
              <w:t>(1,04; 1,94)</w:t>
            </w:r>
          </w:p>
        </w:tc>
      </w:tr>
      <w:tr w:rsidR="00CA5F71" w:rsidRPr="004D5AB1" w14:paraId="44038005" w14:textId="77777777" w:rsidTr="0015226E">
        <w:tc>
          <w:tcPr>
            <w:tcW w:w="2425" w:type="pct"/>
            <w:tcBorders>
              <w:top w:val="single" w:sz="4" w:space="0" w:color="auto"/>
              <w:left w:val="single" w:sz="4" w:space="0" w:color="auto"/>
              <w:bottom w:val="single" w:sz="4" w:space="0" w:color="auto"/>
              <w:right w:val="single" w:sz="4" w:space="0" w:color="auto"/>
            </w:tcBorders>
            <w:hideMark/>
          </w:tcPr>
          <w:p w14:paraId="69EA3072" w14:textId="77777777" w:rsidR="00CA5F71" w:rsidRPr="004D5AB1" w:rsidRDefault="00CA5F71">
            <w:pPr>
              <w:autoSpaceDE w:val="0"/>
              <w:autoSpaceDN w:val="0"/>
              <w:adjustRightInd w:val="0"/>
              <w:rPr>
                <w:sz w:val="24"/>
                <w:szCs w:val="24"/>
              </w:rPr>
            </w:pPr>
            <w:r w:rsidRPr="004D5AB1">
              <w:rPr>
                <w:sz w:val="24"/>
                <w:szCs w:val="24"/>
              </w:rPr>
              <w:t xml:space="preserve">Nominel </w:t>
            </w:r>
            <w:proofErr w:type="spellStart"/>
            <w:r w:rsidRPr="004D5AB1">
              <w:rPr>
                <w:sz w:val="24"/>
                <w:szCs w:val="24"/>
              </w:rPr>
              <w:t>p-værdi</w:t>
            </w:r>
            <w:proofErr w:type="spellEnd"/>
          </w:p>
        </w:tc>
        <w:tc>
          <w:tcPr>
            <w:tcW w:w="1252" w:type="pct"/>
            <w:tcBorders>
              <w:top w:val="single" w:sz="4" w:space="0" w:color="auto"/>
              <w:left w:val="single" w:sz="4" w:space="0" w:color="auto"/>
              <w:bottom w:val="single" w:sz="4" w:space="0" w:color="auto"/>
              <w:right w:val="single" w:sz="4" w:space="0" w:color="auto"/>
            </w:tcBorders>
          </w:tcPr>
          <w:p w14:paraId="58518012" w14:textId="77777777" w:rsidR="00CA5F71" w:rsidRPr="004D5AB1" w:rsidRDefault="00CA5F71">
            <w:pPr>
              <w:autoSpaceDE w:val="0"/>
              <w:autoSpaceDN w:val="0"/>
              <w:adjustRightInd w:val="0"/>
              <w:rPr>
                <w:sz w:val="24"/>
                <w:szCs w:val="24"/>
              </w:rPr>
            </w:pPr>
          </w:p>
        </w:tc>
        <w:tc>
          <w:tcPr>
            <w:tcW w:w="1323" w:type="pct"/>
            <w:tcBorders>
              <w:top w:val="single" w:sz="4" w:space="0" w:color="auto"/>
              <w:left w:val="single" w:sz="4" w:space="0" w:color="auto"/>
              <w:bottom w:val="single" w:sz="4" w:space="0" w:color="auto"/>
              <w:right w:val="single" w:sz="4" w:space="0" w:color="auto"/>
            </w:tcBorders>
            <w:vAlign w:val="center"/>
            <w:hideMark/>
          </w:tcPr>
          <w:p w14:paraId="49AB19A4" w14:textId="77777777" w:rsidR="00CA5F71" w:rsidRPr="004D5AB1" w:rsidRDefault="00CA5F71">
            <w:pPr>
              <w:autoSpaceDE w:val="0"/>
              <w:autoSpaceDN w:val="0"/>
              <w:adjustRightInd w:val="0"/>
              <w:jc w:val="center"/>
              <w:rPr>
                <w:sz w:val="24"/>
                <w:szCs w:val="24"/>
              </w:rPr>
            </w:pPr>
            <w:r w:rsidRPr="004D5AB1">
              <w:rPr>
                <w:sz w:val="24"/>
                <w:szCs w:val="24"/>
              </w:rPr>
              <w:t>0,0268</w:t>
            </w:r>
          </w:p>
        </w:tc>
      </w:tr>
    </w:tbl>
    <w:p w14:paraId="555318AE" w14:textId="4ECCA773" w:rsidR="00CA5F71" w:rsidRPr="0099618E" w:rsidRDefault="00CA5F71" w:rsidP="0099618E">
      <w:pPr>
        <w:suppressAutoHyphens/>
        <w:ind w:left="284" w:hanging="284"/>
        <w:rPr>
          <w:sz w:val="20"/>
        </w:rPr>
      </w:pPr>
      <w:r w:rsidRPr="0099618E">
        <w:rPr>
          <w:sz w:val="20"/>
          <w:vertAlign w:val="superscript"/>
        </w:rPr>
        <w:t xml:space="preserve">1 </w:t>
      </w:r>
      <w:r w:rsidR="0099618E" w:rsidRPr="0099618E">
        <w:rPr>
          <w:sz w:val="20"/>
          <w:vertAlign w:val="superscript"/>
        </w:rPr>
        <w:tab/>
      </w:r>
      <w:proofErr w:type="spellStart"/>
      <w:r w:rsidRPr="0099618E">
        <w:rPr>
          <w:sz w:val="20"/>
        </w:rPr>
        <w:t>Responderpatienter</w:t>
      </w:r>
      <w:proofErr w:type="spellEnd"/>
      <w:r w:rsidRPr="0099618E">
        <w:rPr>
          <w:sz w:val="20"/>
        </w:rPr>
        <w:t xml:space="preserve"> er dem, som ikke har et relativt fald over 5 % eller over 10 % i FVC % forventet, afhængig af tærsklen, og med en FVC-evaluering efter 52 uger (patienter med manglende data ved uge 52 blev ikke anset for at respondere).</w:t>
      </w:r>
    </w:p>
    <w:p w14:paraId="6FE6B562" w14:textId="1C40C497" w:rsidR="00CA5F71" w:rsidRPr="0099618E" w:rsidRDefault="00CA5F71" w:rsidP="0099618E">
      <w:pPr>
        <w:suppressAutoHyphens/>
        <w:ind w:left="284" w:hanging="284"/>
        <w:rPr>
          <w:sz w:val="20"/>
        </w:rPr>
      </w:pPr>
      <w:r w:rsidRPr="0099618E">
        <w:rPr>
          <w:sz w:val="20"/>
          <w:vertAlign w:val="superscript"/>
        </w:rPr>
        <w:t xml:space="preserve">2 </w:t>
      </w:r>
      <w:r w:rsidR="0099618E" w:rsidRPr="0099618E">
        <w:rPr>
          <w:sz w:val="20"/>
          <w:vertAlign w:val="superscript"/>
        </w:rPr>
        <w:tab/>
      </w:r>
      <w:r w:rsidRPr="0099618E">
        <w:rPr>
          <w:sz w:val="20"/>
        </w:rPr>
        <w:t xml:space="preserve">Baseret på en logistisk regressionsmodel med kontinuerlig </w:t>
      </w:r>
      <w:proofErr w:type="spellStart"/>
      <w:r w:rsidRPr="0099618E">
        <w:rPr>
          <w:sz w:val="20"/>
        </w:rPr>
        <w:t>kovarians</w:t>
      </w:r>
      <w:proofErr w:type="spellEnd"/>
      <w:r w:rsidRPr="0099618E">
        <w:rPr>
          <w:sz w:val="20"/>
        </w:rPr>
        <w:t xml:space="preserve"> baseline FVC % forventet og binært </w:t>
      </w:r>
      <w:proofErr w:type="spellStart"/>
      <w:r w:rsidRPr="0099618E">
        <w:rPr>
          <w:sz w:val="20"/>
        </w:rPr>
        <w:t>kovarians</w:t>
      </w:r>
      <w:proofErr w:type="spellEnd"/>
      <w:r w:rsidRPr="0099618E">
        <w:rPr>
          <w:sz w:val="20"/>
        </w:rPr>
        <w:t xml:space="preserve"> HRCT-mønster.</w:t>
      </w:r>
    </w:p>
    <w:p w14:paraId="00C95935" w14:textId="77777777" w:rsidR="00CA5F71" w:rsidRPr="004D5AB1" w:rsidRDefault="00CA5F71" w:rsidP="00CA5F71">
      <w:pPr>
        <w:tabs>
          <w:tab w:val="left" w:pos="1365"/>
        </w:tabs>
        <w:suppressAutoHyphens/>
        <w:rPr>
          <w:sz w:val="24"/>
          <w:szCs w:val="24"/>
        </w:rPr>
      </w:pPr>
    </w:p>
    <w:p w14:paraId="476FE93F" w14:textId="77777777" w:rsidR="00CA5F71" w:rsidRPr="004D5AB1" w:rsidRDefault="00CA5F71" w:rsidP="0015226E">
      <w:pPr>
        <w:suppressAutoHyphens/>
        <w:ind w:left="851"/>
        <w:rPr>
          <w:i/>
          <w:iCs/>
          <w:sz w:val="24"/>
          <w:szCs w:val="24"/>
          <w:u w:val="single"/>
        </w:rPr>
      </w:pPr>
      <w:r w:rsidRPr="004D5AB1">
        <w:rPr>
          <w:i/>
          <w:iCs/>
          <w:sz w:val="24"/>
          <w:szCs w:val="24"/>
          <w:u w:val="single"/>
        </w:rPr>
        <w:t>Tid til første akutte ILS-</w:t>
      </w:r>
      <w:proofErr w:type="spellStart"/>
      <w:r w:rsidRPr="004D5AB1">
        <w:rPr>
          <w:i/>
          <w:iCs/>
          <w:sz w:val="24"/>
          <w:szCs w:val="24"/>
          <w:u w:val="single"/>
        </w:rPr>
        <w:t>eksacerbation</w:t>
      </w:r>
      <w:proofErr w:type="spellEnd"/>
      <w:r w:rsidRPr="004D5AB1">
        <w:rPr>
          <w:i/>
          <w:iCs/>
          <w:sz w:val="24"/>
          <w:szCs w:val="24"/>
          <w:u w:val="single"/>
        </w:rPr>
        <w:t xml:space="preserve"> eller død</w:t>
      </w:r>
    </w:p>
    <w:p w14:paraId="2B53E90F" w14:textId="77777777" w:rsidR="00CA5F71" w:rsidRPr="004D5AB1" w:rsidRDefault="00CA5F71" w:rsidP="0015226E">
      <w:pPr>
        <w:suppressAutoHyphens/>
        <w:ind w:left="851"/>
        <w:rPr>
          <w:sz w:val="24"/>
          <w:szCs w:val="24"/>
        </w:rPr>
      </w:pPr>
      <w:r w:rsidRPr="004D5AB1">
        <w:rPr>
          <w:sz w:val="24"/>
          <w:szCs w:val="24"/>
        </w:rPr>
        <w:t>I løbet af hele studiet var andelen af patienter med mindst én hændelse af første akutte ILS-</w:t>
      </w:r>
      <w:proofErr w:type="spellStart"/>
      <w:r w:rsidRPr="004D5AB1">
        <w:rPr>
          <w:sz w:val="24"/>
          <w:szCs w:val="24"/>
        </w:rPr>
        <w:t>eksacerbation</w:t>
      </w:r>
      <w:proofErr w:type="spellEnd"/>
      <w:r w:rsidRPr="004D5AB1">
        <w:rPr>
          <w:sz w:val="24"/>
          <w:szCs w:val="24"/>
        </w:rPr>
        <w:t xml:space="preserve"> eller død 13,9 % i </w:t>
      </w:r>
      <w:proofErr w:type="spellStart"/>
      <w:r w:rsidRPr="004D5AB1">
        <w:rPr>
          <w:sz w:val="24"/>
          <w:szCs w:val="24"/>
        </w:rPr>
        <w:t>nintedanib</w:t>
      </w:r>
      <w:proofErr w:type="spellEnd"/>
      <w:r w:rsidRPr="004D5AB1">
        <w:rPr>
          <w:sz w:val="24"/>
          <w:szCs w:val="24"/>
        </w:rPr>
        <w:t>-gruppen, og 19,6 % i placebogruppen. HR var 0,67 (95 % CI: 0,46; 0,98, nominel p=0,0387), hvilket indikerede en 33 % reduktion i risikoen for første akutte ILS-</w:t>
      </w:r>
      <w:proofErr w:type="spellStart"/>
      <w:r w:rsidRPr="004D5AB1">
        <w:rPr>
          <w:sz w:val="24"/>
          <w:szCs w:val="24"/>
        </w:rPr>
        <w:t>eksacerbation</w:t>
      </w:r>
      <w:proofErr w:type="spellEnd"/>
      <w:r w:rsidRPr="004D5AB1">
        <w:rPr>
          <w:sz w:val="24"/>
          <w:szCs w:val="24"/>
        </w:rPr>
        <w:t xml:space="preserve"> eller død hos patienter, der fik </w:t>
      </w:r>
      <w:proofErr w:type="spellStart"/>
      <w:r w:rsidRPr="004D5AB1">
        <w:rPr>
          <w:sz w:val="24"/>
          <w:szCs w:val="24"/>
        </w:rPr>
        <w:t>nintedanib</w:t>
      </w:r>
      <w:proofErr w:type="spellEnd"/>
      <w:r w:rsidRPr="004D5AB1">
        <w:rPr>
          <w:sz w:val="24"/>
          <w:szCs w:val="24"/>
        </w:rPr>
        <w:t>, sammenlignet med placebo (figur 4).</w:t>
      </w:r>
    </w:p>
    <w:p w14:paraId="4D20BB37" w14:textId="77777777" w:rsidR="00CA5F71" w:rsidRPr="004D5AB1" w:rsidRDefault="00CA5F71" w:rsidP="0015226E">
      <w:pPr>
        <w:suppressAutoHyphens/>
        <w:ind w:left="851"/>
        <w:rPr>
          <w:sz w:val="24"/>
          <w:szCs w:val="24"/>
        </w:rPr>
      </w:pPr>
    </w:p>
    <w:p w14:paraId="7BBB13DB" w14:textId="77777777" w:rsidR="00CA5F71" w:rsidRPr="004D5AB1" w:rsidRDefault="00CA5F71" w:rsidP="00CA5F71">
      <w:pPr>
        <w:tabs>
          <w:tab w:val="left" w:pos="1365"/>
        </w:tabs>
        <w:suppressAutoHyphens/>
        <w:rPr>
          <w:sz w:val="24"/>
          <w:szCs w:val="24"/>
        </w:rPr>
      </w:pPr>
      <w:r w:rsidRPr="004D5AB1">
        <w:rPr>
          <w:b/>
          <w:bCs/>
          <w:sz w:val="24"/>
          <w:szCs w:val="24"/>
        </w:rPr>
        <w:t xml:space="preserve">Figur 4: </w:t>
      </w:r>
      <w:r w:rsidRPr="004D5AB1">
        <w:rPr>
          <w:b/>
          <w:bCs/>
          <w:sz w:val="24"/>
          <w:szCs w:val="24"/>
        </w:rPr>
        <w:tab/>
        <w:t>Kaplan–Meier-graf for tid til første akutte ILS-</w:t>
      </w:r>
      <w:proofErr w:type="spellStart"/>
      <w:r w:rsidRPr="004D5AB1">
        <w:rPr>
          <w:b/>
          <w:bCs/>
          <w:sz w:val="24"/>
          <w:szCs w:val="24"/>
        </w:rPr>
        <w:t>eksacerbation</w:t>
      </w:r>
      <w:proofErr w:type="spellEnd"/>
      <w:r w:rsidRPr="004D5AB1">
        <w:rPr>
          <w:b/>
          <w:bCs/>
          <w:sz w:val="24"/>
          <w:szCs w:val="24"/>
        </w:rPr>
        <w:t xml:space="preserve"> eller dødsfald i </w:t>
      </w:r>
      <w:r w:rsidRPr="004D5AB1">
        <w:rPr>
          <w:b/>
          <w:bCs/>
          <w:sz w:val="24"/>
          <w:szCs w:val="24"/>
        </w:rPr>
        <w:tab/>
        <w:t>løbet af hele studiet</w:t>
      </w:r>
    </w:p>
    <w:p w14:paraId="52F5A175" w14:textId="472282D3" w:rsidR="00CA5F71" w:rsidRPr="004D5AB1" w:rsidRDefault="00CA5F71" w:rsidP="00CA5F71">
      <w:pPr>
        <w:keepNext/>
        <w:autoSpaceDE w:val="0"/>
        <w:autoSpaceDN w:val="0"/>
        <w:adjustRightInd w:val="0"/>
        <w:rPr>
          <w:sz w:val="24"/>
          <w:szCs w:val="24"/>
        </w:rPr>
      </w:pPr>
      <w:r w:rsidRPr="004D5AB1">
        <w:rPr>
          <w:noProof/>
          <w:sz w:val="24"/>
          <w:szCs w:val="24"/>
        </w:rPr>
        <w:drawing>
          <wp:inline distT="0" distB="0" distL="0" distR="0" wp14:anchorId="6630911D" wp14:editId="2865094C">
            <wp:extent cx="5753100" cy="4320540"/>
            <wp:effectExtent l="0" t="0" r="0" b="3810"/>
            <wp:docPr id="3" name="Billede 3"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a number of patie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20540"/>
                    </a:xfrm>
                    <a:prstGeom prst="rect">
                      <a:avLst/>
                    </a:prstGeom>
                    <a:noFill/>
                    <a:ln>
                      <a:noFill/>
                    </a:ln>
                  </pic:spPr>
                </pic:pic>
              </a:graphicData>
            </a:graphic>
          </wp:inline>
        </w:drawing>
      </w:r>
    </w:p>
    <w:p w14:paraId="343FEABC" w14:textId="77777777" w:rsidR="00CA5F71" w:rsidRPr="0099618E" w:rsidRDefault="00CA5F71" w:rsidP="00CA5F71">
      <w:pPr>
        <w:autoSpaceDE w:val="0"/>
        <w:autoSpaceDN w:val="0"/>
        <w:adjustRightInd w:val="0"/>
        <w:rPr>
          <w:sz w:val="20"/>
        </w:rPr>
      </w:pPr>
      <w:r w:rsidRPr="0099618E">
        <w:rPr>
          <w:sz w:val="20"/>
        </w:rPr>
        <w:t>bid = to gange dagligt</w:t>
      </w:r>
    </w:p>
    <w:p w14:paraId="131CF0FC" w14:textId="3288A73A" w:rsidR="00676A6A" w:rsidRDefault="00676A6A">
      <w:pPr>
        <w:rPr>
          <w:bCs/>
          <w:noProof/>
          <w:sz w:val="24"/>
          <w:szCs w:val="24"/>
        </w:rPr>
      </w:pPr>
      <w:r>
        <w:rPr>
          <w:bCs/>
          <w:noProof/>
          <w:sz w:val="24"/>
          <w:szCs w:val="24"/>
        </w:rPr>
        <w:br w:type="page"/>
      </w:r>
    </w:p>
    <w:p w14:paraId="3F84268D" w14:textId="77777777" w:rsidR="00CA5F71" w:rsidRPr="004D5AB1" w:rsidRDefault="00CA5F71" w:rsidP="00CA5F71">
      <w:pPr>
        <w:tabs>
          <w:tab w:val="left" w:pos="1365"/>
        </w:tabs>
        <w:suppressAutoHyphens/>
        <w:rPr>
          <w:bCs/>
          <w:noProof/>
          <w:sz w:val="24"/>
          <w:szCs w:val="24"/>
        </w:rPr>
      </w:pPr>
    </w:p>
    <w:p w14:paraId="5855C059"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Overlevelsesanalyse</w:t>
      </w:r>
    </w:p>
    <w:p w14:paraId="6CC0F723" w14:textId="77777777" w:rsidR="00CA5F71" w:rsidRPr="004D5AB1" w:rsidRDefault="00CA5F71" w:rsidP="0015226E">
      <w:pPr>
        <w:suppressAutoHyphens/>
        <w:ind w:left="851"/>
        <w:rPr>
          <w:bCs/>
          <w:i/>
          <w:iCs/>
          <w:noProof/>
          <w:sz w:val="24"/>
          <w:szCs w:val="24"/>
        </w:rPr>
      </w:pPr>
      <w:r w:rsidRPr="004D5AB1">
        <w:rPr>
          <w:bCs/>
          <w:noProof/>
          <w:sz w:val="24"/>
          <w:szCs w:val="24"/>
        </w:rPr>
        <w:t>Risikoen for død var lavere i nintedanib-gruppen, sammenlignet med placebogruppen. HR var 0,78 (95 % CI:</w:t>
      </w:r>
      <w:r w:rsidRPr="004D5AB1">
        <w:rPr>
          <w:bCs/>
          <w:i/>
          <w:iCs/>
          <w:noProof/>
          <w:sz w:val="24"/>
          <w:szCs w:val="24"/>
        </w:rPr>
        <w:t xml:space="preserve"> </w:t>
      </w:r>
      <w:r w:rsidRPr="004D5AB1">
        <w:rPr>
          <w:bCs/>
          <w:noProof/>
          <w:sz w:val="24"/>
          <w:szCs w:val="24"/>
        </w:rPr>
        <w:t>0,50; 1,21, nominel p=0,2594), hvilket indikerede en 22 % reduktion i risikoen for død hos patienter, der</w:t>
      </w:r>
      <w:r w:rsidRPr="004D5AB1">
        <w:rPr>
          <w:bCs/>
          <w:i/>
          <w:iCs/>
          <w:noProof/>
          <w:sz w:val="24"/>
          <w:szCs w:val="24"/>
        </w:rPr>
        <w:t xml:space="preserve"> </w:t>
      </w:r>
      <w:r w:rsidRPr="004D5AB1">
        <w:rPr>
          <w:bCs/>
          <w:noProof/>
          <w:sz w:val="24"/>
          <w:szCs w:val="24"/>
        </w:rPr>
        <w:t>fik nintedanib, sammenlignet med placebo.</w:t>
      </w:r>
    </w:p>
    <w:p w14:paraId="41D5EDA1" w14:textId="77777777" w:rsidR="00CA5F71" w:rsidRPr="004D5AB1" w:rsidRDefault="00CA5F71" w:rsidP="0015226E">
      <w:pPr>
        <w:suppressAutoHyphens/>
        <w:ind w:left="851"/>
        <w:rPr>
          <w:bCs/>
          <w:i/>
          <w:iCs/>
          <w:noProof/>
          <w:sz w:val="24"/>
          <w:szCs w:val="24"/>
        </w:rPr>
      </w:pPr>
    </w:p>
    <w:p w14:paraId="470A1354"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Tid til progression (≥ 10 % absolut fald i FVC % forventet) eller død</w:t>
      </w:r>
    </w:p>
    <w:p w14:paraId="68944F2F" w14:textId="4936D1D4" w:rsidR="00CA5F71" w:rsidRPr="004D5AB1" w:rsidRDefault="00CA5F71" w:rsidP="0015226E">
      <w:pPr>
        <w:suppressAutoHyphens/>
        <w:ind w:left="851"/>
        <w:rPr>
          <w:bCs/>
          <w:noProof/>
          <w:sz w:val="24"/>
          <w:szCs w:val="24"/>
        </w:rPr>
      </w:pPr>
      <w:r w:rsidRPr="004D5AB1">
        <w:rPr>
          <w:bCs/>
          <w:noProof/>
          <w:sz w:val="24"/>
          <w:szCs w:val="24"/>
        </w:rPr>
        <w:t>I INBUILD-studiet var risikoen for progression (≥10 % absolut fald i FVC % forventet) eller død reduceret for patienter behandlet med nintedanib. Andelen af patienter med en hændelse var 40,4 % i nintedanib-gruppen, og 54,7 % i placebogruppen. HR var 0,66 (95</w:t>
      </w:r>
      <w:r w:rsidR="005F0117">
        <w:rPr>
          <w:bCs/>
          <w:noProof/>
          <w:sz w:val="24"/>
          <w:szCs w:val="24"/>
        </w:rPr>
        <w:t> </w:t>
      </w:r>
      <w:r w:rsidRPr="004D5AB1">
        <w:rPr>
          <w:bCs/>
          <w:noProof/>
          <w:sz w:val="24"/>
          <w:szCs w:val="24"/>
        </w:rPr>
        <w:t>% CI: 0,53; 0,83, p=0,0003), hvilket indikerede en 34 % reduktion i risikoen for progression (≥10 % absolut fald i FVC % forventet) eller død hos patienter, der fik nintedanib, sammenlignet med placebo.</w:t>
      </w:r>
    </w:p>
    <w:p w14:paraId="1CAEBDD4" w14:textId="77777777" w:rsidR="00CA5F71" w:rsidRPr="004D5AB1" w:rsidRDefault="00CA5F71" w:rsidP="0015226E">
      <w:pPr>
        <w:suppressAutoHyphens/>
        <w:ind w:left="851"/>
        <w:rPr>
          <w:bCs/>
          <w:i/>
          <w:iCs/>
          <w:noProof/>
          <w:sz w:val="24"/>
          <w:szCs w:val="24"/>
        </w:rPr>
      </w:pPr>
    </w:p>
    <w:p w14:paraId="76B53C3D"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Livskvalitet</w:t>
      </w:r>
    </w:p>
    <w:p w14:paraId="21D4E247" w14:textId="77777777" w:rsidR="00CA5F71" w:rsidRPr="004D5AB1" w:rsidRDefault="00CA5F71" w:rsidP="0015226E">
      <w:pPr>
        <w:suppressAutoHyphens/>
        <w:ind w:left="851"/>
        <w:rPr>
          <w:bCs/>
          <w:noProof/>
          <w:sz w:val="24"/>
          <w:szCs w:val="24"/>
        </w:rPr>
      </w:pPr>
      <w:r w:rsidRPr="004D5AB1">
        <w:rPr>
          <w:bCs/>
          <w:noProof/>
          <w:sz w:val="24"/>
          <w:szCs w:val="24"/>
        </w:rPr>
        <w:t xml:space="preserve">Den justerede gennemsnitlige ændring fra </w:t>
      </w:r>
      <w:r w:rsidRPr="004D5AB1">
        <w:rPr>
          <w:bCs/>
          <w:i/>
          <w:iCs/>
          <w:noProof/>
          <w:sz w:val="24"/>
          <w:szCs w:val="24"/>
        </w:rPr>
        <w:t xml:space="preserve">baseline </w:t>
      </w:r>
      <w:r w:rsidRPr="004D5AB1">
        <w:rPr>
          <w:bCs/>
          <w:noProof/>
          <w:sz w:val="24"/>
          <w:szCs w:val="24"/>
        </w:rPr>
        <w:t>i K-BILD total score ved uge 52 var -0,79 enheder i placebogruppen, og 0,55 i nintedanib-gruppen. Forskellen mellem behandlingsgrupperne var 1,34 (95 % CI: -0,31; -2,98, nominel p=0,1115).</w:t>
      </w:r>
    </w:p>
    <w:p w14:paraId="7EF989D7" w14:textId="77777777" w:rsidR="00CA5F71" w:rsidRPr="004D5AB1" w:rsidRDefault="00CA5F71" w:rsidP="0015226E">
      <w:pPr>
        <w:suppressAutoHyphens/>
        <w:ind w:left="851"/>
        <w:rPr>
          <w:bCs/>
          <w:noProof/>
          <w:sz w:val="24"/>
          <w:szCs w:val="24"/>
        </w:rPr>
      </w:pPr>
    </w:p>
    <w:p w14:paraId="462A0B52" w14:textId="47E41A3B" w:rsidR="00CA5F71" w:rsidRPr="004D5AB1" w:rsidRDefault="00CA5F71" w:rsidP="0015226E">
      <w:pPr>
        <w:suppressAutoHyphens/>
        <w:ind w:left="851"/>
        <w:rPr>
          <w:bCs/>
          <w:noProof/>
          <w:sz w:val="24"/>
          <w:szCs w:val="24"/>
        </w:rPr>
      </w:pPr>
      <w:r w:rsidRPr="004D5AB1">
        <w:rPr>
          <w:bCs/>
          <w:noProof/>
          <w:sz w:val="24"/>
          <w:szCs w:val="24"/>
        </w:rPr>
        <w:t xml:space="preserve">Den justerede gennemsnitlige absolutte ændring fra </w:t>
      </w:r>
      <w:r w:rsidRPr="004D5AB1">
        <w:rPr>
          <w:bCs/>
          <w:i/>
          <w:iCs/>
          <w:noProof/>
          <w:sz w:val="24"/>
          <w:szCs w:val="24"/>
        </w:rPr>
        <w:t xml:space="preserve">baseline </w:t>
      </w:r>
      <w:r w:rsidRPr="004D5AB1">
        <w:rPr>
          <w:bCs/>
          <w:noProof/>
          <w:sz w:val="24"/>
          <w:szCs w:val="24"/>
        </w:rPr>
        <w:t>i L-PF-symptomerne (lever med lungefibrose (</w:t>
      </w:r>
      <w:r w:rsidRPr="004D5AB1">
        <w:rPr>
          <w:bCs/>
          <w:i/>
          <w:iCs/>
          <w:noProof/>
          <w:sz w:val="24"/>
          <w:szCs w:val="24"/>
        </w:rPr>
        <w:t>living with pulmonary fibrosis</w:t>
      </w:r>
      <w:r w:rsidRPr="004D5AB1">
        <w:rPr>
          <w:bCs/>
          <w:noProof/>
          <w:sz w:val="24"/>
          <w:szCs w:val="24"/>
        </w:rPr>
        <w:t>, L-PF)) for dyspnø-domænescoren ved uge 52 var 4,28 i nintedanib-gruppen, sammenlignet med 7,81 i placebogruppen. Den justerede gennemsnitlige forskel mellem grupperne til fordel for nintedanib var -3,53 (95</w:t>
      </w:r>
      <w:r w:rsidR="00676A6A">
        <w:rPr>
          <w:bCs/>
          <w:noProof/>
          <w:sz w:val="24"/>
          <w:szCs w:val="24"/>
        </w:rPr>
        <w:t> </w:t>
      </w:r>
      <w:r w:rsidRPr="004D5AB1">
        <w:rPr>
          <w:bCs/>
          <w:noProof/>
          <w:sz w:val="24"/>
          <w:szCs w:val="24"/>
        </w:rPr>
        <w:t xml:space="preserve">% CI: -6,14; -0,92, nominel p=0,0081). Den justerede gennemsnitlige absolutte ændring fra </w:t>
      </w:r>
      <w:r w:rsidRPr="004D5AB1">
        <w:rPr>
          <w:bCs/>
          <w:i/>
          <w:iCs/>
          <w:noProof/>
          <w:sz w:val="24"/>
          <w:szCs w:val="24"/>
        </w:rPr>
        <w:t xml:space="preserve">baseline </w:t>
      </w:r>
      <w:r w:rsidRPr="004D5AB1">
        <w:rPr>
          <w:bCs/>
          <w:noProof/>
          <w:sz w:val="24"/>
          <w:szCs w:val="24"/>
        </w:rPr>
        <w:t>i L-PF-symptomerne for hoste-domænescoren ved uge 52 var -1,84 i nintedanib-gruppen, sammenlignet med 4,25 i placebogruppen. Den justerede gennemsnitlige forskel mellem grupperne til fordel for nintedanib var -6,09 (95 % CI: -9,65-; -2,53), nominel p=0,0008).</w:t>
      </w:r>
    </w:p>
    <w:p w14:paraId="56011956" w14:textId="77777777" w:rsidR="00CA5F71" w:rsidRPr="004D5AB1" w:rsidRDefault="00CA5F71" w:rsidP="0015226E">
      <w:pPr>
        <w:suppressAutoHyphens/>
        <w:ind w:left="851"/>
        <w:rPr>
          <w:bCs/>
          <w:i/>
          <w:iCs/>
          <w:noProof/>
          <w:sz w:val="24"/>
          <w:szCs w:val="24"/>
        </w:rPr>
      </w:pPr>
    </w:p>
    <w:p w14:paraId="0335DC33" w14:textId="77777777" w:rsidR="00CA5F71" w:rsidRPr="004D5AB1" w:rsidRDefault="00CA5F71" w:rsidP="0015226E">
      <w:pPr>
        <w:suppressAutoHyphens/>
        <w:ind w:left="851"/>
        <w:rPr>
          <w:bCs/>
          <w:i/>
          <w:iCs/>
          <w:noProof/>
          <w:sz w:val="24"/>
          <w:szCs w:val="24"/>
        </w:rPr>
      </w:pPr>
      <w:r w:rsidRPr="004D5AB1">
        <w:rPr>
          <w:bCs/>
          <w:i/>
          <w:iCs/>
          <w:noProof/>
          <w:sz w:val="24"/>
          <w:szCs w:val="24"/>
        </w:rPr>
        <w:t>Systemisk sklerodermi-associeret interstitiel lungesygdom (SSc-ILS)</w:t>
      </w:r>
    </w:p>
    <w:p w14:paraId="444D4FD8" w14:textId="7AF7DBB4" w:rsidR="00CA5F71" w:rsidRPr="004D5AB1" w:rsidRDefault="00CA5F71" w:rsidP="0015226E">
      <w:pPr>
        <w:suppressAutoHyphens/>
        <w:ind w:left="851"/>
        <w:rPr>
          <w:bCs/>
          <w:noProof/>
          <w:sz w:val="24"/>
          <w:szCs w:val="24"/>
        </w:rPr>
      </w:pPr>
      <w:r w:rsidRPr="004D5AB1">
        <w:rPr>
          <w:bCs/>
          <w:noProof/>
          <w:sz w:val="24"/>
          <w:szCs w:val="24"/>
        </w:rPr>
        <w:t xml:space="preserve">Nintedanibs kliniske virkning er blevet undersøgt hos patienter med SSc-ILS i et dobbeltblindet, randomiseret, placebokontrolleret fase III-studie (SENSCIS). Patienterne blev diagnosticeret med SSc-ILS baseret på </w:t>
      </w:r>
      <w:r w:rsidRPr="004D5AB1">
        <w:rPr>
          <w:bCs/>
          <w:i/>
          <w:iCs/>
          <w:noProof/>
          <w:sz w:val="24"/>
          <w:szCs w:val="24"/>
        </w:rPr>
        <w:t>2013 American College of Rheumatology/European League Against Rheumatism</w:t>
      </w:r>
      <w:r w:rsidRPr="004D5AB1">
        <w:rPr>
          <w:bCs/>
          <w:noProof/>
          <w:sz w:val="24"/>
          <w:szCs w:val="24"/>
        </w:rPr>
        <w:t xml:space="preserve"> klassifikationskriterier for SSc og en højopløsnings computertomografi (HRCT)-scanning udført inden for de seneste 12 måneder. I alt 580 patienter blev randomiseret i forholdet 1:1 til at få enten nintedanib 150</w:t>
      </w:r>
      <w:r w:rsidR="005F0117">
        <w:rPr>
          <w:bCs/>
          <w:noProof/>
          <w:sz w:val="24"/>
          <w:szCs w:val="24"/>
        </w:rPr>
        <w:t> </w:t>
      </w:r>
      <w:r w:rsidRPr="004D5AB1">
        <w:rPr>
          <w:bCs/>
          <w:noProof/>
          <w:sz w:val="24"/>
          <w:szCs w:val="24"/>
        </w:rPr>
        <w:t>mg to gange dagligt eller matchende placebo i mindst 52 uger, hvoraf 576 patienter blev behandlet. Randomiseringen blev stratificeret ved antitopoisomerase-antistofstatus (ATA). Enkelte patienter forblev i den blindede studiebehandling i op til 100 uger (median nintedanib-eksponering 15,4 måneder, gennemsnitlig nintedanib-eksponering 14,5 måneder).</w:t>
      </w:r>
    </w:p>
    <w:p w14:paraId="64FCD79A" w14:textId="77777777" w:rsidR="00CA5F71" w:rsidRPr="004D5AB1" w:rsidRDefault="00CA5F71" w:rsidP="0015226E">
      <w:pPr>
        <w:suppressAutoHyphens/>
        <w:ind w:left="851"/>
        <w:rPr>
          <w:bCs/>
          <w:noProof/>
          <w:sz w:val="24"/>
          <w:szCs w:val="24"/>
        </w:rPr>
      </w:pPr>
    </w:p>
    <w:p w14:paraId="52E82063" w14:textId="77777777" w:rsidR="00CA5F71" w:rsidRPr="004D5AB1" w:rsidRDefault="00CA5F71" w:rsidP="0015226E">
      <w:pPr>
        <w:suppressAutoHyphens/>
        <w:ind w:left="851"/>
        <w:rPr>
          <w:bCs/>
          <w:noProof/>
          <w:sz w:val="24"/>
          <w:szCs w:val="24"/>
        </w:rPr>
      </w:pPr>
      <w:r w:rsidRPr="004D5AB1">
        <w:rPr>
          <w:bCs/>
          <w:noProof/>
          <w:sz w:val="24"/>
          <w:szCs w:val="24"/>
        </w:rPr>
        <w:t xml:space="preserve">Det primære endepunkt var det årlige fald i FVC over 52 uger. De væsentligste sekundære endepunkter var den absolutte ændring fra </w:t>
      </w:r>
      <w:r w:rsidRPr="004D5AB1">
        <w:rPr>
          <w:bCs/>
          <w:i/>
          <w:iCs/>
          <w:noProof/>
          <w:sz w:val="24"/>
          <w:szCs w:val="24"/>
        </w:rPr>
        <w:t xml:space="preserve">baseline </w:t>
      </w:r>
      <w:r w:rsidRPr="004D5AB1">
        <w:rPr>
          <w:bCs/>
          <w:noProof/>
          <w:sz w:val="24"/>
          <w:szCs w:val="24"/>
        </w:rPr>
        <w:t>i den modificerede Rodnan hudscore (</w:t>
      </w:r>
      <w:r w:rsidRPr="004D5AB1">
        <w:rPr>
          <w:bCs/>
          <w:i/>
          <w:iCs/>
          <w:noProof/>
          <w:sz w:val="24"/>
          <w:szCs w:val="24"/>
        </w:rPr>
        <w:t>modified Rodnan Skin</w:t>
      </w:r>
      <w:r w:rsidRPr="004D5AB1">
        <w:rPr>
          <w:bCs/>
          <w:noProof/>
          <w:sz w:val="24"/>
          <w:szCs w:val="24"/>
        </w:rPr>
        <w:t xml:space="preserve"> </w:t>
      </w:r>
      <w:r w:rsidRPr="004D5AB1">
        <w:rPr>
          <w:bCs/>
          <w:i/>
          <w:iCs/>
          <w:noProof/>
          <w:sz w:val="24"/>
          <w:szCs w:val="24"/>
        </w:rPr>
        <w:t xml:space="preserve">Score, </w:t>
      </w:r>
      <w:r w:rsidRPr="004D5AB1">
        <w:rPr>
          <w:bCs/>
          <w:noProof/>
          <w:sz w:val="24"/>
          <w:szCs w:val="24"/>
        </w:rPr>
        <w:t xml:space="preserve">mRSS) ved uge 52 uge og den absolutte ændring fra </w:t>
      </w:r>
      <w:r w:rsidRPr="004D5AB1">
        <w:rPr>
          <w:bCs/>
          <w:i/>
          <w:iCs/>
          <w:noProof/>
          <w:sz w:val="24"/>
          <w:szCs w:val="24"/>
        </w:rPr>
        <w:t xml:space="preserve">baseline </w:t>
      </w:r>
      <w:r w:rsidRPr="004D5AB1">
        <w:rPr>
          <w:bCs/>
          <w:noProof/>
          <w:sz w:val="24"/>
          <w:szCs w:val="24"/>
        </w:rPr>
        <w:t>i den samlede score i Saint Georges spørgeskema (</w:t>
      </w:r>
      <w:r w:rsidRPr="004D5AB1">
        <w:rPr>
          <w:bCs/>
          <w:i/>
          <w:iCs/>
          <w:noProof/>
          <w:sz w:val="24"/>
          <w:szCs w:val="24"/>
        </w:rPr>
        <w:t>Saint George’s Respiratory Questionnaire</w:t>
      </w:r>
      <w:r w:rsidRPr="004D5AB1">
        <w:rPr>
          <w:bCs/>
          <w:noProof/>
          <w:sz w:val="24"/>
          <w:szCs w:val="24"/>
        </w:rPr>
        <w:t>, SGRQ) ved uge 52.</w:t>
      </w:r>
    </w:p>
    <w:p w14:paraId="2E2F4FF5" w14:textId="77777777" w:rsidR="00CA5F71" w:rsidRPr="004D5AB1" w:rsidRDefault="00CA5F71" w:rsidP="0015226E">
      <w:pPr>
        <w:suppressAutoHyphens/>
        <w:ind w:left="851"/>
        <w:rPr>
          <w:bCs/>
          <w:noProof/>
          <w:sz w:val="24"/>
          <w:szCs w:val="24"/>
        </w:rPr>
      </w:pPr>
    </w:p>
    <w:p w14:paraId="681B233F" w14:textId="77777777" w:rsidR="00CA5F71" w:rsidRPr="004D5AB1" w:rsidRDefault="00CA5F71" w:rsidP="0015226E">
      <w:pPr>
        <w:suppressAutoHyphens/>
        <w:ind w:left="851"/>
        <w:rPr>
          <w:bCs/>
          <w:noProof/>
          <w:sz w:val="24"/>
          <w:szCs w:val="24"/>
        </w:rPr>
      </w:pPr>
      <w:r w:rsidRPr="004D5AB1">
        <w:rPr>
          <w:bCs/>
          <w:noProof/>
          <w:sz w:val="24"/>
          <w:szCs w:val="24"/>
        </w:rPr>
        <w:t xml:space="preserve">I den samlede population var 75,2 % af patienterne kvinder. Gennemsnitsalder (standardafvigelse [SD, min.-maks.]) var 54,0 (12,2; 20-79) år. Samlet havde 51,9 % af patienterne diffus kutan systemisk sklerodermi (SSc) og 48,1 % havde limiteret kutan SSc. </w:t>
      </w:r>
      <w:r w:rsidRPr="004D5AB1">
        <w:rPr>
          <w:bCs/>
          <w:noProof/>
          <w:sz w:val="24"/>
          <w:szCs w:val="24"/>
        </w:rPr>
        <w:lastRenderedPageBreak/>
        <w:t xml:space="preserve">Gennemsnitstiden (SD) fra første konstateringaf et ikke-Raynauds-symptom var 3,49 (1,7) år. 49,0 % af patienterne var i stabil behandling med mycophenolat ved </w:t>
      </w:r>
      <w:r w:rsidRPr="004D5AB1">
        <w:rPr>
          <w:bCs/>
          <w:i/>
          <w:iCs/>
          <w:noProof/>
          <w:sz w:val="24"/>
          <w:szCs w:val="24"/>
        </w:rPr>
        <w:t xml:space="preserve">baseline </w:t>
      </w:r>
      <w:r w:rsidRPr="004D5AB1">
        <w:rPr>
          <w:bCs/>
          <w:noProof/>
          <w:sz w:val="24"/>
          <w:szCs w:val="24"/>
        </w:rPr>
        <w:t xml:space="preserve">(46,5 % mycophenolatmofetil, 1,9 % mycophenolat-natrium, 0,5 % mycophenolsyre). Sikkerhedsprofilen hos patienter med eller uden mycophenolat ved </w:t>
      </w:r>
      <w:r w:rsidRPr="004D5AB1">
        <w:rPr>
          <w:bCs/>
          <w:i/>
          <w:iCs/>
          <w:noProof/>
          <w:sz w:val="24"/>
          <w:szCs w:val="24"/>
        </w:rPr>
        <w:t xml:space="preserve">baseline </w:t>
      </w:r>
      <w:r w:rsidRPr="004D5AB1">
        <w:rPr>
          <w:bCs/>
          <w:noProof/>
          <w:sz w:val="24"/>
          <w:szCs w:val="24"/>
        </w:rPr>
        <w:t>var sammenlignelig.</w:t>
      </w:r>
    </w:p>
    <w:p w14:paraId="74241F65" w14:textId="77777777" w:rsidR="00CA5F71" w:rsidRPr="004D5AB1" w:rsidRDefault="00CA5F71" w:rsidP="0015226E">
      <w:pPr>
        <w:suppressAutoHyphens/>
        <w:ind w:left="851"/>
        <w:rPr>
          <w:bCs/>
          <w:i/>
          <w:iCs/>
          <w:noProof/>
          <w:sz w:val="24"/>
          <w:szCs w:val="24"/>
        </w:rPr>
      </w:pPr>
    </w:p>
    <w:p w14:paraId="28D55B08" w14:textId="77777777" w:rsidR="00CA5F71" w:rsidRPr="004D5AB1" w:rsidRDefault="00CA5F71" w:rsidP="0015226E">
      <w:pPr>
        <w:suppressAutoHyphens/>
        <w:ind w:left="851"/>
        <w:rPr>
          <w:bCs/>
          <w:i/>
          <w:iCs/>
          <w:noProof/>
          <w:sz w:val="24"/>
          <w:szCs w:val="24"/>
          <w:u w:val="single"/>
        </w:rPr>
      </w:pPr>
      <w:r w:rsidRPr="004D5AB1">
        <w:rPr>
          <w:bCs/>
          <w:i/>
          <w:iCs/>
          <w:noProof/>
          <w:sz w:val="24"/>
          <w:szCs w:val="24"/>
          <w:u w:val="single"/>
        </w:rPr>
        <w:t>Årligt fald i FVC</w:t>
      </w:r>
    </w:p>
    <w:p w14:paraId="1C1206C5" w14:textId="77777777" w:rsidR="00CA5F71" w:rsidRPr="004D5AB1" w:rsidRDefault="00CA5F71" w:rsidP="0015226E">
      <w:pPr>
        <w:suppressAutoHyphens/>
        <w:ind w:left="851"/>
        <w:rPr>
          <w:bCs/>
          <w:noProof/>
          <w:sz w:val="24"/>
          <w:szCs w:val="24"/>
        </w:rPr>
      </w:pPr>
      <w:r w:rsidRPr="004D5AB1">
        <w:rPr>
          <w:bCs/>
          <w:noProof/>
          <w:sz w:val="24"/>
          <w:szCs w:val="24"/>
        </w:rPr>
        <w:t>Det årlige fald i FVC (i ml) over 52 uger var signifikant reduceret med 41,0 ml hos patienter, der fik nintedanib, sammenlignet med patienter, der fik placebo (tabel 10), hvilket svarer til en relativ behandlingsvirkning på 43,8 %.</w:t>
      </w:r>
    </w:p>
    <w:p w14:paraId="7A9A6444" w14:textId="77777777" w:rsidR="00CA5F71" w:rsidRPr="004D5AB1" w:rsidRDefault="00CA5F71" w:rsidP="00CA5F71">
      <w:pPr>
        <w:tabs>
          <w:tab w:val="left" w:pos="1365"/>
        </w:tabs>
        <w:suppressAutoHyphens/>
        <w:rPr>
          <w:bCs/>
          <w:noProof/>
          <w:sz w:val="24"/>
          <w:szCs w:val="24"/>
        </w:rPr>
      </w:pPr>
    </w:p>
    <w:p w14:paraId="10058775" w14:textId="77777777" w:rsidR="00CA5F71" w:rsidRPr="004D5AB1" w:rsidRDefault="00CA5F71" w:rsidP="00CA5F71">
      <w:pPr>
        <w:tabs>
          <w:tab w:val="left" w:pos="1365"/>
        </w:tabs>
        <w:suppressAutoHyphens/>
        <w:rPr>
          <w:bCs/>
          <w:noProof/>
          <w:sz w:val="24"/>
          <w:szCs w:val="24"/>
        </w:rPr>
      </w:pPr>
      <w:r w:rsidRPr="004D5AB1">
        <w:rPr>
          <w:b/>
          <w:bCs/>
          <w:noProof/>
          <w:sz w:val="24"/>
          <w:szCs w:val="24"/>
        </w:rPr>
        <w:t xml:space="preserve">Tabel 10: </w:t>
      </w:r>
      <w:r w:rsidRPr="004D5AB1">
        <w:rPr>
          <w:b/>
          <w:bCs/>
          <w:noProof/>
          <w:sz w:val="24"/>
          <w:szCs w:val="24"/>
        </w:rPr>
        <w:tab/>
        <w:t>Årligt fald i FVC (ml) over 52 uger</w:t>
      </w:r>
    </w:p>
    <w:tbl>
      <w:tblPr>
        <w:tblStyle w:val="Tabel-Gitter"/>
        <w:tblW w:w="5000" w:type="pct"/>
        <w:tblInd w:w="0" w:type="dxa"/>
        <w:tblLook w:val="04A0" w:firstRow="1" w:lastRow="0" w:firstColumn="1" w:lastColumn="0" w:noHBand="0" w:noVBand="1"/>
      </w:tblPr>
      <w:tblGrid>
        <w:gridCol w:w="3208"/>
        <w:gridCol w:w="3208"/>
        <w:gridCol w:w="3212"/>
      </w:tblGrid>
      <w:tr w:rsidR="00CA5F71" w:rsidRPr="004D5AB1" w14:paraId="22F812DB" w14:textId="77777777" w:rsidTr="0015226E">
        <w:trPr>
          <w:tblHeader/>
        </w:trPr>
        <w:tc>
          <w:tcPr>
            <w:tcW w:w="1666" w:type="pct"/>
            <w:tcBorders>
              <w:top w:val="single" w:sz="4" w:space="0" w:color="auto"/>
              <w:left w:val="single" w:sz="4" w:space="0" w:color="auto"/>
              <w:bottom w:val="single" w:sz="4" w:space="0" w:color="auto"/>
              <w:right w:val="single" w:sz="4" w:space="0" w:color="auto"/>
            </w:tcBorders>
          </w:tcPr>
          <w:p w14:paraId="3F2A45A2" w14:textId="77777777" w:rsidR="00CA5F71" w:rsidRPr="004D5AB1" w:rsidRDefault="00CA5F71">
            <w:pPr>
              <w:autoSpaceDE w:val="0"/>
              <w:autoSpaceDN w:val="0"/>
              <w:adjustRightInd w:val="0"/>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3BE1F2F" w14:textId="77777777" w:rsidR="00CA5F71" w:rsidRPr="004D5AB1" w:rsidRDefault="00CA5F71">
            <w:pPr>
              <w:autoSpaceDE w:val="0"/>
              <w:autoSpaceDN w:val="0"/>
              <w:adjustRightInd w:val="0"/>
              <w:jc w:val="center"/>
              <w:rPr>
                <w:sz w:val="24"/>
                <w:szCs w:val="24"/>
              </w:rPr>
            </w:pPr>
            <w:r w:rsidRPr="004D5AB1">
              <w:rPr>
                <w:sz w:val="24"/>
                <w:szCs w:val="24"/>
              </w:rPr>
              <w:t>Placebo</w:t>
            </w:r>
          </w:p>
        </w:tc>
        <w:tc>
          <w:tcPr>
            <w:tcW w:w="1668" w:type="pct"/>
            <w:tcBorders>
              <w:top w:val="single" w:sz="4" w:space="0" w:color="auto"/>
              <w:left w:val="single" w:sz="4" w:space="0" w:color="auto"/>
              <w:bottom w:val="single" w:sz="4" w:space="0" w:color="auto"/>
              <w:right w:val="single" w:sz="4" w:space="0" w:color="auto"/>
            </w:tcBorders>
            <w:hideMark/>
          </w:tcPr>
          <w:p w14:paraId="3FBF24EB" w14:textId="77777777" w:rsidR="00CA5F71" w:rsidRPr="004D5AB1" w:rsidRDefault="00CA5F71">
            <w:pPr>
              <w:autoSpaceDE w:val="0"/>
              <w:autoSpaceDN w:val="0"/>
              <w:adjustRightInd w:val="0"/>
              <w:jc w:val="center"/>
              <w:rPr>
                <w:sz w:val="24"/>
                <w:szCs w:val="24"/>
              </w:rPr>
            </w:pPr>
            <w:proofErr w:type="spellStart"/>
            <w:r w:rsidRPr="004D5AB1">
              <w:rPr>
                <w:sz w:val="24"/>
                <w:szCs w:val="24"/>
              </w:rPr>
              <w:t>Nintedanib</w:t>
            </w:r>
            <w:proofErr w:type="spellEnd"/>
            <w:r w:rsidRPr="004D5AB1">
              <w:rPr>
                <w:sz w:val="24"/>
                <w:szCs w:val="24"/>
              </w:rPr>
              <w:t xml:space="preserve"> 150 mg to gange dagligt</w:t>
            </w:r>
          </w:p>
        </w:tc>
      </w:tr>
      <w:tr w:rsidR="00CA5F71" w:rsidRPr="004D5AB1" w14:paraId="7DB54C60"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21F819FA" w14:textId="77777777" w:rsidR="00CA5F71" w:rsidRPr="004D5AB1" w:rsidRDefault="00CA5F71">
            <w:pPr>
              <w:autoSpaceDE w:val="0"/>
              <w:autoSpaceDN w:val="0"/>
              <w:adjustRightInd w:val="0"/>
              <w:rPr>
                <w:sz w:val="24"/>
                <w:szCs w:val="24"/>
              </w:rPr>
            </w:pPr>
            <w:r w:rsidRPr="004D5AB1">
              <w:rPr>
                <w:sz w:val="24"/>
                <w:szCs w:val="24"/>
              </w:rPr>
              <w:t>Antal analyserede patienter</w:t>
            </w:r>
          </w:p>
        </w:tc>
        <w:tc>
          <w:tcPr>
            <w:tcW w:w="1666" w:type="pct"/>
            <w:tcBorders>
              <w:top w:val="single" w:sz="4" w:space="0" w:color="auto"/>
              <w:left w:val="single" w:sz="4" w:space="0" w:color="auto"/>
              <w:bottom w:val="single" w:sz="4" w:space="0" w:color="auto"/>
              <w:right w:val="single" w:sz="4" w:space="0" w:color="auto"/>
            </w:tcBorders>
            <w:vAlign w:val="center"/>
            <w:hideMark/>
          </w:tcPr>
          <w:p w14:paraId="46094B0F" w14:textId="77777777" w:rsidR="00CA5F71" w:rsidRPr="004D5AB1" w:rsidRDefault="00CA5F71">
            <w:pPr>
              <w:autoSpaceDE w:val="0"/>
              <w:autoSpaceDN w:val="0"/>
              <w:adjustRightInd w:val="0"/>
              <w:jc w:val="center"/>
              <w:rPr>
                <w:sz w:val="24"/>
                <w:szCs w:val="24"/>
              </w:rPr>
            </w:pPr>
            <w:r w:rsidRPr="004D5AB1">
              <w:rPr>
                <w:sz w:val="24"/>
                <w:szCs w:val="24"/>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6D9163F9" w14:textId="77777777" w:rsidR="00CA5F71" w:rsidRPr="004D5AB1" w:rsidRDefault="00CA5F71">
            <w:pPr>
              <w:autoSpaceDE w:val="0"/>
              <w:autoSpaceDN w:val="0"/>
              <w:adjustRightInd w:val="0"/>
              <w:jc w:val="center"/>
              <w:rPr>
                <w:sz w:val="24"/>
                <w:szCs w:val="24"/>
              </w:rPr>
            </w:pPr>
            <w:r w:rsidRPr="004D5AB1">
              <w:rPr>
                <w:sz w:val="24"/>
                <w:szCs w:val="24"/>
              </w:rPr>
              <w:t>287</w:t>
            </w:r>
          </w:p>
        </w:tc>
      </w:tr>
      <w:tr w:rsidR="00CA5F71" w:rsidRPr="004D5AB1" w14:paraId="693CD936"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2F400812" w14:textId="77777777" w:rsidR="00CA5F71" w:rsidRPr="004D5AB1" w:rsidRDefault="00CA5F71">
            <w:pPr>
              <w:autoSpaceDE w:val="0"/>
              <w:autoSpaceDN w:val="0"/>
              <w:adjustRightInd w:val="0"/>
              <w:rPr>
                <w:sz w:val="24"/>
                <w:szCs w:val="24"/>
              </w:rPr>
            </w:pPr>
            <w:r w:rsidRPr="004D5AB1">
              <w:rPr>
                <w:sz w:val="24"/>
                <w:szCs w:val="24"/>
              </w:rPr>
              <w:t>Fald i FVC</w:t>
            </w:r>
            <w:r w:rsidRPr="004D5AB1">
              <w:rPr>
                <w:sz w:val="24"/>
                <w:szCs w:val="24"/>
                <w:vertAlign w:val="superscript"/>
              </w:rPr>
              <w:t>1</w:t>
            </w:r>
            <w:r w:rsidRPr="004D5AB1">
              <w:rPr>
                <w:sz w:val="24"/>
                <w:szCs w:val="24"/>
              </w:rPr>
              <w:t xml:space="preserve"> (SE) over 52 uger</w:t>
            </w:r>
          </w:p>
        </w:tc>
        <w:tc>
          <w:tcPr>
            <w:tcW w:w="1666" w:type="pct"/>
            <w:tcBorders>
              <w:top w:val="single" w:sz="4" w:space="0" w:color="auto"/>
              <w:left w:val="single" w:sz="4" w:space="0" w:color="auto"/>
              <w:bottom w:val="single" w:sz="4" w:space="0" w:color="auto"/>
              <w:right w:val="single" w:sz="4" w:space="0" w:color="auto"/>
            </w:tcBorders>
            <w:vAlign w:val="bottom"/>
            <w:hideMark/>
          </w:tcPr>
          <w:p w14:paraId="4682647E" w14:textId="77777777" w:rsidR="00CA5F71" w:rsidRPr="004D5AB1" w:rsidRDefault="00CA5F71">
            <w:pPr>
              <w:autoSpaceDE w:val="0"/>
              <w:autoSpaceDN w:val="0"/>
              <w:adjustRightInd w:val="0"/>
              <w:jc w:val="center"/>
              <w:rPr>
                <w:sz w:val="24"/>
                <w:szCs w:val="24"/>
              </w:rPr>
            </w:pPr>
            <w:r w:rsidRPr="004D5AB1">
              <w:rPr>
                <w:sz w:val="24"/>
                <w:szCs w:val="24"/>
              </w:rPr>
              <w:t>-93,3 (13,5)</w:t>
            </w:r>
          </w:p>
        </w:tc>
        <w:tc>
          <w:tcPr>
            <w:tcW w:w="1668" w:type="pct"/>
            <w:tcBorders>
              <w:top w:val="single" w:sz="4" w:space="0" w:color="auto"/>
              <w:left w:val="single" w:sz="4" w:space="0" w:color="auto"/>
              <w:bottom w:val="single" w:sz="4" w:space="0" w:color="auto"/>
              <w:right w:val="single" w:sz="4" w:space="0" w:color="auto"/>
            </w:tcBorders>
            <w:vAlign w:val="bottom"/>
            <w:hideMark/>
          </w:tcPr>
          <w:p w14:paraId="13561A55" w14:textId="77777777" w:rsidR="00CA5F71" w:rsidRPr="004D5AB1" w:rsidRDefault="00CA5F71">
            <w:pPr>
              <w:autoSpaceDE w:val="0"/>
              <w:autoSpaceDN w:val="0"/>
              <w:adjustRightInd w:val="0"/>
              <w:jc w:val="center"/>
              <w:rPr>
                <w:sz w:val="24"/>
                <w:szCs w:val="24"/>
              </w:rPr>
            </w:pPr>
            <w:r w:rsidRPr="004D5AB1">
              <w:rPr>
                <w:sz w:val="24"/>
                <w:szCs w:val="24"/>
              </w:rPr>
              <w:t>-52,4 (13,8)</w:t>
            </w:r>
          </w:p>
        </w:tc>
      </w:tr>
      <w:tr w:rsidR="00CA5F71" w:rsidRPr="004D5AB1" w14:paraId="0515FEAB" w14:textId="77777777" w:rsidTr="0015226E">
        <w:tc>
          <w:tcPr>
            <w:tcW w:w="5000" w:type="pct"/>
            <w:gridSpan w:val="3"/>
            <w:tcBorders>
              <w:top w:val="single" w:sz="4" w:space="0" w:color="auto"/>
              <w:left w:val="single" w:sz="4" w:space="0" w:color="auto"/>
              <w:bottom w:val="single" w:sz="4" w:space="0" w:color="auto"/>
              <w:right w:val="single" w:sz="4" w:space="0" w:color="auto"/>
            </w:tcBorders>
            <w:hideMark/>
          </w:tcPr>
          <w:p w14:paraId="5E65DE82" w14:textId="77777777" w:rsidR="00CA5F71" w:rsidRPr="004D5AB1" w:rsidRDefault="00CA5F71">
            <w:pPr>
              <w:autoSpaceDE w:val="0"/>
              <w:autoSpaceDN w:val="0"/>
              <w:adjustRightInd w:val="0"/>
              <w:rPr>
                <w:sz w:val="24"/>
                <w:szCs w:val="24"/>
              </w:rPr>
            </w:pPr>
            <w:r w:rsidRPr="004D5AB1">
              <w:rPr>
                <w:sz w:val="24"/>
                <w:szCs w:val="24"/>
              </w:rPr>
              <w:t>Sammenlignet med placebo</w:t>
            </w:r>
          </w:p>
        </w:tc>
      </w:tr>
      <w:tr w:rsidR="00CA5F71" w:rsidRPr="004D5AB1" w14:paraId="60128049"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37D786A4" w14:textId="77777777" w:rsidR="00CA5F71" w:rsidRPr="004D5AB1" w:rsidRDefault="00CA5F71">
            <w:pPr>
              <w:autoSpaceDE w:val="0"/>
              <w:autoSpaceDN w:val="0"/>
              <w:adjustRightInd w:val="0"/>
              <w:rPr>
                <w:sz w:val="24"/>
                <w:szCs w:val="24"/>
              </w:rPr>
            </w:pPr>
            <w:r w:rsidRPr="004D5AB1">
              <w:rPr>
                <w:sz w:val="24"/>
                <w:szCs w:val="24"/>
              </w:rPr>
              <w:t>Forskel</w:t>
            </w:r>
            <w:r w:rsidRPr="004D5AB1">
              <w:rPr>
                <w:sz w:val="24"/>
                <w:szCs w:val="24"/>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625514F9"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51274A9" w14:textId="77777777" w:rsidR="00CA5F71" w:rsidRPr="004D5AB1" w:rsidRDefault="00CA5F71">
            <w:pPr>
              <w:autoSpaceDE w:val="0"/>
              <w:autoSpaceDN w:val="0"/>
              <w:adjustRightInd w:val="0"/>
              <w:jc w:val="center"/>
              <w:rPr>
                <w:sz w:val="24"/>
                <w:szCs w:val="24"/>
              </w:rPr>
            </w:pPr>
            <w:r w:rsidRPr="004D5AB1">
              <w:rPr>
                <w:sz w:val="24"/>
                <w:szCs w:val="24"/>
              </w:rPr>
              <w:t>41,0</w:t>
            </w:r>
          </w:p>
        </w:tc>
      </w:tr>
      <w:tr w:rsidR="00CA5F71" w:rsidRPr="004D5AB1" w14:paraId="1954689E"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40D06B54" w14:textId="77777777" w:rsidR="00CA5F71" w:rsidRPr="004D5AB1" w:rsidRDefault="00CA5F71">
            <w:pPr>
              <w:autoSpaceDE w:val="0"/>
              <w:autoSpaceDN w:val="0"/>
              <w:adjustRightInd w:val="0"/>
              <w:rPr>
                <w:sz w:val="24"/>
                <w:szCs w:val="24"/>
              </w:rPr>
            </w:pPr>
            <w:r w:rsidRPr="004D5AB1">
              <w:rPr>
                <w:sz w:val="24"/>
                <w:szCs w:val="24"/>
              </w:rPr>
              <w:t>95 % CI</w:t>
            </w:r>
          </w:p>
        </w:tc>
        <w:tc>
          <w:tcPr>
            <w:tcW w:w="1666" w:type="pct"/>
            <w:tcBorders>
              <w:top w:val="single" w:sz="4" w:space="0" w:color="auto"/>
              <w:left w:val="single" w:sz="4" w:space="0" w:color="auto"/>
              <w:bottom w:val="single" w:sz="4" w:space="0" w:color="auto"/>
              <w:right w:val="single" w:sz="4" w:space="0" w:color="auto"/>
            </w:tcBorders>
            <w:vAlign w:val="center"/>
          </w:tcPr>
          <w:p w14:paraId="16B24431"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4FEEDB00" w14:textId="77777777" w:rsidR="00CA5F71" w:rsidRPr="004D5AB1" w:rsidRDefault="00CA5F71">
            <w:pPr>
              <w:autoSpaceDE w:val="0"/>
              <w:autoSpaceDN w:val="0"/>
              <w:adjustRightInd w:val="0"/>
              <w:jc w:val="center"/>
              <w:rPr>
                <w:sz w:val="24"/>
                <w:szCs w:val="24"/>
              </w:rPr>
            </w:pPr>
            <w:r w:rsidRPr="004D5AB1">
              <w:rPr>
                <w:sz w:val="24"/>
                <w:szCs w:val="24"/>
              </w:rPr>
              <w:t>(2,9; 79,0)</w:t>
            </w:r>
          </w:p>
        </w:tc>
      </w:tr>
      <w:tr w:rsidR="00CA5F71" w:rsidRPr="004D5AB1" w14:paraId="5EE9E11E"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563E322A" w14:textId="77777777" w:rsidR="00CA5F71" w:rsidRPr="004D5AB1" w:rsidRDefault="00CA5F71">
            <w:pPr>
              <w:autoSpaceDE w:val="0"/>
              <w:autoSpaceDN w:val="0"/>
              <w:adjustRightInd w:val="0"/>
              <w:rPr>
                <w:sz w:val="24"/>
                <w:szCs w:val="24"/>
              </w:rPr>
            </w:pPr>
            <w:r w:rsidRPr="004D5AB1">
              <w:rPr>
                <w:sz w:val="24"/>
                <w:szCs w:val="24"/>
              </w:rPr>
              <w:t>p-</w:t>
            </w:r>
            <w:proofErr w:type="spellStart"/>
            <w:r w:rsidRPr="004D5AB1">
              <w:rPr>
                <w:sz w:val="24"/>
                <w:szCs w:val="24"/>
              </w:rPr>
              <w:t>value</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2B175B03"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3A0B4F31" w14:textId="77777777" w:rsidR="00CA5F71" w:rsidRPr="004D5AB1" w:rsidRDefault="00CA5F71">
            <w:pPr>
              <w:autoSpaceDE w:val="0"/>
              <w:autoSpaceDN w:val="0"/>
              <w:adjustRightInd w:val="0"/>
              <w:jc w:val="center"/>
              <w:rPr>
                <w:sz w:val="24"/>
                <w:szCs w:val="24"/>
              </w:rPr>
            </w:pPr>
            <w:r w:rsidRPr="004D5AB1">
              <w:rPr>
                <w:sz w:val="24"/>
                <w:szCs w:val="24"/>
              </w:rPr>
              <w:t>&lt;0,05</w:t>
            </w:r>
          </w:p>
        </w:tc>
      </w:tr>
    </w:tbl>
    <w:p w14:paraId="4D6E1F54"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 xml:space="preserve">Baseret på en tilfældig koefficientregression med fikseret kategorisk virkning af behandling, ATA-status, køn, fikseret kontinuerlig virkning af tid, </w:t>
      </w:r>
      <w:r w:rsidRPr="0099618E">
        <w:rPr>
          <w:i/>
          <w:iCs/>
          <w:sz w:val="20"/>
        </w:rPr>
        <w:t xml:space="preserve">baseline </w:t>
      </w:r>
      <w:r w:rsidRPr="0099618E">
        <w:rPr>
          <w:sz w:val="20"/>
        </w:rPr>
        <w:t xml:space="preserve">FVC [ml], alder, højde og omfattende interaktioner fra behandling pr. tid og </w:t>
      </w:r>
      <w:r w:rsidRPr="0099618E">
        <w:rPr>
          <w:i/>
          <w:iCs/>
          <w:sz w:val="20"/>
        </w:rPr>
        <w:t xml:space="preserve">baseline </w:t>
      </w:r>
      <w:r w:rsidRPr="0099618E">
        <w:rPr>
          <w:sz w:val="20"/>
        </w:rPr>
        <w:t xml:space="preserve">pr. tid. Tilfældig virkning var inkluderet for patientspecifik </w:t>
      </w:r>
      <w:proofErr w:type="spellStart"/>
      <w:r w:rsidRPr="0099618E">
        <w:rPr>
          <w:sz w:val="20"/>
        </w:rPr>
        <w:t>intercept</w:t>
      </w:r>
      <w:proofErr w:type="spellEnd"/>
      <w:r w:rsidRPr="0099618E">
        <w:rPr>
          <w:sz w:val="20"/>
        </w:rPr>
        <w:t xml:space="preserve"> og tid. </w:t>
      </w:r>
      <w:proofErr w:type="spellStart"/>
      <w:r w:rsidRPr="0099618E">
        <w:rPr>
          <w:sz w:val="20"/>
        </w:rPr>
        <w:t>Intra</w:t>
      </w:r>
      <w:proofErr w:type="spellEnd"/>
      <w:r w:rsidRPr="0099618E">
        <w:rPr>
          <w:sz w:val="20"/>
        </w:rPr>
        <w:t>-patient fejl blev modelleret ved en ustruktureret varians-</w:t>
      </w:r>
      <w:proofErr w:type="spellStart"/>
      <w:r w:rsidRPr="0099618E">
        <w:rPr>
          <w:sz w:val="20"/>
        </w:rPr>
        <w:t>kovarians</w:t>
      </w:r>
      <w:proofErr w:type="spellEnd"/>
      <w:r w:rsidRPr="0099618E">
        <w:rPr>
          <w:sz w:val="20"/>
        </w:rPr>
        <w:t>-</w:t>
      </w:r>
      <w:proofErr w:type="spellStart"/>
      <w:r w:rsidRPr="0099618E">
        <w:rPr>
          <w:sz w:val="20"/>
        </w:rPr>
        <w:t>matriks</w:t>
      </w:r>
      <w:proofErr w:type="spellEnd"/>
      <w:r w:rsidRPr="0099618E">
        <w:rPr>
          <w:sz w:val="20"/>
        </w:rPr>
        <w:t>. Inter-individuel variabilitet blev modelleret ved en varians-komponenter varians-</w:t>
      </w:r>
      <w:proofErr w:type="spellStart"/>
      <w:r w:rsidRPr="0099618E">
        <w:rPr>
          <w:sz w:val="20"/>
        </w:rPr>
        <w:t>kovarians</w:t>
      </w:r>
      <w:proofErr w:type="spellEnd"/>
      <w:r w:rsidRPr="0099618E">
        <w:rPr>
          <w:sz w:val="20"/>
        </w:rPr>
        <w:t>-</w:t>
      </w:r>
      <w:proofErr w:type="spellStart"/>
      <w:r w:rsidRPr="0099618E">
        <w:rPr>
          <w:sz w:val="20"/>
        </w:rPr>
        <w:t>matriks</w:t>
      </w:r>
      <w:proofErr w:type="spellEnd"/>
      <w:r w:rsidRPr="0099618E">
        <w:rPr>
          <w:sz w:val="20"/>
        </w:rPr>
        <w:t>.</w:t>
      </w:r>
    </w:p>
    <w:p w14:paraId="14B4B4C8" w14:textId="77777777" w:rsidR="00CA5F71" w:rsidRPr="004D5AB1" w:rsidRDefault="00CA5F71" w:rsidP="00CA5F71">
      <w:pPr>
        <w:autoSpaceDE w:val="0"/>
        <w:autoSpaceDN w:val="0"/>
        <w:adjustRightInd w:val="0"/>
        <w:rPr>
          <w:sz w:val="24"/>
          <w:szCs w:val="24"/>
        </w:rPr>
      </w:pPr>
    </w:p>
    <w:p w14:paraId="73881945" w14:textId="77777777" w:rsidR="00CA5F71" w:rsidRPr="004D5AB1" w:rsidRDefault="00CA5F71" w:rsidP="0015226E">
      <w:pPr>
        <w:suppressAutoHyphens/>
        <w:ind w:left="851"/>
        <w:rPr>
          <w:bCs/>
          <w:noProof/>
          <w:sz w:val="24"/>
          <w:szCs w:val="24"/>
        </w:rPr>
      </w:pPr>
      <w:r w:rsidRPr="004D5AB1">
        <w:rPr>
          <w:bCs/>
          <w:noProof/>
          <w:sz w:val="24"/>
          <w:szCs w:val="24"/>
        </w:rPr>
        <w:t>Nintedanibs virkning i reducering af det årlige fald i FVC var sammenlignelig i præspecificerede sensitivitetsanalyser, og der blev ikke detekteret nogen heterogenicitet i præspecificerede undergrupper (f.eks. pr. alder, køn eller brug af mycophenolat).</w:t>
      </w:r>
    </w:p>
    <w:p w14:paraId="473E6A3F" w14:textId="77777777" w:rsidR="00CA5F71" w:rsidRPr="004D5AB1" w:rsidRDefault="00CA5F71" w:rsidP="0015226E">
      <w:pPr>
        <w:suppressAutoHyphens/>
        <w:ind w:left="851"/>
        <w:rPr>
          <w:bCs/>
          <w:noProof/>
          <w:sz w:val="24"/>
          <w:szCs w:val="24"/>
        </w:rPr>
      </w:pPr>
    </w:p>
    <w:p w14:paraId="407EC83B" w14:textId="77777777" w:rsidR="00CA5F71" w:rsidRPr="004D5AB1" w:rsidRDefault="00CA5F71" w:rsidP="0015226E">
      <w:pPr>
        <w:suppressAutoHyphens/>
        <w:ind w:left="851"/>
        <w:rPr>
          <w:bCs/>
          <w:noProof/>
          <w:sz w:val="24"/>
          <w:szCs w:val="24"/>
        </w:rPr>
      </w:pPr>
      <w:r w:rsidRPr="004D5AB1">
        <w:rPr>
          <w:bCs/>
          <w:noProof/>
          <w:sz w:val="24"/>
          <w:szCs w:val="24"/>
        </w:rPr>
        <w:t xml:space="preserve">Endvidere blev der observeret lignende effekt på andre endepunkter vedrørende lungefunktionen, f.eks. absolut ændring fra </w:t>
      </w:r>
      <w:r w:rsidRPr="004D5AB1">
        <w:rPr>
          <w:bCs/>
          <w:i/>
          <w:iCs/>
          <w:noProof/>
          <w:sz w:val="24"/>
          <w:szCs w:val="24"/>
        </w:rPr>
        <w:t xml:space="preserve">baseline </w:t>
      </w:r>
      <w:r w:rsidRPr="004D5AB1">
        <w:rPr>
          <w:bCs/>
          <w:noProof/>
          <w:sz w:val="24"/>
          <w:szCs w:val="24"/>
        </w:rPr>
        <w:t xml:space="preserve">i FVC i ml i uge 52 (figur 5 og tabel 11) og fald i FVC i % af forventet over 52 uger (tabel 12) hvilket yderligere understøttede nintedanibs evne til at nedsætte progression af SSc-ILS. Desuden havde færre patienter i nintedanib-gruppen en absolut FVC-reduktion &gt;5 % af forventet (20,6 % i nintedanib-gruppen </w:t>
      </w:r>
      <w:r w:rsidRPr="004D5AB1">
        <w:rPr>
          <w:bCs/>
          <w:i/>
          <w:iCs/>
          <w:noProof/>
          <w:sz w:val="24"/>
          <w:szCs w:val="24"/>
        </w:rPr>
        <w:t xml:space="preserve">vs. </w:t>
      </w:r>
      <w:r w:rsidRPr="004D5AB1">
        <w:rPr>
          <w:bCs/>
          <w:noProof/>
          <w:sz w:val="24"/>
          <w:szCs w:val="24"/>
        </w:rPr>
        <w:t xml:space="preserve">28,5 % i placebogruppen, OR=0,65, p=0,0287). Den relative FVC-reduktion i ml &gt;10 % var sammenlignelig mellem begge grupper (16,7 % i nintedanib-gruppen </w:t>
      </w:r>
      <w:r w:rsidRPr="004D5AB1">
        <w:rPr>
          <w:bCs/>
          <w:i/>
          <w:iCs/>
          <w:noProof/>
          <w:sz w:val="24"/>
          <w:szCs w:val="24"/>
        </w:rPr>
        <w:t xml:space="preserve">vs. </w:t>
      </w:r>
      <w:r w:rsidRPr="004D5AB1">
        <w:rPr>
          <w:bCs/>
          <w:noProof/>
          <w:sz w:val="24"/>
          <w:szCs w:val="24"/>
        </w:rPr>
        <w:t>18,1 % i placebogruppen, OR=0,91, p=0,6842). I disse analyser blev manglende FVC-værdier ved 52 uger indført med patientens værste værdi under behandlingen.</w:t>
      </w:r>
    </w:p>
    <w:p w14:paraId="5AD45500" w14:textId="77777777" w:rsidR="00CA5F71" w:rsidRPr="004D5AB1" w:rsidRDefault="00CA5F71" w:rsidP="0015226E">
      <w:pPr>
        <w:suppressAutoHyphens/>
        <w:ind w:left="851"/>
        <w:rPr>
          <w:bCs/>
          <w:noProof/>
          <w:sz w:val="24"/>
          <w:szCs w:val="24"/>
        </w:rPr>
      </w:pPr>
    </w:p>
    <w:p w14:paraId="1ECDCB7A" w14:textId="77777777" w:rsidR="00CA5F71" w:rsidRPr="004D5AB1" w:rsidRDefault="00CA5F71" w:rsidP="0015226E">
      <w:pPr>
        <w:suppressAutoHyphens/>
        <w:ind w:left="851"/>
        <w:rPr>
          <w:bCs/>
          <w:noProof/>
          <w:sz w:val="24"/>
          <w:szCs w:val="24"/>
        </w:rPr>
      </w:pPr>
      <w:r w:rsidRPr="004D5AB1">
        <w:rPr>
          <w:bCs/>
          <w:noProof/>
          <w:sz w:val="24"/>
          <w:szCs w:val="24"/>
        </w:rPr>
        <w:t>En eksplorativanalyse af data fra op til 100 uger (maksimal behandlingsvarighed i SENSCIS) tydede på, at nintedanibs evne til at nedsætte progressionen af SSc-ILS varede længere end 52 uger.</w:t>
      </w:r>
    </w:p>
    <w:p w14:paraId="5803BF11" w14:textId="77777777" w:rsidR="00CA5F71" w:rsidRPr="004D5AB1" w:rsidRDefault="00CA5F71" w:rsidP="0015226E">
      <w:pPr>
        <w:suppressAutoHyphens/>
        <w:ind w:left="851"/>
        <w:rPr>
          <w:bCs/>
          <w:noProof/>
          <w:sz w:val="24"/>
          <w:szCs w:val="24"/>
        </w:rPr>
      </w:pPr>
    </w:p>
    <w:p w14:paraId="22C5CE69" w14:textId="77777777" w:rsidR="00CA5F71" w:rsidRPr="004D5AB1" w:rsidRDefault="00CA5F71" w:rsidP="0099618E">
      <w:pPr>
        <w:keepNext/>
        <w:tabs>
          <w:tab w:val="left" w:pos="1485"/>
        </w:tabs>
        <w:suppressAutoHyphens/>
        <w:rPr>
          <w:bCs/>
          <w:noProof/>
          <w:sz w:val="24"/>
          <w:szCs w:val="24"/>
        </w:rPr>
      </w:pPr>
      <w:r w:rsidRPr="004D5AB1">
        <w:rPr>
          <w:b/>
          <w:bCs/>
          <w:noProof/>
          <w:sz w:val="24"/>
          <w:szCs w:val="24"/>
        </w:rPr>
        <w:lastRenderedPageBreak/>
        <w:t xml:space="preserve">Figur 5: </w:t>
      </w:r>
      <w:r w:rsidRPr="004D5AB1">
        <w:rPr>
          <w:b/>
          <w:bCs/>
          <w:noProof/>
          <w:sz w:val="24"/>
          <w:szCs w:val="24"/>
        </w:rPr>
        <w:tab/>
        <w:t xml:space="preserve">Middelværdi (SEM) for observeret ændring i FVC fra </w:t>
      </w:r>
      <w:r w:rsidRPr="004D5AB1">
        <w:rPr>
          <w:b/>
          <w:bCs/>
          <w:i/>
          <w:iCs/>
          <w:noProof/>
          <w:sz w:val="24"/>
          <w:szCs w:val="24"/>
        </w:rPr>
        <w:t xml:space="preserve">baseline </w:t>
      </w:r>
      <w:r w:rsidRPr="004D5AB1">
        <w:rPr>
          <w:b/>
          <w:bCs/>
          <w:noProof/>
          <w:sz w:val="24"/>
          <w:szCs w:val="24"/>
        </w:rPr>
        <w:t>(ml) over 52 uger</w:t>
      </w:r>
    </w:p>
    <w:p w14:paraId="198C66D1" w14:textId="26695B6A" w:rsidR="00CA5F71" w:rsidRPr="004D5AB1" w:rsidRDefault="00CA5F71" w:rsidP="0099618E">
      <w:pPr>
        <w:keepNext/>
        <w:autoSpaceDE w:val="0"/>
        <w:autoSpaceDN w:val="0"/>
        <w:adjustRightInd w:val="0"/>
        <w:rPr>
          <w:sz w:val="24"/>
          <w:szCs w:val="24"/>
        </w:rPr>
      </w:pPr>
      <w:r w:rsidRPr="004D5AB1">
        <w:rPr>
          <w:noProof/>
          <w:sz w:val="24"/>
          <w:szCs w:val="24"/>
        </w:rPr>
        <w:drawing>
          <wp:inline distT="0" distB="0" distL="0" distR="0" wp14:anchorId="703BF267" wp14:editId="2FFD606F">
            <wp:extent cx="5760720" cy="43967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96740"/>
                    </a:xfrm>
                    <a:prstGeom prst="rect">
                      <a:avLst/>
                    </a:prstGeom>
                    <a:noFill/>
                    <a:ln>
                      <a:noFill/>
                    </a:ln>
                  </pic:spPr>
                </pic:pic>
              </a:graphicData>
            </a:graphic>
          </wp:inline>
        </w:drawing>
      </w:r>
    </w:p>
    <w:p w14:paraId="3A511D25" w14:textId="77777777" w:rsidR="00CA5F71" w:rsidRPr="0099618E" w:rsidRDefault="00CA5F71" w:rsidP="0099618E">
      <w:pPr>
        <w:keepNext/>
        <w:autoSpaceDE w:val="0"/>
        <w:autoSpaceDN w:val="0"/>
        <w:adjustRightInd w:val="0"/>
        <w:rPr>
          <w:sz w:val="20"/>
        </w:rPr>
      </w:pPr>
      <w:r w:rsidRPr="0099618E">
        <w:rPr>
          <w:sz w:val="20"/>
        </w:rPr>
        <w:t>bid = to gange dagligt</w:t>
      </w:r>
    </w:p>
    <w:p w14:paraId="54D7D747" w14:textId="77777777" w:rsidR="00CA5F71" w:rsidRPr="004D5AB1" w:rsidRDefault="00CA5F71" w:rsidP="00CA5F71">
      <w:pPr>
        <w:tabs>
          <w:tab w:val="left" w:pos="1485"/>
        </w:tabs>
        <w:suppressAutoHyphens/>
        <w:rPr>
          <w:bCs/>
          <w:noProof/>
          <w:sz w:val="24"/>
          <w:szCs w:val="24"/>
        </w:rPr>
      </w:pPr>
    </w:p>
    <w:p w14:paraId="776A9987" w14:textId="77777777" w:rsidR="00CA5F71" w:rsidRPr="004D5AB1" w:rsidRDefault="00CA5F71" w:rsidP="00CA5F71">
      <w:pPr>
        <w:keepNext/>
        <w:autoSpaceDE w:val="0"/>
        <w:autoSpaceDN w:val="0"/>
        <w:adjustRightInd w:val="0"/>
        <w:ind w:left="1134" w:hanging="1134"/>
        <w:rPr>
          <w:b/>
          <w:sz w:val="24"/>
          <w:szCs w:val="24"/>
        </w:rPr>
      </w:pPr>
      <w:r w:rsidRPr="004D5AB1">
        <w:rPr>
          <w:b/>
          <w:bCs/>
          <w:sz w:val="24"/>
          <w:szCs w:val="24"/>
        </w:rPr>
        <w:t xml:space="preserve">Tabel 11: </w:t>
      </w:r>
      <w:r w:rsidRPr="004D5AB1">
        <w:rPr>
          <w:b/>
          <w:bCs/>
          <w:sz w:val="24"/>
          <w:szCs w:val="24"/>
        </w:rPr>
        <w:tab/>
        <w:t xml:space="preserve">Absolut ændring fra </w:t>
      </w:r>
      <w:r w:rsidRPr="004D5AB1">
        <w:rPr>
          <w:b/>
          <w:bCs/>
          <w:i/>
          <w:iCs/>
          <w:sz w:val="24"/>
          <w:szCs w:val="24"/>
        </w:rPr>
        <w:t xml:space="preserve">baseline </w:t>
      </w:r>
      <w:r w:rsidRPr="004D5AB1">
        <w:rPr>
          <w:b/>
          <w:bCs/>
          <w:sz w:val="24"/>
          <w:szCs w:val="24"/>
        </w:rPr>
        <w:t>i FVC (ml) ved uge 52</w:t>
      </w:r>
    </w:p>
    <w:tbl>
      <w:tblPr>
        <w:tblStyle w:val="Tabel-Gitter"/>
        <w:tblW w:w="5000" w:type="pct"/>
        <w:tblInd w:w="0" w:type="dxa"/>
        <w:tblLook w:val="04A0" w:firstRow="1" w:lastRow="0" w:firstColumn="1" w:lastColumn="0" w:noHBand="0" w:noVBand="1"/>
      </w:tblPr>
      <w:tblGrid>
        <w:gridCol w:w="3208"/>
        <w:gridCol w:w="3208"/>
        <w:gridCol w:w="3212"/>
      </w:tblGrid>
      <w:tr w:rsidR="00CA5F71" w:rsidRPr="004D5AB1" w14:paraId="431B052B" w14:textId="77777777" w:rsidTr="0015226E">
        <w:trPr>
          <w:tblHeader/>
        </w:trPr>
        <w:tc>
          <w:tcPr>
            <w:tcW w:w="1666" w:type="pct"/>
            <w:tcBorders>
              <w:top w:val="single" w:sz="4" w:space="0" w:color="auto"/>
              <w:left w:val="single" w:sz="4" w:space="0" w:color="auto"/>
              <w:bottom w:val="single" w:sz="4" w:space="0" w:color="auto"/>
              <w:right w:val="single" w:sz="4" w:space="0" w:color="auto"/>
            </w:tcBorders>
          </w:tcPr>
          <w:p w14:paraId="4F90CEF9" w14:textId="77777777" w:rsidR="00CA5F71" w:rsidRPr="004D5AB1" w:rsidRDefault="00CA5F71">
            <w:pPr>
              <w:autoSpaceDE w:val="0"/>
              <w:autoSpaceDN w:val="0"/>
              <w:adjustRightInd w:val="0"/>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0160F4E9" w14:textId="77777777" w:rsidR="00CA5F71" w:rsidRPr="004D5AB1" w:rsidRDefault="00CA5F71">
            <w:pPr>
              <w:autoSpaceDE w:val="0"/>
              <w:autoSpaceDN w:val="0"/>
              <w:adjustRightInd w:val="0"/>
              <w:jc w:val="center"/>
              <w:rPr>
                <w:sz w:val="24"/>
                <w:szCs w:val="24"/>
              </w:rPr>
            </w:pPr>
            <w:r w:rsidRPr="004D5AB1">
              <w:rPr>
                <w:sz w:val="24"/>
                <w:szCs w:val="24"/>
              </w:rPr>
              <w:t>Placebo</w:t>
            </w:r>
          </w:p>
        </w:tc>
        <w:tc>
          <w:tcPr>
            <w:tcW w:w="1668" w:type="pct"/>
            <w:tcBorders>
              <w:top w:val="single" w:sz="4" w:space="0" w:color="auto"/>
              <w:left w:val="single" w:sz="4" w:space="0" w:color="auto"/>
              <w:bottom w:val="single" w:sz="4" w:space="0" w:color="auto"/>
              <w:right w:val="single" w:sz="4" w:space="0" w:color="auto"/>
            </w:tcBorders>
            <w:hideMark/>
          </w:tcPr>
          <w:p w14:paraId="7FA048EF" w14:textId="77777777" w:rsidR="00CA5F71" w:rsidRPr="004D5AB1" w:rsidRDefault="00CA5F71">
            <w:pPr>
              <w:autoSpaceDE w:val="0"/>
              <w:autoSpaceDN w:val="0"/>
              <w:adjustRightInd w:val="0"/>
              <w:jc w:val="center"/>
              <w:rPr>
                <w:sz w:val="24"/>
                <w:szCs w:val="24"/>
              </w:rPr>
            </w:pPr>
            <w:proofErr w:type="spellStart"/>
            <w:r w:rsidRPr="004D5AB1">
              <w:rPr>
                <w:sz w:val="24"/>
                <w:szCs w:val="24"/>
              </w:rPr>
              <w:t>Nintedanib</w:t>
            </w:r>
            <w:proofErr w:type="spellEnd"/>
            <w:r w:rsidRPr="004D5AB1">
              <w:rPr>
                <w:sz w:val="24"/>
                <w:szCs w:val="24"/>
              </w:rPr>
              <w:t xml:space="preserve"> 150 mg to gange dagligt</w:t>
            </w:r>
          </w:p>
        </w:tc>
      </w:tr>
      <w:tr w:rsidR="00CA5F71" w:rsidRPr="004D5AB1" w14:paraId="40EE075C"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7EA209E0" w14:textId="77777777" w:rsidR="00CA5F71" w:rsidRPr="004D5AB1" w:rsidRDefault="00CA5F71">
            <w:pPr>
              <w:autoSpaceDE w:val="0"/>
              <w:autoSpaceDN w:val="0"/>
              <w:adjustRightInd w:val="0"/>
              <w:rPr>
                <w:sz w:val="24"/>
                <w:szCs w:val="24"/>
              </w:rPr>
            </w:pPr>
            <w:r w:rsidRPr="004D5AB1">
              <w:rPr>
                <w:sz w:val="24"/>
                <w:szCs w:val="24"/>
              </w:rPr>
              <w:t>Antal analyserede patienter</w:t>
            </w:r>
          </w:p>
        </w:tc>
        <w:tc>
          <w:tcPr>
            <w:tcW w:w="1666" w:type="pct"/>
            <w:tcBorders>
              <w:top w:val="single" w:sz="4" w:space="0" w:color="auto"/>
              <w:left w:val="single" w:sz="4" w:space="0" w:color="auto"/>
              <w:bottom w:val="single" w:sz="4" w:space="0" w:color="auto"/>
              <w:right w:val="single" w:sz="4" w:space="0" w:color="auto"/>
            </w:tcBorders>
            <w:vAlign w:val="center"/>
            <w:hideMark/>
          </w:tcPr>
          <w:p w14:paraId="2961CC9D" w14:textId="77777777" w:rsidR="00CA5F71" w:rsidRPr="004D5AB1" w:rsidRDefault="00CA5F71">
            <w:pPr>
              <w:autoSpaceDE w:val="0"/>
              <w:autoSpaceDN w:val="0"/>
              <w:adjustRightInd w:val="0"/>
              <w:jc w:val="center"/>
              <w:rPr>
                <w:sz w:val="24"/>
                <w:szCs w:val="24"/>
              </w:rPr>
            </w:pPr>
            <w:r w:rsidRPr="004D5AB1">
              <w:rPr>
                <w:sz w:val="24"/>
                <w:szCs w:val="24"/>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27F36ECA" w14:textId="77777777" w:rsidR="00CA5F71" w:rsidRPr="004D5AB1" w:rsidRDefault="00CA5F71">
            <w:pPr>
              <w:autoSpaceDE w:val="0"/>
              <w:autoSpaceDN w:val="0"/>
              <w:adjustRightInd w:val="0"/>
              <w:jc w:val="center"/>
              <w:rPr>
                <w:sz w:val="24"/>
                <w:szCs w:val="24"/>
              </w:rPr>
            </w:pPr>
            <w:r w:rsidRPr="004D5AB1">
              <w:rPr>
                <w:sz w:val="24"/>
                <w:szCs w:val="24"/>
              </w:rPr>
              <w:t>288</w:t>
            </w:r>
          </w:p>
        </w:tc>
      </w:tr>
      <w:tr w:rsidR="00CA5F71" w:rsidRPr="004D5AB1" w14:paraId="3EA1EDF8"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069D354F" w14:textId="77777777" w:rsidR="00CA5F71" w:rsidRPr="004D5AB1" w:rsidRDefault="00CA5F71">
            <w:pPr>
              <w:autoSpaceDE w:val="0"/>
              <w:autoSpaceDN w:val="0"/>
              <w:adjustRightInd w:val="0"/>
              <w:rPr>
                <w:sz w:val="24"/>
                <w:szCs w:val="24"/>
              </w:rPr>
            </w:pPr>
            <w:r w:rsidRPr="004D5AB1">
              <w:rPr>
                <w:sz w:val="24"/>
                <w:szCs w:val="24"/>
              </w:rPr>
              <w:t xml:space="preserve">Gennemsnit (SD) ved </w:t>
            </w:r>
            <w:r w:rsidRPr="004D5AB1">
              <w:rPr>
                <w:i/>
                <w:iCs/>
                <w:sz w:val="24"/>
                <w:szCs w:val="24"/>
              </w:rPr>
              <w:t>baseline</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812C5DB" w14:textId="77777777" w:rsidR="00CA5F71" w:rsidRPr="004D5AB1" w:rsidRDefault="00CA5F71">
            <w:pPr>
              <w:autoSpaceDE w:val="0"/>
              <w:autoSpaceDN w:val="0"/>
              <w:adjustRightInd w:val="0"/>
              <w:jc w:val="center"/>
              <w:rPr>
                <w:sz w:val="24"/>
                <w:szCs w:val="24"/>
              </w:rPr>
            </w:pPr>
            <w:r w:rsidRPr="004D5AB1">
              <w:rPr>
                <w:sz w:val="24"/>
                <w:szCs w:val="24"/>
              </w:rPr>
              <w:t>2541,0 (815,5)</w:t>
            </w:r>
          </w:p>
        </w:tc>
        <w:tc>
          <w:tcPr>
            <w:tcW w:w="1668" w:type="pct"/>
            <w:tcBorders>
              <w:top w:val="single" w:sz="4" w:space="0" w:color="auto"/>
              <w:left w:val="single" w:sz="4" w:space="0" w:color="auto"/>
              <w:bottom w:val="single" w:sz="4" w:space="0" w:color="auto"/>
              <w:right w:val="single" w:sz="4" w:space="0" w:color="auto"/>
            </w:tcBorders>
            <w:vAlign w:val="center"/>
            <w:hideMark/>
          </w:tcPr>
          <w:p w14:paraId="633D3833" w14:textId="77777777" w:rsidR="00CA5F71" w:rsidRPr="004D5AB1" w:rsidRDefault="00CA5F71">
            <w:pPr>
              <w:autoSpaceDE w:val="0"/>
              <w:autoSpaceDN w:val="0"/>
              <w:adjustRightInd w:val="0"/>
              <w:jc w:val="center"/>
              <w:rPr>
                <w:sz w:val="24"/>
                <w:szCs w:val="24"/>
              </w:rPr>
            </w:pPr>
            <w:r w:rsidRPr="004D5AB1">
              <w:rPr>
                <w:sz w:val="24"/>
                <w:szCs w:val="24"/>
              </w:rPr>
              <w:t>2458,5 (735,9)</w:t>
            </w:r>
          </w:p>
        </w:tc>
      </w:tr>
      <w:tr w:rsidR="00CA5F71" w:rsidRPr="004D5AB1" w14:paraId="525D24BF"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65331D15" w14:textId="77777777" w:rsidR="00CA5F71" w:rsidRPr="004D5AB1" w:rsidRDefault="00CA5F71">
            <w:pPr>
              <w:autoSpaceDE w:val="0"/>
              <w:autoSpaceDN w:val="0"/>
              <w:adjustRightInd w:val="0"/>
              <w:rPr>
                <w:sz w:val="24"/>
                <w:szCs w:val="24"/>
              </w:rPr>
            </w:pPr>
            <w:r w:rsidRPr="004D5AB1">
              <w:rPr>
                <w:sz w:val="24"/>
                <w:szCs w:val="24"/>
              </w:rPr>
              <w:t>Gennemsnitlig</w:t>
            </w:r>
            <w:r w:rsidRPr="004D5AB1">
              <w:rPr>
                <w:sz w:val="24"/>
                <w:szCs w:val="24"/>
                <w:vertAlign w:val="superscript"/>
              </w:rPr>
              <w:t>1</w:t>
            </w:r>
            <w:r w:rsidRPr="004D5AB1">
              <w:rPr>
                <w:sz w:val="24"/>
                <w:szCs w:val="24"/>
              </w:rPr>
              <w:t xml:space="preserve"> (SE) ændring fra </w:t>
            </w:r>
            <w:r w:rsidRPr="004D5AB1">
              <w:rPr>
                <w:i/>
                <w:iCs/>
                <w:sz w:val="24"/>
                <w:szCs w:val="24"/>
              </w:rPr>
              <w:t xml:space="preserve">baseline </w:t>
            </w:r>
            <w:r w:rsidRPr="004D5AB1">
              <w:rPr>
                <w:sz w:val="24"/>
                <w:szCs w:val="24"/>
              </w:rPr>
              <w:t>ved uge 52</w:t>
            </w:r>
          </w:p>
        </w:tc>
        <w:tc>
          <w:tcPr>
            <w:tcW w:w="1666" w:type="pct"/>
            <w:tcBorders>
              <w:top w:val="single" w:sz="4" w:space="0" w:color="auto"/>
              <w:left w:val="single" w:sz="4" w:space="0" w:color="auto"/>
              <w:bottom w:val="single" w:sz="4" w:space="0" w:color="auto"/>
              <w:right w:val="single" w:sz="4" w:space="0" w:color="auto"/>
            </w:tcBorders>
            <w:vAlign w:val="bottom"/>
            <w:hideMark/>
          </w:tcPr>
          <w:p w14:paraId="74EF8E3C" w14:textId="77777777" w:rsidR="00CA5F71" w:rsidRPr="004D5AB1" w:rsidRDefault="00CA5F71">
            <w:pPr>
              <w:autoSpaceDE w:val="0"/>
              <w:autoSpaceDN w:val="0"/>
              <w:adjustRightInd w:val="0"/>
              <w:jc w:val="center"/>
              <w:rPr>
                <w:sz w:val="24"/>
                <w:szCs w:val="24"/>
              </w:rPr>
            </w:pPr>
            <w:r w:rsidRPr="004D5AB1">
              <w:rPr>
                <w:sz w:val="24"/>
                <w:szCs w:val="24"/>
              </w:rPr>
              <w:t>-101,0 (13,6)</w:t>
            </w:r>
          </w:p>
        </w:tc>
        <w:tc>
          <w:tcPr>
            <w:tcW w:w="1668" w:type="pct"/>
            <w:tcBorders>
              <w:top w:val="single" w:sz="4" w:space="0" w:color="auto"/>
              <w:left w:val="single" w:sz="4" w:space="0" w:color="auto"/>
              <w:bottom w:val="single" w:sz="4" w:space="0" w:color="auto"/>
              <w:right w:val="single" w:sz="4" w:space="0" w:color="auto"/>
            </w:tcBorders>
            <w:vAlign w:val="bottom"/>
            <w:hideMark/>
          </w:tcPr>
          <w:p w14:paraId="25308B4F" w14:textId="77777777" w:rsidR="00CA5F71" w:rsidRPr="004D5AB1" w:rsidRDefault="00CA5F71">
            <w:pPr>
              <w:autoSpaceDE w:val="0"/>
              <w:autoSpaceDN w:val="0"/>
              <w:adjustRightInd w:val="0"/>
              <w:jc w:val="center"/>
              <w:rPr>
                <w:sz w:val="24"/>
                <w:szCs w:val="24"/>
              </w:rPr>
            </w:pPr>
            <w:r w:rsidRPr="004D5AB1">
              <w:rPr>
                <w:sz w:val="24"/>
                <w:szCs w:val="24"/>
              </w:rPr>
              <w:t>-54,6 (13,9)</w:t>
            </w:r>
          </w:p>
        </w:tc>
      </w:tr>
      <w:tr w:rsidR="00CA5F71" w:rsidRPr="004D5AB1" w14:paraId="6F7231F8" w14:textId="77777777" w:rsidTr="0015226E">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A57A56D" w14:textId="77777777" w:rsidR="00CA5F71" w:rsidRPr="004D5AB1" w:rsidRDefault="00CA5F71">
            <w:pPr>
              <w:autoSpaceDE w:val="0"/>
              <w:autoSpaceDN w:val="0"/>
              <w:adjustRightInd w:val="0"/>
              <w:rPr>
                <w:sz w:val="24"/>
                <w:szCs w:val="24"/>
              </w:rPr>
            </w:pPr>
            <w:r w:rsidRPr="004D5AB1">
              <w:rPr>
                <w:sz w:val="24"/>
                <w:szCs w:val="24"/>
              </w:rPr>
              <w:t>Sammenlignet med placebo</w:t>
            </w:r>
          </w:p>
        </w:tc>
      </w:tr>
      <w:tr w:rsidR="00CA5F71" w:rsidRPr="004D5AB1" w14:paraId="5C92B67B"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0AF3DC1A" w14:textId="77777777" w:rsidR="00CA5F71" w:rsidRPr="004D5AB1" w:rsidRDefault="00CA5F71">
            <w:pPr>
              <w:autoSpaceDE w:val="0"/>
              <w:autoSpaceDN w:val="0"/>
              <w:adjustRightInd w:val="0"/>
              <w:rPr>
                <w:sz w:val="24"/>
                <w:szCs w:val="24"/>
              </w:rPr>
            </w:pPr>
            <w:r w:rsidRPr="004D5AB1">
              <w:rPr>
                <w:sz w:val="24"/>
                <w:szCs w:val="24"/>
              </w:rPr>
              <w:t>Gennemsnit</w:t>
            </w:r>
            <w:r w:rsidRPr="004D5AB1">
              <w:rPr>
                <w:sz w:val="24"/>
                <w:szCs w:val="24"/>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484F7F3A"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2CD0AD3D" w14:textId="77777777" w:rsidR="00CA5F71" w:rsidRPr="004D5AB1" w:rsidRDefault="00CA5F71">
            <w:pPr>
              <w:autoSpaceDE w:val="0"/>
              <w:autoSpaceDN w:val="0"/>
              <w:adjustRightInd w:val="0"/>
              <w:jc w:val="center"/>
              <w:rPr>
                <w:sz w:val="24"/>
                <w:szCs w:val="24"/>
              </w:rPr>
            </w:pPr>
            <w:r w:rsidRPr="004D5AB1">
              <w:rPr>
                <w:sz w:val="24"/>
                <w:szCs w:val="24"/>
              </w:rPr>
              <w:t>46,4</w:t>
            </w:r>
          </w:p>
        </w:tc>
      </w:tr>
      <w:tr w:rsidR="00CA5F71" w:rsidRPr="004D5AB1" w14:paraId="6C09B78D"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036F64CE" w14:textId="77777777" w:rsidR="00CA5F71" w:rsidRPr="004D5AB1" w:rsidRDefault="00CA5F71">
            <w:pPr>
              <w:autoSpaceDE w:val="0"/>
              <w:autoSpaceDN w:val="0"/>
              <w:adjustRightInd w:val="0"/>
              <w:rPr>
                <w:sz w:val="24"/>
                <w:szCs w:val="24"/>
              </w:rPr>
            </w:pPr>
            <w:r w:rsidRPr="004D5AB1">
              <w:rPr>
                <w:sz w:val="24"/>
                <w:szCs w:val="24"/>
              </w:rPr>
              <w:t>95 % CI</w:t>
            </w:r>
          </w:p>
        </w:tc>
        <w:tc>
          <w:tcPr>
            <w:tcW w:w="1666" w:type="pct"/>
            <w:tcBorders>
              <w:top w:val="single" w:sz="4" w:space="0" w:color="auto"/>
              <w:left w:val="single" w:sz="4" w:space="0" w:color="auto"/>
              <w:bottom w:val="single" w:sz="4" w:space="0" w:color="auto"/>
              <w:right w:val="single" w:sz="4" w:space="0" w:color="auto"/>
            </w:tcBorders>
            <w:vAlign w:val="center"/>
          </w:tcPr>
          <w:p w14:paraId="637AD753"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AA37699" w14:textId="77777777" w:rsidR="00CA5F71" w:rsidRPr="004D5AB1" w:rsidRDefault="00CA5F71">
            <w:pPr>
              <w:autoSpaceDE w:val="0"/>
              <w:autoSpaceDN w:val="0"/>
              <w:adjustRightInd w:val="0"/>
              <w:jc w:val="center"/>
              <w:rPr>
                <w:sz w:val="24"/>
                <w:szCs w:val="24"/>
              </w:rPr>
            </w:pPr>
            <w:r w:rsidRPr="004D5AB1">
              <w:rPr>
                <w:sz w:val="24"/>
                <w:szCs w:val="24"/>
              </w:rPr>
              <w:t>(8,1; 84,7)</w:t>
            </w:r>
          </w:p>
        </w:tc>
      </w:tr>
      <w:tr w:rsidR="00CA5F71" w:rsidRPr="004D5AB1" w14:paraId="6EE12142"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4BD392AF" w14:textId="77777777" w:rsidR="00CA5F71" w:rsidRPr="004D5AB1" w:rsidRDefault="00CA5F71">
            <w:pPr>
              <w:autoSpaceDE w:val="0"/>
              <w:autoSpaceDN w:val="0"/>
              <w:adjustRightInd w:val="0"/>
              <w:rPr>
                <w:sz w:val="24"/>
                <w:szCs w:val="24"/>
              </w:rPr>
            </w:pPr>
            <w:proofErr w:type="spellStart"/>
            <w:r w:rsidRPr="004D5AB1">
              <w:rPr>
                <w:sz w:val="24"/>
                <w:szCs w:val="24"/>
              </w:rPr>
              <w:t>p-værdi</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0EAF2429"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00AF18A" w14:textId="77777777" w:rsidR="00CA5F71" w:rsidRPr="004D5AB1" w:rsidRDefault="00CA5F71">
            <w:pPr>
              <w:autoSpaceDE w:val="0"/>
              <w:autoSpaceDN w:val="0"/>
              <w:adjustRightInd w:val="0"/>
              <w:jc w:val="center"/>
              <w:rPr>
                <w:sz w:val="24"/>
                <w:szCs w:val="24"/>
              </w:rPr>
            </w:pPr>
            <w:r w:rsidRPr="004D5AB1">
              <w:rPr>
                <w:sz w:val="24"/>
                <w:szCs w:val="24"/>
              </w:rPr>
              <w:t>&lt;0,05</w:t>
            </w:r>
          </w:p>
        </w:tc>
      </w:tr>
    </w:tbl>
    <w:p w14:paraId="4DC5D0FE"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Baseret på en blandet model for gentagne målinger (</w:t>
      </w:r>
      <w:r w:rsidRPr="0099618E">
        <w:rPr>
          <w:i/>
          <w:iCs/>
          <w:sz w:val="20"/>
        </w:rPr>
        <w:t xml:space="preserve">mixed model for </w:t>
      </w:r>
      <w:proofErr w:type="spellStart"/>
      <w:r w:rsidRPr="0099618E">
        <w:rPr>
          <w:i/>
          <w:iCs/>
          <w:sz w:val="20"/>
        </w:rPr>
        <w:t>repeated</w:t>
      </w:r>
      <w:proofErr w:type="spellEnd"/>
      <w:r w:rsidRPr="0099618E">
        <w:rPr>
          <w:i/>
          <w:iCs/>
          <w:sz w:val="20"/>
        </w:rPr>
        <w:t xml:space="preserve"> measures, </w:t>
      </w:r>
      <w:r w:rsidRPr="0099618E">
        <w:rPr>
          <w:sz w:val="20"/>
        </w:rPr>
        <w:t xml:space="preserve">MMRM), med fikseret kategorisk virkning af ATA-status, besøg, behandling pr. besøg-interaktion, </w:t>
      </w:r>
      <w:r w:rsidRPr="0099618E">
        <w:rPr>
          <w:i/>
          <w:iCs/>
          <w:sz w:val="20"/>
        </w:rPr>
        <w:t xml:space="preserve">baseline </w:t>
      </w:r>
      <w:r w:rsidRPr="0099618E">
        <w:rPr>
          <w:sz w:val="20"/>
        </w:rPr>
        <w:t xml:space="preserve">pr. besøg-interaktion, alder, køn og højde. Besøget var den gentagne måling. </w:t>
      </w:r>
      <w:proofErr w:type="spellStart"/>
      <w:r w:rsidRPr="0099618E">
        <w:rPr>
          <w:sz w:val="20"/>
        </w:rPr>
        <w:t>Intra</w:t>
      </w:r>
      <w:proofErr w:type="spellEnd"/>
      <w:r w:rsidRPr="0099618E">
        <w:rPr>
          <w:sz w:val="20"/>
        </w:rPr>
        <w:t>-patient fejl blev modelleret ved en ustruktureret varians-</w:t>
      </w:r>
      <w:proofErr w:type="spellStart"/>
      <w:r w:rsidRPr="0099618E">
        <w:rPr>
          <w:sz w:val="20"/>
        </w:rPr>
        <w:t>kovarians</w:t>
      </w:r>
      <w:proofErr w:type="spellEnd"/>
      <w:r w:rsidRPr="0099618E">
        <w:rPr>
          <w:sz w:val="20"/>
        </w:rPr>
        <w:t xml:space="preserve">-struktur. Justeret gennemsnit var baseret på alle analyserede patienter i modellen (ikke kun patienter med en </w:t>
      </w:r>
      <w:r w:rsidRPr="0099618E">
        <w:rPr>
          <w:i/>
          <w:iCs/>
          <w:sz w:val="20"/>
        </w:rPr>
        <w:t xml:space="preserve">baseline </w:t>
      </w:r>
      <w:r w:rsidRPr="0099618E">
        <w:rPr>
          <w:sz w:val="20"/>
        </w:rPr>
        <w:t>og måling ved uge 52).</w:t>
      </w:r>
    </w:p>
    <w:p w14:paraId="38EF8F65" w14:textId="77777777" w:rsidR="00CA5F71" w:rsidRPr="004D5AB1" w:rsidRDefault="00CA5F71" w:rsidP="00CA5F71">
      <w:pPr>
        <w:autoSpaceDE w:val="0"/>
        <w:autoSpaceDN w:val="0"/>
        <w:adjustRightInd w:val="0"/>
        <w:rPr>
          <w:sz w:val="24"/>
          <w:szCs w:val="24"/>
        </w:rPr>
      </w:pPr>
    </w:p>
    <w:p w14:paraId="595CD77A" w14:textId="77777777" w:rsidR="00CA5F71" w:rsidRPr="004D5AB1" w:rsidRDefault="00CA5F71" w:rsidP="00CA5F71">
      <w:pPr>
        <w:keepNext/>
        <w:autoSpaceDE w:val="0"/>
        <w:autoSpaceDN w:val="0"/>
        <w:adjustRightInd w:val="0"/>
        <w:ind w:left="1134" w:hanging="1134"/>
        <w:rPr>
          <w:b/>
          <w:sz w:val="24"/>
          <w:szCs w:val="24"/>
        </w:rPr>
      </w:pPr>
      <w:r w:rsidRPr="004D5AB1">
        <w:rPr>
          <w:b/>
          <w:bCs/>
          <w:sz w:val="24"/>
          <w:szCs w:val="24"/>
        </w:rPr>
        <w:t xml:space="preserve">Tabel 12: </w:t>
      </w:r>
      <w:r w:rsidRPr="004D5AB1">
        <w:rPr>
          <w:b/>
          <w:bCs/>
          <w:sz w:val="24"/>
          <w:szCs w:val="24"/>
        </w:rPr>
        <w:tab/>
        <w:t>Årligt fald i FVC (% af forventet) over 52 uger</w:t>
      </w:r>
    </w:p>
    <w:tbl>
      <w:tblPr>
        <w:tblStyle w:val="Tabel-Gitter"/>
        <w:tblW w:w="5000" w:type="pct"/>
        <w:tblInd w:w="0" w:type="dxa"/>
        <w:tblLook w:val="04A0" w:firstRow="1" w:lastRow="0" w:firstColumn="1" w:lastColumn="0" w:noHBand="0" w:noVBand="1"/>
      </w:tblPr>
      <w:tblGrid>
        <w:gridCol w:w="3208"/>
        <w:gridCol w:w="3208"/>
        <w:gridCol w:w="3212"/>
      </w:tblGrid>
      <w:tr w:rsidR="00CA5F71" w:rsidRPr="004D5AB1" w14:paraId="1EE58749" w14:textId="77777777" w:rsidTr="0015226E">
        <w:trPr>
          <w:tblHeader/>
        </w:trPr>
        <w:tc>
          <w:tcPr>
            <w:tcW w:w="1666" w:type="pct"/>
            <w:tcBorders>
              <w:top w:val="single" w:sz="4" w:space="0" w:color="auto"/>
              <w:left w:val="single" w:sz="4" w:space="0" w:color="auto"/>
              <w:bottom w:val="single" w:sz="4" w:space="0" w:color="auto"/>
              <w:right w:val="single" w:sz="4" w:space="0" w:color="auto"/>
            </w:tcBorders>
          </w:tcPr>
          <w:p w14:paraId="59C34F97" w14:textId="77777777" w:rsidR="00CA5F71" w:rsidRPr="004D5AB1" w:rsidRDefault="00CA5F71">
            <w:pPr>
              <w:autoSpaceDE w:val="0"/>
              <w:autoSpaceDN w:val="0"/>
              <w:adjustRightInd w:val="0"/>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34D13FC1" w14:textId="77777777" w:rsidR="00CA5F71" w:rsidRPr="004D5AB1" w:rsidRDefault="00CA5F71">
            <w:pPr>
              <w:autoSpaceDE w:val="0"/>
              <w:autoSpaceDN w:val="0"/>
              <w:adjustRightInd w:val="0"/>
              <w:jc w:val="center"/>
              <w:rPr>
                <w:sz w:val="24"/>
                <w:szCs w:val="24"/>
              </w:rPr>
            </w:pPr>
            <w:r w:rsidRPr="004D5AB1">
              <w:rPr>
                <w:sz w:val="24"/>
                <w:szCs w:val="24"/>
              </w:rPr>
              <w:t>Placebo</w:t>
            </w:r>
          </w:p>
        </w:tc>
        <w:tc>
          <w:tcPr>
            <w:tcW w:w="1668" w:type="pct"/>
            <w:tcBorders>
              <w:top w:val="single" w:sz="4" w:space="0" w:color="auto"/>
              <w:left w:val="single" w:sz="4" w:space="0" w:color="auto"/>
              <w:bottom w:val="single" w:sz="4" w:space="0" w:color="auto"/>
              <w:right w:val="single" w:sz="4" w:space="0" w:color="auto"/>
            </w:tcBorders>
            <w:hideMark/>
          </w:tcPr>
          <w:p w14:paraId="5A87982B" w14:textId="77777777" w:rsidR="00CA5F71" w:rsidRPr="004D5AB1" w:rsidRDefault="00CA5F71">
            <w:pPr>
              <w:autoSpaceDE w:val="0"/>
              <w:autoSpaceDN w:val="0"/>
              <w:adjustRightInd w:val="0"/>
              <w:jc w:val="center"/>
              <w:rPr>
                <w:sz w:val="24"/>
                <w:szCs w:val="24"/>
              </w:rPr>
            </w:pPr>
            <w:proofErr w:type="spellStart"/>
            <w:r w:rsidRPr="004D5AB1">
              <w:rPr>
                <w:sz w:val="24"/>
                <w:szCs w:val="24"/>
              </w:rPr>
              <w:t>Nintedanib</w:t>
            </w:r>
            <w:proofErr w:type="spellEnd"/>
            <w:r w:rsidRPr="004D5AB1">
              <w:rPr>
                <w:sz w:val="24"/>
                <w:szCs w:val="24"/>
              </w:rPr>
              <w:t xml:space="preserve"> 150 mg to gange dagligt</w:t>
            </w:r>
          </w:p>
        </w:tc>
      </w:tr>
      <w:tr w:rsidR="00CA5F71" w:rsidRPr="004D5AB1" w14:paraId="3D6403DA"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6683B0F1" w14:textId="77777777" w:rsidR="00CA5F71" w:rsidRPr="004D5AB1" w:rsidRDefault="00CA5F71">
            <w:pPr>
              <w:autoSpaceDE w:val="0"/>
              <w:autoSpaceDN w:val="0"/>
              <w:adjustRightInd w:val="0"/>
              <w:rPr>
                <w:sz w:val="24"/>
                <w:szCs w:val="24"/>
              </w:rPr>
            </w:pPr>
            <w:r w:rsidRPr="004D5AB1">
              <w:rPr>
                <w:sz w:val="24"/>
                <w:szCs w:val="24"/>
              </w:rPr>
              <w:t>Antal analyserede patienter</w:t>
            </w:r>
          </w:p>
        </w:tc>
        <w:tc>
          <w:tcPr>
            <w:tcW w:w="1666" w:type="pct"/>
            <w:tcBorders>
              <w:top w:val="single" w:sz="4" w:space="0" w:color="auto"/>
              <w:left w:val="single" w:sz="4" w:space="0" w:color="auto"/>
              <w:bottom w:val="single" w:sz="4" w:space="0" w:color="auto"/>
              <w:right w:val="single" w:sz="4" w:space="0" w:color="auto"/>
            </w:tcBorders>
            <w:vAlign w:val="center"/>
            <w:hideMark/>
          </w:tcPr>
          <w:p w14:paraId="6527FAF2" w14:textId="77777777" w:rsidR="00CA5F71" w:rsidRPr="004D5AB1" w:rsidRDefault="00CA5F71">
            <w:pPr>
              <w:autoSpaceDE w:val="0"/>
              <w:autoSpaceDN w:val="0"/>
              <w:adjustRightInd w:val="0"/>
              <w:jc w:val="center"/>
              <w:rPr>
                <w:sz w:val="24"/>
                <w:szCs w:val="24"/>
              </w:rPr>
            </w:pPr>
            <w:r w:rsidRPr="004D5AB1">
              <w:rPr>
                <w:sz w:val="24"/>
                <w:szCs w:val="24"/>
              </w:rPr>
              <w:t>288</w:t>
            </w:r>
          </w:p>
        </w:tc>
        <w:tc>
          <w:tcPr>
            <w:tcW w:w="1668" w:type="pct"/>
            <w:tcBorders>
              <w:top w:val="single" w:sz="4" w:space="0" w:color="auto"/>
              <w:left w:val="single" w:sz="4" w:space="0" w:color="auto"/>
              <w:bottom w:val="single" w:sz="4" w:space="0" w:color="auto"/>
              <w:right w:val="single" w:sz="4" w:space="0" w:color="auto"/>
            </w:tcBorders>
            <w:vAlign w:val="center"/>
            <w:hideMark/>
          </w:tcPr>
          <w:p w14:paraId="49D2F73F" w14:textId="77777777" w:rsidR="00CA5F71" w:rsidRPr="004D5AB1" w:rsidRDefault="00CA5F71">
            <w:pPr>
              <w:autoSpaceDE w:val="0"/>
              <w:autoSpaceDN w:val="0"/>
              <w:adjustRightInd w:val="0"/>
              <w:jc w:val="center"/>
              <w:rPr>
                <w:sz w:val="24"/>
                <w:szCs w:val="24"/>
              </w:rPr>
            </w:pPr>
            <w:r w:rsidRPr="004D5AB1">
              <w:rPr>
                <w:sz w:val="24"/>
                <w:szCs w:val="24"/>
              </w:rPr>
              <w:t>287</w:t>
            </w:r>
          </w:p>
        </w:tc>
      </w:tr>
      <w:tr w:rsidR="00CA5F71" w:rsidRPr="004D5AB1" w14:paraId="5BD5C953"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40F4A57A" w14:textId="77777777" w:rsidR="00CA5F71" w:rsidRPr="004D5AB1" w:rsidRDefault="00CA5F71">
            <w:pPr>
              <w:autoSpaceDE w:val="0"/>
              <w:autoSpaceDN w:val="0"/>
              <w:adjustRightInd w:val="0"/>
              <w:rPr>
                <w:sz w:val="24"/>
                <w:szCs w:val="24"/>
              </w:rPr>
            </w:pPr>
            <w:r w:rsidRPr="004D5AB1">
              <w:rPr>
                <w:sz w:val="24"/>
                <w:szCs w:val="24"/>
              </w:rPr>
              <w:t>Fald i FVC</w:t>
            </w:r>
            <w:r w:rsidRPr="004D5AB1">
              <w:rPr>
                <w:sz w:val="24"/>
                <w:szCs w:val="24"/>
                <w:vertAlign w:val="superscript"/>
              </w:rPr>
              <w:t>1</w:t>
            </w:r>
            <w:r w:rsidRPr="004D5AB1">
              <w:rPr>
                <w:sz w:val="24"/>
                <w:szCs w:val="24"/>
              </w:rPr>
              <w:t xml:space="preserve"> (SE) over 52 uger</w:t>
            </w:r>
          </w:p>
        </w:tc>
        <w:tc>
          <w:tcPr>
            <w:tcW w:w="1666" w:type="pct"/>
            <w:tcBorders>
              <w:top w:val="single" w:sz="4" w:space="0" w:color="auto"/>
              <w:left w:val="single" w:sz="4" w:space="0" w:color="auto"/>
              <w:bottom w:val="single" w:sz="4" w:space="0" w:color="auto"/>
              <w:right w:val="single" w:sz="4" w:space="0" w:color="auto"/>
            </w:tcBorders>
            <w:vAlign w:val="bottom"/>
            <w:hideMark/>
          </w:tcPr>
          <w:p w14:paraId="047D06A6" w14:textId="77777777" w:rsidR="00CA5F71" w:rsidRPr="004D5AB1" w:rsidRDefault="00CA5F71">
            <w:pPr>
              <w:autoSpaceDE w:val="0"/>
              <w:autoSpaceDN w:val="0"/>
              <w:adjustRightInd w:val="0"/>
              <w:jc w:val="center"/>
              <w:rPr>
                <w:sz w:val="24"/>
                <w:szCs w:val="24"/>
              </w:rPr>
            </w:pPr>
            <w:r w:rsidRPr="004D5AB1">
              <w:rPr>
                <w:sz w:val="24"/>
                <w:szCs w:val="24"/>
              </w:rPr>
              <w:t>-2,6 (0,4)</w:t>
            </w:r>
          </w:p>
        </w:tc>
        <w:tc>
          <w:tcPr>
            <w:tcW w:w="1668" w:type="pct"/>
            <w:tcBorders>
              <w:top w:val="single" w:sz="4" w:space="0" w:color="auto"/>
              <w:left w:val="single" w:sz="4" w:space="0" w:color="auto"/>
              <w:bottom w:val="single" w:sz="4" w:space="0" w:color="auto"/>
              <w:right w:val="single" w:sz="4" w:space="0" w:color="auto"/>
            </w:tcBorders>
            <w:vAlign w:val="bottom"/>
            <w:hideMark/>
          </w:tcPr>
          <w:p w14:paraId="4B74D32A" w14:textId="77777777" w:rsidR="00CA5F71" w:rsidRPr="004D5AB1" w:rsidRDefault="00CA5F71">
            <w:pPr>
              <w:autoSpaceDE w:val="0"/>
              <w:autoSpaceDN w:val="0"/>
              <w:adjustRightInd w:val="0"/>
              <w:jc w:val="center"/>
              <w:rPr>
                <w:sz w:val="24"/>
                <w:szCs w:val="24"/>
              </w:rPr>
            </w:pPr>
            <w:r w:rsidRPr="004D5AB1">
              <w:rPr>
                <w:sz w:val="24"/>
                <w:szCs w:val="24"/>
              </w:rPr>
              <w:t>-1,4 (0,4)</w:t>
            </w:r>
          </w:p>
        </w:tc>
      </w:tr>
      <w:tr w:rsidR="00CA5F71" w:rsidRPr="004D5AB1" w14:paraId="1BD9F38D" w14:textId="77777777" w:rsidTr="0015226E">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399518A" w14:textId="77777777" w:rsidR="00CA5F71" w:rsidRPr="004D5AB1" w:rsidRDefault="00CA5F71">
            <w:pPr>
              <w:autoSpaceDE w:val="0"/>
              <w:autoSpaceDN w:val="0"/>
              <w:adjustRightInd w:val="0"/>
              <w:rPr>
                <w:sz w:val="24"/>
                <w:szCs w:val="24"/>
              </w:rPr>
            </w:pPr>
            <w:r w:rsidRPr="004D5AB1">
              <w:rPr>
                <w:sz w:val="24"/>
                <w:szCs w:val="24"/>
              </w:rPr>
              <w:t>Sammenlignet med placebo</w:t>
            </w:r>
          </w:p>
        </w:tc>
      </w:tr>
      <w:tr w:rsidR="00CA5F71" w:rsidRPr="004D5AB1" w14:paraId="048580FA"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13612897" w14:textId="77777777" w:rsidR="00CA5F71" w:rsidRPr="004D5AB1" w:rsidRDefault="00CA5F71">
            <w:pPr>
              <w:autoSpaceDE w:val="0"/>
              <w:autoSpaceDN w:val="0"/>
              <w:adjustRightInd w:val="0"/>
              <w:rPr>
                <w:sz w:val="24"/>
                <w:szCs w:val="24"/>
                <w:vertAlign w:val="superscript"/>
              </w:rPr>
            </w:pPr>
            <w:r w:rsidRPr="004D5AB1">
              <w:rPr>
                <w:sz w:val="24"/>
                <w:szCs w:val="24"/>
              </w:rPr>
              <w:lastRenderedPageBreak/>
              <w:t>Forskel</w:t>
            </w:r>
            <w:r w:rsidRPr="004D5AB1">
              <w:rPr>
                <w:sz w:val="24"/>
                <w:szCs w:val="24"/>
                <w:vertAlign w:val="superscript"/>
              </w:rPr>
              <w:t>1</w:t>
            </w:r>
          </w:p>
        </w:tc>
        <w:tc>
          <w:tcPr>
            <w:tcW w:w="1666" w:type="pct"/>
            <w:tcBorders>
              <w:top w:val="single" w:sz="4" w:space="0" w:color="auto"/>
              <w:left w:val="single" w:sz="4" w:space="0" w:color="auto"/>
              <w:bottom w:val="single" w:sz="4" w:space="0" w:color="auto"/>
              <w:right w:val="single" w:sz="4" w:space="0" w:color="auto"/>
            </w:tcBorders>
            <w:vAlign w:val="center"/>
          </w:tcPr>
          <w:p w14:paraId="115EDD75"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7F62989B" w14:textId="77777777" w:rsidR="00CA5F71" w:rsidRPr="004D5AB1" w:rsidRDefault="00CA5F71">
            <w:pPr>
              <w:autoSpaceDE w:val="0"/>
              <w:autoSpaceDN w:val="0"/>
              <w:adjustRightInd w:val="0"/>
              <w:jc w:val="center"/>
              <w:rPr>
                <w:sz w:val="24"/>
                <w:szCs w:val="24"/>
              </w:rPr>
            </w:pPr>
            <w:r w:rsidRPr="004D5AB1">
              <w:rPr>
                <w:sz w:val="24"/>
                <w:szCs w:val="24"/>
              </w:rPr>
              <w:t>1,15</w:t>
            </w:r>
          </w:p>
        </w:tc>
      </w:tr>
      <w:tr w:rsidR="00CA5F71" w:rsidRPr="004D5AB1" w14:paraId="5B7BDEDD"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10B1A44E" w14:textId="77777777" w:rsidR="00CA5F71" w:rsidRPr="004D5AB1" w:rsidRDefault="00CA5F71">
            <w:pPr>
              <w:autoSpaceDE w:val="0"/>
              <w:autoSpaceDN w:val="0"/>
              <w:adjustRightInd w:val="0"/>
              <w:rPr>
                <w:sz w:val="24"/>
                <w:szCs w:val="24"/>
              </w:rPr>
            </w:pPr>
            <w:r w:rsidRPr="004D5AB1">
              <w:rPr>
                <w:sz w:val="24"/>
                <w:szCs w:val="24"/>
              </w:rPr>
              <w:t>95 % CI</w:t>
            </w:r>
          </w:p>
        </w:tc>
        <w:tc>
          <w:tcPr>
            <w:tcW w:w="1666" w:type="pct"/>
            <w:tcBorders>
              <w:top w:val="single" w:sz="4" w:space="0" w:color="auto"/>
              <w:left w:val="single" w:sz="4" w:space="0" w:color="auto"/>
              <w:bottom w:val="single" w:sz="4" w:space="0" w:color="auto"/>
              <w:right w:val="single" w:sz="4" w:space="0" w:color="auto"/>
            </w:tcBorders>
            <w:vAlign w:val="center"/>
          </w:tcPr>
          <w:p w14:paraId="09F901A2"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30C0474B" w14:textId="77777777" w:rsidR="00CA5F71" w:rsidRPr="004D5AB1" w:rsidRDefault="00CA5F71">
            <w:pPr>
              <w:autoSpaceDE w:val="0"/>
              <w:autoSpaceDN w:val="0"/>
              <w:adjustRightInd w:val="0"/>
              <w:jc w:val="center"/>
              <w:rPr>
                <w:sz w:val="24"/>
                <w:szCs w:val="24"/>
              </w:rPr>
            </w:pPr>
            <w:r w:rsidRPr="004D5AB1">
              <w:rPr>
                <w:sz w:val="24"/>
                <w:szCs w:val="24"/>
              </w:rPr>
              <w:t>(0,09; 2,21)</w:t>
            </w:r>
          </w:p>
        </w:tc>
      </w:tr>
      <w:tr w:rsidR="00CA5F71" w:rsidRPr="004D5AB1" w14:paraId="692A8FCA" w14:textId="77777777" w:rsidTr="0015226E">
        <w:tc>
          <w:tcPr>
            <w:tcW w:w="1666" w:type="pct"/>
            <w:tcBorders>
              <w:top w:val="single" w:sz="4" w:space="0" w:color="auto"/>
              <w:left w:val="single" w:sz="4" w:space="0" w:color="auto"/>
              <w:bottom w:val="single" w:sz="4" w:space="0" w:color="auto"/>
              <w:right w:val="single" w:sz="4" w:space="0" w:color="auto"/>
            </w:tcBorders>
            <w:hideMark/>
          </w:tcPr>
          <w:p w14:paraId="3A219D3A" w14:textId="77777777" w:rsidR="00CA5F71" w:rsidRPr="004D5AB1" w:rsidRDefault="00CA5F71">
            <w:pPr>
              <w:autoSpaceDE w:val="0"/>
              <w:autoSpaceDN w:val="0"/>
              <w:adjustRightInd w:val="0"/>
              <w:rPr>
                <w:sz w:val="24"/>
                <w:szCs w:val="24"/>
              </w:rPr>
            </w:pPr>
            <w:proofErr w:type="spellStart"/>
            <w:r w:rsidRPr="004D5AB1">
              <w:rPr>
                <w:sz w:val="24"/>
                <w:szCs w:val="24"/>
              </w:rPr>
              <w:t>p-værdi</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14:paraId="369984DA" w14:textId="77777777" w:rsidR="00CA5F71" w:rsidRPr="004D5AB1" w:rsidRDefault="00CA5F71">
            <w:pPr>
              <w:autoSpaceDE w:val="0"/>
              <w:autoSpaceDN w:val="0"/>
              <w:adjustRightInd w:val="0"/>
              <w:jc w:val="center"/>
              <w:rPr>
                <w:sz w:val="24"/>
                <w:szCs w:val="24"/>
              </w:rPr>
            </w:pPr>
          </w:p>
        </w:tc>
        <w:tc>
          <w:tcPr>
            <w:tcW w:w="1668" w:type="pct"/>
            <w:tcBorders>
              <w:top w:val="single" w:sz="4" w:space="0" w:color="auto"/>
              <w:left w:val="single" w:sz="4" w:space="0" w:color="auto"/>
              <w:bottom w:val="single" w:sz="4" w:space="0" w:color="auto"/>
              <w:right w:val="single" w:sz="4" w:space="0" w:color="auto"/>
            </w:tcBorders>
            <w:vAlign w:val="center"/>
            <w:hideMark/>
          </w:tcPr>
          <w:p w14:paraId="3A8A5D50" w14:textId="77777777" w:rsidR="00CA5F71" w:rsidRPr="004D5AB1" w:rsidRDefault="00CA5F71">
            <w:pPr>
              <w:autoSpaceDE w:val="0"/>
              <w:autoSpaceDN w:val="0"/>
              <w:adjustRightInd w:val="0"/>
              <w:jc w:val="center"/>
              <w:rPr>
                <w:sz w:val="24"/>
                <w:szCs w:val="24"/>
              </w:rPr>
            </w:pPr>
            <w:r w:rsidRPr="004D5AB1">
              <w:rPr>
                <w:sz w:val="24"/>
                <w:szCs w:val="24"/>
              </w:rPr>
              <w:t>&lt;0,05</w:t>
            </w:r>
          </w:p>
        </w:tc>
      </w:tr>
    </w:tbl>
    <w:p w14:paraId="20DB2E66" w14:textId="77777777" w:rsidR="00CA5F71" w:rsidRPr="0099618E" w:rsidRDefault="00CA5F71" w:rsidP="00CA5F71">
      <w:pPr>
        <w:autoSpaceDE w:val="0"/>
        <w:autoSpaceDN w:val="0"/>
        <w:adjustRightInd w:val="0"/>
        <w:rPr>
          <w:sz w:val="20"/>
        </w:rPr>
      </w:pPr>
      <w:r w:rsidRPr="0099618E">
        <w:rPr>
          <w:sz w:val="20"/>
          <w:vertAlign w:val="superscript"/>
        </w:rPr>
        <w:t xml:space="preserve">1 </w:t>
      </w:r>
      <w:r w:rsidRPr="0099618E">
        <w:rPr>
          <w:sz w:val="20"/>
        </w:rPr>
        <w:t xml:space="preserve">Baseret på en tilfældig koefficientregression med fikseret kategorisk virkning af behandling, ATA-status, fikseret kontinuerlig virkning af tid, </w:t>
      </w:r>
      <w:r w:rsidRPr="0099618E">
        <w:rPr>
          <w:i/>
          <w:iCs/>
          <w:sz w:val="20"/>
        </w:rPr>
        <w:t xml:space="preserve">baseline </w:t>
      </w:r>
      <w:r w:rsidRPr="0099618E">
        <w:rPr>
          <w:sz w:val="20"/>
        </w:rPr>
        <w:t xml:space="preserve">FVC [% af forventet] og omfattende interaktioner fra behandling pr. tid og </w:t>
      </w:r>
      <w:r w:rsidRPr="0099618E">
        <w:rPr>
          <w:i/>
          <w:iCs/>
          <w:sz w:val="20"/>
        </w:rPr>
        <w:t xml:space="preserve">baseline </w:t>
      </w:r>
      <w:r w:rsidRPr="0099618E">
        <w:rPr>
          <w:sz w:val="20"/>
        </w:rPr>
        <w:t xml:space="preserve">pr. tid. Tilfældig virkning var inkluderet for patientspecifik </w:t>
      </w:r>
      <w:proofErr w:type="spellStart"/>
      <w:r w:rsidRPr="0099618E">
        <w:rPr>
          <w:sz w:val="20"/>
        </w:rPr>
        <w:t>intercept</w:t>
      </w:r>
      <w:proofErr w:type="spellEnd"/>
      <w:r w:rsidRPr="0099618E">
        <w:rPr>
          <w:sz w:val="20"/>
        </w:rPr>
        <w:t xml:space="preserve"> og tid. </w:t>
      </w:r>
      <w:proofErr w:type="spellStart"/>
      <w:r w:rsidRPr="0099618E">
        <w:rPr>
          <w:sz w:val="20"/>
        </w:rPr>
        <w:t>Intra</w:t>
      </w:r>
      <w:proofErr w:type="spellEnd"/>
      <w:r w:rsidRPr="0099618E">
        <w:rPr>
          <w:sz w:val="20"/>
        </w:rPr>
        <w:t>-patient fejl blev modelleret ved en ustruktureret varians-</w:t>
      </w:r>
      <w:proofErr w:type="spellStart"/>
      <w:r w:rsidRPr="0099618E">
        <w:rPr>
          <w:sz w:val="20"/>
        </w:rPr>
        <w:t>kovarians</w:t>
      </w:r>
      <w:proofErr w:type="spellEnd"/>
      <w:r w:rsidRPr="0099618E">
        <w:rPr>
          <w:sz w:val="20"/>
        </w:rPr>
        <w:t>-</w:t>
      </w:r>
      <w:proofErr w:type="spellStart"/>
      <w:r w:rsidRPr="0099618E">
        <w:rPr>
          <w:sz w:val="20"/>
        </w:rPr>
        <w:t>matriks</w:t>
      </w:r>
      <w:proofErr w:type="spellEnd"/>
      <w:r w:rsidRPr="0099618E">
        <w:rPr>
          <w:sz w:val="20"/>
        </w:rPr>
        <w:t>. Inter-individuel variabilitet blev modelleret ved en varians-komponenter varians-</w:t>
      </w:r>
      <w:proofErr w:type="spellStart"/>
      <w:r w:rsidRPr="0099618E">
        <w:rPr>
          <w:sz w:val="20"/>
        </w:rPr>
        <w:t>kovarians</w:t>
      </w:r>
      <w:proofErr w:type="spellEnd"/>
      <w:r w:rsidRPr="0099618E">
        <w:rPr>
          <w:sz w:val="20"/>
        </w:rPr>
        <w:t>-</w:t>
      </w:r>
      <w:proofErr w:type="spellStart"/>
      <w:r w:rsidRPr="0099618E">
        <w:rPr>
          <w:sz w:val="20"/>
        </w:rPr>
        <w:t>matriks</w:t>
      </w:r>
      <w:proofErr w:type="spellEnd"/>
      <w:r w:rsidRPr="0099618E">
        <w:rPr>
          <w:sz w:val="20"/>
        </w:rPr>
        <w:t>.</w:t>
      </w:r>
    </w:p>
    <w:p w14:paraId="138FB5C1" w14:textId="77777777" w:rsidR="00CA5F71" w:rsidRPr="004D5AB1" w:rsidRDefault="00CA5F71" w:rsidP="00CA5F71">
      <w:pPr>
        <w:tabs>
          <w:tab w:val="left" w:pos="1485"/>
        </w:tabs>
        <w:suppressAutoHyphens/>
        <w:rPr>
          <w:bCs/>
          <w:noProof/>
          <w:sz w:val="24"/>
          <w:szCs w:val="24"/>
        </w:rPr>
      </w:pPr>
    </w:p>
    <w:p w14:paraId="0B3C7785" w14:textId="77777777" w:rsidR="00CA5F71" w:rsidRPr="004D5AB1" w:rsidRDefault="00CA5F71" w:rsidP="0015226E">
      <w:pPr>
        <w:ind w:left="851"/>
        <w:rPr>
          <w:bCs/>
          <w:i/>
          <w:iCs/>
          <w:noProof/>
          <w:sz w:val="24"/>
          <w:szCs w:val="24"/>
          <w:u w:val="single"/>
        </w:rPr>
      </w:pPr>
      <w:r w:rsidRPr="004D5AB1">
        <w:rPr>
          <w:bCs/>
          <w:i/>
          <w:iCs/>
          <w:noProof/>
          <w:sz w:val="24"/>
          <w:szCs w:val="24"/>
          <w:u w:val="single"/>
        </w:rPr>
        <w:t>Ændring fra baseline i modificeret Rodnan hudscore (mRSS) ved uge 52</w:t>
      </w:r>
    </w:p>
    <w:p w14:paraId="29C1EAF5" w14:textId="77777777" w:rsidR="00CA5F71" w:rsidRPr="004D5AB1" w:rsidRDefault="00CA5F71" w:rsidP="0015226E">
      <w:pPr>
        <w:ind w:left="851"/>
        <w:rPr>
          <w:bCs/>
          <w:noProof/>
          <w:sz w:val="24"/>
          <w:szCs w:val="24"/>
        </w:rPr>
      </w:pPr>
      <w:r w:rsidRPr="004D5AB1">
        <w:rPr>
          <w:bCs/>
          <w:noProof/>
          <w:sz w:val="24"/>
          <w:szCs w:val="24"/>
        </w:rPr>
        <w:t xml:space="preserve">Den justerede gennemsnitlige absolutte ændring fra </w:t>
      </w:r>
      <w:r w:rsidRPr="004D5AB1">
        <w:rPr>
          <w:bCs/>
          <w:i/>
          <w:iCs/>
          <w:noProof/>
          <w:sz w:val="24"/>
          <w:szCs w:val="24"/>
        </w:rPr>
        <w:t xml:space="preserve">baseline </w:t>
      </w:r>
      <w:r w:rsidRPr="004D5AB1">
        <w:rPr>
          <w:bCs/>
          <w:noProof/>
          <w:sz w:val="24"/>
          <w:szCs w:val="24"/>
        </w:rPr>
        <w:t>i mRSS ved uge 52 var sammenlignelig mellem nintedanib-gruppen (-2,17 (95 % CI -2,69; -1,65)) og placebogruppen (-1,96 (95 % CI -2,48; 1,45)). Den justerede gennemsnitlige forskel mellem behandlingsgrupperne var -0,21 (95 % CI -0,94; 0,53, p=0,5785).</w:t>
      </w:r>
    </w:p>
    <w:p w14:paraId="0F5F70FB" w14:textId="77777777" w:rsidR="00CA5F71" w:rsidRPr="004D5AB1" w:rsidRDefault="00CA5F71" w:rsidP="0015226E">
      <w:pPr>
        <w:ind w:left="851"/>
        <w:rPr>
          <w:bCs/>
          <w:i/>
          <w:iCs/>
          <w:noProof/>
          <w:sz w:val="24"/>
          <w:szCs w:val="24"/>
        </w:rPr>
      </w:pPr>
    </w:p>
    <w:p w14:paraId="5B7DF498" w14:textId="77777777" w:rsidR="00CA5F71" w:rsidRPr="004D5AB1" w:rsidRDefault="00CA5F71" w:rsidP="0015226E">
      <w:pPr>
        <w:ind w:left="851"/>
        <w:rPr>
          <w:bCs/>
          <w:i/>
          <w:iCs/>
          <w:noProof/>
          <w:sz w:val="24"/>
          <w:szCs w:val="24"/>
          <w:u w:val="single"/>
        </w:rPr>
      </w:pPr>
      <w:r w:rsidRPr="004D5AB1">
        <w:rPr>
          <w:bCs/>
          <w:i/>
          <w:iCs/>
          <w:noProof/>
          <w:sz w:val="24"/>
          <w:szCs w:val="24"/>
          <w:u w:val="single"/>
        </w:rPr>
        <w:t>Ændring fra baseline i samlet Saint Georges spørgeskema (St. George’s Respiratory Questionnaire, SGRQ)-score i uge 52</w:t>
      </w:r>
    </w:p>
    <w:p w14:paraId="0A1D59E4" w14:textId="77777777" w:rsidR="00CA5F71" w:rsidRPr="004D5AB1" w:rsidRDefault="00CA5F71" w:rsidP="0015226E">
      <w:pPr>
        <w:ind w:left="851"/>
        <w:rPr>
          <w:bCs/>
          <w:noProof/>
          <w:sz w:val="24"/>
          <w:szCs w:val="24"/>
        </w:rPr>
      </w:pPr>
      <w:r w:rsidRPr="004D5AB1">
        <w:rPr>
          <w:bCs/>
          <w:noProof/>
          <w:sz w:val="24"/>
          <w:szCs w:val="24"/>
        </w:rPr>
        <w:t xml:space="preserve">Den justerede gennemsnitlige absolutte ændring fra </w:t>
      </w:r>
      <w:r w:rsidRPr="004D5AB1">
        <w:rPr>
          <w:bCs/>
          <w:i/>
          <w:iCs/>
          <w:noProof/>
          <w:sz w:val="24"/>
          <w:szCs w:val="24"/>
        </w:rPr>
        <w:t xml:space="preserve">baseline </w:t>
      </w:r>
      <w:r w:rsidRPr="004D5AB1">
        <w:rPr>
          <w:bCs/>
          <w:noProof/>
          <w:sz w:val="24"/>
          <w:szCs w:val="24"/>
        </w:rPr>
        <w:t>i samlet SGRQ-score i uge 52 var sammenlignelig mellem nintedanib-gruppen (0,81 (95 % CI -0,92; 2,55)) og placebogruppen (-0,88 (95 % CI -2,58; 0,82)). Den justerede gennemsnitlige forskel mellem behandlingsgrupperne var 1,69 (95 % CI -0,73; 4,12, p=0,1711).</w:t>
      </w:r>
    </w:p>
    <w:p w14:paraId="230E3E2C" w14:textId="77777777" w:rsidR="00CA5F71" w:rsidRPr="004D5AB1" w:rsidRDefault="00CA5F71" w:rsidP="0015226E">
      <w:pPr>
        <w:ind w:left="851"/>
        <w:rPr>
          <w:bCs/>
          <w:i/>
          <w:iCs/>
          <w:noProof/>
          <w:sz w:val="24"/>
          <w:szCs w:val="24"/>
        </w:rPr>
      </w:pPr>
    </w:p>
    <w:p w14:paraId="7473D641" w14:textId="77777777" w:rsidR="00CA5F71" w:rsidRPr="004D5AB1" w:rsidRDefault="00CA5F71" w:rsidP="0015226E">
      <w:pPr>
        <w:ind w:left="851"/>
        <w:rPr>
          <w:bCs/>
          <w:i/>
          <w:iCs/>
          <w:noProof/>
          <w:sz w:val="24"/>
          <w:szCs w:val="24"/>
          <w:u w:val="single"/>
        </w:rPr>
      </w:pPr>
      <w:r w:rsidRPr="004D5AB1">
        <w:rPr>
          <w:bCs/>
          <w:i/>
          <w:iCs/>
          <w:noProof/>
          <w:sz w:val="24"/>
          <w:szCs w:val="24"/>
          <w:u w:val="single"/>
        </w:rPr>
        <w:t>Overlevelsesanalyse</w:t>
      </w:r>
    </w:p>
    <w:p w14:paraId="1AEF6544" w14:textId="77777777" w:rsidR="00CA5F71" w:rsidRPr="004D5AB1" w:rsidRDefault="00CA5F71" w:rsidP="0015226E">
      <w:pPr>
        <w:ind w:left="851"/>
        <w:rPr>
          <w:bCs/>
          <w:noProof/>
          <w:sz w:val="24"/>
          <w:szCs w:val="24"/>
        </w:rPr>
      </w:pPr>
      <w:r w:rsidRPr="004D5AB1">
        <w:rPr>
          <w:bCs/>
          <w:noProof/>
          <w:sz w:val="24"/>
          <w:szCs w:val="24"/>
        </w:rPr>
        <w:t>Mortalitet i hele studieperioden var sammenlignelig mellem nintedanib-gruppen (N=10; 3,5 %) og placebogruppen (N=9; 3,1 %). Analysen af tid til død i hele studieperioden resulterede i en HR på 1,16 (95 % CI 0,47; 2,84, p=0,7535).</w:t>
      </w:r>
    </w:p>
    <w:p w14:paraId="6D0C99AC" w14:textId="77777777" w:rsidR="00CA5F71" w:rsidRPr="004D5AB1" w:rsidRDefault="00CA5F71" w:rsidP="0015226E">
      <w:pPr>
        <w:ind w:left="851"/>
        <w:rPr>
          <w:bCs/>
          <w:noProof/>
          <w:sz w:val="24"/>
          <w:szCs w:val="24"/>
        </w:rPr>
      </w:pPr>
    </w:p>
    <w:p w14:paraId="17704FA0" w14:textId="77777777" w:rsidR="00CA5F71" w:rsidRPr="004D5AB1" w:rsidRDefault="00CA5F71" w:rsidP="0015226E">
      <w:pPr>
        <w:ind w:left="851"/>
        <w:rPr>
          <w:bCs/>
          <w:noProof/>
          <w:sz w:val="24"/>
          <w:szCs w:val="24"/>
          <w:u w:val="single"/>
        </w:rPr>
      </w:pPr>
      <w:r w:rsidRPr="004D5AB1">
        <w:rPr>
          <w:bCs/>
          <w:noProof/>
          <w:sz w:val="24"/>
          <w:szCs w:val="24"/>
          <w:u w:val="single"/>
        </w:rPr>
        <w:t>QT-interval</w:t>
      </w:r>
    </w:p>
    <w:p w14:paraId="4AAB7595" w14:textId="77777777" w:rsidR="00CA5F71" w:rsidRPr="004D5AB1" w:rsidRDefault="00CA5F71" w:rsidP="0015226E">
      <w:pPr>
        <w:ind w:left="851"/>
        <w:rPr>
          <w:bCs/>
          <w:noProof/>
          <w:sz w:val="24"/>
          <w:szCs w:val="24"/>
        </w:rPr>
      </w:pPr>
      <w:r w:rsidRPr="004D5AB1">
        <w:rPr>
          <w:bCs/>
          <w:noProof/>
          <w:sz w:val="24"/>
          <w:szCs w:val="24"/>
        </w:rPr>
        <w:t>I et specifikt studie med patienter med nyrecellecancer blev QT/QTc-målinger registreret og viste, at hverken orale enkeltdoser på 200 mg nintedanib eller gentagne orale doser på 200 mg nintedanib givet to gange dagligt i 15 dage forlængede QTcF-intervallet.</w:t>
      </w:r>
    </w:p>
    <w:p w14:paraId="2ECAA168" w14:textId="77777777" w:rsidR="00CA5F71" w:rsidRPr="004D5AB1" w:rsidRDefault="00CA5F71" w:rsidP="0015226E">
      <w:pPr>
        <w:ind w:left="851"/>
        <w:rPr>
          <w:bCs/>
          <w:noProof/>
          <w:sz w:val="24"/>
          <w:szCs w:val="24"/>
        </w:rPr>
      </w:pPr>
    </w:p>
    <w:p w14:paraId="2E9EE92D" w14:textId="77777777" w:rsidR="00CA5F71" w:rsidRPr="004D5AB1" w:rsidRDefault="00CA5F71" w:rsidP="0015226E">
      <w:pPr>
        <w:ind w:left="851"/>
        <w:rPr>
          <w:bCs/>
          <w:noProof/>
          <w:sz w:val="24"/>
          <w:szCs w:val="24"/>
          <w:u w:val="single"/>
        </w:rPr>
      </w:pPr>
      <w:r w:rsidRPr="004D5AB1">
        <w:rPr>
          <w:bCs/>
          <w:noProof/>
          <w:sz w:val="24"/>
          <w:szCs w:val="24"/>
          <w:u w:val="single"/>
        </w:rPr>
        <w:t>Pædiatrisk population</w:t>
      </w:r>
    </w:p>
    <w:p w14:paraId="21642762" w14:textId="77777777" w:rsidR="00CA5F71" w:rsidRPr="004D5AB1" w:rsidRDefault="00CA5F71" w:rsidP="0015226E">
      <w:pPr>
        <w:ind w:left="851"/>
        <w:rPr>
          <w:bCs/>
          <w:i/>
          <w:iCs/>
          <w:noProof/>
          <w:sz w:val="24"/>
          <w:szCs w:val="24"/>
        </w:rPr>
      </w:pPr>
      <w:r w:rsidRPr="004D5AB1">
        <w:rPr>
          <w:bCs/>
          <w:i/>
          <w:iCs/>
          <w:noProof/>
          <w:sz w:val="24"/>
          <w:szCs w:val="24"/>
        </w:rPr>
        <w:t>Fibroserende interstitielle lungesygdomme (ILS) hos børn og unge</w:t>
      </w:r>
    </w:p>
    <w:p w14:paraId="1A47B1BF" w14:textId="77777777" w:rsidR="00CA5F71" w:rsidRPr="004D5AB1" w:rsidRDefault="00CA5F71" w:rsidP="0015226E">
      <w:pPr>
        <w:ind w:left="851"/>
        <w:rPr>
          <w:bCs/>
          <w:i/>
          <w:iCs/>
          <w:noProof/>
          <w:sz w:val="24"/>
          <w:szCs w:val="24"/>
        </w:rPr>
      </w:pPr>
      <w:r w:rsidRPr="004D5AB1">
        <w:rPr>
          <w:bCs/>
          <w:noProof/>
          <w:sz w:val="24"/>
          <w:szCs w:val="24"/>
        </w:rPr>
        <w:t>Den kliniske sikkerhed og virkning af nintedanib hos børn og unge fra 6 til 17 år med klinisk signifikante</w:t>
      </w:r>
      <w:r w:rsidRPr="004D5AB1">
        <w:rPr>
          <w:bCs/>
          <w:i/>
          <w:iCs/>
          <w:noProof/>
          <w:sz w:val="24"/>
          <w:szCs w:val="24"/>
        </w:rPr>
        <w:t xml:space="preserve"> </w:t>
      </w:r>
      <w:r w:rsidRPr="004D5AB1">
        <w:rPr>
          <w:bCs/>
          <w:noProof/>
          <w:sz w:val="24"/>
          <w:szCs w:val="24"/>
        </w:rPr>
        <w:t>fibroserende interstitielle lungesygdomme (ILS) blev vurderet i et eksplorativt, randomiseret,</w:t>
      </w:r>
      <w:r w:rsidRPr="004D5AB1">
        <w:rPr>
          <w:bCs/>
          <w:i/>
          <w:iCs/>
          <w:noProof/>
          <w:sz w:val="24"/>
          <w:szCs w:val="24"/>
        </w:rPr>
        <w:t xml:space="preserve"> </w:t>
      </w:r>
      <w:r w:rsidRPr="004D5AB1">
        <w:rPr>
          <w:bCs/>
          <w:noProof/>
          <w:sz w:val="24"/>
          <w:szCs w:val="24"/>
        </w:rPr>
        <w:t>dobbeltblindet, placebokontrolleret fase III-studie (InPedILD 1199.337) (se pkt. 4.2).</w:t>
      </w:r>
      <w:r w:rsidRPr="004D5AB1">
        <w:rPr>
          <w:bCs/>
          <w:i/>
          <w:iCs/>
          <w:noProof/>
          <w:sz w:val="24"/>
          <w:szCs w:val="24"/>
        </w:rPr>
        <w:t xml:space="preserve"> </w:t>
      </w:r>
      <w:r w:rsidRPr="004D5AB1">
        <w:rPr>
          <w:bCs/>
          <w:noProof/>
          <w:sz w:val="24"/>
          <w:szCs w:val="24"/>
        </w:rPr>
        <w:t>InPedILD studiet inkluderede børn og unge i alderen 6 til 17 år med klinisk signifikant fibroserende ILS</w:t>
      </w:r>
      <w:r w:rsidRPr="004D5AB1">
        <w:rPr>
          <w:bCs/>
          <w:i/>
          <w:iCs/>
          <w:noProof/>
          <w:sz w:val="24"/>
          <w:szCs w:val="24"/>
        </w:rPr>
        <w:t xml:space="preserve"> </w:t>
      </w:r>
      <w:r w:rsidRPr="004D5AB1">
        <w:rPr>
          <w:bCs/>
          <w:noProof/>
          <w:sz w:val="24"/>
          <w:szCs w:val="24"/>
        </w:rPr>
        <w:t>og FVC på mindst 25 % af forventet. Patienterne blev klassificeret som havende fibroserende ILS</w:t>
      </w:r>
      <w:r w:rsidRPr="004D5AB1">
        <w:rPr>
          <w:bCs/>
          <w:i/>
          <w:iCs/>
          <w:noProof/>
          <w:sz w:val="24"/>
          <w:szCs w:val="24"/>
        </w:rPr>
        <w:t xml:space="preserve"> </w:t>
      </w:r>
      <w:r w:rsidRPr="004D5AB1">
        <w:rPr>
          <w:bCs/>
          <w:noProof/>
          <w:sz w:val="24"/>
          <w:szCs w:val="24"/>
        </w:rPr>
        <w:t>baseret på evidens for fibrose på to HRCT-scanninger (hvor den ene HRCT-scanning blev udført inden</w:t>
      </w:r>
      <w:r w:rsidRPr="004D5AB1">
        <w:rPr>
          <w:bCs/>
          <w:i/>
          <w:iCs/>
          <w:noProof/>
          <w:sz w:val="24"/>
          <w:szCs w:val="24"/>
        </w:rPr>
        <w:t xml:space="preserve"> </w:t>
      </w:r>
      <w:r w:rsidRPr="004D5AB1">
        <w:rPr>
          <w:bCs/>
          <w:noProof/>
          <w:sz w:val="24"/>
          <w:szCs w:val="24"/>
        </w:rPr>
        <w:t>for de foregående 12 måneder) eller evidens for fibrose på lungebiopsi og en HRCT-scanning udført</w:t>
      </w:r>
      <w:r w:rsidRPr="004D5AB1">
        <w:rPr>
          <w:bCs/>
          <w:i/>
          <w:iCs/>
          <w:noProof/>
          <w:sz w:val="24"/>
          <w:szCs w:val="24"/>
        </w:rPr>
        <w:t xml:space="preserve"> </w:t>
      </w:r>
      <w:r w:rsidRPr="004D5AB1">
        <w:rPr>
          <w:bCs/>
          <w:noProof/>
          <w:sz w:val="24"/>
          <w:szCs w:val="24"/>
        </w:rPr>
        <w:t>inden for de foregående 12 måneder.</w:t>
      </w:r>
    </w:p>
    <w:p w14:paraId="4B7AA961" w14:textId="77777777" w:rsidR="00CA5F71" w:rsidRPr="004D5AB1" w:rsidRDefault="00CA5F71" w:rsidP="0015226E">
      <w:pPr>
        <w:ind w:left="851"/>
        <w:rPr>
          <w:bCs/>
          <w:noProof/>
          <w:sz w:val="24"/>
          <w:szCs w:val="24"/>
        </w:rPr>
      </w:pPr>
      <w:r w:rsidRPr="004D5AB1">
        <w:rPr>
          <w:bCs/>
          <w:noProof/>
          <w:sz w:val="24"/>
          <w:szCs w:val="24"/>
        </w:rPr>
        <w:t>Klinisk signifikant sygdom blev defineret som en Fan-score ≥3 eller dokumenteret evidens for klinisk progression over en tidsperiode. Evidens for klinisk progression var baseret på et relativt fald i FVC ≥10 % af forventet, et relativt fald i FVC på 5-10 % af forventet med forværrende symptomer, forværring af fibrose på HRCT eller andre målinger af klinisk forværring tilskrevet progressiv lungefibrose (f.eks. øget iltbehov, nedsat diffusionskapacitet), selvom dette ikke var et krav ved inkludering af patienter med en Fan-score på ≥3.</w:t>
      </w:r>
    </w:p>
    <w:p w14:paraId="3BC0C288" w14:textId="77777777" w:rsidR="00CA5F71" w:rsidRPr="004D5AB1" w:rsidRDefault="00CA5F71" w:rsidP="0015226E">
      <w:pPr>
        <w:ind w:left="851"/>
        <w:rPr>
          <w:bCs/>
          <w:noProof/>
          <w:sz w:val="24"/>
          <w:szCs w:val="24"/>
        </w:rPr>
      </w:pPr>
    </w:p>
    <w:p w14:paraId="6CF3C281" w14:textId="77777777" w:rsidR="00CA5F71" w:rsidRPr="004D5AB1" w:rsidRDefault="00CA5F71" w:rsidP="0015226E">
      <w:pPr>
        <w:ind w:left="851"/>
        <w:rPr>
          <w:bCs/>
          <w:noProof/>
          <w:sz w:val="24"/>
          <w:szCs w:val="24"/>
        </w:rPr>
      </w:pPr>
      <w:r w:rsidRPr="004D5AB1">
        <w:rPr>
          <w:bCs/>
          <w:noProof/>
          <w:sz w:val="24"/>
          <w:szCs w:val="24"/>
        </w:rPr>
        <w:t>Patienterne blev randomiseret i forholdet 2:1 til at få enten nintedanib to gange dagligt (vægtjusterede doser, herunder brug af en 25 mg kapsel) eller matchende placebo i 24 uger, efterfulgt af åben behandling med nintedanib af variabel varighed. Det var tilladt at anvende standardbehandling, hvis det blev skønnet klinisk indiceret af den behandlende læge.</w:t>
      </w:r>
    </w:p>
    <w:p w14:paraId="5E79CCAB" w14:textId="77777777" w:rsidR="00CA5F71" w:rsidRPr="004D5AB1" w:rsidRDefault="00CA5F71" w:rsidP="0015226E">
      <w:pPr>
        <w:ind w:left="851"/>
        <w:rPr>
          <w:bCs/>
          <w:noProof/>
          <w:sz w:val="24"/>
          <w:szCs w:val="24"/>
        </w:rPr>
      </w:pPr>
    </w:p>
    <w:p w14:paraId="01AD9511" w14:textId="77777777" w:rsidR="00CA5F71" w:rsidRPr="004D5AB1" w:rsidRDefault="00CA5F71" w:rsidP="0015226E">
      <w:pPr>
        <w:ind w:left="851"/>
        <w:rPr>
          <w:bCs/>
          <w:noProof/>
          <w:sz w:val="24"/>
          <w:szCs w:val="24"/>
        </w:rPr>
      </w:pPr>
      <w:r w:rsidRPr="004D5AB1">
        <w:rPr>
          <w:bCs/>
          <w:noProof/>
          <w:sz w:val="24"/>
          <w:szCs w:val="24"/>
        </w:rPr>
        <w:t xml:space="preserve">I alt blev 39 patienter randomiseret (61,5 % kvinder) (6-11 år: 12 patienter, 12-17 år: 27 patienter). Gennemsnitsalderen [standardafvigelse (SD)] var 12,6 (3,3) år. </w:t>
      </w:r>
    </w:p>
    <w:p w14:paraId="7B3C5196" w14:textId="77777777" w:rsidR="00CA5F71" w:rsidRPr="004D5AB1" w:rsidRDefault="00CA5F71" w:rsidP="0015226E">
      <w:pPr>
        <w:ind w:left="851"/>
        <w:rPr>
          <w:bCs/>
          <w:noProof/>
          <w:sz w:val="24"/>
          <w:szCs w:val="24"/>
        </w:rPr>
      </w:pPr>
      <w:r w:rsidRPr="004D5AB1">
        <w:rPr>
          <w:bCs/>
          <w:noProof/>
          <w:sz w:val="24"/>
          <w:szCs w:val="24"/>
        </w:rPr>
        <w:t>Gennemsnitsvægten (SD) var 42,2 kg (17,8 kg); 6-11 år: 26,6 kg (10,4 kg), 12-17 år: 49,1 kg (16,0 kg).</w:t>
      </w:r>
    </w:p>
    <w:p w14:paraId="5412F256" w14:textId="67C89A46" w:rsidR="00CA5F71" w:rsidRPr="004D5AB1" w:rsidRDefault="00CA5F71" w:rsidP="0015226E">
      <w:pPr>
        <w:ind w:left="851"/>
        <w:rPr>
          <w:bCs/>
          <w:noProof/>
          <w:sz w:val="24"/>
          <w:szCs w:val="24"/>
        </w:rPr>
      </w:pPr>
      <w:r w:rsidRPr="004D5AB1">
        <w:rPr>
          <w:bCs/>
          <w:noProof/>
          <w:sz w:val="24"/>
          <w:szCs w:val="24"/>
        </w:rPr>
        <w:t>Studie 1199-0337 inkluderede patienter med et bredt sygdomsspektrum. De hyppigste enkeltstående underliggende ILS-diagnoser var ”surfactant proteinmangel” (nintedanib: 26,9 %, placebo: 38,5 %), ”systemisk sklerodermi” (nintedanib: 15,4 %, placebo: 23,1 %) og ”toksisk/stråling/lægemiddelinduceret pneumonitis” (nintedanib: 11,5 %, placebo 7,7</w:t>
      </w:r>
      <w:r w:rsidR="00676A6A">
        <w:rPr>
          <w:bCs/>
          <w:noProof/>
          <w:sz w:val="24"/>
          <w:szCs w:val="24"/>
        </w:rPr>
        <w:t> </w:t>
      </w:r>
      <w:r w:rsidRPr="004D5AB1">
        <w:rPr>
          <w:bCs/>
          <w:noProof/>
          <w:sz w:val="24"/>
          <w:szCs w:val="24"/>
        </w:rPr>
        <w:t>%). Kronisk hypersensitivitetspneumonitis blev rapporteret hos 2 patienter (nintedanib: 7,7 %). De resterende underliggende ILS-diagnoser, hver rapporteret hos 1 patient, var post-HSCT-fibrose, juvenil RA, juvenil idiopatisk artritis, dermatomyositis (DM), deskvamativ interstitiel pneumonitis, influenza H1N1, uklar (kronisk diffus lungesygdom), COPA-syndrom, COPA-genmutation, udifferentieret bindevævssygdom, bronchiolitis obliterans efter infektion, uspecificeret ILS, idiopatisk og STING-associeret vaskulopati.</w:t>
      </w:r>
    </w:p>
    <w:p w14:paraId="75E7ADF9" w14:textId="77777777" w:rsidR="00CA5F71" w:rsidRPr="004D5AB1" w:rsidRDefault="00CA5F71" w:rsidP="0015226E">
      <w:pPr>
        <w:ind w:left="851"/>
        <w:rPr>
          <w:bCs/>
          <w:noProof/>
          <w:sz w:val="24"/>
          <w:szCs w:val="24"/>
        </w:rPr>
      </w:pPr>
    </w:p>
    <w:p w14:paraId="540A1667" w14:textId="77777777" w:rsidR="00CA5F71" w:rsidRPr="004D5AB1" w:rsidRDefault="00CA5F71" w:rsidP="0015226E">
      <w:pPr>
        <w:ind w:left="851"/>
        <w:rPr>
          <w:bCs/>
          <w:noProof/>
          <w:sz w:val="24"/>
          <w:szCs w:val="24"/>
        </w:rPr>
      </w:pPr>
      <w:r w:rsidRPr="004D5AB1">
        <w:rPr>
          <w:bCs/>
          <w:noProof/>
          <w:sz w:val="24"/>
          <w:szCs w:val="24"/>
        </w:rPr>
        <w:t xml:space="preserve">Der blev rapporteret mindst 1 samtidig behandling hos alle patienter i løbet af den dobbeltblindede periode. Brug af samtidig behandling (ved </w:t>
      </w:r>
      <w:r w:rsidRPr="004D5AB1">
        <w:rPr>
          <w:bCs/>
          <w:i/>
          <w:iCs/>
          <w:noProof/>
          <w:sz w:val="24"/>
          <w:szCs w:val="24"/>
        </w:rPr>
        <w:t>baseline</w:t>
      </w:r>
      <w:r w:rsidRPr="004D5AB1">
        <w:rPr>
          <w:bCs/>
          <w:noProof/>
          <w:sz w:val="24"/>
          <w:szCs w:val="24"/>
        </w:rPr>
        <w:t>, under behandling og efter seponering af studielægemiddel) til at behandle den underliggende sygdom, herunder kortikosteroider og immunomodulatorer, var tilladt.</w:t>
      </w:r>
    </w:p>
    <w:p w14:paraId="220A4B75" w14:textId="77777777" w:rsidR="00CA5F71" w:rsidRPr="004D5AB1" w:rsidRDefault="00CA5F71" w:rsidP="0015226E">
      <w:pPr>
        <w:ind w:left="851"/>
        <w:rPr>
          <w:bCs/>
          <w:noProof/>
          <w:sz w:val="24"/>
          <w:szCs w:val="24"/>
        </w:rPr>
      </w:pPr>
    </w:p>
    <w:p w14:paraId="7FFD7967" w14:textId="77777777" w:rsidR="00CA5F71" w:rsidRPr="004D5AB1" w:rsidRDefault="00CA5F71" w:rsidP="0015226E">
      <w:pPr>
        <w:ind w:left="851"/>
        <w:rPr>
          <w:bCs/>
          <w:noProof/>
          <w:sz w:val="24"/>
          <w:szCs w:val="24"/>
        </w:rPr>
      </w:pPr>
      <w:r w:rsidRPr="004D5AB1">
        <w:rPr>
          <w:bCs/>
          <w:noProof/>
          <w:sz w:val="24"/>
          <w:szCs w:val="24"/>
        </w:rPr>
        <w:t>De primære endepunktsresultater var:</w:t>
      </w:r>
    </w:p>
    <w:p w14:paraId="3A276392" w14:textId="77777777" w:rsidR="00CA5F71" w:rsidRPr="004D5AB1" w:rsidRDefault="00CA5F71" w:rsidP="0015226E">
      <w:pPr>
        <w:pStyle w:val="Listeafsnit"/>
        <w:numPr>
          <w:ilvl w:val="0"/>
          <w:numId w:val="7"/>
        </w:numPr>
        <w:ind w:left="1276" w:hanging="425"/>
        <w:rPr>
          <w:bCs/>
          <w:noProof/>
          <w:sz w:val="24"/>
          <w:szCs w:val="24"/>
        </w:rPr>
      </w:pPr>
      <w:r w:rsidRPr="004D5AB1">
        <w:rPr>
          <w:bCs/>
          <w:noProof/>
          <w:sz w:val="24"/>
          <w:szCs w:val="24"/>
        </w:rPr>
        <w:t>Eksponeringen for nintedanib, beskrevet som AUC</w:t>
      </w:r>
      <w:r w:rsidRPr="004D5AB1">
        <w:rPr>
          <w:bCs/>
          <w:noProof/>
          <w:sz w:val="24"/>
          <w:szCs w:val="24"/>
          <w:vertAlign w:val="subscript"/>
        </w:rPr>
        <w:t>τ,ss</w:t>
      </w:r>
      <w:r w:rsidRPr="004D5AB1">
        <w:rPr>
          <w:bCs/>
          <w:noProof/>
          <w:sz w:val="24"/>
          <w:szCs w:val="24"/>
        </w:rPr>
        <w:t xml:space="preserve"> baseret på prøvetagning ved steady-state, var sammenlignelig hos børn og unge og svarede til AUC</w:t>
      </w:r>
      <w:r w:rsidRPr="004D5AB1">
        <w:rPr>
          <w:bCs/>
          <w:noProof/>
          <w:sz w:val="24"/>
          <w:szCs w:val="24"/>
          <w:vertAlign w:val="subscript"/>
        </w:rPr>
        <w:t>τ,ss</w:t>
      </w:r>
      <w:r w:rsidRPr="004D5AB1">
        <w:rPr>
          <w:bCs/>
          <w:noProof/>
          <w:sz w:val="24"/>
          <w:szCs w:val="24"/>
        </w:rPr>
        <w:t xml:space="preserve"> observeret hos voksne (se pkt. 5.2).</w:t>
      </w:r>
    </w:p>
    <w:p w14:paraId="1423BB52" w14:textId="69F8BC55" w:rsidR="00CA5F71" w:rsidRPr="004D5AB1" w:rsidRDefault="00CA5F71" w:rsidP="0015226E">
      <w:pPr>
        <w:pStyle w:val="Listeafsnit"/>
        <w:numPr>
          <w:ilvl w:val="0"/>
          <w:numId w:val="7"/>
        </w:numPr>
        <w:ind w:left="1276" w:hanging="425"/>
        <w:rPr>
          <w:bCs/>
          <w:noProof/>
          <w:sz w:val="24"/>
          <w:szCs w:val="24"/>
        </w:rPr>
      </w:pPr>
      <w:r w:rsidRPr="004D5AB1">
        <w:rPr>
          <w:bCs/>
          <w:noProof/>
          <w:sz w:val="24"/>
          <w:szCs w:val="24"/>
        </w:rPr>
        <w:t>Procentdelen af patienter med behandlingsrelaterede bivirkninger ved uge 24 var 84,6</w:t>
      </w:r>
      <w:r w:rsidR="00676A6A">
        <w:rPr>
          <w:bCs/>
          <w:noProof/>
          <w:sz w:val="24"/>
          <w:szCs w:val="24"/>
        </w:rPr>
        <w:t> </w:t>
      </w:r>
      <w:r w:rsidRPr="004D5AB1">
        <w:rPr>
          <w:bCs/>
          <w:noProof/>
          <w:sz w:val="24"/>
          <w:szCs w:val="24"/>
        </w:rPr>
        <w:t>% i nintedanib-gruppen (6-11 år: 75,0 %, 12-17 år: 88,9 %) og 84,6 % i placebogruppen (6-11 år: 100 %, 12-17 år: 77,8 %).</w:t>
      </w:r>
    </w:p>
    <w:p w14:paraId="39D6061E" w14:textId="77777777" w:rsidR="00CA5F71" w:rsidRPr="004D5AB1" w:rsidRDefault="00CA5F71" w:rsidP="00CA5F71">
      <w:pPr>
        <w:rPr>
          <w:bCs/>
          <w:noProof/>
          <w:sz w:val="24"/>
          <w:szCs w:val="24"/>
        </w:rPr>
      </w:pPr>
    </w:p>
    <w:p w14:paraId="62B571C1" w14:textId="77777777" w:rsidR="00CA5F71" w:rsidRPr="004D5AB1" w:rsidRDefault="00CA5F71" w:rsidP="0015226E">
      <w:pPr>
        <w:ind w:left="851"/>
        <w:rPr>
          <w:bCs/>
          <w:noProof/>
          <w:sz w:val="24"/>
          <w:szCs w:val="24"/>
        </w:rPr>
      </w:pPr>
      <w:r w:rsidRPr="004D5AB1">
        <w:rPr>
          <w:bCs/>
          <w:noProof/>
          <w:sz w:val="24"/>
          <w:szCs w:val="24"/>
        </w:rPr>
        <w:t xml:space="preserve">Der var ikke noget primært virkningsendepunkt i dette studie. </w:t>
      </w:r>
    </w:p>
    <w:p w14:paraId="65D9F68B" w14:textId="77777777" w:rsidR="00CA5F71" w:rsidRPr="004D5AB1" w:rsidRDefault="00CA5F71" w:rsidP="0015226E">
      <w:pPr>
        <w:ind w:left="851"/>
        <w:rPr>
          <w:bCs/>
          <w:noProof/>
          <w:sz w:val="24"/>
          <w:szCs w:val="24"/>
        </w:rPr>
      </w:pPr>
      <w:r w:rsidRPr="004D5AB1">
        <w:rPr>
          <w:bCs/>
          <w:noProof/>
          <w:sz w:val="24"/>
          <w:szCs w:val="24"/>
        </w:rPr>
        <w:t xml:space="preserve">Det sekundære endepunkt for lungefunktionen var ændring i forventet forceret vitalkapacitet (FVC) % fra </w:t>
      </w:r>
      <w:r w:rsidRPr="004D5AB1">
        <w:rPr>
          <w:bCs/>
          <w:i/>
          <w:iCs/>
          <w:noProof/>
          <w:sz w:val="24"/>
          <w:szCs w:val="24"/>
        </w:rPr>
        <w:t xml:space="preserve">baseline </w:t>
      </w:r>
      <w:r w:rsidRPr="004D5AB1">
        <w:rPr>
          <w:bCs/>
          <w:noProof/>
          <w:sz w:val="24"/>
          <w:szCs w:val="24"/>
        </w:rPr>
        <w:t xml:space="preserve">ved uge 24 og uge 52. Den justerede gennemsnitlige ændring fra </w:t>
      </w:r>
      <w:r w:rsidRPr="004D5AB1">
        <w:rPr>
          <w:bCs/>
          <w:i/>
          <w:iCs/>
          <w:noProof/>
          <w:sz w:val="24"/>
          <w:szCs w:val="24"/>
        </w:rPr>
        <w:t xml:space="preserve">baseline </w:t>
      </w:r>
      <w:r w:rsidRPr="004D5AB1">
        <w:rPr>
          <w:bCs/>
          <w:noProof/>
          <w:sz w:val="24"/>
          <w:szCs w:val="24"/>
        </w:rPr>
        <w:t xml:space="preserve">ved uge 24 i FVC % af forventet var 0,31 (95 % CI -2,36; 2,98) i nintedanib-gruppen og -0,89 (95 % CI -4,61; 2,82) i placebogruppen med en justeret gennemsnitlig (95 % CI) forskel i FVC % af forventet på 1,21 (95 % CI -3,40; 5,81) til fordel for nintedanib. I uge 52 var det justerede gennemsnit af forskellen i ændring fra </w:t>
      </w:r>
      <w:r w:rsidRPr="004D5AB1">
        <w:rPr>
          <w:bCs/>
          <w:i/>
          <w:iCs/>
          <w:noProof/>
          <w:sz w:val="24"/>
          <w:szCs w:val="24"/>
        </w:rPr>
        <w:t xml:space="preserve">baseline </w:t>
      </w:r>
      <w:r w:rsidRPr="004D5AB1">
        <w:rPr>
          <w:bCs/>
          <w:noProof/>
          <w:sz w:val="24"/>
          <w:szCs w:val="24"/>
        </w:rPr>
        <w:t>i FVC % af forventet mellem behandlingsgrupperne 1,77 (95 % CI -4,70; 8,25).</w:t>
      </w:r>
    </w:p>
    <w:p w14:paraId="75D40EE1" w14:textId="77777777" w:rsidR="00CA5F71" w:rsidRPr="004D5AB1" w:rsidRDefault="00CA5F71" w:rsidP="0015226E">
      <w:pPr>
        <w:ind w:left="851"/>
        <w:rPr>
          <w:bCs/>
          <w:noProof/>
          <w:sz w:val="24"/>
          <w:szCs w:val="24"/>
        </w:rPr>
      </w:pPr>
    </w:p>
    <w:p w14:paraId="634BCC84" w14:textId="77777777" w:rsidR="00CA5F71" w:rsidRPr="004D5AB1" w:rsidRDefault="00CA5F71" w:rsidP="0015226E">
      <w:pPr>
        <w:ind w:left="851"/>
        <w:rPr>
          <w:bCs/>
          <w:noProof/>
          <w:sz w:val="24"/>
          <w:szCs w:val="24"/>
        </w:rPr>
      </w:pPr>
      <w:r w:rsidRPr="004D5AB1">
        <w:rPr>
          <w:bCs/>
          <w:noProof/>
          <w:sz w:val="24"/>
          <w:szCs w:val="24"/>
        </w:rPr>
        <w:t>Der blev observeret stor variabilitet i repons på behandling med nintedanib hos pædiatriske patienter for endepunktet FVC % af forventede samt en række andre eksploratoriske virkningsendepunkter.</w:t>
      </w:r>
    </w:p>
    <w:p w14:paraId="6DF1CAAD" w14:textId="77777777" w:rsidR="00CA5F71" w:rsidRPr="004D5AB1" w:rsidRDefault="00CA5F71" w:rsidP="0015226E">
      <w:pPr>
        <w:ind w:left="851"/>
        <w:rPr>
          <w:bCs/>
          <w:noProof/>
          <w:sz w:val="24"/>
          <w:szCs w:val="24"/>
        </w:rPr>
      </w:pPr>
    </w:p>
    <w:p w14:paraId="6FF9502C" w14:textId="77777777" w:rsidR="00CA5F71" w:rsidRPr="004D5AB1" w:rsidRDefault="00CA5F71" w:rsidP="0015226E">
      <w:pPr>
        <w:ind w:left="851"/>
        <w:rPr>
          <w:bCs/>
          <w:noProof/>
          <w:sz w:val="24"/>
          <w:szCs w:val="24"/>
        </w:rPr>
      </w:pPr>
      <w:r w:rsidRPr="004D5AB1">
        <w:rPr>
          <w:bCs/>
          <w:noProof/>
          <w:sz w:val="24"/>
          <w:szCs w:val="24"/>
        </w:rPr>
        <w:t>Sekundære sikkerhedsendepunkter omfattede:</w:t>
      </w:r>
    </w:p>
    <w:p w14:paraId="4A85959B" w14:textId="77777777" w:rsidR="00CA5F71" w:rsidRPr="004D5AB1" w:rsidRDefault="00CA5F71" w:rsidP="0015226E">
      <w:pPr>
        <w:pStyle w:val="Listeafsnit"/>
        <w:numPr>
          <w:ilvl w:val="0"/>
          <w:numId w:val="7"/>
        </w:numPr>
        <w:ind w:left="1276" w:hanging="425"/>
        <w:rPr>
          <w:bCs/>
          <w:noProof/>
          <w:sz w:val="24"/>
          <w:szCs w:val="24"/>
        </w:rPr>
      </w:pPr>
      <w:r w:rsidRPr="004D5AB1">
        <w:rPr>
          <w:bCs/>
          <w:noProof/>
          <w:sz w:val="24"/>
          <w:szCs w:val="24"/>
        </w:rPr>
        <w:t xml:space="preserve">Procentdel af patienter med patologiske fund af epifysevækstplade opstået under behandlingen, som var sammenlignelige på tværs af behandlingsgrupperne ved uge 24 </w:t>
      </w:r>
      <w:r w:rsidRPr="004D5AB1">
        <w:rPr>
          <w:bCs/>
          <w:noProof/>
          <w:sz w:val="24"/>
          <w:szCs w:val="24"/>
        </w:rPr>
        <w:lastRenderedPageBreak/>
        <w:t>(7,7 % i begge behandlingsgrupper). Indtil uge 52 var procentdelen af patienter med patologiske fund for nintedanib/nintedanib: 11,5 % og for placebo/nintedanib: 15,4 %.</w:t>
      </w:r>
    </w:p>
    <w:p w14:paraId="01C92B43" w14:textId="77777777" w:rsidR="00CA5F71" w:rsidRPr="004D5AB1" w:rsidRDefault="00CA5F71" w:rsidP="0015226E">
      <w:pPr>
        <w:pStyle w:val="Listeafsnit"/>
        <w:numPr>
          <w:ilvl w:val="0"/>
          <w:numId w:val="8"/>
        </w:numPr>
        <w:ind w:left="1276" w:hanging="425"/>
        <w:rPr>
          <w:bCs/>
          <w:noProof/>
          <w:sz w:val="24"/>
          <w:szCs w:val="24"/>
        </w:rPr>
      </w:pPr>
      <w:r w:rsidRPr="004D5AB1">
        <w:rPr>
          <w:bCs/>
          <w:noProof/>
          <w:sz w:val="24"/>
          <w:szCs w:val="24"/>
        </w:rPr>
        <w:t>Procentdel af patienter med patologiske fund under tandeftersyn eller -billeddianostik opstået under behandlingen, som var 46,2 % i nintedanib-gruppen og 38,5 % i placebogruppen indtil uge 24. Indtil uge 52 var procentdelen af patienter med patologiske fund for nintedanib/nintedanib: 50,0 % og for placebo/nintedanib: 46,2 %</w:t>
      </w:r>
    </w:p>
    <w:p w14:paraId="1D8D558D" w14:textId="77777777" w:rsidR="00CA5F71" w:rsidRPr="004D5AB1" w:rsidRDefault="00CA5F71" w:rsidP="00CA5F71">
      <w:pPr>
        <w:rPr>
          <w:bCs/>
          <w:noProof/>
          <w:sz w:val="24"/>
          <w:szCs w:val="24"/>
        </w:rPr>
      </w:pPr>
    </w:p>
    <w:p w14:paraId="5217BC25" w14:textId="77777777" w:rsidR="00CA5F71" w:rsidRPr="004D5AB1" w:rsidRDefault="00CA5F71" w:rsidP="0015226E">
      <w:pPr>
        <w:ind w:left="851"/>
        <w:rPr>
          <w:bCs/>
          <w:noProof/>
          <w:sz w:val="24"/>
          <w:szCs w:val="24"/>
        </w:rPr>
      </w:pPr>
      <w:r w:rsidRPr="004D5AB1">
        <w:rPr>
          <w:bCs/>
          <w:noProof/>
          <w:sz w:val="24"/>
          <w:szCs w:val="24"/>
        </w:rPr>
        <w:t>Det Europæiske Lægemiddelagentur har dispenseret fra kravet om at fremlægge resultaterne af studier med nintedanib i alle undergrupper af den pædiatriske population ved IPF (se pkt. 4.2 for oplysninger om pædiatrisk anvendelse).</w:t>
      </w:r>
    </w:p>
    <w:p w14:paraId="7399B194" w14:textId="77777777" w:rsidR="00CA5F71" w:rsidRPr="004D5AB1" w:rsidRDefault="00CA5F71" w:rsidP="0015226E">
      <w:pPr>
        <w:ind w:left="851"/>
        <w:rPr>
          <w:bCs/>
          <w:noProof/>
          <w:sz w:val="24"/>
          <w:szCs w:val="24"/>
        </w:rPr>
      </w:pPr>
      <w:r w:rsidRPr="004D5AB1">
        <w:rPr>
          <w:bCs/>
          <w:noProof/>
          <w:sz w:val="24"/>
          <w:szCs w:val="24"/>
        </w:rPr>
        <w:t>Det Europæiske Lægemiddelagentur har dispenseret fra kravet om at fremlægge resultaterne af studier med nintedanib i den pædiatriske population under 6 år med fibroserende ILS (se pkt. 4.2 for oplysninger om pædiatrisk anvendelse).</w:t>
      </w:r>
    </w:p>
    <w:p w14:paraId="54F6C709" w14:textId="77777777" w:rsidR="009260DE" w:rsidRPr="004D5AB1" w:rsidRDefault="009260DE" w:rsidP="009260DE">
      <w:pPr>
        <w:tabs>
          <w:tab w:val="left" w:pos="851"/>
        </w:tabs>
        <w:ind w:left="851"/>
        <w:rPr>
          <w:sz w:val="24"/>
          <w:szCs w:val="24"/>
        </w:rPr>
      </w:pPr>
    </w:p>
    <w:p w14:paraId="1A3E8395" w14:textId="77777777" w:rsidR="009260DE" w:rsidRPr="004D5AB1" w:rsidRDefault="009260DE" w:rsidP="009260DE">
      <w:pPr>
        <w:tabs>
          <w:tab w:val="left" w:pos="851"/>
        </w:tabs>
        <w:ind w:left="851" w:hanging="851"/>
        <w:rPr>
          <w:b/>
          <w:sz w:val="24"/>
          <w:szCs w:val="24"/>
        </w:rPr>
      </w:pPr>
      <w:r w:rsidRPr="004D5AB1">
        <w:rPr>
          <w:b/>
          <w:sz w:val="24"/>
          <w:szCs w:val="24"/>
        </w:rPr>
        <w:t>5.2</w:t>
      </w:r>
      <w:r w:rsidRPr="004D5AB1">
        <w:rPr>
          <w:b/>
          <w:sz w:val="24"/>
          <w:szCs w:val="24"/>
        </w:rPr>
        <w:tab/>
      </w:r>
      <w:proofErr w:type="spellStart"/>
      <w:r w:rsidRPr="004D5AB1">
        <w:rPr>
          <w:b/>
          <w:sz w:val="24"/>
          <w:szCs w:val="24"/>
        </w:rPr>
        <w:t>Farmakokinetiske</w:t>
      </w:r>
      <w:proofErr w:type="spellEnd"/>
      <w:r w:rsidRPr="004D5AB1">
        <w:rPr>
          <w:b/>
          <w:sz w:val="24"/>
          <w:szCs w:val="24"/>
        </w:rPr>
        <w:t xml:space="preserve"> egenskaber</w:t>
      </w:r>
    </w:p>
    <w:p w14:paraId="035C4AB2" w14:textId="77777777" w:rsidR="0099618E" w:rsidRDefault="0099618E" w:rsidP="0015226E">
      <w:pPr>
        <w:ind w:left="851"/>
        <w:rPr>
          <w:sz w:val="24"/>
          <w:szCs w:val="24"/>
          <w:u w:val="single"/>
        </w:rPr>
      </w:pPr>
    </w:p>
    <w:p w14:paraId="2C9AF9D2" w14:textId="62416F6B" w:rsidR="00CA5F71" w:rsidRPr="004D5AB1" w:rsidRDefault="00CA5F71" w:rsidP="0015226E">
      <w:pPr>
        <w:ind w:left="851"/>
        <w:rPr>
          <w:sz w:val="24"/>
          <w:szCs w:val="24"/>
        </w:rPr>
      </w:pPr>
      <w:r w:rsidRPr="004D5AB1">
        <w:rPr>
          <w:sz w:val="24"/>
          <w:szCs w:val="24"/>
          <w:u w:val="single"/>
        </w:rPr>
        <w:t>Absorption</w:t>
      </w:r>
    </w:p>
    <w:p w14:paraId="506EB3DF" w14:textId="77777777" w:rsidR="00CA5F71" w:rsidRPr="004D5AB1" w:rsidRDefault="00CA5F71" w:rsidP="0015226E">
      <w:pPr>
        <w:ind w:left="851"/>
        <w:rPr>
          <w:sz w:val="24"/>
          <w:szCs w:val="24"/>
        </w:rPr>
      </w:pPr>
      <w:r w:rsidRPr="004D5AB1">
        <w:rPr>
          <w:sz w:val="24"/>
          <w:szCs w:val="24"/>
        </w:rPr>
        <w:t xml:space="preserve">De maksimale plasmakoncentrationer af </w:t>
      </w:r>
      <w:proofErr w:type="spellStart"/>
      <w:r w:rsidRPr="004D5AB1">
        <w:rPr>
          <w:sz w:val="24"/>
          <w:szCs w:val="24"/>
        </w:rPr>
        <w:t>nintedanib</w:t>
      </w:r>
      <w:proofErr w:type="spellEnd"/>
      <w:r w:rsidRPr="004D5AB1">
        <w:rPr>
          <w:sz w:val="24"/>
          <w:szCs w:val="24"/>
        </w:rPr>
        <w:t xml:space="preserve"> blev nået ca. 2-4 timer efter oral administration af en blød gelatinekapsel kort efter et måltid (variationsbredde 0,5-8 timer). Den absolutte biotilgængelighed af en dosis på 100 mg var 4,69 % (90 % CI: 3,615; 6,078) hos raske frivillige. Absorption og biotilgængelighed nedsættes af transporter-effekt og en betydelig førstepassage-metabolisme. Eksponeringen for </w:t>
      </w:r>
      <w:proofErr w:type="spellStart"/>
      <w:r w:rsidRPr="004D5AB1">
        <w:rPr>
          <w:sz w:val="24"/>
          <w:szCs w:val="24"/>
        </w:rPr>
        <w:t>nintedanib</w:t>
      </w:r>
      <w:proofErr w:type="spellEnd"/>
      <w:r w:rsidRPr="004D5AB1">
        <w:rPr>
          <w:sz w:val="24"/>
          <w:szCs w:val="24"/>
        </w:rPr>
        <w:t xml:space="preserve"> steg dosisproportionalt i dosisområdet 50-450 mg én gang dagligt og 150-300 mg to gange dagligt. </w:t>
      </w:r>
      <w:proofErr w:type="spellStart"/>
      <w:r w:rsidRPr="004D5AB1">
        <w:rPr>
          <w:i/>
          <w:iCs/>
          <w:sz w:val="24"/>
          <w:szCs w:val="24"/>
        </w:rPr>
        <w:t>Steady</w:t>
      </w:r>
      <w:proofErr w:type="spellEnd"/>
      <w:r w:rsidRPr="004D5AB1">
        <w:rPr>
          <w:i/>
          <w:iCs/>
          <w:sz w:val="24"/>
          <w:szCs w:val="24"/>
        </w:rPr>
        <w:t xml:space="preserve"> </w:t>
      </w:r>
      <w:proofErr w:type="spellStart"/>
      <w:r w:rsidRPr="004D5AB1">
        <w:rPr>
          <w:i/>
          <w:iCs/>
          <w:sz w:val="24"/>
          <w:szCs w:val="24"/>
        </w:rPr>
        <w:t>state</w:t>
      </w:r>
      <w:proofErr w:type="spellEnd"/>
      <w:r w:rsidRPr="004D5AB1">
        <w:rPr>
          <w:i/>
          <w:iCs/>
          <w:sz w:val="24"/>
          <w:szCs w:val="24"/>
        </w:rPr>
        <w:t xml:space="preserve"> </w:t>
      </w:r>
      <w:r w:rsidRPr="004D5AB1">
        <w:rPr>
          <w:sz w:val="24"/>
          <w:szCs w:val="24"/>
        </w:rPr>
        <w:t>plasmakoncentrationer blev opnået senest inden for en uge efter dosering.</w:t>
      </w:r>
    </w:p>
    <w:p w14:paraId="41F74FE6" w14:textId="77777777" w:rsidR="00CA5F71" w:rsidRPr="004D5AB1" w:rsidRDefault="00CA5F71" w:rsidP="0015226E">
      <w:pPr>
        <w:ind w:left="851"/>
        <w:rPr>
          <w:sz w:val="24"/>
          <w:szCs w:val="24"/>
        </w:rPr>
      </w:pPr>
    </w:p>
    <w:p w14:paraId="47C0F4E2" w14:textId="77777777" w:rsidR="00CA5F71" w:rsidRPr="004D5AB1" w:rsidRDefault="00CA5F71" w:rsidP="0015226E">
      <w:pPr>
        <w:ind w:left="851"/>
        <w:rPr>
          <w:sz w:val="24"/>
          <w:szCs w:val="24"/>
        </w:rPr>
      </w:pPr>
      <w:r w:rsidRPr="004D5AB1">
        <w:rPr>
          <w:sz w:val="24"/>
          <w:szCs w:val="24"/>
        </w:rPr>
        <w:t xml:space="preserve">Eksponeringen for </w:t>
      </w:r>
      <w:proofErr w:type="spellStart"/>
      <w:r w:rsidRPr="004D5AB1">
        <w:rPr>
          <w:sz w:val="24"/>
          <w:szCs w:val="24"/>
        </w:rPr>
        <w:t>nintedanib</w:t>
      </w:r>
      <w:proofErr w:type="spellEnd"/>
      <w:r w:rsidRPr="004D5AB1">
        <w:rPr>
          <w:sz w:val="24"/>
          <w:szCs w:val="24"/>
        </w:rPr>
        <w:t xml:space="preserve"> steg med ca. 20 % efter fødeindtagelse sammenlignet med administration under faste (CI: 95,3 %; 152,5 %), og absorptionen blev forsinket (median </w:t>
      </w:r>
      <w:proofErr w:type="spellStart"/>
      <w:r w:rsidRPr="004D5AB1">
        <w:rPr>
          <w:sz w:val="24"/>
          <w:szCs w:val="24"/>
        </w:rPr>
        <w:t>t</w:t>
      </w:r>
      <w:r w:rsidRPr="004D5AB1">
        <w:rPr>
          <w:sz w:val="24"/>
          <w:szCs w:val="24"/>
          <w:vertAlign w:val="subscript"/>
        </w:rPr>
        <w:t>max</w:t>
      </w:r>
      <w:proofErr w:type="spellEnd"/>
      <w:r w:rsidRPr="004D5AB1">
        <w:rPr>
          <w:sz w:val="24"/>
          <w:szCs w:val="24"/>
        </w:rPr>
        <w:t xml:space="preserve"> fastende: 2,00 timer; kort efter et måltid: 3,98 timer).</w:t>
      </w:r>
    </w:p>
    <w:p w14:paraId="507F6322" w14:textId="77777777" w:rsidR="00CA5F71" w:rsidRPr="004D5AB1" w:rsidRDefault="00CA5F71" w:rsidP="0015226E">
      <w:pPr>
        <w:ind w:left="851"/>
        <w:rPr>
          <w:sz w:val="24"/>
          <w:szCs w:val="24"/>
          <w:u w:val="single"/>
        </w:rPr>
      </w:pPr>
    </w:p>
    <w:p w14:paraId="420AF1CF" w14:textId="77777777" w:rsidR="00CA5F71" w:rsidRPr="004D5AB1" w:rsidRDefault="00CA5F71" w:rsidP="0015226E">
      <w:pPr>
        <w:ind w:left="851"/>
        <w:rPr>
          <w:sz w:val="24"/>
          <w:szCs w:val="24"/>
        </w:rPr>
      </w:pPr>
      <w:r w:rsidRPr="004D5AB1">
        <w:rPr>
          <w:noProof/>
          <w:sz w:val="24"/>
          <w:szCs w:val="24"/>
          <w:u w:val="single"/>
        </w:rPr>
        <w:t>Fordeling</w:t>
      </w:r>
    </w:p>
    <w:p w14:paraId="38EB5F9A" w14:textId="77777777" w:rsidR="00CA5F71" w:rsidRPr="004D5AB1" w:rsidRDefault="00CA5F71" w:rsidP="0015226E">
      <w:pPr>
        <w:ind w:left="851"/>
        <w:rPr>
          <w:sz w:val="24"/>
          <w:szCs w:val="24"/>
        </w:rPr>
      </w:pPr>
      <w:proofErr w:type="spellStart"/>
      <w:r w:rsidRPr="004D5AB1">
        <w:rPr>
          <w:sz w:val="24"/>
          <w:szCs w:val="24"/>
        </w:rPr>
        <w:t>Nintedanib</w:t>
      </w:r>
      <w:proofErr w:type="spellEnd"/>
      <w:r w:rsidRPr="004D5AB1">
        <w:rPr>
          <w:sz w:val="24"/>
          <w:szCs w:val="24"/>
        </w:rPr>
        <w:t xml:space="preserve"> følger som minimum en </w:t>
      </w:r>
      <w:proofErr w:type="spellStart"/>
      <w:r w:rsidRPr="004D5AB1">
        <w:rPr>
          <w:sz w:val="24"/>
          <w:szCs w:val="24"/>
        </w:rPr>
        <w:t>bifasisk</w:t>
      </w:r>
      <w:proofErr w:type="spellEnd"/>
      <w:r w:rsidRPr="004D5AB1">
        <w:rPr>
          <w:sz w:val="24"/>
          <w:szCs w:val="24"/>
        </w:rPr>
        <w:t xml:space="preserve"> fordelingskinetik. Efter intravenøs infusion blev der observeret et højt fordelingsvolumen (</w:t>
      </w:r>
      <w:proofErr w:type="spellStart"/>
      <w:r w:rsidRPr="004D5AB1">
        <w:rPr>
          <w:sz w:val="24"/>
          <w:szCs w:val="24"/>
        </w:rPr>
        <w:t>V</w:t>
      </w:r>
      <w:r w:rsidRPr="004D5AB1">
        <w:rPr>
          <w:sz w:val="24"/>
          <w:szCs w:val="24"/>
          <w:vertAlign w:val="subscript"/>
        </w:rPr>
        <w:t>ss</w:t>
      </w:r>
      <w:proofErr w:type="spellEnd"/>
      <w:r w:rsidRPr="004D5AB1">
        <w:rPr>
          <w:sz w:val="24"/>
          <w:szCs w:val="24"/>
        </w:rPr>
        <w:t xml:space="preserve">: 1.050 l; 45,0 % </w:t>
      </w:r>
      <w:proofErr w:type="spellStart"/>
      <w:r w:rsidRPr="004D5AB1">
        <w:rPr>
          <w:sz w:val="24"/>
          <w:szCs w:val="24"/>
        </w:rPr>
        <w:t>gCV</w:t>
      </w:r>
      <w:proofErr w:type="spellEnd"/>
      <w:r w:rsidRPr="004D5AB1">
        <w:rPr>
          <w:sz w:val="24"/>
          <w:szCs w:val="24"/>
        </w:rPr>
        <w:t>).</w:t>
      </w:r>
    </w:p>
    <w:p w14:paraId="38BF62C6" w14:textId="77777777" w:rsidR="00CA5F71" w:rsidRPr="004D5AB1" w:rsidRDefault="00CA5F71" w:rsidP="0015226E">
      <w:pPr>
        <w:ind w:left="851"/>
        <w:rPr>
          <w:i/>
          <w:iCs/>
          <w:sz w:val="24"/>
          <w:szCs w:val="24"/>
        </w:rPr>
      </w:pPr>
    </w:p>
    <w:p w14:paraId="213D18E1" w14:textId="77777777" w:rsidR="00CA5F71" w:rsidRPr="004D5AB1" w:rsidRDefault="00CA5F71" w:rsidP="0015226E">
      <w:pPr>
        <w:ind w:left="851"/>
        <w:rPr>
          <w:sz w:val="24"/>
          <w:szCs w:val="24"/>
        </w:rPr>
      </w:pPr>
      <w:r w:rsidRPr="004D5AB1">
        <w:rPr>
          <w:i/>
          <w:iCs/>
          <w:sz w:val="24"/>
          <w:szCs w:val="24"/>
        </w:rPr>
        <w:t xml:space="preserve">In </w:t>
      </w:r>
      <w:proofErr w:type="spellStart"/>
      <w:r w:rsidRPr="004D5AB1">
        <w:rPr>
          <w:i/>
          <w:iCs/>
          <w:sz w:val="24"/>
          <w:szCs w:val="24"/>
        </w:rPr>
        <w:t>vitro</w:t>
      </w:r>
      <w:proofErr w:type="spellEnd"/>
      <w:r w:rsidRPr="004D5AB1">
        <w:rPr>
          <w:i/>
          <w:iCs/>
          <w:sz w:val="24"/>
          <w:szCs w:val="24"/>
        </w:rPr>
        <w:t xml:space="preserve"> </w:t>
      </w:r>
      <w:r w:rsidRPr="004D5AB1">
        <w:rPr>
          <w:sz w:val="24"/>
          <w:szCs w:val="24"/>
        </w:rPr>
        <w:t xml:space="preserve">proteinbindingen af </w:t>
      </w:r>
      <w:proofErr w:type="spellStart"/>
      <w:r w:rsidRPr="004D5AB1">
        <w:rPr>
          <w:sz w:val="24"/>
          <w:szCs w:val="24"/>
        </w:rPr>
        <w:t>nintedanib</w:t>
      </w:r>
      <w:proofErr w:type="spellEnd"/>
      <w:r w:rsidRPr="004D5AB1">
        <w:rPr>
          <w:sz w:val="24"/>
          <w:szCs w:val="24"/>
        </w:rPr>
        <w:t xml:space="preserve"> i humant plasma var høj, med en bundet fraktion på 97,8 %. Serumalbumin anses for det vigtigste bindingsprotein. </w:t>
      </w:r>
      <w:proofErr w:type="spellStart"/>
      <w:r w:rsidRPr="004D5AB1">
        <w:rPr>
          <w:sz w:val="24"/>
          <w:szCs w:val="24"/>
        </w:rPr>
        <w:t>Nintedanib</w:t>
      </w:r>
      <w:proofErr w:type="spellEnd"/>
      <w:r w:rsidRPr="004D5AB1">
        <w:rPr>
          <w:sz w:val="24"/>
          <w:szCs w:val="24"/>
        </w:rPr>
        <w:t xml:space="preserve"> fordeles fortrinsvis i plasma med et blod/plasma-forhold på 0,869.</w:t>
      </w:r>
    </w:p>
    <w:p w14:paraId="3FF02623" w14:textId="77777777" w:rsidR="00CA5F71" w:rsidRPr="004D5AB1" w:rsidRDefault="00CA5F71" w:rsidP="0015226E">
      <w:pPr>
        <w:ind w:left="851"/>
        <w:rPr>
          <w:sz w:val="24"/>
          <w:szCs w:val="24"/>
          <w:u w:val="single"/>
        </w:rPr>
      </w:pPr>
    </w:p>
    <w:p w14:paraId="7AF3E19B" w14:textId="77777777" w:rsidR="00CA5F71" w:rsidRPr="004D5AB1" w:rsidRDefault="00CA5F71" w:rsidP="0015226E">
      <w:pPr>
        <w:ind w:left="851"/>
        <w:rPr>
          <w:sz w:val="24"/>
          <w:szCs w:val="24"/>
        </w:rPr>
      </w:pPr>
      <w:r w:rsidRPr="004D5AB1">
        <w:rPr>
          <w:sz w:val="24"/>
          <w:szCs w:val="24"/>
          <w:u w:val="single"/>
        </w:rPr>
        <w:t>Biotransformation</w:t>
      </w:r>
    </w:p>
    <w:p w14:paraId="7922EFCA" w14:textId="77777777" w:rsidR="00CA5F71" w:rsidRPr="004D5AB1" w:rsidRDefault="00CA5F71" w:rsidP="0015226E">
      <w:pPr>
        <w:ind w:left="851"/>
        <w:rPr>
          <w:sz w:val="24"/>
          <w:szCs w:val="24"/>
        </w:rPr>
      </w:pPr>
      <w:r w:rsidRPr="004D5AB1">
        <w:rPr>
          <w:sz w:val="24"/>
          <w:szCs w:val="24"/>
        </w:rPr>
        <w:t xml:space="preserve">Den dominerende metaboliske reaktion for </w:t>
      </w:r>
      <w:proofErr w:type="spellStart"/>
      <w:r w:rsidRPr="004D5AB1">
        <w:rPr>
          <w:sz w:val="24"/>
          <w:szCs w:val="24"/>
        </w:rPr>
        <w:t>nintedanib</w:t>
      </w:r>
      <w:proofErr w:type="spellEnd"/>
      <w:r w:rsidRPr="004D5AB1">
        <w:rPr>
          <w:sz w:val="24"/>
          <w:szCs w:val="24"/>
        </w:rPr>
        <w:t xml:space="preserve"> er hydrolytisk spaltning ved hjælp af esteraser, som resulterer i den frie </w:t>
      </w:r>
      <w:proofErr w:type="spellStart"/>
      <w:r w:rsidRPr="004D5AB1">
        <w:rPr>
          <w:sz w:val="24"/>
          <w:szCs w:val="24"/>
        </w:rPr>
        <w:t>syredel</w:t>
      </w:r>
      <w:proofErr w:type="spellEnd"/>
      <w:r w:rsidRPr="004D5AB1">
        <w:rPr>
          <w:sz w:val="24"/>
          <w:szCs w:val="24"/>
        </w:rPr>
        <w:t xml:space="preserve"> BIBF 1202. BIBF 1202 </w:t>
      </w:r>
      <w:proofErr w:type="spellStart"/>
      <w:r w:rsidRPr="004D5AB1">
        <w:rPr>
          <w:sz w:val="24"/>
          <w:szCs w:val="24"/>
        </w:rPr>
        <w:t>glukuronideres</w:t>
      </w:r>
      <w:proofErr w:type="spellEnd"/>
      <w:r w:rsidRPr="004D5AB1">
        <w:rPr>
          <w:sz w:val="24"/>
          <w:szCs w:val="24"/>
        </w:rPr>
        <w:t xml:space="preserve"> efterfølgende til BIBF 1202 </w:t>
      </w:r>
      <w:proofErr w:type="spellStart"/>
      <w:r w:rsidRPr="004D5AB1">
        <w:rPr>
          <w:sz w:val="24"/>
          <w:szCs w:val="24"/>
        </w:rPr>
        <w:t>glukuronid</w:t>
      </w:r>
      <w:proofErr w:type="spellEnd"/>
      <w:r w:rsidRPr="004D5AB1">
        <w:rPr>
          <w:sz w:val="24"/>
          <w:szCs w:val="24"/>
        </w:rPr>
        <w:t xml:space="preserve"> af </w:t>
      </w:r>
      <w:proofErr w:type="spellStart"/>
      <w:r w:rsidRPr="004D5AB1">
        <w:rPr>
          <w:sz w:val="24"/>
          <w:szCs w:val="24"/>
        </w:rPr>
        <w:t>uridin</w:t>
      </w:r>
      <w:proofErr w:type="spellEnd"/>
      <w:r w:rsidRPr="004D5AB1">
        <w:rPr>
          <w:sz w:val="24"/>
          <w:szCs w:val="24"/>
        </w:rPr>
        <w:t xml:space="preserve"> 5'-diphosphat-glucuronosyltransferase-enzymer (UGT-enzymer), nærmere bestemt UGT 1A1, UGT 1A7, UGT 1A8 og UGT 1A10.</w:t>
      </w:r>
    </w:p>
    <w:p w14:paraId="4C561B95" w14:textId="77777777" w:rsidR="00CA5F71" w:rsidRPr="004D5AB1" w:rsidRDefault="00CA5F71" w:rsidP="0015226E">
      <w:pPr>
        <w:ind w:left="851"/>
        <w:rPr>
          <w:sz w:val="24"/>
          <w:szCs w:val="24"/>
        </w:rPr>
      </w:pPr>
    </w:p>
    <w:p w14:paraId="1E6CFF11" w14:textId="77777777" w:rsidR="00CA5F71" w:rsidRPr="004D5AB1" w:rsidRDefault="00CA5F71" w:rsidP="0015226E">
      <w:pPr>
        <w:ind w:left="851"/>
        <w:rPr>
          <w:sz w:val="24"/>
          <w:szCs w:val="24"/>
        </w:rPr>
      </w:pPr>
      <w:r w:rsidRPr="004D5AB1">
        <w:rPr>
          <w:sz w:val="24"/>
          <w:szCs w:val="24"/>
        </w:rPr>
        <w:t xml:space="preserve">Biotransformationen af </w:t>
      </w:r>
      <w:proofErr w:type="spellStart"/>
      <w:r w:rsidRPr="004D5AB1">
        <w:rPr>
          <w:sz w:val="24"/>
          <w:szCs w:val="24"/>
        </w:rPr>
        <w:t>nintedanib</w:t>
      </w:r>
      <w:proofErr w:type="spellEnd"/>
      <w:r w:rsidRPr="004D5AB1">
        <w:rPr>
          <w:sz w:val="24"/>
          <w:szCs w:val="24"/>
        </w:rPr>
        <w:t xml:space="preserve"> omfatter kun i mindre grad CYP-</w:t>
      </w:r>
      <w:proofErr w:type="spellStart"/>
      <w:r w:rsidRPr="004D5AB1">
        <w:rPr>
          <w:sz w:val="24"/>
          <w:szCs w:val="24"/>
        </w:rPr>
        <w:t>metaboliseringsveje</w:t>
      </w:r>
      <w:proofErr w:type="spellEnd"/>
      <w:r w:rsidRPr="004D5AB1">
        <w:rPr>
          <w:sz w:val="24"/>
          <w:szCs w:val="24"/>
        </w:rPr>
        <w:t xml:space="preserve"> med CYP 3A4 som det dominerende af de involverede enzymer. Den vigtigste CYP-afhængige metabolit kunne ikke måles i plasma hos mennesker i ADME-studiet. </w:t>
      </w:r>
      <w:r w:rsidRPr="004D5AB1">
        <w:rPr>
          <w:i/>
          <w:iCs/>
          <w:sz w:val="24"/>
          <w:szCs w:val="24"/>
        </w:rPr>
        <w:t xml:space="preserve">In </w:t>
      </w:r>
      <w:proofErr w:type="spellStart"/>
      <w:r w:rsidRPr="004D5AB1">
        <w:rPr>
          <w:i/>
          <w:iCs/>
          <w:sz w:val="24"/>
          <w:szCs w:val="24"/>
        </w:rPr>
        <w:t>vitro</w:t>
      </w:r>
      <w:proofErr w:type="spellEnd"/>
      <w:r w:rsidRPr="004D5AB1">
        <w:rPr>
          <w:i/>
          <w:iCs/>
          <w:sz w:val="24"/>
          <w:szCs w:val="24"/>
        </w:rPr>
        <w:t xml:space="preserve"> </w:t>
      </w:r>
      <w:r w:rsidRPr="004D5AB1">
        <w:rPr>
          <w:sz w:val="24"/>
          <w:szCs w:val="24"/>
        </w:rPr>
        <w:t xml:space="preserve">kunne CYP-afhængig metabolisme tilskrives ca. 5 % sammenlignet med ca. 25 % ester-spaltning. </w:t>
      </w:r>
      <w:proofErr w:type="spellStart"/>
      <w:r w:rsidRPr="004D5AB1">
        <w:rPr>
          <w:sz w:val="24"/>
          <w:szCs w:val="24"/>
        </w:rPr>
        <w:t>Nintedanib</w:t>
      </w:r>
      <w:proofErr w:type="spellEnd"/>
      <w:r w:rsidRPr="004D5AB1">
        <w:rPr>
          <w:sz w:val="24"/>
          <w:szCs w:val="24"/>
        </w:rPr>
        <w:t xml:space="preserve">, BIBF 1202 og BIBF 1202 </w:t>
      </w:r>
      <w:proofErr w:type="spellStart"/>
      <w:r w:rsidRPr="004D5AB1">
        <w:rPr>
          <w:sz w:val="24"/>
          <w:szCs w:val="24"/>
        </w:rPr>
        <w:t>glukuronid</w:t>
      </w:r>
      <w:proofErr w:type="spellEnd"/>
      <w:r w:rsidRPr="004D5AB1">
        <w:rPr>
          <w:sz w:val="24"/>
          <w:szCs w:val="24"/>
        </w:rPr>
        <w:t xml:space="preserve"> hverken hæmmede eller inducerede CYP-enzymer i prækliniske studier. Lægemiddel-lægemiddel-interaktioner </w:t>
      </w:r>
      <w:r w:rsidRPr="004D5AB1">
        <w:rPr>
          <w:sz w:val="24"/>
          <w:szCs w:val="24"/>
        </w:rPr>
        <w:lastRenderedPageBreak/>
        <w:t xml:space="preserve">mellem </w:t>
      </w:r>
      <w:proofErr w:type="spellStart"/>
      <w:r w:rsidRPr="004D5AB1">
        <w:rPr>
          <w:sz w:val="24"/>
          <w:szCs w:val="24"/>
        </w:rPr>
        <w:t>nintedanib</w:t>
      </w:r>
      <w:proofErr w:type="spellEnd"/>
      <w:r w:rsidRPr="004D5AB1">
        <w:rPr>
          <w:sz w:val="24"/>
          <w:szCs w:val="24"/>
        </w:rPr>
        <w:t xml:space="preserve"> og CYP-substrater, CYP-</w:t>
      </w:r>
      <w:proofErr w:type="spellStart"/>
      <w:r w:rsidRPr="004D5AB1">
        <w:rPr>
          <w:sz w:val="24"/>
          <w:szCs w:val="24"/>
        </w:rPr>
        <w:t>hæmmere</w:t>
      </w:r>
      <w:proofErr w:type="spellEnd"/>
      <w:r w:rsidRPr="004D5AB1">
        <w:rPr>
          <w:sz w:val="24"/>
          <w:szCs w:val="24"/>
        </w:rPr>
        <w:t xml:space="preserve"> eller CYP-induktorer forventes derfor ikke.</w:t>
      </w:r>
    </w:p>
    <w:p w14:paraId="56820425" w14:textId="77777777" w:rsidR="00CA5F71" w:rsidRPr="004D5AB1" w:rsidRDefault="00CA5F71" w:rsidP="0015226E">
      <w:pPr>
        <w:ind w:left="851"/>
        <w:rPr>
          <w:sz w:val="24"/>
          <w:szCs w:val="24"/>
          <w:u w:val="single"/>
        </w:rPr>
      </w:pPr>
    </w:p>
    <w:p w14:paraId="54E5D888" w14:textId="77777777" w:rsidR="00CA5F71" w:rsidRPr="004D5AB1" w:rsidRDefault="00CA5F71" w:rsidP="0015226E">
      <w:pPr>
        <w:ind w:left="851"/>
        <w:rPr>
          <w:sz w:val="24"/>
          <w:szCs w:val="24"/>
        </w:rPr>
      </w:pPr>
      <w:r w:rsidRPr="004D5AB1">
        <w:rPr>
          <w:sz w:val="24"/>
          <w:szCs w:val="24"/>
          <w:u w:val="single"/>
        </w:rPr>
        <w:t>Elimination</w:t>
      </w:r>
    </w:p>
    <w:p w14:paraId="10B0B220" w14:textId="604A3F67" w:rsidR="00CA5F71" w:rsidRPr="004D5AB1" w:rsidRDefault="00CA5F71" w:rsidP="0015226E">
      <w:pPr>
        <w:ind w:left="851"/>
        <w:rPr>
          <w:sz w:val="24"/>
          <w:szCs w:val="24"/>
        </w:rPr>
      </w:pPr>
      <w:r w:rsidRPr="004D5AB1">
        <w:rPr>
          <w:sz w:val="24"/>
          <w:szCs w:val="24"/>
        </w:rPr>
        <w:t xml:space="preserve">Den totale </w:t>
      </w:r>
      <w:proofErr w:type="spellStart"/>
      <w:r w:rsidRPr="004D5AB1">
        <w:rPr>
          <w:sz w:val="24"/>
          <w:szCs w:val="24"/>
        </w:rPr>
        <w:t>plasmaclearance</w:t>
      </w:r>
      <w:proofErr w:type="spellEnd"/>
      <w:r w:rsidRPr="004D5AB1">
        <w:rPr>
          <w:sz w:val="24"/>
          <w:szCs w:val="24"/>
        </w:rPr>
        <w:t xml:space="preserve"> efter intravenøs infusion var høj (CL: 1.390 ml/min; 28,8 % </w:t>
      </w:r>
      <w:proofErr w:type="spellStart"/>
      <w:r w:rsidRPr="004D5AB1">
        <w:rPr>
          <w:sz w:val="24"/>
          <w:szCs w:val="24"/>
        </w:rPr>
        <w:t>gCV</w:t>
      </w:r>
      <w:proofErr w:type="spellEnd"/>
      <w:r w:rsidRPr="004D5AB1">
        <w:rPr>
          <w:sz w:val="24"/>
          <w:szCs w:val="24"/>
        </w:rPr>
        <w:t xml:space="preserve">). Urinudskillelsen af </w:t>
      </w:r>
      <w:proofErr w:type="spellStart"/>
      <w:r w:rsidRPr="004D5AB1">
        <w:rPr>
          <w:sz w:val="24"/>
          <w:szCs w:val="24"/>
        </w:rPr>
        <w:t>uomdannet</w:t>
      </w:r>
      <w:proofErr w:type="spellEnd"/>
      <w:r w:rsidRPr="004D5AB1">
        <w:rPr>
          <w:sz w:val="24"/>
          <w:szCs w:val="24"/>
        </w:rPr>
        <w:t xml:space="preserve"> aktivt stof inden for 48 timer var ca. 0,05 % af dosis (31,5 % </w:t>
      </w:r>
      <w:proofErr w:type="spellStart"/>
      <w:r w:rsidRPr="004D5AB1">
        <w:rPr>
          <w:sz w:val="24"/>
          <w:szCs w:val="24"/>
        </w:rPr>
        <w:t>gCV</w:t>
      </w:r>
      <w:proofErr w:type="spellEnd"/>
      <w:r w:rsidRPr="004D5AB1">
        <w:rPr>
          <w:sz w:val="24"/>
          <w:szCs w:val="24"/>
        </w:rPr>
        <w:t xml:space="preserve">) efter oral administration og ca. 1,4 % af dosis (24,2 % </w:t>
      </w:r>
      <w:proofErr w:type="spellStart"/>
      <w:r w:rsidRPr="004D5AB1">
        <w:rPr>
          <w:sz w:val="24"/>
          <w:szCs w:val="24"/>
        </w:rPr>
        <w:t>gCV</w:t>
      </w:r>
      <w:proofErr w:type="spellEnd"/>
      <w:r w:rsidRPr="004D5AB1">
        <w:rPr>
          <w:sz w:val="24"/>
          <w:szCs w:val="24"/>
        </w:rPr>
        <w:t xml:space="preserve">) efter intravenøs administration. Den </w:t>
      </w:r>
      <w:proofErr w:type="spellStart"/>
      <w:r w:rsidRPr="004D5AB1">
        <w:rPr>
          <w:sz w:val="24"/>
          <w:szCs w:val="24"/>
        </w:rPr>
        <w:t>renale</w:t>
      </w:r>
      <w:proofErr w:type="spellEnd"/>
      <w:r w:rsidRPr="004D5AB1">
        <w:rPr>
          <w:sz w:val="24"/>
          <w:szCs w:val="24"/>
        </w:rPr>
        <w:t xml:space="preserve"> </w:t>
      </w:r>
      <w:proofErr w:type="spellStart"/>
      <w:r w:rsidRPr="004D5AB1">
        <w:rPr>
          <w:sz w:val="24"/>
          <w:szCs w:val="24"/>
        </w:rPr>
        <w:t>clearance</w:t>
      </w:r>
      <w:proofErr w:type="spellEnd"/>
      <w:r w:rsidRPr="004D5AB1">
        <w:rPr>
          <w:sz w:val="24"/>
          <w:szCs w:val="24"/>
        </w:rPr>
        <w:t xml:space="preserve"> var 20 ml/min (32,6 % </w:t>
      </w:r>
      <w:proofErr w:type="spellStart"/>
      <w:r w:rsidRPr="004D5AB1">
        <w:rPr>
          <w:sz w:val="24"/>
          <w:szCs w:val="24"/>
        </w:rPr>
        <w:t>gCV</w:t>
      </w:r>
      <w:proofErr w:type="spellEnd"/>
      <w:r w:rsidRPr="004D5AB1">
        <w:rPr>
          <w:sz w:val="24"/>
          <w:szCs w:val="24"/>
        </w:rPr>
        <w:t>). Den vigtigste eliminationsvej for lægemiddelrelateret radioaktivitet efter oral administration af [</w:t>
      </w:r>
      <w:r w:rsidRPr="004D5AB1">
        <w:rPr>
          <w:sz w:val="24"/>
          <w:szCs w:val="24"/>
          <w:vertAlign w:val="superscript"/>
        </w:rPr>
        <w:t>14</w:t>
      </w:r>
      <w:proofErr w:type="gramStart"/>
      <w:r w:rsidRPr="004D5AB1">
        <w:rPr>
          <w:sz w:val="24"/>
          <w:szCs w:val="24"/>
        </w:rPr>
        <w:t>C]</w:t>
      </w:r>
      <w:proofErr w:type="spellStart"/>
      <w:r w:rsidRPr="004D5AB1">
        <w:rPr>
          <w:sz w:val="24"/>
          <w:szCs w:val="24"/>
        </w:rPr>
        <w:t>nintedanib</w:t>
      </w:r>
      <w:proofErr w:type="spellEnd"/>
      <w:proofErr w:type="gramEnd"/>
      <w:r w:rsidRPr="004D5AB1">
        <w:rPr>
          <w:sz w:val="24"/>
          <w:szCs w:val="24"/>
        </w:rPr>
        <w:t xml:space="preserve"> var udskillelse med fæces/galde (93,4 % af dosis; 2,61 % </w:t>
      </w:r>
      <w:proofErr w:type="spellStart"/>
      <w:r w:rsidRPr="004D5AB1">
        <w:rPr>
          <w:sz w:val="24"/>
          <w:szCs w:val="24"/>
        </w:rPr>
        <w:t>gCV</w:t>
      </w:r>
      <w:proofErr w:type="spellEnd"/>
      <w:r w:rsidRPr="004D5AB1">
        <w:rPr>
          <w:sz w:val="24"/>
          <w:szCs w:val="24"/>
        </w:rPr>
        <w:t xml:space="preserve">). Bidraget fra </w:t>
      </w:r>
      <w:proofErr w:type="spellStart"/>
      <w:r w:rsidRPr="004D5AB1">
        <w:rPr>
          <w:sz w:val="24"/>
          <w:szCs w:val="24"/>
        </w:rPr>
        <w:t>renal</w:t>
      </w:r>
      <w:proofErr w:type="spellEnd"/>
      <w:r w:rsidRPr="004D5AB1">
        <w:rPr>
          <w:sz w:val="24"/>
          <w:szCs w:val="24"/>
        </w:rPr>
        <w:t xml:space="preserve"> udskillelse til den totale </w:t>
      </w:r>
      <w:proofErr w:type="spellStart"/>
      <w:r w:rsidRPr="004D5AB1">
        <w:rPr>
          <w:sz w:val="24"/>
          <w:szCs w:val="24"/>
        </w:rPr>
        <w:t>clearance</w:t>
      </w:r>
      <w:proofErr w:type="spellEnd"/>
      <w:r w:rsidRPr="004D5AB1">
        <w:rPr>
          <w:sz w:val="24"/>
          <w:szCs w:val="24"/>
        </w:rPr>
        <w:t xml:space="preserve"> var lavt (0,649 % af dosis; 26,3 % </w:t>
      </w:r>
      <w:proofErr w:type="spellStart"/>
      <w:r w:rsidRPr="004D5AB1">
        <w:rPr>
          <w:sz w:val="24"/>
          <w:szCs w:val="24"/>
        </w:rPr>
        <w:t>gCV</w:t>
      </w:r>
      <w:proofErr w:type="spellEnd"/>
      <w:r w:rsidRPr="004D5AB1">
        <w:rPr>
          <w:sz w:val="24"/>
          <w:szCs w:val="24"/>
        </w:rPr>
        <w:t xml:space="preserve">). Den samlede genfinding ansås for at være fuldstændig (over 90 %) inden for 4 dage efter dosering. </w:t>
      </w:r>
      <w:proofErr w:type="spellStart"/>
      <w:r w:rsidRPr="004D5AB1">
        <w:rPr>
          <w:sz w:val="24"/>
          <w:szCs w:val="24"/>
        </w:rPr>
        <w:t>Nintedanibs</w:t>
      </w:r>
      <w:proofErr w:type="spellEnd"/>
      <w:r w:rsidRPr="004D5AB1">
        <w:rPr>
          <w:sz w:val="24"/>
          <w:szCs w:val="24"/>
        </w:rPr>
        <w:t xml:space="preserve"> terminale halveringstid var mellem 10 og 15 timer (</w:t>
      </w:r>
      <w:proofErr w:type="spellStart"/>
      <w:r w:rsidRPr="004D5AB1">
        <w:rPr>
          <w:sz w:val="24"/>
          <w:szCs w:val="24"/>
        </w:rPr>
        <w:t>gCV</w:t>
      </w:r>
      <w:proofErr w:type="spellEnd"/>
      <w:r w:rsidRPr="004D5AB1">
        <w:rPr>
          <w:sz w:val="24"/>
          <w:szCs w:val="24"/>
        </w:rPr>
        <w:t xml:space="preserve"> % ca. 50</w:t>
      </w:r>
      <w:r w:rsidR="00676A6A">
        <w:rPr>
          <w:sz w:val="24"/>
          <w:szCs w:val="24"/>
        </w:rPr>
        <w:t> </w:t>
      </w:r>
      <w:r w:rsidRPr="004D5AB1">
        <w:rPr>
          <w:sz w:val="24"/>
          <w:szCs w:val="24"/>
        </w:rPr>
        <w:t>%).</w:t>
      </w:r>
    </w:p>
    <w:p w14:paraId="65AE2B7F" w14:textId="77777777" w:rsidR="00CA5F71" w:rsidRPr="004D5AB1" w:rsidRDefault="00CA5F71" w:rsidP="0015226E">
      <w:pPr>
        <w:ind w:left="851"/>
        <w:rPr>
          <w:sz w:val="24"/>
          <w:szCs w:val="24"/>
        </w:rPr>
      </w:pPr>
    </w:p>
    <w:p w14:paraId="65C797FA" w14:textId="77777777" w:rsidR="00CA5F71" w:rsidRPr="004D5AB1" w:rsidRDefault="00CA5F71" w:rsidP="0015226E">
      <w:pPr>
        <w:ind w:left="851"/>
        <w:rPr>
          <w:sz w:val="24"/>
          <w:szCs w:val="24"/>
        </w:rPr>
      </w:pPr>
      <w:r w:rsidRPr="004D5AB1">
        <w:rPr>
          <w:sz w:val="24"/>
          <w:szCs w:val="24"/>
          <w:u w:val="single"/>
        </w:rPr>
        <w:t>Linearitet/non-linearitet</w:t>
      </w:r>
    </w:p>
    <w:p w14:paraId="351E40CA" w14:textId="77777777" w:rsidR="00CA5F71" w:rsidRPr="004D5AB1" w:rsidRDefault="00CA5F71" w:rsidP="0015226E">
      <w:pPr>
        <w:ind w:left="851"/>
        <w:rPr>
          <w:sz w:val="24"/>
          <w:szCs w:val="24"/>
        </w:rPr>
      </w:pPr>
      <w:proofErr w:type="spellStart"/>
      <w:r w:rsidRPr="004D5AB1">
        <w:rPr>
          <w:sz w:val="24"/>
          <w:szCs w:val="24"/>
        </w:rPr>
        <w:t>Nintedanibs</w:t>
      </w:r>
      <w:proofErr w:type="spellEnd"/>
      <w:r w:rsidRPr="004D5AB1">
        <w:rPr>
          <w:sz w:val="24"/>
          <w:szCs w:val="24"/>
        </w:rPr>
        <w:t xml:space="preserve"> farmakokinetik (PK) kan anses for at være lineær med hensyn til tid (dvs. data for en enkeltdosis kan ekstrapoleres til data for gentagne doser). Akkumuleringen efter gentagne administrationer var 1,04 gange for </w:t>
      </w:r>
      <w:proofErr w:type="spellStart"/>
      <w:r w:rsidRPr="004D5AB1">
        <w:rPr>
          <w:sz w:val="24"/>
          <w:szCs w:val="24"/>
        </w:rPr>
        <w:t>C</w:t>
      </w:r>
      <w:r w:rsidRPr="004D5AB1">
        <w:rPr>
          <w:sz w:val="24"/>
          <w:szCs w:val="24"/>
          <w:vertAlign w:val="subscript"/>
        </w:rPr>
        <w:t>max</w:t>
      </w:r>
      <w:proofErr w:type="spellEnd"/>
      <w:r w:rsidRPr="004D5AB1">
        <w:rPr>
          <w:sz w:val="24"/>
          <w:szCs w:val="24"/>
        </w:rPr>
        <w:t xml:space="preserve"> og 1,38 gange for </w:t>
      </w:r>
      <w:proofErr w:type="spellStart"/>
      <w:r w:rsidRPr="004D5AB1">
        <w:rPr>
          <w:sz w:val="24"/>
          <w:szCs w:val="24"/>
        </w:rPr>
        <w:t>AUC</w:t>
      </w:r>
      <w:r w:rsidRPr="004D5AB1">
        <w:rPr>
          <w:sz w:val="24"/>
          <w:szCs w:val="24"/>
          <w:vertAlign w:val="subscript"/>
        </w:rPr>
        <w:t>τ</w:t>
      </w:r>
      <w:proofErr w:type="spellEnd"/>
      <w:r w:rsidRPr="004D5AB1">
        <w:rPr>
          <w:sz w:val="24"/>
          <w:szCs w:val="24"/>
        </w:rPr>
        <w:t xml:space="preserve">. Dalværdier for </w:t>
      </w:r>
      <w:proofErr w:type="spellStart"/>
      <w:r w:rsidRPr="004D5AB1">
        <w:rPr>
          <w:sz w:val="24"/>
          <w:szCs w:val="24"/>
        </w:rPr>
        <w:t>nintedanib</w:t>
      </w:r>
      <w:proofErr w:type="spellEnd"/>
      <w:r w:rsidRPr="004D5AB1">
        <w:rPr>
          <w:sz w:val="24"/>
          <w:szCs w:val="24"/>
        </w:rPr>
        <w:t xml:space="preserve"> koncentrationen forblev stabile i mere end et år.</w:t>
      </w:r>
    </w:p>
    <w:p w14:paraId="64A85F98" w14:textId="77777777" w:rsidR="00CA5F71" w:rsidRPr="004D5AB1" w:rsidRDefault="00CA5F71" w:rsidP="0015226E">
      <w:pPr>
        <w:ind w:left="851"/>
        <w:rPr>
          <w:sz w:val="24"/>
          <w:szCs w:val="24"/>
          <w:u w:val="single"/>
        </w:rPr>
      </w:pPr>
    </w:p>
    <w:p w14:paraId="2A683EBC" w14:textId="77777777" w:rsidR="00CA5F71" w:rsidRPr="004D5AB1" w:rsidRDefault="00CA5F71" w:rsidP="0015226E">
      <w:pPr>
        <w:ind w:left="851"/>
        <w:rPr>
          <w:sz w:val="24"/>
          <w:szCs w:val="24"/>
          <w:u w:val="single"/>
        </w:rPr>
      </w:pPr>
      <w:r w:rsidRPr="004D5AB1">
        <w:rPr>
          <w:sz w:val="24"/>
          <w:szCs w:val="24"/>
          <w:u w:val="single"/>
        </w:rPr>
        <w:t>Transport</w:t>
      </w:r>
    </w:p>
    <w:p w14:paraId="7C3B7714" w14:textId="77777777" w:rsidR="00CA5F71" w:rsidRPr="004D5AB1" w:rsidRDefault="00CA5F71" w:rsidP="0015226E">
      <w:pPr>
        <w:ind w:left="851"/>
        <w:rPr>
          <w:sz w:val="24"/>
          <w:szCs w:val="24"/>
        </w:rPr>
      </w:pPr>
      <w:proofErr w:type="spellStart"/>
      <w:r w:rsidRPr="004D5AB1">
        <w:rPr>
          <w:sz w:val="24"/>
          <w:szCs w:val="24"/>
        </w:rPr>
        <w:t>Nintedanib</w:t>
      </w:r>
      <w:proofErr w:type="spellEnd"/>
      <w:r w:rsidRPr="004D5AB1">
        <w:rPr>
          <w:sz w:val="24"/>
          <w:szCs w:val="24"/>
        </w:rPr>
        <w:t xml:space="preserve"> er et substrat for P-gp. For </w:t>
      </w:r>
      <w:proofErr w:type="spellStart"/>
      <w:r w:rsidRPr="004D5AB1">
        <w:rPr>
          <w:sz w:val="24"/>
          <w:szCs w:val="24"/>
        </w:rPr>
        <w:t>nintedanibs</w:t>
      </w:r>
      <w:proofErr w:type="spellEnd"/>
      <w:r w:rsidRPr="004D5AB1">
        <w:rPr>
          <w:sz w:val="24"/>
          <w:szCs w:val="24"/>
        </w:rPr>
        <w:t xml:space="preserve"> potentiale for interaktion med denne transportør, se pkt. 4.5. Det er vist, at </w:t>
      </w:r>
      <w:proofErr w:type="spellStart"/>
      <w:r w:rsidRPr="004D5AB1">
        <w:rPr>
          <w:sz w:val="24"/>
          <w:szCs w:val="24"/>
        </w:rPr>
        <w:t>nintedanib</w:t>
      </w:r>
      <w:proofErr w:type="spellEnd"/>
      <w:r w:rsidRPr="004D5AB1">
        <w:rPr>
          <w:sz w:val="24"/>
          <w:szCs w:val="24"/>
        </w:rPr>
        <w:t xml:space="preserve"> hverken er et substrat for eller en hæmmer af OATP-1B1, OATP-1B3, OATP-2B1, OCT-2 eller MRP-2 </w:t>
      </w:r>
      <w:r w:rsidRPr="004D5AB1">
        <w:rPr>
          <w:i/>
          <w:iCs/>
          <w:sz w:val="24"/>
          <w:szCs w:val="24"/>
        </w:rPr>
        <w:t xml:space="preserve">in </w:t>
      </w:r>
      <w:proofErr w:type="spellStart"/>
      <w:r w:rsidRPr="004D5AB1">
        <w:rPr>
          <w:i/>
          <w:iCs/>
          <w:sz w:val="24"/>
          <w:szCs w:val="24"/>
        </w:rPr>
        <w:t>vitro</w:t>
      </w:r>
      <w:proofErr w:type="spellEnd"/>
      <w:r w:rsidRPr="004D5AB1">
        <w:rPr>
          <w:sz w:val="24"/>
          <w:szCs w:val="24"/>
        </w:rPr>
        <w:t xml:space="preserve">. </w:t>
      </w:r>
      <w:proofErr w:type="spellStart"/>
      <w:r w:rsidRPr="004D5AB1">
        <w:rPr>
          <w:sz w:val="24"/>
          <w:szCs w:val="24"/>
        </w:rPr>
        <w:t>Nintedanib</w:t>
      </w:r>
      <w:proofErr w:type="spellEnd"/>
      <w:r w:rsidRPr="004D5AB1">
        <w:rPr>
          <w:sz w:val="24"/>
          <w:szCs w:val="24"/>
        </w:rPr>
        <w:t xml:space="preserve"> var heller ikke et substrat for BCRP. Der blev kun observeret potentiale for svag hæmning af OCT-1, BCRP og P-gp </w:t>
      </w:r>
      <w:r w:rsidRPr="004D5AB1">
        <w:rPr>
          <w:i/>
          <w:iCs/>
          <w:sz w:val="24"/>
          <w:szCs w:val="24"/>
        </w:rPr>
        <w:t xml:space="preserve">in </w:t>
      </w:r>
      <w:proofErr w:type="spellStart"/>
      <w:r w:rsidRPr="004D5AB1">
        <w:rPr>
          <w:i/>
          <w:iCs/>
          <w:sz w:val="24"/>
          <w:szCs w:val="24"/>
        </w:rPr>
        <w:t>vitro</w:t>
      </w:r>
      <w:proofErr w:type="spellEnd"/>
      <w:r w:rsidRPr="004D5AB1">
        <w:rPr>
          <w:sz w:val="24"/>
          <w:szCs w:val="24"/>
        </w:rPr>
        <w:t xml:space="preserve">, hvilket anses for at have ringe klinisk relevans. Det samme gælder for </w:t>
      </w:r>
      <w:proofErr w:type="spellStart"/>
      <w:r w:rsidRPr="004D5AB1">
        <w:rPr>
          <w:sz w:val="24"/>
          <w:szCs w:val="24"/>
        </w:rPr>
        <w:t>nintedanibs</w:t>
      </w:r>
      <w:proofErr w:type="spellEnd"/>
      <w:r w:rsidRPr="004D5AB1">
        <w:rPr>
          <w:sz w:val="24"/>
          <w:szCs w:val="24"/>
        </w:rPr>
        <w:t xml:space="preserve"> rolle som substrat for OCT-1.</w:t>
      </w:r>
    </w:p>
    <w:p w14:paraId="105430BB" w14:textId="77777777" w:rsidR="00CA5F71" w:rsidRPr="004D5AB1" w:rsidRDefault="00CA5F71" w:rsidP="0015226E">
      <w:pPr>
        <w:ind w:left="851"/>
        <w:rPr>
          <w:sz w:val="24"/>
          <w:szCs w:val="24"/>
        </w:rPr>
      </w:pPr>
    </w:p>
    <w:p w14:paraId="08DE3028" w14:textId="77777777" w:rsidR="00CA5F71" w:rsidRPr="004D5AB1" w:rsidRDefault="00CA5F71" w:rsidP="0015226E">
      <w:pPr>
        <w:ind w:left="851"/>
        <w:rPr>
          <w:sz w:val="24"/>
          <w:szCs w:val="24"/>
          <w:u w:val="single"/>
        </w:rPr>
      </w:pPr>
      <w:proofErr w:type="spellStart"/>
      <w:r w:rsidRPr="004D5AB1">
        <w:rPr>
          <w:sz w:val="24"/>
          <w:szCs w:val="24"/>
          <w:u w:val="single"/>
        </w:rPr>
        <w:t>Farmakokinetiske</w:t>
      </w:r>
      <w:proofErr w:type="spellEnd"/>
      <w:r w:rsidRPr="004D5AB1">
        <w:rPr>
          <w:sz w:val="24"/>
          <w:szCs w:val="24"/>
          <w:u w:val="single"/>
        </w:rPr>
        <w:t xml:space="preserve"> populationsanalyser i særlige populationer</w:t>
      </w:r>
    </w:p>
    <w:p w14:paraId="4EEA272D" w14:textId="77777777" w:rsidR="00CA5F71" w:rsidRPr="004D5AB1" w:rsidRDefault="00CA5F71" w:rsidP="0015226E">
      <w:pPr>
        <w:ind w:left="851"/>
        <w:rPr>
          <w:sz w:val="24"/>
          <w:szCs w:val="24"/>
        </w:rPr>
      </w:pPr>
      <w:proofErr w:type="spellStart"/>
      <w:r w:rsidRPr="004D5AB1">
        <w:rPr>
          <w:sz w:val="24"/>
          <w:szCs w:val="24"/>
        </w:rPr>
        <w:t>Nintedanibs</w:t>
      </w:r>
      <w:proofErr w:type="spellEnd"/>
      <w:r w:rsidRPr="004D5AB1">
        <w:rPr>
          <w:sz w:val="24"/>
          <w:szCs w:val="24"/>
        </w:rPr>
        <w:t xml:space="preserve"> </w:t>
      </w:r>
      <w:proofErr w:type="spellStart"/>
      <w:r w:rsidRPr="004D5AB1">
        <w:rPr>
          <w:sz w:val="24"/>
          <w:szCs w:val="24"/>
        </w:rPr>
        <w:t>farmakokinetiske</w:t>
      </w:r>
      <w:proofErr w:type="spellEnd"/>
      <w:r w:rsidRPr="004D5AB1">
        <w:rPr>
          <w:sz w:val="24"/>
          <w:szCs w:val="24"/>
        </w:rPr>
        <w:t xml:space="preserve"> egenskaber var de samme hos raske frivillige personer, patienter med IPF, patienter med andre kroniske </w:t>
      </w:r>
      <w:proofErr w:type="spellStart"/>
      <w:r w:rsidRPr="004D5AB1">
        <w:rPr>
          <w:sz w:val="24"/>
          <w:szCs w:val="24"/>
        </w:rPr>
        <w:t>fibroserende</w:t>
      </w:r>
      <w:proofErr w:type="spellEnd"/>
      <w:r w:rsidRPr="004D5AB1">
        <w:rPr>
          <w:sz w:val="24"/>
          <w:szCs w:val="24"/>
        </w:rPr>
        <w:t xml:space="preserve"> ILS med en progressiv fænotype, patienter med </w:t>
      </w:r>
      <w:proofErr w:type="spellStart"/>
      <w:r w:rsidRPr="004D5AB1">
        <w:rPr>
          <w:sz w:val="24"/>
          <w:szCs w:val="24"/>
        </w:rPr>
        <w:t>SSc</w:t>
      </w:r>
      <w:proofErr w:type="spellEnd"/>
      <w:r w:rsidRPr="004D5AB1">
        <w:rPr>
          <w:sz w:val="24"/>
          <w:szCs w:val="24"/>
        </w:rPr>
        <w:t xml:space="preserve"> ILS og patienter med kræft. Baseret på resultaterne fra en </w:t>
      </w:r>
      <w:proofErr w:type="spellStart"/>
      <w:r w:rsidRPr="004D5AB1">
        <w:rPr>
          <w:sz w:val="24"/>
          <w:szCs w:val="24"/>
        </w:rPr>
        <w:t>populationsfarmakokinetisk</w:t>
      </w:r>
      <w:proofErr w:type="spellEnd"/>
      <w:r w:rsidRPr="004D5AB1">
        <w:rPr>
          <w:sz w:val="24"/>
          <w:szCs w:val="24"/>
        </w:rPr>
        <w:t xml:space="preserve"> (</w:t>
      </w:r>
      <w:proofErr w:type="spellStart"/>
      <w:r w:rsidRPr="004D5AB1">
        <w:rPr>
          <w:sz w:val="24"/>
          <w:szCs w:val="24"/>
        </w:rPr>
        <w:t>PopPK</w:t>
      </w:r>
      <w:proofErr w:type="spellEnd"/>
      <w:r w:rsidRPr="004D5AB1">
        <w:rPr>
          <w:sz w:val="24"/>
          <w:szCs w:val="24"/>
        </w:rPr>
        <w:t xml:space="preserve">) analyse hos patienter med IPF og småcellet lungekræft (NSCLC) (N=1.191) og beskrivende undersøgelser, blev eksponeringen for </w:t>
      </w:r>
      <w:proofErr w:type="spellStart"/>
      <w:r w:rsidRPr="004D5AB1">
        <w:rPr>
          <w:sz w:val="24"/>
          <w:szCs w:val="24"/>
        </w:rPr>
        <w:t>nintedanib</w:t>
      </w:r>
      <w:proofErr w:type="spellEnd"/>
      <w:r w:rsidRPr="004D5AB1">
        <w:rPr>
          <w:sz w:val="24"/>
          <w:szCs w:val="24"/>
        </w:rPr>
        <w:t xml:space="preserve"> ikke påvirket af køn (korrigeret for legemsvægt), let og moderat nedsat nyrefunktion (estimeret ved </w:t>
      </w:r>
      <w:proofErr w:type="spellStart"/>
      <w:r w:rsidRPr="004D5AB1">
        <w:rPr>
          <w:sz w:val="24"/>
          <w:szCs w:val="24"/>
        </w:rPr>
        <w:t>kreatininclearance</w:t>
      </w:r>
      <w:proofErr w:type="spellEnd"/>
      <w:r w:rsidRPr="004D5AB1">
        <w:rPr>
          <w:sz w:val="24"/>
          <w:szCs w:val="24"/>
        </w:rPr>
        <w:t xml:space="preserve">), alkoholforbrug eller P-gp-genotype. </w:t>
      </w:r>
      <w:proofErr w:type="spellStart"/>
      <w:r w:rsidRPr="004D5AB1">
        <w:rPr>
          <w:sz w:val="24"/>
          <w:szCs w:val="24"/>
        </w:rPr>
        <w:t>PopPK</w:t>
      </w:r>
      <w:proofErr w:type="spellEnd"/>
      <w:r w:rsidRPr="004D5AB1">
        <w:rPr>
          <w:sz w:val="24"/>
          <w:szCs w:val="24"/>
        </w:rPr>
        <w:t xml:space="preserve">-analyser indikerede, at alder, legemsvægt og race havde moderate virkninger på eksponeringen for </w:t>
      </w:r>
      <w:proofErr w:type="spellStart"/>
      <w:r w:rsidRPr="004D5AB1">
        <w:rPr>
          <w:sz w:val="24"/>
          <w:szCs w:val="24"/>
        </w:rPr>
        <w:t>nintedanib</w:t>
      </w:r>
      <w:proofErr w:type="spellEnd"/>
      <w:r w:rsidRPr="004D5AB1">
        <w:rPr>
          <w:sz w:val="24"/>
          <w:szCs w:val="24"/>
        </w:rPr>
        <w:t xml:space="preserve"> (se nedenfor). På grund af den høje </w:t>
      </w:r>
      <w:proofErr w:type="spellStart"/>
      <w:r w:rsidRPr="004D5AB1">
        <w:rPr>
          <w:sz w:val="24"/>
          <w:szCs w:val="24"/>
        </w:rPr>
        <w:t>interindividuelle</w:t>
      </w:r>
      <w:proofErr w:type="spellEnd"/>
      <w:r w:rsidRPr="004D5AB1">
        <w:rPr>
          <w:sz w:val="24"/>
          <w:szCs w:val="24"/>
        </w:rPr>
        <w:t xml:space="preserve"> variabilitet i eksponeringen anses disse virkninger ikke for klinisk relevante (se pkt. 4.4).</w:t>
      </w:r>
    </w:p>
    <w:p w14:paraId="07EDCF7B" w14:textId="77777777" w:rsidR="00CA5F71" w:rsidRPr="004D5AB1" w:rsidRDefault="00CA5F71" w:rsidP="0015226E">
      <w:pPr>
        <w:ind w:left="851"/>
        <w:rPr>
          <w:i/>
          <w:iCs/>
          <w:sz w:val="24"/>
          <w:szCs w:val="24"/>
        </w:rPr>
      </w:pPr>
    </w:p>
    <w:p w14:paraId="493D44E6" w14:textId="77777777" w:rsidR="00CA5F71" w:rsidRPr="004D5AB1" w:rsidRDefault="00CA5F71" w:rsidP="0015226E">
      <w:pPr>
        <w:ind w:left="851"/>
        <w:rPr>
          <w:i/>
          <w:iCs/>
          <w:sz w:val="24"/>
          <w:szCs w:val="24"/>
        </w:rPr>
      </w:pPr>
      <w:r w:rsidRPr="004D5AB1">
        <w:rPr>
          <w:i/>
          <w:iCs/>
          <w:sz w:val="24"/>
          <w:szCs w:val="24"/>
        </w:rPr>
        <w:t>Alder</w:t>
      </w:r>
    </w:p>
    <w:p w14:paraId="4E8913A1" w14:textId="77777777" w:rsidR="00CA5F71" w:rsidRPr="004D5AB1" w:rsidRDefault="00CA5F71" w:rsidP="0015226E">
      <w:pPr>
        <w:ind w:left="851"/>
        <w:rPr>
          <w:sz w:val="24"/>
          <w:szCs w:val="24"/>
        </w:rPr>
      </w:pPr>
      <w:r w:rsidRPr="004D5AB1">
        <w:rPr>
          <w:sz w:val="24"/>
          <w:szCs w:val="24"/>
        </w:rPr>
        <w:t xml:space="preserve">Eksponeringen for </w:t>
      </w:r>
      <w:proofErr w:type="spellStart"/>
      <w:r w:rsidRPr="004D5AB1">
        <w:rPr>
          <w:sz w:val="24"/>
          <w:szCs w:val="24"/>
        </w:rPr>
        <w:t>nintedanib</w:t>
      </w:r>
      <w:proofErr w:type="spellEnd"/>
      <w:r w:rsidRPr="004D5AB1">
        <w:rPr>
          <w:sz w:val="24"/>
          <w:szCs w:val="24"/>
        </w:rPr>
        <w:t xml:space="preserve"> steg lineært med alderen. </w:t>
      </w:r>
      <w:proofErr w:type="spellStart"/>
      <w:r w:rsidRPr="004D5AB1">
        <w:rPr>
          <w:sz w:val="24"/>
          <w:szCs w:val="24"/>
        </w:rPr>
        <w:t>AUC</w:t>
      </w:r>
      <w:proofErr w:type="gramStart"/>
      <w:r w:rsidRPr="004D5AB1">
        <w:rPr>
          <w:sz w:val="24"/>
          <w:szCs w:val="24"/>
          <w:vertAlign w:val="subscript"/>
        </w:rPr>
        <w:t>τ,ss</w:t>
      </w:r>
      <w:proofErr w:type="spellEnd"/>
      <w:proofErr w:type="gramEnd"/>
      <w:r w:rsidRPr="004D5AB1">
        <w:rPr>
          <w:sz w:val="24"/>
          <w:szCs w:val="24"/>
        </w:rPr>
        <w:t xml:space="preserve"> faldt med 16 % hos en 45-årig patient og blev øget med 13 % hos en 76-årig patient i forhold til en patient med en gennemsnitsalder på 62 år. Analysen omfattede et aldersinterval fra 29 til 85 år; ca. 5 % af populationen var over 75 år. Baseret på en </w:t>
      </w:r>
      <w:proofErr w:type="spellStart"/>
      <w:r w:rsidRPr="004D5AB1">
        <w:rPr>
          <w:sz w:val="24"/>
          <w:szCs w:val="24"/>
        </w:rPr>
        <w:t>PopPK</w:t>
      </w:r>
      <w:proofErr w:type="spellEnd"/>
      <w:r w:rsidRPr="004D5AB1">
        <w:rPr>
          <w:sz w:val="24"/>
          <w:szCs w:val="24"/>
        </w:rPr>
        <w:t xml:space="preserve">-model blev der observeret en stigning i </w:t>
      </w:r>
      <w:proofErr w:type="spellStart"/>
      <w:r w:rsidRPr="004D5AB1">
        <w:rPr>
          <w:sz w:val="24"/>
          <w:szCs w:val="24"/>
        </w:rPr>
        <w:t>nintedanib</w:t>
      </w:r>
      <w:proofErr w:type="spellEnd"/>
      <w:r w:rsidRPr="004D5AB1">
        <w:rPr>
          <w:sz w:val="24"/>
          <w:szCs w:val="24"/>
        </w:rPr>
        <w:t xml:space="preserve">-eksponeringen på omkring 20-25 % hos patienter i alderen </w:t>
      </w:r>
      <w:r w:rsidRPr="004D5AB1">
        <w:rPr>
          <w:i/>
          <w:iCs/>
          <w:sz w:val="24"/>
          <w:szCs w:val="24"/>
        </w:rPr>
        <w:t>≥</w:t>
      </w:r>
      <w:r w:rsidRPr="004D5AB1">
        <w:rPr>
          <w:sz w:val="24"/>
          <w:szCs w:val="24"/>
        </w:rPr>
        <w:t>75 år sammenlignet med patienter under 65 år.</w:t>
      </w:r>
    </w:p>
    <w:p w14:paraId="7BC2ECCA" w14:textId="1B6F41FD" w:rsidR="00676A6A" w:rsidRDefault="00676A6A">
      <w:pPr>
        <w:rPr>
          <w:i/>
          <w:iCs/>
          <w:sz w:val="24"/>
          <w:szCs w:val="24"/>
        </w:rPr>
      </w:pPr>
      <w:r>
        <w:rPr>
          <w:i/>
          <w:iCs/>
          <w:sz w:val="24"/>
          <w:szCs w:val="24"/>
        </w:rPr>
        <w:br w:type="page"/>
      </w:r>
    </w:p>
    <w:p w14:paraId="16434C26" w14:textId="77777777" w:rsidR="00CA5F71" w:rsidRPr="004D5AB1" w:rsidRDefault="00CA5F71" w:rsidP="0015226E">
      <w:pPr>
        <w:ind w:left="851"/>
        <w:rPr>
          <w:i/>
          <w:iCs/>
          <w:sz w:val="24"/>
          <w:szCs w:val="24"/>
        </w:rPr>
      </w:pPr>
    </w:p>
    <w:p w14:paraId="0002F168" w14:textId="77777777" w:rsidR="00CA5F71" w:rsidRPr="004D5AB1" w:rsidRDefault="00CA5F71" w:rsidP="0015226E">
      <w:pPr>
        <w:ind w:left="851"/>
        <w:rPr>
          <w:i/>
          <w:iCs/>
          <w:sz w:val="24"/>
          <w:szCs w:val="24"/>
        </w:rPr>
      </w:pPr>
      <w:r w:rsidRPr="004D5AB1">
        <w:rPr>
          <w:i/>
          <w:iCs/>
          <w:sz w:val="24"/>
          <w:szCs w:val="24"/>
        </w:rPr>
        <w:t>Pædiatrisk population</w:t>
      </w:r>
    </w:p>
    <w:p w14:paraId="0BF3C52D" w14:textId="77777777" w:rsidR="00CA5F71" w:rsidRPr="004D5AB1" w:rsidRDefault="00CA5F71" w:rsidP="0015226E">
      <w:pPr>
        <w:ind w:left="851"/>
        <w:rPr>
          <w:sz w:val="24"/>
          <w:szCs w:val="24"/>
        </w:rPr>
      </w:pPr>
      <w:r w:rsidRPr="004D5AB1">
        <w:rPr>
          <w:sz w:val="24"/>
          <w:szCs w:val="24"/>
        </w:rPr>
        <w:t xml:space="preserve">Baseret på analysen af </w:t>
      </w:r>
      <w:proofErr w:type="spellStart"/>
      <w:r w:rsidRPr="004D5AB1">
        <w:rPr>
          <w:sz w:val="24"/>
          <w:szCs w:val="24"/>
        </w:rPr>
        <w:t>farmakokinetiske</w:t>
      </w:r>
      <w:proofErr w:type="spellEnd"/>
      <w:r w:rsidRPr="004D5AB1">
        <w:rPr>
          <w:sz w:val="24"/>
          <w:szCs w:val="24"/>
        </w:rPr>
        <w:t xml:space="preserve"> data i studie </w:t>
      </w:r>
      <w:proofErr w:type="spellStart"/>
      <w:r w:rsidRPr="004D5AB1">
        <w:rPr>
          <w:sz w:val="24"/>
          <w:szCs w:val="24"/>
        </w:rPr>
        <w:t>InPedILD</w:t>
      </w:r>
      <w:proofErr w:type="spellEnd"/>
      <w:r w:rsidRPr="004D5AB1">
        <w:rPr>
          <w:sz w:val="24"/>
          <w:szCs w:val="24"/>
        </w:rPr>
        <w:t xml:space="preserve"> (1199.337) førte oral administration af </w:t>
      </w:r>
      <w:proofErr w:type="spellStart"/>
      <w:r w:rsidRPr="004D5AB1">
        <w:rPr>
          <w:sz w:val="24"/>
          <w:szCs w:val="24"/>
        </w:rPr>
        <w:t>nintedanib</w:t>
      </w:r>
      <w:proofErr w:type="spellEnd"/>
      <w:r w:rsidRPr="004D5AB1">
        <w:rPr>
          <w:sz w:val="24"/>
          <w:szCs w:val="24"/>
        </w:rPr>
        <w:t xml:space="preserve"> i henhold til den vægtbaserede doseringsalgoritme til en eksponering i det observerede område for voksne patienter. De observerede geometriske gennemsnitlige </w:t>
      </w:r>
      <w:proofErr w:type="spellStart"/>
      <w:r w:rsidRPr="004D5AB1">
        <w:rPr>
          <w:sz w:val="24"/>
          <w:szCs w:val="24"/>
        </w:rPr>
        <w:t>AUC</w:t>
      </w:r>
      <w:proofErr w:type="gramStart"/>
      <w:r w:rsidRPr="004D5AB1">
        <w:rPr>
          <w:sz w:val="24"/>
          <w:szCs w:val="24"/>
          <w:vertAlign w:val="subscript"/>
        </w:rPr>
        <w:t>τ,ss</w:t>
      </w:r>
      <w:proofErr w:type="spellEnd"/>
      <w:proofErr w:type="gramEnd"/>
      <w:r w:rsidRPr="004D5AB1">
        <w:rPr>
          <w:sz w:val="24"/>
          <w:szCs w:val="24"/>
        </w:rPr>
        <w:t xml:space="preserve">-eksponeringer (geometrisk variationskoefficient) var 175 </w:t>
      </w:r>
      <w:proofErr w:type="spellStart"/>
      <w:r w:rsidRPr="004D5AB1">
        <w:rPr>
          <w:sz w:val="24"/>
          <w:szCs w:val="24"/>
        </w:rPr>
        <w:t>ng</w:t>
      </w:r>
      <w:proofErr w:type="spellEnd"/>
      <w:r w:rsidRPr="004D5AB1">
        <w:rPr>
          <w:sz w:val="24"/>
          <w:szCs w:val="24"/>
        </w:rPr>
        <w:t>/</w:t>
      </w:r>
      <w:proofErr w:type="spellStart"/>
      <w:r w:rsidRPr="004D5AB1">
        <w:rPr>
          <w:sz w:val="24"/>
          <w:szCs w:val="24"/>
        </w:rPr>
        <w:t>ml·t</w:t>
      </w:r>
      <w:proofErr w:type="spellEnd"/>
      <w:r w:rsidRPr="004D5AB1">
        <w:rPr>
          <w:sz w:val="24"/>
          <w:szCs w:val="24"/>
        </w:rPr>
        <w:t xml:space="preserve"> (85,1 %) og 167 </w:t>
      </w:r>
      <w:proofErr w:type="spellStart"/>
      <w:r w:rsidRPr="004D5AB1">
        <w:rPr>
          <w:sz w:val="24"/>
          <w:szCs w:val="24"/>
        </w:rPr>
        <w:t>ng</w:t>
      </w:r>
      <w:proofErr w:type="spellEnd"/>
      <w:r w:rsidRPr="004D5AB1">
        <w:rPr>
          <w:sz w:val="24"/>
          <w:szCs w:val="24"/>
        </w:rPr>
        <w:t>/</w:t>
      </w:r>
      <w:proofErr w:type="spellStart"/>
      <w:r w:rsidRPr="004D5AB1">
        <w:rPr>
          <w:sz w:val="24"/>
          <w:szCs w:val="24"/>
        </w:rPr>
        <w:t>ml·t</w:t>
      </w:r>
      <w:proofErr w:type="spellEnd"/>
      <w:r w:rsidRPr="004D5AB1">
        <w:rPr>
          <w:sz w:val="24"/>
          <w:szCs w:val="24"/>
        </w:rPr>
        <w:t xml:space="preserve"> (83,6 %) hos hhv. 10 patienter i alderen 6 til 11 år og 23 patienter i alderen 12 til 17 år.</w:t>
      </w:r>
    </w:p>
    <w:p w14:paraId="21E01123" w14:textId="77777777" w:rsidR="00CA5F71" w:rsidRPr="004D5AB1" w:rsidRDefault="00CA5F71" w:rsidP="0015226E">
      <w:pPr>
        <w:ind w:left="851"/>
        <w:rPr>
          <w:i/>
          <w:iCs/>
          <w:sz w:val="24"/>
          <w:szCs w:val="24"/>
        </w:rPr>
      </w:pPr>
    </w:p>
    <w:p w14:paraId="2BFE3F75" w14:textId="77777777" w:rsidR="00CA5F71" w:rsidRPr="004D5AB1" w:rsidRDefault="00CA5F71" w:rsidP="0015226E">
      <w:pPr>
        <w:ind w:left="851"/>
        <w:rPr>
          <w:i/>
          <w:iCs/>
          <w:sz w:val="24"/>
          <w:szCs w:val="24"/>
        </w:rPr>
      </w:pPr>
      <w:r w:rsidRPr="004D5AB1">
        <w:rPr>
          <w:i/>
          <w:iCs/>
          <w:sz w:val="24"/>
          <w:szCs w:val="24"/>
        </w:rPr>
        <w:t>Legemsvægt</w:t>
      </w:r>
    </w:p>
    <w:p w14:paraId="53D540C5" w14:textId="77777777" w:rsidR="00CA5F71" w:rsidRPr="004D5AB1" w:rsidRDefault="00CA5F71" w:rsidP="0015226E">
      <w:pPr>
        <w:ind w:left="851"/>
        <w:rPr>
          <w:sz w:val="24"/>
          <w:szCs w:val="24"/>
        </w:rPr>
      </w:pPr>
      <w:r w:rsidRPr="004D5AB1">
        <w:rPr>
          <w:sz w:val="24"/>
          <w:szCs w:val="24"/>
        </w:rPr>
        <w:t xml:space="preserve">Der blev observeret en omvendt korrelation mellem legemsvægt og </w:t>
      </w:r>
      <w:proofErr w:type="spellStart"/>
      <w:r w:rsidRPr="004D5AB1">
        <w:rPr>
          <w:sz w:val="24"/>
          <w:szCs w:val="24"/>
        </w:rPr>
        <w:t>nintedanib</w:t>
      </w:r>
      <w:proofErr w:type="spellEnd"/>
      <w:r w:rsidRPr="004D5AB1">
        <w:rPr>
          <w:sz w:val="24"/>
          <w:szCs w:val="24"/>
        </w:rPr>
        <w:t xml:space="preserve">-eksponering. </w:t>
      </w:r>
      <w:proofErr w:type="spellStart"/>
      <w:r w:rsidRPr="004D5AB1">
        <w:rPr>
          <w:sz w:val="24"/>
          <w:szCs w:val="24"/>
        </w:rPr>
        <w:t>AUC</w:t>
      </w:r>
      <w:proofErr w:type="gramStart"/>
      <w:r w:rsidRPr="004D5AB1">
        <w:rPr>
          <w:sz w:val="24"/>
          <w:szCs w:val="24"/>
          <w:vertAlign w:val="subscript"/>
        </w:rPr>
        <w:t>τ,ss</w:t>
      </w:r>
      <w:proofErr w:type="spellEnd"/>
      <w:proofErr w:type="gramEnd"/>
      <w:r w:rsidRPr="004D5AB1">
        <w:rPr>
          <w:sz w:val="24"/>
          <w:szCs w:val="24"/>
          <w:vertAlign w:val="subscript"/>
        </w:rPr>
        <w:t xml:space="preserve"> </w:t>
      </w:r>
      <w:r w:rsidRPr="004D5AB1">
        <w:rPr>
          <w:sz w:val="24"/>
          <w:szCs w:val="24"/>
        </w:rPr>
        <w:t xml:space="preserve">steg med 25 % hos en patient på 50 kg (5 % </w:t>
      </w:r>
      <w:proofErr w:type="spellStart"/>
      <w:r w:rsidRPr="004D5AB1">
        <w:rPr>
          <w:sz w:val="24"/>
          <w:szCs w:val="24"/>
        </w:rPr>
        <w:t>percentilen</w:t>
      </w:r>
      <w:proofErr w:type="spellEnd"/>
      <w:r w:rsidRPr="004D5AB1">
        <w:rPr>
          <w:sz w:val="24"/>
          <w:szCs w:val="24"/>
        </w:rPr>
        <w:t xml:space="preserve">) og faldt med 19 % hos en patient på 100 kg (95 % </w:t>
      </w:r>
      <w:proofErr w:type="spellStart"/>
      <w:r w:rsidRPr="004D5AB1">
        <w:rPr>
          <w:sz w:val="24"/>
          <w:szCs w:val="24"/>
        </w:rPr>
        <w:t>percentilen</w:t>
      </w:r>
      <w:proofErr w:type="spellEnd"/>
      <w:r w:rsidRPr="004D5AB1">
        <w:rPr>
          <w:sz w:val="24"/>
          <w:szCs w:val="24"/>
        </w:rPr>
        <w:t>) i forhold til en patient med en medianvægt på 71,5 kg.</w:t>
      </w:r>
    </w:p>
    <w:p w14:paraId="3722BA88" w14:textId="77777777" w:rsidR="00CA5F71" w:rsidRPr="004D5AB1" w:rsidRDefault="00CA5F71" w:rsidP="0015226E">
      <w:pPr>
        <w:ind w:left="851"/>
        <w:rPr>
          <w:sz w:val="24"/>
          <w:szCs w:val="24"/>
        </w:rPr>
      </w:pPr>
    </w:p>
    <w:p w14:paraId="4A5ABBA3" w14:textId="77777777" w:rsidR="00CA5F71" w:rsidRPr="004D5AB1" w:rsidRDefault="00CA5F71" w:rsidP="0015226E">
      <w:pPr>
        <w:ind w:left="851"/>
        <w:rPr>
          <w:i/>
          <w:iCs/>
          <w:sz w:val="24"/>
          <w:szCs w:val="24"/>
        </w:rPr>
      </w:pPr>
      <w:r w:rsidRPr="004D5AB1">
        <w:rPr>
          <w:i/>
          <w:iCs/>
          <w:sz w:val="24"/>
          <w:szCs w:val="24"/>
        </w:rPr>
        <w:t>Etnisk oprindelse</w:t>
      </w:r>
    </w:p>
    <w:p w14:paraId="15DD39F4" w14:textId="77777777" w:rsidR="00CA5F71" w:rsidRPr="004D5AB1" w:rsidRDefault="00CA5F71" w:rsidP="0015226E">
      <w:pPr>
        <w:ind w:left="851"/>
        <w:rPr>
          <w:sz w:val="24"/>
          <w:szCs w:val="24"/>
        </w:rPr>
      </w:pPr>
      <w:r w:rsidRPr="004D5AB1">
        <w:rPr>
          <w:sz w:val="24"/>
          <w:szCs w:val="24"/>
        </w:rPr>
        <w:t xml:space="preserve">Den gennemsnitlige eksponering for </w:t>
      </w:r>
      <w:proofErr w:type="spellStart"/>
      <w:r w:rsidRPr="004D5AB1">
        <w:rPr>
          <w:sz w:val="24"/>
          <w:szCs w:val="24"/>
        </w:rPr>
        <w:t>nintedanib</w:t>
      </w:r>
      <w:proofErr w:type="spellEnd"/>
      <w:r w:rsidRPr="004D5AB1">
        <w:rPr>
          <w:sz w:val="24"/>
          <w:szCs w:val="24"/>
        </w:rPr>
        <w:t xml:space="preserve"> var 33-50 % højere hos kinesiske, </w:t>
      </w:r>
      <w:proofErr w:type="spellStart"/>
      <w:r w:rsidRPr="004D5AB1">
        <w:rPr>
          <w:sz w:val="24"/>
          <w:szCs w:val="24"/>
        </w:rPr>
        <w:t>taiwanesiske</w:t>
      </w:r>
      <w:proofErr w:type="spellEnd"/>
      <w:r w:rsidRPr="004D5AB1">
        <w:rPr>
          <w:sz w:val="24"/>
          <w:szCs w:val="24"/>
        </w:rPr>
        <w:t xml:space="preserve"> og indiske patienter, og 16 % højere hos japanske patienter, mens den var 16-22 % lavere hos koreanere, sammenlignet med kaukasiere (korrigeret for legemsvægt). Data fra sorte individer var meget begrænsede, men i samme størrelsesorden som hos kaukasiere.</w:t>
      </w:r>
    </w:p>
    <w:p w14:paraId="63050208" w14:textId="77777777" w:rsidR="00CA5F71" w:rsidRPr="004D5AB1" w:rsidRDefault="00CA5F71" w:rsidP="0015226E">
      <w:pPr>
        <w:ind w:left="851"/>
        <w:rPr>
          <w:i/>
          <w:iCs/>
          <w:sz w:val="24"/>
          <w:szCs w:val="24"/>
        </w:rPr>
      </w:pPr>
    </w:p>
    <w:p w14:paraId="522BD62E" w14:textId="77777777" w:rsidR="00CA5F71" w:rsidRPr="004D5AB1" w:rsidRDefault="00CA5F71" w:rsidP="0015226E">
      <w:pPr>
        <w:ind w:left="851"/>
        <w:rPr>
          <w:i/>
          <w:iCs/>
          <w:sz w:val="24"/>
          <w:szCs w:val="24"/>
        </w:rPr>
      </w:pPr>
      <w:r w:rsidRPr="004D5AB1">
        <w:rPr>
          <w:i/>
          <w:iCs/>
          <w:sz w:val="24"/>
          <w:szCs w:val="24"/>
        </w:rPr>
        <w:t>Nedsat leverfunktion</w:t>
      </w:r>
    </w:p>
    <w:p w14:paraId="76C4846A" w14:textId="77777777" w:rsidR="00CA5F71" w:rsidRPr="004D5AB1" w:rsidRDefault="00CA5F71" w:rsidP="0015226E">
      <w:pPr>
        <w:ind w:left="851"/>
        <w:rPr>
          <w:sz w:val="24"/>
          <w:szCs w:val="24"/>
        </w:rPr>
      </w:pPr>
      <w:r w:rsidRPr="004D5AB1">
        <w:rPr>
          <w:sz w:val="24"/>
          <w:szCs w:val="24"/>
        </w:rPr>
        <w:t xml:space="preserve">I et specifikt fase 1-enkeltdosisstudie I var eksponeringen for </w:t>
      </w:r>
      <w:proofErr w:type="spellStart"/>
      <w:r w:rsidRPr="004D5AB1">
        <w:rPr>
          <w:sz w:val="24"/>
          <w:szCs w:val="24"/>
        </w:rPr>
        <w:t>nintedanib</w:t>
      </w:r>
      <w:proofErr w:type="spellEnd"/>
      <w:r w:rsidRPr="004D5AB1">
        <w:rPr>
          <w:sz w:val="24"/>
          <w:szCs w:val="24"/>
        </w:rPr>
        <w:t xml:space="preserve"> baseret på </w:t>
      </w:r>
      <w:proofErr w:type="spellStart"/>
      <w:r w:rsidRPr="004D5AB1">
        <w:rPr>
          <w:sz w:val="24"/>
          <w:szCs w:val="24"/>
        </w:rPr>
        <w:t>C</w:t>
      </w:r>
      <w:r w:rsidRPr="004D5AB1">
        <w:rPr>
          <w:sz w:val="24"/>
          <w:szCs w:val="24"/>
          <w:vertAlign w:val="subscript"/>
        </w:rPr>
        <w:t>max</w:t>
      </w:r>
      <w:proofErr w:type="spellEnd"/>
      <w:r w:rsidRPr="004D5AB1">
        <w:rPr>
          <w:sz w:val="24"/>
          <w:szCs w:val="24"/>
        </w:rPr>
        <w:t xml:space="preserve"> og AUC 2,2 gange højere hos frivillige med let nedsat leverfunktion (Child </w:t>
      </w:r>
      <w:proofErr w:type="spellStart"/>
      <w:r w:rsidRPr="004D5AB1">
        <w:rPr>
          <w:sz w:val="24"/>
          <w:szCs w:val="24"/>
        </w:rPr>
        <w:t>Pugh</w:t>
      </w:r>
      <w:proofErr w:type="spellEnd"/>
      <w:r w:rsidRPr="004D5AB1">
        <w:rPr>
          <w:sz w:val="24"/>
          <w:szCs w:val="24"/>
        </w:rPr>
        <w:t xml:space="preserve"> A) end hos raske frivillige (90 % CI hhv. 1,3; 3,7 for </w:t>
      </w:r>
      <w:proofErr w:type="spellStart"/>
      <w:r w:rsidRPr="004D5AB1">
        <w:rPr>
          <w:sz w:val="24"/>
          <w:szCs w:val="24"/>
        </w:rPr>
        <w:t>C</w:t>
      </w:r>
      <w:r w:rsidRPr="004D5AB1">
        <w:rPr>
          <w:sz w:val="24"/>
          <w:szCs w:val="24"/>
          <w:vertAlign w:val="subscript"/>
        </w:rPr>
        <w:t>max</w:t>
      </w:r>
      <w:proofErr w:type="spellEnd"/>
      <w:r w:rsidRPr="004D5AB1">
        <w:rPr>
          <w:sz w:val="24"/>
          <w:szCs w:val="24"/>
        </w:rPr>
        <w:t xml:space="preserve"> og 1,2; 3,8 for AUC). Hos frivillige med moderat nedsat leverfunktion (Child </w:t>
      </w:r>
      <w:proofErr w:type="spellStart"/>
      <w:r w:rsidRPr="004D5AB1">
        <w:rPr>
          <w:sz w:val="24"/>
          <w:szCs w:val="24"/>
        </w:rPr>
        <w:t>Pugh</w:t>
      </w:r>
      <w:proofErr w:type="spellEnd"/>
      <w:r w:rsidRPr="004D5AB1">
        <w:rPr>
          <w:sz w:val="24"/>
          <w:szCs w:val="24"/>
        </w:rPr>
        <w:t xml:space="preserve"> B) var eksponeringen henholdsvis 7,6 gange højere baseret på </w:t>
      </w:r>
      <w:proofErr w:type="spellStart"/>
      <w:r w:rsidRPr="004D5AB1">
        <w:rPr>
          <w:sz w:val="24"/>
          <w:szCs w:val="24"/>
        </w:rPr>
        <w:t>C</w:t>
      </w:r>
      <w:r w:rsidRPr="004D5AB1">
        <w:rPr>
          <w:sz w:val="24"/>
          <w:szCs w:val="24"/>
          <w:vertAlign w:val="subscript"/>
        </w:rPr>
        <w:t>max</w:t>
      </w:r>
      <w:proofErr w:type="spellEnd"/>
      <w:r w:rsidRPr="004D5AB1">
        <w:rPr>
          <w:sz w:val="24"/>
          <w:szCs w:val="24"/>
        </w:rPr>
        <w:t xml:space="preserve"> (90 % CI 4,4; 13,2) og 8,7 gange højere (90 % CI 5,7; 13,1) baseret på AUC end hos raske frivillige. </w:t>
      </w:r>
    </w:p>
    <w:p w14:paraId="6C18D150" w14:textId="77777777" w:rsidR="00CA5F71" w:rsidRPr="004D5AB1" w:rsidRDefault="00CA5F71" w:rsidP="0015226E">
      <w:pPr>
        <w:ind w:left="851"/>
        <w:rPr>
          <w:sz w:val="24"/>
          <w:szCs w:val="24"/>
        </w:rPr>
      </w:pPr>
      <w:r w:rsidRPr="004D5AB1">
        <w:rPr>
          <w:sz w:val="24"/>
          <w:szCs w:val="24"/>
        </w:rPr>
        <w:t xml:space="preserve">Der er ikke udført studier hos personer med svært nedsat leverfunktion (Child </w:t>
      </w:r>
      <w:proofErr w:type="spellStart"/>
      <w:r w:rsidRPr="004D5AB1">
        <w:rPr>
          <w:sz w:val="24"/>
          <w:szCs w:val="24"/>
        </w:rPr>
        <w:t>Pugh</w:t>
      </w:r>
      <w:proofErr w:type="spellEnd"/>
      <w:r w:rsidRPr="004D5AB1">
        <w:rPr>
          <w:sz w:val="24"/>
          <w:szCs w:val="24"/>
        </w:rPr>
        <w:t xml:space="preserve"> C).</w:t>
      </w:r>
    </w:p>
    <w:p w14:paraId="0F22DF2E" w14:textId="77777777" w:rsidR="00CA5F71" w:rsidRPr="004D5AB1" w:rsidRDefault="00CA5F71" w:rsidP="0015226E">
      <w:pPr>
        <w:ind w:left="851"/>
        <w:rPr>
          <w:i/>
          <w:iCs/>
          <w:sz w:val="24"/>
          <w:szCs w:val="24"/>
        </w:rPr>
      </w:pPr>
    </w:p>
    <w:p w14:paraId="47D89797" w14:textId="77777777" w:rsidR="00CA5F71" w:rsidRPr="004D5AB1" w:rsidRDefault="00CA5F71" w:rsidP="0015226E">
      <w:pPr>
        <w:ind w:left="851"/>
        <w:rPr>
          <w:i/>
          <w:iCs/>
          <w:sz w:val="24"/>
          <w:szCs w:val="24"/>
        </w:rPr>
      </w:pPr>
      <w:r w:rsidRPr="004D5AB1">
        <w:rPr>
          <w:i/>
          <w:iCs/>
          <w:sz w:val="24"/>
          <w:szCs w:val="24"/>
        </w:rPr>
        <w:t xml:space="preserve">Samtidig behandling med </w:t>
      </w:r>
      <w:proofErr w:type="spellStart"/>
      <w:r w:rsidRPr="004D5AB1">
        <w:rPr>
          <w:i/>
          <w:iCs/>
          <w:sz w:val="24"/>
          <w:szCs w:val="24"/>
        </w:rPr>
        <w:t>pirfenidon</w:t>
      </w:r>
      <w:proofErr w:type="spellEnd"/>
    </w:p>
    <w:p w14:paraId="5B3C5851" w14:textId="08C583B2" w:rsidR="00CA5F71" w:rsidRPr="004D5AB1" w:rsidRDefault="00CA5F71" w:rsidP="0015226E">
      <w:pPr>
        <w:ind w:left="851"/>
        <w:rPr>
          <w:sz w:val="24"/>
          <w:szCs w:val="24"/>
        </w:rPr>
      </w:pPr>
      <w:r w:rsidRPr="004D5AB1">
        <w:rPr>
          <w:sz w:val="24"/>
          <w:szCs w:val="24"/>
        </w:rPr>
        <w:t xml:space="preserve">I et målrettet </w:t>
      </w:r>
      <w:proofErr w:type="spellStart"/>
      <w:r w:rsidRPr="004D5AB1">
        <w:rPr>
          <w:sz w:val="24"/>
          <w:szCs w:val="24"/>
        </w:rPr>
        <w:t>farmakokinetisk</w:t>
      </w:r>
      <w:proofErr w:type="spellEnd"/>
      <w:r w:rsidRPr="004D5AB1">
        <w:rPr>
          <w:sz w:val="24"/>
          <w:szCs w:val="24"/>
        </w:rPr>
        <w:t xml:space="preserve"> studie blev samtidig behandling med </w:t>
      </w:r>
      <w:proofErr w:type="spellStart"/>
      <w:r w:rsidRPr="004D5AB1">
        <w:rPr>
          <w:sz w:val="24"/>
          <w:szCs w:val="24"/>
        </w:rPr>
        <w:t>nintedanib</w:t>
      </w:r>
      <w:proofErr w:type="spellEnd"/>
      <w:r w:rsidRPr="004D5AB1">
        <w:rPr>
          <w:sz w:val="24"/>
          <w:szCs w:val="24"/>
        </w:rPr>
        <w:t xml:space="preserve"> og </w:t>
      </w:r>
      <w:proofErr w:type="spellStart"/>
      <w:r w:rsidRPr="004D5AB1">
        <w:rPr>
          <w:sz w:val="24"/>
          <w:szCs w:val="24"/>
        </w:rPr>
        <w:t>pirfenidon</w:t>
      </w:r>
      <w:proofErr w:type="spellEnd"/>
      <w:r w:rsidRPr="004D5AB1">
        <w:rPr>
          <w:sz w:val="24"/>
          <w:szCs w:val="24"/>
        </w:rPr>
        <w:t xml:space="preserve"> undersøgt hos patienter med IPF. Gruppe 1 fik en enkelt dosis med 150 mg </w:t>
      </w:r>
      <w:proofErr w:type="spellStart"/>
      <w:r w:rsidRPr="004D5AB1">
        <w:rPr>
          <w:sz w:val="24"/>
          <w:szCs w:val="24"/>
        </w:rPr>
        <w:t>nintedanib</w:t>
      </w:r>
      <w:proofErr w:type="spellEnd"/>
      <w:r w:rsidRPr="004D5AB1">
        <w:rPr>
          <w:sz w:val="24"/>
          <w:szCs w:val="24"/>
        </w:rPr>
        <w:t xml:space="preserve"> før og efter </w:t>
      </w:r>
      <w:proofErr w:type="spellStart"/>
      <w:r w:rsidRPr="004D5AB1">
        <w:rPr>
          <w:sz w:val="24"/>
          <w:szCs w:val="24"/>
        </w:rPr>
        <w:t>optitrering</w:t>
      </w:r>
      <w:proofErr w:type="spellEnd"/>
      <w:r w:rsidRPr="004D5AB1">
        <w:rPr>
          <w:sz w:val="24"/>
          <w:szCs w:val="24"/>
        </w:rPr>
        <w:t xml:space="preserve"> til 801 mg </w:t>
      </w:r>
      <w:proofErr w:type="spellStart"/>
      <w:r w:rsidRPr="004D5AB1">
        <w:rPr>
          <w:sz w:val="24"/>
          <w:szCs w:val="24"/>
        </w:rPr>
        <w:t>pirfenidon</w:t>
      </w:r>
      <w:proofErr w:type="spellEnd"/>
      <w:r w:rsidRPr="004D5AB1">
        <w:rPr>
          <w:sz w:val="24"/>
          <w:szCs w:val="24"/>
        </w:rPr>
        <w:t xml:space="preserve"> 3 gange dagligt ved </w:t>
      </w:r>
      <w:proofErr w:type="spellStart"/>
      <w:r w:rsidRPr="004D5AB1">
        <w:rPr>
          <w:i/>
          <w:iCs/>
          <w:sz w:val="24"/>
          <w:szCs w:val="24"/>
        </w:rPr>
        <w:t>steady</w:t>
      </w:r>
      <w:proofErr w:type="spellEnd"/>
      <w:r w:rsidRPr="004D5AB1">
        <w:rPr>
          <w:i/>
          <w:iCs/>
          <w:sz w:val="24"/>
          <w:szCs w:val="24"/>
        </w:rPr>
        <w:t xml:space="preserve"> </w:t>
      </w:r>
      <w:proofErr w:type="spellStart"/>
      <w:r w:rsidRPr="004D5AB1">
        <w:rPr>
          <w:i/>
          <w:iCs/>
          <w:sz w:val="24"/>
          <w:szCs w:val="24"/>
        </w:rPr>
        <w:t>state</w:t>
      </w:r>
      <w:proofErr w:type="spellEnd"/>
      <w:r w:rsidRPr="004D5AB1">
        <w:rPr>
          <w:i/>
          <w:iCs/>
          <w:sz w:val="24"/>
          <w:szCs w:val="24"/>
        </w:rPr>
        <w:t xml:space="preserve"> </w:t>
      </w:r>
      <w:r w:rsidRPr="004D5AB1">
        <w:rPr>
          <w:sz w:val="24"/>
          <w:szCs w:val="24"/>
        </w:rPr>
        <w:t xml:space="preserve">(N=20 behandlede patienter). Gruppe 2 fik </w:t>
      </w:r>
      <w:proofErr w:type="spellStart"/>
      <w:r w:rsidRPr="004D5AB1">
        <w:rPr>
          <w:i/>
          <w:iCs/>
          <w:sz w:val="24"/>
          <w:szCs w:val="24"/>
        </w:rPr>
        <w:t>steady</w:t>
      </w:r>
      <w:proofErr w:type="spellEnd"/>
      <w:r w:rsidRPr="004D5AB1">
        <w:rPr>
          <w:sz w:val="24"/>
          <w:szCs w:val="24"/>
        </w:rPr>
        <w:t xml:space="preserve"> </w:t>
      </w:r>
      <w:r w:rsidRPr="004D5AB1">
        <w:rPr>
          <w:i/>
          <w:iCs/>
          <w:sz w:val="24"/>
          <w:szCs w:val="24"/>
        </w:rPr>
        <w:t>state</w:t>
      </w:r>
      <w:r w:rsidRPr="004D5AB1">
        <w:rPr>
          <w:sz w:val="24"/>
          <w:szCs w:val="24"/>
        </w:rPr>
        <w:t xml:space="preserve">-behandling med 801 mg </w:t>
      </w:r>
      <w:proofErr w:type="spellStart"/>
      <w:r w:rsidRPr="004D5AB1">
        <w:rPr>
          <w:sz w:val="24"/>
          <w:szCs w:val="24"/>
        </w:rPr>
        <w:t>pirfenidon</w:t>
      </w:r>
      <w:proofErr w:type="spellEnd"/>
      <w:r w:rsidRPr="004D5AB1">
        <w:rPr>
          <w:sz w:val="24"/>
          <w:szCs w:val="24"/>
        </w:rPr>
        <w:t xml:space="preserve"> 3 gange dagligt og havde en </w:t>
      </w:r>
      <w:proofErr w:type="spellStart"/>
      <w:r w:rsidRPr="004D5AB1">
        <w:rPr>
          <w:sz w:val="24"/>
          <w:szCs w:val="24"/>
        </w:rPr>
        <w:t>farmakokinetisk</w:t>
      </w:r>
      <w:proofErr w:type="spellEnd"/>
      <w:r w:rsidRPr="004D5AB1">
        <w:rPr>
          <w:sz w:val="24"/>
          <w:szCs w:val="24"/>
        </w:rPr>
        <w:t xml:space="preserve"> profilering før og efter mindst 7 dages samtidig behandling med 150 mg </w:t>
      </w:r>
      <w:proofErr w:type="spellStart"/>
      <w:r w:rsidRPr="004D5AB1">
        <w:rPr>
          <w:sz w:val="24"/>
          <w:szCs w:val="24"/>
        </w:rPr>
        <w:t>nintedanib</w:t>
      </w:r>
      <w:proofErr w:type="spellEnd"/>
      <w:r w:rsidRPr="004D5AB1">
        <w:rPr>
          <w:sz w:val="24"/>
          <w:szCs w:val="24"/>
        </w:rPr>
        <w:t xml:space="preserve"> to gange dagligt (N=17 behandlede patienter). I gruppe 1 var de justerede geometriske gennemsnitsratioer (90 % konfidensinterval (CI)) hhv. 93 % (57 %; 151 %) og 96 % (70 %; 131 %) for </w:t>
      </w:r>
      <w:proofErr w:type="spellStart"/>
      <w:r w:rsidRPr="004D5AB1">
        <w:rPr>
          <w:sz w:val="24"/>
          <w:szCs w:val="24"/>
        </w:rPr>
        <w:t>C</w:t>
      </w:r>
      <w:r w:rsidRPr="004D5AB1">
        <w:rPr>
          <w:sz w:val="24"/>
          <w:szCs w:val="24"/>
          <w:vertAlign w:val="subscript"/>
        </w:rPr>
        <w:t>max</w:t>
      </w:r>
      <w:proofErr w:type="spellEnd"/>
      <w:r w:rsidRPr="004D5AB1">
        <w:rPr>
          <w:sz w:val="24"/>
          <w:szCs w:val="24"/>
        </w:rPr>
        <w:t xml:space="preserve"> og AUC</w:t>
      </w:r>
      <w:r w:rsidRPr="004D5AB1">
        <w:rPr>
          <w:sz w:val="24"/>
          <w:szCs w:val="24"/>
          <w:vertAlign w:val="subscript"/>
        </w:rPr>
        <w:t>0-tz</w:t>
      </w:r>
      <w:r w:rsidRPr="004D5AB1">
        <w:rPr>
          <w:sz w:val="24"/>
          <w:szCs w:val="24"/>
        </w:rPr>
        <w:t xml:space="preserve"> for </w:t>
      </w:r>
      <w:proofErr w:type="spellStart"/>
      <w:r w:rsidRPr="004D5AB1">
        <w:rPr>
          <w:sz w:val="24"/>
          <w:szCs w:val="24"/>
        </w:rPr>
        <w:t>nintedanib</w:t>
      </w:r>
      <w:proofErr w:type="spellEnd"/>
      <w:r w:rsidRPr="004D5AB1">
        <w:rPr>
          <w:sz w:val="24"/>
          <w:szCs w:val="24"/>
        </w:rPr>
        <w:t xml:space="preserve"> (N=12 for intraindividuel sammenligning). I gruppe 2 var de justerede geometriske gennemsnitsratioer (90 % konfidensinterval (CI)) hhv. 97 % (86 %; 110 %) og 95 % (86</w:t>
      </w:r>
      <w:r w:rsidR="00676A6A">
        <w:rPr>
          <w:sz w:val="24"/>
          <w:szCs w:val="24"/>
        </w:rPr>
        <w:t> </w:t>
      </w:r>
      <w:r w:rsidRPr="004D5AB1">
        <w:rPr>
          <w:sz w:val="24"/>
          <w:szCs w:val="24"/>
        </w:rPr>
        <w:t xml:space="preserve">%; 106 %) for </w:t>
      </w:r>
      <w:proofErr w:type="spellStart"/>
      <w:proofErr w:type="gramStart"/>
      <w:r w:rsidRPr="004D5AB1">
        <w:rPr>
          <w:sz w:val="24"/>
          <w:szCs w:val="24"/>
        </w:rPr>
        <w:t>C</w:t>
      </w:r>
      <w:r w:rsidRPr="004D5AB1">
        <w:rPr>
          <w:sz w:val="24"/>
          <w:szCs w:val="24"/>
          <w:vertAlign w:val="subscript"/>
        </w:rPr>
        <w:t>max,ss</w:t>
      </w:r>
      <w:proofErr w:type="spellEnd"/>
      <w:proofErr w:type="gramEnd"/>
      <w:r w:rsidRPr="004D5AB1">
        <w:rPr>
          <w:sz w:val="24"/>
          <w:szCs w:val="24"/>
        </w:rPr>
        <w:t xml:space="preserve"> og </w:t>
      </w:r>
      <w:proofErr w:type="spellStart"/>
      <w:r w:rsidRPr="004D5AB1">
        <w:rPr>
          <w:sz w:val="24"/>
          <w:szCs w:val="24"/>
        </w:rPr>
        <w:t>AUC</w:t>
      </w:r>
      <w:r w:rsidRPr="004D5AB1">
        <w:rPr>
          <w:sz w:val="24"/>
          <w:szCs w:val="24"/>
          <w:vertAlign w:val="subscript"/>
        </w:rPr>
        <w:t>τ,ss</w:t>
      </w:r>
      <w:proofErr w:type="spellEnd"/>
      <w:r w:rsidRPr="004D5AB1">
        <w:rPr>
          <w:sz w:val="24"/>
          <w:szCs w:val="24"/>
        </w:rPr>
        <w:t xml:space="preserve"> for </w:t>
      </w:r>
      <w:proofErr w:type="spellStart"/>
      <w:r w:rsidRPr="004D5AB1">
        <w:rPr>
          <w:sz w:val="24"/>
          <w:szCs w:val="24"/>
        </w:rPr>
        <w:t>pirfenidon</w:t>
      </w:r>
      <w:proofErr w:type="spellEnd"/>
      <w:r w:rsidRPr="004D5AB1">
        <w:rPr>
          <w:sz w:val="24"/>
          <w:szCs w:val="24"/>
        </w:rPr>
        <w:t xml:space="preserve"> (N=12 for intraindividuel sammenligning).</w:t>
      </w:r>
    </w:p>
    <w:p w14:paraId="3514FACF" w14:textId="77777777" w:rsidR="00CA5F71" w:rsidRPr="004D5AB1" w:rsidRDefault="00CA5F71" w:rsidP="0015226E">
      <w:pPr>
        <w:ind w:left="851"/>
        <w:rPr>
          <w:sz w:val="24"/>
          <w:szCs w:val="24"/>
        </w:rPr>
      </w:pPr>
      <w:r w:rsidRPr="004D5AB1">
        <w:rPr>
          <w:sz w:val="24"/>
          <w:szCs w:val="24"/>
        </w:rPr>
        <w:t xml:space="preserve">Baseret på disse resultater er der ikke evidens for en relevant </w:t>
      </w:r>
      <w:proofErr w:type="spellStart"/>
      <w:r w:rsidRPr="004D5AB1">
        <w:rPr>
          <w:sz w:val="24"/>
          <w:szCs w:val="24"/>
        </w:rPr>
        <w:t>farmakokinetisk</w:t>
      </w:r>
      <w:proofErr w:type="spellEnd"/>
      <w:r w:rsidRPr="004D5AB1">
        <w:rPr>
          <w:sz w:val="24"/>
          <w:szCs w:val="24"/>
        </w:rPr>
        <w:t xml:space="preserve"> lægemiddelinteraktion mellem </w:t>
      </w:r>
      <w:proofErr w:type="spellStart"/>
      <w:r w:rsidRPr="004D5AB1">
        <w:rPr>
          <w:sz w:val="24"/>
          <w:szCs w:val="24"/>
        </w:rPr>
        <w:t>nintedanib</w:t>
      </w:r>
      <w:proofErr w:type="spellEnd"/>
      <w:r w:rsidRPr="004D5AB1">
        <w:rPr>
          <w:sz w:val="24"/>
          <w:szCs w:val="24"/>
        </w:rPr>
        <w:t xml:space="preserve"> og </w:t>
      </w:r>
      <w:proofErr w:type="spellStart"/>
      <w:r w:rsidRPr="004D5AB1">
        <w:rPr>
          <w:sz w:val="24"/>
          <w:szCs w:val="24"/>
        </w:rPr>
        <w:t>pirfenidon</w:t>
      </w:r>
      <w:proofErr w:type="spellEnd"/>
      <w:r w:rsidRPr="004D5AB1">
        <w:rPr>
          <w:sz w:val="24"/>
          <w:szCs w:val="24"/>
        </w:rPr>
        <w:t>, når de administreres i kombination (se pkt. 4.4).</w:t>
      </w:r>
    </w:p>
    <w:p w14:paraId="00E6B9CF" w14:textId="77777777" w:rsidR="00CA5F71" w:rsidRPr="004D5AB1" w:rsidRDefault="00CA5F71" w:rsidP="0015226E">
      <w:pPr>
        <w:ind w:left="851"/>
        <w:rPr>
          <w:i/>
          <w:iCs/>
          <w:sz w:val="24"/>
          <w:szCs w:val="24"/>
        </w:rPr>
      </w:pPr>
    </w:p>
    <w:p w14:paraId="2E72EF2D" w14:textId="77777777" w:rsidR="00CA5F71" w:rsidRPr="004D5AB1" w:rsidRDefault="00CA5F71" w:rsidP="0015226E">
      <w:pPr>
        <w:ind w:left="851"/>
        <w:rPr>
          <w:i/>
          <w:iCs/>
          <w:sz w:val="24"/>
          <w:szCs w:val="24"/>
        </w:rPr>
      </w:pPr>
      <w:r w:rsidRPr="004D5AB1">
        <w:rPr>
          <w:i/>
          <w:iCs/>
          <w:sz w:val="24"/>
          <w:szCs w:val="24"/>
        </w:rPr>
        <w:t xml:space="preserve">Samtidig behandling med </w:t>
      </w:r>
      <w:proofErr w:type="spellStart"/>
      <w:r w:rsidRPr="004D5AB1">
        <w:rPr>
          <w:i/>
          <w:iCs/>
          <w:sz w:val="24"/>
          <w:szCs w:val="24"/>
        </w:rPr>
        <w:t>bosentan</w:t>
      </w:r>
      <w:proofErr w:type="spellEnd"/>
    </w:p>
    <w:p w14:paraId="0A4E54F0" w14:textId="77777777" w:rsidR="00CA5F71" w:rsidRPr="004D5AB1" w:rsidRDefault="00CA5F71" w:rsidP="0015226E">
      <w:pPr>
        <w:ind w:left="851"/>
        <w:rPr>
          <w:sz w:val="24"/>
          <w:szCs w:val="24"/>
        </w:rPr>
      </w:pPr>
      <w:r w:rsidRPr="004D5AB1">
        <w:rPr>
          <w:sz w:val="24"/>
          <w:szCs w:val="24"/>
        </w:rPr>
        <w:t xml:space="preserve">I et målrettet </w:t>
      </w:r>
      <w:proofErr w:type="spellStart"/>
      <w:r w:rsidRPr="004D5AB1">
        <w:rPr>
          <w:sz w:val="24"/>
          <w:szCs w:val="24"/>
        </w:rPr>
        <w:t>farmakokinetisk</w:t>
      </w:r>
      <w:proofErr w:type="spellEnd"/>
      <w:r w:rsidRPr="004D5AB1">
        <w:rPr>
          <w:sz w:val="24"/>
          <w:szCs w:val="24"/>
        </w:rPr>
        <w:t xml:space="preserve"> studie blev samtidig behandling af </w:t>
      </w:r>
      <w:proofErr w:type="spellStart"/>
      <w:r w:rsidRPr="004D5AB1">
        <w:rPr>
          <w:sz w:val="24"/>
          <w:szCs w:val="24"/>
        </w:rPr>
        <w:t>nintedanib</w:t>
      </w:r>
      <w:proofErr w:type="spellEnd"/>
      <w:r w:rsidRPr="004D5AB1">
        <w:rPr>
          <w:sz w:val="24"/>
          <w:szCs w:val="24"/>
        </w:rPr>
        <w:t xml:space="preserve"> og </w:t>
      </w:r>
      <w:proofErr w:type="spellStart"/>
      <w:r w:rsidRPr="004D5AB1">
        <w:rPr>
          <w:sz w:val="24"/>
          <w:szCs w:val="24"/>
        </w:rPr>
        <w:t>bosentan</w:t>
      </w:r>
      <w:proofErr w:type="spellEnd"/>
      <w:r w:rsidRPr="004D5AB1">
        <w:rPr>
          <w:sz w:val="24"/>
          <w:szCs w:val="24"/>
        </w:rPr>
        <w:t xml:space="preserve"> undersøgt hos raske frivillige. Forsøgspersonerne fik en enkelt dosis med 150 mg </w:t>
      </w:r>
      <w:proofErr w:type="spellStart"/>
      <w:r w:rsidRPr="004D5AB1">
        <w:rPr>
          <w:sz w:val="24"/>
          <w:szCs w:val="24"/>
        </w:rPr>
        <w:lastRenderedPageBreak/>
        <w:t>nintedanib</w:t>
      </w:r>
      <w:proofErr w:type="spellEnd"/>
      <w:r w:rsidRPr="004D5AB1">
        <w:rPr>
          <w:sz w:val="24"/>
          <w:szCs w:val="24"/>
        </w:rPr>
        <w:t xml:space="preserve"> før og efter flere doser af 125 mg </w:t>
      </w:r>
      <w:proofErr w:type="spellStart"/>
      <w:r w:rsidRPr="004D5AB1">
        <w:rPr>
          <w:sz w:val="24"/>
          <w:szCs w:val="24"/>
        </w:rPr>
        <w:t>bosentan</w:t>
      </w:r>
      <w:proofErr w:type="spellEnd"/>
      <w:r w:rsidRPr="004D5AB1">
        <w:rPr>
          <w:sz w:val="24"/>
          <w:szCs w:val="24"/>
        </w:rPr>
        <w:t xml:space="preserve"> to gange dagligt ved </w:t>
      </w:r>
      <w:proofErr w:type="spellStart"/>
      <w:r w:rsidRPr="004D5AB1">
        <w:rPr>
          <w:i/>
          <w:iCs/>
          <w:sz w:val="24"/>
          <w:szCs w:val="24"/>
        </w:rPr>
        <w:t>steady</w:t>
      </w:r>
      <w:proofErr w:type="spellEnd"/>
      <w:r w:rsidRPr="004D5AB1">
        <w:rPr>
          <w:i/>
          <w:iCs/>
          <w:sz w:val="24"/>
          <w:szCs w:val="24"/>
        </w:rPr>
        <w:t xml:space="preserve"> </w:t>
      </w:r>
      <w:proofErr w:type="spellStart"/>
      <w:r w:rsidRPr="004D5AB1">
        <w:rPr>
          <w:i/>
          <w:iCs/>
          <w:sz w:val="24"/>
          <w:szCs w:val="24"/>
        </w:rPr>
        <w:t>state</w:t>
      </w:r>
      <w:proofErr w:type="spellEnd"/>
      <w:r w:rsidRPr="004D5AB1">
        <w:rPr>
          <w:sz w:val="24"/>
          <w:szCs w:val="24"/>
        </w:rPr>
        <w:t xml:space="preserve">. De justerede geometriske gennemsnitsratioer (90 % konfidensinterval (CI)) var hhv. 103 % (86 %; 124 %) og 99 % (91 %; 107 %) for </w:t>
      </w:r>
      <w:proofErr w:type="spellStart"/>
      <w:r w:rsidRPr="004D5AB1">
        <w:rPr>
          <w:sz w:val="24"/>
          <w:szCs w:val="24"/>
        </w:rPr>
        <w:t>C</w:t>
      </w:r>
      <w:r w:rsidRPr="004D5AB1">
        <w:rPr>
          <w:sz w:val="24"/>
          <w:szCs w:val="24"/>
          <w:vertAlign w:val="subscript"/>
        </w:rPr>
        <w:t>max</w:t>
      </w:r>
      <w:proofErr w:type="spellEnd"/>
      <w:r w:rsidRPr="004D5AB1">
        <w:rPr>
          <w:sz w:val="24"/>
          <w:szCs w:val="24"/>
        </w:rPr>
        <w:t xml:space="preserve"> og AUC</w:t>
      </w:r>
      <w:r w:rsidRPr="004D5AB1">
        <w:rPr>
          <w:sz w:val="24"/>
          <w:szCs w:val="24"/>
          <w:vertAlign w:val="subscript"/>
        </w:rPr>
        <w:t>0-tz</w:t>
      </w:r>
      <w:r w:rsidRPr="004D5AB1">
        <w:rPr>
          <w:sz w:val="24"/>
          <w:szCs w:val="24"/>
        </w:rPr>
        <w:t xml:space="preserve"> af </w:t>
      </w:r>
      <w:proofErr w:type="spellStart"/>
      <w:r w:rsidRPr="004D5AB1">
        <w:rPr>
          <w:sz w:val="24"/>
          <w:szCs w:val="24"/>
        </w:rPr>
        <w:t>nintedanib</w:t>
      </w:r>
      <w:proofErr w:type="spellEnd"/>
      <w:r w:rsidRPr="004D5AB1">
        <w:rPr>
          <w:sz w:val="24"/>
          <w:szCs w:val="24"/>
        </w:rPr>
        <w:t xml:space="preserve"> (n=13), hvilket indikerer, at samtidig administration af </w:t>
      </w:r>
      <w:proofErr w:type="spellStart"/>
      <w:r w:rsidRPr="004D5AB1">
        <w:rPr>
          <w:sz w:val="24"/>
          <w:szCs w:val="24"/>
        </w:rPr>
        <w:t>nintedanib</w:t>
      </w:r>
      <w:proofErr w:type="spellEnd"/>
      <w:r w:rsidRPr="004D5AB1">
        <w:rPr>
          <w:sz w:val="24"/>
          <w:szCs w:val="24"/>
        </w:rPr>
        <w:t xml:space="preserve"> og </w:t>
      </w:r>
      <w:proofErr w:type="spellStart"/>
      <w:r w:rsidRPr="004D5AB1">
        <w:rPr>
          <w:sz w:val="24"/>
          <w:szCs w:val="24"/>
        </w:rPr>
        <w:t>bosentan</w:t>
      </w:r>
      <w:proofErr w:type="spellEnd"/>
      <w:r w:rsidRPr="004D5AB1">
        <w:rPr>
          <w:sz w:val="24"/>
          <w:szCs w:val="24"/>
        </w:rPr>
        <w:t xml:space="preserve"> ikke ændrede </w:t>
      </w:r>
      <w:proofErr w:type="spellStart"/>
      <w:r w:rsidRPr="004D5AB1">
        <w:rPr>
          <w:sz w:val="24"/>
          <w:szCs w:val="24"/>
        </w:rPr>
        <w:t>nintedanibs</w:t>
      </w:r>
      <w:proofErr w:type="spellEnd"/>
      <w:r w:rsidRPr="004D5AB1">
        <w:rPr>
          <w:sz w:val="24"/>
          <w:szCs w:val="24"/>
        </w:rPr>
        <w:t xml:space="preserve"> farmakokinetik.</w:t>
      </w:r>
    </w:p>
    <w:p w14:paraId="7A1D3404" w14:textId="77777777" w:rsidR="00CA5F71" w:rsidRPr="004D5AB1" w:rsidRDefault="00CA5F71" w:rsidP="0015226E">
      <w:pPr>
        <w:ind w:left="851"/>
        <w:rPr>
          <w:i/>
          <w:iCs/>
          <w:sz w:val="24"/>
          <w:szCs w:val="24"/>
        </w:rPr>
      </w:pPr>
    </w:p>
    <w:p w14:paraId="4D61882F" w14:textId="77777777" w:rsidR="00CA5F71" w:rsidRPr="004D5AB1" w:rsidRDefault="00CA5F71" w:rsidP="0015226E">
      <w:pPr>
        <w:ind w:left="851"/>
        <w:rPr>
          <w:i/>
          <w:iCs/>
          <w:sz w:val="24"/>
          <w:szCs w:val="24"/>
        </w:rPr>
      </w:pPr>
      <w:r w:rsidRPr="004D5AB1">
        <w:rPr>
          <w:i/>
          <w:iCs/>
          <w:sz w:val="24"/>
          <w:szCs w:val="24"/>
        </w:rPr>
        <w:t xml:space="preserve">Samtidig behandling med orale hormonale </w:t>
      </w:r>
      <w:proofErr w:type="spellStart"/>
      <w:r w:rsidRPr="004D5AB1">
        <w:rPr>
          <w:i/>
          <w:iCs/>
          <w:sz w:val="24"/>
          <w:szCs w:val="24"/>
        </w:rPr>
        <w:t>kontraceptiva</w:t>
      </w:r>
      <w:proofErr w:type="spellEnd"/>
    </w:p>
    <w:p w14:paraId="31B24592" w14:textId="77777777" w:rsidR="00CA5F71" w:rsidRPr="004D5AB1" w:rsidRDefault="00CA5F71" w:rsidP="0015226E">
      <w:pPr>
        <w:ind w:left="851"/>
        <w:rPr>
          <w:sz w:val="24"/>
          <w:szCs w:val="24"/>
        </w:rPr>
      </w:pPr>
      <w:r w:rsidRPr="004D5AB1">
        <w:rPr>
          <w:sz w:val="24"/>
          <w:szCs w:val="24"/>
        </w:rPr>
        <w:t xml:space="preserve">I et dedikeret </w:t>
      </w:r>
      <w:proofErr w:type="spellStart"/>
      <w:r w:rsidRPr="004D5AB1">
        <w:rPr>
          <w:sz w:val="24"/>
          <w:szCs w:val="24"/>
        </w:rPr>
        <w:t>farmakokinetisk</w:t>
      </w:r>
      <w:proofErr w:type="spellEnd"/>
      <w:r w:rsidRPr="004D5AB1">
        <w:rPr>
          <w:sz w:val="24"/>
          <w:szCs w:val="24"/>
        </w:rPr>
        <w:t xml:space="preserve"> studie fik kvindelige patienter med </w:t>
      </w:r>
      <w:proofErr w:type="spellStart"/>
      <w:r w:rsidRPr="004D5AB1">
        <w:rPr>
          <w:sz w:val="24"/>
          <w:szCs w:val="24"/>
        </w:rPr>
        <w:t>SSc</w:t>
      </w:r>
      <w:proofErr w:type="spellEnd"/>
      <w:r w:rsidRPr="004D5AB1">
        <w:rPr>
          <w:sz w:val="24"/>
          <w:szCs w:val="24"/>
        </w:rPr>
        <w:t xml:space="preserve">-ILD en enkelt dosis af en kombination af 30 </w:t>
      </w:r>
      <w:proofErr w:type="spellStart"/>
      <w:r w:rsidRPr="004D5AB1">
        <w:rPr>
          <w:sz w:val="24"/>
          <w:szCs w:val="24"/>
        </w:rPr>
        <w:t>μg</w:t>
      </w:r>
      <w:proofErr w:type="spellEnd"/>
      <w:r w:rsidRPr="004D5AB1">
        <w:rPr>
          <w:sz w:val="24"/>
          <w:szCs w:val="24"/>
        </w:rPr>
        <w:t xml:space="preserve"> </w:t>
      </w:r>
      <w:proofErr w:type="spellStart"/>
      <w:r w:rsidRPr="004D5AB1">
        <w:rPr>
          <w:sz w:val="24"/>
          <w:szCs w:val="24"/>
        </w:rPr>
        <w:t>ethinylestradiol</w:t>
      </w:r>
      <w:proofErr w:type="spellEnd"/>
      <w:r w:rsidRPr="004D5AB1">
        <w:rPr>
          <w:sz w:val="24"/>
          <w:szCs w:val="24"/>
        </w:rPr>
        <w:t xml:space="preserve"> og 150 </w:t>
      </w:r>
      <w:proofErr w:type="spellStart"/>
      <w:r w:rsidRPr="004D5AB1">
        <w:rPr>
          <w:sz w:val="24"/>
          <w:szCs w:val="24"/>
        </w:rPr>
        <w:t>μg</w:t>
      </w:r>
      <w:proofErr w:type="spellEnd"/>
      <w:r w:rsidRPr="004D5AB1">
        <w:rPr>
          <w:sz w:val="24"/>
          <w:szCs w:val="24"/>
        </w:rPr>
        <w:t xml:space="preserve"> </w:t>
      </w:r>
      <w:proofErr w:type="spellStart"/>
      <w:r w:rsidRPr="004D5AB1">
        <w:rPr>
          <w:sz w:val="24"/>
          <w:szCs w:val="24"/>
        </w:rPr>
        <w:t>levonorgestrel</w:t>
      </w:r>
      <w:proofErr w:type="spellEnd"/>
      <w:r w:rsidRPr="004D5AB1">
        <w:rPr>
          <w:sz w:val="24"/>
          <w:szCs w:val="24"/>
        </w:rPr>
        <w:t xml:space="preserve"> før og efter dosering med 150 mg </w:t>
      </w:r>
      <w:proofErr w:type="spellStart"/>
      <w:r w:rsidRPr="004D5AB1">
        <w:rPr>
          <w:sz w:val="24"/>
          <w:szCs w:val="24"/>
        </w:rPr>
        <w:t>nintedanib</w:t>
      </w:r>
      <w:proofErr w:type="spellEnd"/>
      <w:r w:rsidRPr="004D5AB1">
        <w:rPr>
          <w:sz w:val="24"/>
          <w:szCs w:val="24"/>
        </w:rPr>
        <w:t xml:space="preserve"> to gange dagligt i mindst 10 dage. De justerede geometriske gennemsnitsratioer (90 % konfidensinterval (CI)) var hhv. 117 % (108 %; 127 %; </w:t>
      </w:r>
      <w:proofErr w:type="spellStart"/>
      <w:r w:rsidRPr="004D5AB1">
        <w:rPr>
          <w:sz w:val="24"/>
          <w:szCs w:val="24"/>
        </w:rPr>
        <w:t>C</w:t>
      </w:r>
      <w:r w:rsidRPr="004D5AB1">
        <w:rPr>
          <w:sz w:val="24"/>
          <w:szCs w:val="24"/>
          <w:vertAlign w:val="subscript"/>
        </w:rPr>
        <w:t>max</w:t>
      </w:r>
      <w:proofErr w:type="spellEnd"/>
      <w:r w:rsidRPr="004D5AB1">
        <w:rPr>
          <w:sz w:val="24"/>
          <w:szCs w:val="24"/>
        </w:rPr>
        <w:t>) og 101 % (93 %; 111 %; AUC</w:t>
      </w:r>
      <w:r w:rsidRPr="004D5AB1">
        <w:rPr>
          <w:sz w:val="24"/>
          <w:szCs w:val="24"/>
          <w:vertAlign w:val="subscript"/>
        </w:rPr>
        <w:t>0–</w:t>
      </w:r>
      <w:proofErr w:type="spellStart"/>
      <w:r w:rsidRPr="004D5AB1">
        <w:rPr>
          <w:sz w:val="24"/>
          <w:szCs w:val="24"/>
          <w:vertAlign w:val="subscript"/>
        </w:rPr>
        <w:t>tz</w:t>
      </w:r>
      <w:proofErr w:type="spellEnd"/>
      <w:r w:rsidRPr="004D5AB1">
        <w:rPr>
          <w:sz w:val="24"/>
          <w:szCs w:val="24"/>
        </w:rPr>
        <w:t xml:space="preserve">) for </w:t>
      </w:r>
      <w:proofErr w:type="spellStart"/>
      <w:r w:rsidRPr="004D5AB1">
        <w:rPr>
          <w:sz w:val="24"/>
          <w:szCs w:val="24"/>
        </w:rPr>
        <w:t>ethinylestradiol</w:t>
      </w:r>
      <w:proofErr w:type="spellEnd"/>
      <w:r w:rsidRPr="004D5AB1">
        <w:rPr>
          <w:sz w:val="24"/>
          <w:szCs w:val="24"/>
        </w:rPr>
        <w:t xml:space="preserve"> og 101 % (90 %; 113 %; </w:t>
      </w:r>
      <w:proofErr w:type="spellStart"/>
      <w:r w:rsidRPr="004D5AB1">
        <w:rPr>
          <w:sz w:val="24"/>
          <w:szCs w:val="24"/>
        </w:rPr>
        <w:t>C</w:t>
      </w:r>
      <w:r w:rsidRPr="004D5AB1">
        <w:rPr>
          <w:sz w:val="24"/>
          <w:szCs w:val="24"/>
          <w:vertAlign w:val="subscript"/>
        </w:rPr>
        <w:t>max</w:t>
      </w:r>
      <w:proofErr w:type="spellEnd"/>
      <w:r w:rsidRPr="004D5AB1">
        <w:rPr>
          <w:sz w:val="24"/>
          <w:szCs w:val="24"/>
        </w:rPr>
        <w:t>) og 96 % (91 %; 102 %; AUC</w:t>
      </w:r>
      <w:r w:rsidRPr="004D5AB1">
        <w:rPr>
          <w:sz w:val="24"/>
          <w:szCs w:val="24"/>
          <w:vertAlign w:val="subscript"/>
        </w:rPr>
        <w:t>0–</w:t>
      </w:r>
      <w:proofErr w:type="spellStart"/>
      <w:r w:rsidRPr="004D5AB1">
        <w:rPr>
          <w:sz w:val="24"/>
          <w:szCs w:val="24"/>
          <w:vertAlign w:val="subscript"/>
        </w:rPr>
        <w:t>tz</w:t>
      </w:r>
      <w:proofErr w:type="spellEnd"/>
      <w:r w:rsidRPr="004D5AB1">
        <w:rPr>
          <w:sz w:val="24"/>
          <w:szCs w:val="24"/>
        </w:rPr>
        <w:t xml:space="preserve">) for </w:t>
      </w:r>
      <w:proofErr w:type="spellStart"/>
      <w:r w:rsidRPr="004D5AB1">
        <w:rPr>
          <w:sz w:val="24"/>
          <w:szCs w:val="24"/>
        </w:rPr>
        <w:t>levonorgestrel</w:t>
      </w:r>
      <w:proofErr w:type="spellEnd"/>
      <w:r w:rsidRPr="004D5AB1">
        <w:rPr>
          <w:sz w:val="24"/>
          <w:szCs w:val="24"/>
        </w:rPr>
        <w:t xml:space="preserve"> (n=15), hvilket indikerer, at samtidig administration af </w:t>
      </w:r>
      <w:proofErr w:type="spellStart"/>
      <w:r w:rsidRPr="004D5AB1">
        <w:rPr>
          <w:sz w:val="24"/>
          <w:szCs w:val="24"/>
        </w:rPr>
        <w:t>nintedanib</w:t>
      </w:r>
      <w:proofErr w:type="spellEnd"/>
      <w:r w:rsidRPr="004D5AB1">
        <w:rPr>
          <w:sz w:val="24"/>
          <w:szCs w:val="24"/>
        </w:rPr>
        <w:t xml:space="preserve"> ikke har nogen relevant virkning på </w:t>
      </w:r>
      <w:proofErr w:type="spellStart"/>
      <w:r w:rsidRPr="004D5AB1">
        <w:rPr>
          <w:sz w:val="24"/>
          <w:szCs w:val="24"/>
        </w:rPr>
        <w:t>ethinylestradiols</w:t>
      </w:r>
      <w:proofErr w:type="spellEnd"/>
      <w:r w:rsidRPr="004D5AB1">
        <w:rPr>
          <w:sz w:val="24"/>
          <w:szCs w:val="24"/>
        </w:rPr>
        <w:t xml:space="preserve"> og </w:t>
      </w:r>
      <w:proofErr w:type="spellStart"/>
      <w:r w:rsidRPr="004D5AB1">
        <w:rPr>
          <w:sz w:val="24"/>
          <w:szCs w:val="24"/>
        </w:rPr>
        <w:t>levonorgestrels</w:t>
      </w:r>
      <w:proofErr w:type="spellEnd"/>
      <w:r w:rsidRPr="004D5AB1">
        <w:rPr>
          <w:sz w:val="24"/>
          <w:szCs w:val="24"/>
        </w:rPr>
        <w:t xml:space="preserve"> plasmaeksponering.</w:t>
      </w:r>
    </w:p>
    <w:p w14:paraId="1F23CB5B" w14:textId="77777777" w:rsidR="00CA5F71" w:rsidRPr="004D5AB1" w:rsidRDefault="00CA5F71" w:rsidP="0015226E">
      <w:pPr>
        <w:ind w:left="851"/>
        <w:rPr>
          <w:i/>
          <w:iCs/>
          <w:sz w:val="24"/>
          <w:szCs w:val="24"/>
        </w:rPr>
      </w:pPr>
    </w:p>
    <w:p w14:paraId="3B3D2951" w14:textId="77777777" w:rsidR="00CA5F71" w:rsidRPr="004D5AB1" w:rsidRDefault="00CA5F71" w:rsidP="0015226E">
      <w:pPr>
        <w:ind w:left="851"/>
        <w:rPr>
          <w:i/>
          <w:iCs/>
          <w:sz w:val="24"/>
          <w:szCs w:val="24"/>
        </w:rPr>
      </w:pPr>
      <w:r w:rsidRPr="004D5AB1">
        <w:rPr>
          <w:i/>
          <w:iCs/>
          <w:sz w:val="24"/>
          <w:szCs w:val="24"/>
        </w:rPr>
        <w:t>Eksponering/respons-forhold</w:t>
      </w:r>
    </w:p>
    <w:p w14:paraId="3466D84D" w14:textId="77777777" w:rsidR="00CA5F71" w:rsidRPr="004D5AB1" w:rsidRDefault="00CA5F71" w:rsidP="0015226E">
      <w:pPr>
        <w:ind w:left="851"/>
        <w:rPr>
          <w:sz w:val="24"/>
          <w:szCs w:val="24"/>
        </w:rPr>
      </w:pPr>
      <w:r w:rsidRPr="004D5AB1">
        <w:rPr>
          <w:sz w:val="24"/>
          <w:szCs w:val="24"/>
        </w:rPr>
        <w:t xml:space="preserve">Eksponering/respons-analyser af patienter med IPF og andre kroniske </w:t>
      </w:r>
      <w:proofErr w:type="spellStart"/>
      <w:r w:rsidRPr="004D5AB1">
        <w:rPr>
          <w:sz w:val="24"/>
          <w:szCs w:val="24"/>
        </w:rPr>
        <w:t>fibroserende</w:t>
      </w:r>
      <w:proofErr w:type="spellEnd"/>
      <w:r w:rsidRPr="004D5AB1">
        <w:rPr>
          <w:sz w:val="24"/>
          <w:szCs w:val="24"/>
        </w:rPr>
        <w:t xml:space="preserve"> ILS med en progressiv fænotype, indikerede en svag korrelation mellem plasmaeksponeringen af </w:t>
      </w:r>
      <w:proofErr w:type="spellStart"/>
      <w:r w:rsidRPr="004D5AB1">
        <w:rPr>
          <w:sz w:val="24"/>
          <w:szCs w:val="24"/>
        </w:rPr>
        <w:t>nintedanib</w:t>
      </w:r>
      <w:proofErr w:type="spellEnd"/>
      <w:r w:rsidRPr="004D5AB1">
        <w:rPr>
          <w:sz w:val="24"/>
          <w:szCs w:val="24"/>
        </w:rPr>
        <w:t xml:space="preserve"> og ALAT- og/eller ASAT-forhøjelser. Den reelle administrerede dosis kan være bedre til at forudsige risikoen for at udvikle diarré uanset intensitet, selv hvis plasmaeksponeringen som risikobestemmende faktor ikke kunne udelukkes (se pkt. 4.4).</w:t>
      </w:r>
    </w:p>
    <w:p w14:paraId="28F86EE1" w14:textId="77777777" w:rsidR="009260DE" w:rsidRPr="004D5AB1" w:rsidRDefault="009260DE" w:rsidP="009260DE">
      <w:pPr>
        <w:tabs>
          <w:tab w:val="left" w:pos="851"/>
        </w:tabs>
        <w:ind w:left="851"/>
        <w:rPr>
          <w:sz w:val="24"/>
          <w:szCs w:val="24"/>
        </w:rPr>
      </w:pPr>
    </w:p>
    <w:p w14:paraId="5DC27119" w14:textId="77777777" w:rsidR="009260DE" w:rsidRPr="004D5AB1" w:rsidRDefault="009260DE" w:rsidP="009260DE">
      <w:pPr>
        <w:tabs>
          <w:tab w:val="left" w:pos="851"/>
        </w:tabs>
        <w:ind w:left="851" w:hanging="851"/>
        <w:rPr>
          <w:b/>
          <w:sz w:val="24"/>
          <w:szCs w:val="24"/>
        </w:rPr>
      </w:pPr>
      <w:r w:rsidRPr="004D5AB1">
        <w:rPr>
          <w:b/>
          <w:sz w:val="24"/>
          <w:szCs w:val="24"/>
        </w:rPr>
        <w:t>5.3</w:t>
      </w:r>
      <w:r w:rsidRPr="004D5AB1">
        <w:rPr>
          <w:b/>
          <w:sz w:val="24"/>
          <w:szCs w:val="24"/>
        </w:rPr>
        <w:tab/>
      </w:r>
      <w:r w:rsidR="00BD7931" w:rsidRPr="004D5AB1">
        <w:rPr>
          <w:b/>
          <w:sz w:val="24"/>
          <w:szCs w:val="24"/>
        </w:rPr>
        <w:t>Non-</w:t>
      </w:r>
      <w:r w:rsidRPr="004D5AB1">
        <w:rPr>
          <w:b/>
          <w:sz w:val="24"/>
          <w:szCs w:val="24"/>
        </w:rPr>
        <w:t>kliniske sikkerhedsdata</w:t>
      </w:r>
    </w:p>
    <w:p w14:paraId="4AAFE828" w14:textId="77777777" w:rsidR="0099618E" w:rsidRDefault="0099618E" w:rsidP="0015226E">
      <w:pPr>
        <w:ind w:left="851"/>
        <w:rPr>
          <w:sz w:val="24"/>
          <w:szCs w:val="24"/>
          <w:u w:val="single"/>
        </w:rPr>
      </w:pPr>
    </w:p>
    <w:p w14:paraId="5318EF2F" w14:textId="06AA3495" w:rsidR="00CA5F71" w:rsidRPr="004D5AB1" w:rsidRDefault="00CA5F71" w:rsidP="0015226E">
      <w:pPr>
        <w:ind w:left="851"/>
        <w:rPr>
          <w:sz w:val="24"/>
          <w:szCs w:val="24"/>
          <w:u w:val="single"/>
        </w:rPr>
      </w:pPr>
      <w:r w:rsidRPr="004D5AB1">
        <w:rPr>
          <w:sz w:val="24"/>
          <w:szCs w:val="24"/>
          <w:u w:val="single"/>
        </w:rPr>
        <w:t>Generel toksikologi</w:t>
      </w:r>
    </w:p>
    <w:p w14:paraId="7E9CD20F" w14:textId="77777777" w:rsidR="00CA5F71" w:rsidRPr="004D5AB1" w:rsidRDefault="00CA5F71" w:rsidP="0015226E">
      <w:pPr>
        <w:ind w:left="851"/>
        <w:rPr>
          <w:sz w:val="24"/>
          <w:szCs w:val="24"/>
        </w:rPr>
      </w:pPr>
      <w:r w:rsidRPr="004D5AB1">
        <w:rPr>
          <w:sz w:val="24"/>
          <w:szCs w:val="24"/>
        </w:rPr>
        <w:t xml:space="preserve">Toksicitetsstudier med enkeltdoser til rotter og mus tydede på, at </w:t>
      </w:r>
      <w:proofErr w:type="spellStart"/>
      <w:r w:rsidRPr="004D5AB1">
        <w:rPr>
          <w:sz w:val="24"/>
          <w:szCs w:val="24"/>
        </w:rPr>
        <w:t>nintedanib</w:t>
      </w:r>
      <w:proofErr w:type="spellEnd"/>
      <w:r w:rsidRPr="004D5AB1">
        <w:rPr>
          <w:sz w:val="24"/>
          <w:szCs w:val="24"/>
        </w:rPr>
        <w:t xml:space="preserve"> har et lavt potentiale for akut toksicitet. I toksikologistudier med gentagne doser til unge rotter blev der observeret irreversible ændringer af emalje og dentin i de kontinuerligt </w:t>
      </w:r>
      <w:proofErr w:type="spellStart"/>
      <w:r w:rsidRPr="004D5AB1">
        <w:rPr>
          <w:sz w:val="24"/>
          <w:szCs w:val="24"/>
        </w:rPr>
        <w:t>hurtigtvoksende</w:t>
      </w:r>
      <w:proofErr w:type="spellEnd"/>
      <w:r w:rsidRPr="004D5AB1">
        <w:rPr>
          <w:sz w:val="24"/>
          <w:szCs w:val="24"/>
        </w:rPr>
        <w:t xml:space="preserve"> fortænder, men ikke i forreste eller bageste kindtænder. Derudover blev der observeret fortykkelse af </w:t>
      </w:r>
      <w:proofErr w:type="spellStart"/>
      <w:r w:rsidRPr="004D5AB1">
        <w:rPr>
          <w:sz w:val="24"/>
          <w:szCs w:val="24"/>
        </w:rPr>
        <w:t>epifysevækstplader</w:t>
      </w:r>
      <w:proofErr w:type="spellEnd"/>
      <w:r w:rsidRPr="004D5AB1">
        <w:rPr>
          <w:sz w:val="24"/>
          <w:szCs w:val="24"/>
        </w:rPr>
        <w:t xml:space="preserve"> under knoglevækstfaser, hvilket var reversibelt efter </w:t>
      </w:r>
      <w:proofErr w:type="spellStart"/>
      <w:r w:rsidRPr="004D5AB1">
        <w:rPr>
          <w:sz w:val="24"/>
          <w:szCs w:val="24"/>
        </w:rPr>
        <w:t>seponering</w:t>
      </w:r>
      <w:proofErr w:type="spellEnd"/>
      <w:r w:rsidRPr="004D5AB1">
        <w:rPr>
          <w:sz w:val="24"/>
          <w:szCs w:val="24"/>
        </w:rPr>
        <w:t>. Disse forandringer kendes fra andre VEGFR-2-hæmmere og kan anses for at være klasseeffekter.</w:t>
      </w:r>
    </w:p>
    <w:p w14:paraId="6133908B" w14:textId="77777777" w:rsidR="00CA5F71" w:rsidRPr="004D5AB1" w:rsidRDefault="00CA5F71" w:rsidP="0015226E">
      <w:pPr>
        <w:ind w:left="851"/>
        <w:rPr>
          <w:sz w:val="24"/>
          <w:szCs w:val="24"/>
        </w:rPr>
      </w:pPr>
    </w:p>
    <w:p w14:paraId="123D1185" w14:textId="77777777" w:rsidR="00CA5F71" w:rsidRPr="004D5AB1" w:rsidRDefault="00CA5F71" w:rsidP="0015226E">
      <w:pPr>
        <w:ind w:left="851"/>
        <w:rPr>
          <w:sz w:val="24"/>
          <w:szCs w:val="24"/>
        </w:rPr>
      </w:pPr>
      <w:r w:rsidRPr="004D5AB1">
        <w:rPr>
          <w:sz w:val="24"/>
          <w:szCs w:val="24"/>
        </w:rPr>
        <w:t>Diarré og opkastning ledsaget af nedsat fødeindtagelse og vægttab blev observeret i toksicitetsstudier hos ikke-gnavere.</w:t>
      </w:r>
    </w:p>
    <w:p w14:paraId="4BD5D9CE" w14:textId="77777777" w:rsidR="00CA5F71" w:rsidRPr="004D5AB1" w:rsidRDefault="00CA5F71" w:rsidP="0015226E">
      <w:pPr>
        <w:ind w:left="851"/>
        <w:rPr>
          <w:sz w:val="24"/>
          <w:szCs w:val="24"/>
        </w:rPr>
      </w:pPr>
    </w:p>
    <w:p w14:paraId="6611A068" w14:textId="77777777" w:rsidR="00CA5F71" w:rsidRPr="004D5AB1" w:rsidRDefault="00CA5F71" w:rsidP="0015226E">
      <w:pPr>
        <w:ind w:left="851"/>
        <w:rPr>
          <w:sz w:val="24"/>
          <w:szCs w:val="24"/>
        </w:rPr>
      </w:pPr>
      <w:r w:rsidRPr="004D5AB1">
        <w:rPr>
          <w:sz w:val="24"/>
          <w:szCs w:val="24"/>
        </w:rPr>
        <w:t xml:space="preserve">Der var ingen evidens for forhøjede leverenzymer hos rotter, hunde eller </w:t>
      </w:r>
      <w:proofErr w:type="spellStart"/>
      <w:r w:rsidRPr="004D5AB1">
        <w:rPr>
          <w:sz w:val="24"/>
          <w:szCs w:val="24"/>
        </w:rPr>
        <w:t>cynomolgusaber</w:t>
      </w:r>
      <w:proofErr w:type="spellEnd"/>
      <w:r w:rsidRPr="004D5AB1">
        <w:rPr>
          <w:sz w:val="24"/>
          <w:szCs w:val="24"/>
        </w:rPr>
        <w:t>. Let forhøjede leverenzymer, der ikke skyldtes alvorlige bivirkninger som f.eks. diarré, blev kun observeret hos rhesusaber.</w:t>
      </w:r>
    </w:p>
    <w:p w14:paraId="4D439730" w14:textId="77777777" w:rsidR="00CA5F71" w:rsidRPr="004D5AB1" w:rsidRDefault="00CA5F71" w:rsidP="0015226E">
      <w:pPr>
        <w:ind w:left="851"/>
        <w:rPr>
          <w:sz w:val="24"/>
          <w:szCs w:val="24"/>
        </w:rPr>
      </w:pPr>
    </w:p>
    <w:p w14:paraId="350BEB5F" w14:textId="77777777" w:rsidR="00CA5F71" w:rsidRPr="004D5AB1" w:rsidRDefault="00CA5F71" w:rsidP="0015226E">
      <w:pPr>
        <w:ind w:left="851"/>
        <w:rPr>
          <w:sz w:val="24"/>
          <w:szCs w:val="24"/>
          <w:u w:val="single"/>
        </w:rPr>
      </w:pPr>
      <w:r w:rsidRPr="004D5AB1">
        <w:rPr>
          <w:sz w:val="24"/>
          <w:szCs w:val="24"/>
          <w:u w:val="single"/>
        </w:rPr>
        <w:t xml:space="preserve">Reproduktionstoksicitet </w:t>
      </w:r>
    </w:p>
    <w:p w14:paraId="25517AAC" w14:textId="77777777" w:rsidR="00CA5F71" w:rsidRPr="004D5AB1" w:rsidRDefault="00CA5F71" w:rsidP="0015226E">
      <w:pPr>
        <w:ind w:left="851"/>
        <w:rPr>
          <w:sz w:val="24"/>
          <w:szCs w:val="24"/>
        </w:rPr>
      </w:pPr>
      <w:r w:rsidRPr="004D5AB1">
        <w:rPr>
          <w:sz w:val="24"/>
          <w:szCs w:val="24"/>
        </w:rPr>
        <w:t xml:space="preserve">Hos rotter blev der observeret </w:t>
      </w:r>
      <w:proofErr w:type="spellStart"/>
      <w:r w:rsidRPr="004D5AB1">
        <w:rPr>
          <w:sz w:val="24"/>
          <w:szCs w:val="24"/>
        </w:rPr>
        <w:t>embryoføtal</w:t>
      </w:r>
      <w:proofErr w:type="spellEnd"/>
      <w:r w:rsidRPr="004D5AB1">
        <w:rPr>
          <w:sz w:val="24"/>
          <w:szCs w:val="24"/>
        </w:rPr>
        <w:t xml:space="preserve"> </w:t>
      </w:r>
      <w:proofErr w:type="spellStart"/>
      <w:r w:rsidRPr="004D5AB1">
        <w:rPr>
          <w:sz w:val="24"/>
          <w:szCs w:val="24"/>
        </w:rPr>
        <w:t>letalitet</w:t>
      </w:r>
      <w:proofErr w:type="spellEnd"/>
      <w:r w:rsidRPr="004D5AB1">
        <w:rPr>
          <w:sz w:val="24"/>
          <w:szCs w:val="24"/>
        </w:rPr>
        <w:t xml:space="preserve"> og </w:t>
      </w:r>
      <w:proofErr w:type="spellStart"/>
      <w:r w:rsidRPr="004D5AB1">
        <w:rPr>
          <w:sz w:val="24"/>
          <w:szCs w:val="24"/>
        </w:rPr>
        <w:t>teratogene</w:t>
      </w:r>
      <w:proofErr w:type="spellEnd"/>
      <w:r w:rsidRPr="004D5AB1">
        <w:rPr>
          <w:sz w:val="24"/>
          <w:szCs w:val="24"/>
        </w:rPr>
        <w:t xml:space="preserve"> virkninger ved eksponeringsniveauer, der var lavere end eksponeringen hos mennesker ved en dosis på 150 mg to gange dagligt (MRHD). Der blev også fundet effekt på udviklingen af det aksiale skelet og af de store arterier ved subterapeutiske eksponeringsniveauer.</w:t>
      </w:r>
    </w:p>
    <w:p w14:paraId="41DBE62F" w14:textId="77777777" w:rsidR="00CA5F71" w:rsidRPr="004D5AB1" w:rsidRDefault="00CA5F71" w:rsidP="0015226E">
      <w:pPr>
        <w:ind w:left="851"/>
        <w:rPr>
          <w:sz w:val="24"/>
          <w:szCs w:val="24"/>
        </w:rPr>
      </w:pPr>
    </w:p>
    <w:p w14:paraId="2C1A80C7" w14:textId="77777777" w:rsidR="00CA5F71" w:rsidRPr="004D5AB1" w:rsidRDefault="00CA5F71" w:rsidP="0015226E">
      <w:pPr>
        <w:ind w:left="851"/>
        <w:rPr>
          <w:sz w:val="24"/>
          <w:szCs w:val="24"/>
        </w:rPr>
      </w:pPr>
      <w:r w:rsidRPr="004D5AB1">
        <w:rPr>
          <w:sz w:val="24"/>
          <w:szCs w:val="24"/>
        </w:rPr>
        <w:t xml:space="preserve">Hos kaniner blev der observeret </w:t>
      </w:r>
      <w:proofErr w:type="spellStart"/>
      <w:r w:rsidRPr="004D5AB1">
        <w:rPr>
          <w:sz w:val="24"/>
          <w:szCs w:val="24"/>
        </w:rPr>
        <w:t>embryoføtal</w:t>
      </w:r>
      <w:proofErr w:type="spellEnd"/>
      <w:r w:rsidRPr="004D5AB1">
        <w:rPr>
          <w:sz w:val="24"/>
          <w:szCs w:val="24"/>
        </w:rPr>
        <w:t xml:space="preserve"> </w:t>
      </w:r>
      <w:proofErr w:type="spellStart"/>
      <w:r w:rsidRPr="004D5AB1">
        <w:rPr>
          <w:sz w:val="24"/>
          <w:szCs w:val="24"/>
        </w:rPr>
        <w:t>letalitet</w:t>
      </w:r>
      <w:proofErr w:type="spellEnd"/>
      <w:r w:rsidRPr="004D5AB1">
        <w:rPr>
          <w:sz w:val="24"/>
          <w:szCs w:val="24"/>
        </w:rPr>
        <w:t xml:space="preserve"> og </w:t>
      </w:r>
      <w:proofErr w:type="spellStart"/>
      <w:r w:rsidRPr="004D5AB1">
        <w:rPr>
          <w:sz w:val="24"/>
          <w:szCs w:val="24"/>
        </w:rPr>
        <w:t>teratogene</w:t>
      </w:r>
      <w:proofErr w:type="spellEnd"/>
      <w:r w:rsidRPr="004D5AB1">
        <w:rPr>
          <w:sz w:val="24"/>
          <w:szCs w:val="24"/>
        </w:rPr>
        <w:t xml:space="preserve"> virkninger ved en eksponering, der var ca. 3 gange højere end eksponeringen ved MRHD, men tilsvarende virkninger på den </w:t>
      </w:r>
      <w:proofErr w:type="spellStart"/>
      <w:r w:rsidRPr="004D5AB1">
        <w:rPr>
          <w:sz w:val="24"/>
          <w:szCs w:val="24"/>
        </w:rPr>
        <w:t>embryoføtale</w:t>
      </w:r>
      <w:proofErr w:type="spellEnd"/>
      <w:r w:rsidRPr="004D5AB1">
        <w:rPr>
          <w:sz w:val="24"/>
          <w:szCs w:val="24"/>
        </w:rPr>
        <w:t xml:space="preserve"> udvikling af det aksiale skelet og hjertet blev registreret </w:t>
      </w:r>
      <w:r w:rsidRPr="004D5AB1">
        <w:rPr>
          <w:sz w:val="24"/>
          <w:szCs w:val="24"/>
        </w:rPr>
        <w:lastRenderedPageBreak/>
        <w:t>allerede ved en eksponering, der var lavere end den ved MRHD på 150 mg to gange dagligt.</w:t>
      </w:r>
    </w:p>
    <w:p w14:paraId="0FCB14C2" w14:textId="77777777" w:rsidR="00CA5F71" w:rsidRPr="004D5AB1" w:rsidRDefault="00CA5F71" w:rsidP="0015226E">
      <w:pPr>
        <w:ind w:left="851"/>
        <w:rPr>
          <w:sz w:val="24"/>
          <w:szCs w:val="24"/>
        </w:rPr>
      </w:pPr>
    </w:p>
    <w:p w14:paraId="7CE80E5F" w14:textId="77777777" w:rsidR="00CA5F71" w:rsidRPr="004D5AB1" w:rsidRDefault="00CA5F71" w:rsidP="0015226E">
      <w:pPr>
        <w:ind w:left="851"/>
        <w:rPr>
          <w:sz w:val="24"/>
          <w:szCs w:val="24"/>
        </w:rPr>
      </w:pPr>
      <w:r w:rsidRPr="004D5AB1">
        <w:rPr>
          <w:sz w:val="24"/>
          <w:szCs w:val="24"/>
        </w:rPr>
        <w:t xml:space="preserve">Der blev set virkninger på den præ- og </w:t>
      </w:r>
      <w:proofErr w:type="spellStart"/>
      <w:r w:rsidRPr="004D5AB1">
        <w:rPr>
          <w:sz w:val="24"/>
          <w:szCs w:val="24"/>
        </w:rPr>
        <w:t>postnatale</w:t>
      </w:r>
      <w:proofErr w:type="spellEnd"/>
      <w:r w:rsidRPr="004D5AB1">
        <w:rPr>
          <w:sz w:val="24"/>
          <w:szCs w:val="24"/>
        </w:rPr>
        <w:t xml:space="preserve"> udvikling i et studie af præ- og </w:t>
      </w:r>
      <w:proofErr w:type="spellStart"/>
      <w:r w:rsidRPr="004D5AB1">
        <w:rPr>
          <w:sz w:val="24"/>
          <w:szCs w:val="24"/>
        </w:rPr>
        <w:t>postnatal</w:t>
      </w:r>
      <w:proofErr w:type="spellEnd"/>
      <w:r w:rsidRPr="004D5AB1">
        <w:rPr>
          <w:sz w:val="24"/>
          <w:szCs w:val="24"/>
        </w:rPr>
        <w:t xml:space="preserve"> udvikling hos rotter ved en eksponering, der var lavere end eksponeringen ved MRHD.</w:t>
      </w:r>
    </w:p>
    <w:p w14:paraId="6D7C3FAE" w14:textId="77777777" w:rsidR="00CA5F71" w:rsidRPr="004D5AB1" w:rsidRDefault="00CA5F71" w:rsidP="0015226E">
      <w:pPr>
        <w:ind w:left="851"/>
        <w:rPr>
          <w:sz w:val="24"/>
          <w:szCs w:val="24"/>
        </w:rPr>
      </w:pPr>
    </w:p>
    <w:p w14:paraId="52A3E913" w14:textId="77777777" w:rsidR="00CA5F71" w:rsidRPr="004D5AB1" w:rsidRDefault="00CA5F71" w:rsidP="0015226E">
      <w:pPr>
        <w:ind w:left="851"/>
        <w:rPr>
          <w:sz w:val="24"/>
          <w:szCs w:val="24"/>
        </w:rPr>
      </w:pPr>
      <w:r w:rsidRPr="004D5AB1">
        <w:rPr>
          <w:sz w:val="24"/>
          <w:szCs w:val="24"/>
        </w:rPr>
        <w:t>Et studie af fertiliteten hos hanner og tidlig embryonal udvikling indtil implantation hos rotter viste ingen virkninger på reproduktionsorganer eller fertilitet hos hanner.</w:t>
      </w:r>
    </w:p>
    <w:p w14:paraId="75316946" w14:textId="77777777" w:rsidR="00CA5F71" w:rsidRPr="004D5AB1" w:rsidRDefault="00CA5F71" w:rsidP="0015226E">
      <w:pPr>
        <w:ind w:left="851"/>
        <w:rPr>
          <w:sz w:val="24"/>
          <w:szCs w:val="24"/>
        </w:rPr>
      </w:pPr>
    </w:p>
    <w:p w14:paraId="03A08770" w14:textId="77777777" w:rsidR="00CA5F71" w:rsidRPr="004D5AB1" w:rsidRDefault="00CA5F71" w:rsidP="0015226E">
      <w:pPr>
        <w:ind w:left="851"/>
        <w:rPr>
          <w:sz w:val="24"/>
          <w:szCs w:val="24"/>
        </w:rPr>
      </w:pPr>
      <w:r w:rsidRPr="004D5AB1">
        <w:rPr>
          <w:sz w:val="24"/>
          <w:szCs w:val="24"/>
        </w:rPr>
        <w:t xml:space="preserve">Hos rotter blev små mængder radioaktivt mærket </w:t>
      </w:r>
      <w:proofErr w:type="spellStart"/>
      <w:r w:rsidRPr="004D5AB1">
        <w:rPr>
          <w:sz w:val="24"/>
          <w:szCs w:val="24"/>
        </w:rPr>
        <w:t>nintedanib</w:t>
      </w:r>
      <w:proofErr w:type="spellEnd"/>
      <w:r w:rsidRPr="004D5AB1">
        <w:rPr>
          <w:sz w:val="24"/>
          <w:szCs w:val="24"/>
        </w:rPr>
        <w:t xml:space="preserve"> og/eller dets metabolitter udskilt i mælken (≤0,5 % af den administrerede dosis). </w:t>
      </w:r>
    </w:p>
    <w:p w14:paraId="40788178" w14:textId="77777777" w:rsidR="00CA5F71" w:rsidRPr="004D5AB1" w:rsidRDefault="00CA5F71" w:rsidP="0015226E">
      <w:pPr>
        <w:ind w:left="851"/>
        <w:rPr>
          <w:sz w:val="24"/>
          <w:szCs w:val="24"/>
        </w:rPr>
      </w:pPr>
    </w:p>
    <w:p w14:paraId="6A0BB1C2" w14:textId="77777777" w:rsidR="00CA5F71" w:rsidRPr="004D5AB1" w:rsidRDefault="00CA5F71" w:rsidP="0015226E">
      <w:pPr>
        <w:ind w:left="851"/>
        <w:rPr>
          <w:sz w:val="24"/>
          <w:szCs w:val="24"/>
        </w:rPr>
      </w:pPr>
      <w:r w:rsidRPr="004D5AB1">
        <w:rPr>
          <w:sz w:val="24"/>
          <w:szCs w:val="24"/>
        </w:rPr>
        <w:t xml:space="preserve">I de 2-årige </w:t>
      </w:r>
      <w:proofErr w:type="spellStart"/>
      <w:r w:rsidRPr="004D5AB1">
        <w:rPr>
          <w:sz w:val="24"/>
          <w:szCs w:val="24"/>
        </w:rPr>
        <w:t>karcinogenicitetsstudier</w:t>
      </w:r>
      <w:proofErr w:type="spellEnd"/>
      <w:r w:rsidRPr="004D5AB1">
        <w:rPr>
          <w:sz w:val="24"/>
          <w:szCs w:val="24"/>
        </w:rPr>
        <w:t xml:space="preserve"> hos mus og rotter var der ingen evidens for et </w:t>
      </w:r>
      <w:proofErr w:type="spellStart"/>
      <w:r w:rsidRPr="004D5AB1">
        <w:rPr>
          <w:sz w:val="24"/>
          <w:szCs w:val="24"/>
        </w:rPr>
        <w:t>karcinogent</w:t>
      </w:r>
      <w:proofErr w:type="spellEnd"/>
      <w:r w:rsidRPr="004D5AB1">
        <w:rPr>
          <w:sz w:val="24"/>
          <w:szCs w:val="24"/>
        </w:rPr>
        <w:t xml:space="preserve"> potentiale af </w:t>
      </w:r>
      <w:proofErr w:type="spellStart"/>
      <w:r w:rsidRPr="004D5AB1">
        <w:rPr>
          <w:sz w:val="24"/>
          <w:szCs w:val="24"/>
        </w:rPr>
        <w:t>nintedanib</w:t>
      </w:r>
      <w:proofErr w:type="spellEnd"/>
      <w:r w:rsidRPr="004D5AB1">
        <w:rPr>
          <w:sz w:val="24"/>
          <w:szCs w:val="24"/>
        </w:rPr>
        <w:t>.</w:t>
      </w:r>
    </w:p>
    <w:p w14:paraId="5DAF3F29" w14:textId="77777777" w:rsidR="00CA5F71" w:rsidRPr="004D5AB1" w:rsidRDefault="00CA5F71" w:rsidP="0015226E">
      <w:pPr>
        <w:ind w:left="851"/>
        <w:rPr>
          <w:sz w:val="24"/>
          <w:szCs w:val="24"/>
        </w:rPr>
      </w:pPr>
    </w:p>
    <w:p w14:paraId="2716E003" w14:textId="77777777" w:rsidR="00CA5F71" w:rsidRPr="004D5AB1" w:rsidRDefault="00CA5F71" w:rsidP="0015226E">
      <w:pPr>
        <w:ind w:left="851"/>
        <w:rPr>
          <w:sz w:val="24"/>
          <w:szCs w:val="24"/>
        </w:rPr>
      </w:pPr>
      <w:proofErr w:type="spellStart"/>
      <w:r w:rsidRPr="004D5AB1">
        <w:rPr>
          <w:sz w:val="24"/>
          <w:szCs w:val="24"/>
        </w:rPr>
        <w:t>Genotoksicitetsstudier</w:t>
      </w:r>
      <w:proofErr w:type="spellEnd"/>
      <w:r w:rsidRPr="004D5AB1">
        <w:rPr>
          <w:sz w:val="24"/>
          <w:szCs w:val="24"/>
        </w:rPr>
        <w:t xml:space="preserve"> tydede ikke på, at </w:t>
      </w:r>
      <w:proofErr w:type="spellStart"/>
      <w:r w:rsidRPr="004D5AB1">
        <w:rPr>
          <w:sz w:val="24"/>
          <w:szCs w:val="24"/>
        </w:rPr>
        <w:t>nintedanib</w:t>
      </w:r>
      <w:proofErr w:type="spellEnd"/>
      <w:r w:rsidRPr="004D5AB1">
        <w:rPr>
          <w:sz w:val="24"/>
          <w:szCs w:val="24"/>
        </w:rPr>
        <w:t xml:space="preserve"> har et mutagent potentiale.</w:t>
      </w:r>
    </w:p>
    <w:p w14:paraId="62912CE0" w14:textId="77777777" w:rsidR="009260DE" w:rsidRPr="004D5AB1" w:rsidRDefault="009260DE" w:rsidP="009260DE">
      <w:pPr>
        <w:tabs>
          <w:tab w:val="left" w:pos="851"/>
        </w:tabs>
        <w:ind w:left="851"/>
        <w:rPr>
          <w:sz w:val="24"/>
          <w:szCs w:val="24"/>
        </w:rPr>
      </w:pPr>
    </w:p>
    <w:p w14:paraId="767384A8" w14:textId="77777777" w:rsidR="009260DE" w:rsidRPr="004D5AB1" w:rsidRDefault="009260DE" w:rsidP="009260DE">
      <w:pPr>
        <w:tabs>
          <w:tab w:val="left" w:pos="851"/>
        </w:tabs>
        <w:ind w:left="851"/>
        <w:rPr>
          <w:sz w:val="24"/>
          <w:szCs w:val="24"/>
        </w:rPr>
      </w:pPr>
    </w:p>
    <w:p w14:paraId="48B527D4" w14:textId="77777777" w:rsidR="009260DE" w:rsidRPr="004D5AB1" w:rsidRDefault="009260DE" w:rsidP="009260DE">
      <w:pPr>
        <w:tabs>
          <w:tab w:val="left" w:pos="851"/>
        </w:tabs>
        <w:ind w:left="851" w:hanging="851"/>
        <w:rPr>
          <w:b/>
          <w:sz w:val="24"/>
          <w:szCs w:val="24"/>
        </w:rPr>
      </w:pPr>
      <w:r w:rsidRPr="004D5AB1">
        <w:rPr>
          <w:b/>
          <w:sz w:val="24"/>
          <w:szCs w:val="24"/>
        </w:rPr>
        <w:t>6.</w:t>
      </w:r>
      <w:r w:rsidRPr="004D5AB1">
        <w:rPr>
          <w:b/>
          <w:sz w:val="24"/>
          <w:szCs w:val="24"/>
        </w:rPr>
        <w:tab/>
        <w:t>FARMACEUTISKE OPLYSNINGER</w:t>
      </w:r>
    </w:p>
    <w:p w14:paraId="68C5C129" w14:textId="77777777" w:rsidR="009260DE" w:rsidRPr="004D5AB1" w:rsidRDefault="009260DE" w:rsidP="009260DE">
      <w:pPr>
        <w:tabs>
          <w:tab w:val="left" w:pos="851"/>
        </w:tabs>
        <w:ind w:left="851"/>
        <w:rPr>
          <w:sz w:val="24"/>
          <w:szCs w:val="24"/>
        </w:rPr>
      </w:pPr>
    </w:p>
    <w:p w14:paraId="0590373C" w14:textId="77777777" w:rsidR="009260DE" w:rsidRPr="004D5AB1" w:rsidRDefault="009260DE" w:rsidP="009260DE">
      <w:pPr>
        <w:tabs>
          <w:tab w:val="left" w:pos="851"/>
        </w:tabs>
        <w:ind w:left="851" w:hanging="851"/>
        <w:rPr>
          <w:b/>
          <w:sz w:val="24"/>
          <w:szCs w:val="24"/>
        </w:rPr>
      </w:pPr>
      <w:r w:rsidRPr="004D5AB1">
        <w:rPr>
          <w:b/>
          <w:sz w:val="24"/>
          <w:szCs w:val="24"/>
        </w:rPr>
        <w:t>6.1</w:t>
      </w:r>
      <w:r w:rsidRPr="004D5AB1">
        <w:rPr>
          <w:b/>
          <w:sz w:val="24"/>
          <w:szCs w:val="24"/>
        </w:rPr>
        <w:tab/>
        <w:t>Hjælpestoffer</w:t>
      </w:r>
    </w:p>
    <w:p w14:paraId="59E3F19A" w14:textId="77777777" w:rsidR="0099618E" w:rsidRDefault="0099618E" w:rsidP="0015226E">
      <w:pPr>
        <w:ind w:left="851"/>
        <w:rPr>
          <w:sz w:val="24"/>
          <w:szCs w:val="24"/>
          <w:u w:val="single"/>
        </w:rPr>
      </w:pPr>
    </w:p>
    <w:p w14:paraId="251E0DC7" w14:textId="596A30EE" w:rsidR="00CA5F71" w:rsidRPr="004D5AB1" w:rsidRDefault="00CA5F71" w:rsidP="0015226E">
      <w:pPr>
        <w:ind w:left="851"/>
        <w:rPr>
          <w:sz w:val="24"/>
          <w:szCs w:val="24"/>
          <w:u w:val="single"/>
        </w:rPr>
      </w:pPr>
      <w:r w:rsidRPr="004D5AB1">
        <w:rPr>
          <w:sz w:val="24"/>
          <w:szCs w:val="24"/>
          <w:u w:val="single"/>
        </w:rPr>
        <w:t>Kapselindhold</w:t>
      </w:r>
    </w:p>
    <w:p w14:paraId="0D035061" w14:textId="77777777" w:rsidR="00CA5F71" w:rsidRPr="004D5AB1" w:rsidRDefault="00CA5F71" w:rsidP="0015226E">
      <w:pPr>
        <w:ind w:left="851"/>
        <w:rPr>
          <w:sz w:val="24"/>
          <w:szCs w:val="24"/>
        </w:rPr>
      </w:pPr>
      <w:r w:rsidRPr="004D5AB1">
        <w:rPr>
          <w:sz w:val="24"/>
          <w:szCs w:val="24"/>
        </w:rPr>
        <w:t>Mellemkædede triglycerider</w:t>
      </w:r>
    </w:p>
    <w:p w14:paraId="532F5ED9" w14:textId="77777777" w:rsidR="00CA5F71" w:rsidRPr="004D5AB1" w:rsidRDefault="00CA5F71" w:rsidP="0015226E">
      <w:pPr>
        <w:ind w:left="851"/>
        <w:rPr>
          <w:sz w:val="24"/>
          <w:szCs w:val="24"/>
        </w:rPr>
      </w:pPr>
      <w:r w:rsidRPr="004D5AB1">
        <w:rPr>
          <w:sz w:val="24"/>
          <w:szCs w:val="24"/>
        </w:rPr>
        <w:t>Hårdfedt</w:t>
      </w:r>
    </w:p>
    <w:p w14:paraId="5B567ADB" w14:textId="77777777" w:rsidR="00CA5F71" w:rsidRPr="004D5AB1" w:rsidRDefault="00CA5F71" w:rsidP="0015226E">
      <w:pPr>
        <w:ind w:left="851"/>
        <w:rPr>
          <w:noProof/>
          <w:sz w:val="24"/>
          <w:szCs w:val="24"/>
        </w:rPr>
      </w:pPr>
      <w:r w:rsidRPr="004D5AB1">
        <w:rPr>
          <w:noProof/>
          <w:sz w:val="24"/>
          <w:szCs w:val="24"/>
        </w:rPr>
        <w:t>Polyglyceryl-3 dioleat (E 475)</w:t>
      </w:r>
    </w:p>
    <w:p w14:paraId="1FB3FD1A" w14:textId="77777777" w:rsidR="00CA5F71" w:rsidRPr="004D5AB1" w:rsidRDefault="00CA5F71" w:rsidP="0015226E">
      <w:pPr>
        <w:ind w:left="851"/>
        <w:rPr>
          <w:sz w:val="24"/>
          <w:szCs w:val="24"/>
        </w:rPr>
      </w:pPr>
    </w:p>
    <w:p w14:paraId="5701843E" w14:textId="77777777" w:rsidR="00CA5F71" w:rsidRPr="004D5AB1" w:rsidRDefault="00CA5F71" w:rsidP="0015226E">
      <w:pPr>
        <w:ind w:left="851"/>
        <w:rPr>
          <w:sz w:val="24"/>
          <w:szCs w:val="24"/>
          <w:u w:val="single"/>
        </w:rPr>
      </w:pPr>
      <w:r w:rsidRPr="004D5AB1">
        <w:rPr>
          <w:sz w:val="24"/>
          <w:szCs w:val="24"/>
          <w:u w:val="single"/>
        </w:rPr>
        <w:t>Kapselskal</w:t>
      </w:r>
    </w:p>
    <w:p w14:paraId="703B2865" w14:textId="77777777" w:rsidR="00CA5F71" w:rsidRPr="004D5AB1" w:rsidRDefault="00CA5F71" w:rsidP="0015226E">
      <w:pPr>
        <w:ind w:left="851"/>
        <w:rPr>
          <w:sz w:val="24"/>
          <w:szCs w:val="24"/>
        </w:rPr>
      </w:pPr>
      <w:r w:rsidRPr="004D5AB1">
        <w:rPr>
          <w:sz w:val="24"/>
          <w:szCs w:val="24"/>
        </w:rPr>
        <w:t>Gelatine (E 441)</w:t>
      </w:r>
    </w:p>
    <w:p w14:paraId="28899DC8" w14:textId="77777777" w:rsidR="00CA5F71" w:rsidRPr="004D5AB1" w:rsidRDefault="00CA5F71" w:rsidP="0015226E">
      <w:pPr>
        <w:ind w:left="851"/>
        <w:rPr>
          <w:sz w:val="24"/>
          <w:szCs w:val="24"/>
        </w:rPr>
      </w:pPr>
      <w:r w:rsidRPr="004D5AB1">
        <w:rPr>
          <w:sz w:val="24"/>
          <w:szCs w:val="24"/>
        </w:rPr>
        <w:t>Glycerol 85 % (E 422)</w:t>
      </w:r>
    </w:p>
    <w:p w14:paraId="4276DB7F" w14:textId="77777777" w:rsidR="00CA5F71" w:rsidRPr="004D5AB1" w:rsidRDefault="00CA5F71" w:rsidP="0015226E">
      <w:pPr>
        <w:ind w:left="851"/>
        <w:rPr>
          <w:sz w:val="24"/>
          <w:szCs w:val="24"/>
        </w:rPr>
      </w:pPr>
      <w:r w:rsidRPr="004D5AB1">
        <w:rPr>
          <w:sz w:val="24"/>
          <w:szCs w:val="24"/>
        </w:rPr>
        <w:t>Titandioxid (E 171)</w:t>
      </w:r>
    </w:p>
    <w:p w14:paraId="64CF68CE" w14:textId="77777777" w:rsidR="00CA5F71" w:rsidRPr="004D5AB1" w:rsidRDefault="00CA5F71" w:rsidP="0015226E">
      <w:pPr>
        <w:ind w:left="851"/>
        <w:rPr>
          <w:sz w:val="24"/>
          <w:szCs w:val="24"/>
        </w:rPr>
      </w:pPr>
      <w:r w:rsidRPr="004D5AB1">
        <w:rPr>
          <w:sz w:val="24"/>
          <w:szCs w:val="24"/>
        </w:rPr>
        <w:t>Rød jernoxid (E 172)</w:t>
      </w:r>
    </w:p>
    <w:p w14:paraId="03F4A698" w14:textId="77777777" w:rsidR="00CA5F71" w:rsidRPr="004D5AB1" w:rsidRDefault="00CA5F71" w:rsidP="0015226E">
      <w:pPr>
        <w:ind w:left="851"/>
        <w:rPr>
          <w:sz w:val="24"/>
          <w:szCs w:val="24"/>
          <w:lang w:val="en-US"/>
        </w:rPr>
      </w:pPr>
      <w:r w:rsidRPr="004D5AB1">
        <w:rPr>
          <w:sz w:val="24"/>
          <w:szCs w:val="24"/>
          <w:lang w:val="en-US"/>
        </w:rPr>
        <w:t xml:space="preserve">Gul </w:t>
      </w:r>
      <w:proofErr w:type="spellStart"/>
      <w:r w:rsidRPr="004D5AB1">
        <w:rPr>
          <w:sz w:val="24"/>
          <w:szCs w:val="24"/>
          <w:lang w:val="en-US"/>
        </w:rPr>
        <w:t>jernoxid</w:t>
      </w:r>
      <w:proofErr w:type="spellEnd"/>
      <w:r w:rsidRPr="004D5AB1">
        <w:rPr>
          <w:sz w:val="24"/>
          <w:szCs w:val="24"/>
          <w:lang w:val="en-US"/>
        </w:rPr>
        <w:t xml:space="preserve"> (E 172)</w:t>
      </w:r>
    </w:p>
    <w:p w14:paraId="5BA7BD14" w14:textId="77777777" w:rsidR="00CA5F71" w:rsidRPr="004D5AB1" w:rsidRDefault="00CA5F71" w:rsidP="0015226E">
      <w:pPr>
        <w:ind w:left="851"/>
        <w:rPr>
          <w:sz w:val="24"/>
          <w:szCs w:val="24"/>
          <w:lang w:val="en-US"/>
        </w:rPr>
      </w:pPr>
    </w:p>
    <w:p w14:paraId="4D0D9A62" w14:textId="77777777" w:rsidR="00CA5F71" w:rsidRPr="004D5AB1" w:rsidRDefault="00CA5F71" w:rsidP="0015226E">
      <w:pPr>
        <w:ind w:left="851"/>
        <w:rPr>
          <w:sz w:val="24"/>
          <w:szCs w:val="24"/>
          <w:u w:val="single"/>
          <w:lang w:val="en-US"/>
        </w:rPr>
      </w:pPr>
      <w:proofErr w:type="spellStart"/>
      <w:r w:rsidRPr="004D5AB1">
        <w:rPr>
          <w:sz w:val="24"/>
          <w:szCs w:val="24"/>
          <w:u w:val="single"/>
          <w:lang w:val="en-US"/>
        </w:rPr>
        <w:t>Trykfarve</w:t>
      </w:r>
      <w:proofErr w:type="spellEnd"/>
    </w:p>
    <w:p w14:paraId="1DE86D95" w14:textId="77777777" w:rsidR="00CA5F71" w:rsidRPr="004D5AB1" w:rsidRDefault="00CA5F71" w:rsidP="0015226E">
      <w:pPr>
        <w:ind w:left="851"/>
        <w:rPr>
          <w:sz w:val="24"/>
          <w:szCs w:val="24"/>
          <w:lang w:val="en-US"/>
        </w:rPr>
      </w:pPr>
      <w:r w:rsidRPr="004D5AB1">
        <w:rPr>
          <w:sz w:val="24"/>
          <w:szCs w:val="24"/>
          <w:lang w:val="en-US"/>
        </w:rPr>
        <w:t>Shellac (E 904)</w:t>
      </w:r>
    </w:p>
    <w:p w14:paraId="78C0A7A5" w14:textId="77777777" w:rsidR="00CA5F71" w:rsidRPr="004D5AB1" w:rsidRDefault="00CA5F71" w:rsidP="0015226E">
      <w:pPr>
        <w:ind w:left="851"/>
        <w:rPr>
          <w:sz w:val="24"/>
          <w:szCs w:val="24"/>
          <w:lang w:val="en-US"/>
        </w:rPr>
      </w:pPr>
      <w:proofErr w:type="spellStart"/>
      <w:r w:rsidRPr="004D5AB1">
        <w:rPr>
          <w:sz w:val="24"/>
          <w:szCs w:val="24"/>
          <w:lang w:val="en-US"/>
        </w:rPr>
        <w:t>Carminsyre</w:t>
      </w:r>
      <w:proofErr w:type="spellEnd"/>
      <w:r w:rsidRPr="004D5AB1">
        <w:rPr>
          <w:sz w:val="24"/>
          <w:szCs w:val="24"/>
          <w:lang w:val="en-US"/>
        </w:rPr>
        <w:t xml:space="preserve"> (E 120)</w:t>
      </w:r>
    </w:p>
    <w:p w14:paraId="11EC5FD4" w14:textId="77777777" w:rsidR="00CA5F71" w:rsidRPr="004D5AB1" w:rsidRDefault="00CA5F71" w:rsidP="0015226E">
      <w:pPr>
        <w:ind w:left="851"/>
        <w:rPr>
          <w:sz w:val="24"/>
          <w:szCs w:val="24"/>
          <w:lang w:val="en-US"/>
        </w:rPr>
      </w:pPr>
      <w:bookmarkStart w:id="2" w:name="_Hlk181951266"/>
      <w:proofErr w:type="spellStart"/>
      <w:r w:rsidRPr="004D5AB1">
        <w:rPr>
          <w:sz w:val="24"/>
          <w:szCs w:val="24"/>
          <w:lang w:val="en-US"/>
        </w:rPr>
        <w:t>Propylenglycol</w:t>
      </w:r>
      <w:proofErr w:type="spellEnd"/>
      <w:r w:rsidRPr="004D5AB1">
        <w:rPr>
          <w:sz w:val="24"/>
          <w:szCs w:val="24"/>
          <w:lang w:val="en-US"/>
        </w:rPr>
        <w:t xml:space="preserve"> (E 1520</w:t>
      </w:r>
      <w:bookmarkEnd w:id="2"/>
      <w:r w:rsidRPr="004D5AB1">
        <w:rPr>
          <w:sz w:val="24"/>
          <w:szCs w:val="24"/>
          <w:lang w:val="en-US"/>
        </w:rPr>
        <w:t>)</w:t>
      </w:r>
    </w:p>
    <w:p w14:paraId="3424F74C" w14:textId="77777777" w:rsidR="00CA5F71" w:rsidRPr="004D5AB1" w:rsidRDefault="00CA5F71" w:rsidP="0015226E">
      <w:pPr>
        <w:ind w:left="851"/>
        <w:rPr>
          <w:sz w:val="24"/>
          <w:szCs w:val="24"/>
          <w:lang w:val="en-US"/>
        </w:rPr>
      </w:pPr>
      <w:proofErr w:type="spellStart"/>
      <w:r w:rsidRPr="004D5AB1">
        <w:rPr>
          <w:sz w:val="24"/>
          <w:szCs w:val="24"/>
          <w:lang w:val="en-US"/>
        </w:rPr>
        <w:t>Simeticon</w:t>
      </w:r>
      <w:proofErr w:type="spellEnd"/>
    </w:p>
    <w:p w14:paraId="0CA9ED5C" w14:textId="77777777" w:rsidR="009260DE" w:rsidRPr="004D5AB1" w:rsidRDefault="009260DE" w:rsidP="009260DE">
      <w:pPr>
        <w:tabs>
          <w:tab w:val="left" w:pos="851"/>
        </w:tabs>
        <w:ind w:left="851"/>
        <w:rPr>
          <w:sz w:val="24"/>
          <w:szCs w:val="24"/>
          <w:lang w:val="en-US"/>
        </w:rPr>
      </w:pPr>
    </w:p>
    <w:p w14:paraId="6E03A0AF" w14:textId="77777777" w:rsidR="009260DE" w:rsidRPr="004D5AB1" w:rsidRDefault="009260DE" w:rsidP="009260DE">
      <w:pPr>
        <w:tabs>
          <w:tab w:val="left" w:pos="851"/>
        </w:tabs>
        <w:ind w:left="851" w:hanging="851"/>
        <w:rPr>
          <w:b/>
          <w:sz w:val="24"/>
          <w:szCs w:val="24"/>
        </w:rPr>
      </w:pPr>
      <w:r w:rsidRPr="004D5AB1">
        <w:rPr>
          <w:b/>
          <w:sz w:val="24"/>
          <w:szCs w:val="24"/>
        </w:rPr>
        <w:t>6.2</w:t>
      </w:r>
      <w:r w:rsidRPr="004D5AB1">
        <w:rPr>
          <w:b/>
          <w:sz w:val="24"/>
          <w:szCs w:val="24"/>
        </w:rPr>
        <w:tab/>
        <w:t>Uforligeligheder</w:t>
      </w:r>
    </w:p>
    <w:p w14:paraId="49FAF9FD" w14:textId="77777777" w:rsidR="00CA5F71" w:rsidRPr="004D5AB1" w:rsidRDefault="00CA5F71" w:rsidP="0015226E">
      <w:pPr>
        <w:ind w:left="851"/>
        <w:rPr>
          <w:sz w:val="24"/>
          <w:szCs w:val="24"/>
        </w:rPr>
      </w:pPr>
      <w:r w:rsidRPr="004D5AB1">
        <w:rPr>
          <w:sz w:val="24"/>
          <w:szCs w:val="24"/>
        </w:rPr>
        <w:t>Ikke relevant.</w:t>
      </w:r>
    </w:p>
    <w:p w14:paraId="38859CDE" w14:textId="77777777" w:rsidR="009260DE" w:rsidRPr="004D5AB1" w:rsidRDefault="009260DE" w:rsidP="009260DE">
      <w:pPr>
        <w:tabs>
          <w:tab w:val="left" w:pos="851"/>
        </w:tabs>
        <w:ind w:left="851"/>
        <w:rPr>
          <w:sz w:val="24"/>
          <w:szCs w:val="24"/>
        </w:rPr>
      </w:pPr>
    </w:p>
    <w:p w14:paraId="78DFB607" w14:textId="77777777" w:rsidR="009260DE" w:rsidRPr="004D5AB1" w:rsidRDefault="009260DE" w:rsidP="009260DE">
      <w:pPr>
        <w:tabs>
          <w:tab w:val="left" w:pos="851"/>
        </w:tabs>
        <w:ind w:left="851" w:hanging="851"/>
        <w:rPr>
          <w:b/>
          <w:sz w:val="24"/>
          <w:szCs w:val="24"/>
        </w:rPr>
      </w:pPr>
      <w:r w:rsidRPr="004D5AB1">
        <w:rPr>
          <w:b/>
          <w:sz w:val="24"/>
          <w:szCs w:val="24"/>
        </w:rPr>
        <w:t>6.3</w:t>
      </w:r>
      <w:r w:rsidRPr="004D5AB1">
        <w:rPr>
          <w:b/>
          <w:sz w:val="24"/>
          <w:szCs w:val="24"/>
        </w:rPr>
        <w:tab/>
        <w:t>Opbevaringstid</w:t>
      </w:r>
    </w:p>
    <w:p w14:paraId="58AD8E42" w14:textId="77777777" w:rsidR="00CA5F71" w:rsidRPr="004D5AB1" w:rsidRDefault="00CA5F71" w:rsidP="0015226E">
      <w:pPr>
        <w:ind w:left="851"/>
        <w:rPr>
          <w:sz w:val="24"/>
          <w:szCs w:val="24"/>
        </w:rPr>
      </w:pPr>
      <w:r w:rsidRPr="004D5AB1">
        <w:rPr>
          <w:sz w:val="24"/>
          <w:szCs w:val="24"/>
        </w:rPr>
        <w:t>3 år</w:t>
      </w:r>
    </w:p>
    <w:p w14:paraId="6134E5F1" w14:textId="77777777" w:rsidR="009260DE" w:rsidRPr="004D5AB1" w:rsidRDefault="009260DE" w:rsidP="009260DE">
      <w:pPr>
        <w:tabs>
          <w:tab w:val="left" w:pos="851"/>
        </w:tabs>
        <w:ind w:left="851"/>
        <w:rPr>
          <w:sz w:val="24"/>
          <w:szCs w:val="24"/>
        </w:rPr>
      </w:pPr>
    </w:p>
    <w:p w14:paraId="4566308F" w14:textId="77777777" w:rsidR="009260DE" w:rsidRPr="004D5AB1" w:rsidRDefault="009260DE" w:rsidP="009260DE">
      <w:pPr>
        <w:tabs>
          <w:tab w:val="left" w:pos="851"/>
        </w:tabs>
        <w:ind w:left="851" w:hanging="851"/>
        <w:rPr>
          <w:b/>
          <w:sz w:val="24"/>
          <w:szCs w:val="24"/>
        </w:rPr>
      </w:pPr>
      <w:r w:rsidRPr="004D5AB1">
        <w:rPr>
          <w:b/>
          <w:sz w:val="24"/>
          <w:szCs w:val="24"/>
        </w:rPr>
        <w:t>6.4</w:t>
      </w:r>
      <w:r w:rsidRPr="004D5AB1">
        <w:rPr>
          <w:b/>
          <w:sz w:val="24"/>
          <w:szCs w:val="24"/>
        </w:rPr>
        <w:tab/>
        <w:t>Særlige opbevaringsforhold</w:t>
      </w:r>
    </w:p>
    <w:p w14:paraId="2C4A0491" w14:textId="77777777" w:rsidR="00CA5F71" w:rsidRPr="004D5AB1" w:rsidRDefault="00CA5F71" w:rsidP="0015226E">
      <w:pPr>
        <w:ind w:left="851"/>
        <w:rPr>
          <w:sz w:val="24"/>
          <w:szCs w:val="24"/>
        </w:rPr>
      </w:pPr>
      <w:r w:rsidRPr="004D5AB1">
        <w:rPr>
          <w:sz w:val="24"/>
          <w:szCs w:val="24"/>
        </w:rPr>
        <w:t>Opbevares i den originale pakning for at beskytte mod fugt.</w:t>
      </w:r>
    </w:p>
    <w:p w14:paraId="49732D79" w14:textId="77777777" w:rsidR="009260DE" w:rsidRPr="004D5AB1" w:rsidRDefault="009260DE" w:rsidP="009260DE">
      <w:pPr>
        <w:tabs>
          <w:tab w:val="left" w:pos="851"/>
        </w:tabs>
        <w:ind w:left="851"/>
        <w:rPr>
          <w:sz w:val="24"/>
          <w:szCs w:val="24"/>
        </w:rPr>
      </w:pPr>
    </w:p>
    <w:p w14:paraId="62A44BCE" w14:textId="77777777" w:rsidR="009260DE" w:rsidRPr="004D5AB1" w:rsidRDefault="009260DE" w:rsidP="009260DE">
      <w:pPr>
        <w:tabs>
          <w:tab w:val="left" w:pos="851"/>
        </w:tabs>
        <w:ind w:left="851" w:hanging="851"/>
        <w:rPr>
          <w:b/>
          <w:sz w:val="24"/>
          <w:szCs w:val="24"/>
        </w:rPr>
      </w:pPr>
      <w:r w:rsidRPr="004D5AB1">
        <w:rPr>
          <w:b/>
          <w:sz w:val="24"/>
          <w:szCs w:val="24"/>
        </w:rPr>
        <w:t>6.5</w:t>
      </w:r>
      <w:r w:rsidRPr="004D5AB1">
        <w:rPr>
          <w:b/>
          <w:sz w:val="24"/>
          <w:szCs w:val="24"/>
        </w:rPr>
        <w:tab/>
        <w:t>Emballagetype og pakningsstørrelser</w:t>
      </w:r>
    </w:p>
    <w:p w14:paraId="29C3EA34" w14:textId="79B85244" w:rsidR="00CA5F71" w:rsidRPr="004D5AB1" w:rsidRDefault="00CA5F71" w:rsidP="0015226E">
      <w:pPr>
        <w:suppressAutoHyphens/>
        <w:ind w:left="851"/>
        <w:rPr>
          <w:sz w:val="24"/>
          <w:szCs w:val="24"/>
        </w:rPr>
      </w:pPr>
      <w:r w:rsidRPr="004D5AB1">
        <w:rPr>
          <w:sz w:val="24"/>
          <w:szCs w:val="24"/>
        </w:rPr>
        <w:t>30</w:t>
      </w:r>
      <w:r w:rsidR="0099618E">
        <w:rPr>
          <w:sz w:val="24"/>
          <w:szCs w:val="24"/>
        </w:rPr>
        <w:t>×</w:t>
      </w:r>
      <w:r w:rsidRPr="004D5AB1">
        <w:rPr>
          <w:sz w:val="24"/>
          <w:szCs w:val="24"/>
        </w:rPr>
        <w:t>1 bløde kapsler i perforerede OPA/Al/PVC/Aluminium-enkeltdosisblistere.</w:t>
      </w:r>
    </w:p>
    <w:p w14:paraId="5BFC97F8" w14:textId="343B7347" w:rsidR="00CA5F71" w:rsidRPr="004D5AB1" w:rsidRDefault="00CA5F71" w:rsidP="0015226E">
      <w:pPr>
        <w:suppressAutoHyphens/>
        <w:ind w:left="851"/>
        <w:rPr>
          <w:sz w:val="24"/>
          <w:szCs w:val="24"/>
        </w:rPr>
      </w:pPr>
      <w:r w:rsidRPr="004D5AB1">
        <w:rPr>
          <w:sz w:val="24"/>
          <w:szCs w:val="24"/>
        </w:rPr>
        <w:lastRenderedPageBreak/>
        <w:t>60</w:t>
      </w:r>
      <w:r w:rsidR="0099618E">
        <w:rPr>
          <w:sz w:val="24"/>
          <w:szCs w:val="24"/>
        </w:rPr>
        <w:t>×</w:t>
      </w:r>
      <w:r w:rsidRPr="004D5AB1">
        <w:rPr>
          <w:sz w:val="24"/>
          <w:szCs w:val="24"/>
        </w:rPr>
        <w:t>1 bløde kapsler i perforerede OPA/Al/PVC/Aluminium-enkeltdosisblistere.</w:t>
      </w:r>
    </w:p>
    <w:p w14:paraId="045EDF16" w14:textId="77777777" w:rsidR="00CA5F71" w:rsidRPr="004D5AB1" w:rsidRDefault="00CA5F71" w:rsidP="0015226E">
      <w:pPr>
        <w:suppressAutoHyphens/>
        <w:ind w:left="851"/>
        <w:rPr>
          <w:sz w:val="24"/>
          <w:szCs w:val="24"/>
        </w:rPr>
      </w:pPr>
    </w:p>
    <w:p w14:paraId="46A1083D" w14:textId="77777777" w:rsidR="00CA5F71" w:rsidRPr="004D5AB1" w:rsidRDefault="00CA5F71" w:rsidP="0015226E">
      <w:pPr>
        <w:suppressAutoHyphens/>
        <w:ind w:left="851"/>
        <w:rPr>
          <w:sz w:val="24"/>
          <w:szCs w:val="24"/>
        </w:rPr>
      </w:pPr>
      <w:r w:rsidRPr="004D5AB1">
        <w:rPr>
          <w:sz w:val="24"/>
          <w:szCs w:val="24"/>
        </w:rPr>
        <w:t xml:space="preserve">Ikke alle pakningsstørrelser er nødvendigvis markedsført. </w:t>
      </w:r>
    </w:p>
    <w:p w14:paraId="2AA81A2B" w14:textId="77777777" w:rsidR="009260DE" w:rsidRPr="004D5AB1" w:rsidRDefault="009260DE" w:rsidP="009260DE">
      <w:pPr>
        <w:tabs>
          <w:tab w:val="left" w:pos="851"/>
        </w:tabs>
        <w:ind w:left="851"/>
        <w:rPr>
          <w:sz w:val="24"/>
          <w:szCs w:val="24"/>
        </w:rPr>
      </w:pPr>
    </w:p>
    <w:p w14:paraId="0E00AB42" w14:textId="77777777" w:rsidR="009260DE" w:rsidRPr="004D5AB1" w:rsidRDefault="009260DE" w:rsidP="009260DE">
      <w:pPr>
        <w:tabs>
          <w:tab w:val="left" w:pos="851"/>
        </w:tabs>
        <w:ind w:left="851" w:hanging="851"/>
        <w:rPr>
          <w:b/>
          <w:sz w:val="24"/>
          <w:szCs w:val="24"/>
        </w:rPr>
      </w:pPr>
      <w:r w:rsidRPr="004D5AB1">
        <w:rPr>
          <w:b/>
          <w:sz w:val="24"/>
          <w:szCs w:val="24"/>
        </w:rPr>
        <w:t>6.6</w:t>
      </w:r>
      <w:r w:rsidRPr="004D5AB1">
        <w:rPr>
          <w:b/>
          <w:sz w:val="24"/>
          <w:szCs w:val="24"/>
        </w:rPr>
        <w:tab/>
        <w:t xml:space="preserve">Regler for </w:t>
      </w:r>
      <w:r w:rsidR="00BD7931" w:rsidRPr="004D5AB1">
        <w:rPr>
          <w:b/>
          <w:sz w:val="24"/>
          <w:szCs w:val="24"/>
        </w:rPr>
        <w:t>bortskaffelse</w:t>
      </w:r>
      <w:r w:rsidRPr="004D5AB1">
        <w:rPr>
          <w:b/>
          <w:sz w:val="24"/>
          <w:szCs w:val="24"/>
        </w:rPr>
        <w:t xml:space="preserve"> og anden håndtering</w:t>
      </w:r>
    </w:p>
    <w:p w14:paraId="0DDF2C00" w14:textId="77777777" w:rsidR="00CA5F71" w:rsidRPr="004D5AB1" w:rsidRDefault="00CA5F71" w:rsidP="0015226E">
      <w:pPr>
        <w:ind w:left="851"/>
        <w:rPr>
          <w:sz w:val="24"/>
          <w:szCs w:val="24"/>
        </w:rPr>
      </w:pPr>
      <w:r w:rsidRPr="004D5AB1">
        <w:rPr>
          <w:sz w:val="24"/>
          <w:szCs w:val="24"/>
        </w:rPr>
        <w:t>I tilfælde af kontakt med kapselindholdet, skal hænderne straks vaskes med rigelige mængder vand (se pkt. 4.2).</w:t>
      </w:r>
    </w:p>
    <w:p w14:paraId="45A7A270" w14:textId="77777777" w:rsidR="00CA5F71" w:rsidRPr="004D5AB1" w:rsidRDefault="00CA5F71" w:rsidP="0015226E">
      <w:pPr>
        <w:ind w:left="851"/>
        <w:rPr>
          <w:sz w:val="24"/>
          <w:szCs w:val="24"/>
        </w:rPr>
      </w:pPr>
    </w:p>
    <w:p w14:paraId="4B0F837F" w14:textId="77777777" w:rsidR="00CA5F71" w:rsidRPr="004D5AB1" w:rsidRDefault="00CA5F71" w:rsidP="0015226E">
      <w:pPr>
        <w:ind w:left="851"/>
        <w:rPr>
          <w:sz w:val="24"/>
          <w:szCs w:val="24"/>
        </w:rPr>
      </w:pPr>
      <w:r w:rsidRPr="004D5AB1">
        <w:rPr>
          <w:sz w:val="24"/>
          <w:szCs w:val="24"/>
        </w:rPr>
        <w:t>Ikke anvendt lægemiddel samt affald heraf skal bortskaffes i henhold til lokale retningslinjer.</w:t>
      </w:r>
    </w:p>
    <w:p w14:paraId="5C7CE917" w14:textId="77777777" w:rsidR="009260DE" w:rsidRPr="004D5AB1" w:rsidRDefault="009260DE" w:rsidP="000730CA">
      <w:pPr>
        <w:tabs>
          <w:tab w:val="left" w:pos="851"/>
        </w:tabs>
        <w:ind w:left="851"/>
        <w:rPr>
          <w:sz w:val="24"/>
          <w:szCs w:val="24"/>
        </w:rPr>
      </w:pPr>
    </w:p>
    <w:p w14:paraId="3F06FDA2" w14:textId="77777777" w:rsidR="009260DE" w:rsidRPr="004D5AB1" w:rsidRDefault="009260DE" w:rsidP="009260DE">
      <w:pPr>
        <w:tabs>
          <w:tab w:val="left" w:pos="851"/>
        </w:tabs>
        <w:ind w:left="851" w:hanging="851"/>
        <w:rPr>
          <w:b/>
          <w:sz w:val="24"/>
          <w:szCs w:val="24"/>
        </w:rPr>
      </w:pPr>
      <w:r w:rsidRPr="004D5AB1">
        <w:rPr>
          <w:b/>
          <w:sz w:val="24"/>
          <w:szCs w:val="24"/>
        </w:rPr>
        <w:t>7.</w:t>
      </w:r>
      <w:r w:rsidRPr="004D5AB1">
        <w:rPr>
          <w:b/>
          <w:sz w:val="24"/>
          <w:szCs w:val="24"/>
        </w:rPr>
        <w:tab/>
        <w:t>INDEHAVER AF MARKEDSFØRINGSTILLADELSEN</w:t>
      </w:r>
    </w:p>
    <w:p w14:paraId="0E9F38EE" w14:textId="77777777" w:rsidR="00CA5F71" w:rsidRPr="004D5AB1" w:rsidRDefault="00CA5F71" w:rsidP="0015226E">
      <w:pPr>
        <w:ind w:left="851"/>
        <w:rPr>
          <w:sz w:val="24"/>
          <w:szCs w:val="24"/>
        </w:rPr>
      </w:pPr>
      <w:r w:rsidRPr="004D5AB1">
        <w:rPr>
          <w:sz w:val="24"/>
          <w:szCs w:val="24"/>
        </w:rPr>
        <w:t>Sandoz A/S</w:t>
      </w:r>
    </w:p>
    <w:p w14:paraId="0D57B4E4" w14:textId="77777777" w:rsidR="00CA5F71" w:rsidRPr="004D5AB1" w:rsidRDefault="00CA5F71" w:rsidP="0015226E">
      <w:pPr>
        <w:ind w:left="851"/>
        <w:rPr>
          <w:sz w:val="24"/>
          <w:szCs w:val="24"/>
        </w:rPr>
      </w:pPr>
      <w:r w:rsidRPr="004D5AB1">
        <w:rPr>
          <w:sz w:val="24"/>
          <w:szCs w:val="24"/>
        </w:rPr>
        <w:t>Edvard Thomsens Vej 14</w:t>
      </w:r>
    </w:p>
    <w:p w14:paraId="78C34BAB" w14:textId="77777777" w:rsidR="00CA5F71" w:rsidRPr="004D5AB1" w:rsidRDefault="00CA5F71" w:rsidP="0015226E">
      <w:pPr>
        <w:ind w:left="851"/>
        <w:rPr>
          <w:sz w:val="24"/>
          <w:szCs w:val="24"/>
        </w:rPr>
      </w:pPr>
      <w:r w:rsidRPr="004D5AB1">
        <w:rPr>
          <w:sz w:val="24"/>
          <w:szCs w:val="24"/>
        </w:rPr>
        <w:t>2300 København S</w:t>
      </w:r>
    </w:p>
    <w:p w14:paraId="64355AC3" w14:textId="77777777" w:rsidR="00641C65" w:rsidRPr="004D5AB1" w:rsidRDefault="00641C65" w:rsidP="009260DE">
      <w:pPr>
        <w:tabs>
          <w:tab w:val="left" w:pos="851"/>
        </w:tabs>
        <w:ind w:left="851"/>
        <w:rPr>
          <w:sz w:val="24"/>
          <w:szCs w:val="24"/>
        </w:rPr>
      </w:pPr>
    </w:p>
    <w:p w14:paraId="6DE7CFC4" w14:textId="77777777" w:rsidR="009260DE" w:rsidRPr="004D5AB1" w:rsidRDefault="009260DE" w:rsidP="009260DE">
      <w:pPr>
        <w:tabs>
          <w:tab w:val="left" w:pos="851"/>
        </w:tabs>
        <w:ind w:left="851" w:hanging="851"/>
        <w:rPr>
          <w:b/>
          <w:sz w:val="24"/>
          <w:szCs w:val="24"/>
        </w:rPr>
      </w:pPr>
      <w:r w:rsidRPr="004D5AB1">
        <w:rPr>
          <w:b/>
          <w:sz w:val="24"/>
          <w:szCs w:val="24"/>
        </w:rPr>
        <w:t>8.</w:t>
      </w:r>
      <w:r w:rsidRPr="004D5AB1">
        <w:rPr>
          <w:b/>
          <w:sz w:val="24"/>
          <w:szCs w:val="24"/>
        </w:rPr>
        <w:tab/>
        <w:t>MARKEDSFØRINGSTILLADELSESNUMMER (</w:t>
      </w:r>
      <w:r w:rsidR="00BF6243" w:rsidRPr="004D5AB1">
        <w:rPr>
          <w:b/>
          <w:sz w:val="24"/>
          <w:szCs w:val="24"/>
        </w:rPr>
        <w:t>-</w:t>
      </w:r>
      <w:r w:rsidRPr="004D5AB1">
        <w:rPr>
          <w:b/>
          <w:sz w:val="24"/>
          <w:szCs w:val="24"/>
        </w:rPr>
        <w:t>NUMRE)</w:t>
      </w:r>
    </w:p>
    <w:p w14:paraId="711A85BD" w14:textId="52466EAE" w:rsidR="009260DE" w:rsidRPr="004D5AB1" w:rsidRDefault="00CA5F71" w:rsidP="009260DE">
      <w:pPr>
        <w:tabs>
          <w:tab w:val="left" w:pos="851"/>
        </w:tabs>
        <w:ind w:left="851"/>
        <w:rPr>
          <w:sz w:val="24"/>
          <w:szCs w:val="24"/>
        </w:rPr>
      </w:pPr>
      <w:r w:rsidRPr="004D5AB1">
        <w:rPr>
          <w:sz w:val="24"/>
          <w:szCs w:val="24"/>
        </w:rPr>
        <w:t>100 mg:</w:t>
      </w:r>
      <w:r w:rsidR="004D5AB1" w:rsidRPr="004D5AB1">
        <w:rPr>
          <w:sz w:val="24"/>
          <w:szCs w:val="24"/>
        </w:rPr>
        <w:t xml:space="preserve"> 68843</w:t>
      </w:r>
    </w:p>
    <w:p w14:paraId="64788F51" w14:textId="32CAD338" w:rsidR="00CA5F71" w:rsidRPr="004D5AB1" w:rsidRDefault="00CA5F71" w:rsidP="009260DE">
      <w:pPr>
        <w:tabs>
          <w:tab w:val="left" w:pos="851"/>
        </w:tabs>
        <w:ind w:left="851"/>
        <w:rPr>
          <w:sz w:val="24"/>
          <w:szCs w:val="24"/>
        </w:rPr>
      </w:pPr>
      <w:r w:rsidRPr="004D5AB1">
        <w:rPr>
          <w:sz w:val="24"/>
          <w:szCs w:val="24"/>
        </w:rPr>
        <w:t>150 mg:</w:t>
      </w:r>
      <w:r w:rsidR="004D5AB1" w:rsidRPr="004D5AB1">
        <w:rPr>
          <w:sz w:val="24"/>
          <w:szCs w:val="24"/>
        </w:rPr>
        <w:t xml:space="preserve"> 68844</w:t>
      </w:r>
    </w:p>
    <w:p w14:paraId="2189A776" w14:textId="77777777" w:rsidR="009260DE" w:rsidRPr="004D5AB1" w:rsidRDefault="009260DE" w:rsidP="009260DE">
      <w:pPr>
        <w:tabs>
          <w:tab w:val="left" w:pos="851"/>
        </w:tabs>
        <w:ind w:left="851"/>
        <w:jc w:val="both"/>
        <w:rPr>
          <w:sz w:val="24"/>
          <w:szCs w:val="24"/>
        </w:rPr>
      </w:pPr>
    </w:p>
    <w:p w14:paraId="38EA20D3" w14:textId="77777777" w:rsidR="009260DE" w:rsidRPr="004D5AB1" w:rsidRDefault="009260DE" w:rsidP="009260DE">
      <w:pPr>
        <w:tabs>
          <w:tab w:val="left" w:pos="851"/>
        </w:tabs>
        <w:ind w:left="851" w:hanging="851"/>
        <w:rPr>
          <w:b/>
          <w:sz w:val="24"/>
          <w:szCs w:val="24"/>
        </w:rPr>
      </w:pPr>
      <w:r w:rsidRPr="004D5AB1">
        <w:rPr>
          <w:b/>
          <w:sz w:val="24"/>
          <w:szCs w:val="24"/>
        </w:rPr>
        <w:t>9.</w:t>
      </w:r>
      <w:r w:rsidRPr="004D5AB1">
        <w:rPr>
          <w:b/>
          <w:sz w:val="24"/>
          <w:szCs w:val="24"/>
        </w:rPr>
        <w:tab/>
        <w:t>DATO FOR FØRSTE MARKEDSFØRINGSTILLADELSE</w:t>
      </w:r>
    </w:p>
    <w:p w14:paraId="08FA1905" w14:textId="7D013339" w:rsidR="009260DE" w:rsidRPr="004D5AB1" w:rsidRDefault="00CA5F71" w:rsidP="009260DE">
      <w:pPr>
        <w:tabs>
          <w:tab w:val="left" w:pos="851"/>
        </w:tabs>
        <w:ind w:left="851"/>
        <w:rPr>
          <w:sz w:val="24"/>
          <w:szCs w:val="24"/>
        </w:rPr>
      </w:pPr>
      <w:r w:rsidRPr="004D5AB1">
        <w:rPr>
          <w:sz w:val="24"/>
          <w:szCs w:val="24"/>
        </w:rPr>
        <w:t>8. november 2024</w:t>
      </w:r>
    </w:p>
    <w:p w14:paraId="7D9E8A89" w14:textId="77777777" w:rsidR="009260DE" w:rsidRPr="004D5AB1" w:rsidRDefault="009260DE" w:rsidP="009260DE">
      <w:pPr>
        <w:tabs>
          <w:tab w:val="left" w:pos="851"/>
        </w:tabs>
        <w:ind w:left="851"/>
        <w:rPr>
          <w:sz w:val="24"/>
          <w:szCs w:val="24"/>
        </w:rPr>
      </w:pPr>
    </w:p>
    <w:p w14:paraId="4635B30A" w14:textId="77777777" w:rsidR="009260DE" w:rsidRPr="004D5AB1" w:rsidRDefault="009260DE" w:rsidP="009260DE">
      <w:pPr>
        <w:tabs>
          <w:tab w:val="left" w:pos="851"/>
        </w:tabs>
        <w:ind w:left="851" w:hanging="851"/>
        <w:rPr>
          <w:b/>
          <w:sz w:val="24"/>
          <w:szCs w:val="24"/>
        </w:rPr>
      </w:pPr>
      <w:r w:rsidRPr="004D5AB1">
        <w:rPr>
          <w:b/>
          <w:sz w:val="24"/>
          <w:szCs w:val="24"/>
        </w:rPr>
        <w:t>10.</w:t>
      </w:r>
      <w:r w:rsidRPr="004D5AB1">
        <w:rPr>
          <w:b/>
          <w:sz w:val="24"/>
          <w:szCs w:val="24"/>
        </w:rPr>
        <w:tab/>
        <w:t>DATO FOR ÆNDRING AF TEKSTEN</w:t>
      </w:r>
    </w:p>
    <w:p w14:paraId="1522577C" w14:textId="2A5D159F" w:rsidR="009260DE" w:rsidRPr="004D5AB1" w:rsidRDefault="00CA5F71" w:rsidP="009260DE">
      <w:pPr>
        <w:tabs>
          <w:tab w:val="left" w:pos="851"/>
        </w:tabs>
        <w:ind w:left="851"/>
        <w:rPr>
          <w:sz w:val="24"/>
          <w:szCs w:val="24"/>
        </w:rPr>
      </w:pPr>
      <w:r w:rsidRPr="004D5AB1">
        <w:rPr>
          <w:sz w:val="24"/>
          <w:szCs w:val="24"/>
        </w:rPr>
        <w:t>-</w:t>
      </w:r>
    </w:p>
    <w:sectPr w:rsidR="009260DE" w:rsidRPr="004D5AB1"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B111" w14:textId="77777777" w:rsidR="00CA5F71" w:rsidRDefault="00CA5F71">
      <w:r>
        <w:separator/>
      </w:r>
    </w:p>
  </w:endnote>
  <w:endnote w:type="continuationSeparator" w:id="0">
    <w:p w14:paraId="3F240D99" w14:textId="77777777" w:rsidR="00CA5F71" w:rsidRDefault="00CA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DD3E" w14:textId="77777777" w:rsidR="00CA5F71" w:rsidRDefault="00CA5F71">
    <w:pPr>
      <w:pStyle w:val="Sidefod"/>
      <w:pBdr>
        <w:bottom w:val="single" w:sz="6" w:space="1" w:color="auto"/>
      </w:pBdr>
    </w:pPr>
  </w:p>
  <w:p w14:paraId="797D4F17" w14:textId="77777777" w:rsidR="00CA5F71" w:rsidRDefault="00CA5F71" w:rsidP="00C42586">
    <w:pPr>
      <w:pStyle w:val="Sidefod"/>
      <w:tabs>
        <w:tab w:val="clear" w:pos="4819"/>
        <w:tab w:val="left" w:pos="8505"/>
      </w:tabs>
      <w:rPr>
        <w:i/>
        <w:sz w:val="18"/>
        <w:szCs w:val="18"/>
      </w:rPr>
    </w:pPr>
  </w:p>
  <w:p w14:paraId="57500EB4" w14:textId="767B9B4D" w:rsidR="00CA5F71" w:rsidRPr="00B373D7" w:rsidRDefault="00CA5F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76A6A">
      <w:rPr>
        <w:i/>
        <w:noProof/>
        <w:sz w:val="18"/>
        <w:szCs w:val="18"/>
      </w:rPr>
      <w:t>Nintedanib Sandoz, bløde kapsler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5FEE2" w14:textId="77777777" w:rsidR="00CA5F71" w:rsidRDefault="00CA5F71">
      <w:r>
        <w:separator/>
      </w:r>
    </w:p>
  </w:footnote>
  <w:footnote w:type="continuationSeparator" w:id="0">
    <w:p w14:paraId="437544EA" w14:textId="77777777" w:rsidR="00CA5F71" w:rsidRDefault="00CA5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97B"/>
    <w:multiLevelType w:val="hybridMultilevel"/>
    <w:tmpl w:val="68700C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CEA0C06"/>
    <w:multiLevelType w:val="hybridMultilevel"/>
    <w:tmpl w:val="0B0ADE2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6533B0"/>
    <w:multiLevelType w:val="hybridMultilevel"/>
    <w:tmpl w:val="4C26BB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B2"/>
    <w:rsid w:val="000259B9"/>
    <w:rsid w:val="00041491"/>
    <w:rsid w:val="00050D16"/>
    <w:rsid w:val="000730CA"/>
    <w:rsid w:val="00074F2A"/>
    <w:rsid w:val="000A1CA8"/>
    <w:rsid w:val="000A466B"/>
    <w:rsid w:val="000B058C"/>
    <w:rsid w:val="000D68B0"/>
    <w:rsid w:val="000E4EE6"/>
    <w:rsid w:val="001454E2"/>
    <w:rsid w:val="0015226E"/>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D5AB1"/>
    <w:rsid w:val="004E3B12"/>
    <w:rsid w:val="0051213C"/>
    <w:rsid w:val="00532310"/>
    <w:rsid w:val="00565F0F"/>
    <w:rsid w:val="00594A86"/>
    <w:rsid w:val="00596D86"/>
    <w:rsid w:val="005F0117"/>
    <w:rsid w:val="00637F5A"/>
    <w:rsid w:val="00641C65"/>
    <w:rsid w:val="006560B1"/>
    <w:rsid w:val="006756DD"/>
    <w:rsid w:val="00676A6A"/>
    <w:rsid w:val="0071241E"/>
    <w:rsid w:val="00737275"/>
    <w:rsid w:val="00740EEC"/>
    <w:rsid w:val="0078011A"/>
    <w:rsid w:val="00782AF4"/>
    <w:rsid w:val="00790EE7"/>
    <w:rsid w:val="007B6649"/>
    <w:rsid w:val="0082576E"/>
    <w:rsid w:val="0089346F"/>
    <w:rsid w:val="00907F75"/>
    <w:rsid w:val="009260DE"/>
    <w:rsid w:val="0093258A"/>
    <w:rsid w:val="0099618E"/>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A5F71"/>
    <w:rsid w:val="00CB20D7"/>
    <w:rsid w:val="00D020B0"/>
    <w:rsid w:val="00D11748"/>
    <w:rsid w:val="00D237F6"/>
    <w:rsid w:val="00D34D98"/>
    <w:rsid w:val="00D366CF"/>
    <w:rsid w:val="00D93992"/>
    <w:rsid w:val="00E108AA"/>
    <w:rsid w:val="00E3749A"/>
    <w:rsid w:val="00E419B2"/>
    <w:rsid w:val="00E7437F"/>
    <w:rsid w:val="00E865B8"/>
    <w:rsid w:val="00EB463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78A62"/>
  <w15:chartTrackingRefBased/>
  <w15:docId w15:val="{1A8DD67D-6170-4337-91FC-62B0D960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A5F71"/>
    <w:pPr>
      <w:ind w:left="720"/>
      <w:contextualSpacing/>
    </w:pPr>
    <w:rPr>
      <w:sz w:val="22"/>
    </w:rPr>
  </w:style>
  <w:style w:type="table" w:styleId="Tabel-Gitter">
    <w:name w:val="Table Grid"/>
    <w:basedOn w:val="Tabel-Normal"/>
    <w:rsid w:val="00CA5F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137">
      <w:bodyDiv w:val="1"/>
      <w:marLeft w:val="0"/>
      <w:marRight w:val="0"/>
      <w:marTop w:val="0"/>
      <w:marBottom w:val="0"/>
      <w:divBdr>
        <w:top w:val="none" w:sz="0" w:space="0" w:color="auto"/>
        <w:left w:val="none" w:sz="0" w:space="0" w:color="auto"/>
        <w:bottom w:val="none" w:sz="0" w:space="0" w:color="auto"/>
        <w:right w:val="none" w:sz="0" w:space="0" w:color="auto"/>
      </w:divBdr>
    </w:div>
    <w:div w:id="132215309">
      <w:bodyDiv w:val="1"/>
      <w:marLeft w:val="0"/>
      <w:marRight w:val="0"/>
      <w:marTop w:val="0"/>
      <w:marBottom w:val="0"/>
      <w:divBdr>
        <w:top w:val="none" w:sz="0" w:space="0" w:color="auto"/>
        <w:left w:val="none" w:sz="0" w:space="0" w:color="auto"/>
        <w:bottom w:val="none" w:sz="0" w:space="0" w:color="auto"/>
        <w:right w:val="none" w:sz="0" w:space="0" w:color="auto"/>
      </w:divBdr>
    </w:div>
    <w:div w:id="1606614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6778745">
      <w:bodyDiv w:val="1"/>
      <w:marLeft w:val="0"/>
      <w:marRight w:val="0"/>
      <w:marTop w:val="0"/>
      <w:marBottom w:val="0"/>
      <w:divBdr>
        <w:top w:val="none" w:sz="0" w:space="0" w:color="auto"/>
        <w:left w:val="none" w:sz="0" w:space="0" w:color="auto"/>
        <w:bottom w:val="none" w:sz="0" w:space="0" w:color="auto"/>
        <w:right w:val="none" w:sz="0" w:space="0" w:color="auto"/>
      </w:divBdr>
    </w:div>
    <w:div w:id="524641166">
      <w:bodyDiv w:val="1"/>
      <w:marLeft w:val="0"/>
      <w:marRight w:val="0"/>
      <w:marTop w:val="0"/>
      <w:marBottom w:val="0"/>
      <w:divBdr>
        <w:top w:val="none" w:sz="0" w:space="0" w:color="auto"/>
        <w:left w:val="none" w:sz="0" w:space="0" w:color="auto"/>
        <w:bottom w:val="none" w:sz="0" w:space="0" w:color="auto"/>
        <w:right w:val="none" w:sz="0" w:space="0" w:color="auto"/>
      </w:divBdr>
    </w:div>
    <w:div w:id="642539484">
      <w:bodyDiv w:val="1"/>
      <w:marLeft w:val="0"/>
      <w:marRight w:val="0"/>
      <w:marTop w:val="0"/>
      <w:marBottom w:val="0"/>
      <w:divBdr>
        <w:top w:val="none" w:sz="0" w:space="0" w:color="auto"/>
        <w:left w:val="none" w:sz="0" w:space="0" w:color="auto"/>
        <w:bottom w:val="none" w:sz="0" w:space="0" w:color="auto"/>
        <w:right w:val="none" w:sz="0" w:space="0" w:color="auto"/>
      </w:divBdr>
    </w:div>
    <w:div w:id="903226042">
      <w:bodyDiv w:val="1"/>
      <w:marLeft w:val="0"/>
      <w:marRight w:val="0"/>
      <w:marTop w:val="0"/>
      <w:marBottom w:val="0"/>
      <w:divBdr>
        <w:top w:val="none" w:sz="0" w:space="0" w:color="auto"/>
        <w:left w:val="none" w:sz="0" w:space="0" w:color="auto"/>
        <w:bottom w:val="none" w:sz="0" w:space="0" w:color="auto"/>
        <w:right w:val="none" w:sz="0" w:space="0" w:color="auto"/>
      </w:divBdr>
    </w:div>
    <w:div w:id="954826440">
      <w:bodyDiv w:val="1"/>
      <w:marLeft w:val="0"/>
      <w:marRight w:val="0"/>
      <w:marTop w:val="0"/>
      <w:marBottom w:val="0"/>
      <w:divBdr>
        <w:top w:val="none" w:sz="0" w:space="0" w:color="auto"/>
        <w:left w:val="none" w:sz="0" w:space="0" w:color="auto"/>
        <w:bottom w:val="none" w:sz="0" w:space="0" w:color="auto"/>
        <w:right w:val="none" w:sz="0" w:space="0" w:color="auto"/>
      </w:divBdr>
    </w:div>
    <w:div w:id="1006132281">
      <w:bodyDiv w:val="1"/>
      <w:marLeft w:val="0"/>
      <w:marRight w:val="0"/>
      <w:marTop w:val="0"/>
      <w:marBottom w:val="0"/>
      <w:divBdr>
        <w:top w:val="none" w:sz="0" w:space="0" w:color="auto"/>
        <w:left w:val="none" w:sz="0" w:space="0" w:color="auto"/>
        <w:bottom w:val="none" w:sz="0" w:space="0" w:color="auto"/>
        <w:right w:val="none" w:sz="0" w:space="0" w:color="auto"/>
      </w:divBdr>
    </w:div>
    <w:div w:id="1105223244">
      <w:bodyDiv w:val="1"/>
      <w:marLeft w:val="0"/>
      <w:marRight w:val="0"/>
      <w:marTop w:val="0"/>
      <w:marBottom w:val="0"/>
      <w:divBdr>
        <w:top w:val="none" w:sz="0" w:space="0" w:color="auto"/>
        <w:left w:val="none" w:sz="0" w:space="0" w:color="auto"/>
        <w:bottom w:val="none" w:sz="0" w:space="0" w:color="auto"/>
        <w:right w:val="none" w:sz="0" w:space="0" w:color="auto"/>
      </w:divBdr>
    </w:div>
    <w:div w:id="1198814176">
      <w:bodyDiv w:val="1"/>
      <w:marLeft w:val="0"/>
      <w:marRight w:val="0"/>
      <w:marTop w:val="0"/>
      <w:marBottom w:val="0"/>
      <w:divBdr>
        <w:top w:val="none" w:sz="0" w:space="0" w:color="auto"/>
        <w:left w:val="none" w:sz="0" w:space="0" w:color="auto"/>
        <w:bottom w:val="none" w:sz="0" w:space="0" w:color="auto"/>
        <w:right w:val="none" w:sz="0" w:space="0" w:color="auto"/>
      </w:divBdr>
    </w:div>
    <w:div w:id="1247884039">
      <w:bodyDiv w:val="1"/>
      <w:marLeft w:val="0"/>
      <w:marRight w:val="0"/>
      <w:marTop w:val="0"/>
      <w:marBottom w:val="0"/>
      <w:divBdr>
        <w:top w:val="none" w:sz="0" w:space="0" w:color="auto"/>
        <w:left w:val="none" w:sz="0" w:space="0" w:color="auto"/>
        <w:bottom w:val="none" w:sz="0" w:space="0" w:color="auto"/>
        <w:right w:val="none" w:sz="0" w:space="0" w:color="auto"/>
      </w:divBdr>
    </w:div>
    <w:div w:id="1349794090">
      <w:bodyDiv w:val="1"/>
      <w:marLeft w:val="0"/>
      <w:marRight w:val="0"/>
      <w:marTop w:val="0"/>
      <w:marBottom w:val="0"/>
      <w:divBdr>
        <w:top w:val="none" w:sz="0" w:space="0" w:color="auto"/>
        <w:left w:val="none" w:sz="0" w:space="0" w:color="auto"/>
        <w:bottom w:val="none" w:sz="0" w:space="0" w:color="auto"/>
        <w:right w:val="none" w:sz="0" w:space="0" w:color="auto"/>
      </w:divBdr>
    </w:div>
    <w:div w:id="1382048553">
      <w:bodyDiv w:val="1"/>
      <w:marLeft w:val="0"/>
      <w:marRight w:val="0"/>
      <w:marTop w:val="0"/>
      <w:marBottom w:val="0"/>
      <w:divBdr>
        <w:top w:val="none" w:sz="0" w:space="0" w:color="auto"/>
        <w:left w:val="none" w:sz="0" w:space="0" w:color="auto"/>
        <w:bottom w:val="none" w:sz="0" w:space="0" w:color="auto"/>
        <w:right w:val="none" w:sz="0" w:space="0" w:color="auto"/>
      </w:divBdr>
    </w:div>
    <w:div w:id="1469323530">
      <w:bodyDiv w:val="1"/>
      <w:marLeft w:val="0"/>
      <w:marRight w:val="0"/>
      <w:marTop w:val="0"/>
      <w:marBottom w:val="0"/>
      <w:divBdr>
        <w:top w:val="none" w:sz="0" w:space="0" w:color="auto"/>
        <w:left w:val="none" w:sz="0" w:space="0" w:color="auto"/>
        <w:bottom w:val="none" w:sz="0" w:space="0" w:color="auto"/>
        <w:right w:val="none" w:sz="0" w:space="0" w:color="auto"/>
      </w:divBdr>
    </w:div>
    <w:div w:id="1497263277">
      <w:bodyDiv w:val="1"/>
      <w:marLeft w:val="0"/>
      <w:marRight w:val="0"/>
      <w:marTop w:val="0"/>
      <w:marBottom w:val="0"/>
      <w:divBdr>
        <w:top w:val="none" w:sz="0" w:space="0" w:color="auto"/>
        <w:left w:val="none" w:sz="0" w:space="0" w:color="auto"/>
        <w:bottom w:val="none" w:sz="0" w:space="0" w:color="auto"/>
        <w:right w:val="none" w:sz="0" w:space="0" w:color="auto"/>
      </w:divBdr>
    </w:div>
    <w:div w:id="1529178765">
      <w:bodyDiv w:val="1"/>
      <w:marLeft w:val="0"/>
      <w:marRight w:val="0"/>
      <w:marTop w:val="0"/>
      <w:marBottom w:val="0"/>
      <w:divBdr>
        <w:top w:val="none" w:sz="0" w:space="0" w:color="auto"/>
        <w:left w:val="none" w:sz="0" w:space="0" w:color="auto"/>
        <w:bottom w:val="none" w:sz="0" w:space="0" w:color="auto"/>
        <w:right w:val="none" w:sz="0" w:space="0" w:color="auto"/>
      </w:divBdr>
    </w:div>
    <w:div w:id="1541473257">
      <w:bodyDiv w:val="1"/>
      <w:marLeft w:val="0"/>
      <w:marRight w:val="0"/>
      <w:marTop w:val="0"/>
      <w:marBottom w:val="0"/>
      <w:divBdr>
        <w:top w:val="none" w:sz="0" w:space="0" w:color="auto"/>
        <w:left w:val="none" w:sz="0" w:space="0" w:color="auto"/>
        <w:bottom w:val="none" w:sz="0" w:space="0" w:color="auto"/>
        <w:right w:val="none" w:sz="0" w:space="0" w:color="auto"/>
      </w:divBdr>
    </w:div>
    <w:div w:id="1722821446">
      <w:bodyDiv w:val="1"/>
      <w:marLeft w:val="0"/>
      <w:marRight w:val="0"/>
      <w:marTop w:val="0"/>
      <w:marBottom w:val="0"/>
      <w:divBdr>
        <w:top w:val="none" w:sz="0" w:space="0" w:color="auto"/>
        <w:left w:val="none" w:sz="0" w:space="0" w:color="auto"/>
        <w:bottom w:val="none" w:sz="0" w:space="0" w:color="auto"/>
        <w:right w:val="none" w:sz="0" w:space="0" w:color="auto"/>
      </w:divBdr>
    </w:div>
    <w:div w:id="1803184933">
      <w:bodyDiv w:val="1"/>
      <w:marLeft w:val="0"/>
      <w:marRight w:val="0"/>
      <w:marTop w:val="0"/>
      <w:marBottom w:val="0"/>
      <w:divBdr>
        <w:top w:val="none" w:sz="0" w:space="0" w:color="auto"/>
        <w:left w:val="none" w:sz="0" w:space="0" w:color="auto"/>
        <w:bottom w:val="none" w:sz="0" w:space="0" w:color="auto"/>
        <w:right w:val="none" w:sz="0" w:space="0" w:color="auto"/>
      </w:divBdr>
    </w:div>
    <w:div w:id="1834879634">
      <w:bodyDiv w:val="1"/>
      <w:marLeft w:val="0"/>
      <w:marRight w:val="0"/>
      <w:marTop w:val="0"/>
      <w:marBottom w:val="0"/>
      <w:divBdr>
        <w:top w:val="none" w:sz="0" w:space="0" w:color="auto"/>
        <w:left w:val="none" w:sz="0" w:space="0" w:color="auto"/>
        <w:bottom w:val="none" w:sz="0" w:space="0" w:color="auto"/>
        <w:right w:val="none" w:sz="0" w:space="0" w:color="auto"/>
      </w:divBdr>
    </w:div>
    <w:div w:id="20807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50</TotalTime>
  <Pages>32</Pages>
  <Words>10972</Words>
  <Characters>67564</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2022121490, MT</dc:description>
  <cp:lastModifiedBy>Gitte Jørgensen</cp:lastModifiedBy>
  <cp:revision>7</cp:revision>
  <cp:lastPrinted>2012-08-22T08:53:00Z</cp:lastPrinted>
  <dcterms:created xsi:type="dcterms:W3CDTF">2024-11-08T09:28:00Z</dcterms:created>
  <dcterms:modified xsi:type="dcterms:W3CDTF">2024-11-08T10:54:00Z</dcterms:modified>
</cp:coreProperties>
</file>