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86FF" w14:textId="77777777" w:rsidR="004A3BF4" w:rsidRPr="00F85BD8" w:rsidRDefault="00056601" w:rsidP="004A3BF4">
      <w:pPr>
        <w:rPr>
          <w:sz w:val="24"/>
          <w:szCs w:val="24"/>
          <w:lang w:val="en-GB"/>
        </w:rPr>
      </w:pPr>
      <w:r w:rsidRPr="00F85BD8">
        <w:rPr>
          <w:noProof/>
          <w:sz w:val="24"/>
          <w:szCs w:val="24"/>
          <w:lang w:val="en-GB"/>
        </w:rPr>
        <w:drawing>
          <wp:inline distT="0" distB="0" distL="0" distR="0" wp14:anchorId="5E34213D" wp14:editId="10EC10F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A41BD20" w14:textId="77777777" w:rsidR="006B3847" w:rsidRPr="00F85BD8" w:rsidRDefault="006B3847" w:rsidP="006B3847">
      <w:pPr>
        <w:rPr>
          <w:sz w:val="24"/>
          <w:szCs w:val="24"/>
          <w:lang w:val="en-GB"/>
        </w:rPr>
      </w:pPr>
    </w:p>
    <w:p w14:paraId="57016252" w14:textId="2B99A2E2" w:rsidR="006B3847" w:rsidRPr="00F85BD8" w:rsidRDefault="006B3847" w:rsidP="006B3847">
      <w:pPr>
        <w:tabs>
          <w:tab w:val="right" w:pos="9356"/>
        </w:tabs>
        <w:rPr>
          <w:b/>
          <w:sz w:val="24"/>
          <w:szCs w:val="24"/>
          <w:lang w:val="en-GB"/>
        </w:rPr>
      </w:pPr>
      <w:r w:rsidRPr="00F85BD8">
        <w:rPr>
          <w:b/>
          <w:sz w:val="24"/>
          <w:szCs w:val="24"/>
          <w:lang w:val="en-GB"/>
        </w:rPr>
        <w:tab/>
      </w:r>
      <w:r w:rsidR="00EF62D2">
        <w:rPr>
          <w:b/>
          <w:sz w:val="24"/>
          <w:szCs w:val="24"/>
          <w:lang w:val="en-GB"/>
        </w:rPr>
        <w:t>14 February 2024</w:t>
      </w:r>
      <w:bookmarkStart w:id="0" w:name="_GoBack"/>
      <w:bookmarkEnd w:id="0"/>
    </w:p>
    <w:p w14:paraId="6B25BAA1" w14:textId="77777777" w:rsidR="006B3847" w:rsidRPr="00F85BD8" w:rsidRDefault="006B3847" w:rsidP="006B3847">
      <w:pPr>
        <w:rPr>
          <w:sz w:val="24"/>
          <w:szCs w:val="24"/>
          <w:lang w:val="en-GB"/>
        </w:rPr>
      </w:pPr>
    </w:p>
    <w:p w14:paraId="2175A056" w14:textId="77777777" w:rsidR="007C5D2A" w:rsidRPr="00F85BD8" w:rsidRDefault="007C5D2A" w:rsidP="007C5D2A">
      <w:pPr>
        <w:rPr>
          <w:sz w:val="24"/>
          <w:szCs w:val="24"/>
          <w:lang w:val="en-GB"/>
        </w:rPr>
      </w:pPr>
    </w:p>
    <w:p w14:paraId="3894C1CF" w14:textId="77777777" w:rsidR="007C5D2A" w:rsidRPr="00F85BD8" w:rsidRDefault="007C5D2A" w:rsidP="007C5D2A">
      <w:pPr>
        <w:rPr>
          <w:sz w:val="24"/>
          <w:szCs w:val="24"/>
          <w:lang w:val="en-GB"/>
        </w:rPr>
      </w:pPr>
    </w:p>
    <w:p w14:paraId="3DDBEF60" w14:textId="77777777" w:rsidR="007C5D2A" w:rsidRPr="00F85BD8" w:rsidRDefault="007C5D2A" w:rsidP="007C5D2A">
      <w:pPr>
        <w:jc w:val="center"/>
        <w:rPr>
          <w:b/>
          <w:sz w:val="24"/>
          <w:szCs w:val="24"/>
          <w:lang w:val="en-GB"/>
        </w:rPr>
      </w:pPr>
      <w:bookmarkStart w:id="1" w:name="_Hlk49158549"/>
      <w:r w:rsidRPr="00F85BD8">
        <w:rPr>
          <w:b/>
          <w:sz w:val="24"/>
          <w:szCs w:val="24"/>
          <w:lang w:val="en-GB"/>
        </w:rPr>
        <w:t>SUMMARY OF PRODUCT CHARACTERISTICS</w:t>
      </w:r>
    </w:p>
    <w:bookmarkEnd w:id="1"/>
    <w:p w14:paraId="397B1329" w14:textId="77777777" w:rsidR="007C5D2A" w:rsidRPr="00F85BD8" w:rsidRDefault="007C5D2A" w:rsidP="007C5D2A">
      <w:pPr>
        <w:jc w:val="center"/>
        <w:rPr>
          <w:sz w:val="24"/>
          <w:szCs w:val="24"/>
          <w:lang w:val="en-GB"/>
        </w:rPr>
      </w:pPr>
    </w:p>
    <w:p w14:paraId="419AEB34" w14:textId="77777777" w:rsidR="007C5D2A" w:rsidRPr="00F85BD8" w:rsidRDefault="007C5D2A" w:rsidP="007C5D2A">
      <w:pPr>
        <w:jc w:val="center"/>
        <w:rPr>
          <w:b/>
          <w:sz w:val="24"/>
          <w:szCs w:val="24"/>
          <w:lang w:val="en-GB"/>
        </w:rPr>
      </w:pPr>
      <w:r w:rsidRPr="00F85BD8">
        <w:rPr>
          <w:b/>
          <w:sz w:val="24"/>
          <w:szCs w:val="24"/>
          <w:lang w:val="en-GB"/>
        </w:rPr>
        <w:t>for</w:t>
      </w:r>
    </w:p>
    <w:p w14:paraId="6F3E0586" w14:textId="77777777" w:rsidR="007C5D2A" w:rsidRPr="00F85BD8" w:rsidRDefault="007C5D2A" w:rsidP="007C5D2A">
      <w:pPr>
        <w:jc w:val="center"/>
        <w:rPr>
          <w:sz w:val="24"/>
          <w:szCs w:val="24"/>
          <w:lang w:val="en-GB"/>
        </w:rPr>
      </w:pPr>
    </w:p>
    <w:p w14:paraId="3966EB81" w14:textId="3549CB1E" w:rsidR="007C5D2A" w:rsidRPr="00F85BD8" w:rsidRDefault="00E5343D" w:rsidP="007C5D2A">
      <w:pPr>
        <w:jc w:val="center"/>
        <w:rPr>
          <w:b/>
          <w:sz w:val="24"/>
          <w:szCs w:val="24"/>
          <w:lang w:val="en-GB"/>
        </w:rPr>
      </w:pPr>
      <w:proofErr w:type="spellStart"/>
      <w:r w:rsidRPr="00F85BD8">
        <w:rPr>
          <w:b/>
          <w:sz w:val="24"/>
          <w:szCs w:val="24"/>
          <w:lang w:val="en-GB"/>
        </w:rPr>
        <w:t>Nintedanib</w:t>
      </w:r>
      <w:proofErr w:type="spellEnd"/>
      <w:r w:rsidRPr="00F85BD8">
        <w:rPr>
          <w:b/>
          <w:sz w:val="24"/>
          <w:szCs w:val="24"/>
          <w:lang w:val="en-GB"/>
        </w:rPr>
        <w:t xml:space="preserve"> "</w:t>
      </w:r>
      <w:proofErr w:type="spellStart"/>
      <w:r w:rsidRPr="00F85BD8">
        <w:rPr>
          <w:b/>
          <w:sz w:val="24"/>
          <w:szCs w:val="24"/>
          <w:lang w:val="en-GB"/>
        </w:rPr>
        <w:t>Stada</w:t>
      </w:r>
      <w:proofErr w:type="spellEnd"/>
      <w:r w:rsidRPr="00F85BD8">
        <w:rPr>
          <w:b/>
          <w:sz w:val="24"/>
          <w:szCs w:val="24"/>
          <w:lang w:val="en-GB"/>
        </w:rPr>
        <w:t>", soft capsules</w:t>
      </w:r>
    </w:p>
    <w:p w14:paraId="3C657739" w14:textId="77777777" w:rsidR="007C5D2A" w:rsidRPr="00F85BD8" w:rsidRDefault="007C5D2A" w:rsidP="007C5D2A">
      <w:pPr>
        <w:jc w:val="both"/>
        <w:rPr>
          <w:sz w:val="24"/>
          <w:szCs w:val="24"/>
          <w:lang w:val="en-GB"/>
        </w:rPr>
      </w:pPr>
    </w:p>
    <w:p w14:paraId="1B9BAADD" w14:textId="77777777" w:rsidR="0042292D" w:rsidRPr="00F85BD8" w:rsidRDefault="0042292D" w:rsidP="007C5D2A">
      <w:pPr>
        <w:jc w:val="both"/>
        <w:rPr>
          <w:sz w:val="24"/>
          <w:szCs w:val="24"/>
          <w:lang w:val="en-GB"/>
        </w:rPr>
      </w:pPr>
    </w:p>
    <w:p w14:paraId="3DF69C01" w14:textId="77777777" w:rsidR="008F2F8C" w:rsidRPr="00F85BD8" w:rsidRDefault="008F2F8C" w:rsidP="008F2F8C">
      <w:pPr>
        <w:tabs>
          <w:tab w:val="left" w:pos="8222"/>
        </w:tabs>
        <w:ind w:left="851" w:hanging="851"/>
        <w:rPr>
          <w:b/>
          <w:sz w:val="24"/>
          <w:szCs w:val="24"/>
          <w:lang w:val="en-GB"/>
        </w:rPr>
      </w:pPr>
      <w:r w:rsidRPr="00F85BD8">
        <w:rPr>
          <w:b/>
          <w:sz w:val="24"/>
          <w:szCs w:val="24"/>
          <w:lang w:val="en-GB"/>
        </w:rPr>
        <w:t>0.</w:t>
      </w:r>
      <w:r w:rsidRPr="00F85BD8">
        <w:rPr>
          <w:b/>
          <w:sz w:val="24"/>
          <w:szCs w:val="24"/>
          <w:lang w:val="en-GB"/>
        </w:rPr>
        <w:tab/>
      </w:r>
      <w:proofErr w:type="gramStart"/>
      <w:r w:rsidRPr="00F85BD8">
        <w:rPr>
          <w:b/>
          <w:sz w:val="24"/>
          <w:szCs w:val="24"/>
          <w:lang w:val="en-GB"/>
        </w:rPr>
        <w:t>D.SP.NO</w:t>
      </w:r>
      <w:proofErr w:type="gramEnd"/>
      <w:r w:rsidRPr="00F85BD8">
        <w:rPr>
          <w:b/>
          <w:sz w:val="24"/>
          <w:szCs w:val="24"/>
          <w:lang w:val="en-GB"/>
        </w:rPr>
        <w:t>.</w:t>
      </w:r>
    </w:p>
    <w:p w14:paraId="38CBA349" w14:textId="24B98FDA" w:rsidR="008F2F8C" w:rsidRPr="00F85BD8" w:rsidRDefault="00D657C7" w:rsidP="008F2F8C">
      <w:pPr>
        <w:tabs>
          <w:tab w:val="left" w:pos="8222"/>
        </w:tabs>
        <w:ind w:left="851"/>
        <w:rPr>
          <w:sz w:val="24"/>
          <w:szCs w:val="24"/>
          <w:lang w:val="en-GB"/>
        </w:rPr>
      </w:pPr>
      <w:r w:rsidRPr="00F85BD8">
        <w:rPr>
          <w:sz w:val="24"/>
          <w:szCs w:val="24"/>
          <w:lang w:val="en-GB"/>
        </w:rPr>
        <w:t>33246</w:t>
      </w:r>
    </w:p>
    <w:p w14:paraId="774407F3" w14:textId="77777777" w:rsidR="007C5D2A" w:rsidRPr="00F85BD8" w:rsidRDefault="007C5D2A" w:rsidP="007C5D2A">
      <w:pPr>
        <w:tabs>
          <w:tab w:val="left" w:pos="851"/>
        </w:tabs>
        <w:jc w:val="both"/>
        <w:rPr>
          <w:sz w:val="24"/>
          <w:szCs w:val="24"/>
          <w:lang w:val="en-GB"/>
        </w:rPr>
      </w:pPr>
    </w:p>
    <w:p w14:paraId="07F1ECB8" w14:textId="77777777" w:rsidR="007C5D2A" w:rsidRPr="00F85BD8" w:rsidRDefault="009925C9" w:rsidP="007C5D2A">
      <w:pPr>
        <w:tabs>
          <w:tab w:val="left" w:pos="851"/>
        </w:tabs>
        <w:ind w:left="851" w:hanging="851"/>
        <w:rPr>
          <w:sz w:val="24"/>
          <w:szCs w:val="24"/>
          <w:lang w:val="en-GB"/>
        </w:rPr>
      </w:pPr>
      <w:r w:rsidRPr="00F85BD8">
        <w:rPr>
          <w:b/>
          <w:sz w:val="24"/>
          <w:szCs w:val="24"/>
          <w:lang w:val="en-GB"/>
        </w:rPr>
        <w:t>1.</w:t>
      </w:r>
      <w:r w:rsidR="007C5D2A" w:rsidRPr="00F85BD8">
        <w:rPr>
          <w:b/>
          <w:sz w:val="24"/>
          <w:szCs w:val="24"/>
          <w:lang w:val="en-GB"/>
        </w:rPr>
        <w:tab/>
        <w:t>NAME OF THE MEDICINAL PRODUCT</w:t>
      </w:r>
    </w:p>
    <w:p w14:paraId="6712F0A2" w14:textId="52925180" w:rsidR="007C5D2A" w:rsidRPr="00F85BD8" w:rsidRDefault="00E5343D" w:rsidP="004A3BF4">
      <w:pPr>
        <w:tabs>
          <w:tab w:val="left" w:pos="851"/>
        </w:tabs>
        <w:ind w:left="851"/>
        <w:rPr>
          <w:sz w:val="24"/>
          <w:szCs w:val="24"/>
          <w:lang w:val="en-GB"/>
        </w:rPr>
      </w:pPr>
      <w:proofErr w:type="spellStart"/>
      <w:r w:rsidRPr="00F85BD8">
        <w:rPr>
          <w:sz w:val="24"/>
          <w:szCs w:val="24"/>
          <w:lang w:val="en-GB"/>
        </w:rPr>
        <w:t>Nintedanib</w:t>
      </w:r>
      <w:proofErr w:type="spellEnd"/>
      <w:r w:rsidRPr="00F85BD8">
        <w:rPr>
          <w:sz w:val="24"/>
          <w:szCs w:val="24"/>
          <w:lang w:val="en-GB"/>
        </w:rPr>
        <w:t xml:space="preserve"> "</w:t>
      </w:r>
      <w:proofErr w:type="spellStart"/>
      <w:r w:rsidRPr="00F85BD8">
        <w:rPr>
          <w:sz w:val="24"/>
          <w:szCs w:val="24"/>
          <w:lang w:val="en-GB"/>
        </w:rPr>
        <w:t>Stada</w:t>
      </w:r>
      <w:proofErr w:type="spellEnd"/>
      <w:r w:rsidRPr="00F85BD8">
        <w:rPr>
          <w:sz w:val="24"/>
          <w:szCs w:val="24"/>
          <w:lang w:val="en-GB"/>
        </w:rPr>
        <w:t>"</w:t>
      </w:r>
    </w:p>
    <w:p w14:paraId="5CA673FB" w14:textId="77777777" w:rsidR="007C5D2A" w:rsidRPr="00F85BD8" w:rsidRDefault="007C5D2A" w:rsidP="004A3BF4">
      <w:pPr>
        <w:tabs>
          <w:tab w:val="left" w:pos="851"/>
        </w:tabs>
        <w:ind w:left="851"/>
        <w:rPr>
          <w:sz w:val="24"/>
          <w:szCs w:val="24"/>
          <w:lang w:val="en-GB"/>
        </w:rPr>
      </w:pPr>
    </w:p>
    <w:p w14:paraId="78BC4B0F" w14:textId="77777777" w:rsidR="007C5D2A" w:rsidRPr="00F85BD8" w:rsidRDefault="009925C9" w:rsidP="007C5D2A">
      <w:pPr>
        <w:ind w:left="851" w:hanging="851"/>
        <w:rPr>
          <w:b/>
          <w:sz w:val="24"/>
          <w:szCs w:val="24"/>
          <w:lang w:val="en-GB"/>
        </w:rPr>
      </w:pPr>
      <w:r w:rsidRPr="00F85BD8">
        <w:rPr>
          <w:b/>
          <w:sz w:val="24"/>
          <w:szCs w:val="24"/>
          <w:lang w:val="en-GB"/>
        </w:rPr>
        <w:t>2.</w:t>
      </w:r>
      <w:r w:rsidR="007C5D2A" w:rsidRPr="00F85BD8">
        <w:rPr>
          <w:b/>
          <w:sz w:val="24"/>
          <w:szCs w:val="24"/>
          <w:lang w:val="en-GB"/>
        </w:rPr>
        <w:tab/>
        <w:t>QUALITATIVE AND QUANTITATIVE COMPOSITION</w:t>
      </w:r>
    </w:p>
    <w:p w14:paraId="65F1BC90" w14:textId="77777777" w:rsidR="00F85BD8" w:rsidRPr="00F85BD8" w:rsidRDefault="00F85BD8" w:rsidP="00BF087A">
      <w:pPr>
        <w:ind w:left="851"/>
        <w:rPr>
          <w:sz w:val="24"/>
          <w:szCs w:val="24"/>
          <w:lang w:val="en-US"/>
        </w:rPr>
      </w:pPr>
    </w:p>
    <w:p w14:paraId="3EE1CC15" w14:textId="3C3C0753" w:rsidR="00D657C7" w:rsidRPr="00F85BD8" w:rsidRDefault="00530769" w:rsidP="00BF087A">
      <w:pPr>
        <w:ind w:left="851"/>
        <w:rPr>
          <w:i/>
          <w:sz w:val="24"/>
          <w:szCs w:val="24"/>
          <w:u w:val="single"/>
          <w:lang w:val="en-US"/>
        </w:rPr>
      </w:pPr>
      <w:proofErr w:type="spellStart"/>
      <w:r w:rsidRPr="00F85BD8">
        <w:rPr>
          <w:i/>
          <w:sz w:val="24"/>
          <w:szCs w:val="24"/>
          <w:u w:val="single"/>
          <w:lang w:val="en-US"/>
        </w:rPr>
        <w:t>Nintedanib</w:t>
      </w:r>
      <w:proofErr w:type="spellEnd"/>
      <w:r w:rsidRPr="00F85BD8">
        <w:rPr>
          <w:i/>
          <w:sz w:val="24"/>
          <w:szCs w:val="24"/>
          <w:u w:val="single"/>
          <w:lang w:val="en-US"/>
        </w:rPr>
        <w:t xml:space="preserve"> "</w:t>
      </w:r>
      <w:proofErr w:type="spellStart"/>
      <w:r w:rsidRPr="00F85BD8">
        <w:rPr>
          <w:i/>
          <w:sz w:val="24"/>
          <w:szCs w:val="24"/>
          <w:u w:val="single"/>
          <w:lang w:val="en-US"/>
        </w:rPr>
        <w:t>Stada</w:t>
      </w:r>
      <w:proofErr w:type="spellEnd"/>
      <w:r w:rsidRPr="00F85BD8">
        <w:rPr>
          <w:i/>
          <w:sz w:val="24"/>
          <w:szCs w:val="24"/>
          <w:u w:val="single"/>
          <w:lang w:val="en-US"/>
        </w:rPr>
        <w:t>"</w:t>
      </w:r>
      <w:r w:rsidR="00D657C7" w:rsidRPr="00F85BD8">
        <w:rPr>
          <w:i/>
          <w:sz w:val="24"/>
          <w:szCs w:val="24"/>
          <w:u w:val="single"/>
          <w:lang w:val="en-US"/>
        </w:rPr>
        <w:t xml:space="preserve"> 100 mg soft capsules</w:t>
      </w:r>
    </w:p>
    <w:p w14:paraId="775F0656" w14:textId="77777777" w:rsidR="00D657C7" w:rsidRPr="00F85BD8" w:rsidRDefault="00D657C7" w:rsidP="00BF087A">
      <w:pPr>
        <w:ind w:left="851"/>
        <w:rPr>
          <w:sz w:val="24"/>
          <w:szCs w:val="24"/>
          <w:lang w:val="en-US"/>
        </w:rPr>
      </w:pPr>
      <w:r w:rsidRPr="00F85BD8">
        <w:rPr>
          <w:sz w:val="24"/>
          <w:szCs w:val="24"/>
          <w:lang w:val="en-US"/>
        </w:rPr>
        <w:t xml:space="preserve">Each soft capsule contains </w:t>
      </w:r>
      <w:proofErr w:type="spellStart"/>
      <w:r w:rsidRPr="00F85BD8">
        <w:rPr>
          <w:sz w:val="24"/>
          <w:szCs w:val="24"/>
          <w:lang w:val="en-US"/>
        </w:rPr>
        <w:t>nintedanib</w:t>
      </w:r>
      <w:proofErr w:type="spellEnd"/>
      <w:r w:rsidRPr="00F85BD8">
        <w:rPr>
          <w:sz w:val="24"/>
          <w:szCs w:val="24"/>
          <w:lang w:val="en-US"/>
        </w:rPr>
        <w:t xml:space="preserve"> </w:t>
      </w:r>
      <w:proofErr w:type="spellStart"/>
      <w:r w:rsidRPr="00F85BD8">
        <w:rPr>
          <w:sz w:val="24"/>
          <w:szCs w:val="24"/>
          <w:lang w:val="en-US"/>
        </w:rPr>
        <w:t>esilate</w:t>
      </w:r>
      <w:proofErr w:type="spellEnd"/>
      <w:r w:rsidRPr="00F85BD8">
        <w:rPr>
          <w:sz w:val="24"/>
          <w:szCs w:val="24"/>
          <w:lang w:val="en-US"/>
        </w:rPr>
        <w:t xml:space="preserve"> equivalent to 100 mg </w:t>
      </w:r>
      <w:proofErr w:type="spellStart"/>
      <w:r w:rsidRPr="00F85BD8">
        <w:rPr>
          <w:sz w:val="24"/>
          <w:szCs w:val="24"/>
          <w:lang w:val="en-US"/>
        </w:rPr>
        <w:t>nintedanib</w:t>
      </w:r>
      <w:proofErr w:type="spellEnd"/>
    </w:p>
    <w:p w14:paraId="138300BD" w14:textId="77777777" w:rsidR="00D657C7" w:rsidRPr="00F85BD8" w:rsidRDefault="00D657C7" w:rsidP="00BF087A">
      <w:pPr>
        <w:ind w:left="851"/>
        <w:rPr>
          <w:sz w:val="24"/>
          <w:szCs w:val="24"/>
          <w:lang w:val="en-US"/>
        </w:rPr>
      </w:pPr>
    </w:p>
    <w:p w14:paraId="23C010ED" w14:textId="198BF56E" w:rsidR="00D657C7" w:rsidRPr="00F85BD8" w:rsidRDefault="00530769" w:rsidP="00BF087A">
      <w:pPr>
        <w:ind w:left="851"/>
        <w:rPr>
          <w:i/>
          <w:sz w:val="24"/>
          <w:szCs w:val="24"/>
          <w:u w:val="single"/>
          <w:lang w:val="en-US"/>
        </w:rPr>
      </w:pPr>
      <w:proofErr w:type="spellStart"/>
      <w:r w:rsidRPr="00F85BD8">
        <w:rPr>
          <w:i/>
          <w:sz w:val="24"/>
          <w:szCs w:val="24"/>
          <w:u w:val="single"/>
          <w:lang w:val="en-US"/>
        </w:rPr>
        <w:t>Nintedanib</w:t>
      </w:r>
      <w:proofErr w:type="spellEnd"/>
      <w:r w:rsidRPr="00F85BD8">
        <w:rPr>
          <w:i/>
          <w:sz w:val="24"/>
          <w:szCs w:val="24"/>
          <w:u w:val="single"/>
          <w:lang w:val="en-US"/>
        </w:rPr>
        <w:t xml:space="preserve"> "</w:t>
      </w:r>
      <w:proofErr w:type="spellStart"/>
      <w:r w:rsidRPr="00F85BD8">
        <w:rPr>
          <w:i/>
          <w:sz w:val="24"/>
          <w:szCs w:val="24"/>
          <w:u w:val="single"/>
          <w:lang w:val="en-US"/>
        </w:rPr>
        <w:t>Stada</w:t>
      </w:r>
      <w:proofErr w:type="spellEnd"/>
      <w:r w:rsidRPr="00F85BD8">
        <w:rPr>
          <w:i/>
          <w:sz w:val="24"/>
          <w:szCs w:val="24"/>
          <w:u w:val="single"/>
          <w:lang w:val="en-US"/>
        </w:rPr>
        <w:t>"</w:t>
      </w:r>
      <w:r w:rsidR="00D657C7" w:rsidRPr="00F85BD8">
        <w:rPr>
          <w:i/>
          <w:sz w:val="24"/>
          <w:szCs w:val="24"/>
          <w:u w:val="single"/>
          <w:lang w:val="en-US"/>
        </w:rPr>
        <w:t xml:space="preserve"> 150 mg soft capsules</w:t>
      </w:r>
    </w:p>
    <w:p w14:paraId="1A562BC4" w14:textId="77777777" w:rsidR="00D657C7" w:rsidRPr="00F85BD8" w:rsidRDefault="00D657C7" w:rsidP="00BF087A">
      <w:pPr>
        <w:ind w:left="851"/>
        <w:rPr>
          <w:sz w:val="24"/>
          <w:szCs w:val="24"/>
          <w:lang w:val="en-US"/>
        </w:rPr>
      </w:pPr>
      <w:r w:rsidRPr="00F85BD8">
        <w:rPr>
          <w:sz w:val="24"/>
          <w:szCs w:val="24"/>
          <w:lang w:val="en-US"/>
        </w:rPr>
        <w:t xml:space="preserve">Each soft capsule contains </w:t>
      </w:r>
      <w:proofErr w:type="spellStart"/>
      <w:r w:rsidRPr="00F85BD8">
        <w:rPr>
          <w:sz w:val="24"/>
          <w:szCs w:val="24"/>
          <w:lang w:val="en-US"/>
        </w:rPr>
        <w:t>nintedanib</w:t>
      </w:r>
      <w:proofErr w:type="spellEnd"/>
      <w:r w:rsidRPr="00F85BD8">
        <w:rPr>
          <w:sz w:val="24"/>
          <w:szCs w:val="24"/>
          <w:lang w:val="en-US"/>
        </w:rPr>
        <w:t xml:space="preserve"> </w:t>
      </w:r>
      <w:proofErr w:type="spellStart"/>
      <w:r w:rsidRPr="00F85BD8">
        <w:rPr>
          <w:sz w:val="24"/>
          <w:szCs w:val="24"/>
          <w:lang w:val="en-US"/>
        </w:rPr>
        <w:t>esilate</w:t>
      </w:r>
      <w:proofErr w:type="spellEnd"/>
      <w:r w:rsidRPr="00F85BD8">
        <w:rPr>
          <w:sz w:val="24"/>
          <w:szCs w:val="24"/>
          <w:lang w:val="en-US"/>
        </w:rPr>
        <w:t xml:space="preserve"> equivalent to 150 mg </w:t>
      </w:r>
      <w:proofErr w:type="spellStart"/>
      <w:r w:rsidRPr="00F85BD8">
        <w:rPr>
          <w:sz w:val="24"/>
          <w:szCs w:val="24"/>
          <w:lang w:val="en-US"/>
        </w:rPr>
        <w:t>nintedanib</w:t>
      </w:r>
      <w:proofErr w:type="spellEnd"/>
    </w:p>
    <w:p w14:paraId="76D9C59B" w14:textId="77777777" w:rsidR="00D657C7" w:rsidRPr="00F85BD8" w:rsidRDefault="00D657C7" w:rsidP="00BF087A">
      <w:pPr>
        <w:ind w:left="851"/>
        <w:rPr>
          <w:sz w:val="24"/>
          <w:szCs w:val="24"/>
          <w:lang w:val="en-US"/>
        </w:rPr>
      </w:pPr>
    </w:p>
    <w:p w14:paraId="1B7ECF7C" w14:textId="77777777" w:rsidR="00D657C7" w:rsidRPr="00F85BD8" w:rsidRDefault="00D657C7" w:rsidP="00BF087A">
      <w:pPr>
        <w:ind w:left="851"/>
        <w:rPr>
          <w:noProof/>
          <w:sz w:val="24"/>
          <w:szCs w:val="24"/>
          <w:lang w:val="en-US"/>
        </w:rPr>
      </w:pPr>
      <w:r w:rsidRPr="00F85BD8">
        <w:rPr>
          <w:sz w:val="24"/>
          <w:szCs w:val="24"/>
          <w:lang w:val="en-US"/>
        </w:rPr>
        <w:t>For the full list of excipients, see section 6.1</w:t>
      </w:r>
    </w:p>
    <w:p w14:paraId="73C1A68F" w14:textId="77777777" w:rsidR="007C5D2A" w:rsidRPr="00F85BD8" w:rsidRDefault="007C5D2A" w:rsidP="004A3BF4">
      <w:pPr>
        <w:tabs>
          <w:tab w:val="left" w:pos="851"/>
        </w:tabs>
        <w:ind w:left="851"/>
        <w:rPr>
          <w:sz w:val="24"/>
          <w:szCs w:val="24"/>
          <w:lang w:val="en-US"/>
        </w:rPr>
      </w:pPr>
    </w:p>
    <w:p w14:paraId="671FA4FF"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3.</w:t>
      </w:r>
      <w:r w:rsidRPr="00F85BD8">
        <w:rPr>
          <w:b/>
          <w:sz w:val="24"/>
          <w:szCs w:val="24"/>
          <w:lang w:val="en-GB"/>
        </w:rPr>
        <w:tab/>
        <w:t>PHARMACEUTICAL FORM</w:t>
      </w:r>
    </w:p>
    <w:p w14:paraId="1D77F9B4" w14:textId="77777777" w:rsidR="00D657C7" w:rsidRPr="00F85BD8" w:rsidRDefault="00D657C7" w:rsidP="00BF087A">
      <w:pPr>
        <w:ind w:left="851"/>
        <w:rPr>
          <w:noProof/>
          <w:sz w:val="24"/>
          <w:szCs w:val="24"/>
          <w:lang w:val="en-US"/>
        </w:rPr>
      </w:pPr>
      <w:r w:rsidRPr="00F85BD8">
        <w:rPr>
          <w:noProof/>
          <w:sz w:val="24"/>
          <w:szCs w:val="24"/>
          <w:lang w:val="en-US"/>
        </w:rPr>
        <w:t>Soft capsule (capsule)</w:t>
      </w:r>
    </w:p>
    <w:p w14:paraId="1EB33D4B" w14:textId="77777777" w:rsidR="00D657C7" w:rsidRPr="00F85BD8" w:rsidRDefault="00D657C7" w:rsidP="00BF087A">
      <w:pPr>
        <w:ind w:left="851"/>
        <w:rPr>
          <w:noProof/>
          <w:sz w:val="24"/>
          <w:szCs w:val="24"/>
          <w:lang w:val="en-US"/>
        </w:rPr>
      </w:pPr>
    </w:p>
    <w:p w14:paraId="5D4323FC" w14:textId="7902B882" w:rsidR="00D657C7" w:rsidRPr="00F85BD8" w:rsidRDefault="00530769" w:rsidP="00BF087A">
      <w:pPr>
        <w:ind w:left="851"/>
        <w:rPr>
          <w:i/>
          <w:noProof/>
          <w:sz w:val="24"/>
          <w:szCs w:val="24"/>
          <w:u w:val="single"/>
          <w:lang w:val="en-US"/>
        </w:rPr>
      </w:pPr>
      <w:r w:rsidRPr="00F85BD8">
        <w:rPr>
          <w:i/>
          <w:noProof/>
          <w:sz w:val="24"/>
          <w:szCs w:val="24"/>
          <w:u w:val="single"/>
          <w:lang w:val="en-US"/>
        </w:rPr>
        <w:t>Nintedanib "Stada"</w:t>
      </w:r>
      <w:r w:rsidR="00D657C7" w:rsidRPr="00F85BD8">
        <w:rPr>
          <w:i/>
          <w:noProof/>
          <w:sz w:val="24"/>
          <w:szCs w:val="24"/>
          <w:u w:val="single"/>
          <w:lang w:val="en-US"/>
        </w:rPr>
        <w:t xml:space="preserve"> 100 mg soft capsules</w:t>
      </w:r>
    </w:p>
    <w:p w14:paraId="73C86E29" w14:textId="77777777" w:rsidR="00D657C7" w:rsidRPr="00F85BD8" w:rsidRDefault="00D657C7" w:rsidP="00BF087A">
      <w:pPr>
        <w:ind w:left="851"/>
        <w:rPr>
          <w:noProof/>
          <w:sz w:val="24"/>
          <w:szCs w:val="24"/>
          <w:lang w:val="en-US"/>
        </w:rPr>
      </w:pPr>
      <w:r w:rsidRPr="00F85BD8">
        <w:rPr>
          <w:noProof/>
          <w:sz w:val="24"/>
          <w:szCs w:val="24"/>
          <w:lang w:val="en-US"/>
        </w:rPr>
        <w:t>Peach, opaque, oblong capsule containing yellow viscous suspension, imprinted with “NT 100” in red ink and approximately 16 mm in length.</w:t>
      </w:r>
    </w:p>
    <w:p w14:paraId="6B36FF25" w14:textId="77777777" w:rsidR="00D657C7" w:rsidRPr="00F85BD8" w:rsidRDefault="00D657C7" w:rsidP="00BF087A">
      <w:pPr>
        <w:ind w:left="851"/>
        <w:rPr>
          <w:noProof/>
          <w:sz w:val="24"/>
          <w:szCs w:val="24"/>
          <w:lang w:val="en-US"/>
        </w:rPr>
      </w:pPr>
    </w:p>
    <w:p w14:paraId="37E73025" w14:textId="1617E9D9" w:rsidR="00D657C7" w:rsidRPr="00F85BD8" w:rsidRDefault="00530769" w:rsidP="00BF087A">
      <w:pPr>
        <w:ind w:left="851"/>
        <w:rPr>
          <w:i/>
          <w:noProof/>
          <w:sz w:val="24"/>
          <w:szCs w:val="24"/>
          <w:u w:val="single"/>
          <w:lang w:val="en-US"/>
        </w:rPr>
      </w:pPr>
      <w:r w:rsidRPr="00F85BD8">
        <w:rPr>
          <w:i/>
          <w:noProof/>
          <w:sz w:val="24"/>
          <w:szCs w:val="24"/>
          <w:u w:val="single"/>
          <w:lang w:val="en-US"/>
        </w:rPr>
        <w:t>Nintedanib "Stada"</w:t>
      </w:r>
      <w:r w:rsidR="00D657C7" w:rsidRPr="00F85BD8">
        <w:rPr>
          <w:i/>
          <w:noProof/>
          <w:sz w:val="24"/>
          <w:szCs w:val="24"/>
          <w:u w:val="single"/>
          <w:lang w:val="en-US"/>
        </w:rPr>
        <w:t xml:space="preserve"> 150 mg soft capsules</w:t>
      </w:r>
    </w:p>
    <w:p w14:paraId="3B2EBF1A" w14:textId="77777777" w:rsidR="00D657C7" w:rsidRPr="00F85BD8" w:rsidRDefault="00D657C7" w:rsidP="00BF087A">
      <w:pPr>
        <w:ind w:left="851"/>
        <w:rPr>
          <w:noProof/>
          <w:sz w:val="24"/>
          <w:szCs w:val="24"/>
          <w:lang w:val="en-US"/>
        </w:rPr>
      </w:pPr>
      <w:r w:rsidRPr="00F85BD8">
        <w:rPr>
          <w:noProof/>
          <w:sz w:val="24"/>
          <w:szCs w:val="24"/>
          <w:lang w:val="en-US"/>
        </w:rPr>
        <w:t>Brown, opaque, oblong capsule containing yellow viscous suspension, imprinted with “NT 150” in red ink and approximately 17 mm in length.</w:t>
      </w:r>
    </w:p>
    <w:p w14:paraId="6E5F657C" w14:textId="31B66368" w:rsidR="007C5D2A" w:rsidRPr="00F85BD8" w:rsidRDefault="007C5D2A" w:rsidP="004A3BF4">
      <w:pPr>
        <w:tabs>
          <w:tab w:val="left" w:pos="851"/>
        </w:tabs>
        <w:ind w:left="851"/>
        <w:rPr>
          <w:sz w:val="24"/>
          <w:szCs w:val="24"/>
          <w:lang w:val="en-GB"/>
        </w:rPr>
      </w:pPr>
    </w:p>
    <w:p w14:paraId="3D10595C" w14:textId="77777777" w:rsidR="00530769" w:rsidRPr="00F85BD8" w:rsidRDefault="00530769" w:rsidP="004A3BF4">
      <w:pPr>
        <w:tabs>
          <w:tab w:val="left" w:pos="851"/>
        </w:tabs>
        <w:ind w:left="851"/>
        <w:rPr>
          <w:sz w:val="24"/>
          <w:szCs w:val="24"/>
          <w:lang w:val="en-GB"/>
        </w:rPr>
      </w:pPr>
    </w:p>
    <w:p w14:paraId="5CC546EC" w14:textId="77777777" w:rsidR="007C5D2A" w:rsidRPr="00F85BD8" w:rsidRDefault="007C5D2A" w:rsidP="007C5D2A">
      <w:pPr>
        <w:ind w:left="851" w:hanging="851"/>
        <w:rPr>
          <w:b/>
          <w:sz w:val="24"/>
          <w:szCs w:val="24"/>
          <w:lang w:val="en-GB"/>
        </w:rPr>
      </w:pPr>
      <w:r w:rsidRPr="00F85BD8">
        <w:rPr>
          <w:b/>
          <w:sz w:val="24"/>
          <w:szCs w:val="24"/>
          <w:lang w:val="en-GB"/>
        </w:rPr>
        <w:t>4.</w:t>
      </w:r>
      <w:r w:rsidRPr="00F85BD8">
        <w:rPr>
          <w:b/>
          <w:sz w:val="24"/>
          <w:szCs w:val="24"/>
          <w:lang w:val="en-GB"/>
        </w:rPr>
        <w:tab/>
        <w:t>CLINICAL PARTICULARS</w:t>
      </w:r>
    </w:p>
    <w:p w14:paraId="173EB5C3" w14:textId="77777777" w:rsidR="007C5D2A" w:rsidRPr="00F85BD8" w:rsidRDefault="007C5D2A" w:rsidP="004A3BF4">
      <w:pPr>
        <w:tabs>
          <w:tab w:val="left" w:pos="851"/>
        </w:tabs>
        <w:ind w:left="851"/>
        <w:rPr>
          <w:sz w:val="24"/>
          <w:szCs w:val="24"/>
          <w:lang w:val="en-GB"/>
        </w:rPr>
      </w:pPr>
    </w:p>
    <w:p w14:paraId="5BCFAE23" w14:textId="77777777" w:rsidR="007C5D2A" w:rsidRPr="00F85BD8" w:rsidRDefault="007C5D2A" w:rsidP="007C5D2A">
      <w:pPr>
        <w:ind w:left="851" w:hanging="851"/>
        <w:rPr>
          <w:b/>
          <w:sz w:val="24"/>
          <w:szCs w:val="24"/>
          <w:u w:val="single"/>
          <w:lang w:val="en-GB"/>
        </w:rPr>
      </w:pPr>
      <w:r w:rsidRPr="00F85BD8">
        <w:rPr>
          <w:b/>
          <w:sz w:val="24"/>
          <w:szCs w:val="24"/>
          <w:lang w:val="en-GB"/>
        </w:rPr>
        <w:t>4.1</w:t>
      </w:r>
      <w:r w:rsidRPr="00F85BD8">
        <w:rPr>
          <w:b/>
          <w:sz w:val="24"/>
          <w:szCs w:val="24"/>
          <w:lang w:val="en-GB"/>
        </w:rPr>
        <w:tab/>
        <w:t>Therapeutic indications</w:t>
      </w:r>
    </w:p>
    <w:p w14:paraId="30B43900" w14:textId="087B678C" w:rsidR="00D657C7" w:rsidRPr="00F85BD8" w:rsidRDefault="00530769" w:rsidP="00BF087A">
      <w:pPr>
        <w:ind w:left="851"/>
        <w:rPr>
          <w:noProof/>
          <w:sz w:val="24"/>
          <w:szCs w:val="24"/>
          <w:lang w:val="en-US"/>
        </w:rPr>
      </w:pPr>
      <w:r w:rsidRPr="00F85BD8">
        <w:rPr>
          <w:noProof/>
          <w:sz w:val="24"/>
          <w:szCs w:val="24"/>
          <w:lang w:val="en-US"/>
        </w:rPr>
        <w:t>Nintedanib "Stada"</w:t>
      </w:r>
      <w:r w:rsidR="00D657C7" w:rsidRPr="00F85BD8">
        <w:rPr>
          <w:noProof/>
          <w:sz w:val="24"/>
          <w:szCs w:val="24"/>
          <w:lang w:val="en-US"/>
        </w:rPr>
        <w:t xml:space="preserve"> is indicated in adults for the treatment of idiopathic pulmonary fibrosis (IPF).</w:t>
      </w:r>
    </w:p>
    <w:p w14:paraId="0CFB8E51" w14:textId="77777777" w:rsidR="00D657C7" w:rsidRPr="00F85BD8" w:rsidRDefault="00D657C7" w:rsidP="00BF087A">
      <w:pPr>
        <w:ind w:left="851"/>
        <w:rPr>
          <w:noProof/>
          <w:sz w:val="24"/>
          <w:szCs w:val="24"/>
          <w:lang w:val="en-US"/>
        </w:rPr>
      </w:pPr>
    </w:p>
    <w:p w14:paraId="298F80AF" w14:textId="18F500D2" w:rsidR="00D657C7" w:rsidRPr="00F85BD8" w:rsidRDefault="00530769" w:rsidP="00BF087A">
      <w:pPr>
        <w:ind w:left="851"/>
        <w:rPr>
          <w:noProof/>
          <w:sz w:val="24"/>
          <w:szCs w:val="24"/>
          <w:lang w:val="en-US"/>
        </w:rPr>
      </w:pPr>
      <w:r w:rsidRPr="00F85BD8">
        <w:rPr>
          <w:noProof/>
          <w:sz w:val="24"/>
          <w:szCs w:val="24"/>
          <w:lang w:val="en-US"/>
        </w:rPr>
        <w:lastRenderedPageBreak/>
        <w:t>Nintedanib "Stada"</w:t>
      </w:r>
      <w:r w:rsidR="00D657C7" w:rsidRPr="00F85BD8">
        <w:rPr>
          <w:noProof/>
          <w:sz w:val="24"/>
          <w:szCs w:val="24"/>
          <w:lang w:val="en-US"/>
        </w:rPr>
        <w:t xml:space="preserve"> is also indicated in adults for the treatment of other chronic fibrosing interstitial lung diseases (ILDs) with a progressive phenotype (see section 5.1).</w:t>
      </w:r>
    </w:p>
    <w:p w14:paraId="01488974" w14:textId="77777777" w:rsidR="00D657C7" w:rsidRPr="00F85BD8" w:rsidRDefault="00D657C7" w:rsidP="00BF087A">
      <w:pPr>
        <w:ind w:left="851"/>
        <w:rPr>
          <w:noProof/>
          <w:sz w:val="24"/>
          <w:szCs w:val="24"/>
          <w:lang w:val="en-US"/>
        </w:rPr>
      </w:pPr>
    </w:p>
    <w:p w14:paraId="56CDCC61" w14:textId="014577C5" w:rsidR="00D657C7" w:rsidRPr="00F85BD8" w:rsidRDefault="00530769" w:rsidP="00BF087A">
      <w:pPr>
        <w:ind w:left="851"/>
        <w:rPr>
          <w:noProof/>
          <w:sz w:val="24"/>
          <w:szCs w:val="24"/>
          <w:lang w:val="en-US"/>
        </w:rPr>
      </w:pPr>
      <w:r w:rsidRPr="00F85BD8">
        <w:rPr>
          <w:noProof/>
          <w:sz w:val="24"/>
          <w:szCs w:val="24"/>
          <w:lang w:val="en-US"/>
        </w:rPr>
        <w:t>Nintedanib "Stada"</w:t>
      </w:r>
      <w:r w:rsidR="00D657C7" w:rsidRPr="00F85BD8">
        <w:rPr>
          <w:noProof/>
          <w:sz w:val="24"/>
          <w:szCs w:val="24"/>
          <w:lang w:val="en-US"/>
        </w:rPr>
        <w:t xml:space="preserve"> is indicated in adults for the treatment of systemic sclerosis associated interstitial lung disease (SSc-ILD).</w:t>
      </w:r>
    </w:p>
    <w:p w14:paraId="604DFB44" w14:textId="77777777" w:rsidR="007C5D2A" w:rsidRPr="00F85BD8" w:rsidRDefault="007C5D2A" w:rsidP="00A85D26">
      <w:pPr>
        <w:tabs>
          <w:tab w:val="left" w:pos="851"/>
        </w:tabs>
        <w:ind w:left="851"/>
        <w:rPr>
          <w:sz w:val="24"/>
          <w:szCs w:val="24"/>
          <w:lang w:val="en-US"/>
        </w:rPr>
      </w:pPr>
    </w:p>
    <w:p w14:paraId="2AAD586A" w14:textId="77777777" w:rsidR="007C5D2A" w:rsidRPr="00F85BD8" w:rsidRDefault="009925C9" w:rsidP="007C5D2A">
      <w:pPr>
        <w:tabs>
          <w:tab w:val="left" w:pos="851"/>
        </w:tabs>
        <w:ind w:left="851" w:hanging="851"/>
        <w:rPr>
          <w:sz w:val="24"/>
          <w:szCs w:val="24"/>
          <w:lang w:val="en-GB"/>
        </w:rPr>
      </w:pPr>
      <w:r w:rsidRPr="00F85BD8">
        <w:rPr>
          <w:b/>
          <w:sz w:val="24"/>
          <w:szCs w:val="24"/>
          <w:lang w:val="en-GB"/>
        </w:rPr>
        <w:t>4.2</w:t>
      </w:r>
      <w:r w:rsidR="007C5D2A" w:rsidRPr="00F85BD8">
        <w:rPr>
          <w:b/>
          <w:sz w:val="24"/>
          <w:szCs w:val="24"/>
          <w:lang w:val="en-GB"/>
        </w:rPr>
        <w:tab/>
        <w:t>Posology and method of administration</w:t>
      </w:r>
    </w:p>
    <w:p w14:paraId="1EDAA8FF" w14:textId="4C9D1A0F"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Treatment should be initiated by physicians experienced in the management of diseases for which </w:t>
      </w:r>
      <w:proofErr w:type="spellStart"/>
      <w:r w:rsidR="00530769" w:rsidRPr="00F85BD8">
        <w:rPr>
          <w:rFonts w:eastAsia="SimSun"/>
          <w:sz w:val="24"/>
          <w:szCs w:val="24"/>
          <w:lang w:val="en-US" w:eastAsia="en-GB"/>
        </w:rPr>
        <w:t>Nintedanib</w:t>
      </w:r>
      <w:proofErr w:type="spellEnd"/>
      <w:r w:rsidR="00530769" w:rsidRPr="00F85BD8">
        <w:rPr>
          <w:rFonts w:eastAsia="SimSun"/>
          <w:sz w:val="24"/>
          <w:szCs w:val="24"/>
          <w:lang w:val="en-US" w:eastAsia="en-GB"/>
        </w:rPr>
        <w:t xml:space="preserve"> "</w:t>
      </w:r>
      <w:proofErr w:type="spellStart"/>
      <w:r w:rsidR="00530769" w:rsidRPr="00F85BD8">
        <w:rPr>
          <w:rFonts w:eastAsia="SimSun"/>
          <w:sz w:val="24"/>
          <w:szCs w:val="24"/>
          <w:lang w:val="en-US" w:eastAsia="en-GB"/>
        </w:rPr>
        <w:t>Stada</w:t>
      </w:r>
      <w:proofErr w:type="spellEnd"/>
      <w:r w:rsidR="00530769" w:rsidRPr="00F85BD8">
        <w:rPr>
          <w:rFonts w:eastAsia="SimSun"/>
          <w:sz w:val="24"/>
          <w:szCs w:val="24"/>
          <w:lang w:val="en-US" w:eastAsia="en-GB"/>
        </w:rPr>
        <w:t>"</w:t>
      </w:r>
      <w:r w:rsidRPr="00F85BD8">
        <w:rPr>
          <w:rFonts w:eastAsia="SimSun"/>
          <w:sz w:val="24"/>
          <w:szCs w:val="24"/>
          <w:lang w:val="en-US" w:eastAsia="en-GB"/>
        </w:rPr>
        <w:t xml:space="preserve"> is approved.</w:t>
      </w:r>
    </w:p>
    <w:p w14:paraId="4591F27D" w14:textId="77777777" w:rsidR="00D657C7" w:rsidRPr="00F85BD8" w:rsidRDefault="00D657C7" w:rsidP="00BF087A">
      <w:pPr>
        <w:ind w:left="851"/>
        <w:rPr>
          <w:sz w:val="24"/>
          <w:szCs w:val="24"/>
          <w:lang w:val="en-GB" w:eastAsia="en-US"/>
        </w:rPr>
      </w:pPr>
    </w:p>
    <w:p w14:paraId="0B107390" w14:textId="77777777" w:rsidR="00D657C7" w:rsidRPr="00F85BD8" w:rsidRDefault="00D657C7" w:rsidP="00BF087A">
      <w:pPr>
        <w:ind w:left="851"/>
        <w:rPr>
          <w:sz w:val="24"/>
          <w:szCs w:val="24"/>
          <w:u w:val="single"/>
          <w:lang w:val="en-US"/>
        </w:rPr>
      </w:pPr>
      <w:r w:rsidRPr="00F85BD8">
        <w:rPr>
          <w:sz w:val="24"/>
          <w:szCs w:val="24"/>
          <w:u w:val="single"/>
          <w:lang w:val="en-US"/>
        </w:rPr>
        <w:t>Posology</w:t>
      </w:r>
    </w:p>
    <w:p w14:paraId="112E201A" w14:textId="77777777" w:rsidR="00D657C7" w:rsidRPr="00F85BD8" w:rsidRDefault="00D657C7" w:rsidP="00BF087A">
      <w:pPr>
        <w:ind w:left="851"/>
        <w:rPr>
          <w:i/>
          <w:sz w:val="24"/>
          <w:szCs w:val="24"/>
          <w:lang w:val="en-US"/>
        </w:rPr>
      </w:pPr>
      <w:r w:rsidRPr="00F85BD8">
        <w:rPr>
          <w:i/>
          <w:sz w:val="24"/>
          <w:szCs w:val="24"/>
          <w:lang w:val="en-US"/>
        </w:rPr>
        <w:t>Adults</w:t>
      </w:r>
    </w:p>
    <w:p w14:paraId="31922F2E" w14:textId="77777777" w:rsidR="00D657C7" w:rsidRPr="00F85BD8" w:rsidRDefault="00D657C7" w:rsidP="00BF087A">
      <w:pPr>
        <w:ind w:left="851"/>
        <w:rPr>
          <w:sz w:val="24"/>
          <w:szCs w:val="24"/>
          <w:lang w:val="en-US"/>
        </w:rPr>
      </w:pPr>
      <w:r w:rsidRPr="00F85BD8">
        <w:rPr>
          <w:sz w:val="24"/>
          <w:szCs w:val="24"/>
          <w:lang w:val="en-US"/>
        </w:rPr>
        <w:t xml:space="preserve">The recommended dose is 150 mg </w:t>
      </w:r>
      <w:proofErr w:type="spellStart"/>
      <w:r w:rsidRPr="00F85BD8">
        <w:rPr>
          <w:sz w:val="24"/>
          <w:szCs w:val="24"/>
          <w:lang w:val="en-US"/>
        </w:rPr>
        <w:t>nintedanib</w:t>
      </w:r>
      <w:proofErr w:type="spellEnd"/>
      <w:r w:rsidRPr="00F85BD8">
        <w:rPr>
          <w:sz w:val="24"/>
          <w:szCs w:val="24"/>
          <w:lang w:val="en-US"/>
        </w:rPr>
        <w:t xml:space="preserve"> twice daily administered approximately 12 hours apart.</w:t>
      </w:r>
    </w:p>
    <w:p w14:paraId="5028D838" w14:textId="77777777" w:rsidR="00D657C7" w:rsidRPr="00F85BD8" w:rsidRDefault="00D657C7" w:rsidP="00BF087A">
      <w:pPr>
        <w:ind w:left="851"/>
        <w:rPr>
          <w:sz w:val="24"/>
          <w:szCs w:val="24"/>
          <w:lang w:val="en-US"/>
        </w:rPr>
      </w:pPr>
      <w:r w:rsidRPr="00F85BD8">
        <w:rPr>
          <w:sz w:val="24"/>
          <w:szCs w:val="24"/>
          <w:lang w:val="en-US"/>
        </w:rPr>
        <w:t>The 100 mg twice daily dose is only recommended to be used in patients who do not tolerate the 150 mg twice daily dose.</w:t>
      </w:r>
    </w:p>
    <w:p w14:paraId="49FBB462" w14:textId="77777777" w:rsidR="00D657C7" w:rsidRPr="00F85BD8" w:rsidRDefault="00D657C7" w:rsidP="00BF087A">
      <w:pPr>
        <w:ind w:left="851"/>
        <w:rPr>
          <w:sz w:val="24"/>
          <w:szCs w:val="24"/>
          <w:lang w:val="en-US"/>
        </w:rPr>
      </w:pPr>
    </w:p>
    <w:p w14:paraId="5843FDD9" w14:textId="77777777" w:rsidR="00D657C7" w:rsidRPr="00F85BD8" w:rsidRDefault="00D657C7" w:rsidP="00BF087A">
      <w:pPr>
        <w:ind w:left="851"/>
        <w:rPr>
          <w:sz w:val="24"/>
          <w:szCs w:val="24"/>
          <w:lang w:val="en-US"/>
        </w:rPr>
      </w:pPr>
      <w:r w:rsidRPr="00F85BD8">
        <w:rPr>
          <w:sz w:val="24"/>
          <w:szCs w:val="24"/>
          <w:lang w:val="en-US"/>
        </w:rPr>
        <w:t>If a dose is missed, administration should resume at the next scheduled time at the recommended dose.</w:t>
      </w:r>
    </w:p>
    <w:p w14:paraId="436E5D66" w14:textId="77777777" w:rsidR="00D657C7" w:rsidRPr="00F85BD8" w:rsidRDefault="00D657C7" w:rsidP="00BF087A">
      <w:pPr>
        <w:ind w:left="851"/>
        <w:rPr>
          <w:sz w:val="24"/>
          <w:szCs w:val="24"/>
          <w:lang w:val="en-US"/>
        </w:rPr>
      </w:pPr>
      <w:r w:rsidRPr="00F85BD8">
        <w:rPr>
          <w:sz w:val="24"/>
          <w:szCs w:val="24"/>
          <w:lang w:val="en-US"/>
        </w:rPr>
        <w:t>If a dose is missed the patient should not take an additional dose. The recommended maximum daily dose of 300 mg should not be exceeded.</w:t>
      </w:r>
    </w:p>
    <w:p w14:paraId="7C01FDA6" w14:textId="77777777" w:rsidR="00D657C7" w:rsidRPr="00F85BD8" w:rsidRDefault="00D657C7" w:rsidP="00BF087A">
      <w:pPr>
        <w:ind w:left="851"/>
        <w:rPr>
          <w:sz w:val="24"/>
          <w:szCs w:val="24"/>
          <w:lang w:val="en-US"/>
        </w:rPr>
      </w:pPr>
    </w:p>
    <w:p w14:paraId="736CC336" w14:textId="77777777" w:rsidR="00D657C7" w:rsidRPr="00F85BD8" w:rsidRDefault="00D657C7" w:rsidP="00BF087A">
      <w:pPr>
        <w:ind w:left="851"/>
        <w:rPr>
          <w:i/>
          <w:sz w:val="24"/>
          <w:szCs w:val="24"/>
          <w:lang w:val="en-US"/>
        </w:rPr>
      </w:pPr>
      <w:r w:rsidRPr="00F85BD8">
        <w:rPr>
          <w:i/>
          <w:sz w:val="24"/>
          <w:szCs w:val="24"/>
          <w:lang w:val="en-US"/>
        </w:rPr>
        <w:t>Dose adjustments</w:t>
      </w:r>
    </w:p>
    <w:p w14:paraId="2E89DCD7" w14:textId="0A535725" w:rsidR="00D657C7" w:rsidRPr="00F85BD8" w:rsidRDefault="00D657C7" w:rsidP="00BF087A">
      <w:pPr>
        <w:ind w:left="851"/>
        <w:rPr>
          <w:sz w:val="24"/>
          <w:szCs w:val="24"/>
          <w:lang w:val="en-US"/>
        </w:rPr>
      </w:pPr>
      <w:r w:rsidRPr="00F85BD8">
        <w:rPr>
          <w:sz w:val="24"/>
          <w:szCs w:val="24"/>
          <w:lang w:val="en-US"/>
        </w:rPr>
        <w:t xml:space="preserve">In addition to symptomatic treatment if applicable, the management of adverse reactions to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xml:space="preserve"> (see sections 4.4 and 4.8) could include dose reduction and temporary interruption until the specific adverse reaction has resolved to levels that allow continuation of therapy.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xml:space="preserve"> treatment may be resumed at the full dose (150 mg twice daily in adult patients) or a reduced dose (100 mg twice daily in adult patients). If an adult patient does not tolerate 100 mg twice daily, treatment with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xml:space="preserve"> should be discontinued.</w:t>
      </w:r>
    </w:p>
    <w:p w14:paraId="79E9DF12" w14:textId="77777777" w:rsidR="00D657C7" w:rsidRPr="00F85BD8" w:rsidRDefault="00D657C7" w:rsidP="00BF087A">
      <w:pPr>
        <w:ind w:left="851"/>
        <w:rPr>
          <w:sz w:val="24"/>
          <w:szCs w:val="24"/>
          <w:lang w:val="en-US"/>
        </w:rPr>
      </w:pPr>
    </w:p>
    <w:p w14:paraId="1C1FB3DF" w14:textId="2FA69574" w:rsidR="00D657C7" w:rsidRPr="00F85BD8" w:rsidRDefault="00D657C7" w:rsidP="00BF087A">
      <w:pPr>
        <w:ind w:left="851"/>
        <w:rPr>
          <w:sz w:val="24"/>
          <w:szCs w:val="24"/>
          <w:lang w:val="en-US"/>
        </w:rPr>
      </w:pPr>
      <w:r w:rsidRPr="00F85BD8">
        <w:rPr>
          <w:sz w:val="24"/>
          <w:szCs w:val="24"/>
          <w:lang w:val="en-US"/>
        </w:rPr>
        <w:t xml:space="preserve">If </w:t>
      </w:r>
      <w:proofErr w:type="spellStart"/>
      <w:r w:rsidRPr="00F85BD8">
        <w:rPr>
          <w:sz w:val="24"/>
          <w:szCs w:val="24"/>
          <w:lang w:val="en-US"/>
        </w:rPr>
        <w:t>diarrhoea</w:t>
      </w:r>
      <w:proofErr w:type="spellEnd"/>
      <w:r w:rsidRPr="00F85BD8">
        <w:rPr>
          <w:sz w:val="24"/>
          <w:szCs w:val="24"/>
          <w:lang w:val="en-US"/>
        </w:rPr>
        <w:t xml:space="preserve">, nausea and/or vomiting persist despite appropriate supportive care (including anti-emetic therapy), dose reduction or treatment interruption may be required. The treatment may be resumed at a reduced dose (100 mg twice daily in adult patients) or at the full dose (150 mg twice daily in adult patients). In case of persisting severe </w:t>
      </w:r>
      <w:proofErr w:type="spellStart"/>
      <w:r w:rsidRPr="00F85BD8">
        <w:rPr>
          <w:sz w:val="24"/>
          <w:szCs w:val="24"/>
          <w:lang w:val="en-US"/>
        </w:rPr>
        <w:t>diarrhoea</w:t>
      </w:r>
      <w:proofErr w:type="spellEnd"/>
      <w:r w:rsidRPr="00F85BD8">
        <w:rPr>
          <w:sz w:val="24"/>
          <w:szCs w:val="24"/>
          <w:lang w:val="en-US"/>
        </w:rPr>
        <w:t xml:space="preserve">, nausea and/or vomiting despite symptomatic treatment, therapy with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xml:space="preserve"> should be discontinued (see section 4.4).</w:t>
      </w:r>
    </w:p>
    <w:p w14:paraId="07442F15" w14:textId="77777777" w:rsidR="00D657C7" w:rsidRPr="00F85BD8" w:rsidRDefault="00D657C7" w:rsidP="00BF087A">
      <w:pPr>
        <w:ind w:left="851"/>
        <w:rPr>
          <w:sz w:val="24"/>
          <w:szCs w:val="24"/>
          <w:lang w:val="en-US"/>
        </w:rPr>
      </w:pPr>
    </w:p>
    <w:p w14:paraId="5DCEED87" w14:textId="7F77607C" w:rsidR="00D657C7" w:rsidRPr="00F85BD8" w:rsidRDefault="00D657C7" w:rsidP="00BF087A">
      <w:pPr>
        <w:ind w:left="851"/>
        <w:rPr>
          <w:sz w:val="24"/>
          <w:szCs w:val="24"/>
          <w:lang w:val="en-US"/>
        </w:rPr>
      </w:pPr>
      <w:r w:rsidRPr="00F85BD8">
        <w:rPr>
          <w:sz w:val="24"/>
          <w:szCs w:val="24"/>
          <w:lang w:val="en-US"/>
        </w:rPr>
        <w:t xml:space="preserve">In case of interruptions due to aspartate aminotransferase (AST) or alanine aminotransferase (ALT) elevations &gt; 3x upper limit of normal (ULN), once transaminases have returned to baseline values, treatment with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xml:space="preserve"> may be reintroduced at a reduced dose (100 mg twice daily in adult patients) which subsequently may be increased to the full dose (150 mg twice daily in adult patients) (see sections 4.4 and 4.8).</w:t>
      </w:r>
    </w:p>
    <w:p w14:paraId="667B3705" w14:textId="77777777" w:rsidR="00D657C7" w:rsidRPr="00F85BD8" w:rsidRDefault="00D657C7" w:rsidP="00BF087A">
      <w:pPr>
        <w:ind w:left="851"/>
        <w:rPr>
          <w:sz w:val="24"/>
          <w:szCs w:val="24"/>
          <w:lang w:val="en-US"/>
        </w:rPr>
      </w:pPr>
    </w:p>
    <w:p w14:paraId="1FFAB8FF" w14:textId="77777777" w:rsidR="00D657C7" w:rsidRPr="00AE5920" w:rsidRDefault="00D657C7" w:rsidP="00BF087A">
      <w:pPr>
        <w:ind w:left="851"/>
        <w:rPr>
          <w:sz w:val="24"/>
          <w:szCs w:val="24"/>
          <w:u w:val="single"/>
          <w:lang w:val="en-US"/>
        </w:rPr>
      </w:pPr>
      <w:r w:rsidRPr="00AE5920">
        <w:rPr>
          <w:sz w:val="24"/>
          <w:szCs w:val="24"/>
          <w:u w:val="single"/>
          <w:lang w:val="en-US"/>
        </w:rPr>
        <w:t>Special populations</w:t>
      </w:r>
    </w:p>
    <w:p w14:paraId="7097E3FA" w14:textId="77777777" w:rsidR="00D657C7" w:rsidRPr="00AE5920" w:rsidRDefault="00D657C7" w:rsidP="00BF087A">
      <w:pPr>
        <w:ind w:left="851"/>
        <w:rPr>
          <w:sz w:val="24"/>
          <w:szCs w:val="24"/>
          <w:u w:val="single"/>
          <w:lang w:val="en-US"/>
        </w:rPr>
      </w:pPr>
    </w:p>
    <w:p w14:paraId="0E11E9C1" w14:textId="77777777" w:rsidR="00D657C7" w:rsidRPr="00F85BD8" w:rsidRDefault="00D657C7" w:rsidP="00BF087A">
      <w:pPr>
        <w:ind w:left="851"/>
        <w:rPr>
          <w:i/>
          <w:sz w:val="24"/>
          <w:szCs w:val="24"/>
          <w:lang w:val="en-US"/>
        </w:rPr>
      </w:pPr>
      <w:r w:rsidRPr="00F85BD8">
        <w:rPr>
          <w:i/>
          <w:sz w:val="24"/>
          <w:szCs w:val="24"/>
          <w:lang w:val="en-US"/>
        </w:rPr>
        <w:t>Elderly patients (≥65 years)</w:t>
      </w:r>
    </w:p>
    <w:p w14:paraId="6041555F" w14:textId="77777777" w:rsidR="00D657C7" w:rsidRPr="00F85BD8" w:rsidRDefault="00D657C7" w:rsidP="00BF087A">
      <w:pPr>
        <w:ind w:left="851"/>
        <w:rPr>
          <w:sz w:val="24"/>
          <w:szCs w:val="24"/>
          <w:lang w:val="en-US"/>
        </w:rPr>
      </w:pPr>
      <w:r w:rsidRPr="00F85BD8">
        <w:rPr>
          <w:sz w:val="24"/>
          <w:szCs w:val="24"/>
          <w:lang w:val="en-US"/>
        </w:rPr>
        <w:t xml:space="preserve">No overall differences in safety and efficacy were observed for elderly patients. No </w:t>
      </w:r>
      <w:r w:rsidRPr="00F85BD8">
        <w:rPr>
          <w:i/>
          <w:sz w:val="24"/>
          <w:szCs w:val="24"/>
          <w:lang w:val="en-US"/>
        </w:rPr>
        <w:t>a-priori</w:t>
      </w:r>
      <w:r w:rsidRPr="00F85BD8">
        <w:rPr>
          <w:sz w:val="24"/>
          <w:szCs w:val="24"/>
          <w:lang w:val="en-US"/>
        </w:rPr>
        <w:t xml:space="preserve"> dose adjustment is required in elderly patients. Patients ≥75 years may be more likely to require dose reduction to manage adverse effects (see section 5.2).</w:t>
      </w:r>
    </w:p>
    <w:p w14:paraId="4575098F" w14:textId="77777777" w:rsidR="00D657C7" w:rsidRPr="00F85BD8" w:rsidRDefault="00D657C7" w:rsidP="00BF087A">
      <w:pPr>
        <w:ind w:left="851"/>
        <w:rPr>
          <w:sz w:val="24"/>
          <w:szCs w:val="24"/>
          <w:lang w:val="en-US"/>
        </w:rPr>
      </w:pPr>
    </w:p>
    <w:p w14:paraId="35FC89F1" w14:textId="77777777" w:rsidR="00D657C7" w:rsidRPr="00F85BD8" w:rsidRDefault="00D657C7" w:rsidP="00BF087A">
      <w:pPr>
        <w:ind w:left="851"/>
        <w:rPr>
          <w:i/>
          <w:sz w:val="24"/>
          <w:szCs w:val="24"/>
          <w:lang w:val="en-US"/>
        </w:rPr>
      </w:pPr>
      <w:r w:rsidRPr="00F85BD8">
        <w:rPr>
          <w:i/>
          <w:sz w:val="24"/>
          <w:szCs w:val="24"/>
          <w:lang w:val="en-US"/>
        </w:rPr>
        <w:lastRenderedPageBreak/>
        <w:t>Renal impairment</w:t>
      </w:r>
    </w:p>
    <w:p w14:paraId="3444B7F8" w14:textId="77777777" w:rsidR="00D657C7" w:rsidRPr="00F85BD8" w:rsidRDefault="00D657C7" w:rsidP="00BF087A">
      <w:pPr>
        <w:ind w:left="851"/>
        <w:rPr>
          <w:sz w:val="24"/>
          <w:szCs w:val="24"/>
          <w:lang w:val="en-US"/>
        </w:rPr>
      </w:pPr>
      <w:r w:rsidRPr="00F85BD8">
        <w:rPr>
          <w:sz w:val="24"/>
          <w:szCs w:val="24"/>
          <w:lang w:val="en-US"/>
        </w:rPr>
        <w:t>Adjustment of the starting dose in patients with mild to moderate renal impairment is not required.</w:t>
      </w:r>
    </w:p>
    <w:p w14:paraId="3743E3D7" w14:textId="5ED96639" w:rsidR="00D657C7" w:rsidRPr="00F85BD8" w:rsidRDefault="00D657C7" w:rsidP="00BF087A">
      <w:pPr>
        <w:ind w:left="851"/>
        <w:rPr>
          <w:sz w:val="24"/>
          <w:szCs w:val="24"/>
          <w:lang w:val="en-US"/>
        </w:rPr>
      </w:pPr>
      <w:r w:rsidRPr="00F85BD8">
        <w:rPr>
          <w:sz w:val="24"/>
          <w:szCs w:val="24"/>
          <w:lang w:val="en-US"/>
        </w:rPr>
        <w:t xml:space="preserve">The safety, efficacy, and pharmacokinetics of </w:t>
      </w:r>
      <w:proofErr w:type="spellStart"/>
      <w:r w:rsidRPr="00F85BD8">
        <w:rPr>
          <w:sz w:val="24"/>
          <w:szCs w:val="24"/>
          <w:lang w:val="en-US"/>
        </w:rPr>
        <w:t>nintedanib</w:t>
      </w:r>
      <w:proofErr w:type="spellEnd"/>
      <w:r w:rsidRPr="00F85BD8">
        <w:rPr>
          <w:sz w:val="24"/>
          <w:szCs w:val="24"/>
          <w:lang w:val="en-US"/>
        </w:rPr>
        <w:t xml:space="preserve"> have not been studied in patients with severe</w:t>
      </w:r>
      <w:r w:rsidR="00F85BD8">
        <w:rPr>
          <w:sz w:val="24"/>
          <w:szCs w:val="24"/>
          <w:lang w:val="en-US"/>
        </w:rPr>
        <w:t xml:space="preserve"> </w:t>
      </w:r>
      <w:r w:rsidRPr="00F85BD8">
        <w:rPr>
          <w:sz w:val="24"/>
          <w:szCs w:val="24"/>
          <w:lang w:val="en-US"/>
        </w:rPr>
        <w:t>renal impairment (&lt;30 ml/min creatinine clearance).</w:t>
      </w:r>
    </w:p>
    <w:p w14:paraId="42888D97" w14:textId="77777777" w:rsidR="00D657C7" w:rsidRPr="00F85BD8" w:rsidRDefault="00D657C7" w:rsidP="00BF087A">
      <w:pPr>
        <w:ind w:left="851"/>
        <w:rPr>
          <w:sz w:val="24"/>
          <w:szCs w:val="24"/>
          <w:lang w:val="en-US"/>
        </w:rPr>
      </w:pPr>
    </w:p>
    <w:p w14:paraId="0BACB592" w14:textId="77777777" w:rsidR="00D657C7" w:rsidRPr="00F85BD8" w:rsidRDefault="00D657C7" w:rsidP="00BF087A">
      <w:pPr>
        <w:ind w:left="851"/>
        <w:rPr>
          <w:i/>
          <w:sz w:val="24"/>
          <w:szCs w:val="24"/>
          <w:lang w:val="en-US"/>
        </w:rPr>
      </w:pPr>
      <w:r w:rsidRPr="00F85BD8">
        <w:rPr>
          <w:i/>
          <w:sz w:val="24"/>
          <w:szCs w:val="24"/>
          <w:lang w:val="en-US"/>
        </w:rPr>
        <w:t>Hepatic impairment</w:t>
      </w:r>
    </w:p>
    <w:p w14:paraId="7BBE6219" w14:textId="25A32389" w:rsidR="00D657C7" w:rsidRPr="00F85BD8" w:rsidRDefault="00D657C7" w:rsidP="00BF087A">
      <w:pPr>
        <w:ind w:left="851"/>
        <w:rPr>
          <w:sz w:val="24"/>
          <w:szCs w:val="24"/>
          <w:lang w:val="en-US"/>
        </w:rPr>
      </w:pPr>
      <w:r w:rsidRPr="00F85BD8">
        <w:rPr>
          <w:sz w:val="24"/>
          <w:szCs w:val="24"/>
          <w:lang w:val="en-US"/>
        </w:rPr>
        <w:t xml:space="preserve">In adult patients with mild hepatic impairment (Child Pugh A), the recommended dose of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xml:space="preserve"> is 100 mg twice daily approximately 12 hours apart. In patients with mild hepatic impairment (Child Pugh A), treatment interruption or discontinuation for management of adverse reactions should be considered. The safety and efficacy of </w:t>
      </w:r>
      <w:proofErr w:type="spellStart"/>
      <w:r w:rsidRPr="00F85BD8">
        <w:rPr>
          <w:sz w:val="24"/>
          <w:szCs w:val="24"/>
          <w:lang w:val="en-US"/>
        </w:rPr>
        <w:t>nintedanib</w:t>
      </w:r>
      <w:proofErr w:type="spellEnd"/>
      <w:r w:rsidRPr="00F85BD8">
        <w:rPr>
          <w:sz w:val="24"/>
          <w:szCs w:val="24"/>
          <w:lang w:val="en-US"/>
        </w:rPr>
        <w:t xml:space="preserve"> have not been investigated in patients with hepatic impairment classified as Child Pugh B and C. Treatment of patients with moderate (Child Pugh B) and severe (Child Pugh C) hepatic impairment with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xml:space="preserve"> is not recommended (see section 5.2).</w:t>
      </w:r>
    </w:p>
    <w:p w14:paraId="51C664E6" w14:textId="77777777" w:rsidR="00D657C7" w:rsidRPr="00F85BD8" w:rsidRDefault="00D657C7" w:rsidP="00BF087A">
      <w:pPr>
        <w:ind w:left="851"/>
        <w:rPr>
          <w:sz w:val="24"/>
          <w:szCs w:val="24"/>
          <w:lang w:val="en-US"/>
        </w:rPr>
      </w:pPr>
    </w:p>
    <w:p w14:paraId="4319A34C" w14:textId="77777777" w:rsidR="00D657C7" w:rsidRPr="00F85BD8" w:rsidRDefault="00D657C7" w:rsidP="00BF087A">
      <w:pPr>
        <w:ind w:left="851"/>
        <w:rPr>
          <w:i/>
          <w:sz w:val="24"/>
          <w:szCs w:val="24"/>
          <w:lang w:val="en-US"/>
        </w:rPr>
      </w:pPr>
      <w:r w:rsidRPr="00F85BD8">
        <w:rPr>
          <w:i/>
          <w:sz w:val="24"/>
          <w:szCs w:val="24"/>
          <w:lang w:val="en-US"/>
        </w:rPr>
        <w:t>Paediatric population</w:t>
      </w:r>
    </w:p>
    <w:p w14:paraId="499A68FC" w14:textId="77777777" w:rsidR="00D657C7" w:rsidRPr="00F85BD8" w:rsidRDefault="00D657C7" w:rsidP="00BF087A">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should not be used in children (see section 4.8 and 5.1).</w:t>
      </w:r>
    </w:p>
    <w:p w14:paraId="43BA653C" w14:textId="77777777" w:rsidR="00D657C7" w:rsidRPr="00F85BD8" w:rsidRDefault="00D657C7" w:rsidP="00BF087A">
      <w:pPr>
        <w:ind w:left="851"/>
        <w:rPr>
          <w:sz w:val="24"/>
          <w:szCs w:val="24"/>
          <w:lang w:val="en-US"/>
        </w:rPr>
      </w:pPr>
    </w:p>
    <w:p w14:paraId="60CA98E5" w14:textId="77777777" w:rsidR="00D657C7" w:rsidRPr="00F85BD8" w:rsidRDefault="00D657C7" w:rsidP="00BF087A">
      <w:pPr>
        <w:ind w:left="851"/>
        <w:rPr>
          <w:sz w:val="24"/>
          <w:szCs w:val="24"/>
          <w:u w:val="single"/>
          <w:lang w:val="en-US"/>
        </w:rPr>
      </w:pPr>
      <w:r w:rsidRPr="00F85BD8">
        <w:rPr>
          <w:sz w:val="24"/>
          <w:szCs w:val="24"/>
          <w:u w:val="single"/>
          <w:lang w:val="en-US"/>
        </w:rPr>
        <w:t xml:space="preserve">Method of administration </w:t>
      </w:r>
    </w:p>
    <w:p w14:paraId="57586AD2" w14:textId="01E634E5" w:rsidR="00D657C7" w:rsidRPr="00F85BD8" w:rsidRDefault="00530769" w:rsidP="00BF087A">
      <w:pPr>
        <w:ind w:left="851"/>
        <w:rPr>
          <w:noProof/>
          <w:sz w:val="24"/>
          <w:szCs w:val="24"/>
          <w:lang w:val="en-US"/>
        </w:rPr>
      </w:pPr>
      <w:r w:rsidRPr="00F85BD8">
        <w:rPr>
          <w:noProof/>
          <w:sz w:val="24"/>
          <w:szCs w:val="24"/>
          <w:lang w:val="en-US"/>
        </w:rPr>
        <w:t>Nintedanib "Stada"</w:t>
      </w:r>
      <w:r w:rsidR="00D657C7" w:rsidRPr="00F85BD8">
        <w:rPr>
          <w:noProof/>
          <w:sz w:val="24"/>
          <w:szCs w:val="24"/>
          <w:lang w:val="en-US"/>
        </w:rPr>
        <w:t xml:space="preserve"> is for oral use. The capsules should be taken with food, swallowed whole with water, and should not be chewed. </w:t>
      </w:r>
    </w:p>
    <w:p w14:paraId="7606EE20" w14:textId="77777777" w:rsidR="00D657C7" w:rsidRPr="00F85BD8" w:rsidRDefault="00D657C7" w:rsidP="00BF087A">
      <w:pPr>
        <w:ind w:left="851"/>
        <w:rPr>
          <w:noProof/>
          <w:sz w:val="24"/>
          <w:szCs w:val="24"/>
          <w:lang w:val="en-US"/>
        </w:rPr>
      </w:pPr>
      <w:r w:rsidRPr="00F85BD8">
        <w:rPr>
          <w:noProof/>
          <w:sz w:val="24"/>
          <w:szCs w:val="24"/>
          <w:lang w:val="en-US"/>
        </w:rPr>
        <w:t>The capsule should not be opened or crushed, to prevent unintentional exposure of those handling the capsules (see section 6.6).</w:t>
      </w:r>
    </w:p>
    <w:p w14:paraId="5A59C4F6" w14:textId="77777777" w:rsidR="007C5D2A" w:rsidRPr="00F85BD8" w:rsidRDefault="007C5D2A" w:rsidP="00A85D26">
      <w:pPr>
        <w:tabs>
          <w:tab w:val="left" w:pos="851"/>
        </w:tabs>
        <w:ind w:left="851"/>
        <w:rPr>
          <w:sz w:val="24"/>
          <w:szCs w:val="24"/>
          <w:lang w:val="en-US"/>
        </w:rPr>
      </w:pPr>
    </w:p>
    <w:p w14:paraId="40E606DB"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4.3</w:t>
      </w:r>
      <w:r w:rsidRPr="00F85BD8">
        <w:rPr>
          <w:b/>
          <w:sz w:val="24"/>
          <w:szCs w:val="24"/>
          <w:lang w:val="en-GB"/>
        </w:rPr>
        <w:tab/>
        <w:t>Contraindications</w:t>
      </w:r>
    </w:p>
    <w:p w14:paraId="244E5ED5"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Hypersensitivity to the active substance or to any of the excipients listed in section 6.1.</w:t>
      </w:r>
    </w:p>
    <w:p w14:paraId="6D98D5F0"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Pregnancy (see section 4.6).</w:t>
      </w:r>
    </w:p>
    <w:p w14:paraId="0209FC25" w14:textId="77777777" w:rsidR="007C5D2A" w:rsidRPr="00F85BD8" w:rsidRDefault="007C5D2A" w:rsidP="003E0341">
      <w:pPr>
        <w:tabs>
          <w:tab w:val="left" w:pos="851"/>
        </w:tabs>
        <w:ind w:left="851"/>
        <w:rPr>
          <w:sz w:val="24"/>
          <w:szCs w:val="24"/>
          <w:lang w:val="en-GB"/>
        </w:rPr>
      </w:pPr>
    </w:p>
    <w:p w14:paraId="541AD675" w14:textId="77777777" w:rsidR="007C5D2A" w:rsidRPr="00F85BD8" w:rsidRDefault="007C5D2A" w:rsidP="007C5D2A">
      <w:pPr>
        <w:tabs>
          <w:tab w:val="left" w:pos="851"/>
        </w:tabs>
        <w:rPr>
          <w:b/>
          <w:sz w:val="24"/>
          <w:szCs w:val="24"/>
          <w:lang w:val="en-GB"/>
        </w:rPr>
      </w:pPr>
      <w:r w:rsidRPr="00F85BD8">
        <w:rPr>
          <w:b/>
          <w:sz w:val="24"/>
          <w:szCs w:val="24"/>
          <w:lang w:val="en-GB"/>
        </w:rPr>
        <w:t>4.4</w:t>
      </w:r>
      <w:r w:rsidRPr="00F85BD8">
        <w:rPr>
          <w:b/>
          <w:sz w:val="24"/>
          <w:szCs w:val="24"/>
          <w:lang w:val="en-GB"/>
        </w:rPr>
        <w:tab/>
        <w:t>Special warnings and precautions for use</w:t>
      </w:r>
    </w:p>
    <w:p w14:paraId="33FD1CAB" w14:textId="77777777" w:rsidR="00F85BD8" w:rsidRDefault="00F85BD8" w:rsidP="00BF087A">
      <w:pPr>
        <w:ind w:left="851"/>
        <w:rPr>
          <w:noProof/>
          <w:sz w:val="24"/>
          <w:szCs w:val="24"/>
          <w:lang w:val="en-GB"/>
        </w:rPr>
      </w:pPr>
    </w:p>
    <w:p w14:paraId="50B973E4" w14:textId="55338188" w:rsidR="00D657C7" w:rsidRPr="00F85BD8" w:rsidRDefault="00D657C7" w:rsidP="00BF087A">
      <w:pPr>
        <w:ind w:left="851"/>
        <w:rPr>
          <w:noProof/>
          <w:sz w:val="24"/>
          <w:szCs w:val="24"/>
          <w:u w:val="single"/>
          <w:lang w:val="en-US"/>
        </w:rPr>
      </w:pPr>
      <w:r w:rsidRPr="00F85BD8">
        <w:rPr>
          <w:noProof/>
          <w:sz w:val="24"/>
          <w:szCs w:val="24"/>
          <w:u w:val="single"/>
          <w:lang w:val="en-US"/>
        </w:rPr>
        <w:t>Gastrointestinal disorders</w:t>
      </w:r>
    </w:p>
    <w:p w14:paraId="759FD807" w14:textId="77777777" w:rsidR="00D657C7" w:rsidRPr="00F85BD8" w:rsidRDefault="00D657C7" w:rsidP="00BF087A">
      <w:pPr>
        <w:ind w:left="851"/>
        <w:rPr>
          <w:i/>
          <w:noProof/>
          <w:sz w:val="24"/>
          <w:szCs w:val="24"/>
          <w:lang w:val="en-US"/>
        </w:rPr>
      </w:pPr>
      <w:r w:rsidRPr="00F85BD8">
        <w:rPr>
          <w:i/>
          <w:noProof/>
          <w:sz w:val="24"/>
          <w:szCs w:val="24"/>
          <w:lang w:val="en-US"/>
        </w:rPr>
        <w:t>Diarrhoea</w:t>
      </w:r>
    </w:p>
    <w:p w14:paraId="102F7B75" w14:textId="77777777" w:rsidR="00D657C7" w:rsidRPr="00F85BD8" w:rsidRDefault="00D657C7" w:rsidP="00BF087A">
      <w:pPr>
        <w:ind w:left="851"/>
        <w:rPr>
          <w:noProof/>
          <w:sz w:val="24"/>
          <w:szCs w:val="24"/>
          <w:lang w:val="en-US"/>
        </w:rPr>
      </w:pPr>
      <w:r w:rsidRPr="00F85BD8">
        <w:rPr>
          <w:noProof/>
          <w:sz w:val="24"/>
          <w:szCs w:val="24"/>
          <w:lang w:val="en-US"/>
        </w:rPr>
        <w:t>In the clinical trials (see section 5.1), diarrhoea was the most frequent gastro-intestinal adverse reaction reported (see section 4.8). In most patients, the adverse reaction was of mild to moderate intensity and occurred within the first 3 months of treatment.</w:t>
      </w:r>
    </w:p>
    <w:p w14:paraId="089FF52C" w14:textId="77777777" w:rsidR="00D657C7" w:rsidRPr="00F85BD8" w:rsidRDefault="00D657C7" w:rsidP="00BF087A">
      <w:pPr>
        <w:ind w:left="851"/>
        <w:rPr>
          <w:noProof/>
          <w:sz w:val="24"/>
          <w:szCs w:val="24"/>
          <w:lang w:val="en-US"/>
        </w:rPr>
      </w:pPr>
    </w:p>
    <w:p w14:paraId="7B8D5F44" w14:textId="56ADF994" w:rsidR="00D657C7" w:rsidRPr="00F85BD8" w:rsidRDefault="00D657C7" w:rsidP="00BF087A">
      <w:pPr>
        <w:ind w:left="851"/>
        <w:rPr>
          <w:noProof/>
          <w:sz w:val="24"/>
          <w:szCs w:val="24"/>
          <w:lang w:val="en-US"/>
        </w:rPr>
      </w:pPr>
      <w:r w:rsidRPr="00F85BD8">
        <w:rPr>
          <w:noProof/>
          <w:sz w:val="24"/>
          <w:szCs w:val="24"/>
          <w:lang w:val="en-US"/>
        </w:rPr>
        <w:t xml:space="preserve">Serious cases of diarrhoea leading to dehydration and electrolyte disturbances have been reported in the post-marketing. Patients should be treated at first signs with adequate hydration and anti-diarrhoeal medicinal products, e.g. loperamide, and may require dose reduction or treatment interruption. </w:t>
      </w:r>
      <w:r w:rsidR="00530769" w:rsidRPr="00F85BD8">
        <w:rPr>
          <w:noProof/>
          <w:sz w:val="24"/>
          <w:szCs w:val="24"/>
          <w:lang w:val="en-US"/>
        </w:rPr>
        <w:t>Nintedanib "Stada"</w:t>
      </w:r>
      <w:r w:rsidRPr="00F85BD8">
        <w:rPr>
          <w:noProof/>
          <w:sz w:val="24"/>
          <w:szCs w:val="24"/>
          <w:lang w:val="en-US"/>
        </w:rPr>
        <w:t xml:space="preserve"> treatment may be resumed at a reduced dose or at the full dose (see section 4.2 Dose adjustments). In case of persisting severe diarrhoea despite symptomatic treatment, therapy with </w:t>
      </w:r>
      <w:r w:rsidR="00530769" w:rsidRPr="00F85BD8">
        <w:rPr>
          <w:noProof/>
          <w:sz w:val="24"/>
          <w:szCs w:val="24"/>
          <w:lang w:val="en-US"/>
        </w:rPr>
        <w:t>Nintedanib "Stada"</w:t>
      </w:r>
      <w:r w:rsidRPr="00F85BD8">
        <w:rPr>
          <w:noProof/>
          <w:sz w:val="24"/>
          <w:szCs w:val="24"/>
          <w:lang w:val="en-US"/>
        </w:rPr>
        <w:t xml:space="preserve"> should be discontinued.</w:t>
      </w:r>
    </w:p>
    <w:p w14:paraId="798C9C13" w14:textId="77777777" w:rsidR="00D657C7" w:rsidRPr="00F85BD8" w:rsidRDefault="00D657C7" w:rsidP="00BF087A">
      <w:pPr>
        <w:ind w:left="851"/>
        <w:rPr>
          <w:noProof/>
          <w:sz w:val="24"/>
          <w:szCs w:val="24"/>
          <w:lang w:val="en-US"/>
        </w:rPr>
      </w:pPr>
    </w:p>
    <w:p w14:paraId="224C8628" w14:textId="77777777" w:rsidR="00D657C7" w:rsidRPr="00F85BD8" w:rsidRDefault="00D657C7" w:rsidP="00BF087A">
      <w:pPr>
        <w:ind w:left="851"/>
        <w:rPr>
          <w:i/>
          <w:noProof/>
          <w:sz w:val="24"/>
          <w:szCs w:val="24"/>
          <w:lang w:val="en-US"/>
        </w:rPr>
      </w:pPr>
      <w:r w:rsidRPr="00F85BD8">
        <w:rPr>
          <w:i/>
          <w:noProof/>
          <w:sz w:val="24"/>
          <w:szCs w:val="24"/>
          <w:lang w:val="en-US"/>
        </w:rPr>
        <w:t>Nausea and vomiting</w:t>
      </w:r>
    </w:p>
    <w:p w14:paraId="6CC36CBE" w14:textId="44D45C9F" w:rsidR="00D657C7" w:rsidRPr="00F85BD8" w:rsidRDefault="00D657C7" w:rsidP="00BF087A">
      <w:pPr>
        <w:ind w:left="851"/>
        <w:rPr>
          <w:noProof/>
          <w:sz w:val="24"/>
          <w:szCs w:val="24"/>
          <w:lang w:val="en-US"/>
        </w:rPr>
      </w:pPr>
      <w:r w:rsidRPr="00F85BD8">
        <w:rPr>
          <w:noProof/>
          <w:sz w:val="24"/>
          <w:szCs w:val="24"/>
          <w:lang w:val="en-US"/>
        </w:rPr>
        <w:t xml:space="preserve">Nausea and vomiting were frequently reported gastrointestinal adverse reactions (see section 4.8). In most patients with nausea and vomiting, the event was of mild to moderate intensity. In clinical trials, nausea led to discontinuation of </w:t>
      </w:r>
      <w:r w:rsidR="00530769" w:rsidRPr="00F85BD8">
        <w:rPr>
          <w:noProof/>
          <w:sz w:val="24"/>
          <w:szCs w:val="24"/>
          <w:lang w:val="en-US"/>
        </w:rPr>
        <w:t>Nintedanib "Stada"</w:t>
      </w:r>
      <w:r w:rsidRPr="00F85BD8">
        <w:rPr>
          <w:noProof/>
          <w:sz w:val="24"/>
          <w:szCs w:val="24"/>
          <w:lang w:val="en-US"/>
        </w:rPr>
        <w:t xml:space="preserve"> in up to 2.1% of patients and vomiting led to discontinuation of </w:t>
      </w:r>
      <w:r w:rsidR="00530769" w:rsidRPr="00F85BD8">
        <w:rPr>
          <w:noProof/>
          <w:sz w:val="24"/>
          <w:szCs w:val="24"/>
          <w:lang w:val="en-US"/>
        </w:rPr>
        <w:t>Nintedanib "Stada"</w:t>
      </w:r>
      <w:r w:rsidRPr="00F85BD8">
        <w:rPr>
          <w:noProof/>
          <w:sz w:val="24"/>
          <w:szCs w:val="24"/>
          <w:lang w:val="en-US"/>
        </w:rPr>
        <w:t xml:space="preserve"> in up to 1.4% of patients.</w:t>
      </w:r>
    </w:p>
    <w:p w14:paraId="202FA86A" w14:textId="77777777" w:rsidR="00D657C7" w:rsidRPr="00F85BD8" w:rsidRDefault="00D657C7" w:rsidP="00BF087A">
      <w:pPr>
        <w:ind w:left="851"/>
        <w:rPr>
          <w:noProof/>
          <w:sz w:val="24"/>
          <w:szCs w:val="24"/>
          <w:lang w:val="en-US"/>
        </w:rPr>
      </w:pPr>
    </w:p>
    <w:p w14:paraId="5F5CB9DB" w14:textId="5D51B732" w:rsidR="00D657C7" w:rsidRPr="00F85BD8" w:rsidRDefault="00D657C7" w:rsidP="00BF087A">
      <w:pPr>
        <w:ind w:left="851"/>
        <w:rPr>
          <w:noProof/>
          <w:sz w:val="24"/>
          <w:szCs w:val="24"/>
          <w:lang w:val="en-US"/>
        </w:rPr>
      </w:pPr>
      <w:r w:rsidRPr="00F85BD8">
        <w:rPr>
          <w:noProof/>
          <w:sz w:val="24"/>
          <w:szCs w:val="24"/>
          <w:lang w:val="en-US"/>
        </w:rPr>
        <w:t xml:space="preserve">If symptoms persist despite appropriate supportive care (including anti-emetic therapy), dose reduction or treatment interruption may be required. The treatment may be resumed at a reduced dose or at the full dose (see section 4.2 Dose adjustments). In case of persisting severe symptoms therapy with </w:t>
      </w:r>
      <w:r w:rsidR="00530769" w:rsidRPr="00F85BD8">
        <w:rPr>
          <w:noProof/>
          <w:sz w:val="24"/>
          <w:szCs w:val="24"/>
          <w:lang w:val="en-US"/>
        </w:rPr>
        <w:t>Nintedanib "Stada"</w:t>
      </w:r>
      <w:r w:rsidRPr="00F85BD8">
        <w:rPr>
          <w:noProof/>
          <w:sz w:val="24"/>
          <w:szCs w:val="24"/>
          <w:lang w:val="en-US"/>
        </w:rPr>
        <w:t xml:space="preserve"> should be discontinued.</w:t>
      </w:r>
    </w:p>
    <w:p w14:paraId="0352EE1D" w14:textId="77777777" w:rsidR="00D657C7" w:rsidRPr="00F85BD8" w:rsidRDefault="00D657C7" w:rsidP="00BF087A">
      <w:pPr>
        <w:ind w:left="851"/>
        <w:rPr>
          <w:noProof/>
          <w:sz w:val="24"/>
          <w:szCs w:val="24"/>
          <w:lang w:val="en-US"/>
        </w:rPr>
      </w:pPr>
    </w:p>
    <w:p w14:paraId="1F858310" w14:textId="77777777" w:rsidR="00D657C7" w:rsidRPr="00F85BD8" w:rsidRDefault="00D657C7" w:rsidP="00BF087A">
      <w:pPr>
        <w:ind w:left="851"/>
        <w:rPr>
          <w:noProof/>
          <w:sz w:val="24"/>
          <w:szCs w:val="24"/>
          <w:u w:val="single"/>
          <w:lang w:val="en-US"/>
        </w:rPr>
      </w:pPr>
      <w:r w:rsidRPr="00F85BD8">
        <w:rPr>
          <w:noProof/>
          <w:sz w:val="24"/>
          <w:szCs w:val="24"/>
          <w:u w:val="single"/>
          <w:lang w:val="en-US"/>
        </w:rPr>
        <w:t>Hepatic function</w:t>
      </w:r>
    </w:p>
    <w:p w14:paraId="6001BCF4" w14:textId="15AEFE41" w:rsidR="00D657C7" w:rsidRPr="00F85BD8" w:rsidRDefault="00D657C7" w:rsidP="00BF087A">
      <w:pPr>
        <w:ind w:left="851"/>
        <w:rPr>
          <w:noProof/>
          <w:sz w:val="24"/>
          <w:szCs w:val="24"/>
          <w:lang w:val="en-US"/>
        </w:rPr>
      </w:pPr>
      <w:r w:rsidRPr="00F85BD8">
        <w:rPr>
          <w:noProof/>
          <w:sz w:val="24"/>
          <w:szCs w:val="24"/>
          <w:lang w:val="en-US"/>
        </w:rPr>
        <w:t xml:space="preserve">The safety and efficacy of nintedanib has not been studied in patients with moderate (Child Pugh B) or severe (Child Pugh C) hepatic impairment. Therefore, treatment with </w:t>
      </w:r>
      <w:r w:rsidR="00530769" w:rsidRPr="00F85BD8">
        <w:rPr>
          <w:noProof/>
          <w:sz w:val="24"/>
          <w:szCs w:val="24"/>
          <w:lang w:val="en-US"/>
        </w:rPr>
        <w:t>Nintedanib "Stada"</w:t>
      </w:r>
      <w:r w:rsidRPr="00F85BD8">
        <w:rPr>
          <w:noProof/>
          <w:sz w:val="24"/>
          <w:szCs w:val="24"/>
          <w:lang w:val="en-US"/>
        </w:rPr>
        <w:t xml:space="preserve"> is not recommended in such patients (see section 4.2). Based on increased exposure, the risk for adverse reactions may be increased in patients with mild hepatic impairment (Child Pugh A). Adult patients with mild hepatic impairment (Child Pugh A) should be treated with a reduced dose of </w:t>
      </w:r>
      <w:r w:rsidR="00530769" w:rsidRPr="00F85BD8">
        <w:rPr>
          <w:noProof/>
          <w:sz w:val="24"/>
          <w:szCs w:val="24"/>
          <w:lang w:val="en-US"/>
        </w:rPr>
        <w:t>Nintedanib "Stada"</w:t>
      </w:r>
      <w:r w:rsidRPr="00F85BD8">
        <w:rPr>
          <w:noProof/>
          <w:sz w:val="24"/>
          <w:szCs w:val="24"/>
          <w:lang w:val="en-US"/>
        </w:rPr>
        <w:t xml:space="preserve"> (see sections 4.2 and 5.2).</w:t>
      </w:r>
    </w:p>
    <w:p w14:paraId="3DBAB9B4" w14:textId="77777777" w:rsidR="00D657C7" w:rsidRPr="00F85BD8" w:rsidRDefault="00D657C7" w:rsidP="00BF087A">
      <w:pPr>
        <w:ind w:left="851"/>
        <w:rPr>
          <w:noProof/>
          <w:sz w:val="24"/>
          <w:szCs w:val="24"/>
          <w:lang w:val="en-US"/>
        </w:rPr>
      </w:pPr>
    </w:p>
    <w:p w14:paraId="3F72F8CB" w14:textId="032D64E8" w:rsidR="00D657C7" w:rsidRPr="00F85BD8" w:rsidRDefault="00D657C7" w:rsidP="00BF087A">
      <w:pPr>
        <w:ind w:left="851"/>
        <w:rPr>
          <w:noProof/>
          <w:sz w:val="24"/>
          <w:szCs w:val="24"/>
          <w:lang w:val="en-US"/>
        </w:rPr>
      </w:pPr>
      <w:r w:rsidRPr="00F85BD8">
        <w:rPr>
          <w:noProof/>
          <w:sz w:val="24"/>
          <w:szCs w:val="24"/>
          <w:lang w:val="en-US"/>
        </w:rPr>
        <w:t xml:space="preserve">Cases of drug-induced liver injury have been observed with nintedanib treatment, including severe liver injury with fatal outcome. The majority of hepatic events occur within the first three months of treatment. Therefore, hepatic transaminase and bilirubin levels should be investigated before treatment initiation and during the first month of treatment with </w:t>
      </w:r>
      <w:r w:rsidR="00530769" w:rsidRPr="00F85BD8">
        <w:rPr>
          <w:noProof/>
          <w:sz w:val="24"/>
          <w:szCs w:val="24"/>
          <w:lang w:val="en-US"/>
        </w:rPr>
        <w:t>Nintedanib "Stada"</w:t>
      </w:r>
      <w:r w:rsidRPr="00F85BD8">
        <w:rPr>
          <w:noProof/>
          <w:sz w:val="24"/>
          <w:szCs w:val="24"/>
          <w:lang w:val="en-US"/>
        </w:rPr>
        <w:t>. Patients should then be monitored at regular intervals during the subsequent two months of treatment and periodically thereafter, e.g. at each patient visit or as clinically indicated.</w:t>
      </w:r>
    </w:p>
    <w:p w14:paraId="38BF6BBF" w14:textId="77777777" w:rsidR="00D657C7" w:rsidRPr="00F85BD8" w:rsidRDefault="00D657C7" w:rsidP="00BF087A">
      <w:pPr>
        <w:ind w:left="851"/>
        <w:rPr>
          <w:noProof/>
          <w:sz w:val="24"/>
          <w:szCs w:val="24"/>
          <w:lang w:val="en-US"/>
        </w:rPr>
      </w:pPr>
    </w:p>
    <w:p w14:paraId="22955CB9" w14:textId="03BA3C37" w:rsidR="00D657C7" w:rsidRPr="00F85BD8" w:rsidRDefault="00D657C7" w:rsidP="00BF087A">
      <w:pPr>
        <w:ind w:left="851"/>
        <w:rPr>
          <w:noProof/>
          <w:sz w:val="24"/>
          <w:szCs w:val="24"/>
          <w:lang w:val="en-US"/>
        </w:rPr>
      </w:pPr>
      <w:r w:rsidRPr="00F85BD8">
        <w:rPr>
          <w:noProof/>
          <w:sz w:val="24"/>
          <w:szCs w:val="24"/>
          <w:lang w:val="en-US"/>
        </w:rPr>
        <w:t xml:space="preserve">Elevations of liver enzymes (ALT, AST, blood alkaline phosphatase (ALKP), gamma-glutamyltransferase (GGT), see section 4.8) and bilirubin were reversible upon dose reduction or interruption in the majority of cases. If transaminase (AST or ALT) elevations &gt; 3x ULN are measured, dose reduction or interruption of the therapy with </w:t>
      </w:r>
      <w:r w:rsidR="00530769" w:rsidRPr="00F85BD8">
        <w:rPr>
          <w:noProof/>
          <w:sz w:val="24"/>
          <w:szCs w:val="24"/>
          <w:lang w:val="en-US"/>
        </w:rPr>
        <w:t>Nintedanib "Stada"</w:t>
      </w:r>
      <w:r w:rsidRPr="00F85BD8">
        <w:rPr>
          <w:noProof/>
          <w:sz w:val="24"/>
          <w:szCs w:val="24"/>
          <w:lang w:val="en-US"/>
        </w:rPr>
        <w:t xml:space="preserve"> is recommended and the patient should be monitored closely. Once transaminases have returned to baseline values, treatment with </w:t>
      </w:r>
      <w:r w:rsidR="00530769" w:rsidRPr="00F85BD8">
        <w:rPr>
          <w:noProof/>
          <w:sz w:val="24"/>
          <w:szCs w:val="24"/>
          <w:lang w:val="en-US"/>
        </w:rPr>
        <w:t>Nintedanib "Stada"</w:t>
      </w:r>
      <w:r w:rsidRPr="00F85BD8">
        <w:rPr>
          <w:noProof/>
          <w:sz w:val="24"/>
          <w:szCs w:val="24"/>
          <w:lang w:val="en-US"/>
        </w:rPr>
        <w:t xml:space="preserve"> may be resumed at the full dose or reintroduced at a reduced dose which subsequently may be increased to the full dose (see section 4.2</w:t>
      </w:r>
      <w:r w:rsidRPr="00F85BD8">
        <w:rPr>
          <w:sz w:val="24"/>
          <w:szCs w:val="24"/>
          <w:lang w:val="en-US"/>
        </w:rPr>
        <w:t xml:space="preserve"> </w:t>
      </w:r>
      <w:r w:rsidRPr="00F85BD8">
        <w:rPr>
          <w:noProof/>
          <w:sz w:val="24"/>
          <w:szCs w:val="24"/>
          <w:lang w:val="en-US"/>
        </w:rPr>
        <w:t xml:space="preserve">Dose adjustments). If any liver test elevations are associated with clinical signs or symptoms of liver injury, e.g. jaundice, treatment with </w:t>
      </w:r>
      <w:r w:rsidR="00530769" w:rsidRPr="00F85BD8">
        <w:rPr>
          <w:noProof/>
          <w:sz w:val="24"/>
          <w:szCs w:val="24"/>
          <w:lang w:val="en-US"/>
        </w:rPr>
        <w:t>Nintedanib "Stada"</w:t>
      </w:r>
      <w:r w:rsidRPr="00F85BD8">
        <w:rPr>
          <w:noProof/>
          <w:sz w:val="24"/>
          <w:szCs w:val="24"/>
          <w:lang w:val="en-US"/>
        </w:rPr>
        <w:t xml:space="preserve"> should be permanently discontinued. Alternative causes of the liver enzyme elevations should be investigated.</w:t>
      </w:r>
    </w:p>
    <w:p w14:paraId="5712F2FB" w14:textId="77777777" w:rsidR="00D657C7" w:rsidRPr="00F85BD8" w:rsidRDefault="00D657C7" w:rsidP="00BF087A">
      <w:pPr>
        <w:ind w:left="851"/>
        <w:rPr>
          <w:noProof/>
          <w:sz w:val="24"/>
          <w:szCs w:val="24"/>
          <w:lang w:val="en-US"/>
        </w:rPr>
      </w:pPr>
    </w:p>
    <w:p w14:paraId="0D0075DB" w14:textId="77777777" w:rsidR="00D657C7" w:rsidRPr="00F85BD8" w:rsidRDefault="00D657C7" w:rsidP="00BF087A">
      <w:pPr>
        <w:ind w:left="851"/>
        <w:rPr>
          <w:noProof/>
          <w:sz w:val="24"/>
          <w:szCs w:val="24"/>
          <w:lang w:val="en-US"/>
        </w:rPr>
      </w:pPr>
      <w:r w:rsidRPr="00F85BD8">
        <w:rPr>
          <w:noProof/>
          <w:sz w:val="24"/>
          <w:szCs w:val="24"/>
          <w:lang w:val="en-US"/>
        </w:rPr>
        <w:t>Adult patients with low body weight (&lt;65 kg), Asian and female patients have a higher risk of elevations of liver enzymes. Nintedanib exposure increased linearly with patient age, which may also result in a higher risk of developing liver enzyme elevations (see section 5.2). Close monitoring is recommended in patients with these risk factors.</w:t>
      </w:r>
    </w:p>
    <w:p w14:paraId="65B610E6" w14:textId="77777777" w:rsidR="00D657C7" w:rsidRPr="00F85BD8" w:rsidRDefault="00D657C7" w:rsidP="00BF087A">
      <w:pPr>
        <w:ind w:left="851"/>
        <w:rPr>
          <w:noProof/>
          <w:sz w:val="24"/>
          <w:szCs w:val="24"/>
          <w:lang w:val="en-US"/>
        </w:rPr>
      </w:pPr>
    </w:p>
    <w:p w14:paraId="14B32631" w14:textId="77777777" w:rsidR="00D657C7" w:rsidRPr="00F85BD8" w:rsidRDefault="00D657C7" w:rsidP="00BF087A">
      <w:pPr>
        <w:ind w:left="851"/>
        <w:rPr>
          <w:noProof/>
          <w:sz w:val="24"/>
          <w:szCs w:val="24"/>
          <w:u w:val="single"/>
          <w:lang w:val="en-US"/>
        </w:rPr>
      </w:pPr>
      <w:r w:rsidRPr="00F85BD8">
        <w:rPr>
          <w:noProof/>
          <w:sz w:val="24"/>
          <w:szCs w:val="24"/>
          <w:u w:val="single"/>
          <w:lang w:val="en-US"/>
        </w:rPr>
        <w:t>Renal function</w:t>
      </w:r>
    </w:p>
    <w:p w14:paraId="37CCE916" w14:textId="77777777" w:rsidR="00D657C7" w:rsidRPr="00F85BD8" w:rsidRDefault="00D657C7" w:rsidP="00BF087A">
      <w:pPr>
        <w:ind w:left="851"/>
        <w:rPr>
          <w:noProof/>
          <w:sz w:val="24"/>
          <w:szCs w:val="24"/>
          <w:lang w:val="en-US"/>
        </w:rPr>
      </w:pPr>
      <w:r w:rsidRPr="00F85BD8">
        <w:rPr>
          <w:noProof/>
          <w:sz w:val="24"/>
          <w:szCs w:val="24"/>
          <w:lang w:val="en-US"/>
        </w:rPr>
        <w:t>Cases of renal impairment/failure, in some cases with fatal outcome, have been reported with nintedanib use (see section 4.8).</w:t>
      </w:r>
    </w:p>
    <w:p w14:paraId="4B16CF2D" w14:textId="77777777" w:rsidR="00D657C7" w:rsidRPr="00F85BD8" w:rsidRDefault="00D657C7" w:rsidP="00BF087A">
      <w:pPr>
        <w:ind w:left="851"/>
        <w:rPr>
          <w:noProof/>
          <w:sz w:val="24"/>
          <w:szCs w:val="24"/>
          <w:lang w:val="en-US"/>
        </w:rPr>
      </w:pPr>
      <w:r w:rsidRPr="00F85BD8">
        <w:rPr>
          <w:noProof/>
          <w:sz w:val="24"/>
          <w:szCs w:val="24"/>
          <w:lang w:val="en-US"/>
        </w:rPr>
        <w:t>Patients should be monitored during nintedanib therapy, with particular attention to those patients exhibiting risk factors for renal impairment/failure. In case of renal impairment/failure, therapy adjustment should be considered (see section 4.2 Dose adjustments).</w:t>
      </w:r>
    </w:p>
    <w:p w14:paraId="4516D78D" w14:textId="77777777" w:rsidR="00D657C7" w:rsidRPr="00F85BD8" w:rsidRDefault="00D657C7" w:rsidP="00BF087A">
      <w:pPr>
        <w:ind w:left="851"/>
        <w:rPr>
          <w:noProof/>
          <w:sz w:val="24"/>
          <w:szCs w:val="24"/>
          <w:lang w:val="en-US"/>
        </w:rPr>
      </w:pPr>
    </w:p>
    <w:p w14:paraId="18580CC6" w14:textId="77777777" w:rsidR="00D657C7" w:rsidRPr="00F85BD8" w:rsidRDefault="00D657C7" w:rsidP="00BF087A">
      <w:pPr>
        <w:ind w:left="851"/>
        <w:rPr>
          <w:noProof/>
          <w:sz w:val="24"/>
          <w:szCs w:val="24"/>
          <w:u w:val="single"/>
          <w:lang w:val="en-US"/>
        </w:rPr>
      </w:pPr>
      <w:r w:rsidRPr="00F85BD8">
        <w:rPr>
          <w:noProof/>
          <w:sz w:val="24"/>
          <w:szCs w:val="24"/>
          <w:u w:val="single"/>
          <w:lang w:val="en-US"/>
        </w:rPr>
        <w:t>Haemorrhage</w:t>
      </w:r>
    </w:p>
    <w:p w14:paraId="04EEC586" w14:textId="77777777" w:rsidR="00D657C7" w:rsidRPr="00F85BD8" w:rsidRDefault="00D657C7" w:rsidP="00BF087A">
      <w:pPr>
        <w:ind w:left="851"/>
        <w:rPr>
          <w:noProof/>
          <w:sz w:val="24"/>
          <w:szCs w:val="24"/>
          <w:lang w:val="en-US"/>
        </w:rPr>
      </w:pPr>
      <w:r w:rsidRPr="00F85BD8">
        <w:rPr>
          <w:noProof/>
          <w:sz w:val="24"/>
          <w:szCs w:val="24"/>
          <w:lang w:val="en-US"/>
        </w:rPr>
        <w:t>Vascular endothelial growth factor receptor (VEGFR) inhibition might be associated with an increased risk of bleeding.</w:t>
      </w:r>
    </w:p>
    <w:p w14:paraId="571C64FE" w14:textId="77777777" w:rsidR="00D657C7" w:rsidRPr="00F85BD8" w:rsidRDefault="00D657C7" w:rsidP="00BF087A">
      <w:pPr>
        <w:ind w:left="851"/>
        <w:rPr>
          <w:noProof/>
          <w:sz w:val="24"/>
          <w:szCs w:val="24"/>
          <w:lang w:val="en-US"/>
        </w:rPr>
      </w:pPr>
    </w:p>
    <w:p w14:paraId="775B50C4" w14:textId="3DCE3A20" w:rsidR="00D657C7" w:rsidRPr="00F85BD8" w:rsidRDefault="00D657C7" w:rsidP="00BF087A">
      <w:pPr>
        <w:ind w:left="851"/>
        <w:rPr>
          <w:noProof/>
          <w:sz w:val="24"/>
          <w:szCs w:val="24"/>
          <w:lang w:val="en-US"/>
        </w:rPr>
      </w:pPr>
      <w:r w:rsidRPr="00F85BD8">
        <w:rPr>
          <w:noProof/>
          <w:sz w:val="24"/>
          <w:szCs w:val="24"/>
          <w:lang w:val="en-US"/>
        </w:rPr>
        <w:t xml:space="preserve">Patients at known risk for bleeding including patients with inherited predisposition to bleeding or patients receiving a full dose of anticoagulative treatment were not included in the clinical trials. Non-serious and serious bleeding events, some of which were fatal, have been reported in the postmarketing period (including patients with or without anticoagulant therapy or other medicinal products that could cause bleeding). Therefore, these patients should only be treated with </w:t>
      </w:r>
      <w:r w:rsidR="00530769" w:rsidRPr="00F85BD8">
        <w:rPr>
          <w:noProof/>
          <w:sz w:val="24"/>
          <w:szCs w:val="24"/>
          <w:lang w:val="en-US"/>
        </w:rPr>
        <w:t>Nintedanib "Stada"</w:t>
      </w:r>
      <w:r w:rsidRPr="00F85BD8">
        <w:rPr>
          <w:noProof/>
          <w:sz w:val="24"/>
          <w:szCs w:val="24"/>
          <w:lang w:val="en-US"/>
        </w:rPr>
        <w:t xml:space="preserve"> if the anticipated benefit outweighs the potential risk.</w:t>
      </w:r>
    </w:p>
    <w:p w14:paraId="05367002" w14:textId="77777777" w:rsidR="00D657C7" w:rsidRPr="00F85BD8" w:rsidRDefault="00D657C7" w:rsidP="00BF087A">
      <w:pPr>
        <w:ind w:left="851"/>
        <w:rPr>
          <w:noProof/>
          <w:sz w:val="24"/>
          <w:szCs w:val="24"/>
          <w:lang w:val="en-US"/>
        </w:rPr>
      </w:pPr>
    </w:p>
    <w:p w14:paraId="1473B97F" w14:textId="77777777" w:rsidR="00D657C7" w:rsidRPr="00F85BD8" w:rsidRDefault="00D657C7" w:rsidP="00BF087A">
      <w:pPr>
        <w:ind w:left="851"/>
        <w:rPr>
          <w:noProof/>
          <w:sz w:val="24"/>
          <w:szCs w:val="24"/>
          <w:u w:val="single"/>
          <w:lang w:val="en-US"/>
        </w:rPr>
      </w:pPr>
      <w:r w:rsidRPr="00F85BD8">
        <w:rPr>
          <w:noProof/>
          <w:sz w:val="24"/>
          <w:szCs w:val="24"/>
          <w:u w:val="single"/>
          <w:lang w:val="en-US"/>
        </w:rPr>
        <w:t>Arterial thromboembolic events</w:t>
      </w:r>
    </w:p>
    <w:p w14:paraId="369FFC87" w14:textId="77777777" w:rsidR="00D657C7" w:rsidRPr="00F85BD8" w:rsidRDefault="00D657C7" w:rsidP="00BF087A">
      <w:pPr>
        <w:ind w:left="851"/>
        <w:rPr>
          <w:noProof/>
          <w:sz w:val="24"/>
          <w:szCs w:val="24"/>
          <w:lang w:val="en-US"/>
        </w:rPr>
      </w:pPr>
      <w:r w:rsidRPr="00F85BD8">
        <w:rPr>
          <w:noProof/>
          <w:sz w:val="24"/>
          <w:szCs w:val="24"/>
          <w:lang w:val="en-US"/>
        </w:rPr>
        <w:t>Patients with a recent history of myocardial infarction or stroke were excluded from the clinical trials.</w:t>
      </w:r>
    </w:p>
    <w:p w14:paraId="32A79425" w14:textId="77777777" w:rsidR="00D657C7" w:rsidRPr="00F85BD8" w:rsidRDefault="00D657C7" w:rsidP="00BF087A">
      <w:pPr>
        <w:ind w:left="851"/>
        <w:rPr>
          <w:noProof/>
          <w:sz w:val="24"/>
          <w:szCs w:val="24"/>
          <w:lang w:val="en-US"/>
        </w:rPr>
      </w:pPr>
      <w:r w:rsidRPr="00F85BD8">
        <w:rPr>
          <w:noProof/>
          <w:sz w:val="24"/>
          <w:szCs w:val="24"/>
          <w:lang w:val="en-US"/>
        </w:rPr>
        <w:t xml:space="preserve">In the clinical trials in adult patients, arterial thromboembolic events were infrequently reported (nintedanib 2.5% versus placebo 0.7% for INPULSIS; nitedanib 0.9% versus placebo 0.9% for INBUILD; nintedanib 0.7% versus placebo 0.7% for SENSCIS). In the INPULSIS trials, a higher percentage of patients experienced myocardial infarctions in the nintedanib group (1.6%) compared to the placebo group (0.5%), while adverse events reflecting ischaemic heart disease were balanced between the nintedanib and placebo groups. In the INBUILD trial, myocardial infarction was observed with low frequency: nintedanib 0.9% versus placebo 0.9%. In the SENSCIS trial, myocardial infarction was observed with low frequency in the placebo group (0.7%) and not observed in the nintedanib group. </w:t>
      </w:r>
    </w:p>
    <w:p w14:paraId="61EB25C2" w14:textId="77777777" w:rsidR="00D657C7" w:rsidRPr="00F85BD8" w:rsidRDefault="00D657C7" w:rsidP="00BF087A">
      <w:pPr>
        <w:ind w:left="851"/>
        <w:rPr>
          <w:noProof/>
          <w:sz w:val="24"/>
          <w:szCs w:val="24"/>
          <w:lang w:val="en-US"/>
        </w:rPr>
      </w:pPr>
      <w:r w:rsidRPr="00F85BD8">
        <w:rPr>
          <w:noProof/>
          <w:sz w:val="24"/>
          <w:szCs w:val="24"/>
          <w:lang w:val="en-US"/>
        </w:rPr>
        <w:t>Caution should be used when treating patients at higher cardiovascular risk including known coronary artery disease. Treatment interruption should be considered in patients who develop signs or symptoms of acute myocardial ischemia.</w:t>
      </w:r>
    </w:p>
    <w:p w14:paraId="151466E9" w14:textId="77777777" w:rsidR="00D657C7" w:rsidRPr="00F85BD8" w:rsidRDefault="00D657C7" w:rsidP="00BF087A">
      <w:pPr>
        <w:ind w:left="851"/>
        <w:rPr>
          <w:noProof/>
          <w:sz w:val="24"/>
          <w:szCs w:val="24"/>
          <w:lang w:val="en-US"/>
        </w:rPr>
      </w:pPr>
    </w:p>
    <w:p w14:paraId="4ABCAD8B" w14:textId="77777777" w:rsidR="00D657C7" w:rsidRPr="00F85BD8" w:rsidRDefault="00D657C7" w:rsidP="00BF087A">
      <w:pPr>
        <w:ind w:left="851"/>
        <w:rPr>
          <w:noProof/>
          <w:sz w:val="24"/>
          <w:szCs w:val="24"/>
          <w:u w:val="single"/>
          <w:lang w:val="en-US"/>
        </w:rPr>
      </w:pPr>
      <w:r w:rsidRPr="00F85BD8">
        <w:rPr>
          <w:noProof/>
          <w:sz w:val="24"/>
          <w:szCs w:val="24"/>
          <w:u w:val="single"/>
          <w:lang w:val="en-US"/>
        </w:rPr>
        <w:t>Aneurysms and artery dissections</w:t>
      </w:r>
    </w:p>
    <w:p w14:paraId="435A907A" w14:textId="19B54515" w:rsidR="00D657C7" w:rsidRPr="00F85BD8" w:rsidRDefault="00D657C7" w:rsidP="00BF087A">
      <w:pPr>
        <w:ind w:left="851"/>
        <w:rPr>
          <w:noProof/>
          <w:sz w:val="24"/>
          <w:szCs w:val="24"/>
          <w:lang w:val="en-US"/>
        </w:rPr>
      </w:pPr>
      <w:r w:rsidRPr="00F85BD8">
        <w:rPr>
          <w:noProof/>
          <w:sz w:val="24"/>
          <w:szCs w:val="24"/>
          <w:lang w:val="en-US"/>
        </w:rPr>
        <w:t xml:space="preserve">The use of VEGF pathway inhibitors in patients with or without hypertension may promote the formation of aneurysms and/or artery dissections. Before initiating </w:t>
      </w:r>
      <w:r w:rsidR="00530769" w:rsidRPr="00F85BD8">
        <w:rPr>
          <w:noProof/>
          <w:sz w:val="24"/>
          <w:szCs w:val="24"/>
          <w:lang w:val="en-US"/>
        </w:rPr>
        <w:t>Nintedanib "Stada"</w:t>
      </w:r>
      <w:r w:rsidRPr="00F85BD8">
        <w:rPr>
          <w:noProof/>
          <w:sz w:val="24"/>
          <w:szCs w:val="24"/>
          <w:lang w:val="en-US"/>
        </w:rPr>
        <w:t>, this risk should be carefully considered in patients with risk factors such as hypertension or history of aneurysm.</w:t>
      </w:r>
    </w:p>
    <w:p w14:paraId="04657024" w14:textId="77777777" w:rsidR="00D657C7" w:rsidRPr="00F85BD8" w:rsidRDefault="00D657C7" w:rsidP="00BF087A">
      <w:pPr>
        <w:ind w:left="851"/>
        <w:rPr>
          <w:noProof/>
          <w:sz w:val="24"/>
          <w:szCs w:val="24"/>
          <w:lang w:val="en-US"/>
        </w:rPr>
      </w:pPr>
    </w:p>
    <w:p w14:paraId="428BC40F" w14:textId="77777777" w:rsidR="00D657C7" w:rsidRPr="00F85BD8" w:rsidRDefault="00D657C7" w:rsidP="00BF087A">
      <w:pPr>
        <w:ind w:left="851"/>
        <w:rPr>
          <w:noProof/>
          <w:sz w:val="24"/>
          <w:szCs w:val="24"/>
          <w:u w:val="single"/>
          <w:lang w:val="en-US"/>
        </w:rPr>
      </w:pPr>
      <w:r w:rsidRPr="00F85BD8">
        <w:rPr>
          <w:noProof/>
          <w:sz w:val="24"/>
          <w:szCs w:val="24"/>
          <w:u w:val="single"/>
          <w:lang w:val="en-US"/>
        </w:rPr>
        <w:t>Venous thromboembolism</w:t>
      </w:r>
    </w:p>
    <w:p w14:paraId="06ED4905" w14:textId="77777777" w:rsidR="00D657C7" w:rsidRPr="00F85BD8" w:rsidRDefault="00D657C7" w:rsidP="00BF087A">
      <w:pPr>
        <w:ind w:left="851"/>
        <w:rPr>
          <w:noProof/>
          <w:sz w:val="24"/>
          <w:szCs w:val="24"/>
          <w:lang w:val="en-US"/>
        </w:rPr>
      </w:pPr>
      <w:r w:rsidRPr="00F85BD8">
        <w:rPr>
          <w:noProof/>
          <w:sz w:val="24"/>
          <w:szCs w:val="24"/>
          <w:lang w:val="en-US"/>
        </w:rPr>
        <w:t>In the clinical trials, no increased risk of venous thromboembolism was observed in nintedanib treated patients. Due to the mechanism of action of nintedanib patients might have an increased risk of thromboembolic events.</w:t>
      </w:r>
    </w:p>
    <w:p w14:paraId="581708ED" w14:textId="77777777" w:rsidR="00D657C7" w:rsidRPr="00F85BD8" w:rsidRDefault="00D657C7" w:rsidP="00BF087A">
      <w:pPr>
        <w:ind w:left="851"/>
        <w:rPr>
          <w:noProof/>
          <w:sz w:val="24"/>
          <w:szCs w:val="24"/>
          <w:lang w:val="en-US"/>
        </w:rPr>
      </w:pPr>
    </w:p>
    <w:p w14:paraId="06BE4A36" w14:textId="77777777" w:rsidR="00D657C7" w:rsidRPr="00F85BD8" w:rsidRDefault="00D657C7" w:rsidP="00BF087A">
      <w:pPr>
        <w:ind w:left="851"/>
        <w:rPr>
          <w:noProof/>
          <w:sz w:val="24"/>
          <w:szCs w:val="24"/>
          <w:u w:val="single"/>
          <w:lang w:val="en-US"/>
        </w:rPr>
      </w:pPr>
      <w:r w:rsidRPr="00F85BD8">
        <w:rPr>
          <w:noProof/>
          <w:sz w:val="24"/>
          <w:szCs w:val="24"/>
          <w:u w:val="single"/>
          <w:lang w:val="en-US"/>
        </w:rPr>
        <w:t>Gastrointestinal perforations and ischaemic colitis</w:t>
      </w:r>
    </w:p>
    <w:p w14:paraId="4D31B27D" w14:textId="17F2F7D4" w:rsidR="00D657C7" w:rsidRPr="00F85BD8" w:rsidRDefault="00D657C7" w:rsidP="00BF087A">
      <w:pPr>
        <w:ind w:left="851"/>
        <w:rPr>
          <w:noProof/>
          <w:sz w:val="24"/>
          <w:szCs w:val="24"/>
          <w:lang w:val="en-US"/>
        </w:rPr>
      </w:pPr>
      <w:r w:rsidRPr="00F85BD8">
        <w:rPr>
          <w:noProof/>
          <w:sz w:val="24"/>
          <w:szCs w:val="24"/>
          <w:lang w:val="en-US"/>
        </w:rPr>
        <w:t xml:space="preserve">In the clinical trials in adult patients, the frequency of patients with perforation was up to 0.3% in both treatment groups. Due to the mechanism of action of nintedanib, patients might have an increased risk of gastrointestinal perforations. Cases of gastrointestinal perforations and cases of ischaemic colitis, some of which were fatal, have been reported in the post-marketing period. Particular caution should be exercised when treating patients with previous abdominal surgery, previous history of peptic ulceration, diverticular disease or receiving concomitant corticosteroids or NSAIDs. </w:t>
      </w:r>
      <w:r w:rsidR="00530769" w:rsidRPr="00F85BD8">
        <w:rPr>
          <w:noProof/>
          <w:sz w:val="24"/>
          <w:szCs w:val="24"/>
          <w:lang w:val="en-US"/>
        </w:rPr>
        <w:t>Nintedanib "Stada"</w:t>
      </w:r>
      <w:r w:rsidRPr="00F85BD8">
        <w:rPr>
          <w:noProof/>
          <w:sz w:val="24"/>
          <w:szCs w:val="24"/>
          <w:lang w:val="en-US"/>
        </w:rPr>
        <w:t xml:space="preserve"> should only be initiated at least 4 weeks after abdominal surgery. Therapy with </w:t>
      </w:r>
      <w:r w:rsidR="00530769" w:rsidRPr="00F85BD8">
        <w:rPr>
          <w:noProof/>
          <w:sz w:val="24"/>
          <w:szCs w:val="24"/>
          <w:lang w:val="en-US"/>
        </w:rPr>
        <w:t>Nintedanib "Stada"</w:t>
      </w:r>
      <w:r w:rsidRPr="00F85BD8">
        <w:rPr>
          <w:noProof/>
          <w:sz w:val="24"/>
          <w:szCs w:val="24"/>
          <w:lang w:val="en-US"/>
        </w:rPr>
        <w:t xml:space="preserve"> should be permanently discontinued in patients who develop gastrointestinal perforation or ischaemic colitis. Exceptionally, </w:t>
      </w:r>
      <w:r w:rsidR="00530769" w:rsidRPr="00F85BD8">
        <w:rPr>
          <w:noProof/>
          <w:sz w:val="24"/>
          <w:szCs w:val="24"/>
          <w:lang w:val="en-US"/>
        </w:rPr>
        <w:t>Nintedanib "Stada"</w:t>
      </w:r>
      <w:r w:rsidRPr="00F85BD8">
        <w:rPr>
          <w:noProof/>
          <w:sz w:val="24"/>
          <w:szCs w:val="24"/>
          <w:lang w:val="en-US"/>
        </w:rPr>
        <w:t xml:space="preserve"> can be reintroduced after complete resolution of ischaemic colitis and careful assessment of patient’s condition and other risk factors.</w:t>
      </w:r>
    </w:p>
    <w:p w14:paraId="06993A15" w14:textId="77777777" w:rsidR="00D657C7" w:rsidRPr="00F85BD8" w:rsidRDefault="00D657C7" w:rsidP="00BF087A">
      <w:pPr>
        <w:ind w:left="851"/>
        <w:rPr>
          <w:noProof/>
          <w:sz w:val="24"/>
          <w:szCs w:val="24"/>
          <w:lang w:val="en-US"/>
        </w:rPr>
      </w:pPr>
    </w:p>
    <w:p w14:paraId="3F55F4D8" w14:textId="77777777" w:rsidR="00D657C7" w:rsidRPr="00F85BD8" w:rsidRDefault="00D657C7" w:rsidP="00BF087A">
      <w:pPr>
        <w:ind w:left="851"/>
        <w:rPr>
          <w:noProof/>
          <w:sz w:val="24"/>
          <w:szCs w:val="24"/>
          <w:u w:val="single"/>
          <w:lang w:val="en-US"/>
        </w:rPr>
      </w:pPr>
      <w:r w:rsidRPr="00F85BD8">
        <w:rPr>
          <w:noProof/>
          <w:sz w:val="24"/>
          <w:szCs w:val="24"/>
          <w:u w:val="single"/>
          <w:lang w:val="en-US"/>
        </w:rPr>
        <w:t>Nephrotic range proteinuria and thrombotic microangiopathy</w:t>
      </w:r>
    </w:p>
    <w:p w14:paraId="5F9EEBAB" w14:textId="77777777" w:rsidR="00D657C7" w:rsidRPr="00F85BD8" w:rsidRDefault="00D657C7" w:rsidP="00BF087A">
      <w:pPr>
        <w:ind w:left="851"/>
        <w:rPr>
          <w:noProof/>
          <w:sz w:val="24"/>
          <w:szCs w:val="24"/>
          <w:lang w:val="en-US"/>
        </w:rPr>
      </w:pPr>
      <w:r w:rsidRPr="00F85BD8">
        <w:rPr>
          <w:noProof/>
          <w:sz w:val="24"/>
          <w:szCs w:val="24"/>
          <w:lang w:val="en-US"/>
        </w:rPr>
        <w:t>Very few cases of nephrotic range proteinuria with or without renal function impairment have been reported post-marketing. Histological findings in individual cases were consistent with glomerular microangiopathy with or without renal thrombi. Reversal of the symptoms has been observed after nintedanib was discontinued, with residual proteinuria in some cases. Treatment interruption should be considered in patients who develop signs or symptoms of nephrotic syndrome.</w:t>
      </w:r>
    </w:p>
    <w:p w14:paraId="6EC3D9DB" w14:textId="77777777" w:rsidR="00D657C7" w:rsidRPr="00F85BD8" w:rsidRDefault="00D657C7" w:rsidP="00BF087A">
      <w:pPr>
        <w:ind w:left="851"/>
        <w:rPr>
          <w:noProof/>
          <w:sz w:val="24"/>
          <w:szCs w:val="24"/>
          <w:lang w:val="en-US"/>
        </w:rPr>
      </w:pPr>
    </w:p>
    <w:p w14:paraId="6A89A57C" w14:textId="77777777" w:rsidR="00D657C7" w:rsidRPr="00F85BD8" w:rsidRDefault="00D657C7" w:rsidP="00BF087A">
      <w:pPr>
        <w:ind w:left="851"/>
        <w:rPr>
          <w:noProof/>
          <w:sz w:val="24"/>
          <w:szCs w:val="24"/>
          <w:lang w:val="en-US"/>
        </w:rPr>
      </w:pPr>
      <w:r w:rsidRPr="00F85BD8">
        <w:rPr>
          <w:noProof/>
          <w:sz w:val="24"/>
          <w:szCs w:val="24"/>
          <w:lang w:val="en-US"/>
        </w:rPr>
        <w:t>VEGF pathway inhibitors have been associated with thrombotic microangiopathy (TMA), including very few case reports for nintedanib. If laboratory or clinical findings associated with TMA occur in a patient receiving nintedanib, treatment with nintedanib should be discontinued and thorough evaluation for TMA should be completed.</w:t>
      </w:r>
    </w:p>
    <w:p w14:paraId="3D9E7ADC" w14:textId="77777777" w:rsidR="00D657C7" w:rsidRPr="00F85BD8" w:rsidRDefault="00D657C7" w:rsidP="00BF087A">
      <w:pPr>
        <w:ind w:left="851"/>
        <w:rPr>
          <w:noProof/>
          <w:sz w:val="24"/>
          <w:szCs w:val="24"/>
          <w:lang w:val="en-US"/>
        </w:rPr>
      </w:pPr>
    </w:p>
    <w:p w14:paraId="03DC2A95" w14:textId="77777777" w:rsidR="00D657C7" w:rsidRPr="00F85BD8" w:rsidRDefault="00D657C7" w:rsidP="00BF087A">
      <w:pPr>
        <w:ind w:left="851"/>
        <w:rPr>
          <w:noProof/>
          <w:sz w:val="24"/>
          <w:szCs w:val="24"/>
          <w:u w:val="single"/>
          <w:lang w:val="en-US"/>
        </w:rPr>
      </w:pPr>
      <w:r w:rsidRPr="00F85BD8">
        <w:rPr>
          <w:noProof/>
          <w:sz w:val="24"/>
          <w:szCs w:val="24"/>
          <w:u w:val="single"/>
          <w:lang w:val="en-US"/>
        </w:rPr>
        <w:t>Hypertension</w:t>
      </w:r>
    </w:p>
    <w:p w14:paraId="305A55BF" w14:textId="0C0AF0E1" w:rsidR="00D657C7" w:rsidRPr="00F85BD8" w:rsidRDefault="00D657C7" w:rsidP="00BF087A">
      <w:pPr>
        <w:ind w:left="851"/>
        <w:rPr>
          <w:noProof/>
          <w:sz w:val="24"/>
          <w:szCs w:val="24"/>
          <w:lang w:val="en-US"/>
        </w:rPr>
      </w:pPr>
      <w:r w:rsidRPr="00F85BD8">
        <w:rPr>
          <w:noProof/>
          <w:sz w:val="24"/>
          <w:szCs w:val="24"/>
          <w:lang w:val="en-US"/>
        </w:rPr>
        <w:t xml:space="preserve">Administration of </w:t>
      </w:r>
      <w:r w:rsidR="00530769" w:rsidRPr="00F85BD8">
        <w:rPr>
          <w:noProof/>
          <w:sz w:val="24"/>
          <w:szCs w:val="24"/>
          <w:lang w:val="en-US"/>
        </w:rPr>
        <w:t>Nintedanib "Stada"</w:t>
      </w:r>
      <w:r w:rsidRPr="00F85BD8">
        <w:rPr>
          <w:noProof/>
          <w:sz w:val="24"/>
          <w:szCs w:val="24"/>
          <w:lang w:val="en-US"/>
        </w:rPr>
        <w:t xml:space="preserve"> may increase blood pressure. Systemic blood pressure should be measured periodically and as clinically indicated.</w:t>
      </w:r>
    </w:p>
    <w:p w14:paraId="14983C08" w14:textId="77777777" w:rsidR="00D657C7" w:rsidRPr="00F85BD8" w:rsidRDefault="00D657C7" w:rsidP="00BF087A">
      <w:pPr>
        <w:ind w:left="851"/>
        <w:rPr>
          <w:noProof/>
          <w:sz w:val="24"/>
          <w:szCs w:val="24"/>
          <w:lang w:val="en-US"/>
        </w:rPr>
      </w:pPr>
    </w:p>
    <w:p w14:paraId="2F43C8DD" w14:textId="77777777" w:rsidR="00D657C7" w:rsidRPr="00F85BD8" w:rsidRDefault="00D657C7" w:rsidP="00BF087A">
      <w:pPr>
        <w:ind w:left="851"/>
        <w:rPr>
          <w:noProof/>
          <w:sz w:val="24"/>
          <w:szCs w:val="24"/>
          <w:u w:val="single"/>
          <w:lang w:val="en-US"/>
        </w:rPr>
      </w:pPr>
      <w:r w:rsidRPr="00F85BD8">
        <w:rPr>
          <w:noProof/>
          <w:sz w:val="24"/>
          <w:szCs w:val="24"/>
          <w:u w:val="single"/>
          <w:lang w:val="en-US"/>
        </w:rPr>
        <w:t>Pulmonary hypertension</w:t>
      </w:r>
    </w:p>
    <w:p w14:paraId="567D8479" w14:textId="77777777" w:rsidR="00D657C7" w:rsidRPr="00F85BD8" w:rsidRDefault="00D657C7" w:rsidP="00BF087A">
      <w:pPr>
        <w:ind w:left="851"/>
        <w:rPr>
          <w:noProof/>
          <w:sz w:val="24"/>
          <w:szCs w:val="24"/>
          <w:lang w:val="en-US"/>
        </w:rPr>
      </w:pPr>
      <w:r w:rsidRPr="00F85BD8">
        <w:rPr>
          <w:noProof/>
          <w:sz w:val="24"/>
          <w:szCs w:val="24"/>
          <w:lang w:val="en-US"/>
        </w:rPr>
        <w:t>Data on the use of nintedanib in patients with pulmonary hypertension is limited.</w:t>
      </w:r>
    </w:p>
    <w:p w14:paraId="28500D05" w14:textId="77777777" w:rsidR="00D657C7" w:rsidRPr="00F85BD8" w:rsidRDefault="00D657C7" w:rsidP="00BF087A">
      <w:pPr>
        <w:ind w:left="851"/>
        <w:rPr>
          <w:noProof/>
          <w:sz w:val="24"/>
          <w:szCs w:val="24"/>
          <w:lang w:val="en-US"/>
        </w:rPr>
      </w:pPr>
      <w:r w:rsidRPr="00F85BD8">
        <w:rPr>
          <w:noProof/>
          <w:sz w:val="24"/>
          <w:szCs w:val="24"/>
          <w:lang w:val="en-US"/>
        </w:rPr>
        <w:t>Patients with significant pulmonary hypertension (cardiac index ≤ 2 L/min/m</w:t>
      </w:r>
      <w:r w:rsidRPr="00F85BD8">
        <w:rPr>
          <w:noProof/>
          <w:sz w:val="24"/>
          <w:szCs w:val="24"/>
          <w:vertAlign w:val="superscript"/>
          <w:lang w:val="en-US"/>
        </w:rPr>
        <w:t>2</w:t>
      </w:r>
      <w:r w:rsidRPr="00F85BD8">
        <w:rPr>
          <w:noProof/>
          <w:sz w:val="24"/>
          <w:szCs w:val="24"/>
          <w:lang w:val="en-US"/>
        </w:rPr>
        <w:t>, or parenteral epoprostenol/treprostinil, or significant right heart failure) were excluded from the INBUILD and SENSCIS trials.</w:t>
      </w:r>
    </w:p>
    <w:p w14:paraId="22104459" w14:textId="76D3DC10" w:rsidR="00D657C7" w:rsidRPr="00F85BD8" w:rsidRDefault="00530769" w:rsidP="00BF087A">
      <w:pPr>
        <w:ind w:left="851"/>
        <w:rPr>
          <w:noProof/>
          <w:sz w:val="24"/>
          <w:szCs w:val="24"/>
          <w:lang w:val="en-US"/>
        </w:rPr>
      </w:pPr>
      <w:r w:rsidRPr="00F85BD8">
        <w:rPr>
          <w:noProof/>
          <w:sz w:val="24"/>
          <w:szCs w:val="24"/>
          <w:lang w:val="en-US"/>
        </w:rPr>
        <w:t>Nintedanib "Stada"</w:t>
      </w:r>
      <w:r w:rsidR="00D657C7" w:rsidRPr="00F85BD8">
        <w:rPr>
          <w:noProof/>
          <w:sz w:val="24"/>
          <w:szCs w:val="24"/>
          <w:lang w:val="en-US"/>
        </w:rPr>
        <w:t xml:space="preserve"> should not be used in patients with severe pulmonary hypertension. Close monitoring is recommended in patients with mild to moderate pulmonary hypertension.</w:t>
      </w:r>
    </w:p>
    <w:p w14:paraId="651AC167" w14:textId="77777777" w:rsidR="00D657C7" w:rsidRPr="00F85BD8" w:rsidRDefault="00D657C7" w:rsidP="00BF087A">
      <w:pPr>
        <w:ind w:left="851"/>
        <w:rPr>
          <w:noProof/>
          <w:sz w:val="24"/>
          <w:szCs w:val="24"/>
          <w:lang w:val="en-US"/>
        </w:rPr>
      </w:pPr>
    </w:p>
    <w:p w14:paraId="4E7A79AA" w14:textId="77777777" w:rsidR="00D657C7" w:rsidRPr="00F85BD8" w:rsidRDefault="00D657C7" w:rsidP="00BF087A">
      <w:pPr>
        <w:ind w:left="851"/>
        <w:rPr>
          <w:noProof/>
          <w:sz w:val="24"/>
          <w:szCs w:val="24"/>
          <w:u w:val="single"/>
          <w:lang w:val="en-US"/>
        </w:rPr>
      </w:pPr>
      <w:r w:rsidRPr="00F85BD8">
        <w:rPr>
          <w:noProof/>
          <w:sz w:val="24"/>
          <w:szCs w:val="24"/>
          <w:u w:val="single"/>
          <w:lang w:val="en-US"/>
        </w:rPr>
        <w:t>Wound healing complication</w:t>
      </w:r>
    </w:p>
    <w:p w14:paraId="4B9A4227" w14:textId="11A17FCF" w:rsidR="00D657C7" w:rsidRPr="00F85BD8" w:rsidRDefault="00D657C7" w:rsidP="00BF087A">
      <w:pPr>
        <w:ind w:left="851"/>
        <w:rPr>
          <w:noProof/>
          <w:sz w:val="24"/>
          <w:szCs w:val="24"/>
          <w:lang w:val="en-US"/>
        </w:rPr>
      </w:pPr>
      <w:r w:rsidRPr="00F85BD8">
        <w:rPr>
          <w:noProof/>
          <w:sz w:val="24"/>
          <w:szCs w:val="24"/>
          <w:lang w:val="en-US"/>
        </w:rPr>
        <w:t xml:space="preserve">No increased frequency of impaired wound healing was observed in the clinical trials. Based on the mechanism of action nintedanib may impair wound healing. No dedicated studies investigating the effect of nintedanib on wound healing were performed. Treatment with </w:t>
      </w:r>
      <w:r w:rsidR="00530769" w:rsidRPr="00F85BD8">
        <w:rPr>
          <w:noProof/>
          <w:sz w:val="24"/>
          <w:szCs w:val="24"/>
          <w:lang w:val="en-US"/>
        </w:rPr>
        <w:t>Nintedanib "Stada"</w:t>
      </w:r>
      <w:r w:rsidRPr="00F85BD8">
        <w:rPr>
          <w:noProof/>
          <w:sz w:val="24"/>
          <w:szCs w:val="24"/>
          <w:lang w:val="en-US"/>
        </w:rPr>
        <w:t xml:space="preserve"> should therefore only be initiated or - in case of perioperative interruption - resumed based on clinical judgement of adequate wound healing.</w:t>
      </w:r>
    </w:p>
    <w:p w14:paraId="77E8B25F" w14:textId="77777777" w:rsidR="00D657C7" w:rsidRPr="00F85BD8" w:rsidRDefault="00D657C7" w:rsidP="00BF087A">
      <w:pPr>
        <w:ind w:left="851"/>
        <w:rPr>
          <w:noProof/>
          <w:sz w:val="24"/>
          <w:szCs w:val="24"/>
          <w:lang w:val="en-US"/>
        </w:rPr>
      </w:pPr>
    </w:p>
    <w:p w14:paraId="350FEF68" w14:textId="77777777" w:rsidR="00D657C7" w:rsidRPr="00F85BD8" w:rsidRDefault="00D657C7" w:rsidP="00BF087A">
      <w:pPr>
        <w:ind w:left="851"/>
        <w:rPr>
          <w:noProof/>
          <w:sz w:val="24"/>
          <w:szCs w:val="24"/>
          <w:u w:val="single"/>
          <w:lang w:val="en-US"/>
        </w:rPr>
      </w:pPr>
      <w:r w:rsidRPr="00F85BD8">
        <w:rPr>
          <w:noProof/>
          <w:sz w:val="24"/>
          <w:szCs w:val="24"/>
          <w:u w:val="single"/>
          <w:lang w:val="en-US"/>
        </w:rPr>
        <w:t>Co-administration with pirfenidone</w:t>
      </w:r>
    </w:p>
    <w:p w14:paraId="3F603D3A" w14:textId="77777777" w:rsidR="00D657C7" w:rsidRPr="00F85BD8" w:rsidRDefault="00D657C7" w:rsidP="00BF087A">
      <w:pPr>
        <w:ind w:left="851"/>
        <w:rPr>
          <w:noProof/>
          <w:sz w:val="24"/>
          <w:szCs w:val="24"/>
          <w:lang w:val="en-US"/>
        </w:rPr>
      </w:pPr>
      <w:r w:rsidRPr="00F85BD8">
        <w:rPr>
          <w:noProof/>
          <w:sz w:val="24"/>
          <w:szCs w:val="24"/>
          <w:lang w:val="en-US"/>
        </w:rPr>
        <w:t>In a dedicated pharmacokinetic study, concomitant treatment of nintedanib with pirfenidone was investigated in patients with IPF. Based on these results, there is no evidence of a relevant pharmacokinetic drug-drug interaction between nintedanib and pirfenidone when administered in combination (see section 5.2). Given the similarity in safety profiles for both medicinal products, additive adverse reactions, including gastrointestinal and hepatic adverse events, may be expected.</w:t>
      </w:r>
    </w:p>
    <w:p w14:paraId="6A19A8BE" w14:textId="77777777" w:rsidR="00D657C7" w:rsidRPr="00F85BD8" w:rsidRDefault="00D657C7" w:rsidP="00BF087A">
      <w:pPr>
        <w:ind w:left="851"/>
        <w:rPr>
          <w:noProof/>
          <w:sz w:val="24"/>
          <w:szCs w:val="24"/>
          <w:lang w:val="en-US"/>
        </w:rPr>
      </w:pPr>
      <w:r w:rsidRPr="00F85BD8">
        <w:rPr>
          <w:noProof/>
          <w:sz w:val="24"/>
          <w:szCs w:val="24"/>
          <w:lang w:val="en-US"/>
        </w:rPr>
        <w:t>The benefit-risk balance of concomitant treatment with pirfenidone has not been established.</w:t>
      </w:r>
    </w:p>
    <w:p w14:paraId="756B7695" w14:textId="77777777" w:rsidR="00D657C7" w:rsidRPr="00F85BD8" w:rsidRDefault="00D657C7" w:rsidP="00BF087A">
      <w:pPr>
        <w:ind w:left="851"/>
        <w:rPr>
          <w:noProof/>
          <w:sz w:val="24"/>
          <w:szCs w:val="24"/>
          <w:lang w:val="en-US"/>
        </w:rPr>
      </w:pPr>
    </w:p>
    <w:p w14:paraId="36B1321B" w14:textId="77777777" w:rsidR="00D657C7" w:rsidRPr="00F85BD8" w:rsidRDefault="00D657C7" w:rsidP="00BF087A">
      <w:pPr>
        <w:ind w:left="851"/>
        <w:rPr>
          <w:noProof/>
          <w:sz w:val="24"/>
          <w:szCs w:val="24"/>
          <w:u w:val="single"/>
          <w:lang w:val="en-US"/>
        </w:rPr>
      </w:pPr>
      <w:r w:rsidRPr="00F85BD8">
        <w:rPr>
          <w:noProof/>
          <w:sz w:val="24"/>
          <w:szCs w:val="24"/>
          <w:u w:val="single"/>
          <w:lang w:val="en-US"/>
        </w:rPr>
        <w:t>Effect on QT interval</w:t>
      </w:r>
    </w:p>
    <w:p w14:paraId="46DC18F0" w14:textId="77777777" w:rsidR="00D657C7" w:rsidRPr="00F85BD8" w:rsidRDefault="00D657C7" w:rsidP="00BF087A">
      <w:pPr>
        <w:ind w:left="851"/>
        <w:rPr>
          <w:noProof/>
          <w:sz w:val="24"/>
          <w:szCs w:val="24"/>
          <w:lang w:val="en-US"/>
        </w:rPr>
      </w:pPr>
      <w:r w:rsidRPr="00F85BD8">
        <w:rPr>
          <w:noProof/>
          <w:sz w:val="24"/>
          <w:szCs w:val="24"/>
          <w:lang w:val="en-US"/>
        </w:rPr>
        <w:t>No evidence of QT prolongation was observed for nintedanib in the clinical trial programme (Section 5.1). As some other tyrosine kinase inhibitors are known to exert an effect on QT, caution should be exercised when nintedanib is administered in patients who may develop QTc prolongation.</w:t>
      </w:r>
    </w:p>
    <w:p w14:paraId="795E288C" w14:textId="0D626872" w:rsidR="00A93BE7" w:rsidRDefault="00A93BE7">
      <w:pPr>
        <w:rPr>
          <w:sz w:val="24"/>
          <w:szCs w:val="24"/>
          <w:lang w:val="en-GB"/>
        </w:rPr>
      </w:pPr>
      <w:r>
        <w:rPr>
          <w:sz w:val="24"/>
          <w:szCs w:val="24"/>
          <w:lang w:val="en-GB"/>
        </w:rPr>
        <w:br w:type="page"/>
      </w:r>
    </w:p>
    <w:p w14:paraId="134DA307" w14:textId="77777777" w:rsidR="007C5D2A" w:rsidRPr="00F85BD8" w:rsidRDefault="007C5D2A" w:rsidP="003E0341">
      <w:pPr>
        <w:tabs>
          <w:tab w:val="left" w:pos="851"/>
        </w:tabs>
        <w:ind w:left="851"/>
        <w:rPr>
          <w:sz w:val="24"/>
          <w:szCs w:val="24"/>
          <w:lang w:val="en-GB"/>
        </w:rPr>
      </w:pPr>
    </w:p>
    <w:p w14:paraId="2C4681B7" w14:textId="77777777" w:rsidR="007C5D2A" w:rsidRPr="00F85BD8" w:rsidRDefault="007C5D2A" w:rsidP="007C5D2A">
      <w:pPr>
        <w:ind w:left="851" w:hanging="851"/>
        <w:rPr>
          <w:b/>
          <w:sz w:val="24"/>
          <w:szCs w:val="24"/>
          <w:lang w:val="en-GB"/>
        </w:rPr>
      </w:pPr>
      <w:r w:rsidRPr="00F85BD8">
        <w:rPr>
          <w:b/>
          <w:sz w:val="24"/>
          <w:szCs w:val="24"/>
          <w:lang w:val="en-GB"/>
        </w:rPr>
        <w:t>4.5</w:t>
      </w:r>
      <w:r w:rsidRPr="00F85BD8">
        <w:rPr>
          <w:b/>
          <w:sz w:val="24"/>
          <w:szCs w:val="24"/>
          <w:lang w:val="en-GB"/>
        </w:rPr>
        <w:tab/>
        <w:t>Interaction with other medicinal products and other forms of interaction</w:t>
      </w:r>
    </w:p>
    <w:p w14:paraId="3EAE80E3" w14:textId="77777777" w:rsidR="00F85BD8" w:rsidRDefault="00F85BD8" w:rsidP="00BF087A">
      <w:pPr>
        <w:ind w:left="851"/>
        <w:rPr>
          <w:sz w:val="24"/>
          <w:szCs w:val="24"/>
          <w:lang w:val="en-GB"/>
        </w:rPr>
      </w:pPr>
    </w:p>
    <w:p w14:paraId="22DFB2BF" w14:textId="104192EE" w:rsidR="00D657C7" w:rsidRPr="00F85BD8" w:rsidRDefault="00D657C7" w:rsidP="00BF087A">
      <w:pPr>
        <w:ind w:left="851"/>
        <w:rPr>
          <w:sz w:val="24"/>
          <w:szCs w:val="24"/>
          <w:u w:val="single"/>
          <w:lang w:val="en-US"/>
        </w:rPr>
      </w:pPr>
      <w:r w:rsidRPr="00F85BD8">
        <w:rPr>
          <w:sz w:val="24"/>
          <w:szCs w:val="24"/>
          <w:u w:val="single"/>
          <w:lang w:val="en-US"/>
        </w:rPr>
        <w:t>P-glycoprotein (P</w:t>
      </w:r>
      <w:r w:rsidRPr="00F85BD8">
        <w:rPr>
          <w:sz w:val="24"/>
          <w:szCs w:val="24"/>
          <w:u w:val="single"/>
          <w:lang w:val="en-US"/>
        </w:rPr>
        <w:noBreakHyphen/>
      </w:r>
      <w:proofErr w:type="spellStart"/>
      <w:r w:rsidRPr="00F85BD8">
        <w:rPr>
          <w:sz w:val="24"/>
          <w:szCs w:val="24"/>
          <w:u w:val="single"/>
          <w:lang w:val="en-US"/>
        </w:rPr>
        <w:t>gp</w:t>
      </w:r>
      <w:proofErr w:type="spellEnd"/>
      <w:r w:rsidRPr="00F85BD8">
        <w:rPr>
          <w:sz w:val="24"/>
          <w:szCs w:val="24"/>
          <w:u w:val="single"/>
          <w:lang w:val="en-US"/>
        </w:rPr>
        <w:t>)</w:t>
      </w:r>
    </w:p>
    <w:p w14:paraId="7AD902A1" w14:textId="4AC8AEF1" w:rsidR="00D657C7" w:rsidRPr="00F85BD8" w:rsidRDefault="00D657C7" w:rsidP="00BF087A">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is a substrate of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(see section 5.2). Co-administration with the potent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inhibitor ketoconazole increased exposure to </w:t>
      </w:r>
      <w:proofErr w:type="spellStart"/>
      <w:r w:rsidRPr="00F85BD8">
        <w:rPr>
          <w:sz w:val="24"/>
          <w:szCs w:val="24"/>
          <w:lang w:val="en-US"/>
        </w:rPr>
        <w:t>nintedanib</w:t>
      </w:r>
      <w:proofErr w:type="spellEnd"/>
      <w:r w:rsidRPr="00F85BD8">
        <w:rPr>
          <w:sz w:val="24"/>
          <w:szCs w:val="24"/>
          <w:lang w:val="en-US"/>
        </w:rPr>
        <w:t xml:space="preserve"> 1.61</w:t>
      </w:r>
      <w:r w:rsidRPr="00F85BD8">
        <w:rPr>
          <w:sz w:val="24"/>
          <w:szCs w:val="24"/>
          <w:lang w:val="en-US"/>
        </w:rPr>
        <w:noBreakHyphen/>
        <w:t>fold based on AUC and 1.83</w:t>
      </w:r>
      <w:r w:rsidRPr="00F85BD8">
        <w:rPr>
          <w:sz w:val="24"/>
          <w:szCs w:val="24"/>
          <w:lang w:val="en-US"/>
        </w:rPr>
        <w:noBreakHyphen/>
        <w:t xml:space="preserve">fold based on </w:t>
      </w:r>
      <w:proofErr w:type="spellStart"/>
      <w:r w:rsidRPr="00F85BD8">
        <w:rPr>
          <w:sz w:val="24"/>
          <w:szCs w:val="24"/>
          <w:lang w:val="en-US"/>
        </w:rPr>
        <w:t>C</w:t>
      </w:r>
      <w:r w:rsidRPr="00F85BD8">
        <w:rPr>
          <w:sz w:val="24"/>
          <w:szCs w:val="24"/>
          <w:vertAlign w:val="subscript"/>
          <w:lang w:val="en-US"/>
        </w:rPr>
        <w:t>max</w:t>
      </w:r>
      <w:proofErr w:type="spellEnd"/>
      <w:r w:rsidRPr="00F85BD8">
        <w:rPr>
          <w:sz w:val="24"/>
          <w:szCs w:val="24"/>
          <w:lang w:val="en-US"/>
        </w:rPr>
        <w:t xml:space="preserve"> in a dedicated drug-drug interaction study. In a drug-drug interaction study with the potent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inducer rifampicin, exposure to </w:t>
      </w:r>
      <w:proofErr w:type="spellStart"/>
      <w:r w:rsidRPr="00F85BD8">
        <w:rPr>
          <w:sz w:val="24"/>
          <w:szCs w:val="24"/>
          <w:lang w:val="en-US"/>
        </w:rPr>
        <w:t>nintedanib</w:t>
      </w:r>
      <w:proofErr w:type="spellEnd"/>
      <w:r w:rsidRPr="00F85BD8">
        <w:rPr>
          <w:sz w:val="24"/>
          <w:szCs w:val="24"/>
          <w:lang w:val="en-US"/>
        </w:rPr>
        <w:t xml:space="preserve"> decreased to 50.3% based on AUC and to 60.3% based on </w:t>
      </w:r>
      <w:proofErr w:type="spellStart"/>
      <w:r w:rsidRPr="00F85BD8">
        <w:rPr>
          <w:sz w:val="24"/>
          <w:szCs w:val="24"/>
          <w:lang w:val="en-US"/>
        </w:rPr>
        <w:t>C</w:t>
      </w:r>
      <w:r w:rsidRPr="00F85BD8">
        <w:rPr>
          <w:sz w:val="24"/>
          <w:szCs w:val="24"/>
          <w:vertAlign w:val="subscript"/>
          <w:lang w:val="en-US"/>
        </w:rPr>
        <w:t>max</w:t>
      </w:r>
      <w:proofErr w:type="spellEnd"/>
      <w:r w:rsidRPr="00F85BD8">
        <w:rPr>
          <w:sz w:val="24"/>
          <w:szCs w:val="24"/>
          <w:lang w:val="en-US"/>
        </w:rPr>
        <w:t xml:space="preserve"> upon co-administration with rifampicin compared to administration of </w:t>
      </w:r>
      <w:proofErr w:type="spellStart"/>
      <w:r w:rsidRPr="00F85BD8">
        <w:rPr>
          <w:sz w:val="24"/>
          <w:szCs w:val="24"/>
          <w:lang w:val="en-US"/>
        </w:rPr>
        <w:t>nintedanib</w:t>
      </w:r>
      <w:proofErr w:type="spellEnd"/>
      <w:r w:rsidRPr="00F85BD8">
        <w:rPr>
          <w:sz w:val="24"/>
          <w:szCs w:val="24"/>
          <w:lang w:val="en-US"/>
        </w:rPr>
        <w:t xml:space="preserve"> alone. If co-administered with </w:t>
      </w:r>
      <w:proofErr w:type="spellStart"/>
      <w:r w:rsidR="00530769" w:rsidRPr="00F85BD8">
        <w:rPr>
          <w:sz w:val="24"/>
          <w:szCs w:val="24"/>
          <w:lang w:val="en-US"/>
        </w:rPr>
        <w:t>Nintedanib</w:t>
      </w:r>
      <w:proofErr w:type="spellEnd"/>
      <w:r w:rsidR="00530769" w:rsidRPr="00F85BD8">
        <w:rPr>
          <w:sz w:val="24"/>
          <w:szCs w:val="24"/>
          <w:lang w:val="en-US"/>
        </w:rPr>
        <w:t xml:space="preserve"> "</w:t>
      </w:r>
      <w:proofErr w:type="spellStart"/>
      <w:r w:rsidR="00530769" w:rsidRPr="00F85BD8">
        <w:rPr>
          <w:sz w:val="24"/>
          <w:szCs w:val="24"/>
          <w:lang w:val="en-US"/>
        </w:rPr>
        <w:t>Stada</w:t>
      </w:r>
      <w:proofErr w:type="spellEnd"/>
      <w:r w:rsidR="00530769" w:rsidRPr="00F85BD8">
        <w:rPr>
          <w:sz w:val="24"/>
          <w:szCs w:val="24"/>
          <w:lang w:val="en-US"/>
        </w:rPr>
        <w:t>"</w:t>
      </w:r>
      <w:r w:rsidRPr="00F85BD8">
        <w:rPr>
          <w:sz w:val="24"/>
          <w:szCs w:val="24"/>
          <w:lang w:val="en-US"/>
        </w:rPr>
        <w:t>, potent P</w:t>
      </w:r>
      <w:r w:rsidRPr="00F85BD8">
        <w:rPr>
          <w:sz w:val="24"/>
          <w:szCs w:val="24"/>
          <w:lang w:val="en-US"/>
        </w:rPr>
        <w:noBreakHyphen/>
      </w:r>
      <w:proofErr w:type="spellStart"/>
      <w:r w:rsidRPr="00F85BD8">
        <w:rPr>
          <w:sz w:val="24"/>
          <w:szCs w:val="24"/>
          <w:lang w:val="en-US"/>
        </w:rPr>
        <w:t>gp</w:t>
      </w:r>
      <w:proofErr w:type="spellEnd"/>
      <w:r w:rsidRPr="00F85BD8">
        <w:rPr>
          <w:sz w:val="24"/>
          <w:szCs w:val="24"/>
          <w:lang w:val="en-US"/>
        </w:rPr>
        <w:t xml:space="preserve"> inhibitors (e.g. ketoconazole, erythromycin or cyclosporine) may increase exposure to </w:t>
      </w:r>
      <w:proofErr w:type="spellStart"/>
      <w:r w:rsidRPr="00F85BD8">
        <w:rPr>
          <w:sz w:val="24"/>
          <w:szCs w:val="24"/>
          <w:lang w:val="en-US"/>
        </w:rPr>
        <w:t>nintedanib</w:t>
      </w:r>
      <w:proofErr w:type="spellEnd"/>
      <w:r w:rsidRPr="00F85BD8">
        <w:rPr>
          <w:sz w:val="24"/>
          <w:szCs w:val="24"/>
          <w:lang w:val="en-US"/>
        </w:rPr>
        <w:t xml:space="preserve">. In such cases, patients should be monitored closely for tolerability of </w:t>
      </w:r>
      <w:proofErr w:type="spellStart"/>
      <w:r w:rsidRPr="00F85BD8">
        <w:rPr>
          <w:sz w:val="24"/>
          <w:szCs w:val="24"/>
          <w:lang w:val="en-US"/>
        </w:rPr>
        <w:t>nintedanib</w:t>
      </w:r>
      <w:proofErr w:type="spellEnd"/>
      <w:r w:rsidRPr="00F85BD8">
        <w:rPr>
          <w:sz w:val="24"/>
          <w:szCs w:val="24"/>
          <w:lang w:val="en-US"/>
        </w:rPr>
        <w:t xml:space="preserve">. Management of adverse reactions may require interruption, dose reduction, or discontinuation of therapy with </w:t>
      </w:r>
      <w:proofErr w:type="spellStart"/>
      <w:r w:rsidRPr="00F85BD8">
        <w:rPr>
          <w:sz w:val="24"/>
          <w:szCs w:val="24"/>
          <w:lang w:val="en-US"/>
        </w:rPr>
        <w:t>nintedanib</w:t>
      </w:r>
      <w:proofErr w:type="spellEnd"/>
      <w:r w:rsidRPr="00F85BD8">
        <w:rPr>
          <w:sz w:val="24"/>
          <w:szCs w:val="24"/>
          <w:lang w:val="en-US"/>
        </w:rPr>
        <w:t xml:space="preserve"> (see section 4.2).</w:t>
      </w:r>
    </w:p>
    <w:p w14:paraId="7246D1FF" w14:textId="77777777" w:rsidR="00D657C7" w:rsidRPr="00F85BD8" w:rsidRDefault="00D657C7" w:rsidP="00BF087A">
      <w:pPr>
        <w:ind w:left="851"/>
        <w:rPr>
          <w:rFonts w:eastAsia="SimSun"/>
          <w:sz w:val="24"/>
          <w:szCs w:val="24"/>
          <w:lang w:val="en-US" w:eastAsia="en-GB"/>
        </w:rPr>
      </w:pPr>
    </w:p>
    <w:p w14:paraId="21F3190D"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Potent P</w:t>
      </w:r>
      <w:r w:rsidRPr="00F85BD8">
        <w:rPr>
          <w:rFonts w:eastAsia="SimSun"/>
          <w:sz w:val="24"/>
          <w:szCs w:val="24"/>
          <w:lang w:val="en-US" w:eastAsia="en-GB"/>
        </w:rPr>
        <w:noBreakHyphen/>
      </w:r>
      <w:proofErr w:type="spellStart"/>
      <w:r w:rsidRPr="00F85BD8">
        <w:rPr>
          <w:rFonts w:eastAsia="SimSun"/>
          <w:sz w:val="24"/>
          <w:szCs w:val="24"/>
          <w:lang w:val="en-US" w:eastAsia="en-GB"/>
        </w:rPr>
        <w:t>gp</w:t>
      </w:r>
      <w:proofErr w:type="spellEnd"/>
      <w:r w:rsidRPr="00F85BD8">
        <w:rPr>
          <w:rFonts w:eastAsia="SimSun"/>
          <w:sz w:val="24"/>
          <w:szCs w:val="24"/>
          <w:lang w:val="en-US" w:eastAsia="en-GB"/>
        </w:rPr>
        <w:t xml:space="preserve"> inducers (e.g. rifampicin, carbamazepine, phenytoin, and St. John’s Wort) may decrease exposure to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Selection of an alternate concomitant medicinal product with no or minimal P</w:t>
      </w:r>
      <w:r w:rsidRPr="00F85BD8">
        <w:rPr>
          <w:rFonts w:eastAsia="SimSun"/>
          <w:sz w:val="24"/>
          <w:szCs w:val="24"/>
          <w:lang w:val="en-US" w:eastAsia="en-GB"/>
        </w:rPr>
        <w:noBreakHyphen/>
      </w:r>
      <w:proofErr w:type="spellStart"/>
      <w:r w:rsidRPr="00F85BD8">
        <w:rPr>
          <w:rFonts w:eastAsia="SimSun"/>
          <w:sz w:val="24"/>
          <w:szCs w:val="24"/>
          <w:lang w:val="en-US" w:eastAsia="en-GB"/>
        </w:rPr>
        <w:t>gp</w:t>
      </w:r>
      <w:proofErr w:type="spellEnd"/>
      <w:r w:rsidRPr="00F85BD8">
        <w:rPr>
          <w:rFonts w:eastAsia="SimSun"/>
          <w:sz w:val="24"/>
          <w:szCs w:val="24"/>
          <w:lang w:val="en-US" w:eastAsia="en-GB"/>
        </w:rPr>
        <w:t xml:space="preserve"> induction potential should be considered.</w:t>
      </w:r>
    </w:p>
    <w:p w14:paraId="0614D37B" w14:textId="77777777" w:rsidR="00D657C7" w:rsidRPr="00F85BD8" w:rsidRDefault="00D657C7" w:rsidP="00BF087A">
      <w:pPr>
        <w:ind w:left="851"/>
        <w:rPr>
          <w:rFonts w:eastAsia="SimSun"/>
          <w:sz w:val="24"/>
          <w:szCs w:val="24"/>
          <w:lang w:val="en-US" w:eastAsia="en-GB"/>
        </w:rPr>
      </w:pPr>
    </w:p>
    <w:p w14:paraId="6801BB4C" w14:textId="77777777" w:rsidR="00D657C7" w:rsidRPr="00F85BD8" w:rsidRDefault="00D657C7" w:rsidP="00BF087A">
      <w:pPr>
        <w:ind w:left="851"/>
        <w:rPr>
          <w:rFonts w:eastAsia="SimSun"/>
          <w:sz w:val="24"/>
          <w:szCs w:val="24"/>
          <w:u w:val="single"/>
          <w:lang w:val="en-US" w:eastAsia="en-GB"/>
        </w:rPr>
      </w:pPr>
      <w:r w:rsidRPr="00F85BD8">
        <w:rPr>
          <w:rFonts w:eastAsia="SimSun"/>
          <w:sz w:val="24"/>
          <w:szCs w:val="24"/>
          <w:u w:val="single"/>
          <w:lang w:val="en-US" w:eastAsia="en-GB"/>
        </w:rPr>
        <w:t>Cytochrome (CYP)-enzymes</w:t>
      </w:r>
    </w:p>
    <w:p w14:paraId="257B337E"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Only a minor extent of the biotransformation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consisted of CYP pathways.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and its metabolites, the free acid moiety BIBF 1202 and its glucuronide BIBF 1202 glucuronide, did not inhibit or induce CYP enzymes in preclinical studies (see section 5.2). The likelihood of drug-drug interactions with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based on CYP metabolism is therefore considered to be low.</w:t>
      </w:r>
    </w:p>
    <w:p w14:paraId="02733D4C" w14:textId="77777777" w:rsidR="00D657C7" w:rsidRPr="00F85BD8" w:rsidRDefault="00D657C7" w:rsidP="00BF087A">
      <w:pPr>
        <w:ind w:left="851"/>
        <w:rPr>
          <w:rFonts w:eastAsia="SimSun"/>
          <w:sz w:val="24"/>
          <w:szCs w:val="24"/>
          <w:lang w:val="en-US" w:eastAsia="en-GB"/>
        </w:rPr>
      </w:pPr>
    </w:p>
    <w:p w14:paraId="1A033BE4" w14:textId="77777777" w:rsidR="00D657C7" w:rsidRPr="00F85BD8" w:rsidRDefault="00D657C7" w:rsidP="00BF087A">
      <w:pPr>
        <w:ind w:left="851"/>
        <w:rPr>
          <w:rFonts w:eastAsia="SimSun"/>
          <w:sz w:val="24"/>
          <w:szCs w:val="24"/>
          <w:u w:val="single"/>
          <w:lang w:val="en-US" w:eastAsia="en-GB"/>
        </w:rPr>
      </w:pPr>
      <w:r w:rsidRPr="00F85BD8">
        <w:rPr>
          <w:rFonts w:eastAsia="SimSun"/>
          <w:sz w:val="24"/>
          <w:szCs w:val="24"/>
          <w:u w:val="single"/>
          <w:lang w:val="en-US" w:eastAsia="en-GB"/>
        </w:rPr>
        <w:t>Co-administration with other medicinal products</w:t>
      </w:r>
    </w:p>
    <w:p w14:paraId="091D64EA"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Co-administration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with oral hormonal contraceptives did not alter the pharmacokinetics of oral hormonal contraceptives to a relevant extent (see section 5.2).</w:t>
      </w:r>
    </w:p>
    <w:p w14:paraId="47B50946" w14:textId="77777777" w:rsidR="00D657C7" w:rsidRPr="00F85BD8" w:rsidRDefault="00D657C7" w:rsidP="00BF087A">
      <w:pPr>
        <w:ind w:left="851"/>
        <w:rPr>
          <w:rFonts w:eastAsia="SimSun"/>
          <w:sz w:val="24"/>
          <w:szCs w:val="24"/>
          <w:lang w:val="en-US" w:eastAsia="en-GB"/>
        </w:rPr>
      </w:pPr>
    </w:p>
    <w:p w14:paraId="073198FA" w14:textId="77777777" w:rsidR="00D657C7" w:rsidRPr="00F85BD8" w:rsidRDefault="00D657C7" w:rsidP="00BF087A">
      <w:pPr>
        <w:ind w:left="851"/>
        <w:rPr>
          <w:rFonts w:eastAsia="SimSun"/>
          <w:sz w:val="24"/>
          <w:szCs w:val="24"/>
          <w:lang w:val="en-US" w:eastAsia="en-GB"/>
        </w:rPr>
      </w:pPr>
      <w:r w:rsidRPr="00F85BD8">
        <w:rPr>
          <w:rFonts w:eastAsia="SimSun"/>
          <w:sz w:val="24"/>
          <w:szCs w:val="24"/>
          <w:lang w:val="en-US" w:eastAsia="en-GB"/>
        </w:rPr>
        <w:t xml:space="preserve">Co-administration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with </w:t>
      </w:r>
      <w:proofErr w:type="spellStart"/>
      <w:r w:rsidRPr="00F85BD8">
        <w:rPr>
          <w:rFonts w:eastAsia="SimSun"/>
          <w:sz w:val="24"/>
          <w:szCs w:val="24"/>
          <w:lang w:val="en-US" w:eastAsia="en-GB"/>
        </w:rPr>
        <w:t>bosentan</w:t>
      </w:r>
      <w:proofErr w:type="spellEnd"/>
      <w:r w:rsidRPr="00F85BD8">
        <w:rPr>
          <w:rFonts w:eastAsia="SimSun"/>
          <w:sz w:val="24"/>
          <w:szCs w:val="24"/>
          <w:lang w:val="en-US" w:eastAsia="en-GB"/>
        </w:rPr>
        <w:t xml:space="preserve"> did not alter the pharmacokinetics of </w:t>
      </w:r>
      <w:proofErr w:type="spellStart"/>
      <w:r w:rsidRPr="00F85BD8">
        <w:rPr>
          <w:rFonts w:eastAsia="SimSun"/>
          <w:sz w:val="24"/>
          <w:szCs w:val="24"/>
          <w:lang w:val="en-US" w:eastAsia="en-GB"/>
        </w:rPr>
        <w:t>nintedanib</w:t>
      </w:r>
      <w:proofErr w:type="spellEnd"/>
      <w:r w:rsidRPr="00F85BD8">
        <w:rPr>
          <w:rFonts w:eastAsia="SimSun"/>
          <w:sz w:val="24"/>
          <w:szCs w:val="24"/>
          <w:lang w:val="en-US" w:eastAsia="en-GB"/>
        </w:rPr>
        <w:t xml:space="preserve"> (see section 5.2).</w:t>
      </w:r>
    </w:p>
    <w:p w14:paraId="7FF3B246" w14:textId="77777777" w:rsidR="007C5D2A" w:rsidRPr="00F85BD8" w:rsidRDefault="007C5D2A" w:rsidP="003E0341">
      <w:pPr>
        <w:tabs>
          <w:tab w:val="left" w:pos="851"/>
        </w:tabs>
        <w:ind w:left="851"/>
        <w:rPr>
          <w:sz w:val="24"/>
          <w:szCs w:val="24"/>
          <w:lang w:val="en-GB"/>
        </w:rPr>
      </w:pPr>
    </w:p>
    <w:p w14:paraId="430B1127"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4.6</w:t>
      </w:r>
      <w:r w:rsidRPr="00F85BD8">
        <w:rPr>
          <w:b/>
          <w:sz w:val="24"/>
          <w:szCs w:val="24"/>
          <w:lang w:val="en-GB"/>
        </w:rPr>
        <w:tab/>
      </w:r>
      <w:r w:rsidR="004860D3" w:rsidRPr="00F85BD8">
        <w:rPr>
          <w:b/>
          <w:sz w:val="24"/>
          <w:szCs w:val="24"/>
          <w:lang w:val="en-GB"/>
        </w:rPr>
        <w:t>Fertility, p</w:t>
      </w:r>
      <w:r w:rsidRPr="00F85BD8">
        <w:rPr>
          <w:b/>
          <w:sz w:val="24"/>
          <w:szCs w:val="24"/>
          <w:lang w:val="en-GB"/>
        </w:rPr>
        <w:t>regnancy and lactation</w:t>
      </w:r>
    </w:p>
    <w:p w14:paraId="7D2815E6" w14:textId="77777777" w:rsidR="00F85BD8" w:rsidRDefault="00F85BD8" w:rsidP="00BF087A">
      <w:pPr>
        <w:ind w:left="851"/>
        <w:rPr>
          <w:noProof/>
          <w:sz w:val="24"/>
          <w:szCs w:val="24"/>
          <w:lang w:val="en-US"/>
        </w:rPr>
      </w:pPr>
    </w:p>
    <w:p w14:paraId="0A9CEF3C" w14:textId="479368CB" w:rsidR="00D657C7" w:rsidRPr="00F85BD8" w:rsidRDefault="00D657C7" w:rsidP="00BF087A">
      <w:pPr>
        <w:ind w:left="851"/>
        <w:rPr>
          <w:noProof/>
          <w:sz w:val="24"/>
          <w:szCs w:val="24"/>
          <w:u w:val="single"/>
          <w:lang w:val="en-US"/>
        </w:rPr>
      </w:pPr>
      <w:r w:rsidRPr="00F85BD8">
        <w:rPr>
          <w:noProof/>
          <w:sz w:val="24"/>
          <w:szCs w:val="24"/>
          <w:u w:val="single"/>
          <w:lang w:val="en-US"/>
        </w:rPr>
        <w:t>Women of childbearing potential / Contraception</w:t>
      </w:r>
    </w:p>
    <w:p w14:paraId="41927C8E" w14:textId="64E7D078" w:rsidR="00D657C7" w:rsidRPr="00F85BD8" w:rsidRDefault="00D657C7" w:rsidP="00BF087A">
      <w:pPr>
        <w:ind w:left="851"/>
        <w:rPr>
          <w:noProof/>
          <w:sz w:val="24"/>
          <w:szCs w:val="24"/>
          <w:lang w:val="en-US"/>
        </w:rPr>
      </w:pPr>
      <w:r w:rsidRPr="00F85BD8">
        <w:rPr>
          <w:noProof/>
          <w:sz w:val="24"/>
          <w:szCs w:val="24"/>
          <w:lang w:val="en-US"/>
        </w:rPr>
        <w:t xml:space="preserve">Nintedanib may cause foetal harm in humans (see section 5.3). Women of childbearing potential should be advised to avoid becoming pregnant while receiving treatment with </w:t>
      </w:r>
      <w:r w:rsidR="00530769" w:rsidRPr="00F85BD8">
        <w:rPr>
          <w:noProof/>
          <w:sz w:val="24"/>
          <w:szCs w:val="24"/>
          <w:lang w:val="en-US"/>
        </w:rPr>
        <w:t>Nintedanib "Stada"</w:t>
      </w:r>
      <w:r w:rsidRPr="00F85BD8">
        <w:rPr>
          <w:noProof/>
          <w:sz w:val="24"/>
          <w:szCs w:val="24"/>
          <w:lang w:val="en-US"/>
        </w:rPr>
        <w:t xml:space="preserve"> and to use highly effective contraceptive methods at initiation of, during and at least 3 months after the last dose of </w:t>
      </w:r>
      <w:r w:rsidR="00530769" w:rsidRPr="00F85BD8">
        <w:rPr>
          <w:noProof/>
          <w:sz w:val="24"/>
          <w:szCs w:val="24"/>
          <w:lang w:val="en-US"/>
        </w:rPr>
        <w:t>Nintedanib "Stada"</w:t>
      </w:r>
      <w:r w:rsidRPr="00F85BD8">
        <w:rPr>
          <w:noProof/>
          <w:sz w:val="24"/>
          <w:szCs w:val="24"/>
          <w:lang w:val="en-US"/>
        </w:rPr>
        <w:t>. Nintedanib does not relevantly affect the plasma exposure of ethinylestradiol and levonorgestrel (see section 5.2). The efficacy of oral hormonal contraceptives may be compromised by vomiting and/or diarrhoea or other conditions where the absorption may be affected. Women taking oral hormonal contraceptives experiencing these conditions should be advised to use an alternative highly effective contraceptive measure.</w:t>
      </w:r>
    </w:p>
    <w:p w14:paraId="2BC1306C" w14:textId="77777777" w:rsidR="00D657C7" w:rsidRPr="00F85BD8" w:rsidRDefault="00D657C7" w:rsidP="00BF087A">
      <w:pPr>
        <w:ind w:left="851"/>
        <w:rPr>
          <w:noProof/>
          <w:sz w:val="24"/>
          <w:szCs w:val="24"/>
          <w:lang w:val="en-US"/>
        </w:rPr>
      </w:pPr>
    </w:p>
    <w:p w14:paraId="2D6B7B19" w14:textId="77777777" w:rsidR="00D657C7" w:rsidRPr="00F85BD8" w:rsidRDefault="00D657C7" w:rsidP="00BF087A">
      <w:pPr>
        <w:ind w:left="851"/>
        <w:rPr>
          <w:noProof/>
          <w:sz w:val="24"/>
          <w:szCs w:val="24"/>
          <w:u w:val="single"/>
          <w:lang w:val="en-US"/>
        </w:rPr>
      </w:pPr>
      <w:r w:rsidRPr="00F85BD8">
        <w:rPr>
          <w:noProof/>
          <w:sz w:val="24"/>
          <w:szCs w:val="24"/>
          <w:u w:val="single"/>
          <w:lang w:val="en-US"/>
        </w:rPr>
        <w:t>Pregnancy</w:t>
      </w:r>
    </w:p>
    <w:p w14:paraId="0F5E3C16" w14:textId="1BBFB41D" w:rsidR="00D657C7" w:rsidRPr="00F85BD8" w:rsidRDefault="00D657C7" w:rsidP="00BF087A">
      <w:pPr>
        <w:ind w:left="851"/>
        <w:rPr>
          <w:noProof/>
          <w:sz w:val="24"/>
          <w:szCs w:val="24"/>
          <w:lang w:val="en-US"/>
        </w:rPr>
      </w:pPr>
      <w:r w:rsidRPr="00F85BD8">
        <w:rPr>
          <w:noProof/>
          <w:sz w:val="24"/>
          <w:szCs w:val="24"/>
          <w:lang w:val="en-US"/>
        </w:rPr>
        <w:t xml:space="preserve">There is no information on the use of nintedanib in pregnant women, but pre-clinical studies in animals have shown reproductive toxicity of this active substance (see section 5.3). As nintedanib may cause foetal harm also in humans, it must not be used during pregnancy (see section 4.3) and pregnancy testing must be conducted prior to treatment with </w:t>
      </w:r>
      <w:r w:rsidR="00530769" w:rsidRPr="00F85BD8">
        <w:rPr>
          <w:noProof/>
          <w:sz w:val="24"/>
          <w:szCs w:val="24"/>
          <w:lang w:val="en-US"/>
        </w:rPr>
        <w:t>Nintedanib "Stada"</w:t>
      </w:r>
      <w:r w:rsidRPr="00F85BD8">
        <w:rPr>
          <w:noProof/>
          <w:sz w:val="24"/>
          <w:szCs w:val="24"/>
          <w:lang w:val="en-US"/>
        </w:rPr>
        <w:t xml:space="preserve"> and during treatment as appropriate.</w:t>
      </w:r>
    </w:p>
    <w:p w14:paraId="2D33CED7" w14:textId="77777777" w:rsidR="00D657C7" w:rsidRPr="00F85BD8" w:rsidRDefault="00D657C7" w:rsidP="00BF087A">
      <w:pPr>
        <w:ind w:left="851"/>
        <w:rPr>
          <w:noProof/>
          <w:sz w:val="24"/>
          <w:szCs w:val="24"/>
          <w:lang w:val="en-US"/>
        </w:rPr>
      </w:pPr>
    </w:p>
    <w:p w14:paraId="3792E672" w14:textId="17A25B6B" w:rsidR="00D657C7" w:rsidRPr="00F85BD8" w:rsidRDefault="00D657C7" w:rsidP="00BF087A">
      <w:pPr>
        <w:ind w:left="851"/>
        <w:rPr>
          <w:noProof/>
          <w:sz w:val="24"/>
          <w:szCs w:val="24"/>
          <w:lang w:val="en-US"/>
        </w:rPr>
      </w:pPr>
      <w:r w:rsidRPr="00F85BD8">
        <w:rPr>
          <w:noProof/>
          <w:sz w:val="24"/>
          <w:szCs w:val="24"/>
          <w:lang w:val="en-US"/>
        </w:rPr>
        <w:t xml:space="preserve">Female patients should be advised to notify their doctor or pharmacist if they become pregnant during therapy with </w:t>
      </w:r>
      <w:r w:rsidR="00530769" w:rsidRPr="00F85BD8">
        <w:rPr>
          <w:noProof/>
          <w:sz w:val="24"/>
          <w:szCs w:val="24"/>
          <w:lang w:val="en-US"/>
        </w:rPr>
        <w:t>Nintedanib "Stada"</w:t>
      </w:r>
      <w:r w:rsidRPr="00F85BD8">
        <w:rPr>
          <w:noProof/>
          <w:sz w:val="24"/>
          <w:szCs w:val="24"/>
          <w:lang w:val="en-US"/>
        </w:rPr>
        <w:t>.</w:t>
      </w:r>
    </w:p>
    <w:p w14:paraId="199F832D" w14:textId="77777777" w:rsidR="00D657C7" w:rsidRPr="00F85BD8" w:rsidRDefault="00D657C7" w:rsidP="00BF087A">
      <w:pPr>
        <w:ind w:left="851"/>
        <w:rPr>
          <w:noProof/>
          <w:sz w:val="24"/>
          <w:szCs w:val="24"/>
          <w:lang w:val="en-US"/>
        </w:rPr>
      </w:pPr>
    </w:p>
    <w:p w14:paraId="17780E12" w14:textId="08B92B68" w:rsidR="00D657C7" w:rsidRPr="00F85BD8" w:rsidRDefault="00D657C7" w:rsidP="00BF087A">
      <w:pPr>
        <w:ind w:left="851"/>
        <w:rPr>
          <w:noProof/>
          <w:sz w:val="24"/>
          <w:szCs w:val="24"/>
          <w:lang w:val="en-US"/>
        </w:rPr>
      </w:pPr>
      <w:r w:rsidRPr="00F85BD8">
        <w:rPr>
          <w:noProof/>
          <w:sz w:val="24"/>
          <w:szCs w:val="24"/>
          <w:lang w:val="en-US"/>
        </w:rPr>
        <w:t xml:space="preserve">If the patient becomes pregnant while receiving </w:t>
      </w:r>
      <w:r w:rsidR="00530769" w:rsidRPr="00F85BD8">
        <w:rPr>
          <w:noProof/>
          <w:sz w:val="24"/>
          <w:szCs w:val="24"/>
          <w:lang w:val="en-US"/>
        </w:rPr>
        <w:t>Nintedanib "Stada"</w:t>
      </w:r>
      <w:r w:rsidRPr="00F85BD8">
        <w:rPr>
          <w:noProof/>
          <w:sz w:val="24"/>
          <w:szCs w:val="24"/>
          <w:lang w:val="en-US"/>
        </w:rPr>
        <w:t>, treatment must be discontinued and she should be apprised of the potential hazard to the foetus.</w:t>
      </w:r>
    </w:p>
    <w:p w14:paraId="73C08F45" w14:textId="77777777" w:rsidR="00D657C7" w:rsidRPr="00F85BD8" w:rsidRDefault="00D657C7" w:rsidP="00BF087A">
      <w:pPr>
        <w:ind w:left="851"/>
        <w:rPr>
          <w:noProof/>
          <w:sz w:val="24"/>
          <w:szCs w:val="24"/>
          <w:lang w:val="en-US"/>
        </w:rPr>
      </w:pPr>
    </w:p>
    <w:p w14:paraId="3D4535E4" w14:textId="77777777" w:rsidR="00D657C7" w:rsidRPr="00F85BD8" w:rsidRDefault="00D657C7" w:rsidP="00BF087A">
      <w:pPr>
        <w:ind w:left="851"/>
        <w:rPr>
          <w:noProof/>
          <w:sz w:val="24"/>
          <w:szCs w:val="24"/>
          <w:u w:val="single"/>
          <w:lang w:val="en-US"/>
        </w:rPr>
      </w:pPr>
      <w:r w:rsidRPr="00F85BD8">
        <w:rPr>
          <w:noProof/>
          <w:sz w:val="24"/>
          <w:szCs w:val="24"/>
          <w:u w:val="single"/>
          <w:lang w:val="en-US"/>
        </w:rPr>
        <w:t>Breast-feeding</w:t>
      </w:r>
    </w:p>
    <w:p w14:paraId="23312DFE" w14:textId="77777777" w:rsidR="00D657C7" w:rsidRPr="00F85BD8" w:rsidRDefault="00D657C7" w:rsidP="00BF087A">
      <w:pPr>
        <w:ind w:left="851"/>
        <w:rPr>
          <w:noProof/>
          <w:sz w:val="24"/>
          <w:szCs w:val="24"/>
          <w:lang w:val="en-US"/>
        </w:rPr>
      </w:pPr>
      <w:r w:rsidRPr="00F85BD8">
        <w:rPr>
          <w:noProof/>
          <w:sz w:val="24"/>
          <w:szCs w:val="24"/>
          <w:lang w:val="en-US"/>
        </w:rPr>
        <w:t>There is no information on the excretion of nintedanib and its metabolites in human milk.</w:t>
      </w:r>
    </w:p>
    <w:p w14:paraId="30BE2BA9" w14:textId="77777777" w:rsidR="00D657C7" w:rsidRPr="00F85BD8" w:rsidRDefault="00D657C7" w:rsidP="00BF087A">
      <w:pPr>
        <w:ind w:left="851"/>
        <w:rPr>
          <w:noProof/>
          <w:sz w:val="24"/>
          <w:szCs w:val="24"/>
          <w:lang w:val="en-US"/>
        </w:rPr>
      </w:pPr>
      <w:r w:rsidRPr="00F85BD8">
        <w:rPr>
          <w:noProof/>
          <w:sz w:val="24"/>
          <w:szCs w:val="24"/>
          <w:lang w:val="en-US"/>
        </w:rPr>
        <w:t>Pre-clinical studies showed that small amounts of nintedanib and its metabolites (≤0.5% of the administered dose) were secreted into milk of lactating rats. A risk to the newborns/infants cannot be excluded. Breast-feeding should be discontinued during treatment with this medicinal product.</w:t>
      </w:r>
    </w:p>
    <w:p w14:paraId="0A9DC9B1" w14:textId="77777777" w:rsidR="00D657C7" w:rsidRPr="00F85BD8" w:rsidRDefault="00D657C7" w:rsidP="00BF087A">
      <w:pPr>
        <w:ind w:left="851"/>
        <w:rPr>
          <w:noProof/>
          <w:sz w:val="24"/>
          <w:szCs w:val="24"/>
          <w:lang w:val="en-US"/>
        </w:rPr>
      </w:pPr>
    </w:p>
    <w:p w14:paraId="624F2FDD" w14:textId="77777777" w:rsidR="00D657C7" w:rsidRPr="00F85BD8" w:rsidRDefault="00D657C7" w:rsidP="00BF087A">
      <w:pPr>
        <w:ind w:left="851"/>
        <w:rPr>
          <w:noProof/>
          <w:sz w:val="24"/>
          <w:szCs w:val="24"/>
          <w:u w:val="single"/>
          <w:lang w:val="en-US"/>
        </w:rPr>
      </w:pPr>
      <w:r w:rsidRPr="00F85BD8">
        <w:rPr>
          <w:noProof/>
          <w:sz w:val="24"/>
          <w:szCs w:val="24"/>
          <w:u w:val="single"/>
          <w:lang w:val="en-US"/>
        </w:rPr>
        <w:t>Fertility</w:t>
      </w:r>
    </w:p>
    <w:p w14:paraId="12EC23B4" w14:textId="77777777" w:rsidR="00D657C7" w:rsidRPr="00F85BD8" w:rsidRDefault="00D657C7" w:rsidP="00BF087A">
      <w:pPr>
        <w:ind w:left="851"/>
        <w:rPr>
          <w:noProof/>
          <w:sz w:val="24"/>
          <w:szCs w:val="24"/>
          <w:lang w:val="en-US"/>
        </w:rPr>
      </w:pPr>
      <w:r w:rsidRPr="00F85BD8">
        <w:rPr>
          <w:noProof/>
          <w:sz w:val="24"/>
          <w:szCs w:val="24"/>
          <w:lang w:val="en-US"/>
        </w:rPr>
        <w:t>Based on preclinical investigations there is no evidence for impairment of male fertility (see section 5.3). From subchronic and chronic toxicity studies, there is no evidence that female fertility in rats is impaired at a systemic exposure level comparable with that at the maximum recommended human dose (MRHD) of 150 mg twice daily (see section 5.3).</w:t>
      </w:r>
    </w:p>
    <w:p w14:paraId="37360DBE" w14:textId="77777777" w:rsidR="007C5D2A" w:rsidRPr="00F85BD8" w:rsidRDefault="007C5D2A" w:rsidP="003E0341">
      <w:pPr>
        <w:tabs>
          <w:tab w:val="left" w:pos="851"/>
        </w:tabs>
        <w:ind w:left="851"/>
        <w:rPr>
          <w:sz w:val="24"/>
          <w:szCs w:val="24"/>
          <w:lang w:val="en-GB"/>
        </w:rPr>
      </w:pPr>
    </w:p>
    <w:p w14:paraId="2FB9FED4"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4.7</w:t>
      </w:r>
      <w:r w:rsidRPr="00F85BD8">
        <w:rPr>
          <w:b/>
          <w:sz w:val="24"/>
          <w:szCs w:val="24"/>
          <w:lang w:val="en-GB"/>
        </w:rPr>
        <w:tab/>
        <w:t>Effects on ability to drive and use machines</w:t>
      </w:r>
    </w:p>
    <w:p w14:paraId="29CBFFB9" w14:textId="77777777" w:rsidR="00F85BD8" w:rsidRDefault="00F85BD8" w:rsidP="00BF087A">
      <w:pPr>
        <w:ind w:left="851"/>
        <w:rPr>
          <w:noProof/>
          <w:sz w:val="24"/>
          <w:szCs w:val="24"/>
          <w:lang w:val="en-US"/>
        </w:rPr>
      </w:pPr>
      <w:r>
        <w:rPr>
          <w:noProof/>
          <w:sz w:val="24"/>
          <w:szCs w:val="24"/>
          <w:lang w:val="en-US"/>
        </w:rPr>
        <w:t>No traffic warning.</w:t>
      </w:r>
    </w:p>
    <w:p w14:paraId="1FBE9790" w14:textId="369C6B45" w:rsidR="00D657C7" w:rsidRPr="00F85BD8" w:rsidRDefault="00530769" w:rsidP="00BF087A">
      <w:pPr>
        <w:ind w:left="851"/>
        <w:rPr>
          <w:noProof/>
          <w:sz w:val="24"/>
          <w:szCs w:val="24"/>
          <w:lang w:val="en-US"/>
        </w:rPr>
      </w:pPr>
      <w:r w:rsidRPr="00F85BD8">
        <w:rPr>
          <w:noProof/>
          <w:sz w:val="24"/>
          <w:szCs w:val="24"/>
          <w:lang w:val="en-US"/>
        </w:rPr>
        <w:t>Nintedanib "Stada"</w:t>
      </w:r>
      <w:r w:rsidR="00D657C7" w:rsidRPr="00F85BD8">
        <w:rPr>
          <w:noProof/>
          <w:sz w:val="24"/>
          <w:szCs w:val="24"/>
          <w:lang w:val="en-US"/>
        </w:rPr>
        <w:t xml:space="preserve"> has minor influence on the ability to drive and use machines. Patients should be advised to be cautious when driving or using machines during treatment with nintedanib.</w:t>
      </w:r>
    </w:p>
    <w:p w14:paraId="60B10D6B" w14:textId="77777777" w:rsidR="007C5D2A" w:rsidRPr="00F85BD8" w:rsidRDefault="007C5D2A" w:rsidP="003E0341">
      <w:pPr>
        <w:tabs>
          <w:tab w:val="left" w:pos="851"/>
        </w:tabs>
        <w:ind w:left="851"/>
        <w:rPr>
          <w:sz w:val="24"/>
          <w:szCs w:val="24"/>
          <w:lang w:val="en-GB"/>
        </w:rPr>
      </w:pPr>
    </w:p>
    <w:p w14:paraId="035C9BA4"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4.8</w:t>
      </w:r>
      <w:r w:rsidRPr="00F85BD8">
        <w:rPr>
          <w:b/>
          <w:sz w:val="24"/>
          <w:szCs w:val="24"/>
          <w:lang w:val="en-GB"/>
        </w:rPr>
        <w:tab/>
        <w:t>Undesirable effects</w:t>
      </w:r>
    </w:p>
    <w:p w14:paraId="2979F9A6" w14:textId="77777777" w:rsidR="00F85BD8" w:rsidRDefault="00F85BD8" w:rsidP="00BF087A">
      <w:pPr>
        <w:ind w:left="851"/>
        <w:rPr>
          <w:sz w:val="24"/>
          <w:szCs w:val="24"/>
          <w:lang w:val="en-US"/>
        </w:rPr>
      </w:pPr>
    </w:p>
    <w:p w14:paraId="6B32AA32" w14:textId="121E24E4" w:rsidR="00D657C7" w:rsidRPr="00F85BD8" w:rsidRDefault="00D657C7" w:rsidP="00BF087A">
      <w:pPr>
        <w:ind w:left="851"/>
        <w:rPr>
          <w:sz w:val="24"/>
          <w:szCs w:val="24"/>
          <w:u w:val="single"/>
          <w:lang w:val="en-US"/>
        </w:rPr>
      </w:pPr>
      <w:r w:rsidRPr="00F85BD8">
        <w:rPr>
          <w:sz w:val="24"/>
          <w:szCs w:val="24"/>
          <w:u w:val="single"/>
          <w:lang w:val="en-US"/>
        </w:rPr>
        <w:t>Summary of the safety profile</w:t>
      </w:r>
    </w:p>
    <w:p w14:paraId="11B81F67" w14:textId="77777777" w:rsidR="00D657C7" w:rsidRPr="00F85BD8" w:rsidRDefault="00D657C7" w:rsidP="00BF087A">
      <w:pPr>
        <w:ind w:left="851"/>
        <w:rPr>
          <w:sz w:val="24"/>
          <w:szCs w:val="24"/>
          <w:lang w:val="en-US"/>
        </w:rPr>
      </w:pPr>
      <w:r w:rsidRPr="00F85BD8">
        <w:rPr>
          <w:sz w:val="24"/>
          <w:szCs w:val="24"/>
          <w:lang w:val="en-US"/>
        </w:rPr>
        <w:t xml:space="preserve">In clinical trials and during the post-marketing experience, the most frequently reported adverse reactions associated with the use of </w:t>
      </w:r>
      <w:proofErr w:type="spellStart"/>
      <w:r w:rsidRPr="00F85BD8">
        <w:rPr>
          <w:sz w:val="24"/>
          <w:szCs w:val="24"/>
          <w:lang w:val="en-US"/>
        </w:rPr>
        <w:t>nintedanib</w:t>
      </w:r>
      <w:proofErr w:type="spellEnd"/>
      <w:r w:rsidRPr="00F85BD8">
        <w:rPr>
          <w:sz w:val="24"/>
          <w:szCs w:val="24"/>
          <w:lang w:val="en-US"/>
        </w:rPr>
        <w:t xml:space="preserve"> included </w:t>
      </w:r>
      <w:proofErr w:type="spellStart"/>
      <w:r w:rsidRPr="00F85BD8">
        <w:rPr>
          <w:sz w:val="24"/>
          <w:szCs w:val="24"/>
          <w:lang w:val="en-US"/>
        </w:rPr>
        <w:t>diarrhoea</w:t>
      </w:r>
      <w:proofErr w:type="spellEnd"/>
      <w:r w:rsidRPr="00F85BD8">
        <w:rPr>
          <w:sz w:val="24"/>
          <w:szCs w:val="24"/>
          <w:lang w:val="en-US"/>
        </w:rPr>
        <w:t>, nausea and vomiting, abdominal pain, decreased appetite, weight decreased and hepatic enzyme increased.</w:t>
      </w:r>
    </w:p>
    <w:p w14:paraId="5F9960CC" w14:textId="77777777" w:rsidR="00D657C7" w:rsidRPr="00F85BD8" w:rsidRDefault="00D657C7" w:rsidP="00BF087A">
      <w:pPr>
        <w:ind w:left="851"/>
        <w:rPr>
          <w:sz w:val="24"/>
          <w:szCs w:val="24"/>
          <w:lang w:val="en-US"/>
        </w:rPr>
      </w:pPr>
    </w:p>
    <w:p w14:paraId="1A235CA9" w14:textId="77777777" w:rsidR="00D657C7" w:rsidRPr="00F85BD8" w:rsidRDefault="00D657C7" w:rsidP="00BF087A">
      <w:pPr>
        <w:ind w:left="851"/>
        <w:rPr>
          <w:sz w:val="24"/>
          <w:szCs w:val="24"/>
          <w:lang w:val="en-US"/>
        </w:rPr>
      </w:pPr>
      <w:r w:rsidRPr="00F85BD8">
        <w:rPr>
          <w:sz w:val="24"/>
          <w:szCs w:val="24"/>
          <w:lang w:val="en-US"/>
        </w:rPr>
        <w:t>For the management of selected adverse reactions see section 4.4.</w:t>
      </w:r>
    </w:p>
    <w:p w14:paraId="59A67E1C" w14:textId="77777777" w:rsidR="00D657C7" w:rsidRPr="00F85BD8" w:rsidRDefault="00D657C7" w:rsidP="00BF087A">
      <w:pPr>
        <w:ind w:left="851"/>
        <w:rPr>
          <w:sz w:val="24"/>
          <w:szCs w:val="24"/>
          <w:lang w:val="en-US"/>
        </w:rPr>
      </w:pPr>
    </w:p>
    <w:p w14:paraId="6340D348" w14:textId="77777777" w:rsidR="00D657C7" w:rsidRPr="00F85BD8" w:rsidRDefault="00D657C7" w:rsidP="00BF087A">
      <w:pPr>
        <w:ind w:left="851"/>
        <w:rPr>
          <w:sz w:val="24"/>
          <w:szCs w:val="24"/>
          <w:u w:val="single"/>
          <w:lang w:val="en-US"/>
        </w:rPr>
      </w:pPr>
      <w:r w:rsidRPr="00F85BD8">
        <w:rPr>
          <w:sz w:val="24"/>
          <w:szCs w:val="24"/>
          <w:u w:val="single"/>
          <w:lang w:val="en-US"/>
        </w:rPr>
        <w:t>Tabulated list of adverse reactions</w:t>
      </w:r>
    </w:p>
    <w:p w14:paraId="48F66C90" w14:textId="77777777" w:rsidR="00D657C7" w:rsidRPr="00F85BD8" w:rsidRDefault="00D657C7" w:rsidP="00BF087A">
      <w:pPr>
        <w:ind w:left="851"/>
        <w:rPr>
          <w:sz w:val="24"/>
          <w:szCs w:val="24"/>
          <w:lang w:val="en-US"/>
        </w:rPr>
      </w:pPr>
      <w:r w:rsidRPr="00F85BD8">
        <w:rPr>
          <w:sz w:val="24"/>
          <w:szCs w:val="24"/>
          <w:lang w:val="en-US"/>
        </w:rPr>
        <w:t>Table 1 provides a summary of the adverse drug reactions (ADRs) by MedDRA System Organ Class (SOC) and frequency category using the following convention: very common (≥1/10), common (≥1/100 to &lt;1/10), uncommon (≥1/1 000 to &lt;1/100), rare (≥1/10 000 to &lt;1/1 000), very rare (&lt;1/10 000), not known (cannot be estimated from the available data).</w:t>
      </w:r>
    </w:p>
    <w:p w14:paraId="30AFB05F" w14:textId="77777777" w:rsidR="00D657C7" w:rsidRPr="00F85BD8" w:rsidRDefault="00D657C7" w:rsidP="00BF087A">
      <w:pPr>
        <w:ind w:left="851"/>
        <w:rPr>
          <w:sz w:val="24"/>
          <w:szCs w:val="24"/>
          <w:lang w:val="en-US"/>
        </w:rPr>
      </w:pPr>
    </w:p>
    <w:p w14:paraId="5F0E011B" w14:textId="19157C29" w:rsidR="00D657C7" w:rsidRPr="00F85BD8" w:rsidRDefault="00D657C7" w:rsidP="00D657C7">
      <w:pPr>
        <w:keepNext/>
        <w:tabs>
          <w:tab w:val="left" w:pos="1134"/>
        </w:tabs>
        <w:autoSpaceDE w:val="0"/>
        <w:autoSpaceDN w:val="0"/>
        <w:adjustRightInd w:val="0"/>
        <w:ind w:left="1134" w:hanging="1134"/>
        <w:jc w:val="both"/>
        <w:rPr>
          <w:b/>
          <w:sz w:val="24"/>
          <w:szCs w:val="24"/>
          <w:lang w:val="en-US"/>
        </w:rPr>
      </w:pPr>
      <w:r w:rsidRPr="00F85BD8">
        <w:rPr>
          <w:b/>
          <w:sz w:val="24"/>
          <w:szCs w:val="24"/>
          <w:lang w:val="en-US"/>
        </w:rPr>
        <w:t>Table 1:</w:t>
      </w:r>
      <w:r w:rsidR="00BF087A" w:rsidRPr="00F85BD8">
        <w:rPr>
          <w:b/>
          <w:sz w:val="24"/>
          <w:szCs w:val="24"/>
          <w:lang w:val="en-US"/>
        </w:rPr>
        <w:t xml:space="preserve"> </w:t>
      </w:r>
      <w:r w:rsidRPr="00F85BD8">
        <w:rPr>
          <w:b/>
          <w:sz w:val="24"/>
          <w:szCs w:val="24"/>
          <w:lang w:val="en-US"/>
        </w:rPr>
        <w:t>Summary of ADRs per frequency category</w:t>
      </w:r>
    </w:p>
    <w:p w14:paraId="374D456C" w14:textId="77777777" w:rsidR="00D657C7" w:rsidRPr="00F85BD8" w:rsidRDefault="00D657C7" w:rsidP="00D657C7">
      <w:pPr>
        <w:keepNext/>
        <w:tabs>
          <w:tab w:val="left" w:pos="1134"/>
        </w:tabs>
        <w:autoSpaceDE w:val="0"/>
        <w:autoSpaceDN w:val="0"/>
        <w:adjustRightInd w:val="0"/>
        <w:ind w:left="1134" w:hanging="1134"/>
        <w:jc w:val="both"/>
        <w:rPr>
          <w:sz w:val="24"/>
          <w:szCs w:val="24"/>
          <w:lang w:val="en-US"/>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D657C7" w:rsidRPr="00F85BD8" w14:paraId="779AD057" w14:textId="77777777" w:rsidTr="00BF087A">
        <w:trPr>
          <w:tblHeader/>
        </w:trPr>
        <w:tc>
          <w:tcPr>
            <w:tcW w:w="1250" w:type="pct"/>
            <w:tcBorders>
              <w:top w:val="single" w:sz="4" w:space="0" w:color="auto"/>
              <w:left w:val="single" w:sz="4" w:space="0" w:color="auto"/>
              <w:bottom w:val="single" w:sz="4" w:space="0" w:color="auto"/>
              <w:right w:val="single" w:sz="4" w:space="0" w:color="auto"/>
            </w:tcBorders>
          </w:tcPr>
          <w:p w14:paraId="2A6D0731" w14:textId="77777777" w:rsidR="00D657C7" w:rsidRPr="00F85BD8" w:rsidRDefault="00D657C7">
            <w:pPr>
              <w:autoSpaceDE w:val="0"/>
              <w:autoSpaceDN w:val="0"/>
              <w:adjustRightInd w:val="0"/>
              <w:jc w:val="both"/>
              <w:rPr>
                <w:b/>
                <w:sz w:val="24"/>
                <w:szCs w:val="24"/>
              </w:rPr>
            </w:pPr>
          </w:p>
        </w:tc>
        <w:tc>
          <w:tcPr>
            <w:tcW w:w="3750" w:type="pct"/>
            <w:gridSpan w:val="3"/>
            <w:tcBorders>
              <w:top w:val="single" w:sz="4" w:space="0" w:color="auto"/>
              <w:left w:val="single" w:sz="4" w:space="0" w:color="auto"/>
              <w:bottom w:val="single" w:sz="4" w:space="0" w:color="auto"/>
              <w:right w:val="single" w:sz="4" w:space="0" w:color="auto"/>
            </w:tcBorders>
            <w:hideMark/>
          </w:tcPr>
          <w:p w14:paraId="33B9BD2A" w14:textId="77777777" w:rsidR="00D657C7" w:rsidRPr="00F85BD8" w:rsidRDefault="00D657C7">
            <w:pPr>
              <w:autoSpaceDE w:val="0"/>
              <w:autoSpaceDN w:val="0"/>
              <w:adjustRightInd w:val="0"/>
              <w:jc w:val="center"/>
              <w:rPr>
                <w:b/>
                <w:sz w:val="24"/>
                <w:szCs w:val="24"/>
              </w:rPr>
            </w:pPr>
            <w:r w:rsidRPr="00F85BD8">
              <w:rPr>
                <w:b/>
                <w:sz w:val="24"/>
                <w:szCs w:val="24"/>
              </w:rPr>
              <w:t>Frequency</w:t>
            </w:r>
          </w:p>
        </w:tc>
      </w:tr>
      <w:tr w:rsidR="00D657C7" w:rsidRPr="00EF62D2" w14:paraId="3100F558" w14:textId="77777777" w:rsidTr="00BF087A">
        <w:trPr>
          <w:tblHeader/>
        </w:trPr>
        <w:tc>
          <w:tcPr>
            <w:tcW w:w="1250" w:type="pct"/>
            <w:tcBorders>
              <w:top w:val="single" w:sz="4" w:space="0" w:color="auto"/>
              <w:left w:val="single" w:sz="4" w:space="0" w:color="auto"/>
              <w:bottom w:val="single" w:sz="4" w:space="0" w:color="auto"/>
              <w:right w:val="single" w:sz="4" w:space="0" w:color="auto"/>
            </w:tcBorders>
            <w:hideMark/>
          </w:tcPr>
          <w:p w14:paraId="0937A2E1" w14:textId="77777777" w:rsidR="00D657C7" w:rsidRPr="00F85BD8" w:rsidRDefault="00D657C7">
            <w:pPr>
              <w:autoSpaceDE w:val="0"/>
              <w:autoSpaceDN w:val="0"/>
              <w:adjustRightInd w:val="0"/>
              <w:jc w:val="center"/>
              <w:rPr>
                <w:b/>
                <w:sz w:val="24"/>
                <w:szCs w:val="24"/>
              </w:rPr>
            </w:pPr>
            <w:r w:rsidRPr="00F85BD8">
              <w:rPr>
                <w:b/>
                <w:sz w:val="24"/>
                <w:szCs w:val="24"/>
              </w:rPr>
              <w:t>System Organ Class preferred term</w:t>
            </w:r>
          </w:p>
        </w:tc>
        <w:tc>
          <w:tcPr>
            <w:tcW w:w="1250" w:type="pct"/>
            <w:tcBorders>
              <w:top w:val="single" w:sz="4" w:space="0" w:color="auto"/>
              <w:left w:val="single" w:sz="4" w:space="0" w:color="auto"/>
              <w:bottom w:val="single" w:sz="4" w:space="0" w:color="auto"/>
              <w:right w:val="single" w:sz="4" w:space="0" w:color="auto"/>
            </w:tcBorders>
            <w:hideMark/>
          </w:tcPr>
          <w:p w14:paraId="36703C39" w14:textId="77777777" w:rsidR="00D657C7" w:rsidRPr="00F85BD8" w:rsidRDefault="00D657C7">
            <w:pPr>
              <w:autoSpaceDE w:val="0"/>
              <w:autoSpaceDN w:val="0"/>
              <w:adjustRightInd w:val="0"/>
              <w:jc w:val="center"/>
              <w:rPr>
                <w:b/>
                <w:sz w:val="24"/>
                <w:szCs w:val="24"/>
              </w:rPr>
            </w:pPr>
            <w:r w:rsidRPr="00F85BD8">
              <w:rPr>
                <w:b/>
                <w:sz w:val="24"/>
                <w:szCs w:val="24"/>
              </w:rPr>
              <w:t>Idiopathic pulmonary fibrosis</w:t>
            </w:r>
          </w:p>
        </w:tc>
        <w:tc>
          <w:tcPr>
            <w:tcW w:w="1250" w:type="pct"/>
            <w:tcBorders>
              <w:top w:val="single" w:sz="4" w:space="0" w:color="auto"/>
              <w:left w:val="single" w:sz="4" w:space="0" w:color="auto"/>
              <w:bottom w:val="single" w:sz="4" w:space="0" w:color="auto"/>
              <w:right w:val="single" w:sz="4" w:space="0" w:color="auto"/>
            </w:tcBorders>
            <w:hideMark/>
          </w:tcPr>
          <w:p w14:paraId="0AC3302D" w14:textId="77777777" w:rsidR="00D657C7" w:rsidRPr="00F85BD8" w:rsidRDefault="00D657C7">
            <w:pPr>
              <w:autoSpaceDE w:val="0"/>
              <w:autoSpaceDN w:val="0"/>
              <w:adjustRightInd w:val="0"/>
              <w:jc w:val="center"/>
              <w:rPr>
                <w:b/>
                <w:sz w:val="24"/>
                <w:szCs w:val="24"/>
              </w:rPr>
            </w:pPr>
            <w:r w:rsidRPr="00F85BD8">
              <w:rPr>
                <w:b/>
                <w:sz w:val="24"/>
                <w:szCs w:val="24"/>
              </w:rPr>
              <w:t>Other chronic fibrosing ILDs with a progressive phenotype</w:t>
            </w:r>
          </w:p>
        </w:tc>
        <w:tc>
          <w:tcPr>
            <w:tcW w:w="1250" w:type="pct"/>
            <w:tcBorders>
              <w:top w:val="single" w:sz="4" w:space="0" w:color="auto"/>
              <w:left w:val="single" w:sz="4" w:space="0" w:color="auto"/>
              <w:bottom w:val="single" w:sz="4" w:space="0" w:color="auto"/>
              <w:right w:val="single" w:sz="4" w:space="0" w:color="auto"/>
            </w:tcBorders>
            <w:hideMark/>
          </w:tcPr>
          <w:p w14:paraId="7D1BDD2D" w14:textId="77777777" w:rsidR="00D657C7" w:rsidRPr="00F85BD8" w:rsidRDefault="00D657C7">
            <w:pPr>
              <w:autoSpaceDE w:val="0"/>
              <w:autoSpaceDN w:val="0"/>
              <w:adjustRightInd w:val="0"/>
              <w:jc w:val="center"/>
              <w:rPr>
                <w:b/>
                <w:sz w:val="24"/>
                <w:szCs w:val="24"/>
              </w:rPr>
            </w:pPr>
            <w:r w:rsidRPr="00F85BD8">
              <w:rPr>
                <w:b/>
                <w:sz w:val="24"/>
                <w:szCs w:val="24"/>
              </w:rPr>
              <w:t>Systemic sclerosis associated interstitial lung disease</w:t>
            </w:r>
          </w:p>
        </w:tc>
      </w:tr>
      <w:tr w:rsidR="00D657C7" w:rsidRPr="00EF62D2" w14:paraId="48931026"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0CD0FD53" w14:textId="77777777" w:rsidR="00D657C7" w:rsidRPr="00F85BD8" w:rsidRDefault="00D657C7">
            <w:pPr>
              <w:autoSpaceDE w:val="0"/>
              <w:autoSpaceDN w:val="0"/>
              <w:adjustRightInd w:val="0"/>
              <w:rPr>
                <w:b/>
                <w:sz w:val="24"/>
                <w:szCs w:val="24"/>
              </w:rPr>
            </w:pPr>
            <w:r w:rsidRPr="00F85BD8">
              <w:rPr>
                <w:b/>
                <w:sz w:val="24"/>
                <w:szCs w:val="24"/>
              </w:rPr>
              <w:t>Blood and lymphatic system disorders</w:t>
            </w:r>
          </w:p>
        </w:tc>
      </w:tr>
      <w:tr w:rsidR="00D657C7" w:rsidRPr="00F85BD8" w14:paraId="4BF92AA8"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CDF6815" w14:textId="77777777" w:rsidR="00D657C7" w:rsidRPr="00F85BD8" w:rsidRDefault="00D657C7">
            <w:pPr>
              <w:autoSpaceDE w:val="0"/>
              <w:autoSpaceDN w:val="0"/>
              <w:adjustRightInd w:val="0"/>
              <w:rPr>
                <w:sz w:val="24"/>
                <w:szCs w:val="24"/>
              </w:rPr>
            </w:pPr>
            <w:r w:rsidRPr="00F85BD8">
              <w:rPr>
                <w:sz w:val="24"/>
                <w:szCs w:val="24"/>
              </w:rPr>
              <w:t>Thrombocytopenia</w:t>
            </w:r>
          </w:p>
        </w:tc>
        <w:tc>
          <w:tcPr>
            <w:tcW w:w="1250" w:type="pct"/>
            <w:tcBorders>
              <w:top w:val="single" w:sz="4" w:space="0" w:color="auto"/>
              <w:left w:val="single" w:sz="4" w:space="0" w:color="auto"/>
              <w:bottom w:val="single" w:sz="4" w:space="0" w:color="auto"/>
              <w:right w:val="single" w:sz="4" w:space="0" w:color="auto"/>
            </w:tcBorders>
            <w:hideMark/>
          </w:tcPr>
          <w:p w14:paraId="31A8C525"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329FFC47"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3E9DEF7C"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1046A501"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30E65B3B" w14:textId="77777777" w:rsidR="00D657C7" w:rsidRPr="00F85BD8" w:rsidRDefault="00D657C7">
            <w:pPr>
              <w:autoSpaceDE w:val="0"/>
              <w:autoSpaceDN w:val="0"/>
              <w:adjustRightInd w:val="0"/>
              <w:rPr>
                <w:b/>
                <w:sz w:val="24"/>
                <w:szCs w:val="24"/>
              </w:rPr>
            </w:pPr>
            <w:r w:rsidRPr="00F85BD8">
              <w:rPr>
                <w:b/>
                <w:sz w:val="24"/>
                <w:szCs w:val="24"/>
              </w:rPr>
              <w:t>Metabolism and nutrition disorders</w:t>
            </w:r>
          </w:p>
        </w:tc>
      </w:tr>
      <w:tr w:rsidR="00D657C7" w:rsidRPr="00F85BD8" w14:paraId="69F40813"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0134BE2E" w14:textId="77777777" w:rsidR="00D657C7" w:rsidRPr="00F85BD8" w:rsidRDefault="00D657C7">
            <w:pPr>
              <w:autoSpaceDE w:val="0"/>
              <w:autoSpaceDN w:val="0"/>
              <w:adjustRightInd w:val="0"/>
              <w:rPr>
                <w:sz w:val="24"/>
                <w:szCs w:val="24"/>
              </w:rPr>
            </w:pPr>
            <w:r w:rsidRPr="00F85BD8">
              <w:rPr>
                <w:sz w:val="24"/>
                <w:szCs w:val="24"/>
              </w:rPr>
              <w:t>Weight decreased</w:t>
            </w:r>
          </w:p>
        </w:tc>
        <w:tc>
          <w:tcPr>
            <w:tcW w:w="1250" w:type="pct"/>
            <w:tcBorders>
              <w:top w:val="single" w:sz="4" w:space="0" w:color="auto"/>
              <w:left w:val="single" w:sz="4" w:space="0" w:color="auto"/>
              <w:bottom w:val="single" w:sz="4" w:space="0" w:color="auto"/>
              <w:right w:val="single" w:sz="4" w:space="0" w:color="auto"/>
            </w:tcBorders>
            <w:hideMark/>
          </w:tcPr>
          <w:p w14:paraId="5F70A1A2"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7EF5A328"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08142FF"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381EE2F2"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51E6C021" w14:textId="77777777" w:rsidR="00D657C7" w:rsidRPr="00F85BD8" w:rsidRDefault="00D657C7">
            <w:pPr>
              <w:autoSpaceDE w:val="0"/>
              <w:autoSpaceDN w:val="0"/>
              <w:adjustRightInd w:val="0"/>
              <w:rPr>
                <w:sz w:val="24"/>
                <w:szCs w:val="24"/>
              </w:rPr>
            </w:pPr>
            <w:r w:rsidRPr="00F85BD8">
              <w:rPr>
                <w:sz w:val="24"/>
                <w:szCs w:val="24"/>
              </w:rPr>
              <w:t>Decreased appetite</w:t>
            </w:r>
          </w:p>
        </w:tc>
        <w:tc>
          <w:tcPr>
            <w:tcW w:w="1250" w:type="pct"/>
            <w:tcBorders>
              <w:top w:val="single" w:sz="4" w:space="0" w:color="auto"/>
              <w:left w:val="single" w:sz="4" w:space="0" w:color="auto"/>
              <w:bottom w:val="single" w:sz="4" w:space="0" w:color="auto"/>
              <w:right w:val="single" w:sz="4" w:space="0" w:color="auto"/>
            </w:tcBorders>
            <w:hideMark/>
          </w:tcPr>
          <w:p w14:paraId="1C659C2A"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124B980"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78ED067D"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7C73D380"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3F534C2" w14:textId="77777777" w:rsidR="00D657C7" w:rsidRPr="00F85BD8" w:rsidRDefault="00D657C7">
            <w:pPr>
              <w:autoSpaceDE w:val="0"/>
              <w:autoSpaceDN w:val="0"/>
              <w:adjustRightInd w:val="0"/>
              <w:rPr>
                <w:sz w:val="24"/>
                <w:szCs w:val="24"/>
              </w:rPr>
            </w:pPr>
            <w:r w:rsidRPr="00F85BD8">
              <w:rPr>
                <w:sz w:val="24"/>
                <w:szCs w:val="24"/>
              </w:rPr>
              <w:t>Dehydration</w:t>
            </w:r>
          </w:p>
        </w:tc>
        <w:tc>
          <w:tcPr>
            <w:tcW w:w="1250" w:type="pct"/>
            <w:tcBorders>
              <w:top w:val="single" w:sz="4" w:space="0" w:color="auto"/>
              <w:left w:val="single" w:sz="4" w:space="0" w:color="auto"/>
              <w:bottom w:val="single" w:sz="4" w:space="0" w:color="auto"/>
              <w:right w:val="single" w:sz="4" w:space="0" w:color="auto"/>
            </w:tcBorders>
            <w:hideMark/>
          </w:tcPr>
          <w:p w14:paraId="40F5BDF5"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E8544C9"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9AC9242"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4194410"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0285DA6D" w14:textId="77777777" w:rsidR="00D657C7" w:rsidRPr="00F85BD8" w:rsidRDefault="00D657C7">
            <w:pPr>
              <w:autoSpaceDE w:val="0"/>
              <w:autoSpaceDN w:val="0"/>
              <w:adjustRightInd w:val="0"/>
              <w:rPr>
                <w:b/>
                <w:sz w:val="24"/>
                <w:szCs w:val="24"/>
              </w:rPr>
            </w:pPr>
            <w:r w:rsidRPr="00F85BD8">
              <w:rPr>
                <w:b/>
                <w:sz w:val="24"/>
                <w:szCs w:val="24"/>
              </w:rPr>
              <w:t>Cardiac disorders</w:t>
            </w:r>
          </w:p>
        </w:tc>
      </w:tr>
      <w:tr w:rsidR="00D657C7" w:rsidRPr="00F85BD8" w14:paraId="6E77249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38550A0F" w14:textId="77777777" w:rsidR="00D657C7" w:rsidRPr="00F85BD8" w:rsidRDefault="00D657C7">
            <w:pPr>
              <w:autoSpaceDE w:val="0"/>
              <w:autoSpaceDN w:val="0"/>
              <w:adjustRightInd w:val="0"/>
              <w:rPr>
                <w:sz w:val="24"/>
                <w:szCs w:val="24"/>
              </w:rPr>
            </w:pPr>
            <w:r w:rsidRPr="00F85BD8">
              <w:rPr>
                <w:sz w:val="24"/>
                <w:szCs w:val="24"/>
              </w:rPr>
              <w:t>Myocardial infarction</w:t>
            </w:r>
          </w:p>
        </w:tc>
        <w:tc>
          <w:tcPr>
            <w:tcW w:w="1250" w:type="pct"/>
            <w:tcBorders>
              <w:top w:val="single" w:sz="4" w:space="0" w:color="auto"/>
              <w:left w:val="single" w:sz="4" w:space="0" w:color="auto"/>
              <w:bottom w:val="single" w:sz="4" w:space="0" w:color="auto"/>
              <w:right w:val="single" w:sz="4" w:space="0" w:color="auto"/>
            </w:tcBorders>
            <w:hideMark/>
          </w:tcPr>
          <w:p w14:paraId="316FAFAD"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4B34B9A"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0D681EED"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FB82E03"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6BC495EA" w14:textId="77777777" w:rsidR="00D657C7" w:rsidRPr="00F85BD8" w:rsidRDefault="00D657C7">
            <w:pPr>
              <w:autoSpaceDE w:val="0"/>
              <w:autoSpaceDN w:val="0"/>
              <w:adjustRightInd w:val="0"/>
              <w:rPr>
                <w:b/>
                <w:sz w:val="24"/>
                <w:szCs w:val="24"/>
              </w:rPr>
            </w:pPr>
            <w:r w:rsidRPr="00F85BD8">
              <w:rPr>
                <w:b/>
                <w:sz w:val="24"/>
                <w:szCs w:val="24"/>
              </w:rPr>
              <w:t>Vascular disorders</w:t>
            </w:r>
          </w:p>
        </w:tc>
      </w:tr>
      <w:tr w:rsidR="00D657C7" w:rsidRPr="00F85BD8" w14:paraId="1A0A5D8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07CA1A9C" w14:textId="77777777" w:rsidR="00D657C7" w:rsidRPr="00F85BD8" w:rsidRDefault="00D657C7">
            <w:pPr>
              <w:autoSpaceDE w:val="0"/>
              <w:autoSpaceDN w:val="0"/>
              <w:adjustRightInd w:val="0"/>
              <w:rPr>
                <w:sz w:val="24"/>
                <w:szCs w:val="24"/>
              </w:rPr>
            </w:pPr>
            <w:r w:rsidRPr="00F85BD8">
              <w:rPr>
                <w:sz w:val="24"/>
                <w:szCs w:val="24"/>
              </w:rPr>
              <w:t>Bleeding (see section 4.4)</w:t>
            </w:r>
          </w:p>
        </w:tc>
        <w:tc>
          <w:tcPr>
            <w:tcW w:w="1250" w:type="pct"/>
            <w:tcBorders>
              <w:top w:val="single" w:sz="4" w:space="0" w:color="auto"/>
              <w:left w:val="single" w:sz="4" w:space="0" w:color="auto"/>
              <w:bottom w:val="single" w:sz="4" w:space="0" w:color="auto"/>
              <w:right w:val="single" w:sz="4" w:space="0" w:color="auto"/>
            </w:tcBorders>
            <w:hideMark/>
          </w:tcPr>
          <w:p w14:paraId="6F6B8D57"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C1A2511"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620CA45D"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1012BF19"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AB3B4EE" w14:textId="77777777" w:rsidR="00D657C7" w:rsidRPr="00F85BD8" w:rsidRDefault="00D657C7">
            <w:pPr>
              <w:autoSpaceDE w:val="0"/>
              <w:autoSpaceDN w:val="0"/>
              <w:adjustRightInd w:val="0"/>
              <w:rPr>
                <w:sz w:val="24"/>
                <w:szCs w:val="24"/>
              </w:rPr>
            </w:pPr>
            <w:r w:rsidRPr="00F85BD8">
              <w:rPr>
                <w:sz w:val="24"/>
                <w:szCs w:val="24"/>
              </w:rPr>
              <w:t>Hypertension</w:t>
            </w:r>
          </w:p>
        </w:tc>
        <w:tc>
          <w:tcPr>
            <w:tcW w:w="1250" w:type="pct"/>
            <w:tcBorders>
              <w:top w:val="single" w:sz="4" w:space="0" w:color="auto"/>
              <w:left w:val="single" w:sz="4" w:space="0" w:color="auto"/>
              <w:bottom w:val="single" w:sz="4" w:space="0" w:color="auto"/>
              <w:right w:val="single" w:sz="4" w:space="0" w:color="auto"/>
            </w:tcBorders>
            <w:hideMark/>
          </w:tcPr>
          <w:p w14:paraId="7B30C59B"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1919BF86"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BD54708"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2CA3F89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3A39D69C" w14:textId="77777777" w:rsidR="00D657C7" w:rsidRPr="00F85BD8" w:rsidRDefault="00D657C7">
            <w:pPr>
              <w:autoSpaceDE w:val="0"/>
              <w:autoSpaceDN w:val="0"/>
              <w:adjustRightInd w:val="0"/>
              <w:rPr>
                <w:sz w:val="24"/>
                <w:szCs w:val="24"/>
              </w:rPr>
            </w:pPr>
            <w:r w:rsidRPr="00F85BD8">
              <w:rPr>
                <w:sz w:val="24"/>
                <w:szCs w:val="24"/>
              </w:rPr>
              <w:t>Aneurysms and artery dissections</w:t>
            </w:r>
          </w:p>
        </w:tc>
        <w:tc>
          <w:tcPr>
            <w:tcW w:w="1250" w:type="pct"/>
            <w:tcBorders>
              <w:top w:val="single" w:sz="4" w:space="0" w:color="auto"/>
              <w:left w:val="single" w:sz="4" w:space="0" w:color="auto"/>
              <w:bottom w:val="single" w:sz="4" w:space="0" w:color="auto"/>
              <w:right w:val="single" w:sz="4" w:space="0" w:color="auto"/>
            </w:tcBorders>
            <w:hideMark/>
          </w:tcPr>
          <w:p w14:paraId="57EADECF"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6872979E"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0F2F823C"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7B6A955F"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29855715" w14:textId="77777777" w:rsidR="00D657C7" w:rsidRPr="00F85BD8" w:rsidRDefault="00D657C7">
            <w:pPr>
              <w:autoSpaceDE w:val="0"/>
              <w:autoSpaceDN w:val="0"/>
              <w:adjustRightInd w:val="0"/>
              <w:rPr>
                <w:b/>
                <w:sz w:val="24"/>
                <w:szCs w:val="24"/>
              </w:rPr>
            </w:pPr>
            <w:r w:rsidRPr="00F85BD8">
              <w:rPr>
                <w:b/>
                <w:sz w:val="24"/>
                <w:szCs w:val="24"/>
              </w:rPr>
              <w:t>Gastrointestinal disorder</w:t>
            </w:r>
          </w:p>
        </w:tc>
      </w:tr>
      <w:tr w:rsidR="00D657C7" w:rsidRPr="00F85BD8" w14:paraId="297BF0DE"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2F1480F" w14:textId="77777777" w:rsidR="00D657C7" w:rsidRPr="00F85BD8" w:rsidRDefault="00D657C7">
            <w:pPr>
              <w:autoSpaceDE w:val="0"/>
              <w:autoSpaceDN w:val="0"/>
              <w:adjustRightInd w:val="0"/>
              <w:rPr>
                <w:sz w:val="24"/>
                <w:szCs w:val="24"/>
              </w:rPr>
            </w:pPr>
            <w:r w:rsidRPr="00F85BD8">
              <w:rPr>
                <w:sz w:val="24"/>
                <w:szCs w:val="24"/>
              </w:rPr>
              <w:t>Diarrhoea</w:t>
            </w:r>
          </w:p>
        </w:tc>
        <w:tc>
          <w:tcPr>
            <w:tcW w:w="1250" w:type="pct"/>
            <w:tcBorders>
              <w:top w:val="single" w:sz="4" w:space="0" w:color="auto"/>
              <w:left w:val="single" w:sz="4" w:space="0" w:color="auto"/>
              <w:bottom w:val="single" w:sz="4" w:space="0" w:color="auto"/>
              <w:right w:val="single" w:sz="4" w:space="0" w:color="auto"/>
            </w:tcBorders>
            <w:hideMark/>
          </w:tcPr>
          <w:p w14:paraId="3D664CAE"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189871E6"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2B56515C"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7255951A"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2D44234" w14:textId="77777777" w:rsidR="00D657C7" w:rsidRPr="00F85BD8" w:rsidRDefault="00D657C7">
            <w:pPr>
              <w:autoSpaceDE w:val="0"/>
              <w:autoSpaceDN w:val="0"/>
              <w:adjustRightInd w:val="0"/>
              <w:rPr>
                <w:sz w:val="24"/>
                <w:szCs w:val="24"/>
              </w:rPr>
            </w:pPr>
            <w:r w:rsidRPr="00F85BD8">
              <w:rPr>
                <w:sz w:val="24"/>
                <w:szCs w:val="24"/>
              </w:rPr>
              <w:t>Nausea</w:t>
            </w:r>
          </w:p>
        </w:tc>
        <w:tc>
          <w:tcPr>
            <w:tcW w:w="1250" w:type="pct"/>
            <w:tcBorders>
              <w:top w:val="single" w:sz="4" w:space="0" w:color="auto"/>
              <w:left w:val="single" w:sz="4" w:space="0" w:color="auto"/>
              <w:bottom w:val="single" w:sz="4" w:space="0" w:color="auto"/>
              <w:right w:val="single" w:sz="4" w:space="0" w:color="auto"/>
            </w:tcBorders>
            <w:hideMark/>
          </w:tcPr>
          <w:p w14:paraId="73FC784A"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379F9FF3"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01C80ADE"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774BD025"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5845F7F6" w14:textId="77777777" w:rsidR="00D657C7" w:rsidRPr="00F85BD8" w:rsidRDefault="00D657C7">
            <w:pPr>
              <w:autoSpaceDE w:val="0"/>
              <w:autoSpaceDN w:val="0"/>
              <w:adjustRightInd w:val="0"/>
              <w:rPr>
                <w:sz w:val="24"/>
                <w:szCs w:val="24"/>
              </w:rPr>
            </w:pPr>
            <w:r w:rsidRPr="00F85BD8">
              <w:rPr>
                <w:sz w:val="24"/>
                <w:szCs w:val="24"/>
              </w:rPr>
              <w:t>Abdominal pain</w:t>
            </w:r>
          </w:p>
        </w:tc>
        <w:tc>
          <w:tcPr>
            <w:tcW w:w="1250" w:type="pct"/>
            <w:tcBorders>
              <w:top w:val="single" w:sz="4" w:space="0" w:color="auto"/>
              <w:left w:val="single" w:sz="4" w:space="0" w:color="auto"/>
              <w:bottom w:val="single" w:sz="4" w:space="0" w:color="auto"/>
              <w:right w:val="single" w:sz="4" w:space="0" w:color="auto"/>
            </w:tcBorders>
            <w:hideMark/>
          </w:tcPr>
          <w:p w14:paraId="0F469055"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211BB8F0"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3F92A189"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5E4F91B0"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327D114E" w14:textId="77777777" w:rsidR="00D657C7" w:rsidRPr="00F85BD8" w:rsidRDefault="00D657C7">
            <w:pPr>
              <w:autoSpaceDE w:val="0"/>
              <w:autoSpaceDN w:val="0"/>
              <w:adjustRightInd w:val="0"/>
              <w:rPr>
                <w:sz w:val="24"/>
                <w:szCs w:val="24"/>
              </w:rPr>
            </w:pPr>
            <w:r w:rsidRPr="00F85BD8">
              <w:rPr>
                <w:sz w:val="24"/>
                <w:szCs w:val="24"/>
              </w:rPr>
              <w:t>Vomiting</w:t>
            </w:r>
          </w:p>
        </w:tc>
        <w:tc>
          <w:tcPr>
            <w:tcW w:w="1250" w:type="pct"/>
            <w:tcBorders>
              <w:top w:val="single" w:sz="4" w:space="0" w:color="auto"/>
              <w:left w:val="single" w:sz="4" w:space="0" w:color="auto"/>
              <w:bottom w:val="single" w:sz="4" w:space="0" w:color="auto"/>
              <w:right w:val="single" w:sz="4" w:space="0" w:color="auto"/>
            </w:tcBorders>
            <w:hideMark/>
          </w:tcPr>
          <w:p w14:paraId="030DAC8A"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EA0DD62"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3C59DBBC"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5CF8B4B6"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D94F756" w14:textId="77777777" w:rsidR="00D657C7" w:rsidRPr="00F85BD8" w:rsidRDefault="00D657C7">
            <w:pPr>
              <w:autoSpaceDE w:val="0"/>
              <w:autoSpaceDN w:val="0"/>
              <w:adjustRightInd w:val="0"/>
              <w:rPr>
                <w:sz w:val="24"/>
                <w:szCs w:val="24"/>
              </w:rPr>
            </w:pPr>
            <w:r w:rsidRPr="00F85BD8">
              <w:rPr>
                <w:sz w:val="24"/>
                <w:szCs w:val="24"/>
              </w:rPr>
              <w:t>Pancreatitis</w:t>
            </w:r>
          </w:p>
        </w:tc>
        <w:tc>
          <w:tcPr>
            <w:tcW w:w="1250" w:type="pct"/>
            <w:tcBorders>
              <w:top w:val="single" w:sz="4" w:space="0" w:color="auto"/>
              <w:left w:val="single" w:sz="4" w:space="0" w:color="auto"/>
              <w:bottom w:val="single" w:sz="4" w:space="0" w:color="auto"/>
              <w:right w:val="single" w:sz="4" w:space="0" w:color="auto"/>
            </w:tcBorders>
            <w:hideMark/>
          </w:tcPr>
          <w:p w14:paraId="46E17562"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526113F5"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7147724C"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1C65B0E9"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C39818F" w14:textId="77777777" w:rsidR="00D657C7" w:rsidRPr="00F85BD8" w:rsidRDefault="00D657C7">
            <w:pPr>
              <w:autoSpaceDE w:val="0"/>
              <w:autoSpaceDN w:val="0"/>
              <w:adjustRightInd w:val="0"/>
              <w:rPr>
                <w:sz w:val="24"/>
                <w:szCs w:val="24"/>
              </w:rPr>
            </w:pPr>
            <w:r w:rsidRPr="00F85BD8">
              <w:rPr>
                <w:sz w:val="24"/>
                <w:szCs w:val="24"/>
              </w:rPr>
              <w:t>Colitis</w:t>
            </w:r>
          </w:p>
        </w:tc>
        <w:tc>
          <w:tcPr>
            <w:tcW w:w="1250" w:type="pct"/>
            <w:tcBorders>
              <w:top w:val="single" w:sz="4" w:space="0" w:color="auto"/>
              <w:left w:val="single" w:sz="4" w:space="0" w:color="auto"/>
              <w:bottom w:val="single" w:sz="4" w:space="0" w:color="auto"/>
              <w:right w:val="single" w:sz="4" w:space="0" w:color="auto"/>
            </w:tcBorders>
            <w:hideMark/>
          </w:tcPr>
          <w:p w14:paraId="552C23D0"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1966CCBD"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17C930E6"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4058F63B"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0440ADD2" w14:textId="77777777" w:rsidR="00D657C7" w:rsidRPr="00F85BD8" w:rsidRDefault="00D657C7">
            <w:pPr>
              <w:autoSpaceDE w:val="0"/>
              <w:autoSpaceDN w:val="0"/>
              <w:adjustRightInd w:val="0"/>
              <w:rPr>
                <w:b/>
                <w:sz w:val="24"/>
                <w:szCs w:val="24"/>
              </w:rPr>
            </w:pPr>
            <w:r w:rsidRPr="00F85BD8">
              <w:rPr>
                <w:b/>
                <w:sz w:val="24"/>
                <w:szCs w:val="24"/>
              </w:rPr>
              <w:t>Hepatobiliary disorders</w:t>
            </w:r>
          </w:p>
        </w:tc>
      </w:tr>
      <w:tr w:rsidR="00D657C7" w:rsidRPr="00F85BD8" w14:paraId="72FE9A9B"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FEAFDF7" w14:textId="77777777" w:rsidR="00D657C7" w:rsidRPr="00F85BD8" w:rsidRDefault="00D657C7">
            <w:pPr>
              <w:autoSpaceDE w:val="0"/>
              <w:autoSpaceDN w:val="0"/>
              <w:adjustRightInd w:val="0"/>
              <w:rPr>
                <w:sz w:val="24"/>
                <w:szCs w:val="24"/>
              </w:rPr>
            </w:pPr>
            <w:r w:rsidRPr="00F85BD8">
              <w:rPr>
                <w:sz w:val="24"/>
                <w:szCs w:val="24"/>
              </w:rPr>
              <w:t>Drug induced liver injury</w:t>
            </w:r>
          </w:p>
        </w:tc>
        <w:tc>
          <w:tcPr>
            <w:tcW w:w="1250" w:type="pct"/>
            <w:tcBorders>
              <w:top w:val="single" w:sz="4" w:space="0" w:color="auto"/>
              <w:left w:val="single" w:sz="4" w:space="0" w:color="auto"/>
              <w:bottom w:val="single" w:sz="4" w:space="0" w:color="auto"/>
              <w:right w:val="single" w:sz="4" w:space="0" w:color="auto"/>
            </w:tcBorders>
            <w:hideMark/>
          </w:tcPr>
          <w:p w14:paraId="651DBFF9"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15AAC18"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4E88D921"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7F74E80D"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C7E216C" w14:textId="77777777" w:rsidR="00D657C7" w:rsidRPr="00F85BD8" w:rsidRDefault="00D657C7">
            <w:pPr>
              <w:autoSpaceDE w:val="0"/>
              <w:autoSpaceDN w:val="0"/>
              <w:adjustRightInd w:val="0"/>
              <w:rPr>
                <w:sz w:val="24"/>
                <w:szCs w:val="24"/>
              </w:rPr>
            </w:pPr>
            <w:r w:rsidRPr="00F85BD8">
              <w:rPr>
                <w:sz w:val="24"/>
                <w:szCs w:val="24"/>
              </w:rPr>
              <w:t>Hepatic enzyme increased</w:t>
            </w:r>
          </w:p>
        </w:tc>
        <w:tc>
          <w:tcPr>
            <w:tcW w:w="1250" w:type="pct"/>
            <w:tcBorders>
              <w:top w:val="single" w:sz="4" w:space="0" w:color="auto"/>
              <w:left w:val="single" w:sz="4" w:space="0" w:color="auto"/>
              <w:bottom w:val="single" w:sz="4" w:space="0" w:color="auto"/>
              <w:right w:val="single" w:sz="4" w:space="0" w:color="auto"/>
            </w:tcBorders>
            <w:hideMark/>
          </w:tcPr>
          <w:p w14:paraId="7DD50279"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6FCCDEC7"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218B7E31" w14:textId="77777777" w:rsidR="00D657C7" w:rsidRPr="00F85BD8" w:rsidRDefault="00D657C7">
            <w:pPr>
              <w:autoSpaceDE w:val="0"/>
              <w:autoSpaceDN w:val="0"/>
              <w:adjustRightInd w:val="0"/>
              <w:rPr>
                <w:sz w:val="24"/>
                <w:szCs w:val="24"/>
              </w:rPr>
            </w:pPr>
            <w:r w:rsidRPr="00F85BD8">
              <w:rPr>
                <w:sz w:val="24"/>
                <w:szCs w:val="24"/>
              </w:rPr>
              <w:t>Very common</w:t>
            </w:r>
          </w:p>
        </w:tc>
      </w:tr>
      <w:tr w:rsidR="00D657C7" w:rsidRPr="00F85BD8" w14:paraId="6B7BEBB2"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2F73B26" w14:textId="77777777" w:rsidR="00D657C7" w:rsidRPr="00F85BD8" w:rsidRDefault="00D657C7">
            <w:pPr>
              <w:autoSpaceDE w:val="0"/>
              <w:autoSpaceDN w:val="0"/>
              <w:adjustRightInd w:val="0"/>
              <w:rPr>
                <w:sz w:val="24"/>
                <w:szCs w:val="24"/>
              </w:rPr>
            </w:pPr>
            <w:r w:rsidRPr="00F85BD8">
              <w:rPr>
                <w:sz w:val="24"/>
                <w:szCs w:val="24"/>
              </w:rPr>
              <w:t>Alanine aminotransferase (ALT) increased</w:t>
            </w:r>
          </w:p>
        </w:tc>
        <w:tc>
          <w:tcPr>
            <w:tcW w:w="1250" w:type="pct"/>
            <w:tcBorders>
              <w:top w:val="single" w:sz="4" w:space="0" w:color="auto"/>
              <w:left w:val="single" w:sz="4" w:space="0" w:color="auto"/>
              <w:bottom w:val="single" w:sz="4" w:space="0" w:color="auto"/>
              <w:right w:val="single" w:sz="4" w:space="0" w:color="auto"/>
            </w:tcBorders>
            <w:hideMark/>
          </w:tcPr>
          <w:p w14:paraId="21A50789"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531EC75E" w14:textId="77777777" w:rsidR="00D657C7" w:rsidRPr="00F85BD8" w:rsidRDefault="00D657C7">
            <w:pPr>
              <w:autoSpaceDE w:val="0"/>
              <w:autoSpaceDN w:val="0"/>
              <w:adjustRightInd w:val="0"/>
              <w:rPr>
                <w:sz w:val="24"/>
                <w:szCs w:val="24"/>
              </w:rPr>
            </w:pPr>
            <w:r w:rsidRPr="00F85BD8">
              <w:rPr>
                <w:sz w:val="24"/>
                <w:szCs w:val="24"/>
              </w:rPr>
              <w:t>Very common</w:t>
            </w:r>
          </w:p>
        </w:tc>
        <w:tc>
          <w:tcPr>
            <w:tcW w:w="1250" w:type="pct"/>
            <w:tcBorders>
              <w:top w:val="single" w:sz="4" w:space="0" w:color="auto"/>
              <w:left w:val="single" w:sz="4" w:space="0" w:color="auto"/>
              <w:bottom w:val="single" w:sz="4" w:space="0" w:color="auto"/>
              <w:right w:val="single" w:sz="4" w:space="0" w:color="auto"/>
            </w:tcBorders>
            <w:hideMark/>
          </w:tcPr>
          <w:p w14:paraId="5ED34E9E"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4A5B539F"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0C0E05E0" w14:textId="77777777" w:rsidR="00D657C7" w:rsidRPr="00F85BD8" w:rsidRDefault="00D657C7">
            <w:pPr>
              <w:autoSpaceDE w:val="0"/>
              <w:autoSpaceDN w:val="0"/>
              <w:adjustRightInd w:val="0"/>
              <w:rPr>
                <w:sz w:val="24"/>
                <w:szCs w:val="24"/>
              </w:rPr>
            </w:pPr>
            <w:r w:rsidRPr="00F85BD8">
              <w:rPr>
                <w:sz w:val="24"/>
                <w:szCs w:val="24"/>
              </w:rPr>
              <w:t>Aspartate aminotransferase (AST) increased</w:t>
            </w:r>
          </w:p>
        </w:tc>
        <w:tc>
          <w:tcPr>
            <w:tcW w:w="1250" w:type="pct"/>
            <w:tcBorders>
              <w:top w:val="single" w:sz="4" w:space="0" w:color="auto"/>
              <w:left w:val="single" w:sz="4" w:space="0" w:color="auto"/>
              <w:bottom w:val="single" w:sz="4" w:space="0" w:color="auto"/>
              <w:right w:val="single" w:sz="4" w:space="0" w:color="auto"/>
            </w:tcBorders>
            <w:hideMark/>
          </w:tcPr>
          <w:p w14:paraId="11041FBF"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66428CCB"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220409C"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22BCEFD7"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CA3E862" w14:textId="77777777" w:rsidR="00D657C7" w:rsidRPr="00F85BD8" w:rsidRDefault="00D657C7">
            <w:pPr>
              <w:autoSpaceDE w:val="0"/>
              <w:autoSpaceDN w:val="0"/>
              <w:adjustRightInd w:val="0"/>
              <w:rPr>
                <w:sz w:val="24"/>
                <w:szCs w:val="24"/>
              </w:rPr>
            </w:pPr>
            <w:r w:rsidRPr="00F85BD8">
              <w:rPr>
                <w:sz w:val="24"/>
                <w:szCs w:val="24"/>
              </w:rPr>
              <w:t>Gamma glutamyl transferase (GGT) increased</w:t>
            </w:r>
          </w:p>
        </w:tc>
        <w:tc>
          <w:tcPr>
            <w:tcW w:w="1250" w:type="pct"/>
            <w:tcBorders>
              <w:top w:val="single" w:sz="4" w:space="0" w:color="auto"/>
              <w:left w:val="single" w:sz="4" w:space="0" w:color="auto"/>
              <w:bottom w:val="single" w:sz="4" w:space="0" w:color="auto"/>
              <w:right w:val="single" w:sz="4" w:space="0" w:color="auto"/>
            </w:tcBorders>
            <w:hideMark/>
          </w:tcPr>
          <w:p w14:paraId="2716C77A"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FEF5EED"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0D196824"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F85BD8" w14:paraId="1B217175"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4549DEE0" w14:textId="77777777" w:rsidR="00D657C7" w:rsidRPr="00F85BD8" w:rsidRDefault="00D657C7">
            <w:pPr>
              <w:autoSpaceDE w:val="0"/>
              <w:autoSpaceDN w:val="0"/>
              <w:adjustRightInd w:val="0"/>
              <w:rPr>
                <w:sz w:val="24"/>
                <w:szCs w:val="24"/>
              </w:rPr>
            </w:pPr>
            <w:proofErr w:type="spellStart"/>
            <w:r w:rsidRPr="00F85BD8">
              <w:rPr>
                <w:sz w:val="24"/>
                <w:szCs w:val="24"/>
              </w:rPr>
              <w:t>Hyperbilirubinaemia</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3DF81410"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712677BC"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6BCC63E6"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E66E171"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6D0A5591" w14:textId="77777777" w:rsidR="00D657C7" w:rsidRPr="00F85BD8" w:rsidRDefault="00D657C7">
            <w:pPr>
              <w:autoSpaceDE w:val="0"/>
              <w:autoSpaceDN w:val="0"/>
              <w:adjustRightInd w:val="0"/>
              <w:rPr>
                <w:sz w:val="24"/>
                <w:szCs w:val="24"/>
              </w:rPr>
            </w:pPr>
            <w:r w:rsidRPr="00F85BD8">
              <w:rPr>
                <w:sz w:val="24"/>
                <w:szCs w:val="24"/>
              </w:rPr>
              <w:t>Blood alkaline</w:t>
            </w:r>
          </w:p>
          <w:p w14:paraId="40818121" w14:textId="77777777" w:rsidR="00D657C7" w:rsidRPr="00F85BD8" w:rsidRDefault="00D657C7">
            <w:pPr>
              <w:autoSpaceDE w:val="0"/>
              <w:autoSpaceDN w:val="0"/>
              <w:adjustRightInd w:val="0"/>
              <w:rPr>
                <w:sz w:val="24"/>
                <w:szCs w:val="24"/>
              </w:rPr>
            </w:pPr>
            <w:r w:rsidRPr="00F85BD8">
              <w:rPr>
                <w:sz w:val="24"/>
                <w:szCs w:val="24"/>
              </w:rPr>
              <w:t>phosphatase (ALKP)</w:t>
            </w:r>
          </w:p>
          <w:p w14:paraId="4343A6BB" w14:textId="77777777" w:rsidR="00D657C7" w:rsidRPr="00F85BD8" w:rsidRDefault="00D657C7">
            <w:pPr>
              <w:autoSpaceDE w:val="0"/>
              <w:autoSpaceDN w:val="0"/>
              <w:adjustRightInd w:val="0"/>
              <w:rPr>
                <w:sz w:val="24"/>
                <w:szCs w:val="24"/>
              </w:rPr>
            </w:pPr>
            <w:r w:rsidRPr="00F85BD8">
              <w:rPr>
                <w:sz w:val="24"/>
                <w:szCs w:val="24"/>
              </w:rPr>
              <w:t>increased</w:t>
            </w:r>
          </w:p>
        </w:tc>
        <w:tc>
          <w:tcPr>
            <w:tcW w:w="1250" w:type="pct"/>
            <w:tcBorders>
              <w:top w:val="single" w:sz="4" w:space="0" w:color="auto"/>
              <w:left w:val="single" w:sz="4" w:space="0" w:color="auto"/>
              <w:bottom w:val="single" w:sz="4" w:space="0" w:color="auto"/>
              <w:right w:val="single" w:sz="4" w:space="0" w:color="auto"/>
            </w:tcBorders>
            <w:hideMark/>
          </w:tcPr>
          <w:p w14:paraId="15602250"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4110A64"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CC86210" w14:textId="77777777" w:rsidR="00D657C7" w:rsidRPr="00F85BD8" w:rsidRDefault="00D657C7">
            <w:pPr>
              <w:autoSpaceDE w:val="0"/>
              <w:autoSpaceDN w:val="0"/>
              <w:adjustRightInd w:val="0"/>
              <w:rPr>
                <w:sz w:val="24"/>
                <w:szCs w:val="24"/>
              </w:rPr>
            </w:pPr>
            <w:r w:rsidRPr="00F85BD8">
              <w:rPr>
                <w:sz w:val="24"/>
                <w:szCs w:val="24"/>
              </w:rPr>
              <w:t>Common</w:t>
            </w:r>
          </w:p>
        </w:tc>
      </w:tr>
      <w:tr w:rsidR="00D657C7" w:rsidRPr="00EF62D2" w14:paraId="6679C0C6"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7BE39FE3" w14:textId="77777777" w:rsidR="00D657C7" w:rsidRPr="00F85BD8" w:rsidRDefault="00D657C7">
            <w:pPr>
              <w:autoSpaceDE w:val="0"/>
              <w:autoSpaceDN w:val="0"/>
              <w:adjustRightInd w:val="0"/>
              <w:rPr>
                <w:b/>
                <w:sz w:val="24"/>
                <w:szCs w:val="24"/>
              </w:rPr>
            </w:pPr>
            <w:r w:rsidRPr="00F85BD8">
              <w:rPr>
                <w:b/>
                <w:sz w:val="24"/>
                <w:szCs w:val="24"/>
              </w:rPr>
              <w:t>Skin and subcutaneous tissue disorders</w:t>
            </w:r>
          </w:p>
        </w:tc>
      </w:tr>
      <w:tr w:rsidR="00D657C7" w:rsidRPr="00F85BD8" w14:paraId="4DD62E4A"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67E548C4" w14:textId="77777777" w:rsidR="00D657C7" w:rsidRPr="00F85BD8" w:rsidRDefault="00D657C7">
            <w:pPr>
              <w:autoSpaceDE w:val="0"/>
              <w:autoSpaceDN w:val="0"/>
              <w:adjustRightInd w:val="0"/>
              <w:rPr>
                <w:sz w:val="24"/>
                <w:szCs w:val="24"/>
              </w:rPr>
            </w:pPr>
            <w:r w:rsidRPr="00F85BD8">
              <w:rPr>
                <w:sz w:val="24"/>
                <w:szCs w:val="24"/>
              </w:rPr>
              <w:t>Rash</w:t>
            </w:r>
          </w:p>
        </w:tc>
        <w:tc>
          <w:tcPr>
            <w:tcW w:w="1250" w:type="pct"/>
            <w:tcBorders>
              <w:top w:val="single" w:sz="4" w:space="0" w:color="auto"/>
              <w:left w:val="single" w:sz="4" w:space="0" w:color="auto"/>
              <w:bottom w:val="single" w:sz="4" w:space="0" w:color="auto"/>
              <w:right w:val="single" w:sz="4" w:space="0" w:color="auto"/>
            </w:tcBorders>
            <w:hideMark/>
          </w:tcPr>
          <w:p w14:paraId="62256310"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4F56512D"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3D75088F"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550D50E2"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2CBAACA5" w14:textId="77777777" w:rsidR="00D657C7" w:rsidRPr="00F85BD8" w:rsidRDefault="00D657C7">
            <w:pPr>
              <w:autoSpaceDE w:val="0"/>
              <w:autoSpaceDN w:val="0"/>
              <w:adjustRightInd w:val="0"/>
              <w:rPr>
                <w:sz w:val="24"/>
                <w:szCs w:val="24"/>
              </w:rPr>
            </w:pPr>
            <w:r w:rsidRPr="00F85BD8">
              <w:rPr>
                <w:sz w:val="24"/>
                <w:szCs w:val="24"/>
              </w:rPr>
              <w:t>Pruritus</w:t>
            </w:r>
          </w:p>
        </w:tc>
        <w:tc>
          <w:tcPr>
            <w:tcW w:w="1250" w:type="pct"/>
            <w:tcBorders>
              <w:top w:val="single" w:sz="4" w:space="0" w:color="auto"/>
              <w:left w:val="single" w:sz="4" w:space="0" w:color="auto"/>
              <w:bottom w:val="single" w:sz="4" w:space="0" w:color="auto"/>
              <w:right w:val="single" w:sz="4" w:space="0" w:color="auto"/>
            </w:tcBorders>
            <w:hideMark/>
          </w:tcPr>
          <w:p w14:paraId="107DEEAA"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A39B67D"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231AC53C"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4EC6AE91"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7AE4CFE1" w14:textId="77777777" w:rsidR="00D657C7" w:rsidRPr="00F85BD8" w:rsidRDefault="00D657C7">
            <w:pPr>
              <w:autoSpaceDE w:val="0"/>
              <w:autoSpaceDN w:val="0"/>
              <w:adjustRightInd w:val="0"/>
              <w:rPr>
                <w:sz w:val="24"/>
                <w:szCs w:val="24"/>
              </w:rPr>
            </w:pPr>
            <w:r w:rsidRPr="00F85BD8">
              <w:rPr>
                <w:sz w:val="24"/>
                <w:szCs w:val="24"/>
              </w:rPr>
              <w:t>Alopecia</w:t>
            </w:r>
          </w:p>
        </w:tc>
        <w:tc>
          <w:tcPr>
            <w:tcW w:w="1250" w:type="pct"/>
            <w:tcBorders>
              <w:top w:val="single" w:sz="4" w:space="0" w:color="auto"/>
              <w:left w:val="single" w:sz="4" w:space="0" w:color="auto"/>
              <w:bottom w:val="single" w:sz="4" w:space="0" w:color="auto"/>
              <w:right w:val="single" w:sz="4" w:space="0" w:color="auto"/>
            </w:tcBorders>
            <w:hideMark/>
          </w:tcPr>
          <w:p w14:paraId="3707EC84"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6094E82"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6E15A0CC"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716DCF05"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3723BF47" w14:textId="77777777" w:rsidR="00D657C7" w:rsidRPr="00F85BD8" w:rsidRDefault="00D657C7">
            <w:pPr>
              <w:autoSpaceDE w:val="0"/>
              <w:autoSpaceDN w:val="0"/>
              <w:adjustRightInd w:val="0"/>
              <w:rPr>
                <w:b/>
                <w:sz w:val="24"/>
                <w:szCs w:val="24"/>
              </w:rPr>
            </w:pPr>
            <w:r w:rsidRPr="00F85BD8">
              <w:rPr>
                <w:b/>
                <w:sz w:val="24"/>
                <w:szCs w:val="24"/>
              </w:rPr>
              <w:t>Renal and urinary disorders</w:t>
            </w:r>
          </w:p>
        </w:tc>
      </w:tr>
      <w:tr w:rsidR="00D657C7" w:rsidRPr="00F85BD8" w14:paraId="6E94C82B"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1CABF6EB" w14:textId="77777777" w:rsidR="00D657C7" w:rsidRPr="00F85BD8" w:rsidRDefault="00D657C7">
            <w:pPr>
              <w:autoSpaceDE w:val="0"/>
              <w:autoSpaceDN w:val="0"/>
              <w:adjustRightInd w:val="0"/>
              <w:rPr>
                <w:sz w:val="24"/>
                <w:szCs w:val="24"/>
              </w:rPr>
            </w:pPr>
            <w:r w:rsidRPr="00F85BD8">
              <w:rPr>
                <w:sz w:val="24"/>
                <w:szCs w:val="24"/>
              </w:rPr>
              <w:t>Renal failure (see section 4.4)</w:t>
            </w:r>
          </w:p>
        </w:tc>
        <w:tc>
          <w:tcPr>
            <w:tcW w:w="1250" w:type="pct"/>
            <w:tcBorders>
              <w:top w:val="single" w:sz="4" w:space="0" w:color="auto"/>
              <w:left w:val="single" w:sz="4" w:space="0" w:color="auto"/>
              <w:bottom w:val="single" w:sz="4" w:space="0" w:color="auto"/>
              <w:right w:val="single" w:sz="4" w:space="0" w:color="auto"/>
            </w:tcBorders>
            <w:hideMark/>
          </w:tcPr>
          <w:p w14:paraId="0C2C51D7"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1B4C6EFD" w14:textId="77777777" w:rsidR="00D657C7" w:rsidRPr="00F85BD8" w:rsidRDefault="00D657C7">
            <w:pPr>
              <w:autoSpaceDE w:val="0"/>
              <w:autoSpaceDN w:val="0"/>
              <w:adjustRightInd w:val="0"/>
              <w:rPr>
                <w:sz w:val="24"/>
                <w:szCs w:val="24"/>
              </w:rPr>
            </w:pPr>
            <w:r w:rsidRPr="00F85BD8">
              <w:rPr>
                <w:sz w:val="24"/>
                <w:szCs w:val="24"/>
              </w:rPr>
              <w:t>Not known</w:t>
            </w:r>
          </w:p>
        </w:tc>
        <w:tc>
          <w:tcPr>
            <w:tcW w:w="1250" w:type="pct"/>
            <w:tcBorders>
              <w:top w:val="single" w:sz="4" w:space="0" w:color="auto"/>
              <w:left w:val="single" w:sz="4" w:space="0" w:color="auto"/>
              <w:bottom w:val="single" w:sz="4" w:space="0" w:color="auto"/>
              <w:right w:val="single" w:sz="4" w:space="0" w:color="auto"/>
            </w:tcBorders>
            <w:hideMark/>
          </w:tcPr>
          <w:p w14:paraId="5E4A9721" w14:textId="77777777" w:rsidR="00D657C7" w:rsidRPr="00F85BD8" w:rsidRDefault="00D657C7">
            <w:pPr>
              <w:autoSpaceDE w:val="0"/>
              <w:autoSpaceDN w:val="0"/>
              <w:adjustRightInd w:val="0"/>
              <w:rPr>
                <w:sz w:val="24"/>
                <w:szCs w:val="24"/>
              </w:rPr>
            </w:pPr>
            <w:r w:rsidRPr="00F85BD8">
              <w:rPr>
                <w:sz w:val="24"/>
                <w:szCs w:val="24"/>
              </w:rPr>
              <w:t>Uncommon</w:t>
            </w:r>
          </w:p>
        </w:tc>
      </w:tr>
      <w:tr w:rsidR="00D657C7" w:rsidRPr="00F85BD8" w14:paraId="7CA4B4D6"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5CD00B23" w14:textId="77777777" w:rsidR="00D657C7" w:rsidRPr="00F85BD8" w:rsidRDefault="00D657C7">
            <w:pPr>
              <w:autoSpaceDE w:val="0"/>
              <w:autoSpaceDN w:val="0"/>
              <w:adjustRightInd w:val="0"/>
              <w:rPr>
                <w:sz w:val="24"/>
                <w:szCs w:val="24"/>
              </w:rPr>
            </w:pPr>
            <w:r w:rsidRPr="00F85BD8">
              <w:rPr>
                <w:sz w:val="24"/>
                <w:szCs w:val="24"/>
              </w:rPr>
              <w:t>Proteinuria</w:t>
            </w:r>
          </w:p>
        </w:tc>
        <w:tc>
          <w:tcPr>
            <w:tcW w:w="1250" w:type="pct"/>
            <w:tcBorders>
              <w:top w:val="single" w:sz="4" w:space="0" w:color="auto"/>
              <w:left w:val="single" w:sz="4" w:space="0" w:color="auto"/>
              <w:bottom w:val="single" w:sz="4" w:space="0" w:color="auto"/>
              <w:right w:val="single" w:sz="4" w:space="0" w:color="auto"/>
            </w:tcBorders>
            <w:hideMark/>
          </w:tcPr>
          <w:p w14:paraId="34481EBF"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DD067D8" w14:textId="77777777" w:rsidR="00D657C7" w:rsidRPr="00F85BD8" w:rsidRDefault="00D657C7">
            <w:pPr>
              <w:autoSpaceDE w:val="0"/>
              <w:autoSpaceDN w:val="0"/>
              <w:adjustRightInd w:val="0"/>
              <w:rPr>
                <w:sz w:val="24"/>
                <w:szCs w:val="24"/>
              </w:rPr>
            </w:pPr>
            <w:r w:rsidRPr="00F85BD8">
              <w:rPr>
                <w:sz w:val="24"/>
                <w:szCs w:val="24"/>
              </w:rPr>
              <w:t>Uncommon</w:t>
            </w:r>
          </w:p>
        </w:tc>
        <w:tc>
          <w:tcPr>
            <w:tcW w:w="1250" w:type="pct"/>
            <w:tcBorders>
              <w:top w:val="single" w:sz="4" w:space="0" w:color="auto"/>
              <w:left w:val="single" w:sz="4" w:space="0" w:color="auto"/>
              <w:bottom w:val="single" w:sz="4" w:space="0" w:color="auto"/>
              <w:right w:val="single" w:sz="4" w:space="0" w:color="auto"/>
            </w:tcBorders>
            <w:hideMark/>
          </w:tcPr>
          <w:p w14:paraId="4F2C96DE" w14:textId="77777777" w:rsidR="00D657C7" w:rsidRPr="00F85BD8" w:rsidRDefault="00D657C7">
            <w:pPr>
              <w:autoSpaceDE w:val="0"/>
              <w:autoSpaceDN w:val="0"/>
              <w:adjustRightInd w:val="0"/>
              <w:rPr>
                <w:sz w:val="24"/>
                <w:szCs w:val="24"/>
              </w:rPr>
            </w:pPr>
            <w:r w:rsidRPr="00F85BD8">
              <w:rPr>
                <w:sz w:val="24"/>
                <w:szCs w:val="24"/>
              </w:rPr>
              <w:t>Not known</w:t>
            </w:r>
          </w:p>
        </w:tc>
      </w:tr>
      <w:tr w:rsidR="00D657C7" w:rsidRPr="00F85BD8" w14:paraId="6C43228E" w14:textId="77777777" w:rsidTr="00BF087A">
        <w:tc>
          <w:tcPr>
            <w:tcW w:w="5000" w:type="pct"/>
            <w:gridSpan w:val="4"/>
            <w:tcBorders>
              <w:top w:val="single" w:sz="4" w:space="0" w:color="auto"/>
              <w:left w:val="single" w:sz="4" w:space="0" w:color="auto"/>
              <w:bottom w:val="single" w:sz="4" w:space="0" w:color="auto"/>
              <w:right w:val="single" w:sz="4" w:space="0" w:color="auto"/>
            </w:tcBorders>
            <w:hideMark/>
          </w:tcPr>
          <w:p w14:paraId="55BA6F0D" w14:textId="77777777" w:rsidR="00D657C7" w:rsidRPr="00F85BD8" w:rsidRDefault="00D657C7">
            <w:pPr>
              <w:autoSpaceDE w:val="0"/>
              <w:autoSpaceDN w:val="0"/>
              <w:adjustRightInd w:val="0"/>
              <w:rPr>
                <w:sz w:val="24"/>
                <w:szCs w:val="24"/>
              </w:rPr>
            </w:pPr>
            <w:r w:rsidRPr="00F85BD8">
              <w:rPr>
                <w:b/>
                <w:sz w:val="24"/>
                <w:szCs w:val="24"/>
              </w:rPr>
              <w:t>Nervous system disorders</w:t>
            </w:r>
          </w:p>
        </w:tc>
      </w:tr>
      <w:tr w:rsidR="00D657C7" w:rsidRPr="00F85BD8" w14:paraId="3D26C1B9" w14:textId="77777777" w:rsidTr="00BF087A">
        <w:tc>
          <w:tcPr>
            <w:tcW w:w="1250" w:type="pct"/>
            <w:tcBorders>
              <w:top w:val="single" w:sz="4" w:space="0" w:color="auto"/>
              <w:left w:val="single" w:sz="4" w:space="0" w:color="auto"/>
              <w:bottom w:val="single" w:sz="4" w:space="0" w:color="auto"/>
              <w:right w:val="single" w:sz="4" w:space="0" w:color="auto"/>
            </w:tcBorders>
            <w:hideMark/>
          </w:tcPr>
          <w:p w14:paraId="6691A3CF" w14:textId="77777777" w:rsidR="00D657C7" w:rsidRPr="00F85BD8" w:rsidRDefault="00D657C7">
            <w:pPr>
              <w:autoSpaceDE w:val="0"/>
              <w:autoSpaceDN w:val="0"/>
              <w:adjustRightInd w:val="0"/>
              <w:rPr>
                <w:sz w:val="24"/>
                <w:szCs w:val="24"/>
              </w:rPr>
            </w:pPr>
            <w:r w:rsidRPr="00F85BD8">
              <w:rPr>
                <w:sz w:val="24"/>
                <w:szCs w:val="24"/>
              </w:rPr>
              <w:t>Headache</w:t>
            </w:r>
          </w:p>
        </w:tc>
        <w:tc>
          <w:tcPr>
            <w:tcW w:w="1250" w:type="pct"/>
            <w:tcBorders>
              <w:top w:val="single" w:sz="4" w:space="0" w:color="auto"/>
              <w:left w:val="single" w:sz="4" w:space="0" w:color="auto"/>
              <w:bottom w:val="single" w:sz="4" w:space="0" w:color="auto"/>
              <w:right w:val="single" w:sz="4" w:space="0" w:color="auto"/>
            </w:tcBorders>
            <w:hideMark/>
          </w:tcPr>
          <w:p w14:paraId="7C4630B6"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BC7A144" w14:textId="77777777" w:rsidR="00D657C7" w:rsidRPr="00F85BD8" w:rsidRDefault="00D657C7">
            <w:pPr>
              <w:autoSpaceDE w:val="0"/>
              <w:autoSpaceDN w:val="0"/>
              <w:adjustRightInd w:val="0"/>
              <w:rPr>
                <w:sz w:val="24"/>
                <w:szCs w:val="24"/>
              </w:rPr>
            </w:pPr>
            <w:r w:rsidRPr="00F85BD8">
              <w:rPr>
                <w:sz w:val="24"/>
                <w:szCs w:val="24"/>
              </w:rPr>
              <w:t>Common</w:t>
            </w:r>
          </w:p>
        </w:tc>
        <w:tc>
          <w:tcPr>
            <w:tcW w:w="1250" w:type="pct"/>
            <w:tcBorders>
              <w:top w:val="single" w:sz="4" w:space="0" w:color="auto"/>
              <w:left w:val="single" w:sz="4" w:space="0" w:color="auto"/>
              <w:bottom w:val="single" w:sz="4" w:space="0" w:color="auto"/>
              <w:right w:val="single" w:sz="4" w:space="0" w:color="auto"/>
            </w:tcBorders>
            <w:hideMark/>
          </w:tcPr>
          <w:p w14:paraId="24827DF4" w14:textId="77777777" w:rsidR="00D657C7" w:rsidRPr="00F85BD8" w:rsidRDefault="00D657C7">
            <w:pPr>
              <w:autoSpaceDE w:val="0"/>
              <w:autoSpaceDN w:val="0"/>
              <w:adjustRightInd w:val="0"/>
              <w:rPr>
                <w:sz w:val="24"/>
                <w:szCs w:val="24"/>
              </w:rPr>
            </w:pPr>
            <w:r w:rsidRPr="00F85BD8">
              <w:rPr>
                <w:sz w:val="24"/>
                <w:szCs w:val="24"/>
              </w:rPr>
              <w:t>Common</w:t>
            </w:r>
          </w:p>
        </w:tc>
      </w:tr>
    </w:tbl>
    <w:p w14:paraId="12E2A602" w14:textId="77777777" w:rsidR="00D657C7" w:rsidRPr="00F85BD8" w:rsidRDefault="00D657C7" w:rsidP="00BF087A">
      <w:pPr>
        <w:ind w:left="851"/>
        <w:rPr>
          <w:sz w:val="24"/>
          <w:szCs w:val="24"/>
          <w:lang w:val="en-GB" w:eastAsia="en-US"/>
        </w:rPr>
      </w:pPr>
    </w:p>
    <w:p w14:paraId="1C075F5D" w14:textId="77777777" w:rsidR="00D657C7" w:rsidRPr="00F85BD8" w:rsidRDefault="00D657C7" w:rsidP="00BF087A">
      <w:pPr>
        <w:ind w:left="851"/>
        <w:rPr>
          <w:sz w:val="24"/>
          <w:szCs w:val="24"/>
          <w:u w:val="single"/>
        </w:rPr>
      </w:pPr>
      <w:r w:rsidRPr="00F85BD8">
        <w:rPr>
          <w:rFonts w:eastAsia="SimSun"/>
          <w:sz w:val="24"/>
          <w:szCs w:val="24"/>
          <w:u w:val="single"/>
          <w:lang w:val="en-US" w:eastAsia="en-GB"/>
        </w:rPr>
        <w:t>Description of selected adverse reactions</w:t>
      </w:r>
    </w:p>
    <w:p w14:paraId="61E234F2" w14:textId="77777777" w:rsidR="00D657C7" w:rsidRPr="00F85BD8" w:rsidRDefault="00D657C7" w:rsidP="00BF087A">
      <w:pPr>
        <w:ind w:left="851"/>
        <w:rPr>
          <w:iCs/>
          <w:sz w:val="24"/>
          <w:szCs w:val="24"/>
        </w:rPr>
      </w:pPr>
    </w:p>
    <w:p w14:paraId="3E1610AA" w14:textId="77777777" w:rsidR="00D657C7" w:rsidRPr="00F85BD8" w:rsidRDefault="00D657C7" w:rsidP="00BF087A">
      <w:pPr>
        <w:ind w:left="851"/>
        <w:rPr>
          <w:i/>
          <w:sz w:val="24"/>
          <w:szCs w:val="24"/>
        </w:rPr>
      </w:pPr>
      <w:proofErr w:type="spellStart"/>
      <w:r w:rsidRPr="00F85BD8">
        <w:rPr>
          <w:i/>
          <w:sz w:val="24"/>
          <w:szCs w:val="24"/>
        </w:rPr>
        <w:t>Diarrhoea</w:t>
      </w:r>
      <w:proofErr w:type="spellEnd"/>
    </w:p>
    <w:p w14:paraId="6F8A210C" w14:textId="77777777" w:rsidR="00D657C7" w:rsidRPr="00F85BD8" w:rsidRDefault="00D657C7" w:rsidP="00BF087A">
      <w:pPr>
        <w:ind w:left="851"/>
        <w:rPr>
          <w:sz w:val="24"/>
          <w:szCs w:val="24"/>
          <w:lang w:val="en-US"/>
        </w:rPr>
      </w:pPr>
      <w:r w:rsidRPr="00F85BD8">
        <w:rPr>
          <w:sz w:val="24"/>
          <w:szCs w:val="24"/>
          <w:lang w:val="en-US"/>
        </w:rPr>
        <w:t xml:space="preserve">In clinical trials (see section 5.1), </w:t>
      </w:r>
      <w:proofErr w:type="spellStart"/>
      <w:r w:rsidRPr="00F85BD8">
        <w:rPr>
          <w:sz w:val="24"/>
          <w:szCs w:val="24"/>
          <w:lang w:val="en-US"/>
        </w:rPr>
        <w:t>diarrhoea</w:t>
      </w:r>
      <w:proofErr w:type="spellEnd"/>
      <w:r w:rsidRPr="00F85BD8">
        <w:rPr>
          <w:sz w:val="24"/>
          <w:szCs w:val="24"/>
          <w:lang w:val="en-US"/>
        </w:rPr>
        <w:t xml:space="preserve"> was the most frequent gastro-intestinal event reported. In most patients, the event was of mild to moderate intensity. More than two thirds of patients experiencing </w:t>
      </w:r>
      <w:proofErr w:type="spellStart"/>
      <w:r w:rsidRPr="00F85BD8">
        <w:rPr>
          <w:sz w:val="24"/>
          <w:szCs w:val="24"/>
          <w:lang w:val="en-US"/>
        </w:rPr>
        <w:t>diarrhoea</w:t>
      </w:r>
      <w:proofErr w:type="spellEnd"/>
      <w:r w:rsidRPr="00F85BD8">
        <w:rPr>
          <w:sz w:val="24"/>
          <w:szCs w:val="24"/>
          <w:lang w:val="en-US"/>
        </w:rPr>
        <w:t xml:space="preserve"> reported its first onset already during the first three months of treatment. In most patients, the events were managed by anti-</w:t>
      </w:r>
      <w:proofErr w:type="spellStart"/>
      <w:r w:rsidRPr="00F85BD8">
        <w:rPr>
          <w:sz w:val="24"/>
          <w:szCs w:val="24"/>
          <w:lang w:val="en-US"/>
        </w:rPr>
        <w:t>diarrhoeal</w:t>
      </w:r>
      <w:proofErr w:type="spellEnd"/>
      <w:r w:rsidRPr="00F85BD8">
        <w:rPr>
          <w:sz w:val="24"/>
          <w:szCs w:val="24"/>
          <w:lang w:val="en-US"/>
        </w:rPr>
        <w:t xml:space="preserve"> therapy, dose reduction or treatment interruption (see section 4.4). An overview of the reported </w:t>
      </w:r>
      <w:proofErr w:type="spellStart"/>
      <w:r w:rsidRPr="00F85BD8">
        <w:rPr>
          <w:sz w:val="24"/>
          <w:szCs w:val="24"/>
          <w:lang w:val="en-US"/>
        </w:rPr>
        <w:t>diarrhoea</w:t>
      </w:r>
      <w:proofErr w:type="spellEnd"/>
      <w:r w:rsidRPr="00F85BD8">
        <w:rPr>
          <w:sz w:val="24"/>
          <w:szCs w:val="24"/>
          <w:lang w:val="en-US"/>
        </w:rPr>
        <w:t xml:space="preserve"> events in the clinical trials is listed in Table 2:</w:t>
      </w:r>
    </w:p>
    <w:p w14:paraId="2122BAA7" w14:textId="77777777" w:rsidR="00D657C7" w:rsidRPr="00F85BD8" w:rsidRDefault="00D657C7" w:rsidP="00BF087A">
      <w:pPr>
        <w:ind w:left="851"/>
        <w:rPr>
          <w:sz w:val="24"/>
          <w:szCs w:val="24"/>
          <w:lang w:val="en-US"/>
        </w:rPr>
      </w:pPr>
    </w:p>
    <w:p w14:paraId="4C5F64B8" w14:textId="43C5356A" w:rsidR="00D657C7" w:rsidRPr="00F85BD8" w:rsidRDefault="00D657C7" w:rsidP="00D657C7">
      <w:pPr>
        <w:keepNext/>
        <w:tabs>
          <w:tab w:val="left" w:pos="1134"/>
        </w:tabs>
        <w:autoSpaceDE w:val="0"/>
        <w:autoSpaceDN w:val="0"/>
        <w:adjustRightInd w:val="0"/>
        <w:ind w:left="1134" w:hanging="1134"/>
        <w:jc w:val="both"/>
        <w:rPr>
          <w:b/>
          <w:sz w:val="24"/>
          <w:szCs w:val="24"/>
          <w:lang w:val="en-US"/>
        </w:rPr>
      </w:pPr>
      <w:r w:rsidRPr="00F85BD8">
        <w:rPr>
          <w:b/>
          <w:sz w:val="24"/>
          <w:szCs w:val="24"/>
          <w:lang w:val="en-US"/>
        </w:rPr>
        <w:t>Table 2:</w:t>
      </w:r>
      <w:r w:rsidR="00BF087A" w:rsidRPr="00F85BD8">
        <w:rPr>
          <w:b/>
          <w:sz w:val="24"/>
          <w:szCs w:val="24"/>
          <w:lang w:val="en-US"/>
        </w:rPr>
        <w:t xml:space="preserve"> </w:t>
      </w:r>
      <w:proofErr w:type="spellStart"/>
      <w:r w:rsidRPr="00F85BD8">
        <w:rPr>
          <w:b/>
          <w:sz w:val="24"/>
          <w:szCs w:val="24"/>
          <w:lang w:val="en-US"/>
        </w:rPr>
        <w:t>Diarrhoea</w:t>
      </w:r>
      <w:proofErr w:type="spellEnd"/>
      <w:r w:rsidRPr="00F85BD8">
        <w:rPr>
          <w:b/>
          <w:sz w:val="24"/>
          <w:szCs w:val="24"/>
          <w:lang w:val="en-US"/>
        </w:rPr>
        <w:t xml:space="preserve"> in clinical trials over 52 weeks</w:t>
      </w:r>
    </w:p>
    <w:p w14:paraId="02A7CEB3" w14:textId="77777777" w:rsidR="00D657C7" w:rsidRPr="00F85BD8" w:rsidRDefault="00D657C7" w:rsidP="00D657C7">
      <w:pPr>
        <w:keepNext/>
        <w:tabs>
          <w:tab w:val="left" w:pos="1134"/>
        </w:tabs>
        <w:autoSpaceDE w:val="0"/>
        <w:autoSpaceDN w:val="0"/>
        <w:adjustRightInd w:val="0"/>
        <w:ind w:left="1134" w:hanging="1134"/>
        <w:jc w:val="both"/>
        <w:rPr>
          <w:sz w:val="24"/>
          <w:szCs w:val="24"/>
          <w:lang w:val="en-US"/>
        </w:rPr>
      </w:pPr>
    </w:p>
    <w:tbl>
      <w:tblPr>
        <w:tblStyle w:val="Tabel-Gitter"/>
        <w:tblW w:w="5000" w:type="pct"/>
        <w:tblInd w:w="0" w:type="dxa"/>
        <w:tblLook w:val="04A0" w:firstRow="1" w:lastRow="0" w:firstColumn="1" w:lastColumn="0" w:noHBand="0" w:noVBand="1"/>
      </w:tblPr>
      <w:tblGrid>
        <w:gridCol w:w="1696"/>
        <w:gridCol w:w="1321"/>
        <w:gridCol w:w="1321"/>
        <w:gridCol w:w="1321"/>
        <w:gridCol w:w="1324"/>
        <w:gridCol w:w="1324"/>
        <w:gridCol w:w="1321"/>
      </w:tblGrid>
      <w:tr w:rsidR="00D657C7" w:rsidRPr="00F85BD8" w14:paraId="798900B6" w14:textId="77777777" w:rsidTr="00BF087A">
        <w:trPr>
          <w:tblHeader/>
        </w:trPr>
        <w:tc>
          <w:tcPr>
            <w:tcW w:w="850" w:type="pct"/>
            <w:tcBorders>
              <w:top w:val="single" w:sz="4" w:space="0" w:color="auto"/>
              <w:left w:val="single" w:sz="4" w:space="0" w:color="auto"/>
              <w:bottom w:val="single" w:sz="4" w:space="0" w:color="auto"/>
              <w:right w:val="single" w:sz="4" w:space="0" w:color="auto"/>
            </w:tcBorders>
          </w:tcPr>
          <w:p w14:paraId="7AB1530F" w14:textId="77777777" w:rsidR="00D657C7" w:rsidRPr="00F85BD8" w:rsidRDefault="00D657C7">
            <w:pPr>
              <w:autoSpaceDE w:val="0"/>
              <w:autoSpaceDN w:val="0"/>
              <w:adjustRightInd w:val="0"/>
              <w:rPr>
                <w:sz w:val="24"/>
                <w:szCs w:val="24"/>
              </w:rPr>
            </w:pPr>
          </w:p>
        </w:tc>
        <w:tc>
          <w:tcPr>
            <w:tcW w:w="1382" w:type="pct"/>
            <w:gridSpan w:val="2"/>
            <w:tcBorders>
              <w:top w:val="single" w:sz="4" w:space="0" w:color="auto"/>
              <w:left w:val="single" w:sz="4" w:space="0" w:color="auto"/>
              <w:bottom w:val="single" w:sz="4" w:space="0" w:color="auto"/>
              <w:right w:val="single" w:sz="4" w:space="0" w:color="auto"/>
            </w:tcBorders>
            <w:hideMark/>
          </w:tcPr>
          <w:p w14:paraId="7FCC62D4" w14:textId="77777777" w:rsidR="00D657C7" w:rsidRPr="00F85BD8" w:rsidRDefault="00D657C7">
            <w:pPr>
              <w:autoSpaceDE w:val="0"/>
              <w:autoSpaceDN w:val="0"/>
              <w:adjustRightInd w:val="0"/>
              <w:jc w:val="center"/>
              <w:rPr>
                <w:b/>
                <w:sz w:val="24"/>
                <w:szCs w:val="24"/>
              </w:rPr>
            </w:pPr>
            <w:r w:rsidRPr="00F85BD8">
              <w:rPr>
                <w:b/>
                <w:sz w:val="24"/>
                <w:szCs w:val="24"/>
              </w:rPr>
              <w:t>INPULSIS</w:t>
            </w:r>
          </w:p>
        </w:tc>
        <w:tc>
          <w:tcPr>
            <w:tcW w:w="1384" w:type="pct"/>
            <w:gridSpan w:val="2"/>
            <w:tcBorders>
              <w:top w:val="single" w:sz="4" w:space="0" w:color="auto"/>
              <w:left w:val="single" w:sz="4" w:space="0" w:color="auto"/>
              <w:bottom w:val="single" w:sz="4" w:space="0" w:color="auto"/>
              <w:right w:val="single" w:sz="4" w:space="0" w:color="auto"/>
            </w:tcBorders>
            <w:hideMark/>
          </w:tcPr>
          <w:p w14:paraId="5EF86403" w14:textId="77777777" w:rsidR="00D657C7" w:rsidRPr="00F85BD8" w:rsidRDefault="00D657C7">
            <w:pPr>
              <w:autoSpaceDE w:val="0"/>
              <w:autoSpaceDN w:val="0"/>
              <w:adjustRightInd w:val="0"/>
              <w:jc w:val="center"/>
              <w:rPr>
                <w:b/>
                <w:sz w:val="24"/>
                <w:szCs w:val="24"/>
              </w:rPr>
            </w:pPr>
            <w:r w:rsidRPr="00F85BD8">
              <w:rPr>
                <w:b/>
                <w:sz w:val="24"/>
                <w:szCs w:val="24"/>
              </w:rPr>
              <w:t>INBUILD</w:t>
            </w:r>
          </w:p>
        </w:tc>
        <w:tc>
          <w:tcPr>
            <w:tcW w:w="1384" w:type="pct"/>
            <w:gridSpan w:val="2"/>
            <w:tcBorders>
              <w:top w:val="single" w:sz="4" w:space="0" w:color="auto"/>
              <w:left w:val="single" w:sz="4" w:space="0" w:color="auto"/>
              <w:bottom w:val="single" w:sz="4" w:space="0" w:color="auto"/>
              <w:right w:val="single" w:sz="4" w:space="0" w:color="auto"/>
            </w:tcBorders>
            <w:hideMark/>
          </w:tcPr>
          <w:p w14:paraId="7A21B0CF" w14:textId="77777777" w:rsidR="00D657C7" w:rsidRPr="00F85BD8" w:rsidRDefault="00D657C7">
            <w:pPr>
              <w:autoSpaceDE w:val="0"/>
              <w:autoSpaceDN w:val="0"/>
              <w:adjustRightInd w:val="0"/>
              <w:jc w:val="center"/>
              <w:rPr>
                <w:b/>
                <w:sz w:val="24"/>
                <w:szCs w:val="24"/>
              </w:rPr>
            </w:pPr>
            <w:r w:rsidRPr="00F85BD8">
              <w:rPr>
                <w:b/>
                <w:sz w:val="24"/>
                <w:szCs w:val="24"/>
              </w:rPr>
              <w:t>SENSCIS</w:t>
            </w:r>
          </w:p>
        </w:tc>
      </w:tr>
      <w:tr w:rsidR="00D657C7" w:rsidRPr="00F85BD8" w14:paraId="260AA7AD" w14:textId="77777777" w:rsidTr="00BF087A">
        <w:trPr>
          <w:tblHeader/>
        </w:trPr>
        <w:tc>
          <w:tcPr>
            <w:tcW w:w="850" w:type="pct"/>
            <w:tcBorders>
              <w:top w:val="single" w:sz="4" w:space="0" w:color="auto"/>
              <w:left w:val="single" w:sz="4" w:space="0" w:color="auto"/>
              <w:bottom w:val="single" w:sz="4" w:space="0" w:color="auto"/>
              <w:right w:val="single" w:sz="4" w:space="0" w:color="auto"/>
            </w:tcBorders>
          </w:tcPr>
          <w:p w14:paraId="17ED4EB7" w14:textId="77777777" w:rsidR="00D657C7" w:rsidRPr="00F85BD8" w:rsidRDefault="00D657C7">
            <w:pPr>
              <w:autoSpaceDE w:val="0"/>
              <w:autoSpaceDN w:val="0"/>
              <w:adjustRightInd w:val="0"/>
              <w:rPr>
                <w:sz w:val="24"/>
                <w:szCs w:val="24"/>
              </w:rPr>
            </w:pPr>
          </w:p>
        </w:tc>
        <w:tc>
          <w:tcPr>
            <w:tcW w:w="691" w:type="pct"/>
            <w:tcBorders>
              <w:top w:val="single" w:sz="4" w:space="0" w:color="auto"/>
              <w:left w:val="single" w:sz="4" w:space="0" w:color="auto"/>
              <w:bottom w:val="single" w:sz="4" w:space="0" w:color="auto"/>
              <w:right w:val="single" w:sz="4" w:space="0" w:color="auto"/>
            </w:tcBorders>
            <w:hideMark/>
          </w:tcPr>
          <w:p w14:paraId="05F17B0E" w14:textId="77777777" w:rsidR="00D657C7" w:rsidRPr="00F85BD8" w:rsidRDefault="00D657C7">
            <w:pPr>
              <w:autoSpaceDE w:val="0"/>
              <w:autoSpaceDN w:val="0"/>
              <w:adjustRightInd w:val="0"/>
              <w:jc w:val="center"/>
              <w:rPr>
                <w:sz w:val="24"/>
                <w:szCs w:val="24"/>
              </w:rPr>
            </w:pPr>
            <w:r w:rsidRPr="00F85BD8">
              <w:rPr>
                <w:sz w:val="24"/>
                <w:szCs w:val="24"/>
              </w:rPr>
              <w:t>Placebo</w:t>
            </w:r>
          </w:p>
        </w:tc>
        <w:tc>
          <w:tcPr>
            <w:tcW w:w="691" w:type="pct"/>
            <w:tcBorders>
              <w:top w:val="single" w:sz="4" w:space="0" w:color="auto"/>
              <w:left w:val="single" w:sz="4" w:space="0" w:color="auto"/>
              <w:bottom w:val="single" w:sz="4" w:space="0" w:color="auto"/>
              <w:right w:val="single" w:sz="4" w:space="0" w:color="auto"/>
            </w:tcBorders>
            <w:hideMark/>
          </w:tcPr>
          <w:p w14:paraId="1C0A80E2" w14:textId="77777777" w:rsidR="00D657C7" w:rsidRPr="00F85BD8" w:rsidRDefault="00D657C7">
            <w:pPr>
              <w:autoSpaceDE w:val="0"/>
              <w:autoSpaceDN w:val="0"/>
              <w:adjustRightInd w:val="0"/>
              <w:jc w:val="center"/>
              <w:rPr>
                <w:sz w:val="24"/>
                <w:szCs w:val="24"/>
              </w:rPr>
            </w:pPr>
            <w:proofErr w:type="spellStart"/>
            <w:r w:rsidRPr="00F85BD8">
              <w:rPr>
                <w:sz w:val="24"/>
                <w:szCs w:val="24"/>
              </w:rPr>
              <w:t>Nintedanib</w:t>
            </w:r>
            <w:proofErr w:type="spellEnd"/>
          </w:p>
        </w:tc>
        <w:tc>
          <w:tcPr>
            <w:tcW w:w="691" w:type="pct"/>
            <w:tcBorders>
              <w:top w:val="single" w:sz="4" w:space="0" w:color="auto"/>
              <w:left w:val="single" w:sz="4" w:space="0" w:color="auto"/>
              <w:bottom w:val="single" w:sz="4" w:space="0" w:color="auto"/>
              <w:right w:val="single" w:sz="4" w:space="0" w:color="auto"/>
            </w:tcBorders>
            <w:hideMark/>
          </w:tcPr>
          <w:p w14:paraId="59FF2BCD" w14:textId="77777777" w:rsidR="00D657C7" w:rsidRPr="00F85BD8" w:rsidRDefault="00D657C7">
            <w:pPr>
              <w:autoSpaceDE w:val="0"/>
              <w:autoSpaceDN w:val="0"/>
              <w:adjustRightInd w:val="0"/>
              <w:jc w:val="center"/>
              <w:rPr>
                <w:sz w:val="24"/>
                <w:szCs w:val="24"/>
              </w:rPr>
            </w:pPr>
            <w:r w:rsidRPr="00F85BD8">
              <w:rPr>
                <w:sz w:val="24"/>
                <w:szCs w:val="24"/>
              </w:rPr>
              <w:t>Placebo</w:t>
            </w:r>
          </w:p>
        </w:tc>
        <w:tc>
          <w:tcPr>
            <w:tcW w:w="693" w:type="pct"/>
            <w:tcBorders>
              <w:top w:val="single" w:sz="4" w:space="0" w:color="auto"/>
              <w:left w:val="single" w:sz="4" w:space="0" w:color="auto"/>
              <w:bottom w:val="single" w:sz="4" w:space="0" w:color="auto"/>
              <w:right w:val="single" w:sz="4" w:space="0" w:color="auto"/>
            </w:tcBorders>
            <w:hideMark/>
          </w:tcPr>
          <w:p w14:paraId="2D403F2D" w14:textId="77777777" w:rsidR="00D657C7" w:rsidRPr="00F85BD8" w:rsidRDefault="00D657C7">
            <w:pPr>
              <w:autoSpaceDE w:val="0"/>
              <w:autoSpaceDN w:val="0"/>
              <w:adjustRightInd w:val="0"/>
              <w:jc w:val="center"/>
              <w:rPr>
                <w:sz w:val="24"/>
                <w:szCs w:val="24"/>
              </w:rPr>
            </w:pPr>
            <w:proofErr w:type="spellStart"/>
            <w:r w:rsidRPr="00F85BD8">
              <w:rPr>
                <w:sz w:val="24"/>
                <w:szCs w:val="24"/>
              </w:rPr>
              <w:t>Nintedanib</w:t>
            </w:r>
            <w:proofErr w:type="spellEnd"/>
          </w:p>
        </w:tc>
        <w:tc>
          <w:tcPr>
            <w:tcW w:w="693" w:type="pct"/>
            <w:tcBorders>
              <w:top w:val="single" w:sz="4" w:space="0" w:color="auto"/>
              <w:left w:val="single" w:sz="4" w:space="0" w:color="auto"/>
              <w:bottom w:val="single" w:sz="4" w:space="0" w:color="auto"/>
              <w:right w:val="single" w:sz="4" w:space="0" w:color="auto"/>
            </w:tcBorders>
            <w:hideMark/>
          </w:tcPr>
          <w:p w14:paraId="14C463D0" w14:textId="77777777" w:rsidR="00D657C7" w:rsidRPr="00F85BD8" w:rsidRDefault="00D657C7">
            <w:pPr>
              <w:autoSpaceDE w:val="0"/>
              <w:autoSpaceDN w:val="0"/>
              <w:adjustRightInd w:val="0"/>
              <w:jc w:val="center"/>
              <w:rPr>
                <w:sz w:val="24"/>
                <w:szCs w:val="24"/>
              </w:rPr>
            </w:pPr>
            <w:r w:rsidRPr="00F85BD8">
              <w:rPr>
                <w:sz w:val="24"/>
                <w:szCs w:val="24"/>
              </w:rPr>
              <w:t>Placebo</w:t>
            </w:r>
          </w:p>
        </w:tc>
        <w:tc>
          <w:tcPr>
            <w:tcW w:w="692" w:type="pct"/>
            <w:tcBorders>
              <w:top w:val="single" w:sz="4" w:space="0" w:color="auto"/>
              <w:left w:val="single" w:sz="4" w:space="0" w:color="auto"/>
              <w:bottom w:val="single" w:sz="4" w:space="0" w:color="auto"/>
              <w:right w:val="single" w:sz="4" w:space="0" w:color="auto"/>
            </w:tcBorders>
            <w:hideMark/>
          </w:tcPr>
          <w:p w14:paraId="4D35DA75" w14:textId="77777777" w:rsidR="00D657C7" w:rsidRPr="00F85BD8" w:rsidRDefault="00D657C7">
            <w:pPr>
              <w:autoSpaceDE w:val="0"/>
              <w:autoSpaceDN w:val="0"/>
              <w:adjustRightInd w:val="0"/>
              <w:jc w:val="center"/>
              <w:rPr>
                <w:sz w:val="24"/>
                <w:szCs w:val="24"/>
              </w:rPr>
            </w:pPr>
            <w:proofErr w:type="spellStart"/>
            <w:r w:rsidRPr="00F85BD8">
              <w:rPr>
                <w:sz w:val="24"/>
                <w:szCs w:val="24"/>
              </w:rPr>
              <w:t>Nintedanib</w:t>
            </w:r>
            <w:proofErr w:type="spellEnd"/>
          </w:p>
        </w:tc>
      </w:tr>
      <w:tr w:rsidR="00D657C7" w:rsidRPr="00F85BD8" w14:paraId="728BAB57"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01CF6447" w14:textId="77777777" w:rsidR="00D657C7" w:rsidRPr="00F85BD8" w:rsidRDefault="00D657C7">
            <w:pPr>
              <w:autoSpaceDE w:val="0"/>
              <w:autoSpaceDN w:val="0"/>
              <w:adjustRightInd w:val="0"/>
              <w:rPr>
                <w:sz w:val="24"/>
                <w:szCs w:val="24"/>
              </w:rPr>
            </w:pPr>
            <w:r w:rsidRPr="00F85BD8">
              <w:rPr>
                <w:sz w:val="24"/>
                <w:szCs w:val="24"/>
              </w:rPr>
              <w:t>Diarrhoea</w:t>
            </w:r>
          </w:p>
        </w:tc>
        <w:tc>
          <w:tcPr>
            <w:tcW w:w="691" w:type="pct"/>
            <w:tcBorders>
              <w:top w:val="single" w:sz="4" w:space="0" w:color="auto"/>
              <w:left w:val="single" w:sz="4" w:space="0" w:color="auto"/>
              <w:bottom w:val="single" w:sz="4" w:space="0" w:color="auto"/>
              <w:right w:val="single" w:sz="4" w:space="0" w:color="auto"/>
            </w:tcBorders>
            <w:vAlign w:val="center"/>
            <w:hideMark/>
          </w:tcPr>
          <w:p w14:paraId="0C46B5C3" w14:textId="77777777" w:rsidR="00D657C7" w:rsidRPr="00F85BD8" w:rsidRDefault="00D657C7">
            <w:pPr>
              <w:autoSpaceDE w:val="0"/>
              <w:autoSpaceDN w:val="0"/>
              <w:adjustRightInd w:val="0"/>
              <w:jc w:val="center"/>
              <w:rPr>
                <w:sz w:val="24"/>
                <w:szCs w:val="24"/>
              </w:rPr>
            </w:pPr>
            <w:r w:rsidRPr="00F85BD8">
              <w:rPr>
                <w:sz w:val="24"/>
                <w:szCs w:val="24"/>
              </w:rPr>
              <w:t>18.4%</w:t>
            </w:r>
          </w:p>
        </w:tc>
        <w:tc>
          <w:tcPr>
            <w:tcW w:w="691" w:type="pct"/>
            <w:tcBorders>
              <w:top w:val="single" w:sz="4" w:space="0" w:color="auto"/>
              <w:left w:val="single" w:sz="4" w:space="0" w:color="auto"/>
              <w:bottom w:val="single" w:sz="4" w:space="0" w:color="auto"/>
              <w:right w:val="single" w:sz="4" w:space="0" w:color="auto"/>
            </w:tcBorders>
            <w:vAlign w:val="center"/>
            <w:hideMark/>
          </w:tcPr>
          <w:p w14:paraId="0FB7B5A3" w14:textId="77777777" w:rsidR="00D657C7" w:rsidRPr="00F85BD8" w:rsidRDefault="00D657C7">
            <w:pPr>
              <w:autoSpaceDE w:val="0"/>
              <w:autoSpaceDN w:val="0"/>
              <w:adjustRightInd w:val="0"/>
              <w:jc w:val="center"/>
              <w:rPr>
                <w:sz w:val="24"/>
                <w:szCs w:val="24"/>
              </w:rPr>
            </w:pPr>
            <w:r w:rsidRPr="00F85BD8">
              <w:rPr>
                <w:sz w:val="24"/>
                <w:szCs w:val="24"/>
              </w:rPr>
              <w:t>62.4%</w:t>
            </w:r>
          </w:p>
        </w:tc>
        <w:tc>
          <w:tcPr>
            <w:tcW w:w="691" w:type="pct"/>
            <w:tcBorders>
              <w:top w:val="single" w:sz="4" w:space="0" w:color="auto"/>
              <w:left w:val="single" w:sz="4" w:space="0" w:color="auto"/>
              <w:bottom w:val="single" w:sz="4" w:space="0" w:color="auto"/>
              <w:right w:val="single" w:sz="4" w:space="0" w:color="auto"/>
            </w:tcBorders>
            <w:vAlign w:val="center"/>
            <w:hideMark/>
          </w:tcPr>
          <w:p w14:paraId="15BFF6BD" w14:textId="77777777" w:rsidR="00D657C7" w:rsidRPr="00F85BD8" w:rsidRDefault="00D657C7">
            <w:pPr>
              <w:autoSpaceDE w:val="0"/>
              <w:autoSpaceDN w:val="0"/>
              <w:adjustRightInd w:val="0"/>
              <w:jc w:val="center"/>
              <w:rPr>
                <w:sz w:val="24"/>
                <w:szCs w:val="24"/>
              </w:rPr>
            </w:pPr>
            <w:r w:rsidRPr="00F85BD8">
              <w:rPr>
                <w:sz w:val="24"/>
                <w:szCs w:val="24"/>
              </w:rPr>
              <w:t>23.9%</w:t>
            </w:r>
          </w:p>
        </w:tc>
        <w:tc>
          <w:tcPr>
            <w:tcW w:w="693" w:type="pct"/>
            <w:tcBorders>
              <w:top w:val="single" w:sz="4" w:space="0" w:color="auto"/>
              <w:left w:val="single" w:sz="4" w:space="0" w:color="auto"/>
              <w:bottom w:val="single" w:sz="4" w:space="0" w:color="auto"/>
              <w:right w:val="single" w:sz="4" w:space="0" w:color="auto"/>
            </w:tcBorders>
            <w:vAlign w:val="center"/>
            <w:hideMark/>
          </w:tcPr>
          <w:p w14:paraId="006974A9" w14:textId="77777777" w:rsidR="00D657C7" w:rsidRPr="00F85BD8" w:rsidRDefault="00D657C7">
            <w:pPr>
              <w:autoSpaceDE w:val="0"/>
              <w:autoSpaceDN w:val="0"/>
              <w:adjustRightInd w:val="0"/>
              <w:jc w:val="center"/>
              <w:rPr>
                <w:sz w:val="24"/>
                <w:szCs w:val="24"/>
              </w:rPr>
            </w:pPr>
            <w:r w:rsidRPr="00F85BD8">
              <w:rPr>
                <w:sz w:val="24"/>
                <w:szCs w:val="24"/>
              </w:rPr>
              <w:t>66.9%</w:t>
            </w:r>
          </w:p>
        </w:tc>
        <w:tc>
          <w:tcPr>
            <w:tcW w:w="693" w:type="pct"/>
            <w:tcBorders>
              <w:top w:val="single" w:sz="4" w:space="0" w:color="auto"/>
              <w:left w:val="single" w:sz="4" w:space="0" w:color="auto"/>
              <w:bottom w:val="single" w:sz="4" w:space="0" w:color="auto"/>
              <w:right w:val="single" w:sz="4" w:space="0" w:color="auto"/>
            </w:tcBorders>
            <w:vAlign w:val="center"/>
            <w:hideMark/>
          </w:tcPr>
          <w:p w14:paraId="68AD37DE" w14:textId="77777777" w:rsidR="00D657C7" w:rsidRPr="00F85BD8" w:rsidRDefault="00D657C7">
            <w:pPr>
              <w:autoSpaceDE w:val="0"/>
              <w:autoSpaceDN w:val="0"/>
              <w:adjustRightInd w:val="0"/>
              <w:jc w:val="center"/>
              <w:rPr>
                <w:sz w:val="24"/>
                <w:szCs w:val="24"/>
              </w:rPr>
            </w:pPr>
            <w:r w:rsidRPr="00F85BD8">
              <w:rPr>
                <w:sz w:val="24"/>
                <w:szCs w:val="24"/>
              </w:rPr>
              <w:t>31.6%</w:t>
            </w:r>
          </w:p>
        </w:tc>
        <w:tc>
          <w:tcPr>
            <w:tcW w:w="692" w:type="pct"/>
            <w:tcBorders>
              <w:top w:val="single" w:sz="4" w:space="0" w:color="auto"/>
              <w:left w:val="single" w:sz="4" w:space="0" w:color="auto"/>
              <w:bottom w:val="single" w:sz="4" w:space="0" w:color="auto"/>
              <w:right w:val="single" w:sz="4" w:space="0" w:color="auto"/>
            </w:tcBorders>
            <w:vAlign w:val="center"/>
            <w:hideMark/>
          </w:tcPr>
          <w:p w14:paraId="5845383F" w14:textId="77777777" w:rsidR="00D657C7" w:rsidRPr="00F85BD8" w:rsidRDefault="00D657C7">
            <w:pPr>
              <w:autoSpaceDE w:val="0"/>
              <w:autoSpaceDN w:val="0"/>
              <w:adjustRightInd w:val="0"/>
              <w:jc w:val="center"/>
              <w:rPr>
                <w:sz w:val="24"/>
                <w:szCs w:val="24"/>
              </w:rPr>
            </w:pPr>
            <w:r w:rsidRPr="00F85BD8">
              <w:rPr>
                <w:sz w:val="24"/>
                <w:szCs w:val="24"/>
              </w:rPr>
              <w:t>75.7%</w:t>
            </w:r>
          </w:p>
        </w:tc>
      </w:tr>
      <w:tr w:rsidR="00D657C7" w:rsidRPr="00F85BD8" w14:paraId="20F670C9"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73391C5E" w14:textId="77777777" w:rsidR="00D657C7" w:rsidRPr="00F85BD8" w:rsidRDefault="00D657C7">
            <w:pPr>
              <w:autoSpaceDE w:val="0"/>
              <w:autoSpaceDN w:val="0"/>
              <w:adjustRightInd w:val="0"/>
              <w:rPr>
                <w:sz w:val="24"/>
                <w:szCs w:val="24"/>
              </w:rPr>
            </w:pPr>
            <w:r w:rsidRPr="00F85BD8">
              <w:rPr>
                <w:sz w:val="24"/>
                <w:szCs w:val="24"/>
              </w:rPr>
              <w:t>Severe diarrhoea</w:t>
            </w:r>
          </w:p>
        </w:tc>
        <w:tc>
          <w:tcPr>
            <w:tcW w:w="691" w:type="pct"/>
            <w:tcBorders>
              <w:top w:val="single" w:sz="4" w:space="0" w:color="auto"/>
              <w:left w:val="single" w:sz="4" w:space="0" w:color="auto"/>
              <w:bottom w:val="single" w:sz="4" w:space="0" w:color="auto"/>
              <w:right w:val="single" w:sz="4" w:space="0" w:color="auto"/>
            </w:tcBorders>
            <w:vAlign w:val="center"/>
            <w:hideMark/>
          </w:tcPr>
          <w:p w14:paraId="71023469" w14:textId="77777777" w:rsidR="00D657C7" w:rsidRPr="00F85BD8" w:rsidRDefault="00D657C7">
            <w:pPr>
              <w:autoSpaceDE w:val="0"/>
              <w:autoSpaceDN w:val="0"/>
              <w:adjustRightInd w:val="0"/>
              <w:jc w:val="center"/>
              <w:rPr>
                <w:sz w:val="24"/>
                <w:szCs w:val="24"/>
              </w:rPr>
            </w:pPr>
            <w:r w:rsidRPr="00F85BD8">
              <w:rPr>
                <w:sz w:val="24"/>
                <w:szCs w:val="24"/>
              </w:rPr>
              <w:t>0.5%</w:t>
            </w:r>
          </w:p>
        </w:tc>
        <w:tc>
          <w:tcPr>
            <w:tcW w:w="691" w:type="pct"/>
            <w:tcBorders>
              <w:top w:val="single" w:sz="4" w:space="0" w:color="auto"/>
              <w:left w:val="single" w:sz="4" w:space="0" w:color="auto"/>
              <w:bottom w:val="single" w:sz="4" w:space="0" w:color="auto"/>
              <w:right w:val="single" w:sz="4" w:space="0" w:color="auto"/>
            </w:tcBorders>
            <w:vAlign w:val="center"/>
            <w:hideMark/>
          </w:tcPr>
          <w:p w14:paraId="7CA1A07E" w14:textId="77777777" w:rsidR="00D657C7" w:rsidRPr="00F85BD8" w:rsidRDefault="00D657C7">
            <w:pPr>
              <w:autoSpaceDE w:val="0"/>
              <w:autoSpaceDN w:val="0"/>
              <w:adjustRightInd w:val="0"/>
              <w:jc w:val="center"/>
              <w:rPr>
                <w:sz w:val="24"/>
                <w:szCs w:val="24"/>
              </w:rPr>
            </w:pPr>
            <w:r w:rsidRPr="00F85BD8">
              <w:rPr>
                <w:sz w:val="24"/>
                <w:szCs w:val="24"/>
              </w:rPr>
              <w:t>3.3%</w:t>
            </w:r>
          </w:p>
        </w:tc>
        <w:tc>
          <w:tcPr>
            <w:tcW w:w="691" w:type="pct"/>
            <w:tcBorders>
              <w:top w:val="single" w:sz="4" w:space="0" w:color="auto"/>
              <w:left w:val="single" w:sz="4" w:space="0" w:color="auto"/>
              <w:bottom w:val="single" w:sz="4" w:space="0" w:color="auto"/>
              <w:right w:val="single" w:sz="4" w:space="0" w:color="auto"/>
            </w:tcBorders>
            <w:vAlign w:val="center"/>
            <w:hideMark/>
          </w:tcPr>
          <w:p w14:paraId="5F9707D2" w14:textId="77777777" w:rsidR="00D657C7" w:rsidRPr="00F85BD8" w:rsidRDefault="00D657C7">
            <w:pPr>
              <w:autoSpaceDE w:val="0"/>
              <w:autoSpaceDN w:val="0"/>
              <w:adjustRightInd w:val="0"/>
              <w:jc w:val="center"/>
              <w:rPr>
                <w:sz w:val="24"/>
                <w:szCs w:val="24"/>
              </w:rPr>
            </w:pPr>
            <w:r w:rsidRPr="00F85BD8">
              <w:rPr>
                <w:sz w:val="24"/>
                <w:szCs w:val="24"/>
              </w:rPr>
              <w:t>0.9%</w:t>
            </w:r>
          </w:p>
        </w:tc>
        <w:tc>
          <w:tcPr>
            <w:tcW w:w="693" w:type="pct"/>
            <w:tcBorders>
              <w:top w:val="single" w:sz="4" w:space="0" w:color="auto"/>
              <w:left w:val="single" w:sz="4" w:space="0" w:color="auto"/>
              <w:bottom w:val="single" w:sz="4" w:space="0" w:color="auto"/>
              <w:right w:val="single" w:sz="4" w:space="0" w:color="auto"/>
            </w:tcBorders>
            <w:vAlign w:val="center"/>
            <w:hideMark/>
          </w:tcPr>
          <w:p w14:paraId="4013DB7B" w14:textId="77777777" w:rsidR="00D657C7" w:rsidRPr="00F85BD8" w:rsidRDefault="00D657C7">
            <w:pPr>
              <w:autoSpaceDE w:val="0"/>
              <w:autoSpaceDN w:val="0"/>
              <w:adjustRightInd w:val="0"/>
              <w:jc w:val="center"/>
              <w:rPr>
                <w:sz w:val="24"/>
                <w:szCs w:val="24"/>
              </w:rPr>
            </w:pPr>
            <w:r w:rsidRPr="00F85BD8">
              <w:rPr>
                <w:sz w:val="24"/>
                <w:szCs w:val="24"/>
              </w:rPr>
              <w:t>2.4%</w:t>
            </w:r>
          </w:p>
        </w:tc>
        <w:tc>
          <w:tcPr>
            <w:tcW w:w="693" w:type="pct"/>
            <w:tcBorders>
              <w:top w:val="single" w:sz="4" w:space="0" w:color="auto"/>
              <w:left w:val="single" w:sz="4" w:space="0" w:color="auto"/>
              <w:bottom w:val="single" w:sz="4" w:space="0" w:color="auto"/>
              <w:right w:val="single" w:sz="4" w:space="0" w:color="auto"/>
            </w:tcBorders>
            <w:vAlign w:val="center"/>
            <w:hideMark/>
          </w:tcPr>
          <w:p w14:paraId="54D7CF81" w14:textId="77777777" w:rsidR="00D657C7" w:rsidRPr="00F85BD8" w:rsidRDefault="00D657C7">
            <w:pPr>
              <w:autoSpaceDE w:val="0"/>
              <w:autoSpaceDN w:val="0"/>
              <w:adjustRightInd w:val="0"/>
              <w:jc w:val="center"/>
              <w:rPr>
                <w:sz w:val="24"/>
                <w:szCs w:val="24"/>
              </w:rPr>
            </w:pPr>
            <w:r w:rsidRPr="00F85BD8">
              <w:rPr>
                <w:sz w:val="24"/>
                <w:szCs w:val="24"/>
              </w:rPr>
              <w:t>1.0%</w:t>
            </w:r>
          </w:p>
        </w:tc>
        <w:tc>
          <w:tcPr>
            <w:tcW w:w="692" w:type="pct"/>
            <w:tcBorders>
              <w:top w:val="single" w:sz="4" w:space="0" w:color="auto"/>
              <w:left w:val="single" w:sz="4" w:space="0" w:color="auto"/>
              <w:bottom w:val="single" w:sz="4" w:space="0" w:color="auto"/>
              <w:right w:val="single" w:sz="4" w:space="0" w:color="auto"/>
            </w:tcBorders>
            <w:vAlign w:val="center"/>
            <w:hideMark/>
          </w:tcPr>
          <w:p w14:paraId="76406F30" w14:textId="77777777" w:rsidR="00D657C7" w:rsidRPr="00F85BD8" w:rsidRDefault="00D657C7">
            <w:pPr>
              <w:autoSpaceDE w:val="0"/>
              <w:autoSpaceDN w:val="0"/>
              <w:adjustRightInd w:val="0"/>
              <w:jc w:val="center"/>
              <w:rPr>
                <w:sz w:val="24"/>
                <w:szCs w:val="24"/>
              </w:rPr>
            </w:pPr>
            <w:r w:rsidRPr="00F85BD8">
              <w:rPr>
                <w:sz w:val="24"/>
                <w:szCs w:val="24"/>
              </w:rPr>
              <w:t>4.2%</w:t>
            </w:r>
          </w:p>
        </w:tc>
      </w:tr>
      <w:tr w:rsidR="00D657C7" w:rsidRPr="00F85BD8" w14:paraId="7FF8090F"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29519BAC" w14:textId="77777777" w:rsidR="00D657C7" w:rsidRPr="00F85BD8" w:rsidRDefault="00D657C7">
            <w:pPr>
              <w:autoSpaceDE w:val="0"/>
              <w:autoSpaceDN w:val="0"/>
              <w:adjustRightInd w:val="0"/>
              <w:rPr>
                <w:sz w:val="24"/>
                <w:szCs w:val="24"/>
              </w:rPr>
            </w:pPr>
            <w:r w:rsidRPr="00F85BD8">
              <w:rPr>
                <w:sz w:val="24"/>
                <w:szCs w:val="24"/>
              </w:rPr>
              <w:t xml:space="preserve">Diarrhoea leading to </w:t>
            </w:r>
            <w:proofErr w:type="spellStart"/>
            <w:r w:rsidRPr="00F85BD8">
              <w:rPr>
                <w:sz w:val="24"/>
                <w:szCs w:val="24"/>
              </w:rPr>
              <w:t>nintedanib</w:t>
            </w:r>
            <w:proofErr w:type="spellEnd"/>
            <w:r w:rsidRPr="00F85BD8">
              <w:rPr>
                <w:sz w:val="24"/>
                <w:szCs w:val="24"/>
              </w:rPr>
              <w:t xml:space="preserve"> dose reduction</w:t>
            </w:r>
          </w:p>
        </w:tc>
        <w:tc>
          <w:tcPr>
            <w:tcW w:w="691" w:type="pct"/>
            <w:tcBorders>
              <w:top w:val="single" w:sz="4" w:space="0" w:color="auto"/>
              <w:left w:val="single" w:sz="4" w:space="0" w:color="auto"/>
              <w:bottom w:val="single" w:sz="4" w:space="0" w:color="auto"/>
              <w:right w:val="single" w:sz="4" w:space="0" w:color="auto"/>
            </w:tcBorders>
            <w:vAlign w:val="center"/>
            <w:hideMark/>
          </w:tcPr>
          <w:p w14:paraId="3ACDE85B" w14:textId="77777777" w:rsidR="00D657C7" w:rsidRPr="00F85BD8" w:rsidRDefault="00D657C7">
            <w:pPr>
              <w:autoSpaceDE w:val="0"/>
              <w:autoSpaceDN w:val="0"/>
              <w:adjustRightInd w:val="0"/>
              <w:jc w:val="center"/>
              <w:rPr>
                <w:sz w:val="24"/>
                <w:szCs w:val="24"/>
              </w:rPr>
            </w:pPr>
            <w:r w:rsidRPr="00F85BD8">
              <w:rPr>
                <w:sz w:val="24"/>
                <w:szCs w:val="24"/>
              </w:rPr>
              <w:t>0%</w:t>
            </w:r>
          </w:p>
        </w:tc>
        <w:tc>
          <w:tcPr>
            <w:tcW w:w="691" w:type="pct"/>
            <w:tcBorders>
              <w:top w:val="single" w:sz="4" w:space="0" w:color="auto"/>
              <w:left w:val="single" w:sz="4" w:space="0" w:color="auto"/>
              <w:bottom w:val="single" w:sz="4" w:space="0" w:color="auto"/>
              <w:right w:val="single" w:sz="4" w:space="0" w:color="auto"/>
            </w:tcBorders>
            <w:vAlign w:val="center"/>
            <w:hideMark/>
          </w:tcPr>
          <w:p w14:paraId="0857C0DB" w14:textId="77777777" w:rsidR="00D657C7" w:rsidRPr="00F85BD8" w:rsidRDefault="00D657C7">
            <w:pPr>
              <w:autoSpaceDE w:val="0"/>
              <w:autoSpaceDN w:val="0"/>
              <w:adjustRightInd w:val="0"/>
              <w:jc w:val="center"/>
              <w:rPr>
                <w:sz w:val="24"/>
                <w:szCs w:val="24"/>
              </w:rPr>
            </w:pPr>
            <w:r w:rsidRPr="00F85BD8">
              <w:rPr>
                <w:sz w:val="24"/>
                <w:szCs w:val="24"/>
              </w:rPr>
              <w:t>10.7%</w:t>
            </w:r>
          </w:p>
        </w:tc>
        <w:tc>
          <w:tcPr>
            <w:tcW w:w="691" w:type="pct"/>
            <w:tcBorders>
              <w:top w:val="single" w:sz="4" w:space="0" w:color="auto"/>
              <w:left w:val="single" w:sz="4" w:space="0" w:color="auto"/>
              <w:bottom w:val="single" w:sz="4" w:space="0" w:color="auto"/>
              <w:right w:val="single" w:sz="4" w:space="0" w:color="auto"/>
            </w:tcBorders>
            <w:vAlign w:val="center"/>
            <w:hideMark/>
          </w:tcPr>
          <w:p w14:paraId="298E4436" w14:textId="77777777" w:rsidR="00D657C7" w:rsidRPr="00F85BD8" w:rsidRDefault="00D657C7">
            <w:pPr>
              <w:autoSpaceDE w:val="0"/>
              <w:autoSpaceDN w:val="0"/>
              <w:adjustRightInd w:val="0"/>
              <w:jc w:val="center"/>
              <w:rPr>
                <w:sz w:val="24"/>
                <w:szCs w:val="24"/>
              </w:rPr>
            </w:pPr>
            <w:r w:rsidRPr="00F85BD8">
              <w:rPr>
                <w:sz w:val="24"/>
                <w:szCs w:val="24"/>
              </w:rPr>
              <w:t>0.9%</w:t>
            </w:r>
          </w:p>
        </w:tc>
        <w:tc>
          <w:tcPr>
            <w:tcW w:w="693" w:type="pct"/>
            <w:tcBorders>
              <w:top w:val="single" w:sz="4" w:space="0" w:color="auto"/>
              <w:left w:val="single" w:sz="4" w:space="0" w:color="auto"/>
              <w:bottom w:val="single" w:sz="4" w:space="0" w:color="auto"/>
              <w:right w:val="single" w:sz="4" w:space="0" w:color="auto"/>
            </w:tcBorders>
            <w:vAlign w:val="center"/>
            <w:hideMark/>
          </w:tcPr>
          <w:p w14:paraId="51DB9D5D" w14:textId="77777777" w:rsidR="00D657C7" w:rsidRPr="00F85BD8" w:rsidRDefault="00D657C7">
            <w:pPr>
              <w:autoSpaceDE w:val="0"/>
              <w:autoSpaceDN w:val="0"/>
              <w:adjustRightInd w:val="0"/>
              <w:jc w:val="center"/>
              <w:rPr>
                <w:sz w:val="24"/>
                <w:szCs w:val="24"/>
              </w:rPr>
            </w:pPr>
            <w:r w:rsidRPr="00F85BD8">
              <w:rPr>
                <w:sz w:val="24"/>
                <w:szCs w:val="24"/>
              </w:rPr>
              <w:t>16.0%</w:t>
            </w:r>
          </w:p>
        </w:tc>
        <w:tc>
          <w:tcPr>
            <w:tcW w:w="693" w:type="pct"/>
            <w:tcBorders>
              <w:top w:val="single" w:sz="4" w:space="0" w:color="auto"/>
              <w:left w:val="single" w:sz="4" w:space="0" w:color="auto"/>
              <w:bottom w:val="single" w:sz="4" w:space="0" w:color="auto"/>
              <w:right w:val="single" w:sz="4" w:space="0" w:color="auto"/>
            </w:tcBorders>
            <w:vAlign w:val="center"/>
            <w:hideMark/>
          </w:tcPr>
          <w:p w14:paraId="7130D924" w14:textId="77777777" w:rsidR="00D657C7" w:rsidRPr="00F85BD8" w:rsidRDefault="00D657C7">
            <w:pPr>
              <w:autoSpaceDE w:val="0"/>
              <w:autoSpaceDN w:val="0"/>
              <w:adjustRightInd w:val="0"/>
              <w:jc w:val="center"/>
              <w:rPr>
                <w:sz w:val="24"/>
                <w:szCs w:val="24"/>
              </w:rPr>
            </w:pPr>
            <w:r w:rsidRPr="00F85BD8">
              <w:rPr>
                <w:sz w:val="24"/>
                <w:szCs w:val="24"/>
              </w:rPr>
              <w:t>1.0%</w:t>
            </w:r>
          </w:p>
        </w:tc>
        <w:tc>
          <w:tcPr>
            <w:tcW w:w="692" w:type="pct"/>
            <w:tcBorders>
              <w:top w:val="single" w:sz="4" w:space="0" w:color="auto"/>
              <w:left w:val="single" w:sz="4" w:space="0" w:color="auto"/>
              <w:bottom w:val="single" w:sz="4" w:space="0" w:color="auto"/>
              <w:right w:val="single" w:sz="4" w:space="0" w:color="auto"/>
            </w:tcBorders>
            <w:vAlign w:val="center"/>
            <w:hideMark/>
          </w:tcPr>
          <w:p w14:paraId="7A072A8B" w14:textId="77777777" w:rsidR="00D657C7" w:rsidRPr="00F85BD8" w:rsidRDefault="00D657C7">
            <w:pPr>
              <w:autoSpaceDE w:val="0"/>
              <w:autoSpaceDN w:val="0"/>
              <w:adjustRightInd w:val="0"/>
              <w:jc w:val="center"/>
              <w:rPr>
                <w:sz w:val="24"/>
                <w:szCs w:val="24"/>
              </w:rPr>
            </w:pPr>
            <w:r w:rsidRPr="00F85BD8">
              <w:rPr>
                <w:sz w:val="24"/>
                <w:szCs w:val="24"/>
              </w:rPr>
              <w:t>22.2%</w:t>
            </w:r>
          </w:p>
        </w:tc>
      </w:tr>
      <w:tr w:rsidR="00D657C7" w:rsidRPr="00F85BD8" w14:paraId="3A2DCFB6" w14:textId="77777777" w:rsidTr="00BF087A">
        <w:tc>
          <w:tcPr>
            <w:tcW w:w="850" w:type="pct"/>
            <w:tcBorders>
              <w:top w:val="single" w:sz="4" w:space="0" w:color="auto"/>
              <w:left w:val="single" w:sz="4" w:space="0" w:color="auto"/>
              <w:bottom w:val="single" w:sz="4" w:space="0" w:color="auto"/>
              <w:right w:val="single" w:sz="4" w:space="0" w:color="auto"/>
            </w:tcBorders>
            <w:hideMark/>
          </w:tcPr>
          <w:p w14:paraId="69807A4F" w14:textId="77777777" w:rsidR="00D657C7" w:rsidRPr="00F85BD8" w:rsidRDefault="00D657C7">
            <w:pPr>
              <w:autoSpaceDE w:val="0"/>
              <w:autoSpaceDN w:val="0"/>
              <w:adjustRightInd w:val="0"/>
              <w:rPr>
                <w:sz w:val="24"/>
                <w:szCs w:val="24"/>
              </w:rPr>
            </w:pPr>
            <w:r w:rsidRPr="00F85BD8">
              <w:rPr>
                <w:sz w:val="24"/>
                <w:szCs w:val="24"/>
              </w:rPr>
              <w:t xml:space="preserve">Diarrhoea leading to </w:t>
            </w:r>
            <w:proofErr w:type="spellStart"/>
            <w:r w:rsidRPr="00F85BD8">
              <w:rPr>
                <w:sz w:val="24"/>
                <w:szCs w:val="24"/>
              </w:rPr>
              <w:t>nintedanib</w:t>
            </w:r>
            <w:proofErr w:type="spellEnd"/>
            <w:r w:rsidRPr="00F85BD8">
              <w:rPr>
                <w:sz w:val="24"/>
                <w:szCs w:val="24"/>
              </w:rPr>
              <w:t xml:space="preserve"> discontinuation</w:t>
            </w:r>
          </w:p>
        </w:tc>
        <w:tc>
          <w:tcPr>
            <w:tcW w:w="691" w:type="pct"/>
            <w:tcBorders>
              <w:top w:val="single" w:sz="4" w:space="0" w:color="auto"/>
              <w:left w:val="single" w:sz="4" w:space="0" w:color="auto"/>
              <w:bottom w:val="single" w:sz="4" w:space="0" w:color="auto"/>
              <w:right w:val="single" w:sz="4" w:space="0" w:color="auto"/>
            </w:tcBorders>
            <w:vAlign w:val="center"/>
            <w:hideMark/>
          </w:tcPr>
          <w:p w14:paraId="00E11E44" w14:textId="77777777" w:rsidR="00D657C7" w:rsidRPr="00F85BD8" w:rsidRDefault="00D657C7">
            <w:pPr>
              <w:autoSpaceDE w:val="0"/>
              <w:autoSpaceDN w:val="0"/>
              <w:adjustRightInd w:val="0"/>
              <w:jc w:val="center"/>
              <w:rPr>
                <w:sz w:val="24"/>
                <w:szCs w:val="24"/>
              </w:rPr>
            </w:pPr>
            <w:r w:rsidRPr="00F85BD8">
              <w:rPr>
                <w:sz w:val="24"/>
                <w:szCs w:val="24"/>
              </w:rPr>
              <w:t>0.2%</w:t>
            </w:r>
          </w:p>
        </w:tc>
        <w:tc>
          <w:tcPr>
            <w:tcW w:w="691" w:type="pct"/>
            <w:tcBorders>
              <w:top w:val="single" w:sz="4" w:space="0" w:color="auto"/>
              <w:left w:val="single" w:sz="4" w:space="0" w:color="auto"/>
              <w:bottom w:val="single" w:sz="4" w:space="0" w:color="auto"/>
              <w:right w:val="single" w:sz="4" w:space="0" w:color="auto"/>
            </w:tcBorders>
            <w:vAlign w:val="center"/>
            <w:hideMark/>
          </w:tcPr>
          <w:p w14:paraId="5752C9F4" w14:textId="77777777" w:rsidR="00D657C7" w:rsidRPr="00F85BD8" w:rsidRDefault="00D657C7">
            <w:pPr>
              <w:autoSpaceDE w:val="0"/>
              <w:autoSpaceDN w:val="0"/>
              <w:adjustRightInd w:val="0"/>
              <w:jc w:val="center"/>
              <w:rPr>
                <w:sz w:val="24"/>
                <w:szCs w:val="24"/>
              </w:rPr>
            </w:pPr>
            <w:r w:rsidRPr="00F85BD8">
              <w:rPr>
                <w:sz w:val="24"/>
                <w:szCs w:val="24"/>
              </w:rPr>
              <w:t>4.4%</w:t>
            </w:r>
          </w:p>
        </w:tc>
        <w:tc>
          <w:tcPr>
            <w:tcW w:w="691" w:type="pct"/>
            <w:tcBorders>
              <w:top w:val="single" w:sz="4" w:space="0" w:color="auto"/>
              <w:left w:val="single" w:sz="4" w:space="0" w:color="auto"/>
              <w:bottom w:val="single" w:sz="4" w:space="0" w:color="auto"/>
              <w:right w:val="single" w:sz="4" w:space="0" w:color="auto"/>
            </w:tcBorders>
            <w:vAlign w:val="center"/>
            <w:hideMark/>
          </w:tcPr>
          <w:p w14:paraId="1E1A78C6" w14:textId="77777777" w:rsidR="00D657C7" w:rsidRPr="00F85BD8" w:rsidRDefault="00D657C7">
            <w:pPr>
              <w:autoSpaceDE w:val="0"/>
              <w:autoSpaceDN w:val="0"/>
              <w:adjustRightInd w:val="0"/>
              <w:jc w:val="center"/>
              <w:rPr>
                <w:sz w:val="24"/>
                <w:szCs w:val="24"/>
              </w:rPr>
            </w:pPr>
            <w:r w:rsidRPr="00F85BD8">
              <w:rPr>
                <w:sz w:val="24"/>
                <w:szCs w:val="24"/>
              </w:rPr>
              <w:t>0.3%</w:t>
            </w:r>
          </w:p>
        </w:tc>
        <w:tc>
          <w:tcPr>
            <w:tcW w:w="693" w:type="pct"/>
            <w:tcBorders>
              <w:top w:val="single" w:sz="4" w:space="0" w:color="auto"/>
              <w:left w:val="single" w:sz="4" w:space="0" w:color="auto"/>
              <w:bottom w:val="single" w:sz="4" w:space="0" w:color="auto"/>
              <w:right w:val="single" w:sz="4" w:space="0" w:color="auto"/>
            </w:tcBorders>
            <w:vAlign w:val="center"/>
            <w:hideMark/>
          </w:tcPr>
          <w:p w14:paraId="78980EC8" w14:textId="77777777" w:rsidR="00D657C7" w:rsidRPr="00F85BD8" w:rsidRDefault="00D657C7">
            <w:pPr>
              <w:autoSpaceDE w:val="0"/>
              <w:autoSpaceDN w:val="0"/>
              <w:adjustRightInd w:val="0"/>
              <w:jc w:val="center"/>
              <w:rPr>
                <w:sz w:val="24"/>
                <w:szCs w:val="24"/>
              </w:rPr>
            </w:pPr>
            <w:r w:rsidRPr="00F85BD8">
              <w:rPr>
                <w:sz w:val="24"/>
                <w:szCs w:val="24"/>
              </w:rPr>
              <w:t>5.7%</w:t>
            </w:r>
          </w:p>
        </w:tc>
        <w:tc>
          <w:tcPr>
            <w:tcW w:w="693" w:type="pct"/>
            <w:tcBorders>
              <w:top w:val="single" w:sz="4" w:space="0" w:color="auto"/>
              <w:left w:val="single" w:sz="4" w:space="0" w:color="auto"/>
              <w:bottom w:val="single" w:sz="4" w:space="0" w:color="auto"/>
              <w:right w:val="single" w:sz="4" w:space="0" w:color="auto"/>
            </w:tcBorders>
            <w:vAlign w:val="center"/>
            <w:hideMark/>
          </w:tcPr>
          <w:p w14:paraId="7C7BFA1A" w14:textId="77777777" w:rsidR="00D657C7" w:rsidRPr="00F85BD8" w:rsidRDefault="00D657C7">
            <w:pPr>
              <w:autoSpaceDE w:val="0"/>
              <w:autoSpaceDN w:val="0"/>
              <w:adjustRightInd w:val="0"/>
              <w:jc w:val="center"/>
              <w:rPr>
                <w:sz w:val="24"/>
                <w:szCs w:val="24"/>
              </w:rPr>
            </w:pPr>
            <w:r w:rsidRPr="00F85BD8">
              <w:rPr>
                <w:sz w:val="24"/>
                <w:szCs w:val="24"/>
              </w:rPr>
              <w:t>0.3%</w:t>
            </w:r>
          </w:p>
        </w:tc>
        <w:tc>
          <w:tcPr>
            <w:tcW w:w="692" w:type="pct"/>
            <w:tcBorders>
              <w:top w:val="single" w:sz="4" w:space="0" w:color="auto"/>
              <w:left w:val="single" w:sz="4" w:space="0" w:color="auto"/>
              <w:bottom w:val="single" w:sz="4" w:space="0" w:color="auto"/>
              <w:right w:val="single" w:sz="4" w:space="0" w:color="auto"/>
            </w:tcBorders>
            <w:vAlign w:val="center"/>
            <w:hideMark/>
          </w:tcPr>
          <w:p w14:paraId="3B36A391" w14:textId="77777777" w:rsidR="00D657C7" w:rsidRPr="00F85BD8" w:rsidRDefault="00D657C7">
            <w:pPr>
              <w:autoSpaceDE w:val="0"/>
              <w:autoSpaceDN w:val="0"/>
              <w:adjustRightInd w:val="0"/>
              <w:jc w:val="center"/>
              <w:rPr>
                <w:sz w:val="24"/>
                <w:szCs w:val="24"/>
              </w:rPr>
            </w:pPr>
            <w:r w:rsidRPr="00F85BD8">
              <w:rPr>
                <w:sz w:val="24"/>
                <w:szCs w:val="24"/>
              </w:rPr>
              <w:t>6.9%</w:t>
            </w:r>
          </w:p>
        </w:tc>
      </w:tr>
    </w:tbl>
    <w:p w14:paraId="0A865163" w14:textId="77777777" w:rsidR="00D657C7" w:rsidRPr="00F85BD8" w:rsidRDefault="00D657C7" w:rsidP="00D657C7">
      <w:pPr>
        <w:autoSpaceDE w:val="0"/>
        <w:autoSpaceDN w:val="0"/>
        <w:adjustRightInd w:val="0"/>
        <w:jc w:val="both"/>
        <w:rPr>
          <w:sz w:val="24"/>
          <w:szCs w:val="24"/>
          <w:lang w:val="en-GB" w:eastAsia="en-US"/>
        </w:rPr>
      </w:pPr>
    </w:p>
    <w:p w14:paraId="5DECF564" w14:textId="77777777" w:rsidR="00D657C7" w:rsidRPr="00F85BD8" w:rsidRDefault="00D657C7" w:rsidP="00BF087A">
      <w:pPr>
        <w:ind w:left="851"/>
        <w:rPr>
          <w:i/>
          <w:sz w:val="24"/>
          <w:szCs w:val="24"/>
        </w:rPr>
      </w:pPr>
      <w:proofErr w:type="spellStart"/>
      <w:r w:rsidRPr="00F85BD8">
        <w:rPr>
          <w:i/>
          <w:sz w:val="24"/>
          <w:szCs w:val="24"/>
        </w:rPr>
        <w:t>Hepatic</w:t>
      </w:r>
      <w:proofErr w:type="spellEnd"/>
      <w:r w:rsidRPr="00F85BD8">
        <w:rPr>
          <w:i/>
          <w:sz w:val="24"/>
          <w:szCs w:val="24"/>
        </w:rPr>
        <w:t xml:space="preserve"> </w:t>
      </w:r>
      <w:proofErr w:type="spellStart"/>
      <w:r w:rsidRPr="00F85BD8">
        <w:rPr>
          <w:i/>
          <w:sz w:val="24"/>
          <w:szCs w:val="24"/>
        </w:rPr>
        <w:t>enzyme</w:t>
      </w:r>
      <w:proofErr w:type="spellEnd"/>
      <w:r w:rsidRPr="00F85BD8">
        <w:rPr>
          <w:i/>
          <w:sz w:val="24"/>
          <w:szCs w:val="24"/>
        </w:rPr>
        <w:t xml:space="preserve"> </w:t>
      </w:r>
      <w:proofErr w:type="spellStart"/>
      <w:r w:rsidRPr="00F85BD8">
        <w:rPr>
          <w:i/>
          <w:sz w:val="24"/>
          <w:szCs w:val="24"/>
        </w:rPr>
        <w:t>increased</w:t>
      </w:r>
      <w:proofErr w:type="spellEnd"/>
    </w:p>
    <w:p w14:paraId="668EE088" w14:textId="77777777" w:rsidR="00D657C7" w:rsidRPr="00F85BD8" w:rsidRDefault="00D657C7" w:rsidP="00BF087A">
      <w:pPr>
        <w:ind w:left="851"/>
        <w:rPr>
          <w:sz w:val="24"/>
          <w:szCs w:val="24"/>
          <w:lang w:val="en-US"/>
        </w:rPr>
      </w:pPr>
      <w:r w:rsidRPr="00F85BD8">
        <w:rPr>
          <w:sz w:val="24"/>
          <w:szCs w:val="24"/>
          <w:lang w:val="en-US"/>
        </w:rPr>
        <w:t xml:space="preserve">In the INPULSIS trials, liver enzyme elevations (see section 4.4) were reported in 13.6% versus 2.6% of patients treated with </w:t>
      </w:r>
      <w:proofErr w:type="spellStart"/>
      <w:r w:rsidRPr="00F85BD8">
        <w:rPr>
          <w:sz w:val="24"/>
          <w:szCs w:val="24"/>
          <w:lang w:val="en-US"/>
        </w:rPr>
        <w:t>nintedanib</w:t>
      </w:r>
      <w:proofErr w:type="spellEnd"/>
      <w:r w:rsidRPr="00F85BD8">
        <w:rPr>
          <w:sz w:val="24"/>
          <w:szCs w:val="24"/>
          <w:lang w:val="en-US"/>
        </w:rPr>
        <w:t xml:space="preserve"> and placebo, respectively. In the INBUILD trial, liver enzyme elevations were reported in 22.6% versus 5.7% of patients treated with </w:t>
      </w:r>
      <w:proofErr w:type="spellStart"/>
      <w:r w:rsidRPr="00F85BD8">
        <w:rPr>
          <w:sz w:val="24"/>
          <w:szCs w:val="24"/>
          <w:lang w:val="en-US"/>
        </w:rPr>
        <w:t>nintedanib</w:t>
      </w:r>
      <w:proofErr w:type="spellEnd"/>
      <w:r w:rsidRPr="00F85BD8">
        <w:rPr>
          <w:sz w:val="24"/>
          <w:szCs w:val="24"/>
          <w:lang w:val="en-US"/>
        </w:rPr>
        <w:t xml:space="preserve"> and placebo, respectively. In the SENSCIS trial, liver enzyme elevations were reported in 13.2% versus 3.1% of patients treated with </w:t>
      </w:r>
      <w:proofErr w:type="spellStart"/>
      <w:r w:rsidRPr="00F85BD8">
        <w:rPr>
          <w:sz w:val="24"/>
          <w:szCs w:val="24"/>
          <w:lang w:val="en-US"/>
        </w:rPr>
        <w:t>nintedanib</w:t>
      </w:r>
      <w:proofErr w:type="spellEnd"/>
      <w:r w:rsidRPr="00F85BD8">
        <w:rPr>
          <w:sz w:val="24"/>
          <w:szCs w:val="24"/>
          <w:lang w:val="en-US"/>
        </w:rPr>
        <w:t xml:space="preserve"> and placebo, respectively. Elevations of liver enzymes were reversible and not associated with clinically manifest liver disease.</w:t>
      </w:r>
    </w:p>
    <w:p w14:paraId="1248AE21" w14:textId="77777777" w:rsidR="00D657C7" w:rsidRPr="00F85BD8" w:rsidRDefault="00D657C7" w:rsidP="00BF087A">
      <w:pPr>
        <w:ind w:left="851"/>
        <w:rPr>
          <w:sz w:val="24"/>
          <w:szCs w:val="24"/>
          <w:lang w:val="en-US"/>
        </w:rPr>
      </w:pPr>
      <w:r w:rsidRPr="00F85BD8">
        <w:rPr>
          <w:sz w:val="24"/>
          <w:szCs w:val="24"/>
          <w:lang w:val="en-US"/>
        </w:rPr>
        <w:t xml:space="preserve">For further information about special populations, recommended measures and dosing adjustments in case of </w:t>
      </w:r>
      <w:proofErr w:type="spellStart"/>
      <w:r w:rsidRPr="00F85BD8">
        <w:rPr>
          <w:sz w:val="24"/>
          <w:szCs w:val="24"/>
          <w:lang w:val="en-US"/>
        </w:rPr>
        <w:t>diarrhoea</w:t>
      </w:r>
      <w:proofErr w:type="spellEnd"/>
      <w:r w:rsidRPr="00F85BD8">
        <w:rPr>
          <w:sz w:val="24"/>
          <w:szCs w:val="24"/>
          <w:lang w:val="en-US"/>
        </w:rPr>
        <w:t xml:space="preserve"> and hepatic enzyme increased, refer additionally to sections 4.4 and 4.2, respectively.</w:t>
      </w:r>
    </w:p>
    <w:p w14:paraId="094CF0F9" w14:textId="77777777" w:rsidR="00D657C7" w:rsidRPr="00F85BD8" w:rsidRDefault="00D657C7" w:rsidP="00BF087A">
      <w:pPr>
        <w:ind w:left="851"/>
        <w:rPr>
          <w:sz w:val="24"/>
          <w:szCs w:val="24"/>
          <w:lang w:val="en-US"/>
        </w:rPr>
      </w:pPr>
    </w:p>
    <w:p w14:paraId="67C530C9" w14:textId="77777777" w:rsidR="00D657C7" w:rsidRPr="00F85BD8" w:rsidRDefault="00D657C7" w:rsidP="00BF087A">
      <w:pPr>
        <w:ind w:left="851"/>
        <w:rPr>
          <w:i/>
          <w:sz w:val="24"/>
          <w:szCs w:val="24"/>
          <w:lang w:val="en-US"/>
        </w:rPr>
      </w:pPr>
      <w:r w:rsidRPr="00F85BD8">
        <w:rPr>
          <w:i/>
          <w:sz w:val="24"/>
          <w:szCs w:val="24"/>
          <w:lang w:val="en-US"/>
        </w:rPr>
        <w:t>Bleeding</w:t>
      </w:r>
    </w:p>
    <w:p w14:paraId="12ED6EEE" w14:textId="77777777" w:rsidR="00D657C7" w:rsidRPr="00F85BD8" w:rsidRDefault="00D657C7" w:rsidP="00BF087A">
      <w:pPr>
        <w:ind w:left="851"/>
        <w:rPr>
          <w:sz w:val="24"/>
          <w:szCs w:val="24"/>
          <w:lang w:val="en-US"/>
        </w:rPr>
      </w:pPr>
      <w:r w:rsidRPr="00F85BD8">
        <w:rPr>
          <w:sz w:val="24"/>
          <w:szCs w:val="24"/>
          <w:lang w:val="en-US"/>
        </w:rPr>
        <w:t xml:space="preserve">In clinical trials, the frequency of patients who experienced bleeding was slightly higher in patients treated with </w:t>
      </w:r>
      <w:proofErr w:type="spellStart"/>
      <w:r w:rsidRPr="00F85BD8">
        <w:rPr>
          <w:sz w:val="24"/>
          <w:szCs w:val="24"/>
          <w:lang w:val="en-US"/>
        </w:rPr>
        <w:t>nintedanib</w:t>
      </w:r>
      <w:proofErr w:type="spellEnd"/>
      <w:r w:rsidRPr="00F85BD8">
        <w:rPr>
          <w:sz w:val="24"/>
          <w:szCs w:val="24"/>
          <w:lang w:val="en-US"/>
        </w:rPr>
        <w:t xml:space="preserve"> or comparable between the treatment arms (</w:t>
      </w:r>
      <w:proofErr w:type="spellStart"/>
      <w:r w:rsidRPr="00F85BD8">
        <w:rPr>
          <w:sz w:val="24"/>
          <w:szCs w:val="24"/>
          <w:lang w:val="en-US"/>
        </w:rPr>
        <w:t>nintedanib</w:t>
      </w:r>
      <w:proofErr w:type="spellEnd"/>
      <w:r w:rsidRPr="00F85BD8">
        <w:rPr>
          <w:sz w:val="24"/>
          <w:szCs w:val="24"/>
          <w:lang w:val="en-US"/>
        </w:rPr>
        <w:t xml:space="preserve"> 10.3% versus placebo 7.8% for INPULSIS; </w:t>
      </w:r>
      <w:proofErr w:type="spellStart"/>
      <w:r w:rsidRPr="00F85BD8">
        <w:rPr>
          <w:sz w:val="24"/>
          <w:szCs w:val="24"/>
          <w:lang w:val="en-US"/>
        </w:rPr>
        <w:t>nintedanib</w:t>
      </w:r>
      <w:proofErr w:type="spellEnd"/>
      <w:r w:rsidRPr="00F85BD8">
        <w:rPr>
          <w:sz w:val="24"/>
          <w:szCs w:val="24"/>
          <w:lang w:val="en-US"/>
        </w:rPr>
        <w:t xml:space="preserve"> 11.1% versus placebo 12.7% for INBUILD; </w:t>
      </w:r>
      <w:proofErr w:type="spellStart"/>
      <w:r w:rsidRPr="00F85BD8">
        <w:rPr>
          <w:sz w:val="24"/>
          <w:szCs w:val="24"/>
          <w:lang w:val="en-US"/>
        </w:rPr>
        <w:t>nintedanib</w:t>
      </w:r>
      <w:proofErr w:type="spellEnd"/>
      <w:r w:rsidRPr="00F85BD8">
        <w:rPr>
          <w:sz w:val="24"/>
          <w:szCs w:val="24"/>
          <w:lang w:val="en-US"/>
        </w:rPr>
        <w:t xml:space="preserve"> 11.1% versus placebo 8.3% for SENSCIS). Non-serious epistaxis was the most frequent bleeding event reported. Serious bleeding events occurred with low frequencies in the 2 treatment groups (</w:t>
      </w:r>
      <w:proofErr w:type="spellStart"/>
      <w:r w:rsidRPr="00F85BD8">
        <w:rPr>
          <w:sz w:val="24"/>
          <w:szCs w:val="24"/>
          <w:lang w:val="en-US"/>
        </w:rPr>
        <w:t>nintedanib</w:t>
      </w:r>
      <w:proofErr w:type="spellEnd"/>
      <w:r w:rsidRPr="00F85BD8">
        <w:rPr>
          <w:sz w:val="24"/>
          <w:szCs w:val="24"/>
          <w:lang w:val="en-US"/>
        </w:rPr>
        <w:t xml:space="preserve"> 1.3% versus placebo 1.4% for INPULSIS; </w:t>
      </w:r>
      <w:proofErr w:type="spellStart"/>
      <w:r w:rsidRPr="00F85BD8">
        <w:rPr>
          <w:sz w:val="24"/>
          <w:szCs w:val="24"/>
          <w:lang w:val="en-US"/>
        </w:rPr>
        <w:t>nintedanib</w:t>
      </w:r>
      <w:proofErr w:type="spellEnd"/>
      <w:r w:rsidRPr="00F85BD8">
        <w:rPr>
          <w:sz w:val="24"/>
          <w:szCs w:val="24"/>
          <w:lang w:val="en-US"/>
        </w:rPr>
        <w:t xml:space="preserve"> 0.9% versus placebo 1.5% for INBUILD; </w:t>
      </w:r>
      <w:proofErr w:type="spellStart"/>
      <w:r w:rsidRPr="00F85BD8">
        <w:rPr>
          <w:sz w:val="24"/>
          <w:szCs w:val="24"/>
          <w:lang w:val="en-US"/>
        </w:rPr>
        <w:t>nintedanib</w:t>
      </w:r>
      <w:proofErr w:type="spellEnd"/>
      <w:r w:rsidRPr="00F85BD8">
        <w:rPr>
          <w:sz w:val="24"/>
          <w:szCs w:val="24"/>
          <w:lang w:val="en-US"/>
        </w:rPr>
        <w:t xml:space="preserve"> 1.4% versus placebo 0.7% for SENSCIS).</w:t>
      </w:r>
    </w:p>
    <w:p w14:paraId="39C5671E" w14:textId="77777777" w:rsidR="00D657C7" w:rsidRPr="00F85BD8" w:rsidRDefault="00D657C7" w:rsidP="00BF087A">
      <w:pPr>
        <w:ind w:left="851"/>
        <w:rPr>
          <w:sz w:val="24"/>
          <w:szCs w:val="24"/>
          <w:lang w:val="en-US"/>
        </w:rPr>
      </w:pPr>
      <w:r w:rsidRPr="00F85BD8">
        <w:rPr>
          <w:sz w:val="24"/>
          <w:szCs w:val="24"/>
          <w:lang w:val="en-US"/>
        </w:rPr>
        <w:t>Post-marketing bleeding events include but are not limited to gastrointestinal, respiratory and central nervous organ systems, with the most frequent being gastrointestinal (see section 4.4).</w:t>
      </w:r>
    </w:p>
    <w:p w14:paraId="6511CEC0" w14:textId="77777777" w:rsidR="00D657C7" w:rsidRPr="00F85BD8" w:rsidRDefault="00D657C7" w:rsidP="00BF087A">
      <w:pPr>
        <w:ind w:left="851"/>
        <w:rPr>
          <w:sz w:val="24"/>
          <w:szCs w:val="24"/>
          <w:lang w:val="en-US"/>
        </w:rPr>
      </w:pPr>
    </w:p>
    <w:p w14:paraId="77358851" w14:textId="77777777" w:rsidR="00D657C7" w:rsidRPr="00F85BD8" w:rsidRDefault="00D657C7" w:rsidP="00BF087A">
      <w:pPr>
        <w:ind w:left="851"/>
        <w:rPr>
          <w:i/>
          <w:sz w:val="24"/>
          <w:szCs w:val="24"/>
          <w:lang w:val="en-US"/>
        </w:rPr>
      </w:pPr>
      <w:r w:rsidRPr="00F85BD8">
        <w:rPr>
          <w:i/>
          <w:sz w:val="24"/>
          <w:szCs w:val="24"/>
          <w:lang w:val="en-US"/>
        </w:rPr>
        <w:t>Proteinuria</w:t>
      </w:r>
    </w:p>
    <w:p w14:paraId="5BBB9332" w14:textId="77777777" w:rsidR="00D657C7" w:rsidRPr="00F85BD8" w:rsidRDefault="00D657C7" w:rsidP="00BF087A">
      <w:pPr>
        <w:ind w:left="851"/>
        <w:rPr>
          <w:sz w:val="24"/>
          <w:szCs w:val="24"/>
          <w:lang w:val="en-US"/>
        </w:rPr>
      </w:pPr>
      <w:r w:rsidRPr="00F85BD8">
        <w:rPr>
          <w:sz w:val="24"/>
          <w:szCs w:val="24"/>
          <w:lang w:val="en-US"/>
        </w:rPr>
        <w:t>In clinical trials, the frequency of patients who experienced proteinuria was low and comparable between the treatment arms (</w:t>
      </w:r>
      <w:proofErr w:type="spellStart"/>
      <w:r w:rsidRPr="00F85BD8">
        <w:rPr>
          <w:sz w:val="24"/>
          <w:szCs w:val="24"/>
          <w:lang w:val="en-US"/>
        </w:rPr>
        <w:t>nintedanib</w:t>
      </w:r>
      <w:proofErr w:type="spellEnd"/>
      <w:r w:rsidRPr="00F85BD8">
        <w:rPr>
          <w:sz w:val="24"/>
          <w:szCs w:val="24"/>
          <w:lang w:val="en-US"/>
        </w:rPr>
        <w:t xml:space="preserve"> 0.8% versus placebo 0.5% for INPULSIS; </w:t>
      </w:r>
      <w:proofErr w:type="spellStart"/>
      <w:r w:rsidRPr="00F85BD8">
        <w:rPr>
          <w:sz w:val="24"/>
          <w:szCs w:val="24"/>
          <w:lang w:val="en-US"/>
        </w:rPr>
        <w:t>nintedanib</w:t>
      </w:r>
      <w:proofErr w:type="spellEnd"/>
      <w:r w:rsidRPr="00F85BD8">
        <w:rPr>
          <w:sz w:val="24"/>
          <w:szCs w:val="24"/>
          <w:lang w:val="en-US"/>
        </w:rPr>
        <w:t xml:space="preserve"> 1.5% versus placebo 1.8% for INBUILD; </w:t>
      </w:r>
      <w:proofErr w:type="spellStart"/>
      <w:r w:rsidRPr="00F85BD8">
        <w:rPr>
          <w:sz w:val="24"/>
          <w:szCs w:val="24"/>
          <w:lang w:val="en-US"/>
        </w:rPr>
        <w:t>nintedanib</w:t>
      </w:r>
      <w:proofErr w:type="spellEnd"/>
      <w:r w:rsidRPr="00F85BD8">
        <w:rPr>
          <w:sz w:val="24"/>
          <w:szCs w:val="24"/>
          <w:lang w:val="en-US"/>
        </w:rPr>
        <w:t xml:space="preserve"> 1.0% versus placebo 0.0% for SENSCIS). Nephrotic syndrome has not been reported in clinical trials. Very few cases of nephrotic range proteinuria with or without renal function impairment have been reported post-marketing. Histological findings in individual cases were consistent with glomerular microangiopathy with or without renal thrombi. Reversal of the symptoms has been observed after </w:t>
      </w:r>
      <w:proofErr w:type="spellStart"/>
      <w:r w:rsidRPr="00F85BD8">
        <w:rPr>
          <w:sz w:val="24"/>
          <w:szCs w:val="24"/>
          <w:lang w:val="en-US"/>
        </w:rPr>
        <w:t>nintedanib</w:t>
      </w:r>
      <w:proofErr w:type="spellEnd"/>
      <w:r w:rsidRPr="00F85BD8">
        <w:rPr>
          <w:sz w:val="24"/>
          <w:szCs w:val="24"/>
          <w:lang w:val="en-US"/>
        </w:rPr>
        <w:t xml:space="preserve"> was discontinued, with residual proteinuria in some cases. Treatment interruption should be considered in patients who develop signs or symptoms of nephrotic syndrome (see section 4.4). </w:t>
      </w:r>
    </w:p>
    <w:p w14:paraId="460AC419" w14:textId="77777777" w:rsidR="00D657C7" w:rsidRPr="00F85BD8" w:rsidRDefault="00D657C7" w:rsidP="00BF087A">
      <w:pPr>
        <w:ind w:left="851"/>
        <w:rPr>
          <w:sz w:val="24"/>
          <w:szCs w:val="24"/>
          <w:lang w:val="en-US"/>
        </w:rPr>
      </w:pPr>
    </w:p>
    <w:p w14:paraId="2611D23E" w14:textId="77777777" w:rsidR="00D657C7" w:rsidRPr="00F85BD8" w:rsidRDefault="00D657C7" w:rsidP="00BF087A">
      <w:pPr>
        <w:ind w:left="851"/>
        <w:rPr>
          <w:sz w:val="24"/>
          <w:szCs w:val="24"/>
          <w:u w:val="single"/>
          <w:lang w:val="en-US"/>
        </w:rPr>
      </w:pPr>
      <w:r w:rsidRPr="00F85BD8">
        <w:rPr>
          <w:sz w:val="24"/>
          <w:szCs w:val="24"/>
          <w:u w:val="single"/>
          <w:lang w:val="en-US"/>
        </w:rPr>
        <w:t>Paediatric population</w:t>
      </w:r>
    </w:p>
    <w:p w14:paraId="14BB623A" w14:textId="77777777" w:rsidR="00D657C7" w:rsidRPr="00F85BD8" w:rsidRDefault="00D657C7" w:rsidP="00BF087A">
      <w:pPr>
        <w:ind w:left="851"/>
        <w:rPr>
          <w:sz w:val="24"/>
          <w:szCs w:val="24"/>
          <w:lang w:val="en-US"/>
        </w:rPr>
      </w:pPr>
      <w:r w:rsidRPr="00F85BD8">
        <w:rPr>
          <w:sz w:val="24"/>
          <w:szCs w:val="24"/>
          <w:lang w:val="en-US"/>
        </w:rPr>
        <w:t xml:space="preserve">There are limited safety data for </w:t>
      </w:r>
      <w:proofErr w:type="spellStart"/>
      <w:r w:rsidRPr="00F85BD8">
        <w:rPr>
          <w:sz w:val="24"/>
          <w:szCs w:val="24"/>
          <w:lang w:val="en-US"/>
        </w:rPr>
        <w:t>nintedanib</w:t>
      </w:r>
      <w:proofErr w:type="spellEnd"/>
      <w:r w:rsidRPr="00F85BD8">
        <w:rPr>
          <w:sz w:val="24"/>
          <w:szCs w:val="24"/>
          <w:lang w:val="en-US"/>
        </w:rPr>
        <w:t xml:space="preserve"> in pediatric patients.</w:t>
      </w:r>
    </w:p>
    <w:p w14:paraId="73B40C68" w14:textId="77777777" w:rsidR="00D657C7" w:rsidRPr="00F85BD8" w:rsidRDefault="00D657C7" w:rsidP="00BF087A">
      <w:pPr>
        <w:ind w:left="851"/>
        <w:rPr>
          <w:sz w:val="24"/>
          <w:szCs w:val="24"/>
          <w:lang w:val="en-US"/>
        </w:rPr>
      </w:pPr>
      <w:r w:rsidRPr="00F85BD8">
        <w:rPr>
          <w:sz w:val="24"/>
          <w:szCs w:val="24"/>
          <w:lang w:val="en-US"/>
        </w:rPr>
        <w:t xml:space="preserve">A total of 39 patients aged 6 to 17 years were treated in a </w:t>
      </w:r>
      <w:proofErr w:type="spellStart"/>
      <w:r w:rsidRPr="00F85BD8">
        <w:rPr>
          <w:sz w:val="24"/>
          <w:szCs w:val="24"/>
          <w:lang w:val="en-US"/>
        </w:rPr>
        <w:t>randomised</w:t>
      </w:r>
      <w:proofErr w:type="spellEnd"/>
      <w:r w:rsidRPr="00F85BD8">
        <w:rPr>
          <w:sz w:val="24"/>
          <w:szCs w:val="24"/>
          <w:lang w:val="en-US"/>
        </w:rPr>
        <w:t xml:space="preserve">, double-blind, </w:t>
      </w:r>
      <w:proofErr w:type="gramStart"/>
      <w:r w:rsidRPr="00F85BD8">
        <w:rPr>
          <w:sz w:val="24"/>
          <w:szCs w:val="24"/>
          <w:lang w:val="en-US"/>
        </w:rPr>
        <w:t>placebo controlled</w:t>
      </w:r>
      <w:proofErr w:type="gramEnd"/>
      <w:r w:rsidRPr="00F85BD8">
        <w:rPr>
          <w:sz w:val="24"/>
          <w:szCs w:val="24"/>
          <w:lang w:val="en-US"/>
        </w:rPr>
        <w:t xml:space="preserve"> trial of 24 weeks duration, followed by open label treatment with </w:t>
      </w:r>
      <w:proofErr w:type="spellStart"/>
      <w:r w:rsidRPr="00F85BD8">
        <w:rPr>
          <w:sz w:val="24"/>
          <w:szCs w:val="24"/>
          <w:lang w:val="en-US"/>
        </w:rPr>
        <w:t>nintedanib</w:t>
      </w:r>
      <w:proofErr w:type="spellEnd"/>
      <w:r w:rsidRPr="00F85BD8">
        <w:rPr>
          <w:sz w:val="24"/>
          <w:szCs w:val="24"/>
          <w:lang w:val="en-US"/>
        </w:rPr>
        <w:t xml:space="preserve"> of variable duration (see section 5.1). Consistent with the safety profile seen in adult patients with IPF, other chronic fibrosing ILDs with progressive phenotype and </w:t>
      </w:r>
      <w:proofErr w:type="spellStart"/>
      <w:r w:rsidRPr="00F85BD8">
        <w:rPr>
          <w:sz w:val="24"/>
          <w:szCs w:val="24"/>
          <w:lang w:val="en-US"/>
        </w:rPr>
        <w:t>SSc</w:t>
      </w:r>
      <w:proofErr w:type="spellEnd"/>
      <w:r w:rsidRPr="00F85BD8">
        <w:rPr>
          <w:sz w:val="24"/>
          <w:szCs w:val="24"/>
          <w:lang w:val="en-US"/>
        </w:rPr>
        <w:noBreakHyphen/>
        <w:t xml:space="preserve">ILD, the most frequently reported adverse reactions with </w:t>
      </w:r>
      <w:proofErr w:type="spellStart"/>
      <w:r w:rsidRPr="00F85BD8">
        <w:rPr>
          <w:sz w:val="24"/>
          <w:szCs w:val="24"/>
          <w:lang w:val="en-US"/>
        </w:rPr>
        <w:t>nintedanib</w:t>
      </w:r>
      <w:proofErr w:type="spellEnd"/>
      <w:r w:rsidRPr="00F85BD8">
        <w:rPr>
          <w:sz w:val="24"/>
          <w:szCs w:val="24"/>
          <w:lang w:val="en-US"/>
        </w:rPr>
        <w:t xml:space="preserve"> during placebo-controlled period were </w:t>
      </w:r>
      <w:proofErr w:type="spellStart"/>
      <w:r w:rsidRPr="00F85BD8">
        <w:rPr>
          <w:sz w:val="24"/>
          <w:szCs w:val="24"/>
          <w:lang w:val="en-US"/>
        </w:rPr>
        <w:t>diarrhoea</w:t>
      </w:r>
      <w:proofErr w:type="spellEnd"/>
      <w:r w:rsidRPr="00F85BD8">
        <w:rPr>
          <w:sz w:val="24"/>
          <w:szCs w:val="24"/>
          <w:lang w:val="en-US"/>
        </w:rPr>
        <w:t xml:space="preserve"> (38.5%), vomiting (26.9%), nausea (19.2%), abdominal pain (19.2%), and headache (11.5%). </w:t>
      </w:r>
    </w:p>
    <w:p w14:paraId="5D4CDA9B" w14:textId="77777777" w:rsidR="00D657C7" w:rsidRPr="00F85BD8" w:rsidRDefault="00D657C7" w:rsidP="00BF087A">
      <w:pPr>
        <w:ind w:left="851"/>
        <w:rPr>
          <w:sz w:val="24"/>
          <w:szCs w:val="24"/>
          <w:lang w:val="en-US"/>
        </w:rPr>
      </w:pPr>
    </w:p>
    <w:p w14:paraId="686B4AA4" w14:textId="77777777" w:rsidR="00D657C7" w:rsidRPr="00F85BD8" w:rsidRDefault="00D657C7" w:rsidP="00BF087A">
      <w:pPr>
        <w:ind w:left="851"/>
        <w:rPr>
          <w:sz w:val="24"/>
          <w:szCs w:val="24"/>
          <w:lang w:val="en-US"/>
        </w:rPr>
      </w:pPr>
      <w:r w:rsidRPr="00F85BD8">
        <w:rPr>
          <w:sz w:val="24"/>
          <w:szCs w:val="24"/>
          <w:lang w:val="en-US"/>
        </w:rPr>
        <w:t xml:space="preserve">Hepatobiliary disorders reported with </w:t>
      </w:r>
      <w:proofErr w:type="spellStart"/>
      <w:r w:rsidRPr="00F85BD8">
        <w:rPr>
          <w:sz w:val="24"/>
          <w:szCs w:val="24"/>
          <w:lang w:val="en-US"/>
        </w:rPr>
        <w:t>nintedanib</w:t>
      </w:r>
      <w:proofErr w:type="spellEnd"/>
      <w:r w:rsidRPr="00F85BD8">
        <w:rPr>
          <w:sz w:val="24"/>
          <w:szCs w:val="24"/>
          <w:lang w:val="en-US"/>
        </w:rPr>
        <w:t xml:space="preserve"> during placebo-controlled period were liver injury (3.8 %) and increased liver function test (3.8 %). Due to limited data, it is uncertain if the risk for drug-induced liver injury is similar in children as compared to adults (see section 4.4).</w:t>
      </w:r>
    </w:p>
    <w:p w14:paraId="771B69B7" w14:textId="77777777" w:rsidR="00D657C7" w:rsidRPr="00F85BD8" w:rsidRDefault="00D657C7" w:rsidP="00BF087A">
      <w:pPr>
        <w:ind w:left="851"/>
        <w:rPr>
          <w:sz w:val="24"/>
          <w:szCs w:val="24"/>
          <w:lang w:val="en-US"/>
        </w:rPr>
      </w:pPr>
    </w:p>
    <w:p w14:paraId="71B38026" w14:textId="77777777" w:rsidR="00D657C7" w:rsidRPr="00F85BD8" w:rsidRDefault="00D657C7" w:rsidP="00BF087A">
      <w:pPr>
        <w:ind w:left="851"/>
        <w:rPr>
          <w:sz w:val="24"/>
          <w:szCs w:val="24"/>
          <w:lang w:val="en-US"/>
        </w:rPr>
      </w:pPr>
      <w:r w:rsidRPr="00F85BD8">
        <w:rPr>
          <w:sz w:val="24"/>
          <w:szCs w:val="24"/>
          <w:lang w:val="en-US"/>
        </w:rPr>
        <w:t>Based on preclinical findings, bone, growth and teeth development were monitored as potential risks in the paediatric clinical trial (see section 5.3). The potential impact on growth and tooth development is unknown (see section 5.1).</w:t>
      </w:r>
    </w:p>
    <w:p w14:paraId="0E481696" w14:textId="77777777" w:rsidR="00D657C7" w:rsidRPr="00F85BD8" w:rsidRDefault="00D657C7" w:rsidP="00BF087A">
      <w:pPr>
        <w:ind w:left="851"/>
        <w:rPr>
          <w:sz w:val="24"/>
          <w:szCs w:val="24"/>
          <w:lang w:val="en-US"/>
        </w:rPr>
      </w:pPr>
    </w:p>
    <w:p w14:paraId="7E9737CE" w14:textId="77777777" w:rsidR="00D657C7" w:rsidRPr="00F85BD8" w:rsidRDefault="00D657C7" w:rsidP="00BF087A">
      <w:pPr>
        <w:ind w:left="851"/>
        <w:rPr>
          <w:sz w:val="24"/>
          <w:szCs w:val="24"/>
          <w:lang w:val="en-US"/>
        </w:rPr>
      </w:pPr>
      <w:r w:rsidRPr="00F85BD8">
        <w:rPr>
          <w:sz w:val="24"/>
          <w:szCs w:val="24"/>
          <w:lang w:val="en-US"/>
        </w:rPr>
        <w:t>Long term safety data in paediatric patients are not available. There are uncertainties on the potential impact on growth, tooth development, puberty, and the risk of liver injury.</w:t>
      </w:r>
    </w:p>
    <w:p w14:paraId="0A44C656" w14:textId="77777777" w:rsidR="00D657C7" w:rsidRPr="00F85BD8" w:rsidRDefault="00D657C7" w:rsidP="00BF087A">
      <w:pPr>
        <w:ind w:left="851"/>
        <w:rPr>
          <w:sz w:val="24"/>
          <w:szCs w:val="24"/>
          <w:lang w:val="en-US"/>
        </w:rPr>
      </w:pPr>
    </w:p>
    <w:p w14:paraId="47D7AE60" w14:textId="77777777" w:rsidR="00BF087A" w:rsidRPr="00F85BD8" w:rsidRDefault="00BF087A" w:rsidP="00BF087A">
      <w:pPr>
        <w:ind w:left="851"/>
        <w:rPr>
          <w:sz w:val="24"/>
          <w:szCs w:val="24"/>
          <w:u w:val="single"/>
          <w:lang w:val="en-GB"/>
        </w:rPr>
      </w:pPr>
      <w:r w:rsidRPr="00F85BD8">
        <w:rPr>
          <w:sz w:val="24"/>
          <w:szCs w:val="24"/>
          <w:u w:val="single"/>
          <w:lang w:val="en-GB"/>
        </w:rPr>
        <w:t>Reporting of suspected adverse reactions</w:t>
      </w:r>
    </w:p>
    <w:p w14:paraId="384972F1" w14:textId="77777777" w:rsidR="00BF087A" w:rsidRPr="00F85BD8" w:rsidRDefault="00BF087A" w:rsidP="00BF087A">
      <w:pPr>
        <w:ind w:left="851"/>
        <w:rPr>
          <w:sz w:val="24"/>
          <w:szCs w:val="24"/>
          <w:lang w:val="en-GB"/>
        </w:rPr>
      </w:pPr>
      <w:r w:rsidRPr="00F85BD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4CB47C3" w14:textId="77777777" w:rsidR="00BF087A" w:rsidRPr="00F85BD8" w:rsidRDefault="00BF087A" w:rsidP="00BF087A">
      <w:pPr>
        <w:ind w:left="851"/>
        <w:rPr>
          <w:sz w:val="24"/>
          <w:szCs w:val="24"/>
          <w:lang w:val="en-GB"/>
        </w:rPr>
      </w:pPr>
    </w:p>
    <w:p w14:paraId="358CF73B" w14:textId="77777777" w:rsidR="00BF087A" w:rsidRPr="00F85BD8" w:rsidRDefault="00BF087A" w:rsidP="00BF087A">
      <w:pPr>
        <w:ind w:left="851"/>
        <w:rPr>
          <w:sz w:val="24"/>
          <w:szCs w:val="24"/>
        </w:rPr>
      </w:pPr>
      <w:r w:rsidRPr="00F85BD8">
        <w:rPr>
          <w:sz w:val="24"/>
          <w:szCs w:val="24"/>
        </w:rPr>
        <w:t>Lægemiddelstyrelsen</w:t>
      </w:r>
    </w:p>
    <w:p w14:paraId="7BF561C8" w14:textId="77777777" w:rsidR="00BF087A" w:rsidRPr="00F85BD8" w:rsidRDefault="00BF087A" w:rsidP="00BF087A">
      <w:pPr>
        <w:ind w:left="851"/>
        <w:rPr>
          <w:sz w:val="24"/>
          <w:szCs w:val="24"/>
        </w:rPr>
      </w:pPr>
      <w:r w:rsidRPr="00F85BD8">
        <w:rPr>
          <w:sz w:val="24"/>
          <w:szCs w:val="24"/>
        </w:rPr>
        <w:t>Axel Heides Gade 1</w:t>
      </w:r>
    </w:p>
    <w:p w14:paraId="0FB51D36" w14:textId="77777777" w:rsidR="00BF087A" w:rsidRPr="00F85BD8" w:rsidRDefault="00BF087A" w:rsidP="00BF087A">
      <w:pPr>
        <w:ind w:left="851"/>
        <w:rPr>
          <w:sz w:val="24"/>
          <w:szCs w:val="24"/>
        </w:rPr>
      </w:pPr>
      <w:r w:rsidRPr="00F85BD8">
        <w:rPr>
          <w:sz w:val="24"/>
          <w:szCs w:val="24"/>
        </w:rPr>
        <w:t>DK-2300 København S</w:t>
      </w:r>
    </w:p>
    <w:p w14:paraId="322E554B" w14:textId="77777777" w:rsidR="00BF087A" w:rsidRPr="00AE5920" w:rsidRDefault="00BF087A" w:rsidP="00BF087A">
      <w:pPr>
        <w:ind w:left="851"/>
        <w:rPr>
          <w:sz w:val="24"/>
          <w:szCs w:val="24"/>
          <w:lang w:val="en-US"/>
        </w:rPr>
      </w:pPr>
      <w:r w:rsidRPr="00AE5920">
        <w:rPr>
          <w:sz w:val="24"/>
          <w:szCs w:val="24"/>
          <w:lang w:val="en-US"/>
        </w:rPr>
        <w:t>Website: www.meldenbivirkning.dk</w:t>
      </w:r>
    </w:p>
    <w:p w14:paraId="2503C2E2" w14:textId="77777777" w:rsidR="007C5D2A" w:rsidRPr="00F85BD8" w:rsidRDefault="007C5D2A" w:rsidP="007A4CC6">
      <w:pPr>
        <w:tabs>
          <w:tab w:val="left" w:pos="851"/>
        </w:tabs>
        <w:ind w:left="851"/>
        <w:rPr>
          <w:sz w:val="24"/>
          <w:szCs w:val="24"/>
          <w:lang w:val="en-GB"/>
        </w:rPr>
      </w:pPr>
    </w:p>
    <w:p w14:paraId="1C5825F4"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4.9</w:t>
      </w:r>
      <w:r w:rsidRPr="00F85BD8">
        <w:rPr>
          <w:b/>
          <w:sz w:val="24"/>
          <w:szCs w:val="24"/>
          <w:lang w:val="en-GB"/>
        </w:rPr>
        <w:tab/>
        <w:t>Overdose</w:t>
      </w:r>
    </w:p>
    <w:p w14:paraId="79530A39" w14:textId="77777777" w:rsidR="00D657C7" w:rsidRPr="00F85BD8" w:rsidRDefault="00D657C7" w:rsidP="00BF087A">
      <w:pPr>
        <w:ind w:left="851"/>
        <w:rPr>
          <w:noProof/>
          <w:sz w:val="24"/>
          <w:szCs w:val="24"/>
          <w:lang w:val="en-US"/>
        </w:rPr>
      </w:pPr>
      <w:r w:rsidRPr="00F85BD8">
        <w:rPr>
          <w:noProof/>
          <w:sz w:val="24"/>
          <w:szCs w:val="24"/>
          <w:lang w:val="en-US"/>
        </w:rPr>
        <w:t>There is no specific antidote or treatment for nintedanib overdose. Two patients in the oncology programme had an overdose of maximum 600 mg twice daily up to eight days. Observed adverse reactions were consistent with the known safety profile of nintedanib, i.e. increased liver enzymes and gastrointestinal symptoms. Both patients recovered from these adverse reactions. In the INPULSIS trials, one patient was inadvertently exposed to a dose of 600 mg daily for a total of 21 days. A non-serious adverse event (nasopharyngitis) occurred and resolved during the period of incorrect dosing, with no onset of other reported events. In case of overdose, treatment should be interrupted and general supportive measures initiated as appropriate.</w:t>
      </w:r>
    </w:p>
    <w:p w14:paraId="3FBF8197" w14:textId="77777777" w:rsidR="007C5D2A" w:rsidRPr="00F85BD8" w:rsidRDefault="007C5D2A" w:rsidP="003E0341">
      <w:pPr>
        <w:tabs>
          <w:tab w:val="left" w:pos="851"/>
        </w:tabs>
        <w:ind w:left="851"/>
        <w:rPr>
          <w:sz w:val="24"/>
          <w:szCs w:val="24"/>
          <w:lang w:val="en-GB"/>
        </w:rPr>
      </w:pPr>
    </w:p>
    <w:p w14:paraId="30DB5CF1" w14:textId="77777777" w:rsidR="008F2F8C" w:rsidRPr="00F85BD8" w:rsidRDefault="0042292D" w:rsidP="0042292D">
      <w:pPr>
        <w:tabs>
          <w:tab w:val="left" w:pos="851"/>
        </w:tabs>
        <w:rPr>
          <w:b/>
          <w:sz w:val="24"/>
          <w:szCs w:val="24"/>
          <w:lang w:val="en-GB"/>
        </w:rPr>
      </w:pPr>
      <w:r w:rsidRPr="00F85BD8">
        <w:rPr>
          <w:b/>
          <w:sz w:val="24"/>
          <w:szCs w:val="24"/>
          <w:lang w:val="en-GB"/>
        </w:rPr>
        <w:t>4.10</w:t>
      </w:r>
      <w:r w:rsidRPr="00F85BD8">
        <w:rPr>
          <w:b/>
          <w:sz w:val="24"/>
          <w:szCs w:val="24"/>
          <w:lang w:val="en-GB"/>
        </w:rPr>
        <w:tab/>
        <w:t>Legal status</w:t>
      </w:r>
    </w:p>
    <w:p w14:paraId="6A895048" w14:textId="6863E7BF" w:rsidR="00AD2E36" w:rsidRPr="00F85BD8" w:rsidRDefault="00BF087A" w:rsidP="00AD2E36">
      <w:pPr>
        <w:tabs>
          <w:tab w:val="left" w:pos="851"/>
        </w:tabs>
        <w:ind w:left="851"/>
        <w:rPr>
          <w:sz w:val="24"/>
          <w:szCs w:val="24"/>
          <w:lang w:val="en-GB"/>
        </w:rPr>
      </w:pPr>
      <w:r w:rsidRPr="00F85BD8">
        <w:rPr>
          <w:sz w:val="24"/>
          <w:szCs w:val="24"/>
          <w:lang w:val="en-GB"/>
        </w:rPr>
        <w:t>BEGR (only for hospitals)</w:t>
      </w:r>
    </w:p>
    <w:p w14:paraId="30D9C5FB" w14:textId="77777777" w:rsidR="007C5D2A" w:rsidRPr="00F85BD8" w:rsidRDefault="007C5D2A" w:rsidP="003E0341">
      <w:pPr>
        <w:tabs>
          <w:tab w:val="left" w:pos="851"/>
        </w:tabs>
        <w:ind w:left="851"/>
        <w:rPr>
          <w:sz w:val="24"/>
          <w:szCs w:val="24"/>
          <w:lang w:val="en-GB"/>
        </w:rPr>
      </w:pPr>
    </w:p>
    <w:p w14:paraId="2D8CF046" w14:textId="77777777" w:rsidR="00AD2E36" w:rsidRPr="00F85BD8" w:rsidRDefault="00AD2E36" w:rsidP="003E0341">
      <w:pPr>
        <w:tabs>
          <w:tab w:val="left" w:pos="851"/>
        </w:tabs>
        <w:ind w:left="851"/>
        <w:rPr>
          <w:sz w:val="24"/>
          <w:szCs w:val="24"/>
          <w:lang w:val="en-GB"/>
        </w:rPr>
      </w:pPr>
    </w:p>
    <w:p w14:paraId="12EA68DA" w14:textId="77777777" w:rsidR="007C5D2A" w:rsidRPr="00F85BD8" w:rsidRDefault="007C5D2A" w:rsidP="007C5D2A">
      <w:pPr>
        <w:tabs>
          <w:tab w:val="left" w:pos="851"/>
        </w:tabs>
        <w:rPr>
          <w:b/>
          <w:sz w:val="24"/>
          <w:szCs w:val="24"/>
          <w:lang w:val="en-GB"/>
        </w:rPr>
      </w:pPr>
      <w:r w:rsidRPr="00F85BD8">
        <w:rPr>
          <w:b/>
          <w:sz w:val="24"/>
          <w:szCs w:val="24"/>
          <w:lang w:val="en-GB"/>
        </w:rPr>
        <w:t>5.</w:t>
      </w:r>
      <w:r w:rsidRPr="00F85BD8">
        <w:rPr>
          <w:b/>
          <w:sz w:val="24"/>
          <w:szCs w:val="24"/>
          <w:lang w:val="en-GB"/>
        </w:rPr>
        <w:tab/>
        <w:t>PHARMACOLOGICAL PROPERTIES</w:t>
      </w:r>
    </w:p>
    <w:p w14:paraId="45C5283F" w14:textId="77777777" w:rsidR="007C5D2A" w:rsidRPr="00F85BD8" w:rsidRDefault="007C5D2A" w:rsidP="003E0341">
      <w:pPr>
        <w:tabs>
          <w:tab w:val="left" w:pos="851"/>
        </w:tabs>
        <w:ind w:left="851"/>
        <w:rPr>
          <w:sz w:val="24"/>
          <w:szCs w:val="24"/>
          <w:lang w:val="en-GB"/>
        </w:rPr>
      </w:pPr>
    </w:p>
    <w:p w14:paraId="37A5C371"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5.1</w:t>
      </w:r>
      <w:r w:rsidRPr="00F85BD8">
        <w:rPr>
          <w:b/>
          <w:sz w:val="24"/>
          <w:szCs w:val="24"/>
          <w:lang w:val="en-GB"/>
        </w:rPr>
        <w:tab/>
        <w:t>Pharmacodynamic properties</w:t>
      </w:r>
      <w:r w:rsidRPr="00F85BD8">
        <w:rPr>
          <w:b/>
          <w:sz w:val="24"/>
          <w:szCs w:val="24"/>
          <w:lang w:val="en-GB"/>
        </w:rPr>
        <w:tab/>
      </w:r>
    </w:p>
    <w:p w14:paraId="0120AEA6" w14:textId="77777777" w:rsidR="00D657C7" w:rsidRPr="00F85BD8" w:rsidRDefault="00D657C7" w:rsidP="00BF087A">
      <w:pPr>
        <w:ind w:left="851"/>
        <w:rPr>
          <w:noProof/>
          <w:sz w:val="24"/>
          <w:szCs w:val="24"/>
          <w:lang w:val="en-US"/>
        </w:rPr>
      </w:pPr>
      <w:r w:rsidRPr="00F85BD8">
        <w:rPr>
          <w:sz w:val="24"/>
          <w:szCs w:val="24"/>
          <w:lang w:val="en-US"/>
        </w:rPr>
        <w:t>Pharmacotherapeutic group: Antineoplastic agents, protein kinase inhibitors, ATC code: L01EX09</w:t>
      </w:r>
    </w:p>
    <w:p w14:paraId="5DD8B7F2" w14:textId="77777777" w:rsidR="00D657C7" w:rsidRPr="00F85BD8" w:rsidRDefault="00D657C7" w:rsidP="00BF087A">
      <w:pPr>
        <w:ind w:left="851"/>
        <w:rPr>
          <w:sz w:val="24"/>
          <w:szCs w:val="24"/>
          <w:lang w:val="en-US"/>
        </w:rPr>
      </w:pPr>
    </w:p>
    <w:p w14:paraId="5E15AE1B" w14:textId="77777777" w:rsidR="00D657C7" w:rsidRPr="00F85BD8" w:rsidRDefault="00D657C7" w:rsidP="00BF087A">
      <w:pPr>
        <w:ind w:left="851"/>
        <w:rPr>
          <w:sz w:val="24"/>
          <w:szCs w:val="24"/>
          <w:u w:val="single"/>
          <w:lang w:val="en-US"/>
        </w:rPr>
      </w:pPr>
      <w:r w:rsidRPr="00F85BD8">
        <w:rPr>
          <w:sz w:val="24"/>
          <w:szCs w:val="24"/>
          <w:u w:val="single"/>
          <w:lang w:val="en-US"/>
        </w:rPr>
        <w:t>Mechanism of action</w:t>
      </w:r>
    </w:p>
    <w:p w14:paraId="00C53C65" w14:textId="77777777" w:rsidR="00D657C7" w:rsidRPr="00F85BD8" w:rsidRDefault="00D657C7" w:rsidP="00BF087A">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is a small molecule tyrosine kinase inhibitor including the receptors platelet-derived growth factor receptor (PDGFR) </w:t>
      </w:r>
      <w:r w:rsidRPr="00F85BD8">
        <w:rPr>
          <w:sz w:val="24"/>
          <w:szCs w:val="24"/>
        </w:rPr>
        <w:t>α</w:t>
      </w:r>
      <w:r w:rsidRPr="00F85BD8">
        <w:rPr>
          <w:sz w:val="24"/>
          <w:szCs w:val="24"/>
          <w:lang w:val="en-US"/>
        </w:rPr>
        <w:t xml:space="preserve"> and </w:t>
      </w:r>
      <w:r w:rsidRPr="00F85BD8">
        <w:rPr>
          <w:sz w:val="24"/>
          <w:szCs w:val="24"/>
        </w:rPr>
        <w:t>β</w:t>
      </w:r>
      <w:r w:rsidRPr="00F85BD8">
        <w:rPr>
          <w:sz w:val="24"/>
          <w:szCs w:val="24"/>
          <w:lang w:val="en-US"/>
        </w:rPr>
        <w:t>, fibroblast growth factor receptor (FGFR) 1</w:t>
      </w:r>
      <w:r w:rsidRPr="00F85BD8">
        <w:rPr>
          <w:sz w:val="24"/>
          <w:szCs w:val="24"/>
          <w:lang w:val="en-US"/>
        </w:rPr>
        <w:noBreakHyphen/>
        <w:t>3, and VEGFR 1</w:t>
      </w:r>
      <w:r w:rsidRPr="00F85BD8">
        <w:rPr>
          <w:sz w:val="24"/>
          <w:szCs w:val="24"/>
          <w:lang w:val="en-US"/>
        </w:rPr>
        <w:noBreakHyphen/>
        <w:t xml:space="preserve">3. In addition, </w:t>
      </w:r>
      <w:proofErr w:type="spellStart"/>
      <w:r w:rsidRPr="00F85BD8">
        <w:rPr>
          <w:sz w:val="24"/>
          <w:szCs w:val="24"/>
          <w:lang w:val="en-US"/>
        </w:rPr>
        <w:t>nintedanib</w:t>
      </w:r>
      <w:proofErr w:type="spellEnd"/>
      <w:r w:rsidRPr="00F85BD8">
        <w:rPr>
          <w:sz w:val="24"/>
          <w:szCs w:val="24"/>
          <w:lang w:val="en-US"/>
        </w:rPr>
        <w:t xml:space="preserve"> inhibits </w:t>
      </w:r>
      <w:proofErr w:type="spellStart"/>
      <w:r w:rsidRPr="00F85BD8">
        <w:rPr>
          <w:sz w:val="24"/>
          <w:szCs w:val="24"/>
          <w:lang w:val="en-US"/>
        </w:rPr>
        <w:t>Lck</w:t>
      </w:r>
      <w:proofErr w:type="spellEnd"/>
      <w:r w:rsidRPr="00F85BD8">
        <w:rPr>
          <w:sz w:val="24"/>
          <w:szCs w:val="24"/>
          <w:lang w:val="en-US"/>
        </w:rPr>
        <w:t xml:space="preserve"> (lymphocyte-specific tyrosine-protein kinase), Lyn (tyrosine-protein kinase </w:t>
      </w:r>
      <w:proofErr w:type="spellStart"/>
      <w:r w:rsidRPr="00F85BD8">
        <w:rPr>
          <w:sz w:val="24"/>
          <w:szCs w:val="24"/>
          <w:lang w:val="en-US"/>
        </w:rPr>
        <w:t>lyn</w:t>
      </w:r>
      <w:proofErr w:type="spellEnd"/>
      <w:r w:rsidRPr="00F85BD8">
        <w:rPr>
          <w:sz w:val="24"/>
          <w:szCs w:val="24"/>
          <w:lang w:val="en-US"/>
        </w:rPr>
        <w:t xml:space="preserve">), </w:t>
      </w:r>
      <w:proofErr w:type="spellStart"/>
      <w:r w:rsidRPr="00F85BD8">
        <w:rPr>
          <w:sz w:val="24"/>
          <w:szCs w:val="24"/>
          <w:lang w:val="en-US"/>
        </w:rPr>
        <w:t>Src</w:t>
      </w:r>
      <w:proofErr w:type="spellEnd"/>
      <w:r w:rsidRPr="00F85BD8">
        <w:rPr>
          <w:sz w:val="24"/>
          <w:szCs w:val="24"/>
          <w:lang w:val="en-US"/>
        </w:rPr>
        <w:t xml:space="preserve"> (proto-oncogene tyrosine-protein kinase </w:t>
      </w:r>
      <w:proofErr w:type="spellStart"/>
      <w:r w:rsidRPr="00F85BD8">
        <w:rPr>
          <w:sz w:val="24"/>
          <w:szCs w:val="24"/>
          <w:lang w:val="en-US"/>
        </w:rPr>
        <w:t>src</w:t>
      </w:r>
      <w:proofErr w:type="spellEnd"/>
      <w:r w:rsidRPr="00F85BD8">
        <w:rPr>
          <w:sz w:val="24"/>
          <w:szCs w:val="24"/>
          <w:lang w:val="en-US"/>
        </w:rPr>
        <w:t xml:space="preserve">), and CSF1R (colony stimulating factor 1 receptor) kinases. </w:t>
      </w:r>
      <w:proofErr w:type="spellStart"/>
      <w:r w:rsidRPr="00F85BD8">
        <w:rPr>
          <w:sz w:val="24"/>
          <w:szCs w:val="24"/>
          <w:lang w:val="en-US"/>
        </w:rPr>
        <w:t>Nintedanib</w:t>
      </w:r>
      <w:proofErr w:type="spellEnd"/>
      <w:r w:rsidRPr="00F85BD8">
        <w:rPr>
          <w:sz w:val="24"/>
          <w:szCs w:val="24"/>
          <w:lang w:val="en-US"/>
        </w:rPr>
        <w:t xml:space="preserve"> binds competitively to the adenosine triphosphate (ATP) binding pocket of these kinases and blocks the intracellular </w:t>
      </w:r>
      <w:proofErr w:type="spellStart"/>
      <w:r w:rsidRPr="00F85BD8">
        <w:rPr>
          <w:sz w:val="24"/>
          <w:szCs w:val="24"/>
          <w:lang w:val="en-US"/>
        </w:rPr>
        <w:t>signalling</w:t>
      </w:r>
      <w:proofErr w:type="spellEnd"/>
      <w:r w:rsidRPr="00F85BD8">
        <w:rPr>
          <w:sz w:val="24"/>
          <w:szCs w:val="24"/>
          <w:lang w:val="en-US"/>
        </w:rPr>
        <w:t xml:space="preserve"> cascades, which have been demonstrated to be involved in the pathogenesis of fibrotic tissue </w:t>
      </w:r>
      <w:proofErr w:type="spellStart"/>
      <w:r w:rsidRPr="00F85BD8">
        <w:rPr>
          <w:sz w:val="24"/>
          <w:szCs w:val="24"/>
          <w:lang w:val="en-US"/>
        </w:rPr>
        <w:t>remodelling</w:t>
      </w:r>
      <w:proofErr w:type="spellEnd"/>
      <w:r w:rsidRPr="00F85BD8">
        <w:rPr>
          <w:sz w:val="24"/>
          <w:szCs w:val="24"/>
          <w:lang w:val="en-US"/>
        </w:rPr>
        <w:t xml:space="preserve"> in interstitial lung diseases.</w:t>
      </w:r>
    </w:p>
    <w:p w14:paraId="29AAA876" w14:textId="77777777" w:rsidR="00D657C7" w:rsidRPr="00F85BD8" w:rsidRDefault="00D657C7" w:rsidP="00BF087A">
      <w:pPr>
        <w:ind w:left="851"/>
        <w:rPr>
          <w:sz w:val="24"/>
          <w:szCs w:val="24"/>
          <w:lang w:val="en-US"/>
        </w:rPr>
      </w:pPr>
    </w:p>
    <w:p w14:paraId="130D926F" w14:textId="77777777" w:rsidR="00D657C7" w:rsidRPr="00F85BD8" w:rsidRDefault="00D657C7" w:rsidP="00BF087A">
      <w:pPr>
        <w:ind w:left="851"/>
        <w:rPr>
          <w:sz w:val="24"/>
          <w:szCs w:val="24"/>
          <w:u w:val="single"/>
          <w:lang w:val="en-US"/>
        </w:rPr>
      </w:pPr>
      <w:r w:rsidRPr="00F85BD8">
        <w:rPr>
          <w:sz w:val="24"/>
          <w:szCs w:val="24"/>
          <w:u w:val="single"/>
          <w:lang w:val="en-US"/>
        </w:rPr>
        <w:t>Pharmacodynamic effects</w:t>
      </w:r>
    </w:p>
    <w:p w14:paraId="0AB769F5" w14:textId="77777777" w:rsidR="00D657C7" w:rsidRPr="00F85BD8" w:rsidRDefault="00D657C7" w:rsidP="00BF087A">
      <w:pPr>
        <w:ind w:left="851"/>
        <w:rPr>
          <w:sz w:val="24"/>
          <w:szCs w:val="24"/>
          <w:lang w:val="en-US"/>
        </w:rPr>
      </w:pPr>
      <w:r w:rsidRPr="00F85BD8">
        <w:rPr>
          <w:sz w:val="24"/>
          <w:szCs w:val="24"/>
          <w:lang w:val="en-US"/>
        </w:rPr>
        <w:t xml:space="preserve">In </w:t>
      </w:r>
      <w:r w:rsidRPr="00F85BD8">
        <w:rPr>
          <w:i/>
          <w:sz w:val="24"/>
          <w:szCs w:val="24"/>
          <w:lang w:val="en-US"/>
        </w:rPr>
        <w:t>in vitro</w:t>
      </w:r>
      <w:r w:rsidRPr="00F85BD8">
        <w:rPr>
          <w:sz w:val="24"/>
          <w:szCs w:val="24"/>
          <w:lang w:val="en-US"/>
        </w:rPr>
        <w:t xml:space="preserve"> studies using human cells </w:t>
      </w:r>
      <w:proofErr w:type="spellStart"/>
      <w:r w:rsidRPr="00F85BD8">
        <w:rPr>
          <w:sz w:val="24"/>
          <w:szCs w:val="24"/>
          <w:lang w:val="en-US"/>
        </w:rPr>
        <w:t>nintedanib</w:t>
      </w:r>
      <w:proofErr w:type="spellEnd"/>
      <w:r w:rsidRPr="00F85BD8">
        <w:rPr>
          <w:sz w:val="24"/>
          <w:szCs w:val="24"/>
          <w:lang w:val="en-US"/>
        </w:rPr>
        <w:t xml:space="preserve"> has been shown to inhibit processes assumed to be involved in the initiation of the fibrotic pathogenesis, the release of pro-fibrotic mediators from peripheral blood monocytic cells and macrophage </w:t>
      </w:r>
      <w:proofErr w:type="spellStart"/>
      <w:r w:rsidRPr="00F85BD8">
        <w:rPr>
          <w:sz w:val="24"/>
          <w:szCs w:val="24"/>
          <w:lang w:val="en-US"/>
        </w:rPr>
        <w:t>polarisation</w:t>
      </w:r>
      <w:proofErr w:type="spellEnd"/>
      <w:r w:rsidRPr="00F85BD8">
        <w:rPr>
          <w:sz w:val="24"/>
          <w:szCs w:val="24"/>
          <w:lang w:val="en-US"/>
        </w:rPr>
        <w:t xml:space="preserve"> to alternatively activated macrophages. </w:t>
      </w:r>
      <w:proofErr w:type="spellStart"/>
      <w:r w:rsidRPr="00F85BD8">
        <w:rPr>
          <w:sz w:val="24"/>
          <w:szCs w:val="24"/>
          <w:lang w:val="en-US"/>
        </w:rPr>
        <w:t>Nintedanib</w:t>
      </w:r>
      <w:proofErr w:type="spellEnd"/>
      <w:r w:rsidRPr="00F85BD8">
        <w:rPr>
          <w:sz w:val="24"/>
          <w:szCs w:val="24"/>
          <w:lang w:val="en-US"/>
        </w:rPr>
        <w:t xml:space="preserve"> has been demonstrated to inhibit fundamental processes in organ fibrosis, proliferation and migration of fibroblasts and transformation to the active myofibroblast phenotype and secretion of extracellular matrix. In animal studies in multiple models of IPF, </w:t>
      </w:r>
      <w:proofErr w:type="spellStart"/>
      <w:r w:rsidRPr="00F85BD8">
        <w:rPr>
          <w:sz w:val="24"/>
          <w:szCs w:val="24"/>
          <w:lang w:val="en-US"/>
        </w:rPr>
        <w:t>SSc</w:t>
      </w:r>
      <w:proofErr w:type="spellEnd"/>
      <w:r w:rsidRPr="00F85BD8">
        <w:rPr>
          <w:sz w:val="24"/>
          <w:szCs w:val="24"/>
          <w:lang w:val="en-US"/>
        </w:rPr>
        <w:t>/</w:t>
      </w:r>
      <w:proofErr w:type="spellStart"/>
      <w:r w:rsidRPr="00F85BD8">
        <w:rPr>
          <w:sz w:val="24"/>
          <w:szCs w:val="24"/>
          <w:lang w:val="en-US"/>
        </w:rPr>
        <w:t>SSc</w:t>
      </w:r>
      <w:proofErr w:type="spellEnd"/>
      <w:r w:rsidRPr="00F85BD8">
        <w:rPr>
          <w:sz w:val="24"/>
          <w:szCs w:val="24"/>
          <w:lang w:val="en-US"/>
        </w:rPr>
        <w:noBreakHyphen/>
        <w:t>ILD, rheumatoid arthritis-associated</w:t>
      </w:r>
      <w:r w:rsidRPr="00F85BD8">
        <w:rPr>
          <w:sz w:val="24"/>
          <w:szCs w:val="24"/>
          <w:lang w:val="en-US"/>
        </w:rPr>
        <w:noBreakHyphen/>
        <w:t>(RA</w:t>
      </w:r>
      <w:r w:rsidRPr="00F85BD8">
        <w:rPr>
          <w:sz w:val="24"/>
          <w:szCs w:val="24"/>
          <w:lang w:val="en-US"/>
        </w:rPr>
        <w:noBreakHyphen/>
        <w:t xml:space="preserve">) ILD and other organ fibrosis, </w:t>
      </w:r>
      <w:proofErr w:type="spellStart"/>
      <w:r w:rsidRPr="00F85BD8">
        <w:rPr>
          <w:sz w:val="24"/>
          <w:szCs w:val="24"/>
          <w:lang w:val="en-US"/>
        </w:rPr>
        <w:t>nintedanib</w:t>
      </w:r>
      <w:proofErr w:type="spellEnd"/>
      <w:r w:rsidRPr="00F85BD8">
        <w:rPr>
          <w:sz w:val="24"/>
          <w:szCs w:val="24"/>
          <w:lang w:val="en-US"/>
        </w:rPr>
        <w:t xml:space="preserve"> has shown anti-inflammatory effects and anti-fibrotic effects in the lung, skin, heart, kidney, and liver. </w:t>
      </w:r>
      <w:proofErr w:type="spellStart"/>
      <w:r w:rsidRPr="00F85BD8">
        <w:rPr>
          <w:sz w:val="24"/>
          <w:szCs w:val="24"/>
          <w:lang w:val="en-US"/>
        </w:rPr>
        <w:t>Nintedanib</w:t>
      </w:r>
      <w:proofErr w:type="spellEnd"/>
      <w:r w:rsidRPr="00F85BD8">
        <w:rPr>
          <w:sz w:val="24"/>
          <w:szCs w:val="24"/>
          <w:lang w:val="en-US"/>
        </w:rPr>
        <w:t xml:space="preserve"> also exerted vascular activity.</w:t>
      </w:r>
    </w:p>
    <w:p w14:paraId="39688B9F" w14:textId="77777777" w:rsidR="00D657C7" w:rsidRPr="00F85BD8" w:rsidRDefault="00D657C7" w:rsidP="00BF087A">
      <w:pPr>
        <w:ind w:left="851"/>
        <w:rPr>
          <w:sz w:val="24"/>
          <w:szCs w:val="24"/>
          <w:lang w:val="en-US"/>
        </w:rPr>
      </w:pPr>
      <w:r w:rsidRPr="00F85BD8">
        <w:rPr>
          <w:sz w:val="24"/>
          <w:szCs w:val="24"/>
          <w:lang w:val="en-US"/>
        </w:rPr>
        <w:t xml:space="preserve">It reduced dermal microvascular endothelial cell apoptosis and attenuated pulmonary vascular </w:t>
      </w:r>
      <w:proofErr w:type="spellStart"/>
      <w:r w:rsidRPr="00F85BD8">
        <w:rPr>
          <w:sz w:val="24"/>
          <w:szCs w:val="24"/>
          <w:lang w:val="en-US"/>
        </w:rPr>
        <w:t>remodelling</w:t>
      </w:r>
      <w:proofErr w:type="spellEnd"/>
      <w:r w:rsidRPr="00F85BD8">
        <w:rPr>
          <w:sz w:val="24"/>
          <w:szCs w:val="24"/>
          <w:lang w:val="en-US"/>
        </w:rPr>
        <w:t xml:space="preserve"> by reducing the proliferation of vascular smooth muscle cells, the thickness of pulmonary vessel walls and percentage of occluded pulmonary vessels.</w:t>
      </w:r>
    </w:p>
    <w:p w14:paraId="7AC12A03" w14:textId="77777777" w:rsidR="00D657C7" w:rsidRPr="00F85BD8" w:rsidRDefault="00D657C7" w:rsidP="00BF087A">
      <w:pPr>
        <w:ind w:left="851"/>
        <w:rPr>
          <w:sz w:val="24"/>
          <w:szCs w:val="24"/>
          <w:lang w:val="en-US"/>
        </w:rPr>
      </w:pPr>
    </w:p>
    <w:p w14:paraId="5F75B61D" w14:textId="77777777" w:rsidR="00D657C7" w:rsidRPr="00F85BD8" w:rsidRDefault="00D657C7" w:rsidP="00BF087A">
      <w:pPr>
        <w:ind w:left="851"/>
        <w:rPr>
          <w:sz w:val="24"/>
          <w:szCs w:val="24"/>
          <w:u w:val="single"/>
          <w:lang w:val="en-US"/>
        </w:rPr>
      </w:pPr>
      <w:r w:rsidRPr="00F85BD8">
        <w:rPr>
          <w:sz w:val="24"/>
          <w:szCs w:val="24"/>
          <w:u w:val="single"/>
          <w:lang w:val="en-US"/>
        </w:rPr>
        <w:t>Clinical efficacy and safety</w:t>
      </w:r>
    </w:p>
    <w:p w14:paraId="41D86EA5" w14:textId="77777777" w:rsidR="00D657C7" w:rsidRPr="00F85BD8" w:rsidRDefault="00D657C7" w:rsidP="00BF087A">
      <w:pPr>
        <w:ind w:left="851"/>
        <w:rPr>
          <w:i/>
          <w:sz w:val="24"/>
          <w:szCs w:val="24"/>
          <w:lang w:val="en-US"/>
        </w:rPr>
      </w:pPr>
      <w:r w:rsidRPr="00F85BD8">
        <w:rPr>
          <w:i/>
          <w:sz w:val="24"/>
          <w:szCs w:val="24"/>
          <w:lang w:val="en-US"/>
        </w:rPr>
        <w:t>Idiopathic pulmonary fibrosis (IPF)</w:t>
      </w:r>
    </w:p>
    <w:p w14:paraId="2719904D" w14:textId="77777777" w:rsidR="00D657C7" w:rsidRPr="00F85BD8" w:rsidRDefault="00D657C7" w:rsidP="00BF087A">
      <w:pPr>
        <w:ind w:left="851"/>
        <w:rPr>
          <w:sz w:val="24"/>
          <w:szCs w:val="24"/>
          <w:lang w:val="en-US"/>
        </w:rPr>
      </w:pPr>
      <w:r w:rsidRPr="00F85BD8">
        <w:rPr>
          <w:sz w:val="24"/>
          <w:szCs w:val="24"/>
          <w:lang w:val="en-US"/>
        </w:rPr>
        <w:t xml:space="preserve">The clinical efficacy of </w:t>
      </w:r>
      <w:proofErr w:type="spellStart"/>
      <w:r w:rsidRPr="00F85BD8">
        <w:rPr>
          <w:sz w:val="24"/>
          <w:szCs w:val="24"/>
          <w:lang w:val="en-US"/>
        </w:rPr>
        <w:t>nintedanib</w:t>
      </w:r>
      <w:proofErr w:type="spellEnd"/>
      <w:r w:rsidRPr="00F85BD8">
        <w:rPr>
          <w:sz w:val="24"/>
          <w:szCs w:val="24"/>
          <w:lang w:val="en-US"/>
        </w:rPr>
        <w:t xml:space="preserve"> has been studied in patients with IPF in two phase III, </w:t>
      </w:r>
      <w:proofErr w:type="spellStart"/>
      <w:r w:rsidRPr="00F85BD8">
        <w:rPr>
          <w:sz w:val="24"/>
          <w:szCs w:val="24"/>
          <w:lang w:val="en-US"/>
        </w:rPr>
        <w:t>randomised</w:t>
      </w:r>
      <w:proofErr w:type="spellEnd"/>
      <w:r w:rsidRPr="00F85BD8">
        <w:rPr>
          <w:sz w:val="24"/>
          <w:szCs w:val="24"/>
          <w:lang w:val="en-US"/>
        </w:rPr>
        <w:t>, double-blind, placebo-controlled studies with identical design (INPULSIS</w:t>
      </w:r>
      <w:r w:rsidRPr="00F85BD8">
        <w:rPr>
          <w:sz w:val="24"/>
          <w:szCs w:val="24"/>
          <w:lang w:val="en-US"/>
        </w:rPr>
        <w:noBreakHyphen/>
        <w:t>1 (1199.32) and INPULSIS</w:t>
      </w:r>
      <w:r w:rsidRPr="00F85BD8">
        <w:rPr>
          <w:sz w:val="24"/>
          <w:szCs w:val="24"/>
          <w:lang w:val="en-US"/>
        </w:rPr>
        <w:noBreakHyphen/>
        <w:t xml:space="preserve">2 (1199.34)). Patients with FVC baseline &lt;50% predicted or carbon monoxide diffusing capacity (DLCO, corrected for </w:t>
      </w:r>
      <w:proofErr w:type="spellStart"/>
      <w:r w:rsidRPr="00F85BD8">
        <w:rPr>
          <w:sz w:val="24"/>
          <w:szCs w:val="24"/>
          <w:lang w:val="en-US"/>
        </w:rPr>
        <w:t>haemoglobin</w:t>
      </w:r>
      <w:proofErr w:type="spellEnd"/>
      <w:r w:rsidRPr="00F85BD8">
        <w:rPr>
          <w:sz w:val="24"/>
          <w:szCs w:val="24"/>
          <w:lang w:val="en-US"/>
        </w:rPr>
        <w:t xml:space="preserve">) &lt;30% predicted at baseline were excluded from the trials. Patients were randomized in a 3:2 ratio to treatment with </w:t>
      </w:r>
      <w:proofErr w:type="spellStart"/>
      <w:r w:rsidRPr="00F85BD8">
        <w:rPr>
          <w:sz w:val="24"/>
          <w:szCs w:val="24"/>
          <w:lang w:val="en-US"/>
        </w:rPr>
        <w:t>nintedanib</w:t>
      </w:r>
      <w:proofErr w:type="spellEnd"/>
      <w:r w:rsidRPr="00F85BD8">
        <w:rPr>
          <w:sz w:val="24"/>
          <w:szCs w:val="24"/>
          <w:lang w:val="en-US"/>
        </w:rPr>
        <w:t xml:space="preserve"> 150 mg or placebo twice daily for 52 weeks.</w:t>
      </w:r>
    </w:p>
    <w:p w14:paraId="1AC1A414" w14:textId="77777777" w:rsidR="00D657C7" w:rsidRPr="00F85BD8" w:rsidRDefault="00D657C7" w:rsidP="00BF087A">
      <w:pPr>
        <w:ind w:left="851"/>
        <w:rPr>
          <w:sz w:val="24"/>
          <w:szCs w:val="24"/>
          <w:lang w:val="en-US"/>
        </w:rPr>
      </w:pPr>
    </w:p>
    <w:p w14:paraId="11C05F65" w14:textId="77777777" w:rsidR="00D657C7" w:rsidRPr="00F85BD8" w:rsidRDefault="00D657C7" w:rsidP="00BF087A">
      <w:pPr>
        <w:ind w:left="851"/>
        <w:rPr>
          <w:sz w:val="24"/>
          <w:szCs w:val="24"/>
          <w:lang w:val="en-US"/>
        </w:rPr>
      </w:pPr>
      <w:r w:rsidRPr="00F85BD8">
        <w:rPr>
          <w:sz w:val="24"/>
          <w:szCs w:val="24"/>
          <w:lang w:val="en-US"/>
        </w:rPr>
        <w:t>The primary endpoint was the annual rate of decline in forced vital capacity (FVC). The key secondary endpoints were change from baseline in Saint George's Respiratory Questionnaire (SGRQ) total score at 52 weeks and time to first acute IPF exacerbation.</w:t>
      </w:r>
    </w:p>
    <w:p w14:paraId="1C186E26" w14:textId="77777777" w:rsidR="00D657C7" w:rsidRPr="00F85BD8" w:rsidRDefault="00D657C7" w:rsidP="00BF087A">
      <w:pPr>
        <w:ind w:left="851"/>
        <w:rPr>
          <w:sz w:val="24"/>
          <w:szCs w:val="24"/>
          <w:lang w:val="en-US"/>
        </w:rPr>
      </w:pPr>
    </w:p>
    <w:p w14:paraId="70467414" w14:textId="77777777" w:rsidR="00D657C7" w:rsidRPr="00F85BD8" w:rsidRDefault="00D657C7" w:rsidP="00BF087A">
      <w:pPr>
        <w:ind w:left="851"/>
        <w:rPr>
          <w:i/>
          <w:sz w:val="24"/>
          <w:szCs w:val="24"/>
          <w:u w:val="single"/>
          <w:lang w:val="en-US"/>
        </w:rPr>
      </w:pPr>
      <w:r w:rsidRPr="00F85BD8">
        <w:rPr>
          <w:i/>
          <w:sz w:val="24"/>
          <w:szCs w:val="24"/>
          <w:u w:val="single"/>
          <w:lang w:val="en-US"/>
        </w:rPr>
        <w:t>Annual rate of decline in FVC</w:t>
      </w:r>
    </w:p>
    <w:p w14:paraId="59E02005" w14:textId="77777777" w:rsidR="00D657C7" w:rsidRPr="00F85BD8" w:rsidRDefault="00D657C7" w:rsidP="00BF087A">
      <w:pPr>
        <w:ind w:left="851"/>
        <w:rPr>
          <w:sz w:val="24"/>
          <w:szCs w:val="24"/>
          <w:lang w:val="en-US"/>
        </w:rPr>
      </w:pPr>
      <w:r w:rsidRPr="00F85BD8">
        <w:rPr>
          <w:sz w:val="24"/>
          <w:szCs w:val="24"/>
          <w:lang w:val="en-US"/>
        </w:rPr>
        <w:t xml:space="preserve">The annual rate of decline of FVC (in mL) was significantly reduced in patients receiving </w:t>
      </w:r>
      <w:proofErr w:type="spellStart"/>
      <w:r w:rsidRPr="00F85BD8">
        <w:rPr>
          <w:sz w:val="24"/>
          <w:szCs w:val="24"/>
          <w:lang w:val="en-US"/>
        </w:rPr>
        <w:t>nintedanib</w:t>
      </w:r>
      <w:proofErr w:type="spellEnd"/>
      <w:r w:rsidRPr="00F85BD8">
        <w:rPr>
          <w:sz w:val="24"/>
          <w:szCs w:val="24"/>
          <w:lang w:val="en-US"/>
        </w:rPr>
        <w:t xml:space="preserve"> compared to patients receiving placebo. The treatment effect was consistent in both trials. See Table 3 for individual and pooled study results.</w:t>
      </w:r>
    </w:p>
    <w:p w14:paraId="06394A4B" w14:textId="77777777" w:rsidR="00D657C7" w:rsidRPr="00F85BD8" w:rsidRDefault="00D657C7" w:rsidP="00D657C7">
      <w:pPr>
        <w:autoSpaceDE w:val="0"/>
        <w:autoSpaceDN w:val="0"/>
        <w:adjustRightInd w:val="0"/>
        <w:rPr>
          <w:sz w:val="24"/>
          <w:szCs w:val="24"/>
          <w:lang w:val="en-US"/>
        </w:rPr>
      </w:pPr>
    </w:p>
    <w:p w14:paraId="5EE3D6FE" w14:textId="5BD88A7F" w:rsidR="00D657C7" w:rsidRPr="00F85BD8" w:rsidRDefault="00D657C7" w:rsidP="00BF087A">
      <w:pPr>
        <w:rPr>
          <w:b/>
          <w:sz w:val="24"/>
          <w:szCs w:val="24"/>
          <w:lang w:val="en-US"/>
        </w:rPr>
      </w:pPr>
      <w:r w:rsidRPr="00F85BD8">
        <w:rPr>
          <w:b/>
          <w:sz w:val="24"/>
          <w:szCs w:val="24"/>
          <w:lang w:val="en-US"/>
        </w:rPr>
        <w:t>Table 3:</w:t>
      </w:r>
      <w:r w:rsidR="00BF087A" w:rsidRPr="00F85BD8">
        <w:rPr>
          <w:b/>
          <w:sz w:val="24"/>
          <w:szCs w:val="24"/>
          <w:lang w:val="en-US"/>
        </w:rPr>
        <w:t xml:space="preserve"> </w:t>
      </w:r>
      <w:r w:rsidRPr="00F85BD8">
        <w:rPr>
          <w:b/>
          <w:sz w:val="24"/>
          <w:szCs w:val="24"/>
          <w:lang w:val="en-US"/>
        </w:rPr>
        <w:t>Annual rate of decline in FVC (mL) in trials INPULSIS-1, INPULSIS-2 and their pooled data - treated set</w:t>
      </w:r>
    </w:p>
    <w:p w14:paraId="65BBAD81"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1374"/>
        <w:gridCol w:w="1375"/>
        <w:gridCol w:w="1375"/>
        <w:gridCol w:w="1375"/>
        <w:gridCol w:w="1377"/>
        <w:gridCol w:w="1377"/>
        <w:gridCol w:w="1375"/>
      </w:tblGrid>
      <w:tr w:rsidR="00D657C7" w:rsidRPr="009929B6" w14:paraId="474B1F02" w14:textId="77777777" w:rsidTr="00BF087A">
        <w:trPr>
          <w:tblHeader/>
        </w:trPr>
        <w:tc>
          <w:tcPr>
            <w:tcW w:w="714" w:type="pct"/>
            <w:tcBorders>
              <w:top w:val="single" w:sz="4" w:space="0" w:color="auto"/>
              <w:left w:val="single" w:sz="4" w:space="0" w:color="auto"/>
              <w:bottom w:val="single" w:sz="4" w:space="0" w:color="auto"/>
              <w:right w:val="single" w:sz="4" w:space="0" w:color="auto"/>
            </w:tcBorders>
          </w:tcPr>
          <w:p w14:paraId="6BFC28E5" w14:textId="77777777" w:rsidR="00D657C7" w:rsidRPr="009929B6" w:rsidRDefault="00D657C7">
            <w:pPr>
              <w:autoSpaceDE w:val="0"/>
              <w:autoSpaceDN w:val="0"/>
              <w:adjustRightInd w:val="0"/>
              <w:rPr>
                <w:sz w:val="22"/>
                <w:szCs w:val="22"/>
              </w:rPr>
            </w:pPr>
          </w:p>
        </w:tc>
        <w:tc>
          <w:tcPr>
            <w:tcW w:w="1428" w:type="pct"/>
            <w:gridSpan w:val="2"/>
            <w:tcBorders>
              <w:top w:val="single" w:sz="4" w:space="0" w:color="auto"/>
              <w:left w:val="single" w:sz="4" w:space="0" w:color="auto"/>
              <w:bottom w:val="single" w:sz="4" w:space="0" w:color="auto"/>
              <w:right w:val="single" w:sz="4" w:space="0" w:color="auto"/>
            </w:tcBorders>
            <w:hideMark/>
          </w:tcPr>
          <w:p w14:paraId="43B9BCC5"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1</w:t>
            </w:r>
          </w:p>
        </w:tc>
        <w:tc>
          <w:tcPr>
            <w:tcW w:w="1429" w:type="pct"/>
            <w:gridSpan w:val="2"/>
            <w:tcBorders>
              <w:top w:val="single" w:sz="4" w:space="0" w:color="auto"/>
              <w:left w:val="single" w:sz="4" w:space="0" w:color="auto"/>
              <w:bottom w:val="single" w:sz="4" w:space="0" w:color="auto"/>
              <w:right w:val="single" w:sz="4" w:space="0" w:color="auto"/>
            </w:tcBorders>
            <w:hideMark/>
          </w:tcPr>
          <w:p w14:paraId="478BBAD7"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2</w:t>
            </w:r>
          </w:p>
        </w:tc>
        <w:tc>
          <w:tcPr>
            <w:tcW w:w="1429" w:type="pct"/>
            <w:gridSpan w:val="2"/>
            <w:tcBorders>
              <w:top w:val="single" w:sz="4" w:space="0" w:color="auto"/>
              <w:left w:val="single" w:sz="4" w:space="0" w:color="auto"/>
              <w:bottom w:val="single" w:sz="4" w:space="0" w:color="auto"/>
              <w:right w:val="single" w:sz="4" w:space="0" w:color="auto"/>
            </w:tcBorders>
            <w:hideMark/>
          </w:tcPr>
          <w:p w14:paraId="568BABD0"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1 and INPULSIS</w:t>
            </w:r>
            <w:r w:rsidRPr="009929B6">
              <w:rPr>
                <w:b/>
                <w:sz w:val="22"/>
                <w:szCs w:val="22"/>
              </w:rPr>
              <w:noBreakHyphen/>
              <w:t>2 pooled</w:t>
            </w:r>
          </w:p>
        </w:tc>
      </w:tr>
      <w:tr w:rsidR="00D657C7" w:rsidRPr="009929B6" w14:paraId="71B1EFC1" w14:textId="77777777" w:rsidTr="00BF087A">
        <w:trPr>
          <w:tblHeader/>
        </w:trPr>
        <w:tc>
          <w:tcPr>
            <w:tcW w:w="714" w:type="pct"/>
            <w:tcBorders>
              <w:top w:val="single" w:sz="4" w:space="0" w:color="auto"/>
              <w:left w:val="single" w:sz="4" w:space="0" w:color="auto"/>
              <w:bottom w:val="single" w:sz="4" w:space="0" w:color="auto"/>
              <w:right w:val="single" w:sz="4" w:space="0" w:color="auto"/>
            </w:tcBorders>
          </w:tcPr>
          <w:p w14:paraId="27F15E67"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hideMark/>
          </w:tcPr>
          <w:p w14:paraId="71BF649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4" w:type="pct"/>
            <w:tcBorders>
              <w:top w:val="single" w:sz="4" w:space="0" w:color="auto"/>
              <w:left w:val="single" w:sz="4" w:space="0" w:color="auto"/>
              <w:bottom w:val="single" w:sz="4" w:space="0" w:color="auto"/>
              <w:right w:val="single" w:sz="4" w:space="0" w:color="auto"/>
            </w:tcBorders>
            <w:hideMark/>
          </w:tcPr>
          <w:p w14:paraId="5683DB0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714" w:type="pct"/>
            <w:tcBorders>
              <w:top w:val="single" w:sz="4" w:space="0" w:color="auto"/>
              <w:left w:val="single" w:sz="4" w:space="0" w:color="auto"/>
              <w:bottom w:val="single" w:sz="4" w:space="0" w:color="auto"/>
              <w:right w:val="single" w:sz="4" w:space="0" w:color="auto"/>
            </w:tcBorders>
            <w:hideMark/>
          </w:tcPr>
          <w:p w14:paraId="1B75E539"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5" w:type="pct"/>
            <w:tcBorders>
              <w:top w:val="single" w:sz="4" w:space="0" w:color="auto"/>
              <w:left w:val="single" w:sz="4" w:space="0" w:color="auto"/>
              <w:bottom w:val="single" w:sz="4" w:space="0" w:color="auto"/>
              <w:right w:val="single" w:sz="4" w:space="0" w:color="auto"/>
            </w:tcBorders>
            <w:hideMark/>
          </w:tcPr>
          <w:p w14:paraId="14E77B19"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715" w:type="pct"/>
            <w:tcBorders>
              <w:top w:val="single" w:sz="4" w:space="0" w:color="auto"/>
              <w:left w:val="single" w:sz="4" w:space="0" w:color="auto"/>
              <w:bottom w:val="single" w:sz="4" w:space="0" w:color="auto"/>
              <w:right w:val="single" w:sz="4" w:space="0" w:color="auto"/>
            </w:tcBorders>
            <w:hideMark/>
          </w:tcPr>
          <w:p w14:paraId="0F6A3B30"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4" w:type="pct"/>
            <w:tcBorders>
              <w:top w:val="single" w:sz="4" w:space="0" w:color="auto"/>
              <w:left w:val="single" w:sz="4" w:space="0" w:color="auto"/>
              <w:bottom w:val="single" w:sz="4" w:space="0" w:color="auto"/>
              <w:right w:val="single" w:sz="4" w:space="0" w:color="auto"/>
            </w:tcBorders>
            <w:hideMark/>
          </w:tcPr>
          <w:p w14:paraId="796D506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r>
      <w:tr w:rsidR="00D657C7" w:rsidRPr="009929B6" w14:paraId="37AB20AC"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5247C0D0"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714" w:type="pct"/>
            <w:tcBorders>
              <w:top w:val="single" w:sz="4" w:space="0" w:color="auto"/>
              <w:left w:val="single" w:sz="4" w:space="0" w:color="auto"/>
              <w:bottom w:val="single" w:sz="4" w:space="0" w:color="auto"/>
              <w:right w:val="single" w:sz="4" w:space="0" w:color="auto"/>
            </w:tcBorders>
            <w:vAlign w:val="bottom"/>
            <w:hideMark/>
          </w:tcPr>
          <w:p w14:paraId="25BCD597" w14:textId="77777777" w:rsidR="00D657C7" w:rsidRPr="009929B6" w:rsidRDefault="00D657C7">
            <w:pPr>
              <w:autoSpaceDE w:val="0"/>
              <w:autoSpaceDN w:val="0"/>
              <w:adjustRightInd w:val="0"/>
              <w:jc w:val="center"/>
              <w:rPr>
                <w:sz w:val="22"/>
                <w:szCs w:val="22"/>
              </w:rPr>
            </w:pPr>
            <w:r w:rsidRPr="009929B6">
              <w:rPr>
                <w:sz w:val="22"/>
                <w:szCs w:val="22"/>
              </w:rPr>
              <w:t>204</w:t>
            </w:r>
          </w:p>
        </w:tc>
        <w:tc>
          <w:tcPr>
            <w:tcW w:w="714" w:type="pct"/>
            <w:tcBorders>
              <w:top w:val="single" w:sz="4" w:space="0" w:color="auto"/>
              <w:left w:val="single" w:sz="4" w:space="0" w:color="auto"/>
              <w:bottom w:val="single" w:sz="4" w:space="0" w:color="auto"/>
              <w:right w:val="single" w:sz="4" w:space="0" w:color="auto"/>
            </w:tcBorders>
            <w:vAlign w:val="bottom"/>
            <w:hideMark/>
          </w:tcPr>
          <w:p w14:paraId="585AB627" w14:textId="77777777" w:rsidR="00D657C7" w:rsidRPr="009929B6" w:rsidRDefault="00D657C7">
            <w:pPr>
              <w:autoSpaceDE w:val="0"/>
              <w:autoSpaceDN w:val="0"/>
              <w:adjustRightInd w:val="0"/>
              <w:jc w:val="center"/>
              <w:rPr>
                <w:sz w:val="22"/>
                <w:szCs w:val="22"/>
              </w:rPr>
            </w:pPr>
            <w:r w:rsidRPr="009929B6">
              <w:rPr>
                <w:sz w:val="22"/>
                <w:szCs w:val="22"/>
              </w:rPr>
              <w:t>309</w:t>
            </w:r>
          </w:p>
        </w:tc>
        <w:tc>
          <w:tcPr>
            <w:tcW w:w="714" w:type="pct"/>
            <w:tcBorders>
              <w:top w:val="single" w:sz="4" w:space="0" w:color="auto"/>
              <w:left w:val="single" w:sz="4" w:space="0" w:color="auto"/>
              <w:bottom w:val="single" w:sz="4" w:space="0" w:color="auto"/>
              <w:right w:val="single" w:sz="4" w:space="0" w:color="auto"/>
            </w:tcBorders>
            <w:vAlign w:val="bottom"/>
            <w:hideMark/>
          </w:tcPr>
          <w:p w14:paraId="2B0AEE21" w14:textId="77777777" w:rsidR="00D657C7" w:rsidRPr="009929B6" w:rsidRDefault="00D657C7">
            <w:pPr>
              <w:autoSpaceDE w:val="0"/>
              <w:autoSpaceDN w:val="0"/>
              <w:adjustRightInd w:val="0"/>
              <w:jc w:val="center"/>
              <w:rPr>
                <w:sz w:val="22"/>
                <w:szCs w:val="22"/>
              </w:rPr>
            </w:pPr>
            <w:r w:rsidRPr="009929B6">
              <w:rPr>
                <w:sz w:val="22"/>
                <w:szCs w:val="22"/>
              </w:rPr>
              <w:t>219</w:t>
            </w:r>
          </w:p>
        </w:tc>
        <w:tc>
          <w:tcPr>
            <w:tcW w:w="715" w:type="pct"/>
            <w:tcBorders>
              <w:top w:val="single" w:sz="4" w:space="0" w:color="auto"/>
              <w:left w:val="single" w:sz="4" w:space="0" w:color="auto"/>
              <w:bottom w:val="single" w:sz="4" w:space="0" w:color="auto"/>
              <w:right w:val="single" w:sz="4" w:space="0" w:color="auto"/>
            </w:tcBorders>
            <w:vAlign w:val="bottom"/>
            <w:hideMark/>
          </w:tcPr>
          <w:p w14:paraId="5D5E3A68" w14:textId="77777777" w:rsidR="00D657C7" w:rsidRPr="009929B6" w:rsidRDefault="00D657C7">
            <w:pPr>
              <w:autoSpaceDE w:val="0"/>
              <w:autoSpaceDN w:val="0"/>
              <w:adjustRightInd w:val="0"/>
              <w:jc w:val="center"/>
              <w:rPr>
                <w:sz w:val="22"/>
                <w:szCs w:val="22"/>
              </w:rPr>
            </w:pPr>
            <w:r w:rsidRPr="009929B6">
              <w:rPr>
                <w:sz w:val="22"/>
                <w:szCs w:val="22"/>
              </w:rPr>
              <w:t>329</w:t>
            </w:r>
          </w:p>
        </w:tc>
        <w:tc>
          <w:tcPr>
            <w:tcW w:w="715" w:type="pct"/>
            <w:tcBorders>
              <w:top w:val="single" w:sz="4" w:space="0" w:color="auto"/>
              <w:left w:val="single" w:sz="4" w:space="0" w:color="auto"/>
              <w:bottom w:val="single" w:sz="4" w:space="0" w:color="auto"/>
              <w:right w:val="single" w:sz="4" w:space="0" w:color="auto"/>
            </w:tcBorders>
            <w:vAlign w:val="bottom"/>
            <w:hideMark/>
          </w:tcPr>
          <w:p w14:paraId="02F3A07F" w14:textId="77777777" w:rsidR="00D657C7" w:rsidRPr="009929B6" w:rsidRDefault="00D657C7">
            <w:pPr>
              <w:autoSpaceDE w:val="0"/>
              <w:autoSpaceDN w:val="0"/>
              <w:adjustRightInd w:val="0"/>
              <w:jc w:val="center"/>
              <w:rPr>
                <w:sz w:val="22"/>
                <w:szCs w:val="22"/>
              </w:rPr>
            </w:pPr>
            <w:r w:rsidRPr="009929B6">
              <w:rPr>
                <w:sz w:val="22"/>
                <w:szCs w:val="22"/>
              </w:rPr>
              <w:t>423</w:t>
            </w:r>
          </w:p>
        </w:tc>
        <w:tc>
          <w:tcPr>
            <w:tcW w:w="714" w:type="pct"/>
            <w:tcBorders>
              <w:top w:val="single" w:sz="4" w:space="0" w:color="auto"/>
              <w:left w:val="single" w:sz="4" w:space="0" w:color="auto"/>
              <w:bottom w:val="single" w:sz="4" w:space="0" w:color="auto"/>
              <w:right w:val="single" w:sz="4" w:space="0" w:color="auto"/>
            </w:tcBorders>
            <w:vAlign w:val="bottom"/>
            <w:hideMark/>
          </w:tcPr>
          <w:p w14:paraId="5760CD26" w14:textId="77777777" w:rsidR="00D657C7" w:rsidRPr="009929B6" w:rsidRDefault="00D657C7">
            <w:pPr>
              <w:autoSpaceDE w:val="0"/>
              <w:autoSpaceDN w:val="0"/>
              <w:adjustRightInd w:val="0"/>
              <w:jc w:val="center"/>
              <w:rPr>
                <w:sz w:val="22"/>
                <w:szCs w:val="22"/>
              </w:rPr>
            </w:pPr>
            <w:r w:rsidRPr="009929B6">
              <w:rPr>
                <w:sz w:val="22"/>
                <w:szCs w:val="22"/>
              </w:rPr>
              <w:t>638</w:t>
            </w:r>
          </w:p>
        </w:tc>
      </w:tr>
      <w:tr w:rsidR="00D657C7" w:rsidRPr="009929B6" w14:paraId="3D372227"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3B112640"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714" w:type="pct"/>
            <w:tcBorders>
              <w:top w:val="single" w:sz="4" w:space="0" w:color="auto"/>
              <w:left w:val="single" w:sz="4" w:space="0" w:color="auto"/>
              <w:bottom w:val="single" w:sz="4" w:space="0" w:color="auto"/>
              <w:right w:val="single" w:sz="4" w:space="0" w:color="auto"/>
            </w:tcBorders>
            <w:vAlign w:val="bottom"/>
            <w:hideMark/>
          </w:tcPr>
          <w:p w14:paraId="1BF52ED5" w14:textId="77777777" w:rsidR="00D657C7" w:rsidRPr="009929B6" w:rsidRDefault="00D657C7">
            <w:pPr>
              <w:autoSpaceDE w:val="0"/>
              <w:autoSpaceDN w:val="0"/>
              <w:adjustRightInd w:val="0"/>
              <w:jc w:val="center"/>
              <w:rPr>
                <w:sz w:val="22"/>
                <w:szCs w:val="22"/>
              </w:rPr>
            </w:pPr>
            <w:r w:rsidRPr="009929B6">
              <w:rPr>
                <w:sz w:val="22"/>
                <w:szCs w:val="22"/>
              </w:rPr>
              <w:t>−239.9</w:t>
            </w:r>
          </w:p>
          <w:p w14:paraId="28126318" w14:textId="77777777" w:rsidR="00D657C7" w:rsidRPr="009929B6" w:rsidRDefault="00D657C7">
            <w:pPr>
              <w:autoSpaceDE w:val="0"/>
              <w:autoSpaceDN w:val="0"/>
              <w:adjustRightInd w:val="0"/>
              <w:jc w:val="center"/>
              <w:rPr>
                <w:sz w:val="22"/>
                <w:szCs w:val="22"/>
              </w:rPr>
            </w:pPr>
            <w:r w:rsidRPr="009929B6">
              <w:rPr>
                <w:sz w:val="22"/>
                <w:szCs w:val="22"/>
              </w:rPr>
              <w:t>(18.71)</w:t>
            </w:r>
          </w:p>
        </w:tc>
        <w:tc>
          <w:tcPr>
            <w:tcW w:w="714" w:type="pct"/>
            <w:tcBorders>
              <w:top w:val="single" w:sz="4" w:space="0" w:color="auto"/>
              <w:left w:val="single" w:sz="4" w:space="0" w:color="auto"/>
              <w:bottom w:val="single" w:sz="4" w:space="0" w:color="auto"/>
              <w:right w:val="single" w:sz="4" w:space="0" w:color="auto"/>
            </w:tcBorders>
            <w:vAlign w:val="bottom"/>
            <w:hideMark/>
          </w:tcPr>
          <w:p w14:paraId="64704EA8" w14:textId="77777777" w:rsidR="00D657C7" w:rsidRPr="009929B6" w:rsidRDefault="00D657C7">
            <w:pPr>
              <w:autoSpaceDE w:val="0"/>
              <w:autoSpaceDN w:val="0"/>
              <w:adjustRightInd w:val="0"/>
              <w:jc w:val="center"/>
              <w:rPr>
                <w:sz w:val="22"/>
                <w:szCs w:val="22"/>
              </w:rPr>
            </w:pPr>
            <w:r w:rsidRPr="009929B6">
              <w:rPr>
                <w:sz w:val="22"/>
                <w:szCs w:val="22"/>
              </w:rPr>
              <w:t>−114.7</w:t>
            </w:r>
          </w:p>
          <w:p w14:paraId="4386730D" w14:textId="77777777" w:rsidR="00D657C7" w:rsidRPr="009929B6" w:rsidRDefault="00D657C7">
            <w:pPr>
              <w:autoSpaceDE w:val="0"/>
              <w:autoSpaceDN w:val="0"/>
              <w:adjustRightInd w:val="0"/>
              <w:jc w:val="center"/>
              <w:rPr>
                <w:sz w:val="22"/>
                <w:szCs w:val="22"/>
              </w:rPr>
            </w:pPr>
            <w:r w:rsidRPr="009929B6">
              <w:rPr>
                <w:sz w:val="22"/>
                <w:szCs w:val="22"/>
              </w:rPr>
              <w:t>(15.33)</w:t>
            </w:r>
          </w:p>
        </w:tc>
        <w:tc>
          <w:tcPr>
            <w:tcW w:w="714" w:type="pct"/>
            <w:tcBorders>
              <w:top w:val="single" w:sz="4" w:space="0" w:color="auto"/>
              <w:left w:val="single" w:sz="4" w:space="0" w:color="auto"/>
              <w:bottom w:val="single" w:sz="4" w:space="0" w:color="auto"/>
              <w:right w:val="single" w:sz="4" w:space="0" w:color="auto"/>
            </w:tcBorders>
            <w:vAlign w:val="bottom"/>
            <w:hideMark/>
          </w:tcPr>
          <w:p w14:paraId="17F88268" w14:textId="77777777" w:rsidR="00D657C7" w:rsidRPr="009929B6" w:rsidRDefault="00D657C7">
            <w:pPr>
              <w:autoSpaceDE w:val="0"/>
              <w:autoSpaceDN w:val="0"/>
              <w:adjustRightInd w:val="0"/>
              <w:jc w:val="center"/>
              <w:rPr>
                <w:sz w:val="22"/>
                <w:szCs w:val="22"/>
              </w:rPr>
            </w:pPr>
            <w:r w:rsidRPr="009929B6">
              <w:rPr>
                <w:sz w:val="22"/>
                <w:szCs w:val="22"/>
              </w:rPr>
              <w:t>−207.3</w:t>
            </w:r>
          </w:p>
          <w:p w14:paraId="33AF8A9A" w14:textId="77777777" w:rsidR="00D657C7" w:rsidRPr="009929B6" w:rsidRDefault="00D657C7">
            <w:pPr>
              <w:autoSpaceDE w:val="0"/>
              <w:autoSpaceDN w:val="0"/>
              <w:adjustRightInd w:val="0"/>
              <w:jc w:val="center"/>
              <w:rPr>
                <w:sz w:val="22"/>
                <w:szCs w:val="22"/>
              </w:rPr>
            </w:pPr>
            <w:r w:rsidRPr="009929B6">
              <w:rPr>
                <w:sz w:val="22"/>
                <w:szCs w:val="22"/>
              </w:rPr>
              <w:t>(19.31)</w:t>
            </w:r>
          </w:p>
        </w:tc>
        <w:tc>
          <w:tcPr>
            <w:tcW w:w="715" w:type="pct"/>
            <w:tcBorders>
              <w:top w:val="single" w:sz="4" w:space="0" w:color="auto"/>
              <w:left w:val="single" w:sz="4" w:space="0" w:color="auto"/>
              <w:bottom w:val="single" w:sz="4" w:space="0" w:color="auto"/>
              <w:right w:val="single" w:sz="4" w:space="0" w:color="auto"/>
            </w:tcBorders>
            <w:vAlign w:val="bottom"/>
            <w:hideMark/>
          </w:tcPr>
          <w:p w14:paraId="7064FFF9" w14:textId="77777777" w:rsidR="00D657C7" w:rsidRPr="009929B6" w:rsidRDefault="00D657C7">
            <w:pPr>
              <w:autoSpaceDE w:val="0"/>
              <w:autoSpaceDN w:val="0"/>
              <w:adjustRightInd w:val="0"/>
              <w:jc w:val="center"/>
              <w:rPr>
                <w:sz w:val="22"/>
                <w:szCs w:val="22"/>
              </w:rPr>
            </w:pPr>
            <w:r w:rsidRPr="009929B6">
              <w:rPr>
                <w:sz w:val="22"/>
                <w:szCs w:val="22"/>
              </w:rPr>
              <w:t>−113.6</w:t>
            </w:r>
          </w:p>
          <w:p w14:paraId="6DBCDEFA" w14:textId="77777777" w:rsidR="00D657C7" w:rsidRPr="009929B6" w:rsidRDefault="00D657C7">
            <w:pPr>
              <w:autoSpaceDE w:val="0"/>
              <w:autoSpaceDN w:val="0"/>
              <w:adjustRightInd w:val="0"/>
              <w:jc w:val="center"/>
              <w:rPr>
                <w:sz w:val="22"/>
                <w:szCs w:val="22"/>
              </w:rPr>
            </w:pPr>
            <w:r w:rsidRPr="009929B6">
              <w:rPr>
                <w:sz w:val="22"/>
                <w:szCs w:val="22"/>
              </w:rPr>
              <w:t>(15.73)</w:t>
            </w:r>
          </w:p>
        </w:tc>
        <w:tc>
          <w:tcPr>
            <w:tcW w:w="715" w:type="pct"/>
            <w:tcBorders>
              <w:top w:val="single" w:sz="4" w:space="0" w:color="auto"/>
              <w:left w:val="single" w:sz="4" w:space="0" w:color="auto"/>
              <w:bottom w:val="single" w:sz="4" w:space="0" w:color="auto"/>
              <w:right w:val="single" w:sz="4" w:space="0" w:color="auto"/>
            </w:tcBorders>
            <w:vAlign w:val="bottom"/>
            <w:hideMark/>
          </w:tcPr>
          <w:p w14:paraId="01C30FD7" w14:textId="77777777" w:rsidR="00D657C7" w:rsidRPr="009929B6" w:rsidRDefault="00D657C7">
            <w:pPr>
              <w:autoSpaceDE w:val="0"/>
              <w:autoSpaceDN w:val="0"/>
              <w:adjustRightInd w:val="0"/>
              <w:jc w:val="center"/>
              <w:rPr>
                <w:sz w:val="22"/>
                <w:szCs w:val="22"/>
              </w:rPr>
            </w:pPr>
            <w:r w:rsidRPr="009929B6">
              <w:rPr>
                <w:sz w:val="22"/>
                <w:szCs w:val="22"/>
              </w:rPr>
              <w:t>−223.5</w:t>
            </w:r>
          </w:p>
          <w:p w14:paraId="334357B0" w14:textId="77777777" w:rsidR="00D657C7" w:rsidRPr="009929B6" w:rsidRDefault="00D657C7">
            <w:pPr>
              <w:autoSpaceDE w:val="0"/>
              <w:autoSpaceDN w:val="0"/>
              <w:adjustRightInd w:val="0"/>
              <w:jc w:val="center"/>
              <w:rPr>
                <w:sz w:val="22"/>
                <w:szCs w:val="22"/>
              </w:rPr>
            </w:pPr>
            <w:r w:rsidRPr="009929B6">
              <w:rPr>
                <w:sz w:val="22"/>
                <w:szCs w:val="22"/>
              </w:rPr>
              <w:t>(13.45)</w:t>
            </w:r>
          </w:p>
        </w:tc>
        <w:tc>
          <w:tcPr>
            <w:tcW w:w="714" w:type="pct"/>
            <w:tcBorders>
              <w:top w:val="single" w:sz="4" w:space="0" w:color="auto"/>
              <w:left w:val="single" w:sz="4" w:space="0" w:color="auto"/>
              <w:bottom w:val="single" w:sz="4" w:space="0" w:color="auto"/>
              <w:right w:val="single" w:sz="4" w:space="0" w:color="auto"/>
            </w:tcBorders>
            <w:vAlign w:val="bottom"/>
            <w:hideMark/>
          </w:tcPr>
          <w:p w14:paraId="3987D7B4" w14:textId="77777777" w:rsidR="00D657C7" w:rsidRPr="009929B6" w:rsidRDefault="00D657C7">
            <w:pPr>
              <w:autoSpaceDE w:val="0"/>
              <w:autoSpaceDN w:val="0"/>
              <w:adjustRightInd w:val="0"/>
              <w:jc w:val="center"/>
              <w:rPr>
                <w:sz w:val="22"/>
                <w:szCs w:val="22"/>
              </w:rPr>
            </w:pPr>
            <w:r w:rsidRPr="009929B6">
              <w:rPr>
                <w:sz w:val="22"/>
                <w:szCs w:val="22"/>
              </w:rPr>
              <w:t>−113.6</w:t>
            </w:r>
          </w:p>
          <w:p w14:paraId="2B6AD9ED" w14:textId="77777777" w:rsidR="00D657C7" w:rsidRPr="009929B6" w:rsidRDefault="00D657C7">
            <w:pPr>
              <w:autoSpaceDE w:val="0"/>
              <w:autoSpaceDN w:val="0"/>
              <w:adjustRightInd w:val="0"/>
              <w:jc w:val="center"/>
              <w:rPr>
                <w:sz w:val="22"/>
                <w:szCs w:val="22"/>
              </w:rPr>
            </w:pPr>
            <w:r w:rsidRPr="009929B6">
              <w:rPr>
                <w:sz w:val="22"/>
                <w:szCs w:val="22"/>
              </w:rPr>
              <w:t>(10.98)</w:t>
            </w:r>
          </w:p>
        </w:tc>
      </w:tr>
      <w:tr w:rsidR="00D657C7" w:rsidRPr="009929B6" w14:paraId="5A3A13CD"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07260FD5"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5553D55B"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01168CDF"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714" w:type="pct"/>
            <w:tcBorders>
              <w:top w:val="single" w:sz="4" w:space="0" w:color="auto"/>
              <w:left w:val="single" w:sz="4" w:space="0" w:color="auto"/>
              <w:bottom w:val="single" w:sz="4" w:space="0" w:color="auto"/>
              <w:right w:val="single" w:sz="4" w:space="0" w:color="auto"/>
            </w:tcBorders>
          </w:tcPr>
          <w:p w14:paraId="592701FB"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4883D226" w14:textId="77777777" w:rsidR="00D657C7" w:rsidRPr="009929B6" w:rsidRDefault="00D657C7">
            <w:pPr>
              <w:autoSpaceDE w:val="0"/>
              <w:autoSpaceDN w:val="0"/>
              <w:adjustRightInd w:val="0"/>
              <w:jc w:val="center"/>
              <w:rPr>
                <w:sz w:val="22"/>
                <w:szCs w:val="22"/>
              </w:rPr>
            </w:pPr>
            <w:r w:rsidRPr="009929B6">
              <w:rPr>
                <w:sz w:val="22"/>
                <w:szCs w:val="22"/>
              </w:rPr>
              <w:t>125.3</w:t>
            </w:r>
          </w:p>
        </w:tc>
        <w:tc>
          <w:tcPr>
            <w:tcW w:w="714" w:type="pct"/>
            <w:tcBorders>
              <w:top w:val="single" w:sz="4" w:space="0" w:color="auto"/>
              <w:left w:val="single" w:sz="4" w:space="0" w:color="auto"/>
              <w:bottom w:val="single" w:sz="4" w:space="0" w:color="auto"/>
              <w:right w:val="single" w:sz="4" w:space="0" w:color="auto"/>
            </w:tcBorders>
            <w:vAlign w:val="center"/>
          </w:tcPr>
          <w:p w14:paraId="0421EA8D" w14:textId="77777777" w:rsidR="00D657C7" w:rsidRPr="009929B6" w:rsidRDefault="00D657C7">
            <w:pPr>
              <w:autoSpaceDE w:val="0"/>
              <w:autoSpaceDN w:val="0"/>
              <w:adjustRightInd w:val="0"/>
              <w:jc w:val="center"/>
              <w:rPr>
                <w:sz w:val="22"/>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242FE889" w14:textId="77777777" w:rsidR="00D657C7" w:rsidRPr="009929B6" w:rsidRDefault="00D657C7">
            <w:pPr>
              <w:autoSpaceDE w:val="0"/>
              <w:autoSpaceDN w:val="0"/>
              <w:adjustRightInd w:val="0"/>
              <w:jc w:val="center"/>
              <w:rPr>
                <w:sz w:val="22"/>
                <w:szCs w:val="22"/>
              </w:rPr>
            </w:pPr>
            <w:r w:rsidRPr="009929B6">
              <w:rPr>
                <w:sz w:val="22"/>
                <w:szCs w:val="22"/>
              </w:rPr>
              <w:t>93.7</w:t>
            </w:r>
          </w:p>
        </w:tc>
        <w:tc>
          <w:tcPr>
            <w:tcW w:w="715" w:type="pct"/>
            <w:tcBorders>
              <w:top w:val="single" w:sz="4" w:space="0" w:color="auto"/>
              <w:left w:val="single" w:sz="4" w:space="0" w:color="auto"/>
              <w:bottom w:val="single" w:sz="4" w:space="0" w:color="auto"/>
              <w:right w:val="single" w:sz="4" w:space="0" w:color="auto"/>
            </w:tcBorders>
            <w:vAlign w:val="center"/>
          </w:tcPr>
          <w:p w14:paraId="5CF883EB" w14:textId="77777777" w:rsidR="00D657C7" w:rsidRPr="009929B6" w:rsidRDefault="00D657C7">
            <w:pPr>
              <w:autoSpaceDE w:val="0"/>
              <w:autoSpaceDN w:val="0"/>
              <w:adjustRightInd w:val="0"/>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44E9B865" w14:textId="77777777" w:rsidR="00D657C7" w:rsidRPr="009929B6" w:rsidRDefault="00D657C7">
            <w:pPr>
              <w:autoSpaceDE w:val="0"/>
              <w:autoSpaceDN w:val="0"/>
              <w:adjustRightInd w:val="0"/>
              <w:jc w:val="center"/>
              <w:rPr>
                <w:sz w:val="22"/>
                <w:szCs w:val="22"/>
              </w:rPr>
            </w:pPr>
            <w:r w:rsidRPr="009929B6">
              <w:rPr>
                <w:sz w:val="22"/>
                <w:szCs w:val="22"/>
              </w:rPr>
              <w:t>109.9</w:t>
            </w:r>
          </w:p>
        </w:tc>
      </w:tr>
      <w:tr w:rsidR="00D657C7" w:rsidRPr="009929B6" w14:paraId="20B8356E"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0C2CD5A9" w14:textId="77777777" w:rsidR="00D657C7" w:rsidRPr="009929B6" w:rsidRDefault="00D657C7">
            <w:pPr>
              <w:autoSpaceDE w:val="0"/>
              <w:autoSpaceDN w:val="0"/>
              <w:adjustRightInd w:val="0"/>
              <w:rPr>
                <w:sz w:val="22"/>
                <w:szCs w:val="22"/>
              </w:rPr>
            </w:pPr>
            <w:r w:rsidRPr="009929B6">
              <w:rPr>
                <w:sz w:val="22"/>
                <w:szCs w:val="22"/>
              </w:rPr>
              <w:t>95% CI</w:t>
            </w:r>
          </w:p>
        </w:tc>
        <w:tc>
          <w:tcPr>
            <w:tcW w:w="714" w:type="pct"/>
            <w:tcBorders>
              <w:top w:val="single" w:sz="4" w:space="0" w:color="auto"/>
              <w:left w:val="single" w:sz="4" w:space="0" w:color="auto"/>
              <w:bottom w:val="single" w:sz="4" w:space="0" w:color="auto"/>
              <w:right w:val="single" w:sz="4" w:space="0" w:color="auto"/>
            </w:tcBorders>
          </w:tcPr>
          <w:p w14:paraId="2F0D6074"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2F3A147D" w14:textId="77777777" w:rsidR="00D657C7" w:rsidRPr="009929B6" w:rsidRDefault="00D657C7">
            <w:pPr>
              <w:autoSpaceDE w:val="0"/>
              <w:autoSpaceDN w:val="0"/>
              <w:adjustRightInd w:val="0"/>
              <w:jc w:val="center"/>
              <w:rPr>
                <w:sz w:val="22"/>
                <w:szCs w:val="22"/>
              </w:rPr>
            </w:pPr>
            <w:r w:rsidRPr="009929B6">
              <w:rPr>
                <w:sz w:val="22"/>
                <w:szCs w:val="22"/>
              </w:rPr>
              <w:t>(77.7,</w:t>
            </w:r>
          </w:p>
          <w:p w14:paraId="6230CAC9" w14:textId="77777777" w:rsidR="00D657C7" w:rsidRPr="009929B6" w:rsidRDefault="00D657C7">
            <w:pPr>
              <w:autoSpaceDE w:val="0"/>
              <w:autoSpaceDN w:val="0"/>
              <w:adjustRightInd w:val="0"/>
              <w:jc w:val="center"/>
              <w:rPr>
                <w:sz w:val="22"/>
                <w:szCs w:val="22"/>
              </w:rPr>
            </w:pPr>
            <w:r w:rsidRPr="009929B6">
              <w:rPr>
                <w:sz w:val="22"/>
                <w:szCs w:val="22"/>
              </w:rPr>
              <w:t>172.8)</w:t>
            </w:r>
          </w:p>
        </w:tc>
        <w:tc>
          <w:tcPr>
            <w:tcW w:w="714" w:type="pct"/>
            <w:tcBorders>
              <w:top w:val="single" w:sz="4" w:space="0" w:color="auto"/>
              <w:left w:val="single" w:sz="4" w:space="0" w:color="auto"/>
              <w:bottom w:val="single" w:sz="4" w:space="0" w:color="auto"/>
              <w:right w:val="single" w:sz="4" w:space="0" w:color="auto"/>
            </w:tcBorders>
            <w:vAlign w:val="center"/>
          </w:tcPr>
          <w:p w14:paraId="04E076E3" w14:textId="77777777" w:rsidR="00D657C7" w:rsidRPr="009929B6" w:rsidRDefault="00D657C7">
            <w:pPr>
              <w:autoSpaceDE w:val="0"/>
              <w:autoSpaceDN w:val="0"/>
              <w:adjustRightInd w:val="0"/>
              <w:jc w:val="center"/>
              <w:rPr>
                <w:sz w:val="22"/>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323D8B3A" w14:textId="77777777" w:rsidR="00D657C7" w:rsidRPr="009929B6" w:rsidRDefault="00D657C7">
            <w:pPr>
              <w:autoSpaceDE w:val="0"/>
              <w:autoSpaceDN w:val="0"/>
              <w:adjustRightInd w:val="0"/>
              <w:jc w:val="center"/>
              <w:rPr>
                <w:sz w:val="22"/>
                <w:szCs w:val="22"/>
              </w:rPr>
            </w:pPr>
            <w:r w:rsidRPr="009929B6">
              <w:rPr>
                <w:sz w:val="22"/>
                <w:szCs w:val="22"/>
              </w:rPr>
              <w:t>(44.8,</w:t>
            </w:r>
          </w:p>
          <w:p w14:paraId="7E1302B6" w14:textId="77777777" w:rsidR="00D657C7" w:rsidRPr="009929B6" w:rsidRDefault="00D657C7">
            <w:pPr>
              <w:autoSpaceDE w:val="0"/>
              <w:autoSpaceDN w:val="0"/>
              <w:adjustRightInd w:val="0"/>
              <w:jc w:val="center"/>
              <w:rPr>
                <w:sz w:val="22"/>
                <w:szCs w:val="22"/>
              </w:rPr>
            </w:pPr>
            <w:r w:rsidRPr="009929B6">
              <w:rPr>
                <w:sz w:val="22"/>
                <w:szCs w:val="22"/>
              </w:rPr>
              <w:t>142.7)</w:t>
            </w:r>
          </w:p>
        </w:tc>
        <w:tc>
          <w:tcPr>
            <w:tcW w:w="715" w:type="pct"/>
            <w:tcBorders>
              <w:top w:val="single" w:sz="4" w:space="0" w:color="auto"/>
              <w:left w:val="single" w:sz="4" w:space="0" w:color="auto"/>
              <w:bottom w:val="single" w:sz="4" w:space="0" w:color="auto"/>
              <w:right w:val="single" w:sz="4" w:space="0" w:color="auto"/>
            </w:tcBorders>
            <w:vAlign w:val="center"/>
          </w:tcPr>
          <w:p w14:paraId="3A5C0DBB" w14:textId="77777777" w:rsidR="00D657C7" w:rsidRPr="009929B6" w:rsidRDefault="00D657C7">
            <w:pPr>
              <w:autoSpaceDE w:val="0"/>
              <w:autoSpaceDN w:val="0"/>
              <w:adjustRightInd w:val="0"/>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7887A475" w14:textId="77777777" w:rsidR="00D657C7" w:rsidRPr="009929B6" w:rsidRDefault="00D657C7">
            <w:pPr>
              <w:autoSpaceDE w:val="0"/>
              <w:autoSpaceDN w:val="0"/>
              <w:adjustRightInd w:val="0"/>
              <w:jc w:val="center"/>
              <w:rPr>
                <w:sz w:val="22"/>
                <w:szCs w:val="22"/>
              </w:rPr>
            </w:pPr>
            <w:r w:rsidRPr="009929B6">
              <w:rPr>
                <w:sz w:val="22"/>
                <w:szCs w:val="22"/>
              </w:rPr>
              <w:t>(75.9,</w:t>
            </w:r>
          </w:p>
          <w:p w14:paraId="06BD216E" w14:textId="77777777" w:rsidR="00D657C7" w:rsidRPr="009929B6" w:rsidRDefault="00D657C7">
            <w:pPr>
              <w:autoSpaceDE w:val="0"/>
              <w:autoSpaceDN w:val="0"/>
              <w:adjustRightInd w:val="0"/>
              <w:jc w:val="center"/>
              <w:rPr>
                <w:sz w:val="22"/>
                <w:szCs w:val="22"/>
              </w:rPr>
            </w:pPr>
            <w:r w:rsidRPr="009929B6">
              <w:rPr>
                <w:sz w:val="22"/>
                <w:szCs w:val="22"/>
              </w:rPr>
              <w:t>144.0)</w:t>
            </w:r>
          </w:p>
        </w:tc>
      </w:tr>
      <w:tr w:rsidR="00D657C7" w:rsidRPr="009929B6" w14:paraId="55DBCE79" w14:textId="77777777" w:rsidTr="00BF087A">
        <w:tc>
          <w:tcPr>
            <w:tcW w:w="714" w:type="pct"/>
            <w:tcBorders>
              <w:top w:val="single" w:sz="4" w:space="0" w:color="auto"/>
              <w:left w:val="single" w:sz="4" w:space="0" w:color="auto"/>
              <w:bottom w:val="single" w:sz="4" w:space="0" w:color="auto"/>
              <w:right w:val="single" w:sz="4" w:space="0" w:color="auto"/>
            </w:tcBorders>
            <w:hideMark/>
          </w:tcPr>
          <w:p w14:paraId="55E686D7" w14:textId="77777777" w:rsidR="00D657C7" w:rsidRPr="009929B6" w:rsidRDefault="00D657C7">
            <w:pPr>
              <w:autoSpaceDE w:val="0"/>
              <w:autoSpaceDN w:val="0"/>
              <w:adjustRightInd w:val="0"/>
              <w:rPr>
                <w:sz w:val="22"/>
                <w:szCs w:val="22"/>
              </w:rPr>
            </w:pPr>
            <w:r w:rsidRPr="009929B6">
              <w:rPr>
                <w:sz w:val="22"/>
                <w:szCs w:val="22"/>
              </w:rPr>
              <w:t>p-value</w:t>
            </w:r>
          </w:p>
        </w:tc>
        <w:tc>
          <w:tcPr>
            <w:tcW w:w="714" w:type="pct"/>
            <w:tcBorders>
              <w:top w:val="single" w:sz="4" w:space="0" w:color="auto"/>
              <w:left w:val="single" w:sz="4" w:space="0" w:color="auto"/>
              <w:bottom w:val="single" w:sz="4" w:space="0" w:color="auto"/>
              <w:right w:val="single" w:sz="4" w:space="0" w:color="auto"/>
            </w:tcBorders>
          </w:tcPr>
          <w:p w14:paraId="07CFC3B2" w14:textId="77777777" w:rsidR="00D657C7" w:rsidRPr="009929B6" w:rsidRDefault="00D657C7">
            <w:pPr>
              <w:autoSpaceDE w:val="0"/>
              <w:autoSpaceDN w:val="0"/>
              <w:adjustRightInd w:val="0"/>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4893321F" w14:textId="77777777" w:rsidR="00D657C7" w:rsidRPr="009929B6" w:rsidRDefault="00D657C7">
            <w:pPr>
              <w:autoSpaceDE w:val="0"/>
              <w:autoSpaceDN w:val="0"/>
              <w:adjustRightInd w:val="0"/>
              <w:jc w:val="center"/>
              <w:rPr>
                <w:sz w:val="22"/>
                <w:szCs w:val="22"/>
              </w:rPr>
            </w:pPr>
            <w:r w:rsidRPr="009929B6">
              <w:rPr>
                <w:sz w:val="22"/>
                <w:szCs w:val="22"/>
              </w:rPr>
              <w:t>&lt;0.0001</w:t>
            </w:r>
          </w:p>
        </w:tc>
        <w:tc>
          <w:tcPr>
            <w:tcW w:w="714" w:type="pct"/>
            <w:tcBorders>
              <w:top w:val="single" w:sz="4" w:space="0" w:color="auto"/>
              <w:left w:val="single" w:sz="4" w:space="0" w:color="auto"/>
              <w:bottom w:val="single" w:sz="4" w:space="0" w:color="auto"/>
              <w:right w:val="single" w:sz="4" w:space="0" w:color="auto"/>
            </w:tcBorders>
            <w:vAlign w:val="center"/>
          </w:tcPr>
          <w:p w14:paraId="51F69A6A" w14:textId="77777777" w:rsidR="00D657C7" w:rsidRPr="009929B6" w:rsidRDefault="00D657C7">
            <w:pPr>
              <w:autoSpaceDE w:val="0"/>
              <w:autoSpaceDN w:val="0"/>
              <w:adjustRightInd w:val="0"/>
              <w:jc w:val="center"/>
              <w:rPr>
                <w:sz w:val="22"/>
                <w:szCs w:val="22"/>
              </w:rPr>
            </w:pPr>
          </w:p>
        </w:tc>
        <w:tc>
          <w:tcPr>
            <w:tcW w:w="715" w:type="pct"/>
            <w:tcBorders>
              <w:top w:val="single" w:sz="4" w:space="0" w:color="auto"/>
              <w:left w:val="single" w:sz="4" w:space="0" w:color="auto"/>
              <w:bottom w:val="single" w:sz="4" w:space="0" w:color="auto"/>
              <w:right w:val="single" w:sz="4" w:space="0" w:color="auto"/>
            </w:tcBorders>
            <w:vAlign w:val="center"/>
            <w:hideMark/>
          </w:tcPr>
          <w:p w14:paraId="7C8EB576" w14:textId="77777777" w:rsidR="00D657C7" w:rsidRPr="009929B6" w:rsidRDefault="00D657C7">
            <w:pPr>
              <w:autoSpaceDE w:val="0"/>
              <w:autoSpaceDN w:val="0"/>
              <w:adjustRightInd w:val="0"/>
              <w:jc w:val="center"/>
              <w:rPr>
                <w:sz w:val="22"/>
                <w:szCs w:val="22"/>
              </w:rPr>
            </w:pPr>
            <w:r w:rsidRPr="009929B6">
              <w:rPr>
                <w:sz w:val="22"/>
                <w:szCs w:val="22"/>
              </w:rPr>
              <w:t>0.0002</w:t>
            </w:r>
          </w:p>
        </w:tc>
        <w:tc>
          <w:tcPr>
            <w:tcW w:w="715" w:type="pct"/>
            <w:tcBorders>
              <w:top w:val="single" w:sz="4" w:space="0" w:color="auto"/>
              <w:left w:val="single" w:sz="4" w:space="0" w:color="auto"/>
              <w:bottom w:val="single" w:sz="4" w:space="0" w:color="auto"/>
              <w:right w:val="single" w:sz="4" w:space="0" w:color="auto"/>
            </w:tcBorders>
            <w:vAlign w:val="center"/>
          </w:tcPr>
          <w:p w14:paraId="09D471B9" w14:textId="77777777" w:rsidR="00D657C7" w:rsidRPr="009929B6" w:rsidRDefault="00D657C7">
            <w:pPr>
              <w:autoSpaceDE w:val="0"/>
              <w:autoSpaceDN w:val="0"/>
              <w:adjustRightInd w:val="0"/>
              <w:jc w:val="center"/>
              <w:rPr>
                <w:sz w:val="22"/>
                <w:szCs w:val="22"/>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361B7171" w14:textId="77777777" w:rsidR="00D657C7" w:rsidRPr="009929B6" w:rsidRDefault="00D657C7">
            <w:pPr>
              <w:autoSpaceDE w:val="0"/>
              <w:autoSpaceDN w:val="0"/>
              <w:adjustRightInd w:val="0"/>
              <w:jc w:val="center"/>
              <w:rPr>
                <w:sz w:val="22"/>
                <w:szCs w:val="22"/>
              </w:rPr>
            </w:pPr>
            <w:r w:rsidRPr="009929B6">
              <w:rPr>
                <w:sz w:val="22"/>
                <w:szCs w:val="22"/>
              </w:rPr>
              <w:t>&lt;0.0001</w:t>
            </w:r>
          </w:p>
        </w:tc>
      </w:tr>
    </w:tbl>
    <w:p w14:paraId="6C8CCA4D" w14:textId="77777777" w:rsidR="00D657C7" w:rsidRPr="00F85BD8" w:rsidRDefault="00D657C7" w:rsidP="00D657C7">
      <w:pPr>
        <w:autoSpaceDE w:val="0"/>
        <w:autoSpaceDN w:val="0"/>
        <w:adjustRightInd w:val="0"/>
        <w:rPr>
          <w:sz w:val="20"/>
          <w:lang w:val="en-GB" w:eastAsia="en-US"/>
        </w:rPr>
      </w:pPr>
      <w:r w:rsidRPr="00F85BD8">
        <w:rPr>
          <w:sz w:val="20"/>
          <w:vertAlign w:val="superscript"/>
          <w:lang w:val="en-US"/>
        </w:rPr>
        <w:t xml:space="preserve">1 </w:t>
      </w:r>
      <w:r w:rsidRPr="00F85BD8">
        <w:rPr>
          <w:sz w:val="20"/>
          <w:lang w:val="en-US"/>
        </w:rPr>
        <w:t>Estimated based on a random coefficient regression model.</w:t>
      </w:r>
    </w:p>
    <w:p w14:paraId="7039DDB6" w14:textId="77777777" w:rsidR="00D657C7" w:rsidRPr="00F85BD8" w:rsidRDefault="00D657C7" w:rsidP="00D657C7">
      <w:pPr>
        <w:autoSpaceDE w:val="0"/>
        <w:autoSpaceDN w:val="0"/>
        <w:adjustRightInd w:val="0"/>
        <w:rPr>
          <w:sz w:val="20"/>
          <w:lang w:val="en-US"/>
        </w:rPr>
      </w:pPr>
      <w:r w:rsidRPr="00F85BD8">
        <w:rPr>
          <w:sz w:val="20"/>
          <w:lang w:val="en-US"/>
        </w:rPr>
        <w:t>CI: confidence interval</w:t>
      </w:r>
    </w:p>
    <w:p w14:paraId="76FB8520" w14:textId="77777777" w:rsidR="00D657C7" w:rsidRPr="00F85BD8" w:rsidRDefault="00D657C7" w:rsidP="00D657C7">
      <w:pPr>
        <w:autoSpaceDE w:val="0"/>
        <w:autoSpaceDN w:val="0"/>
        <w:adjustRightInd w:val="0"/>
        <w:rPr>
          <w:sz w:val="24"/>
          <w:szCs w:val="24"/>
          <w:lang w:val="en-US"/>
        </w:rPr>
      </w:pPr>
    </w:p>
    <w:p w14:paraId="2A2F2020" w14:textId="77777777" w:rsidR="00D657C7" w:rsidRPr="00F85BD8" w:rsidRDefault="00D657C7" w:rsidP="00BF087A">
      <w:pPr>
        <w:ind w:left="851"/>
        <w:rPr>
          <w:sz w:val="24"/>
          <w:szCs w:val="24"/>
          <w:lang w:val="en-US"/>
        </w:rPr>
      </w:pPr>
      <w:r w:rsidRPr="00F85BD8">
        <w:rPr>
          <w:sz w:val="24"/>
          <w:szCs w:val="24"/>
          <w:lang w:val="en-US"/>
        </w:rPr>
        <w:t xml:space="preserve">In a sensitivity analysis which assumed that in patients with missing data at week 52 the FVC decline after the last observed value would be the same as in all placebo patients, the adjusted difference in the annual rate of decline between </w:t>
      </w:r>
      <w:proofErr w:type="spellStart"/>
      <w:r w:rsidRPr="00F85BD8">
        <w:rPr>
          <w:sz w:val="24"/>
          <w:szCs w:val="24"/>
          <w:lang w:val="en-US"/>
        </w:rPr>
        <w:t>nintedanib</w:t>
      </w:r>
      <w:proofErr w:type="spellEnd"/>
      <w:r w:rsidRPr="00F85BD8">
        <w:rPr>
          <w:sz w:val="24"/>
          <w:szCs w:val="24"/>
          <w:lang w:val="en-US"/>
        </w:rPr>
        <w:t xml:space="preserve"> and placebo was 113.9 mL/year (95% CI 69.2, 158.5) in INPULSIS</w:t>
      </w:r>
      <w:r w:rsidRPr="00F85BD8">
        <w:rPr>
          <w:sz w:val="24"/>
          <w:szCs w:val="24"/>
          <w:lang w:val="en-US"/>
        </w:rPr>
        <w:noBreakHyphen/>
        <w:t>1 and 83.3 mL/year (95% CI 37.6, 129.0) in INPULSIS</w:t>
      </w:r>
      <w:r w:rsidRPr="00F85BD8">
        <w:rPr>
          <w:sz w:val="24"/>
          <w:szCs w:val="24"/>
          <w:lang w:val="en-US"/>
        </w:rPr>
        <w:noBreakHyphen/>
        <w:t>2.</w:t>
      </w:r>
    </w:p>
    <w:p w14:paraId="6CF03D12" w14:textId="77777777" w:rsidR="00D657C7" w:rsidRPr="00F85BD8" w:rsidRDefault="00D657C7" w:rsidP="00BF087A">
      <w:pPr>
        <w:ind w:left="851"/>
        <w:rPr>
          <w:sz w:val="24"/>
          <w:szCs w:val="24"/>
          <w:lang w:val="en-US"/>
        </w:rPr>
      </w:pPr>
    </w:p>
    <w:p w14:paraId="5763C663" w14:textId="77777777" w:rsidR="00D657C7" w:rsidRPr="00F85BD8" w:rsidRDefault="00D657C7" w:rsidP="00BF087A">
      <w:pPr>
        <w:ind w:left="851"/>
        <w:rPr>
          <w:sz w:val="24"/>
          <w:szCs w:val="24"/>
          <w:lang w:val="en-US"/>
        </w:rPr>
      </w:pPr>
      <w:r w:rsidRPr="00F85BD8">
        <w:rPr>
          <w:sz w:val="24"/>
          <w:szCs w:val="24"/>
          <w:lang w:val="en-US"/>
        </w:rPr>
        <w:t>See Figure 1 for the evolution of change from baseline over time in both treatment groups, based on the pooled analysis of studies INPULSIS</w:t>
      </w:r>
      <w:r w:rsidRPr="00F85BD8">
        <w:rPr>
          <w:sz w:val="24"/>
          <w:szCs w:val="24"/>
          <w:lang w:val="en-US"/>
        </w:rPr>
        <w:noBreakHyphen/>
        <w:t>1 and INPULSIS</w:t>
      </w:r>
      <w:r w:rsidRPr="00F85BD8">
        <w:rPr>
          <w:sz w:val="24"/>
          <w:szCs w:val="24"/>
          <w:lang w:val="en-US"/>
        </w:rPr>
        <w:noBreakHyphen/>
        <w:t>2.</w:t>
      </w:r>
    </w:p>
    <w:p w14:paraId="29BE9EB4" w14:textId="77777777" w:rsidR="00D657C7" w:rsidRPr="00F85BD8" w:rsidRDefault="00D657C7" w:rsidP="00BF087A">
      <w:pPr>
        <w:ind w:left="851"/>
        <w:rPr>
          <w:sz w:val="24"/>
          <w:szCs w:val="24"/>
          <w:lang w:val="en-US"/>
        </w:rPr>
      </w:pPr>
    </w:p>
    <w:p w14:paraId="10DB37F6" w14:textId="6A884B76" w:rsidR="00D657C7" w:rsidRPr="00F85BD8" w:rsidRDefault="00D657C7" w:rsidP="00BF087A">
      <w:pPr>
        <w:keepNext/>
        <w:rPr>
          <w:b/>
          <w:sz w:val="24"/>
          <w:szCs w:val="24"/>
          <w:lang w:val="en-US"/>
        </w:rPr>
      </w:pPr>
      <w:r w:rsidRPr="00F85BD8">
        <w:rPr>
          <w:b/>
          <w:sz w:val="24"/>
          <w:szCs w:val="24"/>
          <w:lang w:val="en-US"/>
        </w:rPr>
        <w:t>Figure 1:</w:t>
      </w:r>
      <w:r w:rsidR="00BF087A" w:rsidRPr="00F85BD8">
        <w:rPr>
          <w:b/>
          <w:sz w:val="24"/>
          <w:szCs w:val="24"/>
          <w:lang w:val="en-US"/>
        </w:rPr>
        <w:t xml:space="preserve"> </w:t>
      </w:r>
      <w:r w:rsidRPr="00F85BD8">
        <w:rPr>
          <w:b/>
          <w:sz w:val="24"/>
          <w:szCs w:val="24"/>
          <w:lang w:val="en-US"/>
        </w:rPr>
        <w:t>Mean (SEM) observed FVC change from baseline (mL) over time, studies INPULSIS-1 and INPULSIS-2 pooled</w:t>
      </w:r>
    </w:p>
    <w:p w14:paraId="44FE804E" w14:textId="77777777" w:rsidR="00D657C7" w:rsidRPr="00F85BD8" w:rsidRDefault="00D657C7" w:rsidP="00BF087A">
      <w:pPr>
        <w:keepNext/>
        <w:autoSpaceDE w:val="0"/>
        <w:autoSpaceDN w:val="0"/>
        <w:adjustRightInd w:val="0"/>
        <w:ind w:left="1134" w:hanging="1134"/>
        <w:rPr>
          <w:sz w:val="24"/>
          <w:szCs w:val="24"/>
          <w:lang w:val="en-US"/>
        </w:rPr>
      </w:pPr>
    </w:p>
    <w:p w14:paraId="728D030E" w14:textId="14119F31" w:rsidR="00D657C7" w:rsidRPr="00F85BD8" w:rsidRDefault="00D657C7" w:rsidP="00BF087A">
      <w:pPr>
        <w:keepNext/>
        <w:autoSpaceDE w:val="0"/>
        <w:autoSpaceDN w:val="0"/>
        <w:adjustRightInd w:val="0"/>
        <w:rPr>
          <w:sz w:val="24"/>
          <w:szCs w:val="24"/>
        </w:rPr>
      </w:pPr>
      <w:r w:rsidRPr="00F85BD8">
        <w:rPr>
          <w:noProof/>
          <w:sz w:val="24"/>
          <w:szCs w:val="24"/>
        </w:rPr>
        <w:drawing>
          <wp:inline distT="0" distB="0" distL="0" distR="0" wp14:anchorId="1F3EF120" wp14:editId="46610BE1">
            <wp:extent cx="5753100" cy="35433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14:paraId="26BB1E4F" w14:textId="77777777" w:rsidR="00D657C7" w:rsidRPr="009929B6" w:rsidRDefault="00D657C7" w:rsidP="00BF087A">
      <w:pPr>
        <w:keepNext/>
        <w:autoSpaceDE w:val="0"/>
        <w:autoSpaceDN w:val="0"/>
        <w:adjustRightInd w:val="0"/>
        <w:rPr>
          <w:sz w:val="20"/>
          <w:lang w:val="en-US"/>
        </w:rPr>
      </w:pPr>
      <w:r w:rsidRPr="009929B6">
        <w:rPr>
          <w:sz w:val="20"/>
          <w:lang w:val="en-US"/>
        </w:rPr>
        <w:t>bid=twice daily</w:t>
      </w:r>
    </w:p>
    <w:p w14:paraId="738677AA" w14:textId="77777777" w:rsidR="00D657C7" w:rsidRPr="00F85BD8" w:rsidRDefault="00D657C7" w:rsidP="00BF087A">
      <w:pPr>
        <w:keepNext/>
        <w:autoSpaceDE w:val="0"/>
        <w:autoSpaceDN w:val="0"/>
        <w:adjustRightInd w:val="0"/>
        <w:rPr>
          <w:sz w:val="24"/>
          <w:szCs w:val="24"/>
          <w:lang w:val="en-US"/>
        </w:rPr>
      </w:pPr>
    </w:p>
    <w:p w14:paraId="08A9B317" w14:textId="77777777" w:rsidR="00D657C7" w:rsidRPr="009929B6" w:rsidRDefault="00D657C7" w:rsidP="00BF087A">
      <w:pPr>
        <w:ind w:left="851"/>
        <w:rPr>
          <w:i/>
          <w:sz w:val="24"/>
          <w:szCs w:val="24"/>
          <w:u w:val="single"/>
          <w:lang w:val="en-US"/>
        </w:rPr>
      </w:pPr>
      <w:r w:rsidRPr="009929B6">
        <w:rPr>
          <w:i/>
          <w:sz w:val="24"/>
          <w:szCs w:val="24"/>
          <w:u w:val="single"/>
          <w:lang w:val="en-US"/>
        </w:rPr>
        <w:t>FVC responder analysis</w:t>
      </w:r>
    </w:p>
    <w:p w14:paraId="7148366B" w14:textId="77777777" w:rsidR="00D657C7" w:rsidRPr="00F85BD8" w:rsidRDefault="00D657C7" w:rsidP="00BF087A">
      <w:pPr>
        <w:ind w:left="851"/>
        <w:rPr>
          <w:sz w:val="24"/>
          <w:szCs w:val="24"/>
          <w:lang w:val="en-US"/>
        </w:rPr>
      </w:pPr>
      <w:r w:rsidRPr="00F85BD8">
        <w:rPr>
          <w:sz w:val="24"/>
          <w:szCs w:val="24"/>
          <w:lang w:val="en-US"/>
        </w:rPr>
        <w:t xml:space="preserve">In both INPULSIS trials, the proportion of FVC responders, defined as patients with an absolute decline in FVC % predicted no greater than 5% (a threshold indicative of the increasing risk of mortality in IPF), was significantly higher in the </w:t>
      </w:r>
      <w:proofErr w:type="spellStart"/>
      <w:r w:rsidRPr="00F85BD8">
        <w:rPr>
          <w:sz w:val="24"/>
          <w:szCs w:val="24"/>
          <w:lang w:val="en-US"/>
        </w:rPr>
        <w:t>nintedanib</w:t>
      </w:r>
      <w:proofErr w:type="spellEnd"/>
      <w:r w:rsidRPr="00F85BD8">
        <w:rPr>
          <w:sz w:val="24"/>
          <w:szCs w:val="24"/>
          <w:lang w:val="en-US"/>
        </w:rPr>
        <w:t xml:space="preserve"> group as compared to placebo. Similar results were observed in analyses using a conservative threshold of 10%. See Table 4 for individual and pooled study results.</w:t>
      </w:r>
    </w:p>
    <w:p w14:paraId="7A5CA87E" w14:textId="77777777" w:rsidR="00D657C7" w:rsidRPr="00F85BD8" w:rsidRDefault="00D657C7" w:rsidP="00BF087A">
      <w:pPr>
        <w:ind w:left="851"/>
        <w:rPr>
          <w:sz w:val="24"/>
          <w:szCs w:val="24"/>
          <w:lang w:val="en-US"/>
        </w:rPr>
      </w:pPr>
    </w:p>
    <w:p w14:paraId="4FB8F344" w14:textId="2359E360" w:rsidR="00D657C7" w:rsidRPr="00F85BD8" w:rsidRDefault="00D657C7" w:rsidP="00BF087A">
      <w:pPr>
        <w:rPr>
          <w:b/>
          <w:sz w:val="24"/>
          <w:szCs w:val="24"/>
          <w:lang w:val="en-US"/>
        </w:rPr>
      </w:pPr>
      <w:r w:rsidRPr="00F85BD8">
        <w:rPr>
          <w:b/>
          <w:sz w:val="24"/>
          <w:szCs w:val="24"/>
          <w:lang w:val="en-US"/>
        </w:rPr>
        <w:t>Table 4:</w:t>
      </w:r>
      <w:r w:rsidR="00BF087A" w:rsidRPr="00F85BD8">
        <w:rPr>
          <w:b/>
          <w:sz w:val="24"/>
          <w:szCs w:val="24"/>
          <w:lang w:val="en-US"/>
        </w:rPr>
        <w:t xml:space="preserve"> </w:t>
      </w:r>
      <w:r w:rsidRPr="00F85BD8">
        <w:rPr>
          <w:b/>
          <w:sz w:val="24"/>
          <w:szCs w:val="24"/>
          <w:lang w:val="en-US"/>
        </w:rPr>
        <w:t>Proportion of FVC responders at 52 weeks in trials INPULSIS-1, INPULSIS-2 and their pooled data - treated set</w:t>
      </w:r>
    </w:p>
    <w:p w14:paraId="05595D89"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1956"/>
        <w:gridCol w:w="1207"/>
        <w:gridCol w:w="1358"/>
        <w:gridCol w:w="1205"/>
        <w:gridCol w:w="1358"/>
        <w:gridCol w:w="1275"/>
        <w:gridCol w:w="1269"/>
      </w:tblGrid>
      <w:tr w:rsidR="00D657C7" w:rsidRPr="009929B6" w14:paraId="605257B8" w14:textId="77777777" w:rsidTr="00BF087A">
        <w:trPr>
          <w:tblHeader/>
        </w:trPr>
        <w:tc>
          <w:tcPr>
            <w:tcW w:w="1016" w:type="pct"/>
            <w:tcBorders>
              <w:top w:val="single" w:sz="4" w:space="0" w:color="auto"/>
              <w:left w:val="single" w:sz="4" w:space="0" w:color="auto"/>
              <w:bottom w:val="single" w:sz="4" w:space="0" w:color="auto"/>
              <w:right w:val="single" w:sz="4" w:space="0" w:color="auto"/>
            </w:tcBorders>
          </w:tcPr>
          <w:p w14:paraId="5065FE7A" w14:textId="77777777" w:rsidR="00D657C7" w:rsidRPr="009929B6" w:rsidRDefault="00D657C7">
            <w:pPr>
              <w:autoSpaceDE w:val="0"/>
              <w:autoSpaceDN w:val="0"/>
              <w:adjustRightInd w:val="0"/>
              <w:rPr>
                <w:sz w:val="22"/>
                <w:szCs w:val="22"/>
              </w:rPr>
            </w:pPr>
          </w:p>
        </w:tc>
        <w:tc>
          <w:tcPr>
            <w:tcW w:w="1332" w:type="pct"/>
            <w:gridSpan w:val="2"/>
            <w:tcBorders>
              <w:top w:val="single" w:sz="4" w:space="0" w:color="auto"/>
              <w:left w:val="single" w:sz="4" w:space="0" w:color="auto"/>
              <w:bottom w:val="single" w:sz="4" w:space="0" w:color="auto"/>
              <w:right w:val="single" w:sz="4" w:space="0" w:color="auto"/>
            </w:tcBorders>
            <w:hideMark/>
          </w:tcPr>
          <w:p w14:paraId="73E06084" w14:textId="77777777" w:rsidR="00D657C7" w:rsidRPr="009929B6" w:rsidRDefault="00D657C7">
            <w:pPr>
              <w:autoSpaceDE w:val="0"/>
              <w:autoSpaceDN w:val="0"/>
              <w:adjustRightInd w:val="0"/>
              <w:jc w:val="center"/>
              <w:rPr>
                <w:b/>
                <w:sz w:val="22"/>
                <w:szCs w:val="22"/>
              </w:rPr>
            </w:pPr>
            <w:r w:rsidRPr="009929B6">
              <w:rPr>
                <w:b/>
                <w:sz w:val="22"/>
                <w:szCs w:val="22"/>
              </w:rPr>
              <w:t>INPULSIS</w:t>
            </w:r>
            <w:r w:rsidRPr="009929B6">
              <w:rPr>
                <w:b/>
                <w:sz w:val="22"/>
                <w:szCs w:val="22"/>
              </w:rPr>
              <w:noBreakHyphen/>
              <w:t>1</w:t>
            </w:r>
          </w:p>
        </w:tc>
        <w:tc>
          <w:tcPr>
            <w:tcW w:w="1331" w:type="pct"/>
            <w:gridSpan w:val="2"/>
            <w:tcBorders>
              <w:top w:val="single" w:sz="4" w:space="0" w:color="auto"/>
              <w:left w:val="single" w:sz="4" w:space="0" w:color="auto"/>
              <w:bottom w:val="single" w:sz="4" w:space="0" w:color="auto"/>
              <w:right w:val="single" w:sz="4" w:space="0" w:color="auto"/>
            </w:tcBorders>
            <w:hideMark/>
          </w:tcPr>
          <w:p w14:paraId="01E38BC3" w14:textId="77777777" w:rsidR="00D657C7" w:rsidRPr="009929B6" w:rsidRDefault="00D657C7">
            <w:pPr>
              <w:autoSpaceDE w:val="0"/>
              <w:autoSpaceDN w:val="0"/>
              <w:adjustRightInd w:val="0"/>
              <w:jc w:val="center"/>
              <w:rPr>
                <w:b/>
                <w:sz w:val="22"/>
                <w:szCs w:val="22"/>
              </w:rPr>
            </w:pPr>
            <w:r w:rsidRPr="009929B6">
              <w:rPr>
                <w:b/>
                <w:sz w:val="22"/>
                <w:szCs w:val="22"/>
                <w:lang w:val="en-US"/>
              </w:rPr>
              <w:t>INPULSIS</w:t>
            </w:r>
            <w:r w:rsidRPr="009929B6">
              <w:rPr>
                <w:b/>
                <w:sz w:val="22"/>
                <w:szCs w:val="22"/>
                <w:lang w:val="en-US"/>
              </w:rPr>
              <w:noBreakHyphen/>
              <w:t>2</w:t>
            </w:r>
          </w:p>
        </w:tc>
        <w:tc>
          <w:tcPr>
            <w:tcW w:w="1322" w:type="pct"/>
            <w:gridSpan w:val="2"/>
            <w:tcBorders>
              <w:top w:val="single" w:sz="4" w:space="0" w:color="auto"/>
              <w:left w:val="single" w:sz="4" w:space="0" w:color="auto"/>
              <w:bottom w:val="single" w:sz="4" w:space="0" w:color="auto"/>
              <w:right w:val="single" w:sz="4" w:space="0" w:color="auto"/>
            </w:tcBorders>
            <w:hideMark/>
          </w:tcPr>
          <w:p w14:paraId="11756939" w14:textId="77777777" w:rsidR="00D657C7" w:rsidRPr="009929B6" w:rsidRDefault="00D657C7">
            <w:pPr>
              <w:autoSpaceDE w:val="0"/>
              <w:autoSpaceDN w:val="0"/>
              <w:adjustRightInd w:val="0"/>
              <w:jc w:val="center"/>
              <w:rPr>
                <w:b/>
                <w:sz w:val="22"/>
                <w:szCs w:val="22"/>
              </w:rPr>
            </w:pPr>
            <w:r w:rsidRPr="009929B6">
              <w:rPr>
                <w:b/>
                <w:sz w:val="22"/>
                <w:szCs w:val="22"/>
                <w:lang w:val="en-US"/>
              </w:rPr>
              <w:t>INPULSIS</w:t>
            </w:r>
            <w:r w:rsidRPr="009929B6">
              <w:rPr>
                <w:b/>
                <w:sz w:val="22"/>
                <w:szCs w:val="22"/>
                <w:lang w:val="en-US"/>
              </w:rPr>
              <w:noBreakHyphen/>
              <w:t>1 and INPULSIS</w:t>
            </w:r>
            <w:r w:rsidRPr="009929B6">
              <w:rPr>
                <w:b/>
                <w:sz w:val="22"/>
                <w:szCs w:val="22"/>
                <w:lang w:val="en-US"/>
              </w:rPr>
              <w:noBreakHyphen/>
              <w:t>2 pooled</w:t>
            </w:r>
          </w:p>
        </w:tc>
      </w:tr>
      <w:tr w:rsidR="00D657C7" w:rsidRPr="009929B6" w14:paraId="2628D54F" w14:textId="77777777" w:rsidTr="00BF087A">
        <w:trPr>
          <w:tblHeader/>
        </w:trPr>
        <w:tc>
          <w:tcPr>
            <w:tcW w:w="1016" w:type="pct"/>
            <w:tcBorders>
              <w:top w:val="single" w:sz="4" w:space="0" w:color="auto"/>
              <w:left w:val="single" w:sz="4" w:space="0" w:color="auto"/>
              <w:bottom w:val="single" w:sz="4" w:space="0" w:color="auto"/>
              <w:right w:val="single" w:sz="4" w:space="0" w:color="auto"/>
            </w:tcBorders>
          </w:tcPr>
          <w:p w14:paraId="51FC1E89" w14:textId="77777777" w:rsidR="00D657C7" w:rsidRPr="009929B6" w:rsidRDefault="00D657C7">
            <w:pPr>
              <w:autoSpaceDE w:val="0"/>
              <w:autoSpaceDN w:val="0"/>
              <w:adjustRightInd w:val="0"/>
              <w:rPr>
                <w:sz w:val="22"/>
                <w:szCs w:val="22"/>
              </w:rPr>
            </w:pPr>
          </w:p>
        </w:tc>
        <w:tc>
          <w:tcPr>
            <w:tcW w:w="627" w:type="pct"/>
            <w:tcBorders>
              <w:top w:val="single" w:sz="4" w:space="0" w:color="auto"/>
              <w:left w:val="single" w:sz="4" w:space="0" w:color="auto"/>
              <w:bottom w:val="single" w:sz="4" w:space="0" w:color="auto"/>
              <w:right w:val="single" w:sz="4" w:space="0" w:color="auto"/>
            </w:tcBorders>
            <w:hideMark/>
          </w:tcPr>
          <w:p w14:paraId="502C4EC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4ED7F0EE"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26" w:type="pct"/>
            <w:tcBorders>
              <w:top w:val="single" w:sz="4" w:space="0" w:color="auto"/>
              <w:left w:val="single" w:sz="4" w:space="0" w:color="auto"/>
              <w:bottom w:val="single" w:sz="4" w:space="0" w:color="auto"/>
              <w:right w:val="single" w:sz="4" w:space="0" w:color="auto"/>
            </w:tcBorders>
            <w:hideMark/>
          </w:tcPr>
          <w:p w14:paraId="4D42A7D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112E951E"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62" w:type="pct"/>
            <w:tcBorders>
              <w:top w:val="single" w:sz="4" w:space="0" w:color="auto"/>
              <w:left w:val="single" w:sz="4" w:space="0" w:color="auto"/>
              <w:bottom w:val="single" w:sz="4" w:space="0" w:color="auto"/>
              <w:right w:val="single" w:sz="4" w:space="0" w:color="auto"/>
            </w:tcBorders>
            <w:hideMark/>
          </w:tcPr>
          <w:p w14:paraId="431B4C7B"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660" w:type="pct"/>
            <w:tcBorders>
              <w:top w:val="single" w:sz="4" w:space="0" w:color="auto"/>
              <w:left w:val="single" w:sz="4" w:space="0" w:color="auto"/>
              <w:bottom w:val="single" w:sz="4" w:space="0" w:color="auto"/>
              <w:right w:val="single" w:sz="4" w:space="0" w:color="auto"/>
            </w:tcBorders>
            <w:hideMark/>
          </w:tcPr>
          <w:p w14:paraId="0951E77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r>
      <w:tr w:rsidR="00D657C7" w:rsidRPr="009929B6" w14:paraId="60FB18F1"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78C09D3"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627" w:type="pct"/>
            <w:tcBorders>
              <w:top w:val="single" w:sz="4" w:space="0" w:color="auto"/>
              <w:left w:val="single" w:sz="4" w:space="0" w:color="auto"/>
              <w:bottom w:val="single" w:sz="4" w:space="0" w:color="auto"/>
              <w:right w:val="single" w:sz="4" w:space="0" w:color="auto"/>
            </w:tcBorders>
            <w:vAlign w:val="bottom"/>
            <w:hideMark/>
          </w:tcPr>
          <w:p w14:paraId="22619A21" w14:textId="77777777" w:rsidR="00D657C7" w:rsidRPr="009929B6" w:rsidRDefault="00D657C7">
            <w:pPr>
              <w:autoSpaceDE w:val="0"/>
              <w:autoSpaceDN w:val="0"/>
              <w:adjustRightInd w:val="0"/>
              <w:jc w:val="center"/>
              <w:rPr>
                <w:sz w:val="22"/>
                <w:szCs w:val="22"/>
              </w:rPr>
            </w:pPr>
            <w:r w:rsidRPr="009929B6">
              <w:rPr>
                <w:sz w:val="22"/>
                <w:szCs w:val="22"/>
              </w:rPr>
              <w:t>204</w:t>
            </w:r>
          </w:p>
        </w:tc>
        <w:tc>
          <w:tcPr>
            <w:tcW w:w="705" w:type="pct"/>
            <w:tcBorders>
              <w:top w:val="single" w:sz="4" w:space="0" w:color="auto"/>
              <w:left w:val="single" w:sz="4" w:space="0" w:color="auto"/>
              <w:bottom w:val="single" w:sz="4" w:space="0" w:color="auto"/>
              <w:right w:val="single" w:sz="4" w:space="0" w:color="auto"/>
            </w:tcBorders>
            <w:vAlign w:val="bottom"/>
            <w:hideMark/>
          </w:tcPr>
          <w:p w14:paraId="1562997D" w14:textId="77777777" w:rsidR="00D657C7" w:rsidRPr="009929B6" w:rsidRDefault="00D657C7">
            <w:pPr>
              <w:autoSpaceDE w:val="0"/>
              <w:autoSpaceDN w:val="0"/>
              <w:adjustRightInd w:val="0"/>
              <w:jc w:val="center"/>
              <w:rPr>
                <w:sz w:val="22"/>
                <w:szCs w:val="22"/>
              </w:rPr>
            </w:pPr>
            <w:r w:rsidRPr="009929B6">
              <w:rPr>
                <w:sz w:val="22"/>
                <w:szCs w:val="22"/>
              </w:rPr>
              <w:t>309</w:t>
            </w:r>
          </w:p>
        </w:tc>
        <w:tc>
          <w:tcPr>
            <w:tcW w:w="626" w:type="pct"/>
            <w:tcBorders>
              <w:top w:val="single" w:sz="4" w:space="0" w:color="auto"/>
              <w:left w:val="single" w:sz="4" w:space="0" w:color="auto"/>
              <w:bottom w:val="single" w:sz="4" w:space="0" w:color="auto"/>
              <w:right w:val="single" w:sz="4" w:space="0" w:color="auto"/>
            </w:tcBorders>
            <w:vAlign w:val="bottom"/>
            <w:hideMark/>
          </w:tcPr>
          <w:p w14:paraId="02A71E6A" w14:textId="77777777" w:rsidR="00D657C7" w:rsidRPr="009929B6" w:rsidRDefault="00D657C7">
            <w:pPr>
              <w:autoSpaceDE w:val="0"/>
              <w:autoSpaceDN w:val="0"/>
              <w:adjustRightInd w:val="0"/>
              <w:jc w:val="center"/>
              <w:rPr>
                <w:sz w:val="22"/>
                <w:szCs w:val="22"/>
              </w:rPr>
            </w:pPr>
            <w:r w:rsidRPr="009929B6">
              <w:rPr>
                <w:sz w:val="22"/>
                <w:szCs w:val="22"/>
              </w:rPr>
              <w:t>219</w:t>
            </w:r>
          </w:p>
        </w:tc>
        <w:tc>
          <w:tcPr>
            <w:tcW w:w="705" w:type="pct"/>
            <w:tcBorders>
              <w:top w:val="single" w:sz="4" w:space="0" w:color="auto"/>
              <w:left w:val="single" w:sz="4" w:space="0" w:color="auto"/>
              <w:bottom w:val="single" w:sz="4" w:space="0" w:color="auto"/>
              <w:right w:val="single" w:sz="4" w:space="0" w:color="auto"/>
            </w:tcBorders>
            <w:vAlign w:val="bottom"/>
            <w:hideMark/>
          </w:tcPr>
          <w:p w14:paraId="60467F5B" w14:textId="77777777" w:rsidR="00D657C7" w:rsidRPr="009929B6" w:rsidRDefault="00D657C7">
            <w:pPr>
              <w:autoSpaceDE w:val="0"/>
              <w:autoSpaceDN w:val="0"/>
              <w:adjustRightInd w:val="0"/>
              <w:jc w:val="center"/>
              <w:rPr>
                <w:sz w:val="22"/>
                <w:szCs w:val="22"/>
              </w:rPr>
            </w:pPr>
            <w:r w:rsidRPr="009929B6">
              <w:rPr>
                <w:sz w:val="22"/>
                <w:szCs w:val="22"/>
              </w:rPr>
              <w:t>329</w:t>
            </w:r>
          </w:p>
        </w:tc>
        <w:tc>
          <w:tcPr>
            <w:tcW w:w="662" w:type="pct"/>
            <w:tcBorders>
              <w:top w:val="single" w:sz="4" w:space="0" w:color="auto"/>
              <w:left w:val="single" w:sz="4" w:space="0" w:color="auto"/>
              <w:bottom w:val="single" w:sz="4" w:space="0" w:color="auto"/>
              <w:right w:val="single" w:sz="4" w:space="0" w:color="auto"/>
            </w:tcBorders>
            <w:vAlign w:val="bottom"/>
            <w:hideMark/>
          </w:tcPr>
          <w:p w14:paraId="0B909E68" w14:textId="77777777" w:rsidR="00D657C7" w:rsidRPr="009929B6" w:rsidRDefault="00D657C7">
            <w:pPr>
              <w:autoSpaceDE w:val="0"/>
              <w:autoSpaceDN w:val="0"/>
              <w:adjustRightInd w:val="0"/>
              <w:jc w:val="center"/>
              <w:rPr>
                <w:sz w:val="22"/>
                <w:szCs w:val="22"/>
              </w:rPr>
            </w:pPr>
            <w:r w:rsidRPr="009929B6">
              <w:rPr>
                <w:sz w:val="22"/>
                <w:szCs w:val="22"/>
              </w:rPr>
              <w:t>423</w:t>
            </w:r>
          </w:p>
        </w:tc>
        <w:tc>
          <w:tcPr>
            <w:tcW w:w="660" w:type="pct"/>
            <w:tcBorders>
              <w:top w:val="single" w:sz="4" w:space="0" w:color="auto"/>
              <w:left w:val="single" w:sz="4" w:space="0" w:color="auto"/>
              <w:bottom w:val="single" w:sz="4" w:space="0" w:color="auto"/>
              <w:right w:val="single" w:sz="4" w:space="0" w:color="auto"/>
            </w:tcBorders>
            <w:vAlign w:val="bottom"/>
            <w:hideMark/>
          </w:tcPr>
          <w:p w14:paraId="4619A5D1" w14:textId="77777777" w:rsidR="00D657C7" w:rsidRPr="009929B6" w:rsidRDefault="00D657C7">
            <w:pPr>
              <w:autoSpaceDE w:val="0"/>
              <w:autoSpaceDN w:val="0"/>
              <w:adjustRightInd w:val="0"/>
              <w:jc w:val="center"/>
              <w:rPr>
                <w:sz w:val="22"/>
                <w:szCs w:val="22"/>
              </w:rPr>
            </w:pPr>
            <w:r w:rsidRPr="009929B6">
              <w:rPr>
                <w:sz w:val="22"/>
                <w:szCs w:val="22"/>
              </w:rPr>
              <w:t>638</w:t>
            </w:r>
          </w:p>
        </w:tc>
      </w:tr>
      <w:tr w:rsidR="00D657C7" w:rsidRPr="009929B6" w14:paraId="316FBE58"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1BF8C379" w14:textId="77777777" w:rsidR="00D657C7" w:rsidRPr="009929B6" w:rsidRDefault="00D657C7">
            <w:pPr>
              <w:autoSpaceDE w:val="0"/>
              <w:autoSpaceDN w:val="0"/>
              <w:adjustRightInd w:val="0"/>
              <w:rPr>
                <w:b/>
                <w:sz w:val="22"/>
                <w:szCs w:val="22"/>
              </w:rPr>
            </w:pPr>
            <w:r w:rsidRPr="009929B6">
              <w:rPr>
                <w:b/>
                <w:sz w:val="22"/>
                <w:szCs w:val="22"/>
              </w:rPr>
              <w:t>5% threshold</w:t>
            </w:r>
          </w:p>
        </w:tc>
      </w:tr>
      <w:tr w:rsidR="00D657C7" w:rsidRPr="009929B6" w14:paraId="67AE0851"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26E5F117"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627" w:type="pct"/>
            <w:tcBorders>
              <w:top w:val="single" w:sz="4" w:space="0" w:color="auto"/>
              <w:left w:val="single" w:sz="4" w:space="0" w:color="auto"/>
              <w:bottom w:val="single" w:sz="4" w:space="0" w:color="auto"/>
              <w:right w:val="single" w:sz="4" w:space="0" w:color="auto"/>
            </w:tcBorders>
            <w:vAlign w:val="bottom"/>
            <w:hideMark/>
          </w:tcPr>
          <w:p w14:paraId="5E5EBEE5" w14:textId="77777777" w:rsidR="00D657C7" w:rsidRPr="009929B6" w:rsidRDefault="00D657C7">
            <w:pPr>
              <w:autoSpaceDE w:val="0"/>
              <w:autoSpaceDN w:val="0"/>
              <w:adjustRightInd w:val="0"/>
              <w:jc w:val="center"/>
              <w:rPr>
                <w:sz w:val="22"/>
                <w:szCs w:val="22"/>
              </w:rPr>
            </w:pPr>
            <w:r w:rsidRPr="009929B6">
              <w:rPr>
                <w:sz w:val="22"/>
                <w:szCs w:val="22"/>
              </w:rPr>
              <w:t>78 (38.2)</w:t>
            </w:r>
          </w:p>
        </w:tc>
        <w:tc>
          <w:tcPr>
            <w:tcW w:w="705" w:type="pct"/>
            <w:tcBorders>
              <w:top w:val="single" w:sz="4" w:space="0" w:color="auto"/>
              <w:left w:val="single" w:sz="4" w:space="0" w:color="auto"/>
              <w:bottom w:val="single" w:sz="4" w:space="0" w:color="auto"/>
              <w:right w:val="single" w:sz="4" w:space="0" w:color="auto"/>
            </w:tcBorders>
            <w:vAlign w:val="bottom"/>
            <w:hideMark/>
          </w:tcPr>
          <w:p w14:paraId="73CE323A" w14:textId="77777777" w:rsidR="00D657C7" w:rsidRPr="009929B6" w:rsidRDefault="00D657C7">
            <w:pPr>
              <w:autoSpaceDE w:val="0"/>
              <w:autoSpaceDN w:val="0"/>
              <w:adjustRightInd w:val="0"/>
              <w:jc w:val="center"/>
              <w:rPr>
                <w:sz w:val="22"/>
                <w:szCs w:val="22"/>
              </w:rPr>
            </w:pPr>
            <w:r w:rsidRPr="009929B6">
              <w:rPr>
                <w:sz w:val="22"/>
                <w:szCs w:val="22"/>
              </w:rPr>
              <w:t>163 (52.8)</w:t>
            </w:r>
          </w:p>
        </w:tc>
        <w:tc>
          <w:tcPr>
            <w:tcW w:w="626" w:type="pct"/>
            <w:tcBorders>
              <w:top w:val="single" w:sz="4" w:space="0" w:color="auto"/>
              <w:left w:val="single" w:sz="4" w:space="0" w:color="auto"/>
              <w:bottom w:val="single" w:sz="4" w:space="0" w:color="auto"/>
              <w:right w:val="single" w:sz="4" w:space="0" w:color="auto"/>
            </w:tcBorders>
            <w:vAlign w:val="bottom"/>
            <w:hideMark/>
          </w:tcPr>
          <w:p w14:paraId="4869CF82" w14:textId="77777777" w:rsidR="00D657C7" w:rsidRPr="009929B6" w:rsidRDefault="00D657C7">
            <w:pPr>
              <w:autoSpaceDE w:val="0"/>
              <w:autoSpaceDN w:val="0"/>
              <w:adjustRightInd w:val="0"/>
              <w:jc w:val="center"/>
              <w:rPr>
                <w:sz w:val="22"/>
                <w:szCs w:val="22"/>
              </w:rPr>
            </w:pPr>
            <w:r w:rsidRPr="009929B6">
              <w:rPr>
                <w:sz w:val="22"/>
                <w:szCs w:val="22"/>
              </w:rPr>
              <w:t>86 (39.3)</w:t>
            </w:r>
          </w:p>
        </w:tc>
        <w:tc>
          <w:tcPr>
            <w:tcW w:w="705" w:type="pct"/>
            <w:tcBorders>
              <w:top w:val="single" w:sz="4" w:space="0" w:color="auto"/>
              <w:left w:val="single" w:sz="4" w:space="0" w:color="auto"/>
              <w:bottom w:val="single" w:sz="4" w:space="0" w:color="auto"/>
              <w:right w:val="single" w:sz="4" w:space="0" w:color="auto"/>
            </w:tcBorders>
            <w:vAlign w:val="bottom"/>
            <w:hideMark/>
          </w:tcPr>
          <w:p w14:paraId="1E4A928F" w14:textId="77777777" w:rsidR="00D657C7" w:rsidRPr="009929B6" w:rsidRDefault="00D657C7">
            <w:pPr>
              <w:autoSpaceDE w:val="0"/>
              <w:autoSpaceDN w:val="0"/>
              <w:adjustRightInd w:val="0"/>
              <w:jc w:val="center"/>
              <w:rPr>
                <w:sz w:val="22"/>
                <w:szCs w:val="22"/>
              </w:rPr>
            </w:pPr>
            <w:r w:rsidRPr="009929B6">
              <w:rPr>
                <w:sz w:val="22"/>
                <w:szCs w:val="22"/>
              </w:rPr>
              <w:t>175 (53.2)</w:t>
            </w:r>
          </w:p>
        </w:tc>
        <w:tc>
          <w:tcPr>
            <w:tcW w:w="662" w:type="pct"/>
            <w:tcBorders>
              <w:top w:val="single" w:sz="4" w:space="0" w:color="auto"/>
              <w:left w:val="single" w:sz="4" w:space="0" w:color="auto"/>
              <w:bottom w:val="single" w:sz="4" w:space="0" w:color="auto"/>
              <w:right w:val="single" w:sz="4" w:space="0" w:color="auto"/>
            </w:tcBorders>
            <w:vAlign w:val="bottom"/>
            <w:hideMark/>
          </w:tcPr>
          <w:p w14:paraId="2DE533BE" w14:textId="77777777" w:rsidR="00D657C7" w:rsidRPr="009929B6" w:rsidRDefault="00D657C7">
            <w:pPr>
              <w:autoSpaceDE w:val="0"/>
              <w:autoSpaceDN w:val="0"/>
              <w:adjustRightInd w:val="0"/>
              <w:jc w:val="center"/>
              <w:rPr>
                <w:sz w:val="22"/>
                <w:szCs w:val="22"/>
              </w:rPr>
            </w:pPr>
            <w:r w:rsidRPr="009929B6">
              <w:rPr>
                <w:sz w:val="22"/>
                <w:szCs w:val="22"/>
              </w:rPr>
              <w:t>164 (38.8)</w:t>
            </w:r>
          </w:p>
        </w:tc>
        <w:tc>
          <w:tcPr>
            <w:tcW w:w="660" w:type="pct"/>
            <w:tcBorders>
              <w:top w:val="single" w:sz="4" w:space="0" w:color="auto"/>
              <w:left w:val="single" w:sz="4" w:space="0" w:color="auto"/>
              <w:bottom w:val="single" w:sz="4" w:space="0" w:color="auto"/>
              <w:right w:val="single" w:sz="4" w:space="0" w:color="auto"/>
            </w:tcBorders>
            <w:vAlign w:val="bottom"/>
            <w:hideMark/>
          </w:tcPr>
          <w:p w14:paraId="4CFED7EA" w14:textId="77777777" w:rsidR="00D657C7" w:rsidRPr="009929B6" w:rsidRDefault="00D657C7">
            <w:pPr>
              <w:autoSpaceDE w:val="0"/>
              <w:autoSpaceDN w:val="0"/>
              <w:adjustRightInd w:val="0"/>
              <w:jc w:val="center"/>
              <w:rPr>
                <w:sz w:val="22"/>
                <w:szCs w:val="22"/>
              </w:rPr>
            </w:pPr>
            <w:r w:rsidRPr="009929B6">
              <w:rPr>
                <w:sz w:val="22"/>
                <w:szCs w:val="22"/>
              </w:rPr>
              <w:t>338 (53.0)</w:t>
            </w:r>
          </w:p>
        </w:tc>
      </w:tr>
      <w:tr w:rsidR="00D657C7" w:rsidRPr="009929B6" w14:paraId="08C2FFA6"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1A82033D"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3807251E"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3BD63788" w14:textId="77777777" w:rsidR="00D657C7" w:rsidRPr="009929B6" w:rsidRDefault="00D657C7">
            <w:pPr>
              <w:autoSpaceDE w:val="0"/>
              <w:autoSpaceDN w:val="0"/>
              <w:adjustRightInd w:val="0"/>
              <w:rPr>
                <w:sz w:val="22"/>
                <w:szCs w:val="22"/>
              </w:rPr>
            </w:pPr>
            <w:r w:rsidRPr="009929B6">
              <w:rPr>
                <w:sz w:val="22"/>
                <w:szCs w:val="22"/>
              </w:rPr>
              <w:t>Odds ratio</w:t>
            </w:r>
          </w:p>
        </w:tc>
        <w:tc>
          <w:tcPr>
            <w:tcW w:w="627" w:type="pct"/>
            <w:tcBorders>
              <w:top w:val="single" w:sz="4" w:space="0" w:color="auto"/>
              <w:left w:val="single" w:sz="4" w:space="0" w:color="auto"/>
              <w:bottom w:val="single" w:sz="4" w:space="0" w:color="auto"/>
              <w:right w:val="single" w:sz="4" w:space="0" w:color="auto"/>
            </w:tcBorders>
            <w:vAlign w:val="center"/>
          </w:tcPr>
          <w:p w14:paraId="241D2709"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D6F5AD1" w14:textId="77777777" w:rsidR="00D657C7" w:rsidRPr="009929B6" w:rsidRDefault="00D657C7">
            <w:pPr>
              <w:autoSpaceDE w:val="0"/>
              <w:autoSpaceDN w:val="0"/>
              <w:adjustRightInd w:val="0"/>
              <w:jc w:val="center"/>
              <w:rPr>
                <w:sz w:val="22"/>
                <w:szCs w:val="22"/>
              </w:rPr>
            </w:pPr>
            <w:r w:rsidRPr="009929B6">
              <w:rPr>
                <w:sz w:val="22"/>
                <w:szCs w:val="22"/>
              </w:rPr>
              <w:t>1.85</w:t>
            </w:r>
          </w:p>
        </w:tc>
        <w:tc>
          <w:tcPr>
            <w:tcW w:w="626" w:type="pct"/>
            <w:tcBorders>
              <w:top w:val="single" w:sz="4" w:space="0" w:color="auto"/>
              <w:left w:val="single" w:sz="4" w:space="0" w:color="auto"/>
              <w:bottom w:val="single" w:sz="4" w:space="0" w:color="auto"/>
              <w:right w:val="single" w:sz="4" w:space="0" w:color="auto"/>
            </w:tcBorders>
            <w:vAlign w:val="center"/>
          </w:tcPr>
          <w:p w14:paraId="03FBAF8A"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989E9AB" w14:textId="77777777" w:rsidR="00D657C7" w:rsidRPr="009929B6" w:rsidRDefault="00D657C7">
            <w:pPr>
              <w:autoSpaceDE w:val="0"/>
              <w:autoSpaceDN w:val="0"/>
              <w:adjustRightInd w:val="0"/>
              <w:jc w:val="center"/>
              <w:rPr>
                <w:sz w:val="22"/>
                <w:szCs w:val="22"/>
              </w:rPr>
            </w:pPr>
            <w:r w:rsidRPr="009929B6">
              <w:rPr>
                <w:sz w:val="22"/>
                <w:szCs w:val="22"/>
              </w:rPr>
              <w:t>1.79</w:t>
            </w:r>
          </w:p>
        </w:tc>
        <w:tc>
          <w:tcPr>
            <w:tcW w:w="662" w:type="pct"/>
            <w:tcBorders>
              <w:top w:val="single" w:sz="4" w:space="0" w:color="auto"/>
              <w:left w:val="single" w:sz="4" w:space="0" w:color="auto"/>
              <w:bottom w:val="single" w:sz="4" w:space="0" w:color="auto"/>
              <w:right w:val="single" w:sz="4" w:space="0" w:color="auto"/>
            </w:tcBorders>
            <w:vAlign w:val="center"/>
          </w:tcPr>
          <w:p w14:paraId="6AD62939"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34F86353" w14:textId="77777777" w:rsidR="00D657C7" w:rsidRPr="009929B6" w:rsidRDefault="00D657C7">
            <w:pPr>
              <w:autoSpaceDE w:val="0"/>
              <w:autoSpaceDN w:val="0"/>
              <w:adjustRightInd w:val="0"/>
              <w:jc w:val="center"/>
              <w:rPr>
                <w:sz w:val="22"/>
                <w:szCs w:val="22"/>
              </w:rPr>
            </w:pPr>
            <w:r w:rsidRPr="009929B6">
              <w:rPr>
                <w:sz w:val="22"/>
                <w:szCs w:val="22"/>
              </w:rPr>
              <w:t>1.84</w:t>
            </w:r>
          </w:p>
        </w:tc>
      </w:tr>
      <w:tr w:rsidR="00D657C7" w:rsidRPr="009929B6" w14:paraId="3CC10760"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527D20F" w14:textId="77777777" w:rsidR="00D657C7" w:rsidRPr="009929B6" w:rsidRDefault="00D657C7">
            <w:pPr>
              <w:autoSpaceDE w:val="0"/>
              <w:autoSpaceDN w:val="0"/>
              <w:adjustRightInd w:val="0"/>
              <w:rPr>
                <w:sz w:val="22"/>
                <w:szCs w:val="22"/>
              </w:rPr>
            </w:pPr>
            <w:r w:rsidRPr="009929B6">
              <w:rPr>
                <w:sz w:val="22"/>
                <w:szCs w:val="22"/>
              </w:rPr>
              <w:t>95% CI</w:t>
            </w:r>
          </w:p>
        </w:tc>
        <w:tc>
          <w:tcPr>
            <w:tcW w:w="627" w:type="pct"/>
            <w:tcBorders>
              <w:top w:val="single" w:sz="4" w:space="0" w:color="auto"/>
              <w:left w:val="single" w:sz="4" w:space="0" w:color="auto"/>
              <w:bottom w:val="single" w:sz="4" w:space="0" w:color="auto"/>
              <w:right w:val="single" w:sz="4" w:space="0" w:color="auto"/>
            </w:tcBorders>
            <w:vAlign w:val="center"/>
          </w:tcPr>
          <w:p w14:paraId="63B23AFA"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478D6522" w14:textId="77777777" w:rsidR="00D657C7" w:rsidRPr="009929B6" w:rsidRDefault="00D657C7">
            <w:pPr>
              <w:autoSpaceDE w:val="0"/>
              <w:autoSpaceDN w:val="0"/>
              <w:adjustRightInd w:val="0"/>
              <w:jc w:val="center"/>
              <w:rPr>
                <w:sz w:val="22"/>
                <w:szCs w:val="22"/>
              </w:rPr>
            </w:pPr>
            <w:r w:rsidRPr="009929B6">
              <w:rPr>
                <w:sz w:val="22"/>
                <w:szCs w:val="22"/>
              </w:rPr>
              <w:t>(1.28, 2.66)</w:t>
            </w:r>
          </w:p>
        </w:tc>
        <w:tc>
          <w:tcPr>
            <w:tcW w:w="626" w:type="pct"/>
            <w:tcBorders>
              <w:top w:val="single" w:sz="4" w:space="0" w:color="auto"/>
              <w:left w:val="single" w:sz="4" w:space="0" w:color="auto"/>
              <w:bottom w:val="single" w:sz="4" w:space="0" w:color="auto"/>
              <w:right w:val="single" w:sz="4" w:space="0" w:color="auto"/>
            </w:tcBorders>
            <w:vAlign w:val="center"/>
          </w:tcPr>
          <w:p w14:paraId="166D9ACD"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5D86EF6" w14:textId="77777777" w:rsidR="00D657C7" w:rsidRPr="009929B6" w:rsidRDefault="00D657C7">
            <w:pPr>
              <w:autoSpaceDE w:val="0"/>
              <w:autoSpaceDN w:val="0"/>
              <w:adjustRightInd w:val="0"/>
              <w:jc w:val="center"/>
              <w:rPr>
                <w:sz w:val="22"/>
                <w:szCs w:val="22"/>
              </w:rPr>
            </w:pPr>
            <w:r w:rsidRPr="009929B6">
              <w:rPr>
                <w:sz w:val="22"/>
                <w:szCs w:val="22"/>
              </w:rPr>
              <w:t>(1.26, 2.55)</w:t>
            </w:r>
          </w:p>
        </w:tc>
        <w:tc>
          <w:tcPr>
            <w:tcW w:w="662" w:type="pct"/>
            <w:tcBorders>
              <w:top w:val="single" w:sz="4" w:space="0" w:color="auto"/>
              <w:left w:val="single" w:sz="4" w:space="0" w:color="auto"/>
              <w:bottom w:val="single" w:sz="4" w:space="0" w:color="auto"/>
              <w:right w:val="single" w:sz="4" w:space="0" w:color="auto"/>
            </w:tcBorders>
            <w:vAlign w:val="center"/>
          </w:tcPr>
          <w:p w14:paraId="5B258797"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49CF9CD9" w14:textId="77777777" w:rsidR="00D657C7" w:rsidRPr="009929B6" w:rsidRDefault="00D657C7">
            <w:pPr>
              <w:autoSpaceDE w:val="0"/>
              <w:autoSpaceDN w:val="0"/>
              <w:adjustRightInd w:val="0"/>
              <w:ind w:right="-125"/>
              <w:jc w:val="center"/>
              <w:rPr>
                <w:sz w:val="22"/>
                <w:szCs w:val="22"/>
              </w:rPr>
            </w:pPr>
            <w:r w:rsidRPr="009929B6">
              <w:rPr>
                <w:sz w:val="22"/>
                <w:szCs w:val="22"/>
              </w:rPr>
              <w:t>(1.43, 2.36)</w:t>
            </w:r>
          </w:p>
        </w:tc>
      </w:tr>
      <w:tr w:rsidR="00D657C7" w:rsidRPr="009929B6" w14:paraId="5E481B7D"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5444BFD8" w14:textId="77777777" w:rsidR="00D657C7" w:rsidRPr="009929B6" w:rsidRDefault="00D657C7">
            <w:pPr>
              <w:autoSpaceDE w:val="0"/>
              <w:autoSpaceDN w:val="0"/>
              <w:adjustRightInd w:val="0"/>
              <w:rPr>
                <w:sz w:val="22"/>
                <w:szCs w:val="22"/>
              </w:rPr>
            </w:pPr>
            <w:r w:rsidRPr="009929B6">
              <w:rPr>
                <w:sz w:val="22"/>
                <w:szCs w:val="22"/>
              </w:rPr>
              <w:t>p-value</w:t>
            </w:r>
            <w:r w:rsidRPr="009929B6">
              <w:rPr>
                <w:sz w:val="22"/>
                <w:szCs w:val="22"/>
                <w:vertAlign w:val="superscript"/>
              </w:rPr>
              <w:t>2</w:t>
            </w:r>
          </w:p>
        </w:tc>
        <w:tc>
          <w:tcPr>
            <w:tcW w:w="627" w:type="pct"/>
            <w:tcBorders>
              <w:top w:val="single" w:sz="4" w:space="0" w:color="auto"/>
              <w:left w:val="single" w:sz="4" w:space="0" w:color="auto"/>
              <w:bottom w:val="single" w:sz="4" w:space="0" w:color="auto"/>
              <w:right w:val="single" w:sz="4" w:space="0" w:color="auto"/>
            </w:tcBorders>
            <w:vAlign w:val="center"/>
          </w:tcPr>
          <w:p w14:paraId="6C80B6BB"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0EF080A" w14:textId="77777777" w:rsidR="00D657C7" w:rsidRPr="009929B6" w:rsidRDefault="00D657C7">
            <w:pPr>
              <w:autoSpaceDE w:val="0"/>
              <w:autoSpaceDN w:val="0"/>
              <w:adjustRightInd w:val="0"/>
              <w:jc w:val="center"/>
              <w:rPr>
                <w:sz w:val="22"/>
                <w:szCs w:val="22"/>
              </w:rPr>
            </w:pPr>
            <w:r w:rsidRPr="009929B6">
              <w:rPr>
                <w:sz w:val="22"/>
                <w:szCs w:val="22"/>
              </w:rPr>
              <w:t>0.0010</w:t>
            </w:r>
          </w:p>
        </w:tc>
        <w:tc>
          <w:tcPr>
            <w:tcW w:w="626" w:type="pct"/>
            <w:tcBorders>
              <w:top w:val="single" w:sz="4" w:space="0" w:color="auto"/>
              <w:left w:val="single" w:sz="4" w:space="0" w:color="auto"/>
              <w:bottom w:val="single" w:sz="4" w:space="0" w:color="auto"/>
              <w:right w:val="single" w:sz="4" w:space="0" w:color="auto"/>
            </w:tcBorders>
            <w:vAlign w:val="center"/>
          </w:tcPr>
          <w:p w14:paraId="0D1434E3"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B3DA65B" w14:textId="77777777" w:rsidR="00D657C7" w:rsidRPr="009929B6" w:rsidRDefault="00D657C7">
            <w:pPr>
              <w:autoSpaceDE w:val="0"/>
              <w:autoSpaceDN w:val="0"/>
              <w:adjustRightInd w:val="0"/>
              <w:jc w:val="center"/>
              <w:rPr>
                <w:sz w:val="22"/>
                <w:szCs w:val="22"/>
              </w:rPr>
            </w:pPr>
            <w:r w:rsidRPr="009929B6">
              <w:rPr>
                <w:sz w:val="22"/>
                <w:szCs w:val="22"/>
              </w:rPr>
              <w:t>0.0011</w:t>
            </w:r>
          </w:p>
        </w:tc>
        <w:tc>
          <w:tcPr>
            <w:tcW w:w="662" w:type="pct"/>
            <w:tcBorders>
              <w:top w:val="single" w:sz="4" w:space="0" w:color="auto"/>
              <w:left w:val="single" w:sz="4" w:space="0" w:color="auto"/>
              <w:bottom w:val="single" w:sz="4" w:space="0" w:color="auto"/>
              <w:right w:val="single" w:sz="4" w:space="0" w:color="auto"/>
            </w:tcBorders>
            <w:vAlign w:val="center"/>
          </w:tcPr>
          <w:p w14:paraId="6723CC3F"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635F68E6" w14:textId="77777777" w:rsidR="00D657C7" w:rsidRPr="009929B6" w:rsidRDefault="00D657C7">
            <w:pPr>
              <w:autoSpaceDE w:val="0"/>
              <w:autoSpaceDN w:val="0"/>
              <w:adjustRightInd w:val="0"/>
              <w:jc w:val="center"/>
              <w:rPr>
                <w:sz w:val="22"/>
                <w:szCs w:val="22"/>
              </w:rPr>
            </w:pPr>
            <w:r w:rsidRPr="009929B6">
              <w:rPr>
                <w:sz w:val="22"/>
                <w:szCs w:val="22"/>
              </w:rPr>
              <w:t>&lt;0.0001</w:t>
            </w:r>
          </w:p>
        </w:tc>
      </w:tr>
      <w:tr w:rsidR="00D657C7" w:rsidRPr="009929B6" w14:paraId="123EA31E"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0F5385BF" w14:textId="77777777" w:rsidR="00D657C7" w:rsidRPr="009929B6" w:rsidRDefault="00D657C7">
            <w:pPr>
              <w:autoSpaceDE w:val="0"/>
              <w:autoSpaceDN w:val="0"/>
              <w:adjustRightInd w:val="0"/>
              <w:rPr>
                <w:b/>
                <w:sz w:val="22"/>
                <w:szCs w:val="22"/>
              </w:rPr>
            </w:pPr>
            <w:r w:rsidRPr="009929B6">
              <w:rPr>
                <w:b/>
                <w:sz w:val="22"/>
                <w:szCs w:val="22"/>
              </w:rPr>
              <w:t>10% threshold</w:t>
            </w:r>
          </w:p>
        </w:tc>
      </w:tr>
      <w:tr w:rsidR="00D657C7" w:rsidRPr="009929B6" w14:paraId="0C32A0A4"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8046841"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627" w:type="pct"/>
            <w:tcBorders>
              <w:top w:val="single" w:sz="4" w:space="0" w:color="auto"/>
              <w:left w:val="single" w:sz="4" w:space="0" w:color="auto"/>
              <w:bottom w:val="single" w:sz="4" w:space="0" w:color="auto"/>
              <w:right w:val="single" w:sz="4" w:space="0" w:color="auto"/>
            </w:tcBorders>
            <w:vAlign w:val="bottom"/>
            <w:hideMark/>
          </w:tcPr>
          <w:p w14:paraId="2C203B7D" w14:textId="77777777" w:rsidR="00D657C7" w:rsidRPr="009929B6" w:rsidRDefault="00D657C7">
            <w:pPr>
              <w:autoSpaceDE w:val="0"/>
              <w:autoSpaceDN w:val="0"/>
              <w:adjustRightInd w:val="0"/>
              <w:jc w:val="center"/>
              <w:rPr>
                <w:sz w:val="22"/>
                <w:szCs w:val="22"/>
              </w:rPr>
            </w:pPr>
            <w:r w:rsidRPr="009929B6">
              <w:rPr>
                <w:sz w:val="22"/>
                <w:szCs w:val="22"/>
              </w:rPr>
              <w:t>116 (56.9)</w:t>
            </w:r>
          </w:p>
        </w:tc>
        <w:tc>
          <w:tcPr>
            <w:tcW w:w="705" w:type="pct"/>
            <w:tcBorders>
              <w:top w:val="single" w:sz="4" w:space="0" w:color="auto"/>
              <w:left w:val="single" w:sz="4" w:space="0" w:color="auto"/>
              <w:bottom w:val="single" w:sz="4" w:space="0" w:color="auto"/>
              <w:right w:val="single" w:sz="4" w:space="0" w:color="auto"/>
            </w:tcBorders>
            <w:vAlign w:val="bottom"/>
            <w:hideMark/>
          </w:tcPr>
          <w:p w14:paraId="6B96F4E3" w14:textId="77777777" w:rsidR="00D657C7" w:rsidRPr="009929B6" w:rsidRDefault="00D657C7">
            <w:pPr>
              <w:autoSpaceDE w:val="0"/>
              <w:autoSpaceDN w:val="0"/>
              <w:adjustRightInd w:val="0"/>
              <w:jc w:val="center"/>
              <w:rPr>
                <w:sz w:val="22"/>
                <w:szCs w:val="22"/>
              </w:rPr>
            </w:pPr>
            <w:r w:rsidRPr="009929B6">
              <w:rPr>
                <w:sz w:val="22"/>
                <w:szCs w:val="22"/>
              </w:rPr>
              <w:t>218 (70.6)</w:t>
            </w:r>
          </w:p>
        </w:tc>
        <w:tc>
          <w:tcPr>
            <w:tcW w:w="626" w:type="pct"/>
            <w:tcBorders>
              <w:top w:val="single" w:sz="4" w:space="0" w:color="auto"/>
              <w:left w:val="single" w:sz="4" w:space="0" w:color="auto"/>
              <w:bottom w:val="single" w:sz="4" w:space="0" w:color="auto"/>
              <w:right w:val="single" w:sz="4" w:space="0" w:color="auto"/>
            </w:tcBorders>
            <w:vAlign w:val="bottom"/>
            <w:hideMark/>
          </w:tcPr>
          <w:p w14:paraId="193D9770" w14:textId="77777777" w:rsidR="00D657C7" w:rsidRPr="009929B6" w:rsidRDefault="00D657C7">
            <w:pPr>
              <w:autoSpaceDE w:val="0"/>
              <w:autoSpaceDN w:val="0"/>
              <w:adjustRightInd w:val="0"/>
              <w:jc w:val="center"/>
              <w:rPr>
                <w:sz w:val="22"/>
                <w:szCs w:val="22"/>
              </w:rPr>
            </w:pPr>
            <w:r w:rsidRPr="009929B6">
              <w:rPr>
                <w:sz w:val="22"/>
                <w:szCs w:val="22"/>
              </w:rPr>
              <w:t>140 (63.9)</w:t>
            </w:r>
          </w:p>
        </w:tc>
        <w:tc>
          <w:tcPr>
            <w:tcW w:w="705" w:type="pct"/>
            <w:tcBorders>
              <w:top w:val="single" w:sz="4" w:space="0" w:color="auto"/>
              <w:left w:val="single" w:sz="4" w:space="0" w:color="auto"/>
              <w:bottom w:val="single" w:sz="4" w:space="0" w:color="auto"/>
              <w:right w:val="single" w:sz="4" w:space="0" w:color="auto"/>
            </w:tcBorders>
            <w:vAlign w:val="bottom"/>
            <w:hideMark/>
          </w:tcPr>
          <w:p w14:paraId="6AE7579C" w14:textId="77777777" w:rsidR="00D657C7" w:rsidRPr="009929B6" w:rsidRDefault="00D657C7">
            <w:pPr>
              <w:autoSpaceDE w:val="0"/>
              <w:autoSpaceDN w:val="0"/>
              <w:adjustRightInd w:val="0"/>
              <w:jc w:val="center"/>
              <w:rPr>
                <w:sz w:val="22"/>
                <w:szCs w:val="22"/>
              </w:rPr>
            </w:pPr>
            <w:r w:rsidRPr="009929B6">
              <w:rPr>
                <w:sz w:val="22"/>
                <w:szCs w:val="22"/>
              </w:rPr>
              <w:t>229 (69.6)</w:t>
            </w:r>
          </w:p>
        </w:tc>
        <w:tc>
          <w:tcPr>
            <w:tcW w:w="662" w:type="pct"/>
            <w:tcBorders>
              <w:top w:val="single" w:sz="4" w:space="0" w:color="auto"/>
              <w:left w:val="single" w:sz="4" w:space="0" w:color="auto"/>
              <w:bottom w:val="single" w:sz="4" w:space="0" w:color="auto"/>
              <w:right w:val="single" w:sz="4" w:space="0" w:color="auto"/>
            </w:tcBorders>
            <w:vAlign w:val="bottom"/>
            <w:hideMark/>
          </w:tcPr>
          <w:p w14:paraId="4818F727" w14:textId="77777777" w:rsidR="00D657C7" w:rsidRPr="009929B6" w:rsidRDefault="00D657C7">
            <w:pPr>
              <w:autoSpaceDE w:val="0"/>
              <w:autoSpaceDN w:val="0"/>
              <w:adjustRightInd w:val="0"/>
              <w:jc w:val="center"/>
              <w:rPr>
                <w:sz w:val="22"/>
                <w:szCs w:val="22"/>
              </w:rPr>
            </w:pPr>
            <w:r w:rsidRPr="009929B6">
              <w:rPr>
                <w:sz w:val="22"/>
                <w:szCs w:val="22"/>
              </w:rPr>
              <w:t>256 (60.5)</w:t>
            </w:r>
          </w:p>
        </w:tc>
        <w:tc>
          <w:tcPr>
            <w:tcW w:w="660" w:type="pct"/>
            <w:tcBorders>
              <w:top w:val="single" w:sz="4" w:space="0" w:color="auto"/>
              <w:left w:val="single" w:sz="4" w:space="0" w:color="auto"/>
              <w:bottom w:val="single" w:sz="4" w:space="0" w:color="auto"/>
              <w:right w:val="single" w:sz="4" w:space="0" w:color="auto"/>
            </w:tcBorders>
            <w:vAlign w:val="bottom"/>
            <w:hideMark/>
          </w:tcPr>
          <w:p w14:paraId="00CE7A33" w14:textId="77777777" w:rsidR="00D657C7" w:rsidRPr="009929B6" w:rsidRDefault="00D657C7">
            <w:pPr>
              <w:autoSpaceDE w:val="0"/>
              <w:autoSpaceDN w:val="0"/>
              <w:adjustRightInd w:val="0"/>
              <w:jc w:val="center"/>
              <w:rPr>
                <w:sz w:val="22"/>
                <w:szCs w:val="22"/>
              </w:rPr>
            </w:pPr>
            <w:r w:rsidRPr="009929B6">
              <w:rPr>
                <w:sz w:val="22"/>
                <w:szCs w:val="22"/>
              </w:rPr>
              <w:t>447 (70.1)</w:t>
            </w:r>
          </w:p>
        </w:tc>
      </w:tr>
      <w:tr w:rsidR="00D657C7" w:rsidRPr="009929B6" w14:paraId="547C1BD4"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0D496A35"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518DAC99"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3844686C" w14:textId="77777777" w:rsidR="00D657C7" w:rsidRPr="009929B6" w:rsidRDefault="00D657C7">
            <w:pPr>
              <w:autoSpaceDE w:val="0"/>
              <w:autoSpaceDN w:val="0"/>
              <w:adjustRightInd w:val="0"/>
              <w:rPr>
                <w:sz w:val="22"/>
                <w:szCs w:val="22"/>
              </w:rPr>
            </w:pPr>
            <w:r w:rsidRPr="009929B6">
              <w:rPr>
                <w:sz w:val="22"/>
                <w:szCs w:val="22"/>
              </w:rPr>
              <w:t>Odds ratio</w:t>
            </w:r>
          </w:p>
        </w:tc>
        <w:tc>
          <w:tcPr>
            <w:tcW w:w="627" w:type="pct"/>
            <w:tcBorders>
              <w:top w:val="single" w:sz="4" w:space="0" w:color="auto"/>
              <w:left w:val="single" w:sz="4" w:space="0" w:color="auto"/>
              <w:bottom w:val="single" w:sz="4" w:space="0" w:color="auto"/>
              <w:right w:val="single" w:sz="4" w:space="0" w:color="auto"/>
            </w:tcBorders>
          </w:tcPr>
          <w:p w14:paraId="3366D5A5"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B1EEFB0" w14:textId="77777777" w:rsidR="00D657C7" w:rsidRPr="009929B6" w:rsidRDefault="00D657C7">
            <w:pPr>
              <w:autoSpaceDE w:val="0"/>
              <w:autoSpaceDN w:val="0"/>
              <w:adjustRightInd w:val="0"/>
              <w:jc w:val="center"/>
              <w:rPr>
                <w:sz w:val="22"/>
                <w:szCs w:val="22"/>
              </w:rPr>
            </w:pPr>
            <w:r w:rsidRPr="009929B6">
              <w:rPr>
                <w:sz w:val="22"/>
                <w:szCs w:val="22"/>
              </w:rPr>
              <w:t>1.91</w:t>
            </w:r>
          </w:p>
        </w:tc>
        <w:tc>
          <w:tcPr>
            <w:tcW w:w="626" w:type="pct"/>
            <w:tcBorders>
              <w:top w:val="single" w:sz="4" w:space="0" w:color="auto"/>
              <w:left w:val="single" w:sz="4" w:space="0" w:color="auto"/>
              <w:bottom w:val="single" w:sz="4" w:space="0" w:color="auto"/>
              <w:right w:val="single" w:sz="4" w:space="0" w:color="auto"/>
            </w:tcBorders>
            <w:vAlign w:val="center"/>
          </w:tcPr>
          <w:p w14:paraId="3CDDF71F"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A5E4557" w14:textId="77777777" w:rsidR="00D657C7" w:rsidRPr="009929B6" w:rsidRDefault="00D657C7">
            <w:pPr>
              <w:autoSpaceDE w:val="0"/>
              <w:autoSpaceDN w:val="0"/>
              <w:adjustRightInd w:val="0"/>
              <w:jc w:val="center"/>
              <w:rPr>
                <w:sz w:val="22"/>
                <w:szCs w:val="22"/>
              </w:rPr>
            </w:pPr>
            <w:r w:rsidRPr="009929B6">
              <w:rPr>
                <w:sz w:val="22"/>
                <w:szCs w:val="22"/>
              </w:rPr>
              <w:t>1.29</w:t>
            </w:r>
          </w:p>
        </w:tc>
        <w:tc>
          <w:tcPr>
            <w:tcW w:w="662" w:type="pct"/>
            <w:tcBorders>
              <w:top w:val="single" w:sz="4" w:space="0" w:color="auto"/>
              <w:left w:val="single" w:sz="4" w:space="0" w:color="auto"/>
              <w:bottom w:val="single" w:sz="4" w:space="0" w:color="auto"/>
              <w:right w:val="single" w:sz="4" w:space="0" w:color="auto"/>
            </w:tcBorders>
            <w:vAlign w:val="center"/>
          </w:tcPr>
          <w:p w14:paraId="7D96F5B7"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235D68E4" w14:textId="77777777" w:rsidR="00D657C7" w:rsidRPr="009929B6" w:rsidRDefault="00D657C7">
            <w:pPr>
              <w:autoSpaceDE w:val="0"/>
              <w:autoSpaceDN w:val="0"/>
              <w:adjustRightInd w:val="0"/>
              <w:jc w:val="center"/>
              <w:rPr>
                <w:sz w:val="22"/>
                <w:szCs w:val="22"/>
              </w:rPr>
            </w:pPr>
            <w:r w:rsidRPr="009929B6">
              <w:rPr>
                <w:sz w:val="22"/>
                <w:szCs w:val="22"/>
              </w:rPr>
              <w:t>1.58</w:t>
            </w:r>
          </w:p>
        </w:tc>
      </w:tr>
      <w:tr w:rsidR="00D657C7" w:rsidRPr="009929B6" w14:paraId="7E0E725D"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43234525" w14:textId="77777777" w:rsidR="00D657C7" w:rsidRPr="009929B6" w:rsidRDefault="00D657C7">
            <w:pPr>
              <w:autoSpaceDE w:val="0"/>
              <w:autoSpaceDN w:val="0"/>
              <w:adjustRightInd w:val="0"/>
              <w:rPr>
                <w:sz w:val="22"/>
                <w:szCs w:val="22"/>
              </w:rPr>
            </w:pPr>
            <w:r w:rsidRPr="009929B6">
              <w:rPr>
                <w:sz w:val="22"/>
                <w:szCs w:val="22"/>
              </w:rPr>
              <w:t>95% CI</w:t>
            </w:r>
          </w:p>
        </w:tc>
        <w:tc>
          <w:tcPr>
            <w:tcW w:w="627" w:type="pct"/>
            <w:tcBorders>
              <w:top w:val="single" w:sz="4" w:space="0" w:color="auto"/>
              <w:left w:val="single" w:sz="4" w:space="0" w:color="auto"/>
              <w:bottom w:val="single" w:sz="4" w:space="0" w:color="auto"/>
              <w:right w:val="single" w:sz="4" w:space="0" w:color="auto"/>
            </w:tcBorders>
          </w:tcPr>
          <w:p w14:paraId="3B2074EF"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6732BC27" w14:textId="77777777" w:rsidR="00D657C7" w:rsidRPr="009929B6" w:rsidRDefault="00D657C7">
            <w:pPr>
              <w:autoSpaceDE w:val="0"/>
              <w:autoSpaceDN w:val="0"/>
              <w:adjustRightInd w:val="0"/>
              <w:jc w:val="center"/>
              <w:rPr>
                <w:sz w:val="22"/>
                <w:szCs w:val="22"/>
              </w:rPr>
            </w:pPr>
            <w:r w:rsidRPr="009929B6">
              <w:rPr>
                <w:sz w:val="22"/>
                <w:szCs w:val="22"/>
                <w:lang w:val="en-US"/>
              </w:rPr>
              <w:t>(1.32, 2.79)</w:t>
            </w:r>
          </w:p>
        </w:tc>
        <w:tc>
          <w:tcPr>
            <w:tcW w:w="626" w:type="pct"/>
            <w:tcBorders>
              <w:top w:val="single" w:sz="4" w:space="0" w:color="auto"/>
              <w:left w:val="single" w:sz="4" w:space="0" w:color="auto"/>
              <w:bottom w:val="single" w:sz="4" w:space="0" w:color="auto"/>
              <w:right w:val="single" w:sz="4" w:space="0" w:color="auto"/>
            </w:tcBorders>
            <w:vAlign w:val="center"/>
          </w:tcPr>
          <w:p w14:paraId="20692160"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C32275A" w14:textId="77777777" w:rsidR="00D657C7" w:rsidRPr="009929B6" w:rsidRDefault="00D657C7">
            <w:pPr>
              <w:autoSpaceDE w:val="0"/>
              <w:autoSpaceDN w:val="0"/>
              <w:adjustRightInd w:val="0"/>
              <w:jc w:val="center"/>
              <w:rPr>
                <w:sz w:val="22"/>
                <w:szCs w:val="22"/>
              </w:rPr>
            </w:pPr>
            <w:r w:rsidRPr="009929B6">
              <w:rPr>
                <w:sz w:val="22"/>
                <w:szCs w:val="22"/>
                <w:lang w:val="en-US"/>
              </w:rPr>
              <w:t>(0.89, 1.86)</w:t>
            </w:r>
          </w:p>
        </w:tc>
        <w:tc>
          <w:tcPr>
            <w:tcW w:w="662" w:type="pct"/>
            <w:tcBorders>
              <w:top w:val="single" w:sz="4" w:space="0" w:color="auto"/>
              <w:left w:val="single" w:sz="4" w:space="0" w:color="auto"/>
              <w:bottom w:val="single" w:sz="4" w:space="0" w:color="auto"/>
              <w:right w:val="single" w:sz="4" w:space="0" w:color="auto"/>
            </w:tcBorders>
            <w:vAlign w:val="center"/>
          </w:tcPr>
          <w:p w14:paraId="2B1CB2D7"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0705A16C" w14:textId="77777777" w:rsidR="00D657C7" w:rsidRPr="009929B6" w:rsidRDefault="00D657C7">
            <w:pPr>
              <w:autoSpaceDE w:val="0"/>
              <w:autoSpaceDN w:val="0"/>
              <w:adjustRightInd w:val="0"/>
              <w:ind w:right="-125"/>
              <w:jc w:val="center"/>
              <w:rPr>
                <w:sz w:val="22"/>
                <w:szCs w:val="22"/>
              </w:rPr>
            </w:pPr>
            <w:r w:rsidRPr="009929B6">
              <w:rPr>
                <w:sz w:val="22"/>
                <w:szCs w:val="22"/>
                <w:lang w:val="en-US"/>
              </w:rPr>
              <w:t>(1.21, 2.05)</w:t>
            </w:r>
          </w:p>
        </w:tc>
      </w:tr>
      <w:tr w:rsidR="00D657C7" w:rsidRPr="009929B6" w14:paraId="538CC9B3" w14:textId="77777777" w:rsidTr="00BF087A">
        <w:tc>
          <w:tcPr>
            <w:tcW w:w="1016" w:type="pct"/>
            <w:tcBorders>
              <w:top w:val="single" w:sz="4" w:space="0" w:color="auto"/>
              <w:left w:val="single" w:sz="4" w:space="0" w:color="auto"/>
              <w:bottom w:val="single" w:sz="4" w:space="0" w:color="auto"/>
              <w:right w:val="single" w:sz="4" w:space="0" w:color="auto"/>
            </w:tcBorders>
            <w:hideMark/>
          </w:tcPr>
          <w:p w14:paraId="0B465A97" w14:textId="77777777" w:rsidR="00D657C7" w:rsidRPr="009929B6" w:rsidRDefault="00D657C7">
            <w:pPr>
              <w:autoSpaceDE w:val="0"/>
              <w:autoSpaceDN w:val="0"/>
              <w:adjustRightInd w:val="0"/>
              <w:rPr>
                <w:sz w:val="22"/>
                <w:szCs w:val="22"/>
              </w:rPr>
            </w:pPr>
            <w:r w:rsidRPr="009929B6">
              <w:rPr>
                <w:sz w:val="22"/>
                <w:szCs w:val="22"/>
              </w:rPr>
              <w:t>p-value</w:t>
            </w:r>
            <w:r w:rsidRPr="009929B6">
              <w:rPr>
                <w:sz w:val="22"/>
                <w:szCs w:val="22"/>
                <w:vertAlign w:val="superscript"/>
              </w:rPr>
              <w:t>2</w:t>
            </w:r>
          </w:p>
        </w:tc>
        <w:tc>
          <w:tcPr>
            <w:tcW w:w="627" w:type="pct"/>
            <w:tcBorders>
              <w:top w:val="single" w:sz="4" w:space="0" w:color="auto"/>
              <w:left w:val="single" w:sz="4" w:space="0" w:color="auto"/>
              <w:bottom w:val="single" w:sz="4" w:space="0" w:color="auto"/>
              <w:right w:val="single" w:sz="4" w:space="0" w:color="auto"/>
            </w:tcBorders>
          </w:tcPr>
          <w:p w14:paraId="250E0FA0"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77A2C84" w14:textId="77777777" w:rsidR="00D657C7" w:rsidRPr="009929B6" w:rsidRDefault="00D657C7">
            <w:pPr>
              <w:autoSpaceDE w:val="0"/>
              <w:autoSpaceDN w:val="0"/>
              <w:adjustRightInd w:val="0"/>
              <w:jc w:val="center"/>
              <w:rPr>
                <w:sz w:val="22"/>
                <w:szCs w:val="22"/>
              </w:rPr>
            </w:pPr>
            <w:r w:rsidRPr="009929B6">
              <w:rPr>
                <w:sz w:val="22"/>
                <w:szCs w:val="22"/>
              </w:rPr>
              <w:t>0.0007</w:t>
            </w:r>
          </w:p>
        </w:tc>
        <w:tc>
          <w:tcPr>
            <w:tcW w:w="626" w:type="pct"/>
            <w:tcBorders>
              <w:top w:val="single" w:sz="4" w:space="0" w:color="auto"/>
              <w:left w:val="single" w:sz="4" w:space="0" w:color="auto"/>
              <w:bottom w:val="single" w:sz="4" w:space="0" w:color="auto"/>
              <w:right w:val="single" w:sz="4" w:space="0" w:color="auto"/>
            </w:tcBorders>
            <w:vAlign w:val="center"/>
          </w:tcPr>
          <w:p w14:paraId="150A910F" w14:textId="77777777" w:rsidR="00D657C7" w:rsidRPr="009929B6"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516B9C67" w14:textId="77777777" w:rsidR="00D657C7" w:rsidRPr="009929B6" w:rsidRDefault="00D657C7">
            <w:pPr>
              <w:autoSpaceDE w:val="0"/>
              <w:autoSpaceDN w:val="0"/>
              <w:adjustRightInd w:val="0"/>
              <w:jc w:val="center"/>
              <w:rPr>
                <w:sz w:val="22"/>
                <w:szCs w:val="22"/>
              </w:rPr>
            </w:pPr>
            <w:r w:rsidRPr="009929B6">
              <w:rPr>
                <w:sz w:val="22"/>
                <w:szCs w:val="22"/>
              </w:rPr>
              <w:t>0.1833</w:t>
            </w:r>
          </w:p>
        </w:tc>
        <w:tc>
          <w:tcPr>
            <w:tcW w:w="662" w:type="pct"/>
            <w:tcBorders>
              <w:top w:val="single" w:sz="4" w:space="0" w:color="auto"/>
              <w:left w:val="single" w:sz="4" w:space="0" w:color="auto"/>
              <w:bottom w:val="single" w:sz="4" w:space="0" w:color="auto"/>
              <w:right w:val="single" w:sz="4" w:space="0" w:color="auto"/>
            </w:tcBorders>
            <w:vAlign w:val="center"/>
          </w:tcPr>
          <w:p w14:paraId="285BFED9" w14:textId="77777777" w:rsidR="00D657C7" w:rsidRPr="009929B6" w:rsidRDefault="00D657C7">
            <w:pPr>
              <w:autoSpaceDE w:val="0"/>
              <w:autoSpaceDN w:val="0"/>
              <w:adjustRightInd w:val="0"/>
              <w:jc w:val="center"/>
              <w:rPr>
                <w:sz w:val="22"/>
                <w:szCs w:val="22"/>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6C4CA618" w14:textId="77777777" w:rsidR="00D657C7" w:rsidRPr="009929B6" w:rsidRDefault="00D657C7">
            <w:pPr>
              <w:autoSpaceDE w:val="0"/>
              <w:autoSpaceDN w:val="0"/>
              <w:adjustRightInd w:val="0"/>
              <w:jc w:val="center"/>
              <w:rPr>
                <w:sz w:val="22"/>
                <w:szCs w:val="22"/>
              </w:rPr>
            </w:pPr>
            <w:r w:rsidRPr="009929B6">
              <w:rPr>
                <w:sz w:val="22"/>
                <w:szCs w:val="22"/>
              </w:rPr>
              <w:t>0.0007</w:t>
            </w:r>
          </w:p>
        </w:tc>
      </w:tr>
    </w:tbl>
    <w:p w14:paraId="5B22AFEB" w14:textId="49D4E381" w:rsidR="00D657C7" w:rsidRPr="009929B6" w:rsidRDefault="00D657C7" w:rsidP="00A93BE7">
      <w:pPr>
        <w:autoSpaceDE w:val="0"/>
        <w:autoSpaceDN w:val="0"/>
        <w:adjustRightInd w:val="0"/>
        <w:ind w:left="284" w:hanging="284"/>
        <w:rPr>
          <w:sz w:val="20"/>
          <w:lang w:val="en-GB" w:eastAsia="en-US"/>
        </w:rPr>
      </w:pPr>
      <w:r w:rsidRPr="009929B6">
        <w:rPr>
          <w:sz w:val="20"/>
          <w:vertAlign w:val="superscript"/>
          <w:lang w:val="en-US"/>
        </w:rPr>
        <w:t xml:space="preserve">1 </w:t>
      </w:r>
      <w:r w:rsidR="00A93BE7">
        <w:rPr>
          <w:sz w:val="20"/>
          <w:vertAlign w:val="superscript"/>
          <w:lang w:val="en-US"/>
        </w:rPr>
        <w:tab/>
      </w:r>
      <w:r w:rsidRPr="009929B6">
        <w:rPr>
          <w:sz w:val="20"/>
          <w:lang w:val="en-US"/>
        </w:rPr>
        <w:t>Responder patients are those with no absolute decline greater than 5% or greater than 10% in FVC % predicted, depending on the threshold and with an FVC evaluation at 52 weeks.</w:t>
      </w:r>
    </w:p>
    <w:p w14:paraId="5CC3A6AE" w14:textId="072895E5" w:rsidR="00D657C7" w:rsidRPr="009929B6" w:rsidRDefault="00D657C7" w:rsidP="00A93BE7">
      <w:pPr>
        <w:autoSpaceDE w:val="0"/>
        <w:autoSpaceDN w:val="0"/>
        <w:adjustRightInd w:val="0"/>
        <w:ind w:left="284" w:hanging="284"/>
        <w:rPr>
          <w:sz w:val="20"/>
          <w:lang w:val="en-US"/>
        </w:rPr>
      </w:pPr>
      <w:r w:rsidRPr="009929B6">
        <w:rPr>
          <w:sz w:val="20"/>
          <w:vertAlign w:val="superscript"/>
          <w:lang w:val="en-US"/>
        </w:rPr>
        <w:t xml:space="preserve">2 </w:t>
      </w:r>
      <w:r w:rsidR="00A93BE7">
        <w:rPr>
          <w:sz w:val="20"/>
          <w:vertAlign w:val="superscript"/>
          <w:lang w:val="en-US"/>
        </w:rPr>
        <w:tab/>
      </w:r>
      <w:r w:rsidRPr="009929B6">
        <w:rPr>
          <w:sz w:val="20"/>
          <w:lang w:val="en-US"/>
        </w:rPr>
        <w:t>Based on a logistic regression.</w:t>
      </w:r>
    </w:p>
    <w:p w14:paraId="58DE5905" w14:textId="77777777" w:rsidR="00D657C7" w:rsidRPr="00F85BD8" w:rsidRDefault="00D657C7" w:rsidP="00D657C7">
      <w:pPr>
        <w:autoSpaceDE w:val="0"/>
        <w:autoSpaceDN w:val="0"/>
        <w:adjustRightInd w:val="0"/>
        <w:rPr>
          <w:sz w:val="24"/>
          <w:szCs w:val="24"/>
          <w:lang w:val="en-US"/>
        </w:rPr>
      </w:pPr>
    </w:p>
    <w:p w14:paraId="6509FFAA" w14:textId="77777777" w:rsidR="00D657C7" w:rsidRPr="009929B6" w:rsidRDefault="00D657C7" w:rsidP="00BF087A">
      <w:pPr>
        <w:ind w:left="851"/>
        <w:rPr>
          <w:i/>
          <w:sz w:val="24"/>
          <w:szCs w:val="24"/>
          <w:u w:val="single"/>
          <w:lang w:val="en-US"/>
        </w:rPr>
      </w:pPr>
      <w:r w:rsidRPr="009929B6">
        <w:rPr>
          <w:i/>
          <w:sz w:val="24"/>
          <w:szCs w:val="24"/>
          <w:u w:val="single"/>
          <w:lang w:val="en-US"/>
        </w:rPr>
        <w:t>Time to progression (≥10% absolute decline of FVC % predicted or death)</w:t>
      </w:r>
    </w:p>
    <w:p w14:paraId="4BA1F759" w14:textId="77777777" w:rsidR="00D657C7" w:rsidRPr="00F85BD8" w:rsidRDefault="00D657C7" w:rsidP="00BF087A">
      <w:pPr>
        <w:ind w:left="851"/>
        <w:rPr>
          <w:sz w:val="24"/>
          <w:szCs w:val="24"/>
          <w:lang w:val="en-US"/>
        </w:rPr>
      </w:pPr>
      <w:r w:rsidRPr="00F85BD8">
        <w:rPr>
          <w:sz w:val="24"/>
          <w:szCs w:val="24"/>
          <w:lang w:val="en-US"/>
        </w:rPr>
        <w:t xml:space="preserve">In both INPULSIS trials, the risk of progression was statistically significantly reduced for patients treated with </w:t>
      </w:r>
      <w:proofErr w:type="spellStart"/>
      <w:r w:rsidRPr="00F85BD8">
        <w:rPr>
          <w:sz w:val="24"/>
          <w:szCs w:val="24"/>
          <w:lang w:val="en-US"/>
        </w:rPr>
        <w:t>nintedanib</w:t>
      </w:r>
      <w:proofErr w:type="spellEnd"/>
      <w:r w:rsidRPr="00F85BD8">
        <w:rPr>
          <w:sz w:val="24"/>
          <w:szCs w:val="24"/>
          <w:lang w:val="en-US"/>
        </w:rPr>
        <w:t xml:space="preserve"> compared with placebo. In the pooled analysis, the HR was 0.60 indicating a 40% reduction in the risk of progression for patients treated with </w:t>
      </w:r>
      <w:proofErr w:type="spellStart"/>
      <w:r w:rsidRPr="00F85BD8">
        <w:rPr>
          <w:sz w:val="24"/>
          <w:szCs w:val="24"/>
          <w:lang w:val="en-US"/>
        </w:rPr>
        <w:t>nintedanib</w:t>
      </w:r>
      <w:proofErr w:type="spellEnd"/>
      <w:r w:rsidRPr="00F85BD8">
        <w:rPr>
          <w:sz w:val="24"/>
          <w:szCs w:val="24"/>
          <w:lang w:val="en-US"/>
        </w:rPr>
        <w:t xml:space="preserve"> compared with placebo.</w:t>
      </w:r>
    </w:p>
    <w:p w14:paraId="1F9ADBF7" w14:textId="77777777" w:rsidR="00D657C7" w:rsidRPr="00F85BD8" w:rsidRDefault="00D657C7" w:rsidP="00BF087A">
      <w:pPr>
        <w:rPr>
          <w:sz w:val="24"/>
          <w:szCs w:val="24"/>
          <w:lang w:val="en-US"/>
        </w:rPr>
      </w:pPr>
    </w:p>
    <w:p w14:paraId="12F542EA" w14:textId="39906BC6" w:rsidR="00D657C7" w:rsidRPr="00F85BD8" w:rsidRDefault="00D657C7" w:rsidP="00BF087A">
      <w:pPr>
        <w:rPr>
          <w:b/>
          <w:sz w:val="24"/>
          <w:szCs w:val="24"/>
          <w:lang w:val="en-US"/>
        </w:rPr>
      </w:pPr>
      <w:r w:rsidRPr="00F85BD8">
        <w:rPr>
          <w:b/>
          <w:sz w:val="24"/>
          <w:szCs w:val="24"/>
          <w:lang w:val="en-US"/>
        </w:rPr>
        <w:t>Table 5:</w:t>
      </w:r>
      <w:r w:rsidR="00BF087A" w:rsidRPr="00F85BD8">
        <w:rPr>
          <w:b/>
          <w:sz w:val="24"/>
          <w:szCs w:val="24"/>
          <w:lang w:val="en-US"/>
        </w:rPr>
        <w:t xml:space="preserve"> </w:t>
      </w:r>
      <w:r w:rsidRPr="00F85BD8">
        <w:rPr>
          <w:b/>
          <w:sz w:val="24"/>
          <w:szCs w:val="24"/>
          <w:lang w:val="en-US"/>
        </w:rPr>
        <w:t>Frequency of patients with ≥10% absolute decline of FVC % predicted or death over 52 weeks and time to progression in trials INPULSIS-1, INPULSIS-2, and their pooled data - treated set</w:t>
      </w:r>
    </w:p>
    <w:p w14:paraId="6614B69D"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1803"/>
        <w:gridCol w:w="1358"/>
        <w:gridCol w:w="1358"/>
        <w:gridCol w:w="1207"/>
        <w:gridCol w:w="1358"/>
        <w:gridCol w:w="1171"/>
        <w:gridCol w:w="1373"/>
      </w:tblGrid>
      <w:tr w:rsidR="00D657C7" w:rsidRPr="00A93BE7" w14:paraId="5CC9ECC6" w14:textId="77777777" w:rsidTr="00BF087A">
        <w:tc>
          <w:tcPr>
            <w:tcW w:w="937" w:type="pct"/>
            <w:tcBorders>
              <w:top w:val="single" w:sz="4" w:space="0" w:color="auto"/>
              <w:left w:val="single" w:sz="4" w:space="0" w:color="auto"/>
              <w:bottom w:val="single" w:sz="4" w:space="0" w:color="auto"/>
              <w:right w:val="single" w:sz="4" w:space="0" w:color="auto"/>
            </w:tcBorders>
          </w:tcPr>
          <w:p w14:paraId="43AE9A4C" w14:textId="77777777" w:rsidR="00D657C7" w:rsidRPr="00A93BE7" w:rsidRDefault="00D657C7">
            <w:pPr>
              <w:autoSpaceDE w:val="0"/>
              <w:autoSpaceDN w:val="0"/>
              <w:adjustRightInd w:val="0"/>
              <w:rPr>
                <w:sz w:val="22"/>
                <w:szCs w:val="22"/>
              </w:rPr>
            </w:pPr>
          </w:p>
        </w:tc>
        <w:tc>
          <w:tcPr>
            <w:tcW w:w="1410" w:type="pct"/>
            <w:gridSpan w:val="2"/>
            <w:tcBorders>
              <w:top w:val="single" w:sz="4" w:space="0" w:color="auto"/>
              <w:left w:val="single" w:sz="4" w:space="0" w:color="auto"/>
              <w:bottom w:val="single" w:sz="4" w:space="0" w:color="auto"/>
              <w:right w:val="single" w:sz="4" w:space="0" w:color="auto"/>
            </w:tcBorders>
            <w:hideMark/>
          </w:tcPr>
          <w:p w14:paraId="1C6239B7" w14:textId="77777777" w:rsidR="00D657C7" w:rsidRPr="00A93BE7" w:rsidRDefault="00D657C7">
            <w:pPr>
              <w:autoSpaceDE w:val="0"/>
              <w:autoSpaceDN w:val="0"/>
              <w:adjustRightInd w:val="0"/>
              <w:jc w:val="center"/>
              <w:rPr>
                <w:b/>
                <w:sz w:val="22"/>
                <w:szCs w:val="22"/>
              </w:rPr>
            </w:pPr>
            <w:r w:rsidRPr="00A93BE7">
              <w:rPr>
                <w:b/>
                <w:sz w:val="22"/>
                <w:szCs w:val="22"/>
              </w:rPr>
              <w:t>INPULSIS</w:t>
            </w:r>
            <w:r w:rsidRPr="00A93BE7">
              <w:rPr>
                <w:b/>
                <w:sz w:val="22"/>
                <w:szCs w:val="22"/>
              </w:rPr>
              <w:noBreakHyphen/>
              <w:t>1</w:t>
            </w:r>
          </w:p>
        </w:tc>
        <w:tc>
          <w:tcPr>
            <w:tcW w:w="1332" w:type="pct"/>
            <w:gridSpan w:val="2"/>
            <w:tcBorders>
              <w:top w:val="single" w:sz="4" w:space="0" w:color="auto"/>
              <w:left w:val="single" w:sz="4" w:space="0" w:color="auto"/>
              <w:bottom w:val="single" w:sz="4" w:space="0" w:color="auto"/>
              <w:right w:val="single" w:sz="4" w:space="0" w:color="auto"/>
            </w:tcBorders>
            <w:hideMark/>
          </w:tcPr>
          <w:p w14:paraId="7F4CEEBA" w14:textId="77777777" w:rsidR="00D657C7" w:rsidRPr="00A93BE7" w:rsidRDefault="00D657C7">
            <w:pPr>
              <w:autoSpaceDE w:val="0"/>
              <w:autoSpaceDN w:val="0"/>
              <w:adjustRightInd w:val="0"/>
              <w:jc w:val="center"/>
              <w:rPr>
                <w:b/>
                <w:sz w:val="22"/>
                <w:szCs w:val="22"/>
              </w:rPr>
            </w:pPr>
            <w:r w:rsidRPr="00A93BE7">
              <w:rPr>
                <w:b/>
                <w:sz w:val="22"/>
                <w:szCs w:val="22"/>
              </w:rPr>
              <w:t>INPULSIS</w:t>
            </w:r>
            <w:r w:rsidRPr="00A93BE7">
              <w:rPr>
                <w:b/>
                <w:sz w:val="22"/>
                <w:szCs w:val="22"/>
              </w:rPr>
              <w:noBreakHyphen/>
              <w:t>2</w:t>
            </w:r>
          </w:p>
        </w:tc>
        <w:tc>
          <w:tcPr>
            <w:tcW w:w="1321" w:type="pct"/>
            <w:gridSpan w:val="2"/>
            <w:tcBorders>
              <w:top w:val="single" w:sz="4" w:space="0" w:color="auto"/>
              <w:left w:val="single" w:sz="4" w:space="0" w:color="auto"/>
              <w:bottom w:val="single" w:sz="4" w:space="0" w:color="auto"/>
              <w:right w:val="single" w:sz="4" w:space="0" w:color="auto"/>
            </w:tcBorders>
            <w:hideMark/>
          </w:tcPr>
          <w:p w14:paraId="456F6030" w14:textId="77777777" w:rsidR="00D657C7" w:rsidRPr="00A93BE7" w:rsidRDefault="00D657C7">
            <w:pPr>
              <w:autoSpaceDE w:val="0"/>
              <w:autoSpaceDN w:val="0"/>
              <w:adjustRightInd w:val="0"/>
              <w:jc w:val="center"/>
              <w:rPr>
                <w:b/>
                <w:sz w:val="22"/>
                <w:szCs w:val="22"/>
              </w:rPr>
            </w:pPr>
            <w:r w:rsidRPr="00A93BE7">
              <w:rPr>
                <w:b/>
                <w:sz w:val="22"/>
                <w:szCs w:val="22"/>
              </w:rPr>
              <w:t>INPULSIS</w:t>
            </w:r>
            <w:r w:rsidRPr="00A93BE7">
              <w:rPr>
                <w:b/>
                <w:sz w:val="22"/>
                <w:szCs w:val="22"/>
              </w:rPr>
              <w:noBreakHyphen/>
              <w:t>1 and INPULSIS</w:t>
            </w:r>
            <w:r w:rsidRPr="00A93BE7">
              <w:rPr>
                <w:b/>
                <w:sz w:val="22"/>
                <w:szCs w:val="22"/>
              </w:rPr>
              <w:noBreakHyphen/>
              <w:t>2 pooled</w:t>
            </w:r>
          </w:p>
        </w:tc>
      </w:tr>
      <w:tr w:rsidR="00D657C7" w:rsidRPr="00A93BE7" w14:paraId="737C9808" w14:textId="77777777" w:rsidTr="00BF087A">
        <w:tc>
          <w:tcPr>
            <w:tcW w:w="937" w:type="pct"/>
            <w:tcBorders>
              <w:top w:val="single" w:sz="4" w:space="0" w:color="auto"/>
              <w:left w:val="single" w:sz="4" w:space="0" w:color="auto"/>
              <w:bottom w:val="single" w:sz="4" w:space="0" w:color="auto"/>
              <w:right w:val="single" w:sz="4" w:space="0" w:color="auto"/>
            </w:tcBorders>
          </w:tcPr>
          <w:p w14:paraId="498D51E1" w14:textId="77777777" w:rsidR="00D657C7" w:rsidRPr="00A93BE7"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4D8AF86F" w14:textId="77777777" w:rsidR="00D657C7" w:rsidRPr="00A93BE7" w:rsidRDefault="00D657C7">
            <w:pPr>
              <w:autoSpaceDE w:val="0"/>
              <w:autoSpaceDN w:val="0"/>
              <w:adjustRightInd w:val="0"/>
              <w:jc w:val="center"/>
              <w:rPr>
                <w:sz w:val="22"/>
                <w:szCs w:val="22"/>
              </w:rPr>
            </w:pPr>
            <w:r w:rsidRPr="00A93BE7">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6769900A" w14:textId="77777777" w:rsidR="00D657C7" w:rsidRPr="00A93BE7" w:rsidRDefault="00D657C7">
            <w:pPr>
              <w:autoSpaceDE w:val="0"/>
              <w:autoSpaceDN w:val="0"/>
              <w:adjustRightInd w:val="0"/>
              <w:jc w:val="center"/>
              <w:rPr>
                <w:sz w:val="22"/>
                <w:szCs w:val="22"/>
              </w:rPr>
            </w:pPr>
            <w:proofErr w:type="spellStart"/>
            <w:r w:rsidRPr="00A93BE7">
              <w:rPr>
                <w:sz w:val="22"/>
                <w:szCs w:val="22"/>
              </w:rPr>
              <w:t>Nintedanib</w:t>
            </w:r>
            <w:proofErr w:type="spellEnd"/>
            <w:r w:rsidRPr="00A93BE7">
              <w:rPr>
                <w:sz w:val="22"/>
                <w:szCs w:val="22"/>
              </w:rPr>
              <w:t xml:space="preserve"> 150 mg twice daily</w:t>
            </w:r>
          </w:p>
        </w:tc>
        <w:tc>
          <w:tcPr>
            <w:tcW w:w="627" w:type="pct"/>
            <w:tcBorders>
              <w:top w:val="single" w:sz="4" w:space="0" w:color="auto"/>
              <w:left w:val="single" w:sz="4" w:space="0" w:color="auto"/>
              <w:bottom w:val="single" w:sz="4" w:space="0" w:color="auto"/>
              <w:right w:val="single" w:sz="4" w:space="0" w:color="auto"/>
            </w:tcBorders>
            <w:hideMark/>
          </w:tcPr>
          <w:p w14:paraId="57C7C80B" w14:textId="77777777" w:rsidR="00D657C7" w:rsidRPr="00A93BE7" w:rsidRDefault="00D657C7">
            <w:pPr>
              <w:autoSpaceDE w:val="0"/>
              <w:autoSpaceDN w:val="0"/>
              <w:adjustRightInd w:val="0"/>
              <w:jc w:val="center"/>
              <w:rPr>
                <w:sz w:val="22"/>
                <w:szCs w:val="22"/>
              </w:rPr>
            </w:pPr>
            <w:r w:rsidRPr="00A93BE7">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265223DE" w14:textId="77777777" w:rsidR="00D657C7" w:rsidRPr="00A93BE7" w:rsidRDefault="00D657C7">
            <w:pPr>
              <w:autoSpaceDE w:val="0"/>
              <w:autoSpaceDN w:val="0"/>
              <w:adjustRightInd w:val="0"/>
              <w:jc w:val="center"/>
              <w:rPr>
                <w:sz w:val="22"/>
                <w:szCs w:val="22"/>
              </w:rPr>
            </w:pPr>
            <w:proofErr w:type="spellStart"/>
            <w:r w:rsidRPr="00A93BE7">
              <w:rPr>
                <w:sz w:val="22"/>
                <w:szCs w:val="22"/>
              </w:rPr>
              <w:t>Nintedanib</w:t>
            </w:r>
            <w:proofErr w:type="spellEnd"/>
            <w:r w:rsidRPr="00A93BE7">
              <w:rPr>
                <w:sz w:val="22"/>
                <w:szCs w:val="22"/>
              </w:rPr>
              <w:t xml:space="preserve"> 150 mg twice daily</w:t>
            </w:r>
          </w:p>
        </w:tc>
        <w:tc>
          <w:tcPr>
            <w:tcW w:w="608" w:type="pct"/>
            <w:tcBorders>
              <w:top w:val="single" w:sz="4" w:space="0" w:color="auto"/>
              <w:left w:val="single" w:sz="4" w:space="0" w:color="auto"/>
              <w:bottom w:val="single" w:sz="4" w:space="0" w:color="auto"/>
              <w:right w:val="single" w:sz="4" w:space="0" w:color="auto"/>
            </w:tcBorders>
            <w:hideMark/>
          </w:tcPr>
          <w:p w14:paraId="3836B545" w14:textId="77777777" w:rsidR="00D657C7" w:rsidRPr="00A93BE7" w:rsidRDefault="00D657C7">
            <w:pPr>
              <w:autoSpaceDE w:val="0"/>
              <w:autoSpaceDN w:val="0"/>
              <w:adjustRightInd w:val="0"/>
              <w:jc w:val="center"/>
              <w:rPr>
                <w:sz w:val="22"/>
                <w:szCs w:val="22"/>
              </w:rPr>
            </w:pPr>
            <w:r w:rsidRPr="00A93BE7">
              <w:rPr>
                <w:sz w:val="22"/>
                <w:szCs w:val="22"/>
              </w:rPr>
              <w:t>Placebo</w:t>
            </w:r>
          </w:p>
        </w:tc>
        <w:tc>
          <w:tcPr>
            <w:tcW w:w="713" w:type="pct"/>
            <w:tcBorders>
              <w:top w:val="single" w:sz="4" w:space="0" w:color="auto"/>
              <w:left w:val="single" w:sz="4" w:space="0" w:color="auto"/>
              <w:bottom w:val="single" w:sz="4" w:space="0" w:color="auto"/>
              <w:right w:val="single" w:sz="4" w:space="0" w:color="auto"/>
            </w:tcBorders>
            <w:hideMark/>
          </w:tcPr>
          <w:p w14:paraId="25D4E5B2" w14:textId="77777777" w:rsidR="00D657C7" w:rsidRPr="00A93BE7" w:rsidRDefault="00D657C7">
            <w:pPr>
              <w:autoSpaceDE w:val="0"/>
              <w:autoSpaceDN w:val="0"/>
              <w:adjustRightInd w:val="0"/>
              <w:jc w:val="center"/>
              <w:rPr>
                <w:sz w:val="22"/>
                <w:szCs w:val="22"/>
              </w:rPr>
            </w:pPr>
            <w:proofErr w:type="spellStart"/>
            <w:r w:rsidRPr="00A93BE7">
              <w:rPr>
                <w:sz w:val="22"/>
                <w:szCs w:val="22"/>
              </w:rPr>
              <w:t>Nintedanib</w:t>
            </w:r>
            <w:proofErr w:type="spellEnd"/>
            <w:r w:rsidRPr="00A93BE7">
              <w:rPr>
                <w:sz w:val="22"/>
                <w:szCs w:val="22"/>
              </w:rPr>
              <w:t xml:space="preserve"> 150 mg twice daily</w:t>
            </w:r>
          </w:p>
        </w:tc>
      </w:tr>
      <w:tr w:rsidR="00D657C7" w:rsidRPr="00A93BE7" w14:paraId="32E881C6"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0DE157DB" w14:textId="77777777" w:rsidR="00D657C7" w:rsidRPr="00A93BE7" w:rsidRDefault="00D657C7">
            <w:pPr>
              <w:autoSpaceDE w:val="0"/>
              <w:autoSpaceDN w:val="0"/>
              <w:adjustRightInd w:val="0"/>
              <w:rPr>
                <w:sz w:val="22"/>
                <w:szCs w:val="22"/>
              </w:rPr>
            </w:pPr>
            <w:r w:rsidRPr="00A93BE7">
              <w:rPr>
                <w:sz w:val="22"/>
                <w:szCs w:val="22"/>
              </w:rPr>
              <w:t>Number at risk</w:t>
            </w:r>
          </w:p>
        </w:tc>
        <w:tc>
          <w:tcPr>
            <w:tcW w:w="705" w:type="pct"/>
            <w:tcBorders>
              <w:top w:val="single" w:sz="4" w:space="0" w:color="auto"/>
              <w:left w:val="single" w:sz="4" w:space="0" w:color="auto"/>
              <w:bottom w:val="single" w:sz="4" w:space="0" w:color="auto"/>
              <w:right w:val="single" w:sz="4" w:space="0" w:color="auto"/>
            </w:tcBorders>
            <w:hideMark/>
          </w:tcPr>
          <w:p w14:paraId="18F4243C" w14:textId="77777777" w:rsidR="00D657C7" w:rsidRPr="00A93BE7" w:rsidRDefault="00D657C7">
            <w:pPr>
              <w:autoSpaceDE w:val="0"/>
              <w:autoSpaceDN w:val="0"/>
              <w:adjustRightInd w:val="0"/>
              <w:jc w:val="center"/>
              <w:rPr>
                <w:sz w:val="22"/>
                <w:szCs w:val="22"/>
              </w:rPr>
            </w:pPr>
            <w:r w:rsidRPr="00A93BE7">
              <w:rPr>
                <w:sz w:val="22"/>
                <w:szCs w:val="22"/>
              </w:rPr>
              <w:t>204</w:t>
            </w:r>
          </w:p>
        </w:tc>
        <w:tc>
          <w:tcPr>
            <w:tcW w:w="705" w:type="pct"/>
            <w:tcBorders>
              <w:top w:val="single" w:sz="4" w:space="0" w:color="auto"/>
              <w:left w:val="single" w:sz="4" w:space="0" w:color="auto"/>
              <w:bottom w:val="single" w:sz="4" w:space="0" w:color="auto"/>
              <w:right w:val="single" w:sz="4" w:space="0" w:color="auto"/>
            </w:tcBorders>
            <w:hideMark/>
          </w:tcPr>
          <w:p w14:paraId="691EC3B2" w14:textId="77777777" w:rsidR="00D657C7" w:rsidRPr="00A93BE7" w:rsidRDefault="00D657C7">
            <w:pPr>
              <w:autoSpaceDE w:val="0"/>
              <w:autoSpaceDN w:val="0"/>
              <w:adjustRightInd w:val="0"/>
              <w:jc w:val="center"/>
              <w:rPr>
                <w:sz w:val="22"/>
                <w:szCs w:val="22"/>
              </w:rPr>
            </w:pPr>
            <w:r w:rsidRPr="00A93BE7">
              <w:rPr>
                <w:sz w:val="22"/>
                <w:szCs w:val="22"/>
              </w:rPr>
              <w:t>309</w:t>
            </w:r>
          </w:p>
        </w:tc>
        <w:tc>
          <w:tcPr>
            <w:tcW w:w="627" w:type="pct"/>
            <w:tcBorders>
              <w:top w:val="single" w:sz="4" w:space="0" w:color="auto"/>
              <w:left w:val="single" w:sz="4" w:space="0" w:color="auto"/>
              <w:bottom w:val="single" w:sz="4" w:space="0" w:color="auto"/>
              <w:right w:val="single" w:sz="4" w:space="0" w:color="auto"/>
            </w:tcBorders>
            <w:hideMark/>
          </w:tcPr>
          <w:p w14:paraId="5C4682D1" w14:textId="77777777" w:rsidR="00D657C7" w:rsidRPr="00A93BE7" w:rsidRDefault="00D657C7">
            <w:pPr>
              <w:autoSpaceDE w:val="0"/>
              <w:autoSpaceDN w:val="0"/>
              <w:adjustRightInd w:val="0"/>
              <w:jc w:val="center"/>
              <w:rPr>
                <w:sz w:val="22"/>
                <w:szCs w:val="22"/>
              </w:rPr>
            </w:pPr>
            <w:r w:rsidRPr="00A93BE7">
              <w:rPr>
                <w:sz w:val="22"/>
                <w:szCs w:val="22"/>
              </w:rPr>
              <w:t>219</w:t>
            </w:r>
          </w:p>
        </w:tc>
        <w:tc>
          <w:tcPr>
            <w:tcW w:w="705" w:type="pct"/>
            <w:tcBorders>
              <w:top w:val="single" w:sz="4" w:space="0" w:color="auto"/>
              <w:left w:val="single" w:sz="4" w:space="0" w:color="auto"/>
              <w:bottom w:val="single" w:sz="4" w:space="0" w:color="auto"/>
              <w:right w:val="single" w:sz="4" w:space="0" w:color="auto"/>
            </w:tcBorders>
            <w:hideMark/>
          </w:tcPr>
          <w:p w14:paraId="18156F22" w14:textId="77777777" w:rsidR="00D657C7" w:rsidRPr="00A93BE7" w:rsidRDefault="00D657C7">
            <w:pPr>
              <w:autoSpaceDE w:val="0"/>
              <w:autoSpaceDN w:val="0"/>
              <w:adjustRightInd w:val="0"/>
              <w:jc w:val="center"/>
              <w:rPr>
                <w:sz w:val="22"/>
                <w:szCs w:val="22"/>
              </w:rPr>
            </w:pPr>
            <w:r w:rsidRPr="00A93BE7">
              <w:rPr>
                <w:sz w:val="22"/>
                <w:szCs w:val="22"/>
              </w:rPr>
              <w:t>329</w:t>
            </w:r>
          </w:p>
        </w:tc>
        <w:tc>
          <w:tcPr>
            <w:tcW w:w="608" w:type="pct"/>
            <w:tcBorders>
              <w:top w:val="single" w:sz="4" w:space="0" w:color="auto"/>
              <w:left w:val="single" w:sz="4" w:space="0" w:color="auto"/>
              <w:bottom w:val="single" w:sz="4" w:space="0" w:color="auto"/>
              <w:right w:val="single" w:sz="4" w:space="0" w:color="auto"/>
            </w:tcBorders>
            <w:hideMark/>
          </w:tcPr>
          <w:p w14:paraId="095531B7" w14:textId="77777777" w:rsidR="00D657C7" w:rsidRPr="00A93BE7" w:rsidRDefault="00D657C7">
            <w:pPr>
              <w:autoSpaceDE w:val="0"/>
              <w:autoSpaceDN w:val="0"/>
              <w:adjustRightInd w:val="0"/>
              <w:jc w:val="center"/>
              <w:rPr>
                <w:sz w:val="22"/>
                <w:szCs w:val="22"/>
              </w:rPr>
            </w:pPr>
            <w:r w:rsidRPr="00A93BE7">
              <w:rPr>
                <w:sz w:val="22"/>
                <w:szCs w:val="22"/>
              </w:rPr>
              <w:t>423</w:t>
            </w:r>
          </w:p>
        </w:tc>
        <w:tc>
          <w:tcPr>
            <w:tcW w:w="713" w:type="pct"/>
            <w:tcBorders>
              <w:top w:val="single" w:sz="4" w:space="0" w:color="auto"/>
              <w:left w:val="single" w:sz="4" w:space="0" w:color="auto"/>
              <w:bottom w:val="single" w:sz="4" w:space="0" w:color="auto"/>
              <w:right w:val="single" w:sz="4" w:space="0" w:color="auto"/>
            </w:tcBorders>
            <w:hideMark/>
          </w:tcPr>
          <w:p w14:paraId="2460DC19" w14:textId="77777777" w:rsidR="00D657C7" w:rsidRPr="00A93BE7" w:rsidRDefault="00D657C7">
            <w:pPr>
              <w:autoSpaceDE w:val="0"/>
              <w:autoSpaceDN w:val="0"/>
              <w:adjustRightInd w:val="0"/>
              <w:jc w:val="center"/>
              <w:rPr>
                <w:sz w:val="22"/>
                <w:szCs w:val="22"/>
              </w:rPr>
            </w:pPr>
            <w:r w:rsidRPr="00A93BE7">
              <w:rPr>
                <w:sz w:val="22"/>
                <w:szCs w:val="22"/>
              </w:rPr>
              <w:t>638</w:t>
            </w:r>
          </w:p>
        </w:tc>
      </w:tr>
      <w:tr w:rsidR="00D657C7" w:rsidRPr="00A93BE7" w14:paraId="383C0F8F"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1CC768D7" w14:textId="77777777" w:rsidR="00D657C7" w:rsidRPr="00A93BE7" w:rsidRDefault="00D657C7">
            <w:pPr>
              <w:autoSpaceDE w:val="0"/>
              <w:autoSpaceDN w:val="0"/>
              <w:adjustRightInd w:val="0"/>
              <w:rPr>
                <w:sz w:val="22"/>
                <w:szCs w:val="22"/>
              </w:rPr>
            </w:pPr>
            <w:r w:rsidRPr="00A93BE7">
              <w:rPr>
                <w:sz w:val="22"/>
                <w:szCs w:val="22"/>
              </w:rPr>
              <w:t>Patients with events, N (%)</w:t>
            </w:r>
          </w:p>
        </w:tc>
        <w:tc>
          <w:tcPr>
            <w:tcW w:w="705" w:type="pct"/>
            <w:tcBorders>
              <w:top w:val="single" w:sz="4" w:space="0" w:color="auto"/>
              <w:left w:val="single" w:sz="4" w:space="0" w:color="auto"/>
              <w:bottom w:val="single" w:sz="4" w:space="0" w:color="auto"/>
              <w:right w:val="single" w:sz="4" w:space="0" w:color="auto"/>
            </w:tcBorders>
            <w:vAlign w:val="center"/>
            <w:hideMark/>
          </w:tcPr>
          <w:p w14:paraId="290DC6C4" w14:textId="77777777" w:rsidR="00D657C7" w:rsidRPr="00A93BE7" w:rsidRDefault="00D657C7">
            <w:pPr>
              <w:autoSpaceDE w:val="0"/>
              <w:autoSpaceDN w:val="0"/>
              <w:adjustRightInd w:val="0"/>
              <w:jc w:val="center"/>
              <w:rPr>
                <w:sz w:val="22"/>
                <w:szCs w:val="22"/>
              </w:rPr>
            </w:pPr>
            <w:r w:rsidRPr="00A93BE7">
              <w:rPr>
                <w:sz w:val="22"/>
                <w:szCs w:val="22"/>
              </w:rPr>
              <w:t>83</w:t>
            </w:r>
          </w:p>
          <w:p w14:paraId="108F0BB2" w14:textId="77777777" w:rsidR="00D657C7" w:rsidRPr="00A93BE7" w:rsidRDefault="00D657C7">
            <w:pPr>
              <w:autoSpaceDE w:val="0"/>
              <w:autoSpaceDN w:val="0"/>
              <w:adjustRightInd w:val="0"/>
              <w:jc w:val="center"/>
              <w:rPr>
                <w:sz w:val="22"/>
                <w:szCs w:val="22"/>
              </w:rPr>
            </w:pPr>
            <w:r w:rsidRPr="00A93BE7">
              <w:rPr>
                <w:sz w:val="22"/>
                <w:szCs w:val="22"/>
              </w:rPr>
              <w:t>(40.7)</w:t>
            </w:r>
          </w:p>
        </w:tc>
        <w:tc>
          <w:tcPr>
            <w:tcW w:w="705" w:type="pct"/>
            <w:tcBorders>
              <w:top w:val="single" w:sz="4" w:space="0" w:color="auto"/>
              <w:left w:val="single" w:sz="4" w:space="0" w:color="auto"/>
              <w:bottom w:val="single" w:sz="4" w:space="0" w:color="auto"/>
              <w:right w:val="single" w:sz="4" w:space="0" w:color="auto"/>
            </w:tcBorders>
            <w:vAlign w:val="center"/>
            <w:hideMark/>
          </w:tcPr>
          <w:p w14:paraId="5AC071DF" w14:textId="77777777" w:rsidR="00D657C7" w:rsidRPr="00A93BE7" w:rsidRDefault="00D657C7">
            <w:pPr>
              <w:autoSpaceDE w:val="0"/>
              <w:autoSpaceDN w:val="0"/>
              <w:adjustRightInd w:val="0"/>
              <w:jc w:val="center"/>
              <w:rPr>
                <w:sz w:val="22"/>
                <w:szCs w:val="22"/>
              </w:rPr>
            </w:pPr>
            <w:r w:rsidRPr="00A93BE7">
              <w:rPr>
                <w:sz w:val="22"/>
                <w:szCs w:val="22"/>
              </w:rPr>
              <w:t>75</w:t>
            </w:r>
          </w:p>
          <w:p w14:paraId="23DD596C" w14:textId="77777777" w:rsidR="00D657C7" w:rsidRPr="00A93BE7" w:rsidRDefault="00D657C7">
            <w:pPr>
              <w:autoSpaceDE w:val="0"/>
              <w:autoSpaceDN w:val="0"/>
              <w:adjustRightInd w:val="0"/>
              <w:jc w:val="center"/>
              <w:rPr>
                <w:sz w:val="22"/>
                <w:szCs w:val="22"/>
              </w:rPr>
            </w:pPr>
            <w:r w:rsidRPr="00A93BE7">
              <w:rPr>
                <w:sz w:val="22"/>
                <w:szCs w:val="22"/>
              </w:rPr>
              <w:t>(24.3)</w:t>
            </w:r>
          </w:p>
        </w:tc>
        <w:tc>
          <w:tcPr>
            <w:tcW w:w="627" w:type="pct"/>
            <w:tcBorders>
              <w:top w:val="single" w:sz="4" w:space="0" w:color="auto"/>
              <w:left w:val="single" w:sz="4" w:space="0" w:color="auto"/>
              <w:bottom w:val="single" w:sz="4" w:space="0" w:color="auto"/>
              <w:right w:val="single" w:sz="4" w:space="0" w:color="auto"/>
            </w:tcBorders>
            <w:vAlign w:val="center"/>
            <w:hideMark/>
          </w:tcPr>
          <w:p w14:paraId="7DBC3CCD" w14:textId="77777777" w:rsidR="00D657C7" w:rsidRPr="00A93BE7" w:rsidRDefault="00D657C7">
            <w:pPr>
              <w:autoSpaceDE w:val="0"/>
              <w:autoSpaceDN w:val="0"/>
              <w:adjustRightInd w:val="0"/>
              <w:jc w:val="center"/>
              <w:rPr>
                <w:sz w:val="22"/>
                <w:szCs w:val="22"/>
              </w:rPr>
            </w:pPr>
            <w:r w:rsidRPr="00A93BE7">
              <w:rPr>
                <w:sz w:val="22"/>
                <w:szCs w:val="22"/>
              </w:rPr>
              <w:t>92</w:t>
            </w:r>
          </w:p>
          <w:p w14:paraId="397589FF" w14:textId="77777777" w:rsidR="00D657C7" w:rsidRPr="00A93BE7" w:rsidRDefault="00D657C7">
            <w:pPr>
              <w:autoSpaceDE w:val="0"/>
              <w:autoSpaceDN w:val="0"/>
              <w:adjustRightInd w:val="0"/>
              <w:jc w:val="center"/>
              <w:rPr>
                <w:sz w:val="22"/>
                <w:szCs w:val="22"/>
              </w:rPr>
            </w:pPr>
            <w:r w:rsidRPr="00A93BE7">
              <w:rPr>
                <w:sz w:val="22"/>
                <w:szCs w:val="22"/>
              </w:rPr>
              <w:t>(42.0)</w:t>
            </w:r>
          </w:p>
        </w:tc>
        <w:tc>
          <w:tcPr>
            <w:tcW w:w="705" w:type="pct"/>
            <w:tcBorders>
              <w:top w:val="single" w:sz="4" w:space="0" w:color="auto"/>
              <w:left w:val="single" w:sz="4" w:space="0" w:color="auto"/>
              <w:bottom w:val="single" w:sz="4" w:space="0" w:color="auto"/>
              <w:right w:val="single" w:sz="4" w:space="0" w:color="auto"/>
            </w:tcBorders>
            <w:vAlign w:val="center"/>
            <w:hideMark/>
          </w:tcPr>
          <w:p w14:paraId="6D3BC97C" w14:textId="77777777" w:rsidR="00D657C7" w:rsidRPr="00A93BE7" w:rsidRDefault="00D657C7">
            <w:pPr>
              <w:autoSpaceDE w:val="0"/>
              <w:autoSpaceDN w:val="0"/>
              <w:adjustRightInd w:val="0"/>
              <w:jc w:val="center"/>
              <w:rPr>
                <w:sz w:val="22"/>
                <w:szCs w:val="22"/>
              </w:rPr>
            </w:pPr>
            <w:r w:rsidRPr="00A93BE7">
              <w:rPr>
                <w:sz w:val="22"/>
                <w:szCs w:val="22"/>
              </w:rPr>
              <w:t>98</w:t>
            </w:r>
          </w:p>
          <w:p w14:paraId="29AD8FB0" w14:textId="77777777" w:rsidR="00D657C7" w:rsidRPr="00A93BE7" w:rsidRDefault="00D657C7">
            <w:pPr>
              <w:autoSpaceDE w:val="0"/>
              <w:autoSpaceDN w:val="0"/>
              <w:adjustRightInd w:val="0"/>
              <w:jc w:val="center"/>
              <w:rPr>
                <w:sz w:val="22"/>
                <w:szCs w:val="22"/>
              </w:rPr>
            </w:pPr>
            <w:r w:rsidRPr="00A93BE7">
              <w:rPr>
                <w:sz w:val="22"/>
                <w:szCs w:val="22"/>
              </w:rPr>
              <w:t>(29.8)</w:t>
            </w:r>
          </w:p>
        </w:tc>
        <w:tc>
          <w:tcPr>
            <w:tcW w:w="608" w:type="pct"/>
            <w:tcBorders>
              <w:top w:val="single" w:sz="4" w:space="0" w:color="auto"/>
              <w:left w:val="single" w:sz="4" w:space="0" w:color="auto"/>
              <w:bottom w:val="single" w:sz="4" w:space="0" w:color="auto"/>
              <w:right w:val="single" w:sz="4" w:space="0" w:color="auto"/>
            </w:tcBorders>
            <w:vAlign w:val="center"/>
            <w:hideMark/>
          </w:tcPr>
          <w:p w14:paraId="026E0D50" w14:textId="77777777" w:rsidR="00D657C7" w:rsidRPr="00A93BE7" w:rsidRDefault="00D657C7">
            <w:pPr>
              <w:autoSpaceDE w:val="0"/>
              <w:autoSpaceDN w:val="0"/>
              <w:adjustRightInd w:val="0"/>
              <w:jc w:val="center"/>
              <w:rPr>
                <w:sz w:val="22"/>
                <w:szCs w:val="22"/>
              </w:rPr>
            </w:pPr>
            <w:r w:rsidRPr="00A93BE7">
              <w:rPr>
                <w:sz w:val="22"/>
                <w:szCs w:val="22"/>
              </w:rPr>
              <w:t>175</w:t>
            </w:r>
          </w:p>
          <w:p w14:paraId="53015648" w14:textId="77777777" w:rsidR="00D657C7" w:rsidRPr="00A93BE7" w:rsidRDefault="00D657C7">
            <w:pPr>
              <w:autoSpaceDE w:val="0"/>
              <w:autoSpaceDN w:val="0"/>
              <w:adjustRightInd w:val="0"/>
              <w:jc w:val="center"/>
              <w:rPr>
                <w:sz w:val="22"/>
                <w:szCs w:val="22"/>
              </w:rPr>
            </w:pPr>
            <w:r w:rsidRPr="00A93BE7">
              <w:rPr>
                <w:sz w:val="22"/>
                <w:szCs w:val="22"/>
              </w:rPr>
              <w:t>(41.4)</w:t>
            </w:r>
          </w:p>
        </w:tc>
        <w:tc>
          <w:tcPr>
            <w:tcW w:w="713" w:type="pct"/>
            <w:tcBorders>
              <w:top w:val="single" w:sz="4" w:space="0" w:color="auto"/>
              <w:left w:val="single" w:sz="4" w:space="0" w:color="auto"/>
              <w:bottom w:val="single" w:sz="4" w:space="0" w:color="auto"/>
              <w:right w:val="single" w:sz="4" w:space="0" w:color="auto"/>
            </w:tcBorders>
            <w:vAlign w:val="center"/>
            <w:hideMark/>
          </w:tcPr>
          <w:p w14:paraId="7557E60A" w14:textId="77777777" w:rsidR="00D657C7" w:rsidRPr="00A93BE7" w:rsidRDefault="00D657C7">
            <w:pPr>
              <w:autoSpaceDE w:val="0"/>
              <w:autoSpaceDN w:val="0"/>
              <w:adjustRightInd w:val="0"/>
              <w:jc w:val="center"/>
              <w:rPr>
                <w:sz w:val="22"/>
                <w:szCs w:val="22"/>
              </w:rPr>
            </w:pPr>
            <w:r w:rsidRPr="00A93BE7">
              <w:rPr>
                <w:sz w:val="22"/>
                <w:szCs w:val="22"/>
              </w:rPr>
              <w:t>173</w:t>
            </w:r>
          </w:p>
          <w:p w14:paraId="48211554" w14:textId="77777777" w:rsidR="00D657C7" w:rsidRPr="00A93BE7" w:rsidRDefault="00D657C7">
            <w:pPr>
              <w:autoSpaceDE w:val="0"/>
              <w:autoSpaceDN w:val="0"/>
              <w:adjustRightInd w:val="0"/>
              <w:jc w:val="center"/>
              <w:rPr>
                <w:sz w:val="22"/>
                <w:szCs w:val="22"/>
              </w:rPr>
            </w:pPr>
            <w:r w:rsidRPr="00A93BE7">
              <w:rPr>
                <w:sz w:val="22"/>
                <w:szCs w:val="22"/>
              </w:rPr>
              <w:t>(27.1)</w:t>
            </w:r>
          </w:p>
        </w:tc>
      </w:tr>
      <w:tr w:rsidR="00D657C7" w:rsidRPr="00A93BE7" w14:paraId="39196EF3"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732DA4D5" w14:textId="77777777" w:rsidR="00D657C7" w:rsidRPr="00A93BE7" w:rsidRDefault="00D657C7">
            <w:pPr>
              <w:autoSpaceDE w:val="0"/>
              <w:autoSpaceDN w:val="0"/>
              <w:adjustRightInd w:val="0"/>
              <w:rPr>
                <w:sz w:val="22"/>
                <w:szCs w:val="22"/>
              </w:rPr>
            </w:pPr>
            <w:r w:rsidRPr="00A93BE7">
              <w:rPr>
                <w:sz w:val="22"/>
                <w:szCs w:val="22"/>
              </w:rPr>
              <w:t>Comparison vs placebo</w:t>
            </w:r>
            <w:r w:rsidRPr="00A93BE7">
              <w:rPr>
                <w:sz w:val="22"/>
                <w:szCs w:val="22"/>
                <w:vertAlign w:val="superscript"/>
              </w:rPr>
              <w:t>1</w:t>
            </w:r>
          </w:p>
        </w:tc>
      </w:tr>
      <w:tr w:rsidR="00D657C7" w:rsidRPr="00A93BE7" w14:paraId="4E34CA3C"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1FC22597" w14:textId="77777777" w:rsidR="00D657C7" w:rsidRPr="00A93BE7" w:rsidRDefault="00D657C7">
            <w:pPr>
              <w:autoSpaceDE w:val="0"/>
              <w:autoSpaceDN w:val="0"/>
              <w:adjustRightInd w:val="0"/>
              <w:rPr>
                <w:sz w:val="22"/>
                <w:szCs w:val="22"/>
              </w:rPr>
            </w:pPr>
            <w:r w:rsidRPr="00A93BE7">
              <w:rPr>
                <w:sz w:val="22"/>
                <w:szCs w:val="22"/>
              </w:rPr>
              <w:t>p-value</w:t>
            </w:r>
            <w:r w:rsidRPr="00A93BE7">
              <w:rPr>
                <w:sz w:val="22"/>
                <w:szCs w:val="22"/>
                <w:vertAlign w:val="superscript"/>
              </w:rPr>
              <w:t>2</w:t>
            </w:r>
          </w:p>
        </w:tc>
        <w:tc>
          <w:tcPr>
            <w:tcW w:w="705" w:type="pct"/>
            <w:tcBorders>
              <w:top w:val="single" w:sz="4" w:space="0" w:color="auto"/>
              <w:left w:val="single" w:sz="4" w:space="0" w:color="auto"/>
              <w:bottom w:val="single" w:sz="4" w:space="0" w:color="auto"/>
              <w:right w:val="single" w:sz="4" w:space="0" w:color="auto"/>
            </w:tcBorders>
            <w:vAlign w:val="center"/>
          </w:tcPr>
          <w:p w14:paraId="7628C601"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540FE64" w14:textId="77777777" w:rsidR="00D657C7" w:rsidRPr="00A93BE7" w:rsidRDefault="00D657C7">
            <w:pPr>
              <w:autoSpaceDE w:val="0"/>
              <w:autoSpaceDN w:val="0"/>
              <w:adjustRightInd w:val="0"/>
              <w:jc w:val="center"/>
              <w:rPr>
                <w:sz w:val="22"/>
                <w:szCs w:val="22"/>
              </w:rPr>
            </w:pPr>
            <w:r w:rsidRPr="00A93BE7">
              <w:rPr>
                <w:sz w:val="22"/>
                <w:szCs w:val="22"/>
              </w:rPr>
              <w:t>0.0001</w:t>
            </w:r>
          </w:p>
        </w:tc>
        <w:tc>
          <w:tcPr>
            <w:tcW w:w="627" w:type="pct"/>
            <w:tcBorders>
              <w:top w:val="single" w:sz="4" w:space="0" w:color="auto"/>
              <w:left w:val="single" w:sz="4" w:space="0" w:color="auto"/>
              <w:bottom w:val="single" w:sz="4" w:space="0" w:color="auto"/>
              <w:right w:val="single" w:sz="4" w:space="0" w:color="auto"/>
            </w:tcBorders>
            <w:vAlign w:val="center"/>
          </w:tcPr>
          <w:p w14:paraId="796BF6B3"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DE42FF5" w14:textId="77777777" w:rsidR="00D657C7" w:rsidRPr="00A93BE7" w:rsidRDefault="00D657C7">
            <w:pPr>
              <w:autoSpaceDE w:val="0"/>
              <w:autoSpaceDN w:val="0"/>
              <w:adjustRightInd w:val="0"/>
              <w:jc w:val="center"/>
              <w:rPr>
                <w:sz w:val="22"/>
                <w:szCs w:val="22"/>
              </w:rPr>
            </w:pPr>
            <w:r w:rsidRPr="00A93BE7">
              <w:rPr>
                <w:sz w:val="22"/>
                <w:szCs w:val="22"/>
              </w:rPr>
              <w:t>0.0054</w:t>
            </w:r>
          </w:p>
        </w:tc>
        <w:tc>
          <w:tcPr>
            <w:tcW w:w="608" w:type="pct"/>
            <w:tcBorders>
              <w:top w:val="single" w:sz="4" w:space="0" w:color="auto"/>
              <w:left w:val="single" w:sz="4" w:space="0" w:color="auto"/>
              <w:bottom w:val="single" w:sz="4" w:space="0" w:color="auto"/>
              <w:right w:val="single" w:sz="4" w:space="0" w:color="auto"/>
            </w:tcBorders>
            <w:vAlign w:val="center"/>
          </w:tcPr>
          <w:p w14:paraId="76109873" w14:textId="77777777" w:rsidR="00D657C7" w:rsidRPr="00A93BE7" w:rsidRDefault="00D657C7">
            <w:pPr>
              <w:autoSpaceDE w:val="0"/>
              <w:autoSpaceDN w:val="0"/>
              <w:adjustRightInd w:val="0"/>
              <w:jc w:val="center"/>
              <w:rPr>
                <w:sz w:val="22"/>
                <w:szCs w:val="22"/>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75B57ACC" w14:textId="77777777" w:rsidR="00D657C7" w:rsidRPr="00A93BE7" w:rsidRDefault="00D657C7">
            <w:pPr>
              <w:autoSpaceDE w:val="0"/>
              <w:autoSpaceDN w:val="0"/>
              <w:adjustRightInd w:val="0"/>
              <w:jc w:val="center"/>
              <w:rPr>
                <w:sz w:val="22"/>
                <w:szCs w:val="22"/>
              </w:rPr>
            </w:pPr>
            <w:r w:rsidRPr="00A93BE7">
              <w:rPr>
                <w:sz w:val="22"/>
                <w:szCs w:val="22"/>
              </w:rPr>
              <w:t>&lt;0.0001</w:t>
            </w:r>
          </w:p>
        </w:tc>
      </w:tr>
      <w:tr w:rsidR="00D657C7" w:rsidRPr="00A93BE7" w14:paraId="68CF8FE7"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5A3F4FD0" w14:textId="77777777" w:rsidR="00D657C7" w:rsidRPr="00A93BE7" w:rsidRDefault="00D657C7">
            <w:pPr>
              <w:autoSpaceDE w:val="0"/>
              <w:autoSpaceDN w:val="0"/>
              <w:adjustRightInd w:val="0"/>
              <w:rPr>
                <w:sz w:val="22"/>
                <w:szCs w:val="22"/>
              </w:rPr>
            </w:pPr>
            <w:r w:rsidRPr="00A93BE7">
              <w:rPr>
                <w:sz w:val="22"/>
                <w:szCs w:val="22"/>
              </w:rPr>
              <w:t>Hazard ratio</w:t>
            </w:r>
            <w:r w:rsidRPr="00A93BE7">
              <w:rPr>
                <w:sz w:val="22"/>
                <w:szCs w:val="22"/>
                <w:vertAlign w:val="superscript"/>
              </w:rPr>
              <w:t>3</w:t>
            </w:r>
          </w:p>
        </w:tc>
        <w:tc>
          <w:tcPr>
            <w:tcW w:w="705" w:type="pct"/>
            <w:tcBorders>
              <w:top w:val="single" w:sz="4" w:space="0" w:color="auto"/>
              <w:left w:val="single" w:sz="4" w:space="0" w:color="auto"/>
              <w:bottom w:val="single" w:sz="4" w:space="0" w:color="auto"/>
              <w:right w:val="single" w:sz="4" w:space="0" w:color="auto"/>
            </w:tcBorders>
            <w:vAlign w:val="center"/>
          </w:tcPr>
          <w:p w14:paraId="49E5CD9B"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100D947E" w14:textId="77777777" w:rsidR="00D657C7" w:rsidRPr="00A93BE7" w:rsidRDefault="00D657C7">
            <w:pPr>
              <w:autoSpaceDE w:val="0"/>
              <w:autoSpaceDN w:val="0"/>
              <w:adjustRightInd w:val="0"/>
              <w:jc w:val="center"/>
              <w:rPr>
                <w:sz w:val="22"/>
                <w:szCs w:val="22"/>
              </w:rPr>
            </w:pPr>
            <w:r w:rsidRPr="00A93BE7">
              <w:rPr>
                <w:sz w:val="22"/>
                <w:szCs w:val="22"/>
              </w:rPr>
              <w:t>0.53</w:t>
            </w:r>
          </w:p>
        </w:tc>
        <w:tc>
          <w:tcPr>
            <w:tcW w:w="627" w:type="pct"/>
            <w:tcBorders>
              <w:top w:val="single" w:sz="4" w:space="0" w:color="auto"/>
              <w:left w:val="single" w:sz="4" w:space="0" w:color="auto"/>
              <w:bottom w:val="single" w:sz="4" w:space="0" w:color="auto"/>
              <w:right w:val="single" w:sz="4" w:space="0" w:color="auto"/>
            </w:tcBorders>
            <w:vAlign w:val="center"/>
          </w:tcPr>
          <w:p w14:paraId="74066FCD"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5FBF6FF" w14:textId="77777777" w:rsidR="00D657C7" w:rsidRPr="00A93BE7" w:rsidRDefault="00D657C7">
            <w:pPr>
              <w:autoSpaceDE w:val="0"/>
              <w:autoSpaceDN w:val="0"/>
              <w:adjustRightInd w:val="0"/>
              <w:jc w:val="center"/>
              <w:rPr>
                <w:sz w:val="22"/>
                <w:szCs w:val="22"/>
              </w:rPr>
            </w:pPr>
            <w:r w:rsidRPr="00A93BE7">
              <w:rPr>
                <w:sz w:val="22"/>
                <w:szCs w:val="22"/>
              </w:rPr>
              <w:t>0.67</w:t>
            </w:r>
          </w:p>
        </w:tc>
        <w:tc>
          <w:tcPr>
            <w:tcW w:w="608" w:type="pct"/>
            <w:tcBorders>
              <w:top w:val="single" w:sz="4" w:space="0" w:color="auto"/>
              <w:left w:val="single" w:sz="4" w:space="0" w:color="auto"/>
              <w:bottom w:val="single" w:sz="4" w:space="0" w:color="auto"/>
              <w:right w:val="single" w:sz="4" w:space="0" w:color="auto"/>
            </w:tcBorders>
            <w:vAlign w:val="center"/>
          </w:tcPr>
          <w:p w14:paraId="1E3F614A" w14:textId="77777777" w:rsidR="00D657C7" w:rsidRPr="00A93BE7" w:rsidRDefault="00D657C7">
            <w:pPr>
              <w:autoSpaceDE w:val="0"/>
              <w:autoSpaceDN w:val="0"/>
              <w:adjustRightInd w:val="0"/>
              <w:jc w:val="center"/>
              <w:rPr>
                <w:sz w:val="22"/>
                <w:szCs w:val="22"/>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008426C2" w14:textId="77777777" w:rsidR="00D657C7" w:rsidRPr="00A93BE7" w:rsidRDefault="00D657C7">
            <w:pPr>
              <w:autoSpaceDE w:val="0"/>
              <w:autoSpaceDN w:val="0"/>
              <w:adjustRightInd w:val="0"/>
              <w:jc w:val="center"/>
              <w:rPr>
                <w:sz w:val="22"/>
                <w:szCs w:val="22"/>
              </w:rPr>
            </w:pPr>
            <w:r w:rsidRPr="00A93BE7">
              <w:rPr>
                <w:sz w:val="22"/>
                <w:szCs w:val="22"/>
              </w:rPr>
              <w:t>0.60</w:t>
            </w:r>
          </w:p>
        </w:tc>
      </w:tr>
      <w:tr w:rsidR="00D657C7" w:rsidRPr="00A93BE7" w14:paraId="650F0F6D" w14:textId="77777777" w:rsidTr="00BF087A">
        <w:tc>
          <w:tcPr>
            <w:tcW w:w="937" w:type="pct"/>
            <w:tcBorders>
              <w:top w:val="single" w:sz="4" w:space="0" w:color="auto"/>
              <w:left w:val="single" w:sz="4" w:space="0" w:color="auto"/>
              <w:bottom w:val="single" w:sz="4" w:space="0" w:color="auto"/>
              <w:right w:val="single" w:sz="4" w:space="0" w:color="auto"/>
            </w:tcBorders>
            <w:hideMark/>
          </w:tcPr>
          <w:p w14:paraId="7DD0904B" w14:textId="77777777" w:rsidR="00D657C7" w:rsidRPr="00A93BE7" w:rsidRDefault="00D657C7">
            <w:pPr>
              <w:autoSpaceDE w:val="0"/>
              <w:autoSpaceDN w:val="0"/>
              <w:adjustRightInd w:val="0"/>
              <w:rPr>
                <w:sz w:val="22"/>
                <w:szCs w:val="22"/>
              </w:rPr>
            </w:pPr>
            <w:r w:rsidRPr="00A93BE7">
              <w:rPr>
                <w:sz w:val="22"/>
                <w:szCs w:val="22"/>
              </w:rPr>
              <w:t>95% CI</w:t>
            </w:r>
          </w:p>
        </w:tc>
        <w:tc>
          <w:tcPr>
            <w:tcW w:w="705" w:type="pct"/>
            <w:tcBorders>
              <w:top w:val="single" w:sz="4" w:space="0" w:color="auto"/>
              <w:left w:val="single" w:sz="4" w:space="0" w:color="auto"/>
              <w:bottom w:val="single" w:sz="4" w:space="0" w:color="auto"/>
              <w:right w:val="single" w:sz="4" w:space="0" w:color="auto"/>
            </w:tcBorders>
            <w:vAlign w:val="center"/>
          </w:tcPr>
          <w:p w14:paraId="453C90D2"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F8CA0A1" w14:textId="77777777" w:rsidR="00D657C7" w:rsidRPr="00A93BE7" w:rsidRDefault="00D657C7">
            <w:pPr>
              <w:autoSpaceDE w:val="0"/>
              <w:autoSpaceDN w:val="0"/>
              <w:adjustRightInd w:val="0"/>
              <w:jc w:val="center"/>
              <w:rPr>
                <w:sz w:val="22"/>
                <w:szCs w:val="22"/>
              </w:rPr>
            </w:pPr>
            <w:r w:rsidRPr="00A93BE7">
              <w:rPr>
                <w:sz w:val="22"/>
                <w:szCs w:val="22"/>
              </w:rPr>
              <w:t>(0.39, 0.72)</w:t>
            </w:r>
          </w:p>
        </w:tc>
        <w:tc>
          <w:tcPr>
            <w:tcW w:w="627" w:type="pct"/>
            <w:tcBorders>
              <w:top w:val="single" w:sz="4" w:space="0" w:color="auto"/>
              <w:left w:val="single" w:sz="4" w:space="0" w:color="auto"/>
              <w:bottom w:val="single" w:sz="4" w:space="0" w:color="auto"/>
              <w:right w:val="single" w:sz="4" w:space="0" w:color="auto"/>
            </w:tcBorders>
            <w:vAlign w:val="center"/>
          </w:tcPr>
          <w:p w14:paraId="10FB2040" w14:textId="77777777" w:rsidR="00D657C7" w:rsidRPr="00A93BE7" w:rsidRDefault="00D657C7">
            <w:pPr>
              <w:autoSpaceDE w:val="0"/>
              <w:autoSpaceDN w:val="0"/>
              <w:adjustRightInd w:val="0"/>
              <w:jc w:val="center"/>
              <w:rPr>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D10EFF9" w14:textId="77777777" w:rsidR="00D657C7" w:rsidRPr="00A93BE7" w:rsidRDefault="00D657C7">
            <w:pPr>
              <w:autoSpaceDE w:val="0"/>
              <w:autoSpaceDN w:val="0"/>
              <w:adjustRightInd w:val="0"/>
              <w:jc w:val="center"/>
              <w:rPr>
                <w:sz w:val="22"/>
                <w:szCs w:val="22"/>
              </w:rPr>
            </w:pPr>
            <w:r w:rsidRPr="00A93BE7">
              <w:rPr>
                <w:sz w:val="22"/>
                <w:szCs w:val="22"/>
              </w:rPr>
              <w:t>(0.51, 0.89)</w:t>
            </w:r>
          </w:p>
        </w:tc>
        <w:tc>
          <w:tcPr>
            <w:tcW w:w="608" w:type="pct"/>
            <w:tcBorders>
              <w:top w:val="single" w:sz="4" w:space="0" w:color="auto"/>
              <w:left w:val="single" w:sz="4" w:space="0" w:color="auto"/>
              <w:bottom w:val="single" w:sz="4" w:space="0" w:color="auto"/>
              <w:right w:val="single" w:sz="4" w:space="0" w:color="auto"/>
            </w:tcBorders>
            <w:vAlign w:val="center"/>
          </w:tcPr>
          <w:p w14:paraId="5DD2EA30" w14:textId="77777777" w:rsidR="00D657C7" w:rsidRPr="00A93BE7" w:rsidRDefault="00D657C7">
            <w:pPr>
              <w:autoSpaceDE w:val="0"/>
              <w:autoSpaceDN w:val="0"/>
              <w:adjustRightInd w:val="0"/>
              <w:jc w:val="center"/>
              <w:rPr>
                <w:sz w:val="22"/>
                <w:szCs w:val="22"/>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7F6F1F41" w14:textId="77777777" w:rsidR="00D657C7" w:rsidRPr="00A93BE7" w:rsidRDefault="00D657C7">
            <w:pPr>
              <w:autoSpaceDE w:val="0"/>
              <w:autoSpaceDN w:val="0"/>
              <w:adjustRightInd w:val="0"/>
              <w:jc w:val="center"/>
              <w:rPr>
                <w:sz w:val="22"/>
                <w:szCs w:val="22"/>
              </w:rPr>
            </w:pPr>
            <w:r w:rsidRPr="00A93BE7">
              <w:rPr>
                <w:sz w:val="22"/>
                <w:szCs w:val="22"/>
              </w:rPr>
              <w:t>(0.49, 0.74)</w:t>
            </w:r>
          </w:p>
        </w:tc>
      </w:tr>
    </w:tbl>
    <w:p w14:paraId="0DCFAA88" w14:textId="77777777" w:rsidR="00D657C7" w:rsidRPr="009929B6" w:rsidRDefault="00D657C7" w:rsidP="00D657C7">
      <w:pPr>
        <w:autoSpaceDE w:val="0"/>
        <w:autoSpaceDN w:val="0"/>
        <w:adjustRightInd w:val="0"/>
        <w:rPr>
          <w:sz w:val="20"/>
          <w:lang w:val="en-GB" w:eastAsia="en-US"/>
        </w:rPr>
      </w:pPr>
      <w:r w:rsidRPr="009929B6">
        <w:rPr>
          <w:sz w:val="20"/>
          <w:vertAlign w:val="superscript"/>
          <w:lang w:val="en-US"/>
        </w:rPr>
        <w:t xml:space="preserve">1 </w:t>
      </w:r>
      <w:r w:rsidRPr="009929B6">
        <w:rPr>
          <w:sz w:val="20"/>
          <w:lang w:val="en-US"/>
        </w:rPr>
        <w:t xml:space="preserve">Based on data collected up to 372 days (52 weeks + </w:t>
      </w:r>
      <w:proofErr w:type="gramStart"/>
      <w:r w:rsidRPr="009929B6">
        <w:rPr>
          <w:sz w:val="20"/>
          <w:lang w:val="en-US"/>
        </w:rPr>
        <w:t>7 day</w:t>
      </w:r>
      <w:proofErr w:type="gramEnd"/>
      <w:r w:rsidRPr="009929B6">
        <w:rPr>
          <w:sz w:val="20"/>
          <w:lang w:val="en-US"/>
        </w:rPr>
        <w:t xml:space="preserve"> margin).</w:t>
      </w:r>
    </w:p>
    <w:p w14:paraId="72CDE664"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2 </w:t>
      </w:r>
      <w:r w:rsidRPr="009929B6">
        <w:rPr>
          <w:sz w:val="20"/>
          <w:lang w:val="en-US"/>
        </w:rPr>
        <w:t xml:space="preserve">Based on a Log-rank </w:t>
      </w:r>
      <w:proofErr w:type="gramStart"/>
      <w:r w:rsidRPr="009929B6">
        <w:rPr>
          <w:sz w:val="20"/>
          <w:lang w:val="en-US"/>
        </w:rPr>
        <w:t>test</w:t>
      </w:r>
      <w:proofErr w:type="gramEnd"/>
      <w:r w:rsidRPr="009929B6">
        <w:rPr>
          <w:sz w:val="20"/>
          <w:lang w:val="en-US"/>
        </w:rPr>
        <w:t>.</w:t>
      </w:r>
    </w:p>
    <w:p w14:paraId="600C7300"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3 </w:t>
      </w:r>
      <w:r w:rsidRPr="009929B6">
        <w:rPr>
          <w:sz w:val="20"/>
          <w:lang w:val="en-US"/>
        </w:rPr>
        <w:t>Based on a Cox’s regression model.</w:t>
      </w:r>
    </w:p>
    <w:p w14:paraId="58A4BDC3" w14:textId="77777777" w:rsidR="00D657C7" w:rsidRPr="00F85BD8" w:rsidRDefault="00D657C7" w:rsidP="00D657C7">
      <w:pPr>
        <w:autoSpaceDE w:val="0"/>
        <w:autoSpaceDN w:val="0"/>
        <w:adjustRightInd w:val="0"/>
        <w:rPr>
          <w:sz w:val="24"/>
          <w:szCs w:val="24"/>
          <w:lang w:val="en-US"/>
        </w:rPr>
      </w:pPr>
    </w:p>
    <w:p w14:paraId="4310B7DC" w14:textId="77777777" w:rsidR="00D657C7" w:rsidRPr="009929B6" w:rsidRDefault="00D657C7" w:rsidP="00BF087A">
      <w:pPr>
        <w:ind w:left="851"/>
        <w:rPr>
          <w:i/>
          <w:sz w:val="24"/>
          <w:szCs w:val="24"/>
          <w:u w:val="single"/>
          <w:lang w:val="en-US"/>
        </w:rPr>
      </w:pPr>
      <w:r w:rsidRPr="009929B6">
        <w:rPr>
          <w:i/>
          <w:sz w:val="24"/>
          <w:szCs w:val="24"/>
          <w:u w:val="single"/>
          <w:lang w:val="en-US"/>
        </w:rPr>
        <w:t>Change from baseline in SGRQ total score at week 52</w:t>
      </w:r>
    </w:p>
    <w:p w14:paraId="736A3A7A" w14:textId="77777777" w:rsidR="00D657C7" w:rsidRPr="00F85BD8" w:rsidRDefault="00D657C7" w:rsidP="00BF087A">
      <w:pPr>
        <w:ind w:left="851"/>
        <w:rPr>
          <w:sz w:val="24"/>
          <w:szCs w:val="24"/>
          <w:lang w:val="en-US"/>
        </w:rPr>
      </w:pPr>
      <w:r w:rsidRPr="00F85BD8">
        <w:rPr>
          <w:sz w:val="24"/>
          <w:szCs w:val="24"/>
          <w:lang w:val="en-US"/>
        </w:rPr>
        <w:t xml:space="preserve">In the pooled analysis of the INPULSIS trials, the baseline SGRQ scores were 39.51 in the </w:t>
      </w:r>
      <w:proofErr w:type="spellStart"/>
      <w:r w:rsidRPr="00F85BD8">
        <w:rPr>
          <w:sz w:val="24"/>
          <w:szCs w:val="24"/>
          <w:lang w:val="en-US"/>
        </w:rPr>
        <w:t>nintedanib</w:t>
      </w:r>
      <w:proofErr w:type="spellEnd"/>
      <w:r w:rsidRPr="00F85BD8">
        <w:rPr>
          <w:sz w:val="24"/>
          <w:szCs w:val="24"/>
          <w:lang w:val="en-US"/>
        </w:rPr>
        <w:t xml:space="preserve"> group and 39.58 in the placebo group. The estimated mean change from baseline to week 52 in SGRQ total score was smaller in the </w:t>
      </w:r>
      <w:proofErr w:type="spellStart"/>
      <w:r w:rsidRPr="00F85BD8">
        <w:rPr>
          <w:sz w:val="24"/>
          <w:szCs w:val="24"/>
          <w:lang w:val="en-US"/>
        </w:rPr>
        <w:t>nintedanib</w:t>
      </w:r>
      <w:proofErr w:type="spellEnd"/>
      <w:r w:rsidRPr="00F85BD8">
        <w:rPr>
          <w:sz w:val="24"/>
          <w:szCs w:val="24"/>
          <w:lang w:val="en-US"/>
        </w:rPr>
        <w:t xml:space="preserve"> group (3.53) than in the placebo group (4.96), with a difference between the treatment groups of -1.43 (95% CI: -3.09, 0.23; p=0.0923). Overall, the effect of </w:t>
      </w:r>
      <w:proofErr w:type="spellStart"/>
      <w:r w:rsidRPr="00F85BD8">
        <w:rPr>
          <w:sz w:val="24"/>
          <w:szCs w:val="24"/>
          <w:lang w:val="en-US"/>
        </w:rPr>
        <w:t>nintedanib</w:t>
      </w:r>
      <w:proofErr w:type="spellEnd"/>
      <w:r w:rsidRPr="00F85BD8">
        <w:rPr>
          <w:sz w:val="24"/>
          <w:szCs w:val="24"/>
          <w:lang w:val="en-US"/>
        </w:rPr>
        <w:t xml:space="preserve"> on health-related quality of life as measured by the SGRQ total score is modest, indicating less worsening compared to placebo.</w:t>
      </w:r>
    </w:p>
    <w:p w14:paraId="4D524611" w14:textId="77777777" w:rsidR="00D657C7" w:rsidRPr="00F85BD8" w:rsidRDefault="00D657C7" w:rsidP="00BF087A">
      <w:pPr>
        <w:ind w:left="851"/>
        <w:rPr>
          <w:sz w:val="24"/>
          <w:szCs w:val="24"/>
          <w:lang w:val="en-US"/>
        </w:rPr>
      </w:pPr>
    </w:p>
    <w:p w14:paraId="6856DBCE" w14:textId="77777777" w:rsidR="00D657C7" w:rsidRPr="009929B6" w:rsidRDefault="00D657C7" w:rsidP="00BF087A">
      <w:pPr>
        <w:ind w:left="851"/>
        <w:rPr>
          <w:i/>
          <w:sz w:val="24"/>
          <w:szCs w:val="24"/>
          <w:u w:val="single"/>
          <w:lang w:val="en-US"/>
        </w:rPr>
      </w:pPr>
      <w:r w:rsidRPr="009929B6">
        <w:rPr>
          <w:i/>
          <w:sz w:val="24"/>
          <w:szCs w:val="24"/>
          <w:u w:val="single"/>
          <w:lang w:val="en-US"/>
        </w:rPr>
        <w:t>Time to first acute IPF exacerbation</w:t>
      </w:r>
    </w:p>
    <w:p w14:paraId="673B61AC" w14:textId="77777777" w:rsidR="00D657C7" w:rsidRPr="00F85BD8" w:rsidRDefault="00D657C7" w:rsidP="00BF087A">
      <w:pPr>
        <w:ind w:left="851"/>
        <w:rPr>
          <w:sz w:val="24"/>
          <w:szCs w:val="24"/>
          <w:lang w:val="en-US"/>
        </w:rPr>
      </w:pPr>
      <w:r w:rsidRPr="00F85BD8">
        <w:rPr>
          <w:sz w:val="24"/>
          <w:szCs w:val="24"/>
          <w:lang w:val="en-US"/>
        </w:rPr>
        <w:t xml:space="preserve">In the pooled analysis of the INPULSIS trials, a numerically lower risk of first acute exacerbation was observed in patients receiving </w:t>
      </w:r>
      <w:proofErr w:type="spellStart"/>
      <w:r w:rsidRPr="00F85BD8">
        <w:rPr>
          <w:sz w:val="24"/>
          <w:szCs w:val="24"/>
          <w:lang w:val="en-US"/>
        </w:rPr>
        <w:t>nintedanib</w:t>
      </w:r>
      <w:proofErr w:type="spellEnd"/>
      <w:r w:rsidRPr="00F85BD8">
        <w:rPr>
          <w:sz w:val="24"/>
          <w:szCs w:val="24"/>
          <w:lang w:val="en-US"/>
        </w:rPr>
        <w:t xml:space="preserve"> compared to placebo. See Table 6 for individual and pooled study results.</w:t>
      </w:r>
    </w:p>
    <w:p w14:paraId="6C1EFCA4" w14:textId="77777777" w:rsidR="00D657C7" w:rsidRPr="00F85BD8" w:rsidRDefault="00D657C7" w:rsidP="00D657C7">
      <w:pPr>
        <w:autoSpaceDE w:val="0"/>
        <w:autoSpaceDN w:val="0"/>
        <w:adjustRightInd w:val="0"/>
        <w:rPr>
          <w:sz w:val="24"/>
          <w:szCs w:val="24"/>
          <w:lang w:val="en-US"/>
        </w:rPr>
      </w:pPr>
    </w:p>
    <w:p w14:paraId="7BCF14C3" w14:textId="66C53FFB" w:rsidR="00D657C7" w:rsidRPr="00F85BD8" w:rsidRDefault="00D657C7" w:rsidP="00BF087A">
      <w:pPr>
        <w:rPr>
          <w:b/>
          <w:sz w:val="24"/>
          <w:szCs w:val="24"/>
          <w:lang w:val="en-US"/>
        </w:rPr>
      </w:pPr>
      <w:r w:rsidRPr="00F85BD8">
        <w:rPr>
          <w:b/>
          <w:sz w:val="24"/>
          <w:szCs w:val="24"/>
          <w:lang w:val="en-US"/>
        </w:rPr>
        <w:t>Table 6:</w:t>
      </w:r>
      <w:r w:rsidR="00BF087A" w:rsidRPr="00F85BD8">
        <w:rPr>
          <w:b/>
          <w:sz w:val="24"/>
          <w:szCs w:val="24"/>
          <w:lang w:val="en-US"/>
        </w:rPr>
        <w:t xml:space="preserve"> </w:t>
      </w:r>
      <w:r w:rsidRPr="00F85BD8">
        <w:rPr>
          <w:b/>
          <w:sz w:val="24"/>
          <w:szCs w:val="24"/>
          <w:lang w:val="en-US"/>
        </w:rPr>
        <w:t>Frequency of patients with acute IPF exacerbations over 52 weeks and time to first exacerbation analysis based on investigator-reported events in trials INPULSIS-1, INPULSIS-2, and their pooled data - treated set</w:t>
      </w:r>
    </w:p>
    <w:p w14:paraId="525C8057" w14:textId="77777777" w:rsidR="00D657C7" w:rsidRPr="00F85BD8" w:rsidRDefault="00D657C7" w:rsidP="00BF087A">
      <w:pPr>
        <w:rPr>
          <w:b/>
          <w:sz w:val="24"/>
          <w:szCs w:val="24"/>
          <w:lang w:val="en-US"/>
        </w:rPr>
      </w:pPr>
    </w:p>
    <w:tbl>
      <w:tblPr>
        <w:tblStyle w:val="Tabel-Gitter"/>
        <w:tblW w:w="5000" w:type="pct"/>
        <w:tblInd w:w="0" w:type="dxa"/>
        <w:tblLook w:val="04A0" w:firstRow="1" w:lastRow="0" w:firstColumn="1" w:lastColumn="0" w:noHBand="0" w:noVBand="1"/>
      </w:tblPr>
      <w:tblGrid>
        <w:gridCol w:w="1954"/>
        <w:gridCol w:w="1207"/>
        <w:gridCol w:w="1358"/>
        <w:gridCol w:w="1207"/>
        <w:gridCol w:w="1358"/>
        <w:gridCol w:w="1171"/>
        <w:gridCol w:w="1373"/>
      </w:tblGrid>
      <w:tr w:rsidR="00D657C7" w:rsidRPr="009929B6" w14:paraId="497E2371" w14:textId="77777777" w:rsidTr="00BF087A">
        <w:trPr>
          <w:tblHeader/>
        </w:trPr>
        <w:tc>
          <w:tcPr>
            <w:tcW w:w="1015" w:type="pct"/>
            <w:tcBorders>
              <w:top w:val="single" w:sz="4" w:space="0" w:color="auto"/>
              <w:left w:val="single" w:sz="4" w:space="0" w:color="auto"/>
              <w:bottom w:val="single" w:sz="4" w:space="0" w:color="auto"/>
              <w:right w:val="single" w:sz="4" w:space="0" w:color="auto"/>
            </w:tcBorders>
          </w:tcPr>
          <w:p w14:paraId="41B45B0E" w14:textId="77777777" w:rsidR="00D657C7" w:rsidRPr="009929B6" w:rsidRDefault="00D657C7">
            <w:pPr>
              <w:autoSpaceDE w:val="0"/>
              <w:autoSpaceDN w:val="0"/>
              <w:adjustRightInd w:val="0"/>
              <w:rPr>
                <w:sz w:val="22"/>
                <w:szCs w:val="22"/>
              </w:rPr>
            </w:pPr>
          </w:p>
        </w:tc>
        <w:tc>
          <w:tcPr>
            <w:tcW w:w="1332" w:type="pct"/>
            <w:gridSpan w:val="2"/>
            <w:tcBorders>
              <w:top w:val="single" w:sz="4" w:space="0" w:color="auto"/>
              <w:left w:val="single" w:sz="4" w:space="0" w:color="auto"/>
              <w:bottom w:val="single" w:sz="4" w:space="0" w:color="auto"/>
              <w:right w:val="single" w:sz="4" w:space="0" w:color="auto"/>
            </w:tcBorders>
            <w:hideMark/>
          </w:tcPr>
          <w:p w14:paraId="3F15EC92" w14:textId="77777777" w:rsidR="00D657C7" w:rsidRPr="009929B6" w:rsidRDefault="00D657C7">
            <w:pPr>
              <w:autoSpaceDE w:val="0"/>
              <w:autoSpaceDN w:val="0"/>
              <w:adjustRightInd w:val="0"/>
              <w:jc w:val="center"/>
              <w:rPr>
                <w:b/>
                <w:sz w:val="22"/>
                <w:szCs w:val="22"/>
              </w:rPr>
            </w:pPr>
            <w:r w:rsidRPr="009929B6">
              <w:rPr>
                <w:b/>
                <w:sz w:val="22"/>
                <w:szCs w:val="22"/>
              </w:rPr>
              <w:t>INPULSIS-1</w:t>
            </w:r>
          </w:p>
        </w:tc>
        <w:tc>
          <w:tcPr>
            <w:tcW w:w="1332" w:type="pct"/>
            <w:gridSpan w:val="2"/>
            <w:tcBorders>
              <w:top w:val="single" w:sz="4" w:space="0" w:color="auto"/>
              <w:left w:val="single" w:sz="4" w:space="0" w:color="auto"/>
              <w:bottom w:val="single" w:sz="4" w:space="0" w:color="auto"/>
              <w:right w:val="single" w:sz="4" w:space="0" w:color="auto"/>
            </w:tcBorders>
            <w:hideMark/>
          </w:tcPr>
          <w:p w14:paraId="472177A1" w14:textId="77777777" w:rsidR="00D657C7" w:rsidRPr="009929B6" w:rsidRDefault="00D657C7">
            <w:pPr>
              <w:autoSpaceDE w:val="0"/>
              <w:autoSpaceDN w:val="0"/>
              <w:adjustRightInd w:val="0"/>
              <w:jc w:val="center"/>
              <w:rPr>
                <w:b/>
                <w:sz w:val="22"/>
                <w:szCs w:val="22"/>
              </w:rPr>
            </w:pPr>
            <w:r w:rsidRPr="009929B6">
              <w:rPr>
                <w:b/>
                <w:sz w:val="22"/>
                <w:szCs w:val="22"/>
              </w:rPr>
              <w:t>INPULSIS-2</w:t>
            </w:r>
          </w:p>
        </w:tc>
        <w:tc>
          <w:tcPr>
            <w:tcW w:w="1321" w:type="pct"/>
            <w:gridSpan w:val="2"/>
            <w:tcBorders>
              <w:top w:val="single" w:sz="4" w:space="0" w:color="auto"/>
              <w:left w:val="single" w:sz="4" w:space="0" w:color="auto"/>
              <w:bottom w:val="single" w:sz="4" w:space="0" w:color="auto"/>
              <w:right w:val="single" w:sz="4" w:space="0" w:color="auto"/>
            </w:tcBorders>
            <w:hideMark/>
          </w:tcPr>
          <w:p w14:paraId="69F7261D" w14:textId="77777777" w:rsidR="00D657C7" w:rsidRPr="009929B6" w:rsidRDefault="00D657C7">
            <w:pPr>
              <w:autoSpaceDE w:val="0"/>
              <w:autoSpaceDN w:val="0"/>
              <w:adjustRightInd w:val="0"/>
              <w:jc w:val="center"/>
              <w:rPr>
                <w:b/>
                <w:sz w:val="22"/>
                <w:szCs w:val="22"/>
              </w:rPr>
            </w:pPr>
            <w:r w:rsidRPr="009929B6">
              <w:rPr>
                <w:b/>
                <w:sz w:val="22"/>
                <w:szCs w:val="22"/>
              </w:rPr>
              <w:t>INPULSIS-1 and INPULSIS-2 pooled</w:t>
            </w:r>
          </w:p>
        </w:tc>
      </w:tr>
      <w:tr w:rsidR="00D657C7" w:rsidRPr="009929B6" w14:paraId="41D0FA21" w14:textId="77777777" w:rsidTr="00BF087A">
        <w:trPr>
          <w:tblHeader/>
        </w:trPr>
        <w:tc>
          <w:tcPr>
            <w:tcW w:w="1015" w:type="pct"/>
            <w:tcBorders>
              <w:top w:val="single" w:sz="4" w:space="0" w:color="auto"/>
              <w:left w:val="single" w:sz="4" w:space="0" w:color="auto"/>
              <w:bottom w:val="single" w:sz="4" w:space="0" w:color="auto"/>
              <w:right w:val="single" w:sz="4" w:space="0" w:color="auto"/>
            </w:tcBorders>
          </w:tcPr>
          <w:p w14:paraId="07227807" w14:textId="77777777" w:rsidR="00D657C7" w:rsidRPr="009929B6" w:rsidRDefault="00D657C7">
            <w:pPr>
              <w:autoSpaceDE w:val="0"/>
              <w:autoSpaceDN w:val="0"/>
              <w:adjustRightInd w:val="0"/>
              <w:rPr>
                <w:sz w:val="22"/>
                <w:szCs w:val="22"/>
              </w:rPr>
            </w:pPr>
          </w:p>
        </w:tc>
        <w:tc>
          <w:tcPr>
            <w:tcW w:w="627" w:type="pct"/>
            <w:tcBorders>
              <w:top w:val="single" w:sz="4" w:space="0" w:color="auto"/>
              <w:left w:val="single" w:sz="4" w:space="0" w:color="auto"/>
              <w:bottom w:val="single" w:sz="4" w:space="0" w:color="auto"/>
              <w:right w:val="single" w:sz="4" w:space="0" w:color="auto"/>
            </w:tcBorders>
            <w:hideMark/>
          </w:tcPr>
          <w:p w14:paraId="50634D14"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0C90DC60"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27" w:type="pct"/>
            <w:tcBorders>
              <w:top w:val="single" w:sz="4" w:space="0" w:color="auto"/>
              <w:left w:val="single" w:sz="4" w:space="0" w:color="auto"/>
              <w:bottom w:val="single" w:sz="4" w:space="0" w:color="auto"/>
              <w:right w:val="single" w:sz="4" w:space="0" w:color="auto"/>
            </w:tcBorders>
            <w:hideMark/>
          </w:tcPr>
          <w:p w14:paraId="2C62F5C4"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05" w:type="pct"/>
            <w:tcBorders>
              <w:top w:val="single" w:sz="4" w:space="0" w:color="auto"/>
              <w:left w:val="single" w:sz="4" w:space="0" w:color="auto"/>
              <w:bottom w:val="single" w:sz="4" w:space="0" w:color="auto"/>
              <w:right w:val="single" w:sz="4" w:space="0" w:color="auto"/>
            </w:tcBorders>
            <w:hideMark/>
          </w:tcPr>
          <w:p w14:paraId="6B7B1E17"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c>
          <w:tcPr>
            <w:tcW w:w="608" w:type="pct"/>
            <w:tcBorders>
              <w:top w:val="single" w:sz="4" w:space="0" w:color="auto"/>
              <w:left w:val="single" w:sz="4" w:space="0" w:color="auto"/>
              <w:bottom w:val="single" w:sz="4" w:space="0" w:color="auto"/>
              <w:right w:val="single" w:sz="4" w:space="0" w:color="auto"/>
            </w:tcBorders>
            <w:hideMark/>
          </w:tcPr>
          <w:p w14:paraId="6D3E59E7"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713" w:type="pct"/>
            <w:tcBorders>
              <w:top w:val="single" w:sz="4" w:space="0" w:color="auto"/>
              <w:left w:val="single" w:sz="4" w:space="0" w:color="auto"/>
              <w:bottom w:val="single" w:sz="4" w:space="0" w:color="auto"/>
              <w:right w:val="single" w:sz="4" w:space="0" w:color="auto"/>
            </w:tcBorders>
            <w:hideMark/>
          </w:tcPr>
          <w:p w14:paraId="0C0BF55F"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r w:rsidRPr="009929B6">
              <w:rPr>
                <w:sz w:val="22"/>
                <w:szCs w:val="22"/>
              </w:rPr>
              <w:t xml:space="preserve"> 150 mg twice daily</w:t>
            </w:r>
          </w:p>
        </w:tc>
      </w:tr>
      <w:tr w:rsidR="00D657C7" w:rsidRPr="009929B6" w14:paraId="25024EE0"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09189BCF" w14:textId="77777777" w:rsidR="00D657C7" w:rsidRPr="009929B6" w:rsidRDefault="00D657C7">
            <w:pPr>
              <w:autoSpaceDE w:val="0"/>
              <w:autoSpaceDN w:val="0"/>
              <w:adjustRightInd w:val="0"/>
              <w:rPr>
                <w:sz w:val="22"/>
                <w:szCs w:val="22"/>
              </w:rPr>
            </w:pPr>
            <w:r w:rsidRPr="009929B6">
              <w:rPr>
                <w:sz w:val="22"/>
                <w:szCs w:val="22"/>
              </w:rPr>
              <w:t>Number at risk</w:t>
            </w:r>
          </w:p>
        </w:tc>
        <w:tc>
          <w:tcPr>
            <w:tcW w:w="627" w:type="pct"/>
            <w:tcBorders>
              <w:top w:val="single" w:sz="4" w:space="0" w:color="auto"/>
              <w:left w:val="single" w:sz="4" w:space="0" w:color="auto"/>
              <w:bottom w:val="single" w:sz="4" w:space="0" w:color="auto"/>
              <w:right w:val="single" w:sz="4" w:space="0" w:color="auto"/>
            </w:tcBorders>
            <w:vAlign w:val="center"/>
            <w:hideMark/>
          </w:tcPr>
          <w:p w14:paraId="101E032F" w14:textId="77777777" w:rsidR="00D657C7" w:rsidRPr="009929B6" w:rsidRDefault="00D657C7">
            <w:pPr>
              <w:autoSpaceDE w:val="0"/>
              <w:autoSpaceDN w:val="0"/>
              <w:adjustRightInd w:val="0"/>
              <w:jc w:val="center"/>
              <w:rPr>
                <w:sz w:val="22"/>
                <w:szCs w:val="22"/>
              </w:rPr>
            </w:pPr>
            <w:r w:rsidRPr="009929B6">
              <w:rPr>
                <w:sz w:val="22"/>
                <w:szCs w:val="22"/>
              </w:rPr>
              <w:t>204</w:t>
            </w:r>
          </w:p>
        </w:tc>
        <w:tc>
          <w:tcPr>
            <w:tcW w:w="705" w:type="pct"/>
            <w:tcBorders>
              <w:top w:val="single" w:sz="4" w:space="0" w:color="auto"/>
              <w:left w:val="single" w:sz="4" w:space="0" w:color="auto"/>
              <w:bottom w:val="single" w:sz="4" w:space="0" w:color="auto"/>
              <w:right w:val="single" w:sz="4" w:space="0" w:color="auto"/>
            </w:tcBorders>
            <w:vAlign w:val="center"/>
            <w:hideMark/>
          </w:tcPr>
          <w:p w14:paraId="6A6CD147" w14:textId="77777777" w:rsidR="00D657C7" w:rsidRPr="009929B6" w:rsidRDefault="00D657C7">
            <w:pPr>
              <w:autoSpaceDE w:val="0"/>
              <w:autoSpaceDN w:val="0"/>
              <w:adjustRightInd w:val="0"/>
              <w:jc w:val="center"/>
              <w:rPr>
                <w:sz w:val="22"/>
                <w:szCs w:val="22"/>
              </w:rPr>
            </w:pPr>
            <w:r w:rsidRPr="009929B6">
              <w:rPr>
                <w:sz w:val="22"/>
                <w:szCs w:val="22"/>
              </w:rPr>
              <w:t>309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6BA57B44" w14:textId="77777777" w:rsidR="00D657C7" w:rsidRPr="009929B6" w:rsidRDefault="00D657C7">
            <w:pPr>
              <w:autoSpaceDE w:val="0"/>
              <w:autoSpaceDN w:val="0"/>
              <w:adjustRightInd w:val="0"/>
              <w:jc w:val="center"/>
              <w:rPr>
                <w:sz w:val="22"/>
                <w:szCs w:val="22"/>
              </w:rPr>
            </w:pPr>
            <w:r w:rsidRPr="009929B6">
              <w:rPr>
                <w:sz w:val="22"/>
                <w:szCs w:val="22"/>
              </w:rPr>
              <w:t>219</w:t>
            </w:r>
          </w:p>
        </w:tc>
        <w:tc>
          <w:tcPr>
            <w:tcW w:w="705" w:type="pct"/>
            <w:tcBorders>
              <w:top w:val="single" w:sz="4" w:space="0" w:color="auto"/>
              <w:left w:val="single" w:sz="4" w:space="0" w:color="auto"/>
              <w:bottom w:val="single" w:sz="4" w:space="0" w:color="auto"/>
              <w:right w:val="single" w:sz="4" w:space="0" w:color="auto"/>
            </w:tcBorders>
            <w:vAlign w:val="center"/>
            <w:hideMark/>
          </w:tcPr>
          <w:p w14:paraId="4676BDD0" w14:textId="77777777" w:rsidR="00D657C7" w:rsidRPr="009929B6" w:rsidRDefault="00D657C7">
            <w:pPr>
              <w:autoSpaceDE w:val="0"/>
              <w:autoSpaceDN w:val="0"/>
              <w:adjustRightInd w:val="0"/>
              <w:jc w:val="center"/>
              <w:rPr>
                <w:sz w:val="22"/>
                <w:szCs w:val="22"/>
              </w:rPr>
            </w:pPr>
            <w:r w:rsidRPr="009929B6">
              <w:rPr>
                <w:sz w:val="22"/>
                <w:szCs w:val="22"/>
              </w:rPr>
              <w:t>329</w:t>
            </w:r>
          </w:p>
        </w:tc>
        <w:tc>
          <w:tcPr>
            <w:tcW w:w="608" w:type="pct"/>
            <w:tcBorders>
              <w:top w:val="single" w:sz="4" w:space="0" w:color="auto"/>
              <w:left w:val="single" w:sz="4" w:space="0" w:color="auto"/>
              <w:bottom w:val="single" w:sz="4" w:space="0" w:color="auto"/>
              <w:right w:val="single" w:sz="4" w:space="0" w:color="auto"/>
            </w:tcBorders>
            <w:vAlign w:val="center"/>
            <w:hideMark/>
          </w:tcPr>
          <w:p w14:paraId="545CB3CC" w14:textId="77777777" w:rsidR="00D657C7" w:rsidRPr="009929B6" w:rsidRDefault="00D657C7">
            <w:pPr>
              <w:autoSpaceDE w:val="0"/>
              <w:autoSpaceDN w:val="0"/>
              <w:adjustRightInd w:val="0"/>
              <w:jc w:val="center"/>
              <w:rPr>
                <w:sz w:val="22"/>
                <w:szCs w:val="22"/>
              </w:rPr>
            </w:pPr>
            <w:r w:rsidRPr="009929B6">
              <w:rPr>
                <w:sz w:val="22"/>
                <w:szCs w:val="22"/>
              </w:rPr>
              <w:t>423</w:t>
            </w:r>
          </w:p>
        </w:tc>
        <w:tc>
          <w:tcPr>
            <w:tcW w:w="713" w:type="pct"/>
            <w:tcBorders>
              <w:top w:val="single" w:sz="4" w:space="0" w:color="auto"/>
              <w:left w:val="single" w:sz="4" w:space="0" w:color="auto"/>
              <w:bottom w:val="single" w:sz="4" w:space="0" w:color="auto"/>
              <w:right w:val="single" w:sz="4" w:space="0" w:color="auto"/>
            </w:tcBorders>
            <w:vAlign w:val="center"/>
            <w:hideMark/>
          </w:tcPr>
          <w:p w14:paraId="036A6DC8" w14:textId="77777777" w:rsidR="00D657C7" w:rsidRPr="009929B6" w:rsidRDefault="00D657C7">
            <w:pPr>
              <w:autoSpaceDE w:val="0"/>
              <w:autoSpaceDN w:val="0"/>
              <w:adjustRightInd w:val="0"/>
              <w:jc w:val="center"/>
              <w:rPr>
                <w:sz w:val="22"/>
                <w:szCs w:val="22"/>
              </w:rPr>
            </w:pPr>
            <w:r w:rsidRPr="009929B6">
              <w:rPr>
                <w:sz w:val="22"/>
                <w:szCs w:val="22"/>
              </w:rPr>
              <w:t>638</w:t>
            </w:r>
          </w:p>
        </w:tc>
      </w:tr>
      <w:tr w:rsidR="00D657C7" w:rsidRPr="009929B6" w14:paraId="24CBA087"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6498AA36" w14:textId="77777777" w:rsidR="00D657C7" w:rsidRPr="009929B6" w:rsidRDefault="00D657C7">
            <w:pPr>
              <w:autoSpaceDE w:val="0"/>
              <w:autoSpaceDN w:val="0"/>
              <w:adjustRightInd w:val="0"/>
              <w:rPr>
                <w:sz w:val="22"/>
                <w:szCs w:val="22"/>
              </w:rPr>
            </w:pPr>
            <w:r w:rsidRPr="009929B6">
              <w:rPr>
                <w:sz w:val="22"/>
                <w:szCs w:val="22"/>
              </w:rPr>
              <w:t>Patients with events, N (%)</w:t>
            </w:r>
          </w:p>
        </w:tc>
        <w:tc>
          <w:tcPr>
            <w:tcW w:w="627" w:type="pct"/>
            <w:tcBorders>
              <w:top w:val="single" w:sz="4" w:space="0" w:color="auto"/>
              <w:left w:val="single" w:sz="4" w:space="0" w:color="auto"/>
              <w:bottom w:val="single" w:sz="4" w:space="0" w:color="auto"/>
              <w:right w:val="single" w:sz="4" w:space="0" w:color="auto"/>
            </w:tcBorders>
            <w:vAlign w:val="bottom"/>
            <w:hideMark/>
          </w:tcPr>
          <w:p w14:paraId="4FC6B45B" w14:textId="77777777" w:rsidR="00D657C7" w:rsidRPr="009929B6" w:rsidRDefault="00D657C7">
            <w:pPr>
              <w:autoSpaceDE w:val="0"/>
              <w:autoSpaceDN w:val="0"/>
              <w:adjustRightInd w:val="0"/>
              <w:jc w:val="center"/>
              <w:rPr>
                <w:sz w:val="22"/>
                <w:szCs w:val="22"/>
              </w:rPr>
            </w:pPr>
            <w:r w:rsidRPr="009929B6">
              <w:rPr>
                <w:sz w:val="22"/>
                <w:szCs w:val="22"/>
              </w:rPr>
              <w:t>11 (5.4)</w:t>
            </w:r>
          </w:p>
        </w:tc>
        <w:tc>
          <w:tcPr>
            <w:tcW w:w="705" w:type="pct"/>
            <w:tcBorders>
              <w:top w:val="single" w:sz="4" w:space="0" w:color="auto"/>
              <w:left w:val="single" w:sz="4" w:space="0" w:color="auto"/>
              <w:bottom w:val="single" w:sz="4" w:space="0" w:color="auto"/>
              <w:right w:val="single" w:sz="4" w:space="0" w:color="auto"/>
            </w:tcBorders>
            <w:vAlign w:val="bottom"/>
            <w:hideMark/>
          </w:tcPr>
          <w:p w14:paraId="1501DFA0" w14:textId="77777777" w:rsidR="00D657C7" w:rsidRPr="009929B6" w:rsidRDefault="00D657C7">
            <w:pPr>
              <w:autoSpaceDE w:val="0"/>
              <w:autoSpaceDN w:val="0"/>
              <w:adjustRightInd w:val="0"/>
              <w:jc w:val="center"/>
              <w:rPr>
                <w:sz w:val="22"/>
                <w:szCs w:val="22"/>
              </w:rPr>
            </w:pPr>
            <w:r w:rsidRPr="009929B6">
              <w:rPr>
                <w:sz w:val="22"/>
                <w:szCs w:val="22"/>
              </w:rPr>
              <w:t>19 (6.1)</w:t>
            </w:r>
          </w:p>
        </w:tc>
        <w:tc>
          <w:tcPr>
            <w:tcW w:w="627" w:type="pct"/>
            <w:tcBorders>
              <w:top w:val="single" w:sz="4" w:space="0" w:color="auto"/>
              <w:left w:val="single" w:sz="4" w:space="0" w:color="auto"/>
              <w:bottom w:val="single" w:sz="4" w:space="0" w:color="auto"/>
              <w:right w:val="single" w:sz="4" w:space="0" w:color="auto"/>
            </w:tcBorders>
            <w:vAlign w:val="bottom"/>
            <w:hideMark/>
          </w:tcPr>
          <w:p w14:paraId="03ECCB6E" w14:textId="77777777" w:rsidR="00D657C7" w:rsidRPr="009929B6" w:rsidRDefault="00D657C7">
            <w:pPr>
              <w:autoSpaceDE w:val="0"/>
              <w:autoSpaceDN w:val="0"/>
              <w:adjustRightInd w:val="0"/>
              <w:jc w:val="center"/>
              <w:rPr>
                <w:sz w:val="22"/>
                <w:szCs w:val="22"/>
              </w:rPr>
            </w:pPr>
            <w:r w:rsidRPr="009929B6">
              <w:rPr>
                <w:sz w:val="22"/>
                <w:szCs w:val="22"/>
              </w:rPr>
              <w:t>21 (9.6)</w:t>
            </w:r>
          </w:p>
        </w:tc>
        <w:tc>
          <w:tcPr>
            <w:tcW w:w="705" w:type="pct"/>
            <w:tcBorders>
              <w:top w:val="single" w:sz="4" w:space="0" w:color="auto"/>
              <w:left w:val="single" w:sz="4" w:space="0" w:color="auto"/>
              <w:bottom w:val="single" w:sz="4" w:space="0" w:color="auto"/>
              <w:right w:val="single" w:sz="4" w:space="0" w:color="auto"/>
            </w:tcBorders>
            <w:vAlign w:val="bottom"/>
            <w:hideMark/>
          </w:tcPr>
          <w:p w14:paraId="2E44E752" w14:textId="77777777" w:rsidR="00D657C7" w:rsidRPr="009929B6" w:rsidRDefault="00D657C7">
            <w:pPr>
              <w:autoSpaceDE w:val="0"/>
              <w:autoSpaceDN w:val="0"/>
              <w:adjustRightInd w:val="0"/>
              <w:jc w:val="center"/>
              <w:rPr>
                <w:sz w:val="22"/>
                <w:szCs w:val="22"/>
              </w:rPr>
            </w:pPr>
            <w:r w:rsidRPr="009929B6">
              <w:rPr>
                <w:sz w:val="22"/>
                <w:szCs w:val="22"/>
              </w:rPr>
              <w:t>12 (3.6)</w:t>
            </w:r>
          </w:p>
        </w:tc>
        <w:tc>
          <w:tcPr>
            <w:tcW w:w="608" w:type="pct"/>
            <w:tcBorders>
              <w:top w:val="single" w:sz="4" w:space="0" w:color="auto"/>
              <w:left w:val="single" w:sz="4" w:space="0" w:color="auto"/>
              <w:bottom w:val="single" w:sz="4" w:space="0" w:color="auto"/>
              <w:right w:val="single" w:sz="4" w:space="0" w:color="auto"/>
            </w:tcBorders>
            <w:vAlign w:val="bottom"/>
            <w:hideMark/>
          </w:tcPr>
          <w:p w14:paraId="246AFCA6" w14:textId="77777777" w:rsidR="00D657C7" w:rsidRPr="009929B6" w:rsidRDefault="00D657C7">
            <w:pPr>
              <w:autoSpaceDE w:val="0"/>
              <w:autoSpaceDN w:val="0"/>
              <w:adjustRightInd w:val="0"/>
              <w:jc w:val="center"/>
              <w:rPr>
                <w:sz w:val="22"/>
                <w:szCs w:val="22"/>
              </w:rPr>
            </w:pPr>
            <w:r w:rsidRPr="009929B6">
              <w:rPr>
                <w:sz w:val="22"/>
                <w:szCs w:val="22"/>
              </w:rPr>
              <w:t>32 (7.6)</w:t>
            </w:r>
          </w:p>
        </w:tc>
        <w:tc>
          <w:tcPr>
            <w:tcW w:w="713" w:type="pct"/>
            <w:tcBorders>
              <w:top w:val="single" w:sz="4" w:space="0" w:color="auto"/>
              <w:left w:val="single" w:sz="4" w:space="0" w:color="auto"/>
              <w:bottom w:val="single" w:sz="4" w:space="0" w:color="auto"/>
              <w:right w:val="single" w:sz="4" w:space="0" w:color="auto"/>
            </w:tcBorders>
            <w:vAlign w:val="bottom"/>
            <w:hideMark/>
          </w:tcPr>
          <w:p w14:paraId="376B2733" w14:textId="77777777" w:rsidR="00D657C7" w:rsidRPr="009929B6" w:rsidRDefault="00D657C7">
            <w:pPr>
              <w:autoSpaceDE w:val="0"/>
              <w:autoSpaceDN w:val="0"/>
              <w:adjustRightInd w:val="0"/>
              <w:jc w:val="center"/>
              <w:rPr>
                <w:sz w:val="22"/>
                <w:szCs w:val="22"/>
              </w:rPr>
            </w:pPr>
            <w:r w:rsidRPr="009929B6">
              <w:rPr>
                <w:sz w:val="22"/>
                <w:szCs w:val="22"/>
              </w:rPr>
              <w:t>31 (4.9)</w:t>
            </w:r>
          </w:p>
        </w:tc>
      </w:tr>
      <w:tr w:rsidR="00D657C7" w:rsidRPr="009929B6" w14:paraId="74741E94" w14:textId="77777777" w:rsidTr="00BF087A">
        <w:tc>
          <w:tcPr>
            <w:tcW w:w="5000" w:type="pct"/>
            <w:gridSpan w:val="7"/>
            <w:tcBorders>
              <w:top w:val="single" w:sz="4" w:space="0" w:color="auto"/>
              <w:left w:val="single" w:sz="4" w:space="0" w:color="auto"/>
              <w:bottom w:val="single" w:sz="4" w:space="0" w:color="auto"/>
              <w:right w:val="single" w:sz="4" w:space="0" w:color="auto"/>
            </w:tcBorders>
            <w:hideMark/>
          </w:tcPr>
          <w:p w14:paraId="32DA1C15" w14:textId="77777777" w:rsidR="00D657C7" w:rsidRPr="009929B6" w:rsidRDefault="00D657C7">
            <w:pPr>
              <w:autoSpaceDE w:val="0"/>
              <w:autoSpaceDN w:val="0"/>
              <w:adjustRightInd w:val="0"/>
              <w:rPr>
                <w:sz w:val="22"/>
                <w:szCs w:val="22"/>
              </w:rPr>
            </w:pPr>
            <w:r w:rsidRPr="009929B6">
              <w:rPr>
                <w:sz w:val="22"/>
                <w:szCs w:val="22"/>
              </w:rPr>
              <w:t>Comparison vs placebo</w:t>
            </w:r>
            <w:r w:rsidRPr="009929B6">
              <w:rPr>
                <w:sz w:val="22"/>
                <w:szCs w:val="22"/>
                <w:vertAlign w:val="superscript"/>
              </w:rPr>
              <w:t>1</w:t>
            </w:r>
          </w:p>
        </w:tc>
      </w:tr>
      <w:tr w:rsidR="00D657C7" w:rsidRPr="009929B6" w14:paraId="6C3E761F"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25C60283" w14:textId="77777777" w:rsidR="00D657C7" w:rsidRPr="009929B6" w:rsidRDefault="00D657C7">
            <w:pPr>
              <w:autoSpaceDE w:val="0"/>
              <w:autoSpaceDN w:val="0"/>
              <w:adjustRightInd w:val="0"/>
              <w:rPr>
                <w:sz w:val="22"/>
                <w:szCs w:val="22"/>
              </w:rPr>
            </w:pPr>
            <w:r w:rsidRPr="009929B6">
              <w:rPr>
                <w:sz w:val="22"/>
                <w:szCs w:val="22"/>
              </w:rPr>
              <w:t>p-value</w:t>
            </w:r>
            <w:r w:rsidRPr="009929B6">
              <w:rPr>
                <w:sz w:val="22"/>
                <w:szCs w:val="22"/>
                <w:vertAlign w:val="superscript"/>
              </w:rPr>
              <w:t>2</w:t>
            </w:r>
          </w:p>
        </w:tc>
        <w:tc>
          <w:tcPr>
            <w:tcW w:w="627" w:type="pct"/>
            <w:tcBorders>
              <w:top w:val="single" w:sz="4" w:space="0" w:color="auto"/>
              <w:left w:val="single" w:sz="4" w:space="0" w:color="auto"/>
              <w:bottom w:val="single" w:sz="4" w:space="0" w:color="auto"/>
              <w:right w:val="single" w:sz="4" w:space="0" w:color="auto"/>
            </w:tcBorders>
          </w:tcPr>
          <w:p w14:paraId="385B210D"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1B0FB1D0" w14:textId="77777777" w:rsidR="00D657C7" w:rsidRPr="009929B6" w:rsidRDefault="00D657C7">
            <w:pPr>
              <w:autoSpaceDE w:val="0"/>
              <w:autoSpaceDN w:val="0"/>
              <w:adjustRightInd w:val="0"/>
              <w:rPr>
                <w:sz w:val="22"/>
                <w:szCs w:val="22"/>
              </w:rPr>
            </w:pPr>
            <w:r w:rsidRPr="009929B6">
              <w:rPr>
                <w:sz w:val="22"/>
                <w:szCs w:val="22"/>
              </w:rPr>
              <w:t>0.6728</w:t>
            </w:r>
          </w:p>
        </w:tc>
        <w:tc>
          <w:tcPr>
            <w:tcW w:w="627" w:type="pct"/>
            <w:tcBorders>
              <w:top w:val="single" w:sz="4" w:space="0" w:color="auto"/>
              <w:left w:val="single" w:sz="4" w:space="0" w:color="auto"/>
              <w:bottom w:val="single" w:sz="4" w:space="0" w:color="auto"/>
              <w:right w:val="single" w:sz="4" w:space="0" w:color="auto"/>
            </w:tcBorders>
          </w:tcPr>
          <w:p w14:paraId="442533FB"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6247FF98" w14:textId="77777777" w:rsidR="00D657C7" w:rsidRPr="009929B6" w:rsidRDefault="00D657C7">
            <w:pPr>
              <w:autoSpaceDE w:val="0"/>
              <w:autoSpaceDN w:val="0"/>
              <w:adjustRightInd w:val="0"/>
              <w:rPr>
                <w:sz w:val="22"/>
                <w:szCs w:val="22"/>
              </w:rPr>
            </w:pPr>
            <w:r w:rsidRPr="009929B6">
              <w:rPr>
                <w:sz w:val="22"/>
                <w:szCs w:val="22"/>
              </w:rPr>
              <w:t>0.0050</w:t>
            </w:r>
          </w:p>
        </w:tc>
        <w:tc>
          <w:tcPr>
            <w:tcW w:w="608" w:type="pct"/>
            <w:tcBorders>
              <w:top w:val="single" w:sz="4" w:space="0" w:color="auto"/>
              <w:left w:val="single" w:sz="4" w:space="0" w:color="auto"/>
              <w:bottom w:val="single" w:sz="4" w:space="0" w:color="auto"/>
              <w:right w:val="single" w:sz="4" w:space="0" w:color="auto"/>
            </w:tcBorders>
          </w:tcPr>
          <w:p w14:paraId="7F255B22" w14:textId="77777777" w:rsidR="00D657C7" w:rsidRPr="009929B6" w:rsidRDefault="00D657C7">
            <w:pPr>
              <w:autoSpaceDE w:val="0"/>
              <w:autoSpaceDN w:val="0"/>
              <w:adjustRightInd w:val="0"/>
              <w:rPr>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14:paraId="57261D4A" w14:textId="77777777" w:rsidR="00D657C7" w:rsidRPr="009929B6" w:rsidRDefault="00D657C7">
            <w:pPr>
              <w:autoSpaceDE w:val="0"/>
              <w:autoSpaceDN w:val="0"/>
              <w:adjustRightInd w:val="0"/>
              <w:rPr>
                <w:sz w:val="22"/>
                <w:szCs w:val="22"/>
              </w:rPr>
            </w:pPr>
            <w:r w:rsidRPr="009929B6">
              <w:rPr>
                <w:sz w:val="22"/>
                <w:szCs w:val="22"/>
              </w:rPr>
              <w:t>0.0823</w:t>
            </w:r>
          </w:p>
        </w:tc>
      </w:tr>
      <w:tr w:rsidR="00D657C7" w:rsidRPr="009929B6" w14:paraId="5518D3C9"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33468616" w14:textId="77777777" w:rsidR="00D657C7" w:rsidRPr="009929B6" w:rsidRDefault="00D657C7">
            <w:pPr>
              <w:autoSpaceDE w:val="0"/>
              <w:autoSpaceDN w:val="0"/>
              <w:adjustRightInd w:val="0"/>
              <w:rPr>
                <w:sz w:val="22"/>
                <w:szCs w:val="22"/>
              </w:rPr>
            </w:pPr>
            <w:r w:rsidRPr="009929B6">
              <w:rPr>
                <w:sz w:val="22"/>
                <w:szCs w:val="22"/>
              </w:rPr>
              <w:t>Hazard ratio</w:t>
            </w:r>
            <w:r w:rsidRPr="009929B6">
              <w:rPr>
                <w:sz w:val="22"/>
                <w:szCs w:val="22"/>
                <w:vertAlign w:val="superscript"/>
              </w:rPr>
              <w:t>3</w:t>
            </w:r>
          </w:p>
        </w:tc>
        <w:tc>
          <w:tcPr>
            <w:tcW w:w="627" w:type="pct"/>
            <w:tcBorders>
              <w:top w:val="single" w:sz="4" w:space="0" w:color="auto"/>
              <w:left w:val="single" w:sz="4" w:space="0" w:color="auto"/>
              <w:bottom w:val="single" w:sz="4" w:space="0" w:color="auto"/>
              <w:right w:val="single" w:sz="4" w:space="0" w:color="auto"/>
            </w:tcBorders>
          </w:tcPr>
          <w:p w14:paraId="3392D987"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23AFDA39" w14:textId="77777777" w:rsidR="00D657C7" w:rsidRPr="009929B6" w:rsidRDefault="00D657C7">
            <w:pPr>
              <w:autoSpaceDE w:val="0"/>
              <w:autoSpaceDN w:val="0"/>
              <w:adjustRightInd w:val="0"/>
              <w:rPr>
                <w:sz w:val="22"/>
                <w:szCs w:val="22"/>
              </w:rPr>
            </w:pPr>
            <w:r w:rsidRPr="009929B6">
              <w:rPr>
                <w:sz w:val="22"/>
                <w:szCs w:val="22"/>
              </w:rPr>
              <w:t>1.15</w:t>
            </w:r>
          </w:p>
        </w:tc>
        <w:tc>
          <w:tcPr>
            <w:tcW w:w="627" w:type="pct"/>
            <w:tcBorders>
              <w:top w:val="single" w:sz="4" w:space="0" w:color="auto"/>
              <w:left w:val="single" w:sz="4" w:space="0" w:color="auto"/>
              <w:bottom w:val="single" w:sz="4" w:space="0" w:color="auto"/>
              <w:right w:val="single" w:sz="4" w:space="0" w:color="auto"/>
            </w:tcBorders>
          </w:tcPr>
          <w:p w14:paraId="2C538FCE"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1CC0962C" w14:textId="77777777" w:rsidR="00D657C7" w:rsidRPr="009929B6" w:rsidRDefault="00D657C7">
            <w:pPr>
              <w:autoSpaceDE w:val="0"/>
              <w:autoSpaceDN w:val="0"/>
              <w:adjustRightInd w:val="0"/>
              <w:rPr>
                <w:sz w:val="22"/>
                <w:szCs w:val="22"/>
              </w:rPr>
            </w:pPr>
            <w:r w:rsidRPr="009929B6">
              <w:rPr>
                <w:sz w:val="22"/>
                <w:szCs w:val="22"/>
              </w:rPr>
              <w:t>0.38</w:t>
            </w:r>
          </w:p>
        </w:tc>
        <w:tc>
          <w:tcPr>
            <w:tcW w:w="608" w:type="pct"/>
            <w:tcBorders>
              <w:top w:val="single" w:sz="4" w:space="0" w:color="auto"/>
              <w:left w:val="single" w:sz="4" w:space="0" w:color="auto"/>
              <w:bottom w:val="single" w:sz="4" w:space="0" w:color="auto"/>
              <w:right w:val="single" w:sz="4" w:space="0" w:color="auto"/>
            </w:tcBorders>
          </w:tcPr>
          <w:p w14:paraId="234DE2A3" w14:textId="77777777" w:rsidR="00D657C7" w:rsidRPr="009929B6" w:rsidRDefault="00D657C7">
            <w:pPr>
              <w:autoSpaceDE w:val="0"/>
              <w:autoSpaceDN w:val="0"/>
              <w:adjustRightInd w:val="0"/>
              <w:rPr>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14:paraId="7DFC5A15" w14:textId="77777777" w:rsidR="00D657C7" w:rsidRPr="009929B6" w:rsidRDefault="00D657C7">
            <w:pPr>
              <w:autoSpaceDE w:val="0"/>
              <w:autoSpaceDN w:val="0"/>
              <w:adjustRightInd w:val="0"/>
              <w:rPr>
                <w:sz w:val="22"/>
                <w:szCs w:val="22"/>
              </w:rPr>
            </w:pPr>
            <w:r w:rsidRPr="009929B6">
              <w:rPr>
                <w:sz w:val="22"/>
                <w:szCs w:val="22"/>
              </w:rPr>
              <w:t>0.64</w:t>
            </w:r>
          </w:p>
        </w:tc>
      </w:tr>
      <w:tr w:rsidR="00D657C7" w:rsidRPr="009929B6" w14:paraId="6AEE2476" w14:textId="77777777" w:rsidTr="00BF087A">
        <w:tc>
          <w:tcPr>
            <w:tcW w:w="1015" w:type="pct"/>
            <w:tcBorders>
              <w:top w:val="single" w:sz="4" w:space="0" w:color="auto"/>
              <w:left w:val="single" w:sz="4" w:space="0" w:color="auto"/>
              <w:bottom w:val="single" w:sz="4" w:space="0" w:color="auto"/>
              <w:right w:val="single" w:sz="4" w:space="0" w:color="auto"/>
            </w:tcBorders>
            <w:hideMark/>
          </w:tcPr>
          <w:p w14:paraId="34819F1C" w14:textId="77777777" w:rsidR="00D657C7" w:rsidRPr="009929B6" w:rsidRDefault="00D657C7">
            <w:pPr>
              <w:autoSpaceDE w:val="0"/>
              <w:autoSpaceDN w:val="0"/>
              <w:adjustRightInd w:val="0"/>
              <w:rPr>
                <w:sz w:val="22"/>
                <w:szCs w:val="22"/>
              </w:rPr>
            </w:pPr>
            <w:r w:rsidRPr="009929B6">
              <w:rPr>
                <w:sz w:val="22"/>
                <w:szCs w:val="22"/>
              </w:rPr>
              <w:t>95% CI</w:t>
            </w:r>
          </w:p>
        </w:tc>
        <w:tc>
          <w:tcPr>
            <w:tcW w:w="627" w:type="pct"/>
            <w:tcBorders>
              <w:top w:val="single" w:sz="4" w:space="0" w:color="auto"/>
              <w:left w:val="single" w:sz="4" w:space="0" w:color="auto"/>
              <w:bottom w:val="single" w:sz="4" w:space="0" w:color="auto"/>
              <w:right w:val="single" w:sz="4" w:space="0" w:color="auto"/>
            </w:tcBorders>
          </w:tcPr>
          <w:p w14:paraId="6BC1CDE2"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050459B5" w14:textId="77777777" w:rsidR="00D657C7" w:rsidRPr="009929B6" w:rsidRDefault="00D657C7">
            <w:pPr>
              <w:autoSpaceDE w:val="0"/>
              <w:autoSpaceDN w:val="0"/>
              <w:adjustRightInd w:val="0"/>
              <w:rPr>
                <w:sz w:val="22"/>
                <w:szCs w:val="22"/>
              </w:rPr>
            </w:pPr>
            <w:r w:rsidRPr="009929B6">
              <w:rPr>
                <w:sz w:val="22"/>
                <w:szCs w:val="22"/>
              </w:rPr>
              <w:t>(0.54, 2.42)</w:t>
            </w:r>
          </w:p>
        </w:tc>
        <w:tc>
          <w:tcPr>
            <w:tcW w:w="627" w:type="pct"/>
            <w:tcBorders>
              <w:top w:val="single" w:sz="4" w:space="0" w:color="auto"/>
              <w:left w:val="single" w:sz="4" w:space="0" w:color="auto"/>
              <w:bottom w:val="single" w:sz="4" w:space="0" w:color="auto"/>
              <w:right w:val="single" w:sz="4" w:space="0" w:color="auto"/>
            </w:tcBorders>
          </w:tcPr>
          <w:p w14:paraId="12F218F3" w14:textId="77777777" w:rsidR="00D657C7" w:rsidRPr="009929B6" w:rsidRDefault="00D657C7">
            <w:pPr>
              <w:autoSpaceDE w:val="0"/>
              <w:autoSpaceDN w:val="0"/>
              <w:adjustRightInd w:val="0"/>
              <w:rPr>
                <w:sz w:val="22"/>
                <w:szCs w:val="22"/>
              </w:rPr>
            </w:pPr>
          </w:p>
        </w:tc>
        <w:tc>
          <w:tcPr>
            <w:tcW w:w="705" w:type="pct"/>
            <w:tcBorders>
              <w:top w:val="single" w:sz="4" w:space="0" w:color="auto"/>
              <w:left w:val="single" w:sz="4" w:space="0" w:color="auto"/>
              <w:bottom w:val="single" w:sz="4" w:space="0" w:color="auto"/>
              <w:right w:val="single" w:sz="4" w:space="0" w:color="auto"/>
            </w:tcBorders>
            <w:hideMark/>
          </w:tcPr>
          <w:p w14:paraId="6CB3CB7C" w14:textId="77777777" w:rsidR="00D657C7" w:rsidRPr="009929B6" w:rsidRDefault="00D657C7">
            <w:pPr>
              <w:autoSpaceDE w:val="0"/>
              <w:autoSpaceDN w:val="0"/>
              <w:adjustRightInd w:val="0"/>
              <w:rPr>
                <w:sz w:val="22"/>
                <w:szCs w:val="22"/>
              </w:rPr>
            </w:pPr>
            <w:r w:rsidRPr="009929B6">
              <w:rPr>
                <w:sz w:val="22"/>
                <w:szCs w:val="22"/>
              </w:rPr>
              <w:t>(0.19, 0.77)</w:t>
            </w:r>
          </w:p>
        </w:tc>
        <w:tc>
          <w:tcPr>
            <w:tcW w:w="608" w:type="pct"/>
            <w:tcBorders>
              <w:top w:val="single" w:sz="4" w:space="0" w:color="auto"/>
              <w:left w:val="single" w:sz="4" w:space="0" w:color="auto"/>
              <w:bottom w:val="single" w:sz="4" w:space="0" w:color="auto"/>
              <w:right w:val="single" w:sz="4" w:space="0" w:color="auto"/>
            </w:tcBorders>
          </w:tcPr>
          <w:p w14:paraId="48925081" w14:textId="77777777" w:rsidR="00D657C7" w:rsidRPr="009929B6" w:rsidRDefault="00D657C7">
            <w:pPr>
              <w:autoSpaceDE w:val="0"/>
              <w:autoSpaceDN w:val="0"/>
              <w:adjustRightInd w:val="0"/>
              <w:rPr>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14:paraId="30273377" w14:textId="77777777" w:rsidR="00D657C7" w:rsidRPr="009929B6" w:rsidRDefault="00D657C7">
            <w:pPr>
              <w:autoSpaceDE w:val="0"/>
              <w:autoSpaceDN w:val="0"/>
              <w:adjustRightInd w:val="0"/>
              <w:rPr>
                <w:sz w:val="22"/>
                <w:szCs w:val="22"/>
              </w:rPr>
            </w:pPr>
            <w:r w:rsidRPr="009929B6">
              <w:rPr>
                <w:sz w:val="22"/>
                <w:szCs w:val="22"/>
              </w:rPr>
              <w:t>(0.39, 1.05)</w:t>
            </w:r>
          </w:p>
        </w:tc>
      </w:tr>
    </w:tbl>
    <w:p w14:paraId="4CF9A09A" w14:textId="77777777" w:rsidR="00D657C7" w:rsidRPr="009929B6" w:rsidRDefault="00D657C7" w:rsidP="00D657C7">
      <w:pPr>
        <w:autoSpaceDE w:val="0"/>
        <w:autoSpaceDN w:val="0"/>
        <w:adjustRightInd w:val="0"/>
        <w:rPr>
          <w:sz w:val="20"/>
          <w:lang w:val="en-GB" w:eastAsia="en-US"/>
        </w:rPr>
      </w:pPr>
      <w:r w:rsidRPr="009929B6">
        <w:rPr>
          <w:sz w:val="20"/>
          <w:vertAlign w:val="superscript"/>
          <w:lang w:val="en-US"/>
        </w:rPr>
        <w:t xml:space="preserve">1 </w:t>
      </w:r>
      <w:r w:rsidRPr="009929B6">
        <w:rPr>
          <w:sz w:val="20"/>
          <w:lang w:val="en-US"/>
        </w:rPr>
        <w:t xml:space="preserve">Based on data collected up to 372 days (52 weeks + </w:t>
      </w:r>
      <w:proofErr w:type="gramStart"/>
      <w:r w:rsidRPr="009929B6">
        <w:rPr>
          <w:sz w:val="20"/>
          <w:lang w:val="en-US"/>
        </w:rPr>
        <w:t>7 day</w:t>
      </w:r>
      <w:proofErr w:type="gramEnd"/>
      <w:r w:rsidRPr="009929B6">
        <w:rPr>
          <w:sz w:val="20"/>
          <w:lang w:val="en-US"/>
        </w:rPr>
        <w:t xml:space="preserve"> margin).</w:t>
      </w:r>
    </w:p>
    <w:p w14:paraId="1F9316C7"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2 </w:t>
      </w:r>
      <w:r w:rsidRPr="009929B6">
        <w:rPr>
          <w:sz w:val="20"/>
          <w:lang w:val="en-US"/>
        </w:rPr>
        <w:t xml:space="preserve">Based on a Log-rank </w:t>
      </w:r>
      <w:proofErr w:type="gramStart"/>
      <w:r w:rsidRPr="009929B6">
        <w:rPr>
          <w:sz w:val="20"/>
          <w:lang w:val="en-US"/>
        </w:rPr>
        <w:t>test</w:t>
      </w:r>
      <w:proofErr w:type="gramEnd"/>
      <w:r w:rsidRPr="009929B6">
        <w:rPr>
          <w:sz w:val="20"/>
          <w:lang w:val="en-US"/>
        </w:rPr>
        <w:t>.</w:t>
      </w:r>
    </w:p>
    <w:p w14:paraId="68DD9A2C"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3 </w:t>
      </w:r>
      <w:r w:rsidRPr="009929B6">
        <w:rPr>
          <w:sz w:val="20"/>
          <w:lang w:val="en-US"/>
        </w:rPr>
        <w:t>Based on a Cox’s regression model.</w:t>
      </w:r>
    </w:p>
    <w:p w14:paraId="18706793" w14:textId="77777777" w:rsidR="00D657C7" w:rsidRPr="00F85BD8" w:rsidRDefault="00D657C7" w:rsidP="00BF087A">
      <w:pPr>
        <w:rPr>
          <w:sz w:val="24"/>
          <w:szCs w:val="24"/>
          <w:lang w:val="en-US"/>
        </w:rPr>
      </w:pPr>
    </w:p>
    <w:p w14:paraId="2B4220DC" w14:textId="77777777" w:rsidR="00D657C7" w:rsidRPr="00F85BD8" w:rsidRDefault="00D657C7" w:rsidP="00BF087A">
      <w:pPr>
        <w:ind w:left="851"/>
        <w:rPr>
          <w:sz w:val="24"/>
          <w:szCs w:val="24"/>
          <w:lang w:val="en-US"/>
        </w:rPr>
      </w:pPr>
      <w:r w:rsidRPr="00F85BD8">
        <w:rPr>
          <w:sz w:val="24"/>
          <w:szCs w:val="24"/>
          <w:lang w:val="en-US"/>
        </w:rPr>
        <w:t xml:space="preserve">In a pre-specified sensitivity analysis, the frequency of patients with at least 1 adjudicated exacerbation occurring within 52 weeks was lower in the </w:t>
      </w:r>
      <w:proofErr w:type="spellStart"/>
      <w:r w:rsidRPr="00F85BD8">
        <w:rPr>
          <w:sz w:val="24"/>
          <w:szCs w:val="24"/>
          <w:lang w:val="en-US"/>
        </w:rPr>
        <w:t>nintedanib</w:t>
      </w:r>
      <w:proofErr w:type="spellEnd"/>
      <w:r w:rsidRPr="00F85BD8">
        <w:rPr>
          <w:sz w:val="24"/>
          <w:szCs w:val="24"/>
          <w:lang w:val="en-US"/>
        </w:rPr>
        <w:t xml:space="preserve"> group (1.9% of patients) than in the placebo group (5.7% of patients). Time to event analysis of the adjudicated exacerbation events using pooled data yielded a hazard ratio (HR) of 0.32 (95% CI 0.16, 0.65; p=0.0010).</w:t>
      </w:r>
    </w:p>
    <w:p w14:paraId="22F36314" w14:textId="77777777" w:rsidR="00D657C7" w:rsidRPr="00F85BD8" w:rsidRDefault="00D657C7" w:rsidP="00BF087A">
      <w:pPr>
        <w:ind w:left="851"/>
        <w:rPr>
          <w:sz w:val="24"/>
          <w:szCs w:val="24"/>
          <w:lang w:val="en-US"/>
        </w:rPr>
      </w:pPr>
    </w:p>
    <w:p w14:paraId="6E2CB0DB" w14:textId="77777777" w:rsidR="00D657C7" w:rsidRPr="00F85BD8" w:rsidRDefault="00D657C7" w:rsidP="00BF087A">
      <w:pPr>
        <w:ind w:left="851"/>
        <w:rPr>
          <w:i/>
          <w:sz w:val="24"/>
          <w:szCs w:val="24"/>
          <w:u w:val="single"/>
          <w:lang w:val="en-US"/>
        </w:rPr>
      </w:pPr>
      <w:r w:rsidRPr="00F85BD8">
        <w:rPr>
          <w:i/>
          <w:sz w:val="24"/>
          <w:szCs w:val="24"/>
          <w:u w:val="single"/>
          <w:lang w:val="en-US"/>
        </w:rPr>
        <w:t>Survival analysis</w:t>
      </w:r>
    </w:p>
    <w:p w14:paraId="4389C369" w14:textId="77777777" w:rsidR="00D657C7" w:rsidRPr="00F85BD8" w:rsidRDefault="00D657C7" w:rsidP="00BF087A">
      <w:pPr>
        <w:ind w:left="851"/>
        <w:rPr>
          <w:sz w:val="24"/>
          <w:szCs w:val="24"/>
          <w:lang w:val="en-US"/>
        </w:rPr>
      </w:pPr>
      <w:r w:rsidRPr="00F85BD8">
        <w:rPr>
          <w:sz w:val="24"/>
          <w:szCs w:val="24"/>
          <w:lang w:val="en-US"/>
        </w:rPr>
        <w:t xml:space="preserve">In the pre-specified pooled analysis of survival data of the INPULSIS trials, overall mortality over 52 weeks was lower in the </w:t>
      </w:r>
      <w:proofErr w:type="spellStart"/>
      <w:r w:rsidRPr="00F85BD8">
        <w:rPr>
          <w:sz w:val="24"/>
          <w:szCs w:val="24"/>
          <w:lang w:val="en-US"/>
        </w:rPr>
        <w:t>nintedanib</w:t>
      </w:r>
      <w:proofErr w:type="spellEnd"/>
      <w:r w:rsidRPr="00F85BD8">
        <w:rPr>
          <w:sz w:val="24"/>
          <w:szCs w:val="24"/>
          <w:lang w:val="en-US"/>
        </w:rPr>
        <w:t xml:space="preserve"> group (5.5%) compared with the placebo group (7.8%). The analysis of time to death resulted in a HR of 0.70 (95% CI 0.43, 1.12; p=0.1399). The results of all survival endpoints (such as on-treatment mortality and respiratory mortality) showed a consistent numerical difference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Pr="00F85BD8">
        <w:rPr>
          <w:sz w:val="24"/>
          <w:szCs w:val="24"/>
          <w:lang w:val="en-US"/>
        </w:rPr>
        <w:t>.</w:t>
      </w:r>
    </w:p>
    <w:p w14:paraId="171A64BF" w14:textId="77777777" w:rsidR="00D657C7" w:rsidRPr="00F85BD8" w:rsidRDefault="00D657C7" w:rsidP="00BF087A">
      <w:pPr>
        <w:ind w:left="851"/>
        <w:rPr>
          <w:sz w:val="24"/>
          <w:szCs w:val="24"/>
          <w:lang w:val="en-US"/>
        </w:rPr>
      </w:pPr>
    </w:p>
    <w:p w14:paraId="6A979F71" w14:textId="4D799250" w:rsidR="00D657C7" w:rsidRPr="00F85BD8" w:rsidRDefault="00D657C7" w:rsidP="00BF087A">
      <w:pPr>
        <w:rPr>
          <w:b/>
          <w:sz w:val="24"/>
          <w:szCs w:val="24"/>
          <w:lang w:val="en-US"/>
        </w:rPr>
      </w:pPr>
      <w:r w:rsidRPr="00F85BD8">
        <w:rPr>
          <w:b/>
          <w:sz w:val="24"/>
          <w:szCs w:val="24"/>
          <w:lang w:val="en-US"/>
        </w:rPr>
        <w:t>Table 7:</w:t>
      </w:r>
      <w:r w:rsidR="00BF087A" w:rsidRPr="00F85BD8">
        <w:rPr>
          <w:b/>
          <w:sz w:val="24"/>
          <w:szCs w:val="24"/>
          <w:lang w:val="en-US"/>
        </w:rPr>
        <w:t xml:space="preserve"> </w:t>
      </w:r>
      <w:r w:rsidRPr="00F85BD8">
        <w:rPr>
          <w:b/>
          <w:sz w:val="24"/>
          <w:szCs w:val="24"/>
          <w:lang w:val="en-US"/>
        </w:rPr>
        <w:t>All-cause mortality over 52 weeks in trials INPULSIS-1, INPULSIS-2, and their pooled data - treated set</w:t>
      </w:r>
    </w:p>
    <w:p w14:paraId="55CCAAC2" w14:textId="77777777" w:rsidR="00D657C7" w:rsidRPr="00F85BD8" w:rsidRDefault="00D657C7" w:rsidP="00BF087A">
      <w:pPr>
        <w:rPr>
          <w:sz w:val="24"/>
          <w:szCs w:val="24"/>
          <w:lang w:val="en-US"/>
        </w:rPr>
      </w:pPr>
    </w:p>
    <w:tbl>
      <w:tblPr>
        <w:tblStyle w:val="Tabel-Gitter"/>
        <w:tblW w:w="4994" w:type="pct"/>
        <w:tblInd w:w="0" w:type="dxa"/>
        <w:tblLook w:val="04A0" w:firstRow="1" w:lastRow="0" w:firstColumn="1" w:lastColumn="0" w:noHBand="0" w:noVBand="1"/>
      </w:tblPr>
      <w:tblGrid>
        <w:gridCol w:w="1952"/>
        <w:gridCol w:w="1206"/>
        <w:gridCol w:w="1356"/>
        <w:gridCol w:w="1206"/>
        <w:gridCol w:w="1356"/>
        <w:gridCol w:w="1169"/>
        <w:gridCol w:w="1371"/>
      </w:tblGrid>
      <w:tr w:rsidR="00D657C7" w:rsidRPr="009929B6" w14:paraId="0000AB8B" w14:textId="77777777" w:rsidTr="00D657C7">
        <w:trPr>
          <w:tblHeader/>
        </w:trPr>
        <w:tc>
          <w:tcPr>
            <w:tcW w:w="1015" w:type="pct"/>
            <w:tcBorders>
              <w:top w:val="single" w:sz="4" w:space="0" w:color="auto"/>
              <w:left w:val="single" w:sz="4" w:space="0" w:color="auto"/>
              <w:bottom w:val="single" w:sz="4" w:space="0" w:color="auto"/>
              <w:right w:val="single" w:sz="4" w:space="0" w:color="auto"/>
            </w:tcBorders>
          </w:tcPr>
          <w:p w14:paraId="27BFC638" w14:textId="77777777" w:rsidR="00D657C7" w:rsidRPr="009929B6" w:rsidRDefault="00D657C7">
            <w:pPr>
              <w:autoSpaceDE w:val="0"/>
              <w:autoSpaceDN w:val="0"/>
              <w:adjustRightInd w:val="0"/>
              <w:rPr>
                <w:sz w:val="20"/>
              </w:rPr>
            </w:pPr>
          </w:p>
        </w:tc>
        <w:tc>
          <w:tcPr>
            <w:tcW w:w="1332" w:type="pct"/>
            <w:gridSpan w:val="2"/>
            <w:tcBorders>
              <w:top w:val="single" w:sz="4" w:space="0" w:color="auto"/>
              <w:left w:val="single" w:sz="4" w:space="0" w:color="auto"/>
              <w:bottom w:val="single" w:sz="4" w:space="0" w:color="auto"/>
              <w:right w:val="single" w:sz="4" w:space="0" w:color="auto"/>
            </w:tcBorders>
            <w:hideMark/>
          </w:tcPr>
          <w:p w14:paraId="032421D9" w14:textId="77777777" w:rsidR="00D657C7" w:rsidRPr="009929B6" w:rsidRDefault="00D657C7">
            <w:pPr>
              <w:autoSpaceDE w:val="0"/>
              <w:autoSpaceDN w:val="0"/>
              <w:adjustRightInd w:val="0"/>
              <w:jc w:val="center"/>
              <w:rPr>
                <w:b/>
                <w:sz w:val="20"/>
              </w:rPr>
            </w:pPr>
            <w:r w:rsidRPr="009929B6">
              <w:rPr>
                <w:b/>
                <w:sz w:val="20"/>
              </w:rPr>
              <w:t>INPULSIS-1</w:t>
            </w:r>
          </w:p>
        </w:tc>
        <w:tc>
          <w:tcPr>
            <w:tcW w:w="1332" w:type="pct"/>
            <w:gridSpan w:val="2"/>
            <w:tcBorders>
              <w:top w:val="single" w:sz="4" w:space="0" w:color="auto"/>
              <w:left w:val="single" w:sz="4" w:space="0" w:color="auto"/>
              <w:bottom w:val="single" w:sz="4" w:space="0" w:color="auto"/>
              <w:right w:val="single" w:sz="4" w:space="0" w:color="auto"/>
            </w:tcBorders>
            <w:hideMark/>
          </w:tcPr>
          <w:p w14:paraId="1C332A98" w14:textId="77777777" w:rsidR="00D657C7" w:rsidRPr="009929B6" w:rsidRDefault="00D657C7">
            <w:pPr>
              <w:autoSpaceDE w:val="0"/>
              <w:autoSpaceDN w:val="0"/>
              <w:adjustRightInd w:val="0"/>
              <w:jc w:val="center"/>
              <w:rPr>
                <w:b/>
                <w:sz w:val="20"/>
              </w:rPr>
            </w:pPr>
            <w:r w:rsidRPr="009929B6">
              <w:rPr>
                <w:b/>
                <w:sz w:val="20"/>
              </w:rPr>
              <w:t>INPULSIS-2</w:t>
            </w:r>
          </w:p>
        </w:tc>
        <w:tc>
          <w:tcPr>
            <w:tcW w:w="1321" w:type="pct"/>
            <w:gridSpan w:val="2"/>
            <w:tcBorders>
              <w:top w:val="single" w:sz="4" w:space="0" w:color="auto"/>
              <w:left w:val="single" w:sz="4" w:space="0" w:color="auto"/>
              <w:bottom w:val="single" w:sz="4" w:space="0" w:color="auto"/>
              <w:right w:val="single" w:sz="4" w:space="0" w:color="auto"/>
            </w:tcBorders>
            <w:hideMark/>
          </w:tcPr>
          <w:p w14:paraId="71F5DBDD" w14:textId="77777777" w:rsidR="00D657C7" w:rsidRPr="009929B6" w:rsidRDefault="00D657C7">
            <w:pPr>
              <w:autoSpaceDE w:val="0"/>
              <w:autoSpaceDN w:val="0"/>
              <w:adjustRightInd w:val="0"/>
              <w:jc w:val="center"/>
              <w:rPr>
                <w:b/>
                <w:sz w:val="20"/>
              </w:rPr>
            </w:pPr>
            <w:r w:rsidRPr="009929B6">
              <w:rPr>
                <w:b/>
                <w:sz w:val="20"/>
              </w:rPr>
              <w:t>INPULSIS-1 and INPULSIS-2 pooled</w:t>
            </w:r>
          </w:p>
        </w:tc>
      </w:tr>
      <w:tr w:rsidR="00D657C7" w:rsidRPr="009929B6" w14:paraId="4F6EC500" w14:textId="77777777" w:rsidTr="00D657C7">
        <w:trPr>
          <w:tblHeader/>
        </w:trPr>
        <w:tc>
          <w:tcPr>
            <w:tcW w:w="1015" w:type="pct"/>
            <w:tcBorders>
              <w:top w:val="single" w:sz="4" w:space="0" w:color="auto"/>
              <w:left w:val="single" w:sz="4" w:space="0" w:color="auto"/>
              <w:bottom w:val="single" w:sz="4" w:space="0" w:color="auto"/>
              <w:right w:val="single" w:sz="4" w:space="0" w:color="auto"/>
            </w:tcBorders>
          </w:tcPr>
          <w:p w14:paraId="34C1A985" w14:textId="77777777" w:rsidR="00D657C7" w:rsidRPr="009929B6" w:rsidRDefault="00D657C7">
            <w:pPr>
              <w:autoSpaceDE w:val="0"/>
              <w:autoSpaceDN w:val="0"/>
              <w:adjustRightInd w:val="0"/>
              <w:rPr>
                <w:sz w:val="20"/>
              </w:rPr>
            </w:pPr>
          </w:p>
        </w:tc>
        <w:tc>
          <w:tcPr>
            <w:tcW w:w="627" w:type="pct"/>
            <w:tcBorders>
              <w:top w:val="single" w:sz="4" w:space="0" w:color="auto"/>
              <w:left w:val="single" w:sz="4" w:space="0" w:color="auto"/>
              <w:bottom w:val="single" w:sz="4" w:space="0" w:color="auto"/>
              <w:right w:val="single" w:sz="4" w:space="0" w:color="auto"/>
            </w:tcBorders>
            <w:hideMark/>
          </w:tcPr>
          <w:p w14:paraId="04912BBD" w14:textId="77777777" w:rsidR="00D657C7" w:rsidRPr="009929B6" w:rsidRDefault="00D657C7">
            <w:pPr>
              <w:autoSpaceDE w:val="0"/>
              <w:autoSpaceDN w:val="0"/>
              <w:adjustRightInd w:val="0"/>
              <w:jc w:val="center"/>
              <w:rPr>
                <w:sz w:val="20"/>
              </w:rPr>
            </w:pPr>
            <w:r w:rsidRPr="009929B6">
              <w:rPr>
                <w:sz w:val="20"/>
              </w:rPr>
              <w:t>Placebo</w:t>
            </w:r>
          </w:p>
        </w:tc>
        <w:tc>
          <w:tcPr>
            <w:tcW w:w="705" w:type="pct"/>
            <w:tcBorders>
              <w:top w:val="single" w:sz="4" w:space="0" w:color="auto"/>
              <w:left w:val="single" w:sz="4" w:space="0" w:color="auto"/>
              <w:bottom w:val="single" w:sz="4" w:space="0" w:color="auto"/>
              <w:right w:val="single" w:sz="4" w:space="0" w:color="auto"/>
            </w:tcBorders>
            <w:hideMark/>
          </w:tcPr>
          <w:p w14:paraId="50479972" w14:textId="77777777" w:rsidR="00D657C7" w:rsidRPr="009929B6" w:rsidRDefault="00D657C7">
            <w:pPr>
              <w:autoSpaceDE w:val="0"/>
              <w:autoSpaceDN w:val="0"/>
              <w:adjustRightInd w:val="0"/>
              <w:jc w:val="center"/>
              <w:rPr>
                <w:sz w:val="20"/>
              </w:rPr>
            </w:pPr>
            <w:proofErr w:type="spellStart"/>
            <w:r w:rsidRPr="009929B6">
              <w:rPr>
                <w:sz w:val="20"/>
              </w:rPr>
              <w:t>Nintedanib</w:t>
            </w:r>
            <w:proofErr w:type="spellEnd"/>
            <w:r w:rsidRPr="009929B6">
              <w:rPr>
                <w:sz w:val="20"/>
              </w:rPr>
              <w:t xml:space="preserve"> 150 mg twice daily</w:t>
            </w:r>
          </w:p>
        </w:tc>
        <w:tc>
          <w:tcPr>
            <w:tcW w:w="627" w:type="pct"/>
            <w:tcBorders>
              <w:top w:val="single" w:sz="4" w:space="0" w:color="auto"/>
              <w:left w:val="single" w:sz="4" w:space="0" w:color="auto"/>
              <w:bottom w:val="single" w:sz="4" w:space="0" w:color="auto"/>
              <w:right w:val="single" w:sz="4" w:space="0" w:color="auto"/>
            </w:tcBorders>
            <w:hideMark/>
          </w:tcPr>
          <w:p w14:paraId="65D6958F" w14:textId="77777777" w:rsidR="00D657C7" w:rsidRPr="009929B6" w:rsidRDefault="00D657C7">
            <w:pPr>
              <w:autoSpaceDE w:val="0"/>
              <w:autoSpaceDN w:val="0"/>
              <w:adjustRightInd w:val="0"/>
              <w:jc w:val="center"/>
              <w:rPr>
                <w:sz w:val="20"/>
              </w:rPr>
            </w:pPr>
            <w:r w:rsidRPr="009929B6">
              <w:rPr>
                <w:sz w:val="20"/>
              </w:rPr>
              <w:t>Placebo</w:t>
            </w:r>
          </w:p>
        </w:tc>
        <w:tc>
          <w:tcPr>
            <w:tcW w:w="705" w:type="pct"/>
            <w:tcBorders>
              <w:top w:val="single" w:sz="4" w:space="0" w:color="auto"/>
              <w:left w:val="single" w:sz="4" w:space="0" w:color="auto"/>
              <w:bottom w:val="single" w:sz="4" w:space="0" w:color="auto"/>
              <w:right w:val="single" w:sz="4" w:space="0" w:color="auto"/>
            </w:tcBorders>
            <w:hideMark/>
          </w:tcPr>
          <w:p w14:paraId="74348568" w14:textId="77777777" w:rsidR="00D657C7" w:rsidRPr="009929B6" w:rsidRDefault="00D657C7">
            <w:pPr>
              <w:autoSpaceDE w:val="0"/>
              <w:autoSpaceDN w:val="0"/>
              <w:adjustRightInd w:val="0"/>
              <w:jc w:val="center"/>
              <w:rPr>
                <w:sz w:val="20"/>
              </w:rPr>
            </w:pPr>
            <w:proofErr w:type="spellStart"/>
            <w:r w:rsidRPr="009929B6">
              <w:rPr>
                <w:sz w:val="20"/>
              </w:rPr>
              <w:t>Nintedanib</w:t>
            </w:r>
            <w:proofErr w:type="spellEnd"/>
            <w:r w:rsidRPr="009929B6">
              <w:rPr>
                <w:sz w:val="20"/>
              </w:rPr>
              <w:t xml:space="preserve"> 150 mg twice daily</w:t>
            </w:r>
          </w:p>
        </w:tc>
        <w:tc>
          <w:tcPr>
            <w:tcW w:w="608" w:type="pct"/>
            <w:tcBorders>
              <w:top w:val="single" w:sz="4" w:space="0" w:color="auto"/>
              <w:left w:val="single" w:sz="4" w:space="0" w:color="auto"/>
              <w:bottom w:val="single" w:sz="4" w:space="0" w:color="auto"/>
              <w:right w:val="single" w:sz="4" w:space="0" w:color="auto"/>
            </w:tcBorders>
            <w:hideMark/>
          </w:tcPr>
          <w:p w14:paraId="1DEEEDA8" w14:textId="77777777" w:rsidR="00D657C7" w:rsidRPr="009929B6" w:rsidRDefault="00D657C7">
            <w:pPr>
              <w:autoSpaceDE w:val="0"/>
              <w:autoSpaceDN w:val="0"/>
              <w:adjustRightInd w:val="0"/>
              <w:jc w:val="center"/>
              <w:rPr>
                <w:sz w:val="20"/>
              </w:rPr>
            </w:pPr>
            <w:r w:rsidRPr="009929B6">
              <w:rPr>
                <w:sz w:val="20"/>
              </w:rPr>
              <w:t>Placebo</w:t>
            </w:r>
          </w:p>
        </w:tc>
        <w:tc>
          <w:tcPr>
            <w:tcW w:w="713" w:type="pct"/>
            <w:tcBorders>
              <w:top w:val="single" w:sz="4" w:space="0" w:color="auto"/>
              <w:left w:val="single" w:sz="4" w:space="0" w:color="auto"/>
              <w:bottom w:val="single" w:sz="4" w:space="0" w:color="auto"/>
              <w:right w:val="single" w:sz="4" w:space="0" w:color="auto"/>
            </w:tcBorders>
            <w:hideMark/>
          </w:tcPr>
          <w:p w14:paraId="721FF7B5" w14:textId="77777777" w:rsidR="00D657C7" w:rsidRPr="009929B6" w:rsidRDefault="00D657C7">
            <w:pPr>
              <w:autoSpaceDE w:val="0"/>
              <w:autoSpaceDN w:val="0"/>
              <w:adjustRightInd w:val="0"/>
              <w:jc w:val="center"/>
              <w:rPr>
                <w:sz w:val="20"/>
              </w:rPr>
            </w:pPr>
            <w:proofErr w:type="spellStart"/>
            <w:r w:rsidRPr="009929B6">
              <w:rPr>
                <w:sz w:val="20"/>
              </w:rPr>
              <w:t>Nintedanib</w:t>
            </w:r>
            <w:proofErr w:type="spellEnd"/>
            <w:r w:rsidRPr="009929B6">
              <w:rPr>
                <w:sz w:val="20"/>
              </w:rPr>
              <w:t xml:space="preserve"> 150 mg twice daily</w:t>
            </w:r>
          </w:p>
        </w:tc>
      </w:tr>
      <w:tr w:rsidR="00D657C7" w:rsidRPr="009929B6" w14:paraId="701B5EF5"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678880B7" w14:textId="77777777" w:rsidR="00D657C7" w:rsidRPr="009929B6" w:rsidRDefault="00D657C7">
            <w:pPr>
              <w:autoSpaceDE w:val="0"/>
              <w:autoSpaceDN w:val="0"/>
              <w:adjustRightInd w:val="0"/>
              <w:rPr>
                <w:sz w:val="20"/>
              </w:rPr>
            </w:pPr>
            <w:r w:rsidRPr="009929B6">
              <w:rPr>
                <w:sz w:val="20"/>
              </w:rPr>
              <w:t>Number at risk</w:t>
            </w:r>
          </w:p>
        </w:tc>
        <w:tc>
          <w:tcPr>
            <w:tcW w:w="627" w:type="pct"/>
            <w:tcBorders>
              <w:top w:val="single" w:sz="4" w:space="0" w:color="auto"/>
              <w:left w:val="single" w:sz="4" w:space="0" w:color="auto"/>
              <w:bottom w:val="single" w:sz="4" w:space="0" w:color="auto"/>
              <w:right w:val="single" w:sz="4" w:space="0" w:color="auto"/>
            </w:tcBorders>
            <w:vAlign w:val="center"/>
            <w:hideMark/>
          </w:tcPr>
          <w:p w14:paraId="7ABEE603" w14:textId="77777777" w:rsidR="00D657C7" w:rsidRPr="009929B6" w:rsidRDefault="00D657C7">
            <w:pPr>
              <w:autoSpaceDE w:val="0"/>
              <w:autoSpaceDN w:val="0"/>
              <w:adjustRightInd w:val="0"/>
              <w:jc w:val="center"/>
              <w:rPr>
                <w:sz w:val="20"/>
              </w:rPr>
            </w:pPr>
            <w:r w:rsidRPr="009929B6">
              <w:rPr>
                <w:sz w:val="20"/>
              </w:rPr>
              <w:t>204</w:t>
            </w:r>
          </w:p>
        </w:tc>
        <w:tc>
          <w:tcPr>
            <w:tcW w:w="705" w:type="pct"/>
            <w:tcBorders>
              <w:top w:val="single" w:sz="4" w:space="0" w:color="auto"/>
              <w:left w:val="single" w:sz="4" w:space="0" w:color="auto"/>
              <w:bottom w:val="single" w:sz="4" w:space="0" w:color="auto"/>
              <w:right w:val="single" w:sz="4" w:space="0" w:color="auto"/>
            </w:tcBorders>
            <w:vAlign w:val="center"/>
            <w:hideMark/>
          </w:tcPr>
          <w:p w14:paraId="088AF2C3" w14:textId="77777777" w:rsidR="00D657C7" w:rsidRPr="009929B6" w:rsidRDefault="00D657C7">
            <w:pPr>
              <w:autoSpaceDE w:val="0"/>
              <w:autoSpaceDN w:val="0"/>
              <w:adjustRightInd w:val="0"/>
              <w:jc w:val="center"/>
              <w:rPr>
                <w:sz w:val="20"/>
              </w:rPr>
            </w:pPr>
            <w:r w:rsidRPr="009929B6">
              <w:rPr>
                <w:sz w:val="20"/>
              </w:rPr>
              <w:t>309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558FC515" w14:textId="77777777" w:rsidR="00D657C7" w:rsidRPr="009929B6" w:rsidRDefault="00D657C7">
            <w:pPr>
              <w:autoSpaceDE w:val="0"/>
              <w:autoSpaceDN w:val="0"/>
              <w:adjustRightInd w:val="0"/>
              <w:jc w:val="center"/>
              <w:rPr>
                <w:sz w:val="20"/>
              </w:rPr>
            </w:pPr>
            <w:r w:rsidRPr="009929B6">
              <w:rPr>
                <w:sz w:val="20"/>
              </w:rPr>
              <w:t>219</w:t>
            </w:r>
          </w:p>
        </w:tc>
        <w:tc>
          <w:tcPr>
            <w:tcW w:w="705" w:type="pct"/>
            <w:tcBorders>
              <w:top w:val="single" w:sz="4" w:space="0" w:color="auto"/>
              <w:left w:val="single" w:sz="4" w:space="0" w:color="auto"/>
              <w:bottom w:val="single" w:sz="4" w:space="0" w:color="auto"/>
              <w:right w:val="single" w:sz="4" w:space="0" w:color="auto"/>
            </w:tcBorders>
            <w:vAlign w:val="center"/>
            <w:hideMark/>
          </w:tcPr>
          <w:p w14:paraId="078890D9" w14:textId="77777777" w:rsidR="00D657C7" w:rsidRPr="009929B6" w:rsidRDefault="00D657C7">
            <w:pPr>
              <w:autoSpaceDE w:val="0"/>
              <w:autoSpaceDN w:val="0"/>
              <w:adjustRightInd w:val="0"/>
              <w:jc w:val="center"/>
              <w:rPr>
                <w:sz w:val="20"/>
              </w:rPr>
            </w:pPr>
            <w:r w:rsidRPr="009929B6">
              <w:rPr>
                <w:sz w:val="20"/>
              </w:rPr>
              <w:t>329</w:t>
            </w:r>
          </w:p>
        </w:tc>
        <w:tc>
          <w:tcPr>
            <w:tcW w:w="608" w:type="pct"/>
            <w:tcBorders>
              <w:top w:val="single" w:sz="4" w:space="0" w:color="auto"/>
              <w:left w:val="single" w:sz="4" w:space="0" w:color="auto"/>
              <w:bottom w:val="single" w:sz="4" w:space="0" w:color="auto"/>
              <w:right w:val="single" w:sz="4" w:space="0" w:color="auto"/>
            </w:tcBorders>
            <w:vAlign w:val="center"/>
            <w:hideMark/>
          </w:tcPr>
          <w:p w14:paraId="1D297C9F" w14:textId="77777777" w:rsidR="00D657C7" w:rsidRPr="009929B6" w:rsidRDefault="00D657C7">
            <w:pPr>
              <w:autoSpaceDE w:val="0"/>
              <w:autoSpaceDN w:val="0"/>
              <w:adjustRightInd w:val="0"/>
              <w:jc w:val="center"/>
              <w:rPr>
                <w:sz w:val="20"/>
              </w:rPr>
            </w:pPr>
            <w:r w:rsidRPr="009929B6">
              <w:rPr>
                <w:sz w:val="20"/>
              </w:rPr>
              <w:t>423</w:t>
            </w:r>
          </w:p>
        </w:tc>
        <w:tc>
          <w:tcPr>
            <w:tcW w:w="713" w:type="pct"/>
            <w:tcBorders>
              <w:top w:val="single" w:sz="4" w:space="0" w:color="auto"/>
              <w:left w:val="single" w:sz="4" w:space="0" w:color="auto"/>
              <w:bottom w:val="single" w:sz="4" w:space="0" w:color="auto"/>
              <w:right w:val="single" w:sz="4" w:space="0" w:color="auto"/>
            </w:tcBorders>
            <w:vAlign w:val="center"/>
            <w:hideMark/>
          </w:tcPr>
          <w:p w14:paraId="5B9EA48B" w14:textId="77777777" w:rsidR="00D657C7" w:rsidRPr="009929B6" w:rsidRDefault="00D657C7">
            <w:pPr>
              <w:autoSpaceDE w:val="0"/>
              <w:autoSpaceDN w:val="0"/>
              <w:adjustRightInd w:val="0"/>
              <w:jc w:val="center"/>
              <w:rPr>
                <w:sz w:val="20"/>
              </w:rPr>
            </w:pPr>
            <w:r w:rsidRPr="009929B6">
              <w:rPr>
                <w:sz w:val="20"/>
              </w:rPr>
              <w:t>638</w:t>
            </w:r>
          </w:p>
        </w:tc>
      </w:tr>
      <w:tr w:rsidR="00D657C7" w:rsidRPr="009929B6" w14:paraId="46F9438F"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6516BD82" w14:textId="77777777" w:rsidR="00D657C7" w:rsidRPr="009929B6" w:rsidRDefault="00D657C7">
            <w:pPr>
              <w:autoSpaceDE w:val="0"/>
              <w:autoSpaceDN w:val="0"/>
              <w:adjustRightInd w:val="0"/>
              <w:rPr>
                <w:sz w:val="20"/>
              </w:rPr>
            </w:pPr>
            <w:r w:rsidRPr="009929B6">
              <w:rPr>
                <w:sz w:val="20"/>
              </w:rPr>
              <w:t>Patients with events, N (%)</w:t>
            </w:r>
          </w:p>
        </w:tc>
        <w:tc>
          <w:tcPr>
            <w:tcW w:w="627" w:type="pct"/>
            <w:tcBorders>
              <w:top w:val="single" w:sz="4" w:space="0" w:color="auto"/>
              <w:left w:val="single" w:sz="4" w:space="0" w:color="auto"/>
              <w:bottom w:val="single" w:sz="4" w:space="0" w:color="auto"/>
              <w:right w:val="single" w:sz="4" w:space="0" w:color="auto"/>
            </w:tcBorders>
            <w:vAlign w:val="bottom"/>
            <w:hideMark/>
          </w:tcPr>
          <w:p w14:paraId="347122A2" w14:textId="77777777" w:rsidR="00D657C7" w:rsidRPr="009929B6" w:rsidRDefault="00D657C7">
            <w:pPr>
              <w:autoSpaceDE w:val="0"/>
              <w:autoSpaceDN w:val="0"/>
              <w:adjustRightInd w:val="0"/>
              <w:jc w:val="center"/>
              <w:rPr>
                <w:sz w:val="20"/>
              </w:rPr>
            </w:pPr>
            <w:r w:rsidRPr="009929B6">
              <w:rPr>
                <w:sz w:val="20"/>
              </w:rPr>
              <w:t>13 (6.4)</w:t>
            </w:r>
          </w:p>
        </w:tc>
        <w:tc>
          <w:tcPr>
            <w:tcW w:w="705" w:type="pct"/>
            <w:tcBorders>
              <w:top w:val="single" w:sz="4" w:space="0" w:color="auto"/>
              <w:left w:val="single" w:sz="4" w:space="0" w:color="auto"/>
              <w:bottom w:val="single" w:sz="4" w:space="0" w:color="auto"/>
              <w:right w:val="single" w:sz="4" w:space="0" w:color="auto"/>
            </w:tcBorders>
            <w:vAlign w:val="bottom"/>
            <w:hideMark/>
          </w:tcPr>
          <w:p w14:paraId="734A64BC" w14:textId="77777777" w:rsidR="00D657C7" w:rsidRPr="009929B6" w:rsidRDefault="00D657C7">
            <w:pPr>
              <w:autoSpaceDE w:val="0"/>
              <w:autoSpaceDN w:val="0"/>
              <w:adjustRightInd w:val="0"/>
              <w:jc w:val="center"/>
              <w:rPr>
                <w:sz w:val="20"/>
              </w:rPr>
            </w:pPr>
            <w:r w:rsidRPr="009929B6">
              <w:rPr>
                <w:sz w:val="20"/>
                <w:lang w:val="en-US"/>
              </w:rPr>
              <w:t>13 (4.2)</w:t>
            </w:r>
          </w:p>
        </w:tc>
        <w:tc>
          <w:tcPr>
            <w:tcW w:w="627" w:type="pct"/>
            <w:tcBorders>
              <w:top w:val="single" w:sz="4" w:space="0" w:color="auto"/>
              <w:left w:val="single" w:sz="4" w:space="0" w:color="auto"/>
              <w:bottom w:val="single" w:sz="4" w:space="0" w:color="auto"/>
              <w:right w:val="single" w:sz="4" w:space="0" w:color="auto"/>
            </w:tcBorders>
            <w:vAlign w:val="bottom"/>
            <w:hideMark/>
          </w:tcPr>
          <w:p w14:paraId="08076FDE" w14:textId="77777777" w:rsidR="00D657C7" w:rsidRPr="009929B6" w:rsidRDefault="00D657C7">
            <w:pPr>
              <w:autoSpaceDE w:val="0"/>
              <w:autoSpaceDN w:val="0"/>
              <w:adjustRightInd w:val="0"/>
              <w:jc w:val="center"/>
              <w:rPr>
                <w:sz w:val="20"/>
              </w:rPr>
            </w:pPr>
            <w:r w:rsidRPr="009929B6">
              <w:rPr>
                <w:sz w:val="20"/>
              </w:rPr>
              <w:t>20 (9.1)</w:t>
            </w:r>
          </w:p>
        </w:tc>
        <w:tc>
          <w:tcPr>
            <w:tcW w:w="705" w:type="pct"/>
            <w:tcBorders>
              <w:top w:val="single" w:sz="4" w:space="0" w:color="auto"/>
              <w:left w:val="single" w:sz="4" w:space="0" w:color="auto"/>
              <w:bottom w:val="single" w:sz="4" w:space="0" w:color="auto"/>
              <w:right w:val="single" w:sz="4" w:space="0" w:color="auto"/>
            </w:tcBorders>
            <w:vAlign w:val="bottom"/>
            <w:hideMark/>
          </w:tcPr>
          <w:p w14:paraId="205B5CF6" w14:textId="77777777" w:rsidR="00D657C7" w:rsidRPr="009929B6" w:rsidRDefault="00D657C7">
            <w:pPr>
              <w:autoSpaceDE w:val="0"/>
              <w:autoSpaceDN w:val="0"/>
              <w:adjustRightInd w:val="0"/>
              <w:jc w:val="center"/>
              <w:rPr>
                <w:sz w:val="20"/>
              </w:rPr>
            </w:pPr>
            <w:r w:rsidRPr="009929B6">
              <w:rPr>
                <w:sz w:val="20"/>
              </w:rPr>
              <w:t>22 (6.7)</w:t>
            </w:r>
          </w:p>
        </w:tc>
        <w:tc>
          <w:tcPr>
            <w:tcW w:w="608" w:type="pct"/>
            <w:tcBorders>
              <w:top w:val="single" w:sz="4" w:space="0" w:color="auto"/>
              <w:left w:val="single" w:sz="4" w:space="0" w:color="auto"/>
              <w:bottom w:val="single" w:sz="4" w:space="0" w:color="auto"/>
              <w:right w:val="single" w:sz="4" w:space="0" w:color="auto"/>
            </w:tcBorders>
            <w:vAlign w:val="bottom"/>
            <w:hideMark/>
          </w:tcPr>
          <w:p w14:paraId="6C09FD84" w14:textId="77777777" w:rsidR="00D657C7" w:rsidRPr="009929B6" w:rsidRDefault="00D657C7">
            <w:pPr>
              <w:autoSpaceDE w:val="0"/>
              <w:autoSpaceDN w:val="0"/>
              <w:adjustRightInd w:val="0"/>
              <w:jc w:val="center"/>
              <w:rPr>
                <w:sz w:val="20"/>
              </w:rPr>
            </w:pPr>
            <w:r w:rsidRPr="009929B6">
              <w:rPr>
                <w:sz w:val="20"/>
              </w:rPr>
              <w:t>33 (7.8)</w:t>
            </w:r>
          </w:p>
        </w:tc>
        <w:tc>
          <w:tcPr>
            <w:tcW w:w="713" w:type="pct"/>
            <w:tcBorders>
              <w:top w:val="single" w:sz="4" w:space="0" w:color="auto"/>
              <w:left w:val="single" w:sz="4" w:space="0" w:color="auto"/>
              <w:bottom w:val="single" w:sz="4" w:space="0" w:color="auto"/>
              <w:right w:val="single" w:sz="4" w:space="0" w:color="auto"/>
            </w:tcBorders>
            <w:vAlign w:val="bottom"/>
            <w:hideMark/>
          </w:tcPr>
          <w:p w14:paraId="564F9AFA" w14:textId="77777777" w:rsidR="00D657C7" w:rsidRPr="009929B6" w:rsidRDefault="00D657C7">
            <w:pPr>
              <w:autoSpaceDE w:val="0"/>
              <w:autoSpaceDN w:val="0"/>
              <w:adjustRightInd w:val="0"/>
              <w:jc w:val="center"/>
              <w:rPr>
                <w:sz w:val="20"/>
              </w:rPr>
            </w:pPr>
            <w:r w:rsidRPr="009929B6">
              <w:rPr>
                <w:sz w:val="20"/>
              </w:rPr>
              <w:t>35 (5.5)</w:t>
            </w:r>
          </w:p>
        </w:tc>
      </w:tr>
      <w:tr w:rsidR="00D657C7" w:rsidRPr="009929B6" w14:paraId="4A249F41" w14:textId="77777777" w:rsidTr="00D657C7">
        <w:tc>
          <w:tcPr>
            <w:tcW w:w="5000" w:type="pct"/>
            <w:gridSpan w:val="7"/>
            <w:tcBorders>
              <w:top w:val="single" w:sz="4" w:space="0" w:color="auto"/>
              <w:left w:val="single" w:sz="4" w:space="0" w:color="auto"/>
              <w:bottom w:val="single" w:sz="4" w:space="0" w:color="auto"/>
              <w:right w:val="single" w:sz="4" w:space="0" w:color="auto"/>
            </w:tcBorders>
            <w:hideMark/>
          </w:tcPr>
          <w:p w14:paraId="63A19D83" w14:textId="77777777" w:rsidR="00D657C7" w:rsidRPr="009929B6" w:rsidRDefault="00D657C7">
            <w:pPr>
              <w:autoSpaceDE w:val="0"/>
              <w:autoSpaceDN w:val="0"/>
              <w:adjustRightInd w:val="0"/>
              <w:rPr>
                <w:sz w:val="20"/>
              </w:rPr>
            </w:pPr>
            <w:r w:rsidRPr="009929B6">
              <w:rPr>
                <w:sz w:val="20"/>
              </w:rPr>
              <w:t>Comparison vs placebo</w:t>
            </w:r>
            <w:r w:rsidRPr="009929B6">
              <w:rPr>
                <w:sz w:val="20"/>
                <w:vertAlign w:val="superscript"/>
              </w:rPr>
              <w:t>1</w:t>
            </w:r>
          </w:p>
        </w:tc>
      </w:tr>
      <w:tr w:rsidR="00D657C7" w:rsidRPr="009929B6" w14:paraId="154C7C23"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79FE5355" w14:textId="77777777" w:rsidR="00D657C7" w:rsidRPr="009929B6" w:rsidRDefault="00D657C7">
            <w:pPr>
              <w:autoSpaceDE w:val="0"/>
              <w:autoSpaceDN w:val="0"/>
              <w:adjustRightInd w:val="0"/>
              <w:rPr>
                <w:sz w:val="20"/>
              </w:rPr>
            </w:pPr>
            <w:r w:rsidRPr="009929B6">
              <w:rPr>
                <w:sz w:val="20"/>
              </w:rPr>
              <w:t>p-value</w:t>
            </w:r>
            <w:r w:rsidRPr="009929B6">
              <w:rPr>
                <w:sz w:val="20"/>
                <w:vertAlign w:val="superscript"/>
              </w:rPr>
              <w:t>2</w:t>
            </w:r>
          </w:p>
        </w:tc>
        <w:tc>
          <w:tcPr>
            <w:tcW w:w="627" w:type="pct"/>
            <w:tcBorders>
              <w:top w:val="single" w:sz="4" w:space="0" w:color="auto"/>
              <w:left w:val="single" w:sz="4" w:space="0" w:color="auto"/>
              <w:bottom w:val="single" w:sz="4" w:space="0" w:color="auto"/>
              <w:right w:val="single" w:sz="4" w:space="0" w:color="auto"/>
            </w:tcBorders>
            <w:vAlign w:val="center"/>
          </w:tcPr>
          <w:p w14:paraId="2CCFD21A"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BBBEA6A" w14:textId="77777777" w:rsidR="00D657C7" w:rsidRPr="009929B6" w:rsidRDefault="00D657C7">
            <w:pPr>
              <w:autoSpaceDE w:val="0"/>
              <w:autoSpaceDN w:val="0"/>
              <w:adjustRightInd w:val="0"/>
              <w:jc w:val="center"/>
              <w:rPr>
                <w:sz w:val="20"/>
              </w:rPr>
            </w:pPr>
            <w:r w:rsidRPr="009929B6">
              <w:rPr>
                <w:sz w:val="20"/>
                <w:lang w:val="en-US"/>
              </w:rPr>
              <w:t>0.2880</w:t>
            </w:r>
          </w:p>
        </w:tc>
        <w:tc>
          <w:tcPr>
            <w:tcW w:w="627" w:type="pct"/>
            <w:tcBorders>
              <w:top w:val="single" w:sz="4" w:space="0" w:color="auto"/>
              <w:left w:val="single" w:sz="4" w:space="0" w:color="auto"/>
              <w:bottom w:val="single" w:sz="4" w:space="0" w:color="auto"/>
              <w:right w:val="single" w:sz="4" w:space="0" w:color="auto"/>
            </w:tcBorders>
            <w:vAlign w:val="center"/>
          </w:tcPr>
          <w:p w14:paraId="331CBC7A"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077513C" w14:textId="77777777" w:rsidR="00D657C7" w:rsidRPr="009929B6" w:rsidRDefault="00D657C7">
            <w:pPr>
              <w:autoSpaceDE w:val="0"/>
              <w:autoSpaceDN w:val="0"/>
              <w:adjustRightInd w:val="0"/>
              <w:jc w:val="center"/>
              <w:rPr>
                <w:sz w:val="20"/>
              </w:rPr>
            </w:pPr>
            <w:r w:rsidRPr="009929B6">
              <w:rPr>
                <w:sz w:val="20"/>
              </w:rPr>
              <w:t>0.2995</w:t>
            </w:r>
          </w:p>
        </w:tc>
        <w:tc>
          <w:tcPr>
            <w:tcW w:w="608" w:type="pct"/>
            <w:tcBorders>
              <w:top w:val="single" w:sz="4" w:space="0" w:color="auto"/>
              <w:left w:val="single" w:sz="4" w:space="0" w:color="auto"/>
              <w:bottom w:val="single" w:sz="4" w:space="0" w:color="auto"/>
              <w:right w:val="single" w:sz="4" w:space="0" w:color="auto"/>
            </w:tcBorders>
            <w:vAlign w:val="center"/>
          </w:tcPr>
          <w:p w14:paraId="2C745E7D" w14:textId="77777777" w:rsidR="00D657C7" w:rsidRPr="009929B6" w:rsidRDefault="00D657C7">
            <w:pPr>
              <w:autoSpaceDE w:val="0"/>
              <w:autoSpaceDN w:val="0"/>
              <w:adjustRightInd w:val="0"/>
              <w:jc w:val="center"/>
              <w:rPr>
                <w:sz w:val="20"/>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0759A646" w14:textId="77777777" w:rsidR="00D657C7" w:rsidRPr="009929B6" w:rsidRDefault="00D657C7">
            <w:pPr>
              <w:autoSpaceDE w:val="0"/>
              <w:autoSpaceDN w:val="0"/>
              <w:adjustRightInd w:val="0"/>
              <w:jc w:val="center"/>
              <w:rPr>
                <w:sz w:val="20"/>
              </w:rPr>
            </w:pPr>
            <w:r w:rsidRPr="009929B6">
              <w:rPr>
                <w:sz w:val="20"/>
              </w:rPr>
              <w:t>0.1399</w:t>
            </w:r>
          </w:p>
        </w:tc>
      </w:tr>
      <w:tr w:rsidR="00D657C7" w:rsidRPr="009929B6" w14:paraId="4DE8FA31"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324300BD" w14:textId="77777777" w:rsidR="00D657C7" w:rsidRPr="009929B6" w:rsidRDefault="00D657C7">
            <w:pPr>
              <w:autoSpaceDE w:val="0"/>
              <w:autoSpaceDN w:val="0"/>
              <w:adjustRightInd w:val="0"/>
              <w:rPr>
                <w:sz w:val="20"/>
              </w:rPr>
            </w:pPr>
            <w:r w:rsidRPr="009929B6">
              <w:rPr>
                <w:sz w:val="20"/>
              </w:rPr>
              <w:t>Hazard ratio</w:t>
            </w:r>
            <w:r w:rsidRPr="009929B6">
              <w:rPr>
                <w:sz w:val="20"/>
                <w:vertAlign w:val="superscript"/>
              </w:rPr>
              <w:t>3</w:t>
            </w:r>
          </w:p>
        </w:tc>
        <w:tc>
          <w:tcPr>
            <w:tcW w:w="627" w:type="pct"/>
            <w:tcBorders>
              <w:top w:val="single" w:sz="4" w:space="0" w:color="auto"/>
              <w:left w:val="single" w:sz="4" w:space="0" w:color="auto"/>
              <w:bottom w:val="single" w:sz="4" w:space="0" w:color="auto"/>
              <w:right w:val="single" w:sz="4" w:space="0" w:color="auto"/>
            </w:tcBorders>
            <w:vAlign w:val="center"/>
          </w:tcPr>
          <w:p w14:paraId="4F802B13"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3015EA2" w14:textId="77777777" w:rsidR="00D657C7" w:rsidRPr="009929B6" w:rsidRDefault="00D657C7">
            <w:pPr>
              <w:autoSpaceDE w:val="0"/>
              <w:autoSpaceDN w:val="0"/>
              <w:adjustRightInd w:val="0"/>
              <w:jc w:val="center"/>
              <w:rPr>
                <w:sz w:val="20"/>
              </w:rPr>
            </w:pPr>
            <w:r w:rsidRPr="009929B6">
              <w:rPr>
                <w:sz w:val="20"/>
              </w:rPr>
              <w:t>0.63</w:t>
            </w:r>
          </w:p>
        </w:tc>
        <w:tc>
          <w:tcPr>
            <w:tcW w:w="627" w:type="pct"/>
            <w:tcBorders>
              <w:top w:val="single" w:sz="4" w:space="0" w:color="auto"/>
              <w:left w:val="single" w:sz="4" w:space="0" w:color="auto"/>
              <w:bottom w:val="single" w:sz="4" w:space="0" w:color="auto"/>
              <w:right w:val="single" w:sz="4" w:space="0" w:color="auto"/>
            </w:tcBorders>
            <w:vAlign w:val="center"/>
          </w:tcPr>
          <w:p w14:paraId="66982173"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548263F" w14:textId="77777777" w:rsidR="00D657C7" w:rsidRPr="009929B6" w:rsidRDefault="00D657C7">
            <w:pPr>
              <w:autoSpaceDE w:val="0"/>
              <w:autoSpaceDN w:val="0"/>
              <w:adjustRightInd w:val="0"/>
              <w:jc w:val="center"/>
              <w:rPr>
                <w:sz w:val="20"/>
              </w:rPr>
            </w:pPr>
            <w:r w:rsidRPr="009929B6">
              <w:rPr>
                <w:sz w:val="20"/>
              </w:rPr>
              <w:t>0.74</w:t>
            </w:r>
          </w:p>
        </w:tc>
        <w:tc>
          <w:tcPr>
            <w:tcW w:w="608" w:type="pct"/>
            <w:tcBorders>
              <w:top w:val="single" w:sz="4" w:space="0" w:color="auto"/>
              <w:left w:val="single" w:sz="4" w:space="0" w:color="auto"/>
              <w:bottom w:val="single" w:sz="4" w:space="0" w:color="auto"/>
              <w:right w:val="single" w:sz="4" w:space="0" w:color="auto"/>
            </w:tcBorders>
            <w:vAlign w:val="center"/>
          </w:tcPr>
          <w:p w14:paraId="6BF03E30" w14:textId="77777777" w:rsidR="00D657C7" w:rsidRPr="009929B6" w:rsidRDefault="00D657C7">
            <w:pPr>
              <w:autoSpaceDE w:val="0"/>
              <w:autoSpaceDN w:val="0"/>
              <w:adjustRightInd w:val="0"/>
              <w:jc w:val="center"/>
              <w:rPr>
                <w:sz w:val="20"/>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7A8EA8A7" w14:textId="77777777" w:rsidR="00D657C7" w:rsidRPr="009929B6" w:rsidRDefault="00D657C7">
            <w:pPr>
              <w:autoSpaceDE w:val="0"/>
              <w:autoSpaceDN w:val="0"/>
              <w:adjustRightInd w:val="0"/>
              <w:jc w:val="center"/>
              <w:rPr>
                <w:sz w:val="20"/>
              </w:rPr>
            </w:pPr>
            <w:r w:rsidRPr="009929B6">
              <w:rPr>
                <w:sz w:val="20"/>
              </w:rPr>
              <w:t>0.70</w:t>
            </w:r>
          </w:p>
        </w:tc>
      </w:tr>
      <w:tr w:rsidR="00D657C7" w:rsidRPr="009929B6" w14:paraId="5664B934" w14:textId="77777777" w:rsidTr="00D657C7">
        <w:tc>
          <w:tcPr>
            <w:tcW w:w="1015" w:type="pct"/>
            <w:tcBorders>
              <w:top w:val="single" w:sz="4" w:space="0" w:color="auto"/>
              <w:left w:val="single" w:sz="4" w:space="0" w:color="auto"/>
              <w:bottom w:val="single" w:sz="4" w:space="0" w:color="auto"/>
              <w:right w:val="single" w:sz="4" w:space="0" w:color="auto"/>
            </w:tcBorders>
            <w:hideMark/>
          </w:tcPr>
          <w:p w14:paraId="7DD2F673" w14:textId="77777777" w:rsidR="00D657C7" w:rsidRPr="009929B6" w:rsidRDefault="00D657C7">
            <w:pPr>
              <w:autoSpaceDE w:val="0"/>
              <w:autoSpaceDN w:val="0"/>
              <w:adjustRightInd w:val="0"/>
              <w:rPr>
                <w:sz w:val="20"/>
              </w:rPr>
            </w:pPr>
            <w:r w:rsidRPr="009929B6">
              <w:rPr>
                <w:sz w:val="20"/>
              </w:rPr>
              <w:t>95% CI</w:t>
            </w:r>
          </w:p>
        </w:tc>
        <w:tc>
          <w:tcPr>
            <w:tcW w:w="627" w:type="pct"/>
            <w:tcBorders>
              <w:top w:val="single" w:sz="4" w:space="0" w:color="auto"/>
              <w:left w:val="single" w:sz="4" w:space="0" w:color="auto"/>
              <w:bottom w:val="single" w:sz="4" w:space="0" w:color="auto"/>
              <w:right w:val="single" w:sz="4" w:space="0" w:color="auto"/>
            </w:tcBorders>
            <w:vAlign w:val="center"/>
          </w:tcPr>
          <w:p w14:paraId="21459303"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0525B009" w14:textId="77777777" w:rsidR="00D657C7" w:rsidRPr="009929B6" w:rsidRDefault="00D657C7">
            <w:pPr>
              <w:autoSpaceDE w:val="0"/>
              <w:autoSpaceDN w:val="0"/>
              <w:adjustRightInd w:val="0"/>
              <w:jc w:val="center"/>
              <w:rPr>
                <w:sz w:val="20"/>
              </w:rPr>
            </w:pPr>
            <w:r w:rsidRPr="009929B6">
              <w:rPr>
                <w:sz w:val="20"/>
              </w:rPr>
              <w:t>(0.29, 1.36)</w:t>
            </w:r>
          </w:p>
        </w:tc>
        <w:tc>
          <w:tcPr>
            <w:tcW w:w="627" w:type="pct"/>
            <w:tcBorders>
              <w:top w:val="single" w:sz="4" w:space="0" w:color="auto"/>
              <w:left w:val="single" w:sz="4" w:space="0" w:color="auto"/>
              <w:bottom w:val="single" w:sz="4" w:space="0" w:color="auto"/>
              <w:right w:val="single" w:sz="4" w:space="0" w:color="auto"/>
            </w:tcBorders>
            <w:vAlign w:val="center"/>
          </w:tcPr>
          <w:p w14:paraId="11DF09DC" w14:textId="77777777" w:rsidR="00D657C7" w:rsidRPr="009929B6" w:rsidRDefault="00D657C7">
            <w:pPr>
              <w:autoSpaceDE w:val="0"/>
              <w:autoSpaceDN w:val="0"/>
              <w:adjustRightInd w:val="0"/>
              <w:jc w:val="center"/>
              <w:rPr>
                <w:sz w:val="20"/>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348A066D" w14:textId="77777777" w:rsidR="00D657C7" w:rsidRPr="009929B6" w:rsidRDefault="00D657C7">
            <w:pPr>
              <w:autoSpaceDE w:val="0"/>
              <w:autoSpaceDN w:val="0"/>
              <w:adjustRightInd w:val="0"/>
              <w:jc w:val="center"/>
              <w:rPr>
                <w:sz w:val="20"/>
              </w:rPr>
            </w:pPr>
            <w:r w:rsidRPr="009929B6">
              <w:rPr>
                <w:sz w:val="20"/>
              </w:rPr>
              <w:t>(0.40, 1.35)</w:t>
            </w:r>
          </w:p>
        </w:tc>
        <w:tc>
          <w:tcPr>
            <w:tcW w:w="608" w:type="pct"/>
            <w:tcBorders>
              <w:top w:val="single" w:sz="4" w:space="0" w:color="auto"/>
              <w:left w:val="single" w:sz="4" w:space="0" w:color="auto"/>
              <w:bottom w:val="single" w:sz="4" w:space="0" w:color="auto"/>
              <w:right w:val="single" w:sz="4" w:space="0" w:color="auto"/>
            </w:tcBorders>
            <w:vAlign w:val="center"/>
          </w:tcPr>
          <w:p w14:paraId="2E2564B5" w14:textId="77777777" w:rsidR="00D657C7" w:rsidRPr="009929B6" w:rsidRDefault="00D657C7">
            <w:pPr>
              <w:autoSpaceDE w:val="0"/>
              <w:autoSpaceDN w:val="0"/>
              <w:adjustRightInd w:val="0"/>
              <w:jc w:val="center"/>
              <w:rPr>
                <w:sz w:val="20"/>
              </w:rPr>
            </w:pPr>
          </w:p>
        </w:tc>
        <w:tc>
          <w:tcPr>
            <w:tcW w:w="713" w:type="pct"/>
            <w:tcBorders>
              <w:top w:val="single" w:sz="4" w:space="0" w:color="auto"/>
              <w:left w:val="single" w:sz="4" w:space="0" w:color="auto"/>
              <w:bottom w:val="single" w:sz="4" w:space="0" w:color="auto"/>
              <w:right w:val="single" w:sz="4" w:space="0" w:color="auto"/>
            </w:tcBorders>
            <w:vAlign w:val="center"/>
            <w:hideMark/>
          </w:tcPr>
          <w:p w14:paraId="6B9536D0" w14:textId="77777777" w:rsidR="00D657C7" w:rsidRPr="009929B6" w:rsidRDefault="00D657C7">
            <w:pPr>
              <w:autoSpaceDE w:val="0"/>
              <w:autoSpaceDN w:val="0"/>
              <w:adjustRightInd w:val="0"/>
              <w:jc w:val="center"/>
              <w:rPr>
                <w:sz w:val="20"/>
              </w:rPr>
            </w:pPr>
            <w:r w:rsidRPr="009929B6">
              <w:rPr>
                <w:sz w:val="20"/>
              </w:rPr>
              <w:t>(0.43, 1.12)</w:t>
            </w:r>
          </w:p>
        </w:tc>
      </w:tr>
    </w:tbl>
    <w:p w14:paraId="7121F29A" w14:textId="77777777" w:rsidR="00D657C7" w:rsidRPr="009929B6" w:rsidRDefault="00D657C7" w:rsidP="00D657C7">
      <w:pPr>
        <w:autoSpaceDE w:val="0"/>
        <w:autoSpaceDN w:val="0"/>
        <w:adjustRightInd w:val="0"/>
        <w:rPr>
          <w:sz w:val="20"/>
          <w:lang w:val="en-GB" w:eastAsia="en-US"/>
        </w:rPr>
      </w:pPr>
      <w:r w:rsidRPr="009929B6">
        <w:rPr>
          <w:sz w:val="20"/>
          <w:vertAlign w:val="superscript"/>
          <w:lang w:val="en-US"/>
        </w:rPr>
        <w:t xml:space="preserve">1 </w:t>
      </w:r>
      <w:r w:rsidRPr="009929B6">
        <w:rPr>
          <w:sz w:val="20"/>
          <w:lang w:val="en-US"/>
        </w:rPr>
        <w:t xml:space="preserve">Based on data collected up to 372 days (52 weeks + </w:t>
      </w:r>
      <w:proofErr w:type="gramStart"/>
      <w:r w:rsidRPr="009929B6">
        <w:rPr>
          <w:sz w:val="20"/>
          <w:lang w:val="en-US"/>
        </w:rPr>
        <w:t>7 day</w:t>
      </w:r>
      <w:proofErr w:type="gramEnd"/>
      <w:r w:rsidRPr="009929B6">
        <w:rPr>
          <w:sz w:val="20"/>
          <w:lang w:val="en-US"/>
        </w:rPr>
        <w:t xml:space="preserve"> margin).</w:t>
      </w:r>
    </w:p>
    <w:p w14:paraId="3E6501AB"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2 </w:t>
      </w:r>
      <w:r w:rsidRPr="009929B6">
        <w:rPr>
          <w:sz w:val="20"/>
          <w:lang w:val="en-US"/>
        </w:rPr>
        <w:t xml:space="preserve">Based on a Log-rank </w:t>
      </w:r>
      <w:proofErr w:type="gramStart"/>
      <w:r w:rsidRPr="009929B6">
        <w:rPr>
          <w:sz w:val="20"/>
          <w:lang w:val="en-US"/>
        </w:rPr>
        <w:t>test</w:t>
      </w:r>
      <w:proofErr w:type="gramEnd"/>
      <w:r w:rsidRPr="009929B6">
        <w:rPr>
          <w:sz w:val="20"/>
          <w:lang w:val="en-US"/>
        </w:rPr>
        <w:t>.</w:t>
      </w:r>
    </w:p>
    <w:p w14:paraId="43FDE38C" w14:textId="77777777" w:rsidR="00D657C7" w:rsidRPr="009929B6" w:rsidRDefault="00D657C7" w:rsidP="00D657C7">
      <w:pPr>
        <w:autoSpaceDE w:val="0"/>
        <w:autoSpaceDN w:val="0"/>
        <w:adjustRightInd w:val="0"/>
        <w:rPr>
          <w:sz w:val="20"/>
          <w:lang w:val="en-US"/>
        </w:rPr>
      </w:pPr>
      <w:r w:rsidRPr="009929B6">
        <w:rPr>
          <w:sz w:val="20"/>
          <w:vertAlign w:val="superscript"/>
          <w:lang w:val="en-US"/>
        </w:rPr>
        <w:t xml:space="preserve">3 </w:t>
      </w:r>
      <w:r w:rsidRPr="009929B6">
        <w:rPr>
          <w:sz w:val="20"/>
          <w:lang w:val="en-US"/>
        </w:rPr>
        <w:t>Based on a Cox’s regression model.</w:t>
      </w:r>
    </w:p>
    <w:p w14:paraId="7E0F574F" w14:textId="06E2FD56" w:rsidR="00A93BE7" w:rsidRDefault="00A93BE7">
      <w:pPr>
        <w:rPr>
          <w:sz w:val="24"/>
          <w:szCs w:val="24"/>
          <w:lang w:val="en-US"/>
        </w:rPr>
      </w:pPr>
      <w:r>
        <w:rPr>
          <w:sz w:val="24"/>
          <w:szCs w:val="24"/>
          <w:lang w:val="en-US"/>
        </w:rPr>
        <w:br w:type="page"/>
      </w:r>
    </w:p>
    <w:p w14:paraId="4D1D7FCB" w14:textId="77777777" w:rsidR="00D657C7" w:rsidRPr="00F85BD8" w:rsidRDefault="00D657C7" w:rsidP="00BF087A">
      <w:pPr>
        <w:ind w:left="851"/>
        <w:rPr>
          <w:sz w:val="24"/>
          <w:szCs w:val="24"/>
          <w:lang w:val="en-US"/>
        </w:rPr>
      </w:pPr>
    </w:p>
    <w:p w14:paraId="2D956FA8" w14:textId="77777777" w:rsidR="00D657C7" w:rsidRPr="00F85BD8" w:rsidRDefault="00D657C7" w:rsidP="00BF087A">
      <w:pPr>
        <w:ind w:left="851"/>
        <w:rPr>
          <w:i/>
          <w:sz w:val="24"/>
          <w:szCs w:val="24"/>
          <w:u w:val="single"/>
          <w:lang w:val="en-US"/>
        </w:rPr>
      </w:pPr>
      <w:r w:rsidRPr="00F85BD8">
        <w:rPr>
          <w:i/>
          <w:sz w:val="24"/>
          <w:szCs w:val="24"/>
          <w:u w:val="single"/>
          <w:lang w:val="en-US"/>
        </w:rPr>
        <w:t xml:space="preserve">Long-term treatment with </w:t>
      </w:r>
      <w:proofErr w:type="spellStart"/>
      <w:r w:rsidRPr="00F85BD8">
        <w:rPr>
          <w:i/>
          <w:sz w:val="24"/>
          <w:szCs w:val="24"/>
          <w:u w:val="single"/>
          <w:lang w:val="en-US"/>
        </w:rPr>
        <w:t>nintedanib</w:t>
      </w:r>
      <w:proofErr w:type="spellEnd"/>
      <w:r w:rsidRPr="00F85BD8">
        <w:rPr>
          <w:i/>
          <w:sz w:val="24"/>
          <w:szCs w:val="24"/>
          <w:u w:val="single"/>
          <w:lang w:val="en-US"/>
        </w:rPr>
        <w:t xml:space="preserve"> in patients with IPF (INPULSIS</w:t>
      </w:r>
      <w:r w:rsidRPr="00F85BD8">
        <w:rPr>
          <w:i/>
          <w:sz w:val="24"/>
          <w:szCs w:val="24"/>
          <w:u w:val="single"/>
          <w:lang w:val="en-US"/>
        </w:rPr>
        <w:noBreakHyphen/>
        <w:t>ON)</w:t>
      </w:r>
    </w:p>
    <w:p w14:paraId="58E9408B" w14:textId="77777777" w:rsidR="00D657C7" w:rsidRPr="00F85BD8" w:rsidRDefault="00D657C7" w:rsidP="00BF087A">
      <w:pPr>
        <w:ind w:left="851"/>
        <w:rPr>
          <w:sz w:val="24"/>
          <w:szCs w:val="24"/>
          <w:lang w:val="en-US"/>
        </w:rPr>
      </w:pPr>
      <w:r w:rsidRPr="00F85BD8">
        <w:rPr>
          <w:sz w:val="24"/>
          <w:szCs w:val="24"/>
          <w:lang w:val="en-US"/>
        </w:rPr>
        <w:t xml:space="preserve">An open-label extension trial of </w:t>
      </w:r>
      <w:proofErr w:type="spellStart"/>
      <w:r w:rsidRPr="00F85BD8">
        <w:rPr>
          <w:sz w:val="24"/>
          <w:szCs w:val="24"/>
          <w:lang w:val="en-US"/>
        </w:rPr>
        <w:t>nintedanib</w:t>
      </w:r>
      <w:proofErr w:type="spellEnd"/>
      <w:r w:rsidRPr="00F85BD8">
        <w:rPr>
          <w:sz w:val="24"/>
          <w:szCs w:val="24"/>
          <w:lang w:val="en-US"/>
        </w:rPr>
        <w:t xml:space="preserve"> included 734 patients with IPF. Patients who completed the 52</w:t>
      </w:r>
      <w:r w:rsidRPr="00F85BD8">
        <w:rPr>
          <w:sz w:val="24"/>
          <w:szCs w:val="24"/>
          <w:lang w:val="en-US"/>
        </w:rPr>
        <w:noBreakHyphen/>
        <w:t xml:space="preserve">week treatment period in an INPULSIS trial received open-label </w:t>
      </w:r>
      <w:proofErr w:type="spellStart"/>
      <w:r w:rsidRPr="00F85BD8">
        <w:rPr>
          <w:sz w:val="24"/>
          <w:szCs w:val="24"/>
          <w:lang w:val="en-US"/>
        </w:rPr>
        <w:t>nintedanib</w:t>
      </w:r>
      <w:proofErr w:type="spellEnd"/>
      <w:r w:rsidRPr="00F85BD8">
        <w:rPr>
          <w:sz w:val="24"/>
          <w:szCs w:val="24"/>
          <w:lang w:val="en-US"/>
        </w:rPr>
        <w:t xml:space="preserve"> treatment in the extension trial INPULSIS</w:t>
      </w:r>
      <w:r w:rsidRPr="00F85BD8">
        <w:rPr>
          <w:sz w:val="24"/>
          <w:szCs w:val="24"/>
          <w:lang w:val="en-US"/>
        </w:rPr>
        <w:noBreakHyphen/>
        <w:t xml:space="preserve">ON. Median exposure time for patients treated with </w:t>
      </w:r>
      <w:proofErr w:type="spellStart"/>
      <w:r w:rsidRPr="00F85BD8">
        <w:rPr>
          <w:sz w:val="24"/>
          <w:szCs w:val="24"/>
          <w:lang w:val="en-US"/>
        </w:rPr>
        <w:t>nintedanib</w:t>
      </w:r>
      <w:proofErr w:type="spellEnd"/>
      <w:r w:rsidRPr="00F85BD8">
        <w:rPr>
          <w:sz w:val="24"/>
          <w:szCs w:val="24"/>
          <w:lang w:val="en-US"/>
        </w:rPr>
        <w:t xml:space="preserve"> in both the INPULSIS and INPULSIS</w:t>
      </w:r>
      <w:r w:rsidRPr="00F85BD8">
        <w:rPr>
          <w:sz w:val="24"/>
          <w:szCs w:val="24"/>
          <w:lang w:val="en-US"/>
        </w:rPr>
        <w:noBreakHyphen/>
        <w:t xml:space="preserve">ON trials was 44.7 months (range 11.9 – 68.3). The exploratory efficacy endpoints included the annual rate of decline in FVC over 192 weeks which was −135.1 (5.8) mL/year in all patients treated and were consistent with the annual rate of FVC decline in patients treated with </w:t>
      </w:r>
      <w:proofErr w:type="spellStart"/>
      <w:r w:rsidRPr="00F85BD8">
        <w:rPr>
          <w:sz w:val="24"/>
          <w:szCs w:val="24"/>
          <w:lang w:val="en-US"/>
        </w:rPr>
        <w:t>nintedanib</w:t>
      </w:r>
      <w:proofErr w:type="spellEnd"/>
      <w:r w:rsidRPr="00F85BD8">
        <w:rPr>
          <w:sz w:val="24"/>
          <w:szCs w:val="24"/>
          <w:lang w:val="en-US"/>
        </w:rPr>
        <w:t xml:space="preserve"> in the INPULSIS phase III trials (−113.6 mL per year). The adverse event profile of </w:t>
      </w:r>
      <w:proofErr w:type="spellStart"/>
      <w:r w:rsidRPr="00F85BD8">
        <w:rPr>
          <w:sz w:val="24"/>
          <w:szCs w:val="24"/>
          <w:lang w:val="en-US"/>
        </w:rPr>
        <w:t>nintedanib</w:t>
      </w:r>
      <w:proofErr w:type="spellEnd"/>
      <w:r w:rsidRPr="00F85BD8">
        <w:rPr>
          <w:sz w:val="24"/>
          <w:szCs w:val="24"/>
          <w:lang w:val="en-US"/>
        </w:rPr>
        <w:t xml:space="preserve"> in INPULSIS-ON was consistent to that in the INPULSIS phase III trials.</w:t>
      </w:r>
    </w:p>
    <w:p w14:paraId="075DFD66" w14:textId="77777777" w:rsidR="00D657C7" w:rsidRPr="00F85BD8" w:rsidRDefault="00D657C7" w:rsidP="00BF087A">
      <w:pPr>
        <w:ind w:left="851"/>
        <w:rPr>
          <w:sz w:val="24"/>
          <w:szCs w:val="24"/>
          <w:lang w:val="en-US"/>
        </w:rPr>
      </w:pPr>
    </w:p>
    <w:p w14:paraId="3BCEF0EC" w14:textId="77777777" w:rsidR="00D657C7" w:rsidRPr="00F85BD8" w:rsidRDefault="00D657C7" w:rsidP="00BF087A">
      <w:pPr>
        <w:ind w:left="851"/>
        <w:rPr>
          <w:i/>
          <w:sz w:val="24"/>
          <w:szCs w:val="24"/>
          <w:u w:val="single"/>
          <w:lang w:val="en-US"/>
        </w:rPr>
      </w:pPr>
      <w:r w:rsidRPr="00F85BD8">
        <w:rPr>
          <w:i/>
          <w:sz w:val="24"/>
          <w:szCs w:val="24"/>
          <w:u w:val="single"/>
          <w:lang w:val="en-US"/>
        </w:rPr>
        <w:t>IPF patients with advanced lung function impairment (INSTAGE)</w:t>
      </w:r>
    </w:p>
    <w:p w14:paraId="0CFD506D" w14:textId="77777777" w:rsidR="00D657C7" w:rsidRPr="00F85BD8" w:rsidRDefault="00D657C7" w:rsidP="00BF087A">
      <w:pPr>
        <w:ind w:left="851"/>
        <w:rPr>
          <w:sz w:val="24"/>
          <w:szCs w:val="24"/>
          <w:lang w:val="en-US"/>
        </w:rPr>
      </w:pPr>
      <w:r w:rsidRPr="00F85BD8">
        <w:rPr>
          <w:sz w:val="24"/>
          <w:szCs w:val="24"/>
          <w:lang w:val="en-US"/>
        </w:rPr>
        <w:t xml:space="preserve">INSTAGE was a </w:t>
      </w:r>
      <w:proofErr w:type="spellStart"/>
      <w:r w:rsidRPr="00F85BD8">
        <w:rPr>
          <w:sz w:val="24"/>
          <w:szCs w:val="24"/>
          <w:lang w:val="en-US"/>
        </w:rPr>
        <w:t>multicentre</w:t>
      </w:r>
      <w:proofErr w:type="spellEnd"/>
      <w:r w:rsidRPr="00F85BD8">
        <w:rPr>
          <w:sz w:val="24"/>
          <w:szCs w:val="24"/>
          <w:lang w:val="en-US"/>
        </w:rPr>
        <w:t xml:space="preserve">, multinational, prospective, </w:t>
      </w:r>
      <w:proofErr w:type="spellStart"/>
      <w:r w:rsidRPr="00F85BD8">
        <w:rPr>
          <w:sz w:val="24"/>
          <w:szCs w:val="24"/>
          <w:lang w:val="en-US"/>
        </w:rPr>
        <w:t>randomised</w:t>
      </w:r>
      <w:proofErr w:type="spellEnd"/>
      <w:r w:rsidRPr="00F85BD8">
        <w:rPr>
          <w:sz w:val="24"/>
          <w:szCs w:val="24"/>
          <w:lang w:val="en-US"/>
        </w:rPr>
        <w:t xml:space="preserve">, double-blind, parallel-group clinical trial in IPF patients with advanced lung function impairment (DLCO ≤35% predicted) for 24 weeks. 136 patients were treated with </w:t>
      </w:r>
      <w:proofErr w:type="spellStart"/>
      <w:r w:rsidRPr="00F85BD8">
        <w:rPr>
          <w:sz w:val="24"/>
          <w:szCs w:val="24"/>
          <w:lang w:val="en-US"/>
        </w:rPr>
        <w:t>nintedanib</w:t>
      </w:r>
      <w:proofErr w:type="spellEnd"/>
      <w:r w:rsidRPr="00F85BD8">
        <w:rPr>
          <w:sz w:val="24"/>
          <w:szCs w:val="24"/>
          <w:lang w:val="en-US"/>
        </w:rPr>
        <w:t xml:space="preserve"> monotherapy. Primary endpoint result showed a reduction of St Georges Respiratory Questionnaire (SGRQ) total score by -0.77 units at week W12, based on adjusted mean change from baseline. A post hoc comparison demonstrated that the decline in FVC in these patients was consistent with the decline in FVC in patients with less advanced disease and treated with </w:t>
      </w:r>
      <w:proofErr w:type="spellStart"/>
      <w:r w:rsidRPr="00F85BD8">
        <w:rPr>
          <w:sz w:val="24"/>
          <w:szCs w:val="24"/>
          <w:lang w:val="en-US"/>
        </w:rPr>
        <w:t>nintedanib</w:t>
      </w:r>
      <w:proofErr w:type="spellEnd"/>
      <w:r w:rsidRPr="00F85BD8">
        <w:rPr>
          <w:sz w:val="24"/>
          <w:szCs w:val="24"/>
          <w:lang w:val="en-US"/>
        </w:rPr>
        <w:t xml:space="preserve"> in the INPULSIS phase III trials.</w:t>
      </w:r>
    </w:p>
    <w:p w14:paraId="6D030C09" w14:textId="77777777" w:rsidR="00D657C7" w:rsidRPr="00F85BD8" w:rsidRDefault="00D657C7" w:rsidP="00BF087A">
      <w:pPr>
        <w:ind w:left="851"/>
        <w:rPr>
          <w:sz w:val="24"/>
          <w:szCs w:val="24"/>
          <w:lang w:val="en-US"/>
        </w:rPr>
      </w:pPr>
      <w:r w:rsidRPr="00F85BD8">
        <w:rPr>
          <w:sz w:val="24"/>
          <w:szCs w:val="24"/>
          <w:lang w:val="en-US"/>
        </w:rPr>
        <w:t xml:space="preserve">The safety and tolerability profile of </w:t>
      </w:r>
      <w:proofErr w:type="spellStart"/>
      <w:r w:rsidRPr="00F85BD8">
        <w:rPr>
          <w:sz w:val="24"/>
          <w:szCs w:val="24"/>
          <w:lang w:val="en-US"/>
        </w:rPr>
        <w:t>nintedanib</w:t>
      </w:r>
      <w:proofErr w:type="spellEnd"/>
      <w:r w:rsidRPr="00F85BD8">
        <w:rPr>
          <w:sz w:val="24"/>
          <w:szCs w:val="24"/>
          <w:lang w:val="en-US"/>
        </w:rPr>
        <w:t xml:space="preserve"> in IPF patients with advanced lung function impairment was consistent with that seen in the INPULSIS phase III trials.</w:t>
      </w:r>
    </w:p>
    <w:p w14:paraId="28F19614" w14:textId="77777777" w:rsidR="00D657C7" w:rsidRPr="00F85BD8" w:rsidRDefault="00D657C7" w:rsidP="00BF087A">
      <w:pPr>
        <w:ind w:left="851"/>
        <w:rPr>
          <w:sz w:val="24"/>
          <w:szCs w:val="24"/>
          <w:lang w:val="en-US"/>
        </w:rPr>
      </w:pPr>
    </w:p>
    <w:p w14:paraId="57174AD1" w14:textId="77777777" w:rsidR="00D657C7" w:rsidRPr="00F85BD8" w:rsidRDefault="00D657C7" w:rsidP="00BF087A">
      <w:pPr>
        <w:ind w:left="851"/>
        <w:rPr>
          <w:i/>
          <w:sz w:val="24"/>
          <w:szCs w:val="24"/>
          <w:lang w:val="en-US"/>
        </w:rPr>
      </w:pPr>
      <w:r w:rsidRPr="00F85BD8">
        <w:rPr>
          <w:i/>
          <w:sz w:val="24"/>
          <w:szCs w:val="24"/>
          <w:lang w:val="en-US"/>
        </w:rPr>
        <w:t xml:space="preserve">Additional data from the phase IV INJOURNEY trial with </w:t>
      </w:r>
      <w:proofErr w:type="spellStart"/>
      <w:r w:rsidRPr="00F85BD8">
        <w:rPr>
          <w:i/>
          <w:sz w:val="24"/>
          <w:szCs w:val="24"/>
          <w:lang w:val="en-US"/>
        </w:rPr>
        <w:t>nintedanib</w:t>
      </w:r>
      <w:proofErr w:type="spellEnd"/>
      <w:r w:rsidRPr="00F85BD8">
        <w:rPr>
          <w:i/>
          <w:sz w:val="24"/>
          <w:szCs w:val="24"/>
          <w:lang w:val="en-US"/>
        </w:rPr>
        <w:t xml:space="preserve"> 150 mg twice daily and add-on pirfenidone</w:t>
      </w:r>
    </w:p>
    <w:p w14:paraId="339E0DB1" w14:textId="77777777" w:rsidR="00D657C7" w:rsidRPr="00F85BD8" w:rsidRDefault="00D657C7" w:rsidP="00BF087A">
      <w:pPr>
        <w:ind w:left="851"/>
        <w:rPr>
          <w:sz w:val="24"/>
          <w:szCs w:val="24"/>
          <w:lang w:val="en-US"/>
        </w:rPr>
      </w:pPr>
      <w:r w:rsidRPr="00F85BD8">
        <w:rPr>
          <w:sz w:val="24"/>
          <w:szCs w:val="24"/>
          <w:lang w:val="en-US"/>
        </w:rPr>
        <w:t xml:space="preserve">Concomitant treatment with </w:t>
      </w:r>
      <w:proofErr w:type="spellStart"/>
      <w:r w:rsidRPr="00F85BD8">
        <w:rPr>
          <w:sz w:val="24"/>
          <w:szCs w:val="24"/>
          <w:lang w:val="en-US"/>
        </w:rPr>
        <w:t>nintedanib</w:t>
      </w:r>
      <w:proofErr w:type="spellEnd"/>
      <w:r w:rsidRPr="00F85BD8">
        <w:rPr>
          <w:sz w:val="24"/>
          <w:szCs w:val="24"/>
          <w:lang w:val="en-US"/>
        </w:rPr>
        <w:t xml:space="preserve"> and pirfenidone has been investigated in an exploratory open-label, </w:t>
      </w:r>
      <w:proofErr w:type="spellStart"/>
      <w:r w:rsidRPr="00F85BD8">
        <w:rPr>
          <w:sz w:val="24"/>
          <w:szCs w:val="24"/>
          <w:lang w:val="en-US"/>
        </w:rPr>
        <w:t>randomised</w:t>
      </w:r>
      <w:proofErr w:type="spellEnd"/>
      <w:r w:rsidRPr="00F85BD8">
        <w:rPr>
          <w:sz w:val="24"/>
          <w:szCs w:val="24"/>
          <w:lang w:val="en-US"/>
        </w:rPr>
        <w:t xml:space="preserve"> trial of </w:t>
      </w:r>
      <w:proofErr w:type="spellStart"/>
      <w:r w:rsidRPr="00F85BD8">
        <w:rPr>
          <w:sz w:val="24"/>
          <w:szCs w:val="24"/>
          <w:lang w:val="en-US"/>
        </w:rPr>
        <w:t>nintedanib</w:t>
      </w:r>
      <w:proofErr w:type="spellEnd"/>
      <w:r w:rsidRPr="00F85BD8">
        <w:rPr>
          <w:sz w:val="24"/>
          <w:szCs w:val="24"/>
          <w:lang w:val="en-US"/>
        </w:rPr>
        <w:t xml:space="preserve"> 150 mg twice daily with add-on pirfenidone (titrated to 801 mg three times a day) compared to </w:t>
      </w:r>
      <w:proofErr w:type="spellStart"/>
      <w:r w:rsidRPr="00F85BD8">
        <w:rPr>
          <w:sz w:val="24"/>
          <w:szCs w:val="24"/>
          <w:lang w:val="en-US"/>
        </w:rPr>
        <w:t>nintedanib</w:t>
      </w:r>
      <w:proofErr w:type="spellEnd"/>
      <w:r w:rsidRPr="00F85BD8">
        <w:rPr>
          <w:sz w:val="24"/>
          <w:szCs w:val="24"/>
          <w:lang w:val="en-US"/>
        </w:rPr>
        <w:t xml:space="preserve"> 150 mg twice daily alone in 105 </w:t>
      </w:r>
      <w:proofErr w:type="spellStart"/>
      <w:r w:rsidRPr="00F85BD8">
        <w:rPr>
          <w:sz w:val="24"/>
          <w:szCs w:val="24"/>
          <w:lang w:val="en-US"/>
        </w:rPr>
        <w:t>randomised</w:t>
      </w:r>
      <w:proofErr w:type="spellEnd"/>
      <w:r w:rsidRPr="00F85BD8">
        <w:rPr>
          <w:sz w:val="24"/>
          <w:szCs w:val="24"/>
          <w:lang w:val="en-US"/>
        </w:rPr>
        <w:t xml:space="preserve"> patients for 12 weeks. The primary endpoint was the percentage of patients with gastrointestinal adverse events from baseline to week 12. Gastrointestinal adverse events were frequent and in line with the established safety profile of each component. </w:t>
      </w:r>
      <w:proofErr w:type="spellStart"/>
      <w:r w:rsidRPr="00F85BD8">
        <w:rPr>
          <w:sz w:val="24"/>
          <w:szCs w:val="24"/>
          <w:lang w:val="en-US"/>
        </w:rPr>
        <w:t>Diarrhoea</w:t>
      </w:r>
      <w:proofErr w:type="spellEnd"/>
      <w:r w:rsidRPr="00F85BD8">
        <w:rPr>
          <w:sz w:val="24"/>
          <w:szCs w:val="24"/>
          <w:lang w:val="en-US"/>
        </w:rPr>
        <w:t xml:space="preserve">, nausea and vomiting were the most frequent adverse events reported in patients, treated with pirfenidone added to </w:t>
      </w:r>
      <w:proofErr w:type="spellStart"/>
      <w:r w:rsidRPr="00F85BD8">
        <w:rPr>
          <w:sz w:val="24"/>
          <w:szCs w:val="24"/>
          <w:lang w:val="en-US"/>
        </w:rPr>
        <w:t>nintedanib</w:t>
      </w:r>
      <w:proofErr w:type="spellEnd"/>
      <w:r w:rsidRPr="00F85BD8">
        <w:rPr>
          <w:sz w:val="24"/>
          <w:szCs w:val="24"/>
          <w:lang w:val="en-US"/>
        </w:rPr>
        <w:t xml:space="preserve"> versus </w:t>
      </w:r>
      <w:proofErr w:type="spellStart"/>
      <w:r w:rsidRPr="00F85BD8">
        <w:rPr>
          <w:sz w:val="24"/>
          <w:szCs w:val="24"/>
          <w:lang w:val="en-US"/>
        </w:rPr>
        <w:t>nintedanib</w:t>
      </w:r>
      <w:proofErr w:type="spellEnd"/>
      <w:r w:rsidRPr="00F85BD8">
        <w:rPr>
          <w:sz w:val="24"/>
          <w:szCs w:val="24"/>
          <w:lang w:val="en-US"/>
        </w:rPr>
        <w:t xml:space="preserve"> alone, respectively.</w:t>
      </w:r>
    </w:p>
    <w:p w14:paraId="51800A01" w14:textId="77777777" w:rsidR="00D657C7" w:rsidRPr="00F85BD8" w:rsidRDefault="00D657C7" w:rsidP="00BF087A">
      <w:pPr>
        <w:ind w:left="851"/>
        <w:rPr>
          <w:sz w:val="24"/>
          <w:szCs w:val="24"/>
          <w:lang w:val="en-US"/>
        </w:rPr>
      </w:pPr>
      <w:r w:rsidRPr="00F85BD8">
        <w:rPr>
          <w:sz w:val="24"/>
          <w:szCs w:val="24"/>
          <w:lang w:val="en-US"/>
        </w:rPr>
        <w:t xml:space="preserve">Mean (SE) absolute changes from baseline in FVC at week 12 were −13.3 (17.4) mL in patients treated with </w:t>
      </w:r>
      <w:proofErr w:type="spellStart"/>
      <w:r w:rsidRPr="00F85BD8">
        <w:rPr>
          <w:sz w:val="24"/>
          <w:szCs w:val="24"/>
          <w:lang w:val="en-US"/>
        </w:rPr>
        <w:t>nintedanib</w:t>
      </w:r>
      <w:proofErr w:type="spellEnd"/>
      <w:r w:rsidRPr="00F85BD8">
        <w:rPr>
          <w:sz w:val="24"/>
          <w:szCs w:val="24"/>
          <w:lang w:val="en-US"/>
        </w:rPr>
        <w:t xml:space="preserve"> with add-on pirfenidone (n=48) compared to −40.9 (31.4) mL in patients treated with </w:t>
      </w:r>
      <w:proofErr w:type="spellStart"/>
      <w:r w:rsidRPr="00F85BD8">
        <w:rPr>
          <w:sz w:val="24"/>
          <w:szCs w:val="24"/>
          <w:lang w:val="en-US"/>
        </w:rPr>
        <w:t>nintedanib</w:t>
      </w:r>
      <w:proofErr w:type="spellEnd"/>
      <w:r w:rsidRPr="00F85BD8">
        <w:rPr>
          <w:sz w:val="24"/>
          <w:szCs w:val="24"/>
          <w:lang w:val="en-US"/>
        </w:rPr>
        <w:t xml:space="preserve"> alone (n=44).</w:t>
      </w:r>
    </w:p>
    <w:p w14:paraId="380CA5E0" w14:textId="77777777" w:rsidR="00D657C7" w:rsidRPr="00F85BD8" w:rsidRDefault="00D657C7" w:rsidP="00BF087A">
      <w:pPr>
        <w:ind w:left="851"/>
        <w:rPr>
          <w:sz w:val="24"/>
          <w:szCs w:val="24"/>
          <w:lang w:val="en-US"/>
        </w:rPr>
      </w:pPr>
    </w:p>
    <w:p w14:paraId="58445039" w14:textId="77777777" w:rsidR="00D657C7" w:rsidRPr="00F85BD8" w:rsidRDefault="00D657C7" w:rsidP="00BF087A">
      <w:pPr>
        <w:ind w:left="851"/>
        <w:rPr>
          <w:i/>
          <w:sz w:val="24"/>
          <w:szCs w:val="24"/>
          <w:lang w:val="en-US"/>
        </w:rPr>
      </w:pPr>
      <w:r w:rsidRPr="00F85BD8">
        <w:rPr>
          <w:i/>
          <w:sz w:val="24"/>
          <w:szCs w:val="24"/>
          <w:lang w:val="en-US"/>
        </w:rPr>
        <w:t>Other chronic fibrosing interstitial lung diseases (ILDs) with a progressive phenotype</w:t>
      </w:r>
    </w:p>
    <w:p w14:paraId="4FC69058" w14:textId="77777777" w:rsidR="00D657C7" w:rsidRPr="00F85BD8" w:rsidRDefault="00D657C7" w:rsidP="00BF087A">
      <w:pPr>
        <w:ind w:left="851"/>
        <w:rPr>
          <w:sz w:val="24"/>
          <w:szCs w:val="24"/>
          <w:lang w:val="en-US"/>
        </w:rPr>
      </w:pPr>
      <w:r w:rsidRPr="00F85BD8">
        <w:rPr>
          <w:sz w:val="24"/>
          <w:szCs w:val="24"/>
          <w:lang w:val="en-US"/>
        </w:rPr>
        <w:t xml:space="preserve">The clinical efficacy of </w:t>
      </w:r>
      <w:proofErr w:type="spellStart"/>
      <w:r w:rsidRPr="00F85BD8">
        <w:rPr>
          <w:sz w:val="24"/>
          <w:szCs w:val="24"/>
          <w:lang w:val="en-US"/>
        </w:rPr>
        <w:t>nintedanib</w:t>
      </w:r>
      <w:proofErr w:type="spellEnd"/>
      <w:r w:rsidRPr="00F85BD8">
        <w:rPr>
          <w:sz w:val="24"/>
          <w:szCs w:val="24"/>
          <w:lang w:val="en-US"/>
        </w:rPr>
        <w:t xml:space="preserve"> has been studied in patients with other chronic fibrosing ILDs with a progressive phenotype in a double-blind, </w:t>
      </w:r>
      <w:proofErr w:type="spellStart"/>
      <w:r w:rsidRPr="00F85BD8">
        <w:rPr>
          <w:sz w:val="24"/>
          <w:szCs w:val="24"/>
          <w:lang w:val="en-US"/>
        </w:rPr>
        <w:t>randomised</w:t>
      </w:r>
      <w:proofErr w:type="spellEnd"/>
      <w:r w:rsidRPr="00F85BD8">
        <w:rPr>
          <w:sz w:val="24"/>
          <w:szCs w:val="24"/>
          <w:lang w:val="en-US"/>
        </w:rPr>
        <w:t>, placebo-controlled phase III trial (INBUILD). Patients with IPF were excluded. Patients with a clinical diagnosis of a chronic fibrosing ILD were selected if they had relevant fibrosis (greater than 10% fibrotic features) on HRCT and presented with clinical signs of progression (defined as FVC decline ≥10%, FVC decline ≥5% and &lt;10% with worsening symptoms or imaging, or worsening symptoms and worsening imaging all in the 24 months prior to screening). Patients were required to have an FVC greater than or equal to 45% of predicted and a DLCO 30% to less than 80% of predicted. Patients were required to have progressed despite management deemed appropriate in clinical practice for the patient’s relevant ILD.</w:t>
      </w:r>
    </w:p>
    <w:p w14:paraId="0F9C608E" w14:textId="77777777" w:rsidR="00D657C7" w:rsidRPr="00F85BD8" w:rsidRDefault="00D657C7" w:rsidP="00BF087A">
      <w:pPr>
        <w:ind w:left="851"/>
        <w:rPr>
          <w:sz w:val="24"/>
          <w:szCs w:val="24"/>
          <w:lang w:val="en-US"/>
        </w:rPr>
      </w:pPr>
    </w:p>
    <w:p w14:paraId="7D30E03A" w14:textId="77777777" w:rsidR="00D657C7" w:rsidRPr="00F85BD8" w:rsidRDefault="00D657C7" w:rsidP="00BF087A">
      <w:pPr>
        <w:ind w:left="851"/>
        <w:rPr>
          <w:sz w:val="24"/>
          <w:szCs w:val="24"/>
          <w:lang w:val="en-US"/>
        </w:rPr>
      </w:pPr>
      <w:r w:rsidRPr="00F85BD8">
        <w:rPr>
          <w:sz w:val="24"/>
          <w:szCs w:val="24"/>
          <w:lang w:val="en-US"/>
        </w:rPr>
        <w:t xml:space="preserve">A total of 663 patients were </w:t>
      </w:r>
      <w:proofErr w:type="spellStart"/>
      <w:r w:rsidRPr="00F85BD8">
        <w:rPr>
          <w:sz w:val="24"/>
          <w:szCs w:val="24"/>
          <w:lang w:val="en-US"/>
        </w:rPr>
        <w:t>randomised</w:t>
      </w:r>
      <w:proofErr w:type="spellEnd"/>
      <w:r w:rsidRPr="00F85BD8">
        <w:rPr>
          <w:sz w:val="24"/>
          <w:szCs w:val="24"/>
          <w:lang w:val="en-US"/>
        </w:rPr>
        <w:t xml:space="preserve"> in a 1:1 ratio to receive either </w:t>
      </w:r>
      <w:proofErr w:type="spellStart"/>
      <w:r w:rsidRPr="00F85BD8">
        <w:rPr>
          <w:sz w:val="24"/>
          <w:szCs w:val="24"/>
          <w:lang w:val="en-US"/>
        </w:rPr>
        <w:t>nintedanib</w:t>
      </w:r>
      <w:proofErr w:type="spellEnd"/>
      <w:r w:rsidRPr="00F85BD8">
        <w:rPr>
          <w:sz w:val="24"/>
          <w:szCs w:val="24"/>
          <w:lang w:val="en-US"/>
        </w:rPr>
        <w:t xml:space="preserve"> 150 mg bid or matching placebo for at least 52 weeks. The median </w:t>
      </w:r>
      <w:proofErr w:type="spellStart"/>
      <w:r w:rsidRPr="00F85BD8">
        <w:rPr>
          <w:sz w:val="24"/>
          <w:szCs w:val="24"/>
          <w:lang w:val="en-US"/>
        </w:rPr>
        <w:t>nintedanib</w:t>
      </w:r>
      <w:proofErr w:type="spellEnd"/>
      <w:r w:rsidRPr="00F85BD8">
        <w:rPr>
          <w:sz w:val="24"/>
          <w:szCs w:val="24"/>
          <w:lang w:val="en-US"/>
        </w:rPr>
        <w:t xml:space="preserve"> exposure over the whole trial was 17.4 months and the mean </w:t>
      </w:r>
      <w:proofErr w:type="spellStart"/>
      <w:r w:rsidRPr="00F85BD8">
        <w:rPr>
          <w:sz w:val="24"/>
          <w:szCs w:val="24"/>
          <w:lang w:val="en-US"/>
        </w:rPr>
        <w:t>nintedanib</w:t>
      </w:r>
      <w:proofErr w:type="spellEnd"/>
      <w:r w:rsidRPr="00F85BD8">
        <w:rPr>
          <w:sz w:val="24"/>
          <w:szCs w:val="24"/>
          <w:lang w:val="en-US"/>
        </w:rPr>
        <w:t xml:space="preserve"> exposure over the whole trial was 15.6 months. </w:t>
      </w:r>
      <w:proofErr w:type="spellStart"/>
      <w:r w:rsidRPr="00F85BD8">
        <w:rPr>
          <w:sz w:val="24"/>
          <w:szCs w:val="24"/>
          <w:lang w:val="en-US"/>
        </w:rPr>
        <w:t>Randomisation</w:t>
      </w:r>
      <w:proofErr w:type="spellEnd"/>
      <w:r w:rsidRPr="00F85BD8">
        <w:rPr>
          <w:sz w:val="24"/>
          <w:szCs w:val="24"/>
          <w:lang w:val="en-US"/>
        </w:rPr>
        <w:t xml:space="preserve"> was stratified based on HRCT fibrotic pattern as assessed by central readers. 412 patients with HRCT with usual interstitial pneumonia (UIP)</w:t>
      </w:r>
      <w:r w:rsidRPr="00F85BD8">
        <w:rPr>
          <w:sz w:val="24"/>
          <w:szCs w:val="24"/>
          <w:lang w:val="en-US"/>
        </w:rPr>
        <w:noBreakHyphen/>
        <w:t xml:space="preserve">like fibrotic pattern and 251 patients with other HRCT fibrotic patterns were </w:t>
      </w:r>
      <w:proofErr w:type="spellStart"/>
      <w:r w:rsidRPr="00F85BD8">
        <w:rPr>
          <w:sz w:val="24"/>
          <w:szCs w:val="24"/>
          <w:lang w:val="en-US"/>
        </w:rPr>
        <w:t>randomised</w:t>
      </w:r>
      <w:proofErr w:type="spellEnd"/>
      <w:r w:rsidRPr="00F85BD8">
        <w:rPr>
          <w:sz w:val="24"/>
          <w:szCs w:val="24"/>
          <w:lang w:val="en-US"/>
        </w:rPr>
        <w:t>. There were 2 co</w:t>
      </w:r>
      <w:r w:rsidRPr="00F85BD8">
        <w:rPr>
          <w:sz w:val="24"/>
          <w:szCs w:val="24"/>
          <w:lang w:val="en-US"/>
        </w:rPr>
        <w:noBreakHyphen/>
        <w:t>primary populations defined for the analyses in this trial: all patients (the overall population) and patients with HRCT with UIP</w:t>
      </w:r>
      <w:r w:rsidRPr="00F85BD8">
        <w:rPr>
          <w:sz w:val="24"/>
          <w:szCs w:val="24"/>
          <w:lang w:val="en-US"/>
        </w:rPr>
        <w:noBreakHyphen/>
        <w:t>like fibrotic pattern. Patients with other HRCT fibrotic patterns represented the ‘complementary’ population.</w:t>
      </w:r>
    </w:p>
    <w:p w14:paraId="57171D8F" w14:textId="77777777" w:rsidR="00D657C7" w:rsidRPr="00F85BD8" w:rsidRDefault="00D657C7" w:rsidP="00BF087A">
      <w:pPr>
        <w:ind w:left="851"/>
        <w:rPr>
          <w:sz w:val="24"/>
          <w:szCs w:val="24"/>
          <w:lang w:val="en-US"/>
        </w:rPr>
      </w:pPr>
    </w:p>
    <w:p w14:paraId="2CD5E6F8" w14:textId="77777777" w:rsidR="00D657C7" w:rsidRPr="00F85BD8" w:rsidRDefault="00D657C7" w:rsidP="00BF087A">
      <w:pPr>
        <w:ind w:left="851"/>
        <w:rPr>
          <w:sz w:val="24"/>
          <w:szCs w:val="24"/>
          <w:lang w:val="en-US"/>
        </w:rPr>
      </w:pPr>
      <w:r w:rsidRPr="00F85BD8">
        <w:rPr>
          <w:sz w:val="24"/>
          <w:szCs w:val="24"/>
          <w:lang w:val="en-US"/>
        </w:rPr>
        <w:t>The primary endpoint was the annual rate of decline in forced vital capacity (FVC) (in mL) over 52 weeks. Main secondary endpoints were absolute change from baseline in King's Brief Interstitial Lung Disease Questionnaire (K</w:t>
      </w:r>
      <w:r w:rsidRPr="00F85BD8">
        <w:rPr>
          <w:sz w:val="24"/>
          <w:szCs w:val="24"/>
          <w:lang w:val="en-US"/>
        </w:rPr>
        <w:noBreakHyphen/>
        <w:t>BILD) total score at week 52, time to first acute ILD exacerbation or death over 52 weeks, and time to death over 52 weeks.</w:t>
      </w:r>
    </w:p>
    <w:p w14:paraId="250A80C7" w14:textId="77777777" w:rsidR="00D657C7" w:rsidRPr="00F85BD8" w:rsidRDefault="00D657C7" w:rsidP="00BF087A">
      <w:pPr>
        <w:ind w:left="851"/>
        <w:rPr>
          <w:sz w:val="24"/>
          <w:szCs w:val="24"/>
          <w:lang w:val="en-US"/>
        </w:rPr>
      </w:pPr>
    </w:p>
    <w:p w14:paraId="1EFB0D1D" w14:textId="77777777" w:rsidR="00D657C7" w:rsidRPr="00F85BD8" w:rsidRDefault="00D657C7" w:rsidP="00BF087A">
      <w:pPr>
        <w:ind w:left="851"/>
        <w:rPr>
          <w:sz w:val="24"/>
          <w:szCs w:val="24"/>
          <w:lang w:val="en-US"/>
        </w:rPr>
      </w:pPr>
      <w:r w:rsidRPr="00F85BD8">
        <w:rPr>
          <w:sz w:val="24"/>
          <w:szCs w:val="24"/>
          <w:lang w:val="en-US"/>
        </w:rPr>
        <w:t>Patients had a mean (standard deviation [SD, Min-Max]) age of 65.8 (9.8, 27</w:t>
      </w:r>
      <w:r w:rsidRPr="00F85BD8">
        <w:rPr>
          <w:sz w:val="24"/>
          <w:szCs w:val="24"/>
          <w:lang w:val="en-US"/>
        </w:rPr>
        <w:noBreakHyphen/>
        <w:t>87) years and a mean FVC percent predicted of 69.0% (15.6, 42</w:t>
      </w:r>
      <w:r w:rsidRPr="00F85BD8">
        <w:rPr>
          <w:sz w:val="24"/>
          <w:szCs w:val="24"/>
          <w:lang w:val="en-US"/>
        </w:rPr>
        <w:noBreakHyphen/>
        <w:t>137). The underlying clinical ILD diagnoses in groups represented in the trial were hypersensitivity pneumonitis (26.1%), autoimmune ILDs (25.6%), idiopathic nonspecific interstitial pneumonia (18.9%), unclassifiable idiopathic interstitial pneumonia (17.2%), and other ILDs (12.2%).</w:t>
      </w:r>
    </w:p>
    <w:p w14:paraId="2032DB91" w14:textId="77777777" w:rsidR="00D657C7" w:rsidRPr="00F85BD8" w:rsidRDefault="00D657C7" w:rsidP="00BF087A">
      <w:pPr>
        <w:ind w:left="851"/>
        <w:rPr>
          <w:sz w:val="24"/>
          <w:szCs w:val="24"/>
          <w:lang w:val="en-US"/>
        </w:rPr>
      </w:pPr>
    </w:p>
    <w:p w14:paraId="5A1E0ED5" w14:textId="77777777" w:rsidR="00D657C7" w:rsidRPr="00F85BD8" w:rsidRDefault="00D657C7" w:rsidP="00BF087A">
      <w:pPr>
        <w:ind w:left="851"/>
        <w:rPr>
          <w:sz w:val="24"/>
          <w:szCs w:val="24"/>
          <w:lang w:val="en-US"/>
        </w:rPr>
      </w:pPr>
      <w:r w:rsidRPr="00F85BD8">
        <w:rPr>
          <w:sz w:val="24"/>
          <w:szCs w:val="24"/>
          <w:lang w:val="en-US"/>
        </w:rPr>
        <w:t xml:space="preserve">The INBUILD trial was not designed or powered to provide evidence for a benefit of </w:t>
      </w:r>
      <w:proofErr w:type="spellStart"/>
      <w:r w:rsidRPr="00F85BD8">
        <w:rPr>
          <w:sz w:val="24"/>
          <w:szCs w:val="24"/>
          <w:lang w:val="en-US"/>
        </w:rPr>
        <w:t>nintedanib</w:t>
      </w:r>
      <w:proofErr w:type="spellEnd"/>
      <w:r w:rsidRPr="00F85BD8">
        <w:rPr>
          <w:sz w:val="24"/>
          <w:szCs w:val="24"/>
          <w:lang w:val="en-US"/>
        </w:rPr>
        <w:t xml:space="preserve"> in specific diagnostic subgroups. Consistent effects were demonstrated in subgroups based on the ILD diagnoses. The experience with </w:t>
      </w:r>
      <w:proofErr w:type="spellStart"/>
      <w:r w:rsidRPr="00F85BD8">
        <w:rPr>
          <w:sz w:val="24"/>
          <w:szCs w:val="24"/>
          <w:lang w:val="en-US"/>
        </w:rPr>
        <w:t>nintedanib</w:t>
      </w:r>
      <w:proofErr w:type="spellEnd"/>
      <w:r w:rsidRPr="00F85BD8">
        <w:rPr>
          <w:sz w:val="24"/>
          <w:szCs w:val="24"/>
          <w:lang w:val="en-US"/>
        </w:rPr>
        <w:t xml:space="preserve"> in very rare progressive fibrosing ILDs is limited.</w:t>
      </w:r>
    </w:p>
    <w:p w14:paraId="4E2BF452" w14:textId="77777777" w:rsidR="00D657C7" w:rsidRPr="00F85BD8" w:rsidRDefault="00D657C7" w:rsidP="00BF087A">
      <w:pPr>
        <w:ind w:left="851"/>
        <w:rPr>
          <w:sz w:val="24"/>
          <w:szCs w:val="24"/>
          <w:lang w:val="en-US"/>
        </w:rPr>
      </w:pPr>
    </w:p>
    <w:p w14:paraId="0748B9B2" w14:textId="77777777" w:rsidR="00D657C7" w:rsidRPr="00F85BD8" w:rsidRDefault="00D657C7" w:rsidP="00BF087A">
      <w:pPr>
        <w:ind w:left="851"/>
        <w:rPr>
          <w:i/>
          <w:sz w:val="24"/>
          <w:szCs w:val="24"/>
          <w:u w:val="single"/>
          <w:lang w:val="en-US"/>
        </w:rPr>
      </w:pPr>
      <w:r w:rsidRPr="00F85BD8">
        <w:rPr>
          <w:i/>
          <w:sz w:val="24"/>
          <w:szCs w:val="24"/>
          <w:u w:val="single"/>
          <w:lang w:val="en-US"/>
        </w:rPr>
        <w:t>Annual rate of decline in FVC</w:t>
      </w:r>
    </w:p>
    <w:p w14:paraId="0C089538" w14:textId="77777777" w:rsidR="00D657C7" w:rsidRPr="00F85BD8" w:rsidRDefault="00D657C7" w:rsidP="00BF087A">
      <w:pPr>
        <w:ind w:left="851"/>
        <w:rPr>
          <w:sz w:val="24"/>
          <w:szCs w:val="24"/>
          <w:lang w:val="en-US"/>
        </w:rPr>
      </w:pPr>
      <w:r w:rsidRPr="00F85BD8">
        <w:rPr>
          <w:sz w:val="24"/>
          <w:szCs w:val="24"/>
          <w:lang w:val="en-US"/>
        </w:rPr>
        <w:t xml:space="preserve">The annual rate of decline in FVC (in mL) over 52 weeks was significantly reduced by 107.0 mL in patients receiving </w:t>
      </w:r>
      <w:proofErr w:type="spellStart"/>
      <w:r w:rsidRPr="00F85BD8">
        <w:rPr>
          <w:sz w:val="24"/>
          <w:szCs w:val="24"/>
          <w:lang w:val="en-US"/>
        </w:rPr>
        <w:t>nintedanib</w:t>
      </w:r>
      <w:proofErr w:type="spellEnd"/>
      <w:r w:rsidRPr="00F85BD8">
        <w:rPr>
          <w:sz w:val="24"/>
          <w:szCs w:val="24"/>
          <w:lang w:val="en-US"/>
        </w:rPr>
        <w:t xml:space="preserve"> compared to patients receiving placebo (Table 8) corresponding to a relative treatment effect of 57.0%.</w:t>
      </w:r>
    </w:p>
    <w:p w14:paraId="4051379F" w14:textId="77777777" w:rsidR="00D657C7" w:rsidRPr="00F85BD8" w:rsidRDefault="00D657C7" w:rsidP="00BF087A">
      <w:pPr>
        <w:ind w:left="851"/>
        <w:rPr>
          <w:sz w:val="24"/>
          <w:szCs w:val="24"/>
          <w:lang w:val="en-US"/>
        </w:rPr>
      </w:pPr>
    </w:p>
    <w:p w14:paraId="06CFA409" w14:textId="758D34F2" w:rsidR="00D657C7" w:rsidRPr="00F85BD8" w:rsidRDefault="00D657C7" w:rsidP="00BF087A">
      <w:pPr>
        <w:rPr>
          <w:b/>
          <w:sz w:val="24"/>
          <w:szCs w:val="24"/>
          <w:lang w:val="en-US"/>
        </w:rPr>
      </w:pPr>
      <w:r w:rsidRPr="00F85BD8">
        <w:rPr>
          <w:b/>
          <w:sz w:val="24"/>
          <w:szCs w:val="24"/>
          <w:lang w:val="en-US"/>
        </w:rPr>
        <w:t>Table 8:</w:t>
      </w:r>
      <w:r w:rsidR="00BF087A" w:rsidRPr="00F85BD8">
        <w:rPr>
          <w:b/>
          <w:sz w:val="24"/>
          <w:szCs w:val="24"/>
          <w:lang w:val="en-US"/>
        </w:rPr>
        <w:t xml:space="preserve"> </w:t>
      </w:r>
      <w:r w:rsidRPr="00F85BD8">
        <w:rPr>
          <w:b/>
          <w:sz w:val="24"/>
          <w:szCs w:val="24"/>
          <w:lang w:val="en-US"/>
        </w:rPr>
        <w:t>Annual rate of decline in FVC (mL) over 52 weeks</w:t>
      </w:r>
    </w:p>
    <w:p w14:paraId="66D49581" w14:textId="77777777" w:rsidR="00D657C7" w:rsidRPr="00F85BD8" w:rsidRDefault="00D657C7" w:rsidP="00BF087A">
      <w:pPr>
        <w:rPr>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D657C7" w:rsidRPr="009929B6" w14:paraId="0B27D5F1" w14:textId="77777777" w:rsidTr="00BF087A">
        <w:trPr>
          <w:tblHeader/>
        </w:trPr>
        <w:tc>
          <w:tcPr>
            <w:tcW w:w="1666" w:type="pct"/>
            <w:tcBorders>
              <w:top w:val="single" w:sz="4" w:space="0" w:color="auto"/>
              <w:left w:val="single" w:sz="4" w:space="0" w:color="auto"/>
              <w:bottom w:val="single" w:sz="4" w:space="0" w:color="auto"/>
              <w:right w:val="single" w:sz="4" w:space="0" w:color="auto"/>
            </w:tcBorders>
          </w:tcPr>
          <w:p w14:paraId="04786476"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19B2BA3E"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8" w:type="pct"/>
            <w:tcBorders>
              <w:top w:val="single" w:sz="4" w:space="0" w:color="auto"/>
              <w:left w:val="single" w:sz="4" w:space="0" w:color="auto"/>
              <w:bottom w:val="single" w:sz="4" w:space="0" w:color="auto"/>
              <w:right w:val="single" w:sz="4" w:space="0" w:color="auto"/>
            </w:tcBorders>
            <w:hideMark/>
          </w:tcPr>
          <w:p w14:paraId="789F98EA"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1DBA3249"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25AE41FF" w14:textId="77777777" w:rsidTr="00BF087A">
        <w:tc>
          <w:tcPr>
            <w:tcW w:w="1666" w:type="pct"/>
            <w:tcBorders>
              <w:top w:val="single" w:sz="4" w:space="0" w:color="auto"/>
              <w:left w:val="single" w:sz="4" w:space="0" w:color="auto"/>
              <w:bottom w:val="single" w:sz="4" w:space="0" w:color="auto"/>
              <w:right w:val="single" w:sz="4" w:space="0" w:color="auto"/>
            </w:tcBorders>
            <w:hideMark/>
          </w:tcPr>
          <w:p w14:paraId="1247339A"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50936580" w14:textId="77777777" w:rsidR="00D657C7" w:rsidRPr="009929B6" w:rsidRDefault="00D657C7">
            <w:pPr>
              <w:autoSpaceDE w:val="0"/>
              <w:autoSpaceDN w:val="0"/>
              <w:adjustRightInd w:val="0"/>
              <w:jc w:val="center"/>
              <w:rPr>
                <w:sz w:val="22"/>
                <w:szCs w:val="22"/>
              </w:rPr>
            </w:pPr>
            <w:r w:rsidRPr="009929B6">
              <w:rPr>
                <w:sz w:val="22"/>
                <w:szCs w:val="22"/>
              </w:rPr>
              <w:t>331</w:t>
            </w:r>
          </w:p>
        </w:tc>
        <w:tc>
          <w:tcPr>
            <w:tcW w:w="1668" w:type="pct"/>
            <w:tcBorders>
              <w:top w:val="single" w:sz="4" w:space="0" w:color="auto"/>
              <w:left w:val="single" w:sz="4" w:space="0" w:color="auto"/>
              <w:bottom w:val="single" w:sz="4" w:space="0" w:color="auto"/>
              <w:right w:val="single" w:sz="4" w:space="0" w:color="auto"/>
            </w:tcBorders>
            <w:vAlign w:val="center"/>
            <w:hideMark/>
          </w:tcPr>
          <w:p w14:paraId="41A9AF13" w14:textId="77777777" w:rsidR="00D657C7" w:rsidRPr="009929B6" w:rsidRDefault="00D657C7">
            <w:pPr>
              <w:autoSpaceDE w:val="0"/>
              <w:autoSpaceDN w:val="0"/>
              <w:adjustRightInd w:val="0"/>
              <w:jc w:val="center"/>
              <w:rPr>
                <w:sz w:val="22"/>
                <w:szCs w:val="22"/>
              </w:rPr>
            </w:pPr>
            <w:r w:rsidRPr="009929B6">
              <w:rPr>
                <w:sz w:val="22"/>
                <w:szCs w:val="22"/>
              </w:rPr>
              <w:t>332</w:t>
            </w:r>
          </w:p>
        </w:tc>
      </w:tr>
      <w:tr w:rsidR="00D657C7" w:rsidRPr="009929B6" w14:paraId="1D00A05E" w14:textId="77777777" w:rsidTr="00BF087A">
        <w:tc>
          <w:tcPr>
            <w:tcW w:w="1666" w:type="pct"/>
            <w:tcBorders>
              <w:top w:val="single" w:sz="4" w:space="0" w:color="auto"/>
              <w:left w:val="single" w:sz="4" w:space="0" w:color="auto"/>
              <w:bottom w:val="single" w:sz="4" w:space="0" w:color="auto"/>
              <w:right w:val="single" w:sz="4" w:space="0" w:color="auto"/>
            </w:tcBorders>
            <w:hideMark/>
          </w:tcPr>
          <w:p w14:paraId="2926A22A"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1666" w:type="pct"/>
            <w:tcBorders>
              <w:top w:val="single" w:sz="4" w:space="0" w:color="auto"/>
              <w:left w:val="single" w:sz="4" w:space="0" w:color="auto"/>
              <w:bottom w:val="single" w:sz="4" w:space="0" w:color="auto"/>
              <w:right w:val="single" w:sz="4" w:space="0" w:color="auto"/>
            </w:tcBorders>
            <w:vAlign w:val="bottom"/>
            <w:hideMark/>
          </w:tcPr>
          <w:p w14:paraId="4A27E685" w14:textId="77777777" w:rsidR="00D657C7" w:rsidRPr="009929B6" w:rsidRDefault="00D657C7">
            <w:pPr>
              <w:autoSpaceDE w:val="0"/>
              <w:autoSpaceDN w:val="0"/>
              <w:adjustRightInd w:val="0"/>
              <w:jc w:val="center"/>
              <w:rPr>
                <w:sz w:val="22"/>
                <w:szCs w:val="22"/>
              </w:rPr>
            </w:pPr>
            <w:r w:rsidRPr="009929B6">
              <w:rPr>
                <w:sz w:val="22"/>
                <w:szCs w:val="22"/>
              </w:rPr>
              <w:t>-187.8 (14.8)</w:t>
            </w:r>
          </w:p>
        </w:tc>
        <w:tc>
          <w:tcPr>
            <w:tcW w:w="1668" w:type="pct"/>
            <w:tcBorders>
              <w:top w:val="single" w:sz="4" w:space="0" w:color="auto"/>
              <w:left w:val="single" w:sz="4" w:space="0" w:color="auto"/>
              <w:bottom w:val="single" w:sz="4" w:space="0" w:color="auto"/>
              <w:right w:val="single" w:sz="4" w:space="0" w:color="auto"/>
            </w:tcBorders>
            <w:vAlign w:val="bottom"/>
            <w:hideMark/>
          </w:tcPr>
          <w:p w14:paraId="77C35E2B" w14:textId="77777777" w:rsidR="00D657C7" w:rsidRPr="009929B6" w:rsidRDefault="00D657C7">
            <w:pPr>
              <w:autoSpaceDE w:val="0"/>
              <w:autoSpaceDN w:val="0"/>
              <w:adjustRightInd w:val="0"/>
              <w:jc w:val="center"/>
              <w:rPr>
                <w:sz w:val="22"/>
                <w:szCs w:val="22"/>
              </w:rPr>
            </w:pPr>
            <w:r w:rsidRPr="009929B6">
              <w:rPr>
                <w:sz w:val="22"/>
                <w:szCs w:val="22"/>
              </w:rPr>
              <w:t>-80.8 (15.1)</w:t>
            </w:r>
          </w:p>
        </w:tc>
      </w:tr>
      <w:tr w:rsidR="00D657C7" w:rsidRPr="009929B6" w14:paraId="0C2D8FF4" w14:textId="77777777" w:rsidTr="00BF087A">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C14FCA8"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1880205E" w14:textId="77777777" w:rsidTr="00BF087A">
        <w:tc>
          <w:tcPr>
            <w:tcW w:w="1666" w:type="pct"/>
            <w:tcBorders>
              <w:top w:val="single" w:sz="4" w:space="0" w:color="auto"/>
              <w:left w:val="single" w:sz="4" w:space="0" w:color="auto"/>
              <w:bottom w:val="single" w:sz="4" w:space="0" w:color="auto"/>
              <w:right w:val="single" w:sz="4" w:space="0" w:color="auto"/>
            </w:tcBorders>
            <w:hideMark/>
          </w:tcPr>
          <w:p w14:paraId="4AF82BBA"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2DB25F3B"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2EFC1A0D" w14:textId="77777777" w:rsidR="00D657C7" w:rsidRPr="009929B6" w:rsidRDefault="00D657C7">
            <w:pPr>
              <w:autoSpaceDE w:val="0"/>
              <w:autoSpaceDN w:val="0"/>
              <w:adjustRightInd w:val="0"/>
              <w:jc w:val="center"/>
              <w:rPr>
                <w:sz w:val="22"/>
                <w:szCs w:val="22"/>
              </w:rPr>
            </w:pPr>
            <w:r w:rsidRPr="009929B6">
              <w:rPr>
                <w:sz w:val="22"/>
                <w:szCs w:val="22"/>
              </w:rPr>
              <w:t>107.0</w:t>
            </w:r>
          </w:p>
        </w:tc>
      </w:tr>
      <w:tr w:rsidR="00D657C7" w:rsidRPr="009929B6" w14:paraId="6500488E" w14:textId="77777777" w:rsidTr="00BF087A">
        <w:tc>
          <w:tcPr>
            <w:tcW w:w="1666" w:type="pct"/>
            <w:tcBorders>
              <w:top w:val="single" w:sz="4" w:space="0" w:color="auto"/>
              <w:left w:val="single" w:sz="4" w:space="0" w:color="auto"/>
              <w:bottom w:val="single" w:sz="4" w:space="0" w:color="auto"/>
              <w:right w:val="single" w:sz="4" w:space="0" w:color="auto"/>
            </w:tcBorders>
            <w:vAlign w:val="center"/>
            <w:hideMark/>
          </w:tcPr>
          <w:p w14:paraId="0666801B"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254D4A00"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211CB2B3" w14:textId="77777777" w:rsidR="00D657C7" w:rsidRPr="009929B6" w:rsidRDefault="00D657C7">
            <w:pPr>
              <w:autoSpaceDE w:val="0"/>
              <w:autoSpaceDN w:val="0"/>
              <w:adjustRightInd w:val="0"/>
              <w:jc w:val="center"/>
              <w:rPr>
                <w:sz w:val="22"/>
                <w:szCs w:val="22"/>
              </w:rPr>
            </w:pPr>
            <w:r w:rsidRPr="009929B6">
              <w:rPr>
                <w:sz w:val="22"/>
                <w:szCs w:val="22"/>
              </w:rPr>
              <w:t>(65.4, 148.5)</w:t>
            </w:r>
          </w:p>
        </w:tc>
      </w:tr>
      <w:tr w:rsidR="00D657C7" w:rsidRPr="009929B6" w14:paraId="614DDC76" w14:textId="77777777" w:rsidTr="00BF087A">
        <w:tc>
          <w:tcPr>
            <w:tcW w:w="1666" w:type="pct"/>
            <w:tcBorders>
              <w:top w:val="single" w:sz="4" w:space="0" w:color="auto"/>
              <w:left w:val="single" w:sz="4" w:space="0" w:color="auto"/>
              <w:bottom w:val="single" w:sz="4" w:space="0" w:color="auto"/>
              <w:right w:val="single" w:sz="4" w:space="0" w:color="auto"/>
            </w:tcBorders>
            <w:vAlign w:val="center"/>
            <w:hideMark/>
          </w:tcPr>
          <w:p w14:paraId="56EC4D05"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4253A610"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1E168736" w14:textId="77777777" w:rsidR="00D657C7" w:rsidRPr="009929B6" w:rsidRDefault="00D657C7">
            <w:pPr>
              <w:autoSpaceDE w:val="0"/>
              <w:autoSpaceDN w:val="0"/>
              <w:adjustRightInd w:val="0"/>
              <w:jc w:val="center"/>
              <w:rPr>
                <w:sz w:val="22"/>
                <w:szCs w:val="22"/>
              </w:rPr>
            </w:pPr>
            <w:r w:rsidRPr="009929B6">
              <w:rPr>
                <w:sz w:val="22"/>
                <w:szCs w:val="22"/>
              </w:rPr>
              <w:t>&lt;0.0001</w:t>
            </w:r>
          </w:p>
        </w:tc>
      </w:tr>
    </w:tbl>
    <w:p w14:paraId="030F7D67" w14:textId="0CC2A66A" w:rsidR="00D657C7" w:rsidRPr="009929B6" w:rsidRDefault="00D657C7" w:rsidP="00A93BE7">
      <w:pPr>
        <w:autoSpaceDE w:val="0"/>
        <w:autoSpaceDN w:val="0"/>
        <w:adjustRightInd w:val="0"/>
        <w:ind w:left="284" w:hanging="284"/>
        <w:rPr>
          <w:sz w:val="20"/>
          <w:lang w:val="en-GB" w:eastAsia="en-US"/>
        </w:rPr>
      </w:pPr>
      <w:r w:rsidRPr="009929B6">
        <w:rPr>
          <w:sz w:val="20"/>
          <w:vertAlign w:val="superscript"/>
          <w:lang w:val="en-US"/>
        </w:rPr>
        <w:t xml:space="preserve">1 </w:t>
      </w:r>
      <w:r w:rsidR="00A93BE7">
        <w:rPr>
          <w:sz w:val="20"/>
          <w:vertAlign w:val="superscript"/>
          <w:lang w:val="en-US"/>
        </w:rPr>
        <w:tab/>
      </w:r>
      <w:r w:rsidRPr="009929B6">
        <w:rPr>
          <w:sz w:val="20"/>
          <w:lang w:val="en-US"/>
        </w:rPr>
        <w:t>Based on a random coefficient regression with fixed categorical effects of treatment, HRCT pattern, fixed continuous effects of time, baseline FVC [mL], and including treatment-by-time and baseline-by-time interactions</w:t>
      </w:r>
    </w:p>
    <w:p w14:paraId="044A866E" w14:textId="77777777" w:rsidR="00D657C7" w:rsidRPr="00F85BD8" w:rsidRDefault="00D657C7" w:rsidP="00D657C7">
      <w:pPr>
        <w:autoSpaceDE w:val="0"/>
        <w:autoSpaceDN w:val="0"/>
        <w:adjustRightInd w:val="0"/>
        <w:rPr>
          <w:sz w:val="24"/>
          <w:szCs w:val="24"/>
          <w:lang w:val="en-US"/>
        </w:rPr>
      </w:pPr>
    </w:p>
    <w:p w14:paraId="3A13CB4F" w14:textId="77777777" w:rsidR="00D657C7" w:rsidRPr="00F85BD8" w:rsidRDefault="00D657C7" w:rsidP="00BF087A">
      <w:pPr>
        <w:ind w:left="851"/>
        <w:rPr>
          <w:sz w:val="24"/>
          <w:szCs w:val="24"/>
          <w:lang w:val="en-US"/>
        </w:rPr>
      </w:pPr>
      <w:r w:rsidRPr="00F85BD8">
        <w:rPr>
          <w:sz w:val="24"/>
          <w:szCs w:val="24"/>
          <w:lang w:val="en-US"/>
        </w:rPr>
        <w:t>Similar results were observed in the co</w:t>
      </w:r>
      <w:r w:rsidRPr="00F85BD8">
        <w:rPr>
          <w:sz w:val="24"/>
          <w:szCs w:val="24"/>
          <w:lang w:val="en-US"/>
        </w:rPr>
        <w:noBreakHyphen/>
        <w:t>primary population of patients with HRCT with UIP</w:t>
      </w:r>
      <w:r w:rsidRPr="00F85BD8">
        <w:rPr>
          <w:sz w:val="24"/>
          <w:szCs w:val="24"/>
          <w:lang w:val="en-US"/>
        </w:rPr>
        <w:noBreakHyphen/>
        <w:t>like fibrotic pattern. The treatment effect was consistent in the complementary population of patients with other HRCT fibrotic patterns (interaction p-value 0.2268) (Figure 2).</w:t>
      </w:r>
    </w:p>
    <w:p w14:paraId="246B59A7" w14:textId="77777777" w:rsidR="00D657C7" w:rsidRPr="00F85BD8" w:rsidRDefault="00D657C7" w:rsidP="00BF087A">
      <w:pPr>
        <w:ind w:left="851"/>
        <w:rPr>
          <w:sz w:val="24"/>
          <w:szCs w:val="24"/>
          <w:lang w:val="en-US"/>
        </w:rPr>
      </w:pPr>
    </w:p>
    <w:p w14:paraId="455B1C8E" w14:textId="7CBB03A8" w:rsidR="00D657C7" w:rsidRPr="00F85BD8" w:rsidRDefault="00D657C7" w:rsidP="00BF087A">
      <w:pPr>
        <w:keepNext/>
        <w:rPr>
          <w:b/>
          <w:sz w:val="24"/>
          <w:szCs w:val="24"/>
          <w:lang w:val="en-US"/>
        </w:rPr>
      </w:pPr>
      <w:r w:rsidRPr="00F85BD8">
        <w:rPr>
          <w:b/>
          <w:sz w:val="24"/>
          <w:szCs w:val="24"/>
          <w:lang w:val="en-US"/>
        </w:rPr>
        <w:t>Figure 2:</w:t>
      </w:r>
      <w:r w:rsidR="00BF087A" w:rsidRPr="00F85BD8">
        <w:rPr>
          <w:b/>
          <w:sz w:val="24"/>
          <w:szCs w:val="24"/>
          <w:lang w:val="en-US"/>
        </w:rPr>
        <w:t xml:space="preserve"> </w:t>
      </w:r>
      <w:r w:rsidRPr="00F85BD8">
        <w:rPr>
          <w:b/>
          <w:sz w:val="24"/>
          <w:szCs w:val="24"/>
          <w:lang w:val="en-US"/>
        </w:rPr>
        <w:t>Forest plot of the annual rate of decline in FVC (mL) over 52 weeks in the patient populations</w:t>
      </w:r>
    </w:p>
    <w:p w14:paraId="536358F7" w14:textId="77777777" w:rsidR="00D657C7" w:rsidRPr="00F85BD8" w:rsidRDefault="00D657C7" w:rsidP="00BF087A">
      <w:pPr>
        <w:keepNext/>
        <w:autoSpaceDE w:val="0"/>
        <w:autoSpaceDN w:val="0"/>
        <w:adjustRightInd w:val="0"/>
        <w:ind w:left="1134" w:hanging="1134"/>
        <w:rPr>
          <w:sz w:val="24"/>
          <w:szCs w:val="24"/>
          <w:lang w:val="en-US"/>
        </w:rPr>
      </w:pPr>
    </w:p>
    <w:p w14:paraId="2558CC5B" w14:textId="48B9F84B" w:rsidR="00D657C7" w:rsidRPr="00F85BD8" w:rsidRDefault="00D657C7" w:rsidP="00BF087A">
      <w:pPr>
        <w:keepNext/>
        <w:autoSpaceDE w:val="0"/>
        <w:autoSpaceDN w:val="0"/>
        <w:adjustRightInd w:val="0"/>
        <w:rPr>
          <w:sz w:val="24"/>
          <w:szCs w:val="24"/>
        </w:rPr>
      </w:pPr>
      <w:r w:rsidRPr="00F85BD8">
        <w:rPr>
          <w:noProof/>
          <w:sz w:val="24"/>
          <w:szCs w:val="24"/>
        </w:rPr>
        <w:drawing>
          <wp:inline distT="0" distB="0" distL="0" distR="0" wp14:anchorId="4CB5176A" wp14:editId="5F6F37BB">
            <wp:extent cx="5760720" cy="39243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24300"/>
                    </a:xfrm>
                    <a:prstGeom prst="rect">
                      <a:avLst/>
                    </a:prstGeom>
                    <a:noFill/>
                    <a:ln>
                      <a:noFill/>
                    </a:ln>
                  </pic:spPr>
                </pic:pic>
              </a:graphicData>
            </a:graphic>
          </wp:inline>
        </w:drawing>
      </w:r>
    </w:p>
    <w:p w14:paraId="5AA4839E" w14:textId="77777777" w:rsidR="00D657C7" w:rsidRPr="00A93BE7" w:rsidRDefault="00D657C7" w:rsidP="00BF087A">
      <w:pPr>
        <w:keepNext/>
        <w:autoSpaceDE w:val="0"/>
        <w:autoSpaceDN w:val="0"/>
        <w:adjustRightInd w:val="0"/>
        <w:rPr>
          <w:sz w:val="20"/>
          <w:lang w:val="en-US"/>
        </w:rPr>
      </w:pPr>
      <w:r w:rsidRPr="00A93BE7">
        <w:rPr>
          <w:sz w:val="20"/>
          <w:lang w:val="en-US"/>
        </w:rPr>
        <w:t>bid=twice daily</w:t>
      </w:r>
    </w:p>
    <w:p w14:paraId="745A25F4" w14:textId="77777777" w:rsidR="00D657C7" w:rsidRPr="00F85BD8" w:rsidRDefault="00D657C7" w:rsidP="00BF087A">
      <w:pPr>
        <w:keepNext/>
        <w:autoSpaceDE w:val="0"/>
        <w:autoSpaceDN w:val="0"/>
        <w:adjustRightInd w:val="0"/>
        <w:rPr>
          <w:sz w:val="24"/>
          <w:szCs w:val="24"/>
          <w:lang w:val="en-US"/>
        </w:rPr>
      </w:pPr>
    </w:p>
    <w:p w14:paraId="416EEE83" w14:textId="77777777" w:rsidR="00D657C7" w:rsidRPr="00F85BD8" w:rsidRDefault="00D657C7" w:rsidP="00BF087A">
      <w:pPr>
        <w:ind w:left="851"/>
        <w:rPr>
          <w:sz w:val="24"/>
          <w:szCs w:val="24"/>
          <w:lang w:val="en-US"/>
        </w:rPr>
      </w:pPr>
      <w:r w:rsidRPr="00F85BD8">
        <w:rPr>
          <w:sz w:val="24"/>
          <w:szCs w:val="24"/>
          <w:lang w:val="en-US"/>
        </w:rPr>
        <w:t xml:space="preserve">The results of the effect of </w:t>
      </w:r>
      <w:proofErr w:type="spellStart"/>
      <w:r w:rsidRPr="00F85BD8">
        <w:rPr>
          <w:sz w:val="24"/>
          <w:szCs w:val="24"/>
          <w:lang w:val="en-US"/>
        </w:rPr>
        <w:t>nintedanib</w:t>
      </w:r>
      <w:proofErr w:type="spellEnd"/>
      <w:r w:rsidRPr="00F85BD8">
        <w:rPr>
          <w:sz w:val="24"/>
          <w:szCs w:val="24"/>
          <w:lang w:val="en-US"/>
        </w:rPr>
        <w:t xml:space="preserve"> in reducing the annual rate of decline in FVC were confirmed by all pre-specified sensitivity analyses and consistent results were observed in the pre-specified efficacy subgroups: gender, age group, race, predicted baseline FVC %, and original underlying clinical ILD diagnosis in groups.</w:t>
      </w:r>
    </w:p>
    <w:p w14:paraId="57C0EE95" w14:textId="77777777" w:rsidR="00D657C7" w:rsidRPr="00F85BD8" w:rsidRDefault="00D657C7" w:rsidP="00BF087A">
      <w:pPr>
        <w:ind w:left="851"/>
        <w:rPr>
          <w:sz w:val="24"/>
          <w:szCs w:val="24"/>
          <w:lang w:val="en-US"/>
        </w:rPr>
      </w:pPr>
    </w:p>
    <w:p w14:paraId="1F8D9F8D" w14:textId="77777777" w:rsidR="00D657C7" w:rsidRPr="00F85BD8" w:rsidRDefault="00D657C7" w:rsidP="00BF087A">
      <w:pPr>
        <w:ind w:left="851"/>
        <w:rPr>
          <w:sz w:val="24"/>
          <w:szCs w:val="24"/>
          <w:lang w:val="en-US"/>
        </w:rPr>
      </w:pPr>
      <w:r w:rsidRPr="00F85BD8">
        <w:rPr>
          <w:sz w:val="24"/>
          <w:szCs w:val="24"/>
          <w:lang w:val="en-US"/>
        </w:rPr>
        <w:t>Figure 3 shows the evolution of change in FVC from baseline over time in the treatment groups.</w:t>
      </w:r>
    </w:p>
    <w:p w14:paraId="172E9A66" w14:textId="77777777" w:rsidR="00D657C7" w:rsidRPr="00F85BD8" w:rsidRDefault="00D657C7" w:rsidP="00D657C7">
      <w:pPr>
        <w:autoSpaceDE w:val="0"/>
        <w:autoSpaceDN w:val="0"/>
        <w:adjustRightInd w:val="0"/>
        <w:rPr>
          <w:sz w:val="24"/>
          <w:szCs w:val="24"/>
          <w:lang w:val="en-US"/>
        </w:rPr>
      </w:pPr>
    </w:p>
    <w:p w14:paraId="71E5FB0A" w14:textId="62920C7A" w:rsidR="00D657C7" w:rsidRPr="00F85BD8" w:rsidRDefault="00D657C7" w:rsidP="00BF087A">
      <w:pPr>
        <w:keepNext/>
        <w:rPr>
          <w:b/>
          <w:sz w:val="24"/>
          <w:szCs w:val="24"/>
          <w:lang w:val="en-US"/>
        </w:rPr>
      </w:pPr>
      <w:r w:rsidRPr="00F85BD8">
        <w:rPr>
          <w:b/>
          <w:sz w:val="24"/>
          <w:szCs w:val="24"/>
          <w:lang w:val="en-US"/>
        </w:rPr>
        <w:t>Figure 3:</w:t>
      </w:r>
      <w:r w:rsidR="00BF087A" w:rsidRPr="00F85BD8">
        <w:rPr>
          <w:b/>
          <w:sz w:val="24"/>
          <w:szCs w:val="24"/>
          <w:lang w:val="en-US"/>
        </w:rPr>
        <w:t xml:space="preserve"> </w:t>
      </w:r>
      <w:r w:rsidRPr="00F85BD8">
        <w:rPr>
          <w:b/>
          <w:sz w:val="24"/>
          <w:szCs w:val="24"/>
          <w:lang w:val="en-US"/>
        </w:rPr>
        <w:t>Mean (SEM) observed FVC change from baseline (mL) over 52 weeks</w:t>
      </w:r>
    </w:p>
    <w:p w14:paraId="1EDCB37C" w14:textId="77777777" w:rsidR="00D657C7" w:rsidRPr="00F85BD8" w:rsidRDefault="00D657C7" w:rsidP="00BF087A">
      <w:pPr>
        <w:keepNext/>
        <w:autoSpaceDE w:val="0"/>
        <w:autoSpaceDN w:val="0"/>
        <w:adjustRightInd w:val="0"/>
        <w:ind w:left="1134" w:hanging="1134"/>
        <w:rPr>
          <w:sz w:val="24"/>
          <w:szCs w:val="24"/>
          <w:lang w:val="en-US"/>
        </w:rPr>
      </w:pPr>
    </w:p>
    <w:p w14:paraId="13DE5179" w14:textId="023CBE0F" w:rsidR="00D657C7" w:rsidRPr="00F85BD8" w:rsidRDefault="00D657C7" w:rsidP="00BF087A">
      <w:pPr>
        <w:keepNext/>
        <w:autoSpaceDE w:val="0"/>
        <w:autoSpaceDN w:val="0"/>
        <w:adjustRightInd w:val="0"/>
        <w:rPr>
          <w:sz w:val="24"/>
          <w:szCs w:val="24"/>
        </w:rPr>
      </w:pPr>
      <w:r w:rsidRPr="00F85BD8">
        <w:rPr>
          <w:noProof/>
          <w:sz w:val="24"/>
          <w:szCs w:val="24"/>
        </w:rPr>
        <w:drawing>
          <wp:inline distT="0" distB="0" distL="0" distR="0" wp14:anchorId="5A501F96" wp14:editId="48550F67">
            <wp:extent cx="5760720" cy="4419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419600"/>
                    </a:xfrm>
                    <a:prstGeom prst="rect">
                      <a:avLst/>
                    </a:prstGeom>
                    <a:noFill/>
                    <a:ln>
                      <a:noFill/>
                    </a:ln>
                  </pic:spPr>
                </pic:pic>
              </a:graphicData>
            </a:graphic>
          </wp:inline>
        </w:drawing>
      </w:r>
    </w:p>
    <w:p w14:paraId="52E855FD" w14:textId="77777777" w:rsidR="00D657C7" w:rsidRPr="009929B6" w:rsidRDefault="00D657C7" w:rsidP="00BF087A">
      <w:pPr>
        <w:keepNext/>
        <w:autoSpaceDE w:val="0"/>
        <w:autoSpaceDN w:val="0"/>
        <w:adjustRightInd w:val="0"/>
        <w:rPr>
          <w:sz w:val="20"/>
          <w:lang w:val="en-US"/>
        </w:rPr>
      </w:pPr>
      <w:r w:rsidRPr="009929B6">
        <w:rPr>
          <w:sz w:val="20"/>
          <w:lang w:val="en-US"/>
        </w:rPr>
        <w:t>bid=twice daily</w:t>
      </w:r>
    </w:p>
    <w:p w14:paraId="3637AC3E" w14:textId="77777777" w:rsidR="00D657C7" w:rsidRPr="00F85BD8" w:rsidRDefault="00D657C7" w:rsidP="00BF087A">
      <w:pPr>
        <w:keepNext/>
        <w:autoSpaceDE w:val="0"/>
        <w:autoSpaceDN w:val="0"/>
        <w:adjustRightInd w:val="0"/>
        <w:rPr>
          <w:sz w:val="24"/>
          <w:szCs w:val="24"/>
          <w:lang w:val="en-US"/>
        </w:rPr>
      </w:pPr>
    </w:p>
    <w:p w14:paraId="10D79E7E" w14:textId="77777777" w:rsidR="00D657C7" w:rsidRPr="00F85BD8" w:rsidRDefault="00D657C7" w:rsidP="00BF087A">
      <w:pPr>
        <w:ind w:left="851"/>
        <w:rPr>
          <w:sz w:val="24"/>
          <w:szCs w:val="24"/>
          <w:lang w:val="en-US"/>
        </w:rPr>
      </w:pPr>
      <w:r w:rsidRPr="00F85BD8">
        <w:rPr>
          <w:sz w:val="24"/>
          <w:szCs w:val="24"/>
          <w:lang w:val="en-US"/>
        </w:rPr>
        <w:t xml:space="preserve">In addition, </w:t>
      </w:r>
      <w:proofErr w:type="spellStart"/>
      <w:r w:rsidRPr="00F85BD8">
        <w:rPr>
          <w:sz w:val="24"/>
          <w:szCs w:val="24"/>
          <w:lang w:val="en-US"/>
        </w:rPr>
        <w:t>favourable</w:t>
      </w:r>
      <w:proofErr w:type="spellEnd"/>
      <w:r w:rsidRPr="00F85BD8">
        <w:rPr>
          <w:sz w:val="24"/>
          <w:szCs w:val="24"/>
          <w:lang w:val="en-US"/>
        </w:rPr>
        <w:t xml:space="preserve"> effects of </w:t>
      </w:r>
      <w:proofErr w:type="spellStart"/>
      <w:r w:rsidRPr="00F85BD8">
        <w:rPr>
          <w:sz w:val="24"/>
          <w:szCs w:val="24"/>
          <w:lang w:val="en-US"/>
        </w:rPr>
        <w:t>nintedanib</w:t>
      </w:r>
      <w:proofErr w:type="spellEnd"/>
      <w:r w:rsidRPr="00F85BD8">
        <w:rPr>
          <w:sz w:val="24"/>
          <w:szCs w:val="24"/>
          <w:lang w:val="en-US"/>
        </w:rPr>
        <w:t xml:space="preserve"> were observed on the adjusted mean absolute change from baseline in FVC % predicted at week 52. The adjusted mean absolute change from baseline to week 52 in FVC % predicted was lower in the </w:t>
      </w:r>
      <w:proofErr w:type="spellStart"/>
      <w:r w:rsidRPr="00F85BD8">
        <w:rPr>
          <w:sz w:val="24"/>
          <w:szCs w:val="24"/>
          <w:lang w:val="en-US"/>
        </w:rPr>
        <w:t>nintedanib</w:t>
      </w:r>
      <w:proofErr w:type="spellEnd"/>
      <w:r w:rsidRPr="00F85BD8">
        <w:rPr>
          <w:sz w:val="24"/>
          <w:szCs w:val="24"/>
          <w:lang w:val="en-US"/>
        </w:rPr>
        <w:t xml:space="preserve"> group (</w:t>
      </w:r>
      <w:r w:rsidRPr="00F85BD8">
        <w:rPr>
          <w:sz w:val="24"/>
          <w:szCs w:val="24"/>
          <w:lang w:val="en-US"/>
        </w:rPr>
        <w:noBreakHyphen/>
        <w:t>2.62%) than in the placebo group (</w:t>
      </w:r>
      <w:r w:rsidRPr="00F85BD8">
        <w:rPr>
          <w:sz w:val="24"/>
          <w:szCs w:val="24"/>
          <w:lang w:val="en-US"/>
        </w:rPr>
        <w:noBreakHyphen/>
        <w:t>5.86%). The adjusted mean difference between the treatment groups was 3.24 (95% CI: 2.09, 4.40, nominal p&lt;0.0001).</w:t>
      </w:r>
    </w:p>
    <w:p w14:paraId="3AE804B1" w14:textId="77777777" w:rsidR="00D657C7" w:rsidRPr="00F85BD8" w:rsidRDefault="00D657C7" w:rsidP="00BF087A">
      <w:pPr>
        <w:ind w:left="851"/>
        <w:rPr>
          <w:sz w:val="24"/>
          <w:szCs w:val="24"/>
          <w:lang w:val="en-US"/>
        </w:rPr>
      </w:pPr>
    </w:p>
    <w:p w14:paraId="7208C7A0" w14:textId="77777777" w:rsidR="00D657C7" w:rsidRPr="00F85BD8" w:rsidRDefault="00D657C7" w:rsidP="00BF087A">
      <w:pPr>
        <w:ind w:left="851"/>
        <w:rPr>
          <w:i/>
          <w:sz w:val="24"/>
          <w:szCs w:val="24"/>
          <w:u w:val="single"/>
          <w:lang w:val="en-US"/>
        </w:rPr>
      </w:pPr>
      <w:r w:rsidRPr="00F85BD8">
        <w:rPr>
          <w:i/>
          <w:sz w:val="24"/>
          <w:szCs w:val="24"/>
          <w:u w:val="single"/>
          <w:lang w:val="en-US"/>
        </w:rPr>
        <w:t>FVC responder analysis</w:t>
      </w:r>
    </w:p>
    <w:p w14:paraId="55DF3059" w14:textId="77777777" w:rsidR="00D657C7" w:rsidRPr="00F85BD8" w:rsidRDefault="00D657C7" w:rsidP="00BF087A">
      <w:pPr>
        <w:ind w:left="851"/>
        <w:rPr>
          <w:sz w:val="24"/>
          <w:szCs w:val="24"/>
          <w:lang w:val="en-US"/>
        </w:rPr>
      </w:pPr>
      <w:r w:rsidRPr="00F85BD8">
        <w:rPr>
          <w:sz w:val="24"/>
          <w:szCs w:val="24"/>
          <w:lang w:val="en-US"/>
        </w:rPr>
        <w:t xml:space="preserve">The proportion of FVC responders, defined as patients with a relative decline in FVC % predicted no greater than 5%, was higher in the </w:t>
      </w:r>
      <w:proofErr w:type="spellStart"/>
      <w:r w:rsidRPr="00F85BD8">
        <w:rPr>
          <w:sz w:val="24"/>
          <w:szCs w:val="24"/>
          <w:lang w:val="en-US"/>
        </w:rPr>
        <w:t>nintedanib</w:t>
      </w:r>
      <w:proofErr w:type="spellEnd"/>
      <w:r w:rsidRPr="00F85BD8">
        <w:rPr>
          <w:sz w:val="24"/>
          <w:szCs w:val="24"/>
          <w:lang w:val="en-US"/>
        </w:rPr>
        <w:t xml:space="preserve"> group as compared to placebo. Similar results were observed in analyses using a threshold of 10% (Table 9).</w:t>
      </w:r>
    </w:p>
    <w:p w14:paraId="6E4E9D79" w14:textId="77777777" w:rsidR="00D657C7" w:rsidRPr="00F85BD8" w:rsidRDefault="00D657C7" w:rsidP="00BF087A">
      <w:pPr>
        <w:ind w:left="851"/>
        <w:rPr>
          <w:sz w:val="24"/>
          <w:szCs w:val="24"/>
          <w:lang w:val="en-US"/>
        </w:rPr>
      </w:pPr>
    </w:p>
    <w:p w14:paraId="58FC0E50" w14:textId="4A53F75D" w:rsidR="00D657C7" w:rsidRPr="00F85BD8" w:rsidRDefault="00D657C7" w:rsidP="00BF087A">
      <w:pPr>
        <w:rPr>
          <w:b/>
          <w:sz w:val="24"/>
          <w:szCs w:val="24"/>
          <w:lang w:val="en-US"/>
        </w:rPr>
      </w:pPr>
      <w:r w:rsidRPr="00F85BD8">
        <w:rPr>
          <w:b/>
          <w:sz w:val="24"/>
          <w:szCs w:val="24"/>
          <w:lang w:val="en-US"/>
        </w:rPr>
        <w:t>Table 9:</w:t>
      </w:r>
      <w:r w:rsidR="00B24AEB" w:rsidRPr="00F85BD8">
        <w:rPr>
          <w:b/>
          <w:sz w:val="24"/>
          <w:szCs w:val="24"/>
          <w:lang w:val="en-US"/>
        </w:rPr>
        <w:t xml:space="preserve"> </w:t>
      </w:r>
      <w:r w:rsidRPr="00F85BD8">
        <w:rPr>
          <w:b/>
          <w:sz w:val="24"/>
          <w:szCs w:val="24"/>
          <w:lang w:val="en-US"/>
        </w:rPr>
        <w:t>Proportion of FVC responders at 52 weeks in INBUILD</w:t>
      </w:r>
    </w:p>
    <w:p w14:paraId="58BDE781" w14:textId="77777777" w:rsidR="00D657C7" w:rsidRPr="00F85BD8" w:rsidRDefault="00D657C7" w:rsidP="00BF087A">
      <w:pPr>
        <w:rPr>
          <w:sz w:val="24"/>
          <w:szCs w:val="24"/>
          <w:lang w:val="en-US"/>
        </w:rPr>
      </w:pPr>
    </w:p>
    <w:tbl>
      <w:tblPr>
        <w:tblStyle w:val="Tabel-Gitter"/>
        <w:tblW w:w="5000" w:type="pct"/>
        <w:tblInd w:w="0" w:type="dxa"/>
        <w:tblLook w:val="04A0" w:firstRow="1" w:lastRow="0" w:firstColumn="1" w:lastColumn="0" w:noHBand="0" w:noVBand="1"/>
      </w:tblPr>
      <w:tblGrid>
        <w:gridCol w:w="4669"/>
        <w:gridCol w:w="2411"/>
        <w:gridCol w:w="2548"/>
      </w:tblGrid>
      <w:tr w:rsidR="00D657C7" w:rsidRPr="009929B6" w14:paraId="4E691999" w14:textId="77777777" w:rsidTr="00B24AEB">
        <w:trPr>
          <w:tblHeader/>
        </w:trPr>
        <w:tc>
          <w:tcPr>
            <w:tcW w:w="2425" w:type="pct"/>
            <w:tcBorders>
              <w:top w:val="single" w:sz="4" w:space="0" w:color="auto"/>
              <w:left w:val="single" w:sz="4" w:space="0" w:color="auto"/>
              <w:bottom w:val="single" w:sz="4" w:space="0" w:color="auto"/>
              <w:right w:val="single" w:sz="4" w:space="0" w:color="auto"/>
            </w:tcBorders>
          </w:tcPr>
          <w:p w14:paraId="086734E8" w14:textId="77777777" w:rsidR="00D657C7" w:rsidRPr="009929B6" w:rsidRDefault="00D657C7">
            <w:pPr>
              <w:autoSpaceDE w:val="0"/>
              <w:autoSpaceDN w:val="0"/>
              <w:adjustRightInd w:val="0"/>
              <w:rPr>
                <w:sz w:val="22"/>
                <w:szCs w:val="22"/>
              </w:rPr>
            </w:pPr>
          </w:p>
        </w:tc>
        <w:tc>
          <w:tcPr>
            <w:tcW w:w="1252" w:type="pct"/>
            <w:tcBorders>
              <w:top w:val="single" w:sz="4" w:space="0" w:color="auto"/>
              <w:left w:val="single" w:sz="4" w:space="0" w:color="auto"/>
              <w:bottom w:val="single" w:sz="4" w:space="0" w:color="auto"/>
              <w:right w:val="single" w:sz="4" w:space="0" w:color="auto"/>
            </w:tcBorders>
            <w:hideMark/>
          </w:tcPr>
          <w:p w14:paraId="7A65511D"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323" w:type="pct"/>
            <w:tcBorders>
              <w:top w:val="single" w:sz="4" w:space="0" w:color="auto"/>
              <w:left w:val="single" w:sz="4" w:space="0" w:color="auto"/>
              <w:bottom w:val="single" w:sz="4" w:space="0" w:color="auto"/>
              <w:right w:val="single" w:sz="4" w:space="0" w:color="auto"/>
            </w:tcBorders>
            <w:hideMark/>
          </w:tcPr>
          <w:p w14:paraId="1BE5C584"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58D715B8"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7BDFA73C"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3107CFAF"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252" w:type="pct"/>
            <w:tcBorders>
              <w:top w:val="single" w:sz="4" w:space="0" w:color="auto"/>
              <w:left w:val="single" w:sz="4" w:space="0" w:color="auto"/>
              <w:bottom w:val="single" w:sz="4" w:space="0" w:color="auto"/>
              <w:right w:val="single" w:sz="4" w:space="0" w:color="auto"/>
            </w:tcBorders>
            <w:vAlign w:val="center"/>
            <w:hideMark/>
          </w:tcPr>
          <w:p w14:paraId="13B742E5" w14:textId="77777777" w:rsidR="00D657C7" w:rsidRPr="009929B6" w:rsidRDefault="00D657C7">
            <w:pPr>
              <w:autoSpaceDE w:val="0"/>
              <w:autoSpaceDN w:val="0"/>
              <w:adjustRightInd w:val="0"/>
              <w:jc w:val="center"/>
              <w:rPr>
                <w:sz w:val="22"/>
                <w:szCs w:val="22"/>
              </w:rPr>
            </w:pPr>
            <w:r w:rsidRPr="009929B6">
              <w:rPr>
                <w:sz w:val="22"/>
                <w:szCs w:val="22"/>
              </w:rPr>
              <w:t>331</w:t>
            </w:r>
          </w:p>
        </w:tc>
        <w:tc>
          <w:tcPr>
            <w:tcW w:w="1323" w:type="pct"/>
            <w:tcBorders>
              <w:top w:val="single" w:sz="4" w:space="0" w:color="auto"/>
              <w:left w:val="single" w:sz="4" w:space="0" w:color="auto"/>
              <w:bottom w:val="single" w:sz="4" w:space="0" w:color="auto"/>
              <w:right w:val="single" w:sz="4" w:space="0" w:color="auto"/>
            </w:tcBorders>
            <w:vAlign w:val="center"/>
            <w:hideMark/>
          </w:tcPr>
          <w:p w14:paraId="788E0841" w14:textId="77777777" w:rsidR="00D657C7" w:rsidRPr="009929B6" w:rsidRDefault="00D657C7">
            <w:pPr>
              <w:autoSpaceDE w:val="0"/>
              <w:autoSpaceDN w:val="0"/>
              <w:adjustRightInd w:val="0"/>
              <w:jc w:val="center"/>
              <w:rPr>
                <w:sz w:val="22"/>
                <w:szCs w:val="22"/>
              </w:rPr>
            </w:pPr>
            <w:r w:rsidRPr="009929B6">
              <w:rPr>
                <w:sz w:val="22"/>
                <w:szCs w:val="22"/>
              </w:rPr>
              <w:t>332</w:t>
            </w:r>
          </w:p>
        </w:tc>
      </w:tr>
      <w:tr w:rsidR="00D657C7" w:rsidRPr="009929B6" w14:paraId="3107A6B6" w14:textId="77777777" w:rsidTr="00B24AEB">
        <w:tc>
          <w:tcPr>
            <w:tcW w:w="5000" w:type="pct"/>
            <w:gridSpan w:val="3"/>
            <w:tcBorders>
              <w:top w:val="single" w:sz="4" w:space="0" w:color="auto"/>
              <w:left w:val="single" w:sz="4" w:space="0" w:color="auto"/>
              <w:bottom w:val="single" w:sz="4" w:space="0" w:color="auto"/>
              <w:right w:val="single" w:sz="4" w:space="0" w:color="auto"/>
            </w:tcBorders>
            <w:hideMark/>
          </w:tcPr>
          <w:p w14:paraId="4E1FB24A" w14:textId="77777777" w:rsidR="00D657C7" w:rsidRPr="009929B6" w:rsidRDefault="00D657C7">
            <w:pPr>
              <w:autoSpaceDE w:val="0"/>
              <w:autoSpaceDN w:val="0"/>
              <w:adjustRightInd w:val="0"/>
              <w:rPr>
                <w:b/>
                <w:sz w:val="22"/>
                <w:szCs w:val="22"/>
              </w:rPr>
            </w:pPr>
            <w:r w:rsidRPr="009929B6">
              <w:rPr>
                <w:b/>
                <w:sz w:val="22"/>
                <w:szCs w:val="22"/>
              </w:rPr>
              <w:t>5% threshold</w:t>
            </w:r>
          </w:p>
        </w:tc>
      </w:tr>
      <w:tr w:rsidR="00D657C7" w:rsidRPr="009929B6" w14:paraId="66F0A9C5"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0D936831"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1252" w:type="pct"/>
            <w:tcBorders>
              <w:top w:val="single" w:sz="4" w:space="0" w:color="auto"/>
              <w:left w:val="single" w:sz="4" w:space="0" w:color="auto"/>
              <w:bottom w:val="single" w:sz="4" w:space="0" w:color="auto"/>
              <w:right w:val="single" w:sz="4" w:space="0" w:color="auto"/>
            </w:tcBorders>
            <w:vAlign w:val="center"/>
            <w:hideMark/>
          </w:tcPr>
          <w:p w14:paraId="6B10CBA2" w14:textId="77777777" w:rsidR="00D657C7" w:rsidRPr="009929B6" w:rsidRDefault="00D657C7">
            <w:pPr>
              <w:autoSpaceDE w:val="0"/>
              <w:autoSpaceDN w:val="0"/>
              <w:adjustRightInd w:val="0"/>
              <w:jc w:val="center"/>
              <w:rPr>
                <w:sz w:val="22"/>
                <w:szCs w:val="22"/>
              </w:rPr>
            </w:pPr>
            <w:r w:rsidRPr="009929B6">
              <w:rPr>
                <w:sz w:val="22"/>
                <w:szCs w:val="22"/>
              </w:rPr>
              <w:t>104 (31.4)</w:t>
            </w:r>
          </w:p>
        </w:tc>
        <w:tc>
          <w:tcPr>
            <w:tcW w:w="1323" w:type="pct"/>
            <w:tcBorders>
              <w:top w:val="single" w:sz="4" w:space="0" w:color="auto"/>
              <w:left w:val="single" w:sz="4" w:space="0" w:color="auto"/>
              <w:bottom w:val="single" w:sz="4" w:space="0" w:color="auto"/>
              <w:right w:val="single" w:sz="4" w:space="0" w:color="auto"/>
            </w:tcBorders>
            <w:vAlign w:val="center"/>
            <w:hideMark/>
          </w:tcPr>
          <w:p w14:paraId="7E60E9A7" w14:textId="77777777" w:rsidR="00D657C7" w:rsidRPr="009929B6" w:rsidRDefault="00D657C7">
            <w:pPr>
              <w:autoSpaceDE w:val="0"/>
              <w:autoSpaceDN w:val="0"/>
              <w:adjustRightInd w:val="0"/>
              <w:jc w:val="center"/>
              <w:rPr>
                <w:sz w:val="22"/>
                <w:szCs w:val="22"/>
              </w:rPr>
            </w:pPr>
            <w:r w:rsidRPr="009929B6">
              <w:rPr>
                <w:sz w:val="22"/>
                <w:szCs w:val="22"/>
              </w:rPr>
              <w:t>158 (47.6)</w:t>
            </w:r>
          </w:p>
        </w:tc>
      </w:tr>
      <w:tr w:rsidR="00D657C7" w:rsidRPr="009929B6" w14:paraId="1D0C1AA1"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39ADDF61" w14:textId="77777777" w:rsidR="00D657C7" w:rsidRPr="009929B6" w:rsidRDefault="00D657C7">
            <w:pPr>
              <w:autoSpaceDE w:val="0"/>
              <w:autoSpaceDN w:val="0"/>
              <w:adjustRightInd w:val="0"/>
              <w:rPr>
                <w:sz w:val="22"/>
                <w:szCs w:val="22"/>
              </w:rPr>
            </w:pPr>
            <w:r w:rsidRPr="009929B6">
              <w:rPr>
                <w:sz w:val="22"/>
                <w:szCs w:val="22"/>
              </w:rPr>
              <w:t>Comparison vs placebo</w:t>
            </w:r>
          </w:p>
        </w:tc>
        <w:tc>
          <w:tcPr>
            <w:tcW w:w="1252" w:type="pct"/>
            <w:tcBorders>
              <w:top w:val="single" w:sz="4" w:space="0" w:color="auto"/>
              <w:left w:val="single" w:sz="4" w:space="0" w:color="auto"/>
              <w:bottom w:val="single" w:sz="4" w:space="0" w:color="auto"/>
              <w:right w:val="single" w:sz="4" w:space="0" w:color="auto"/>
            </w:tcBorders>
          </w:tcPr>
          <w:p w14:paraId="5E5F6CE5"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0DE1732C" w14:textId="77777777" w:rsidR="00D657C7" w:rsidRPr="009929B6" w:rsidRDefault="00D657C7">
            <w:pPr>
              <w:autoSpaceDE w:val="0"/>
              <w:autoSpaceDN w:val="0"/>
              <w:adjustRightInd w:val="0"/>
              <w:rPr>
                <w:sz w:val="22"/>
                <w:szCs w:val="22"/>
              </w:rPr>
            </w:pPr>
          </w:p>
        </w:tc>
      </w:tr>
      <w:tr w:rsidR="00D657C7" w:rsidRPr="009929B6" w14:paraId="1EDE4DFF"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74665C71" w14:textId="77777777" w:rsidR="00D657C7" w:rsidRPr="009929B6" w:rsidRDefault="00D657C7">
            <w:pPr>
              <w:autoSpaceDE w:val="0"/>
              <w:autoSpaceDN w:val="0"/>
              <w:adjustRightInd w:val="0"/>
              <w:ind w:left="317"/>
              <w:rPr>
                <w:sz w:val="22"/>
                <w:szCs w:val="22"/>
              </w:rPr>
            </w:pPr>
            <w:r w:rsidRPr="009929B6">
              <w:rPr>
                <w:sz w:val="22"/>
                <w:szCs w:val="22"/>
              </w:rPr>
              <w:t>Odds ratio²</w:t>
            </w:r>
          </w:p>
        </w:tc>
        <w:tc>
          <w:tcPr>
            <w:tcW w:w="1252" w:type="pct"/>
            <w:tcBorders>
              <w:top w:val="single" w:sz="4" w:space="0" w:color="auto"/>
              <w:left w:val="single" w:sz="4" w:space="0" w:color="auto"/>
              <w:bottom w:val="single" w:sz="4" w:space="0" w:color="auto"/>
              <w:right w:val="single" w:sz="4" w:space="0" w:color="auto"/>
            </w:tcBorders>
          </w:tcPr>
          <w:p w14:paraId="15F53F9C"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7C95EE27" w14:textId="77777777" w:rsidR="00D657C7" w:rsidRPr="009929B6" w:rsidRDefault="00D657C7">
            <w:pPr>
              <w:autoSpaceDE w:val="0"/>
              <w:autoSpaceDN w:val="0"/>
              <w:adjustRightInd w:val="0"/>
              <w:jc w:val="center"/>
              <w:rPr>
                <w:sz w:val="22"/>
                <w:szCs w:val="22"/>
              </w:rPr>
            </w:pPr>
            <w:r w:rsidRPr="009929B6">
              <w:rPr>
                <w:sz w:val="22"/>
                <w:szCs w:val="22"/>
              </w:rPr>
              <w:t>2.01</w:t>
            </w:r>
          </w:p>
        </w:tc>
      </w:tr>
      <w:tr w:rsidR="00D657C7" w:rsidRPr="009929B6" w14:paraId="0E2EEED2"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516304FB"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252" w:type="pct"/>
            <w:tcBorders>
              <w:top w:val="single" w:sz="4" w:space="0" w:color="auto"/>
              <w:left w:val="single" w:sz="4" w:space="0" w:color="auto"/>
              <w:bottom w:val="single" w:sz="4" w:space="0" w:color="auto"/>
              <w:right w:val="single" w:sz="4" w:space="0" w:color="auto"/>
            </w:tcBorders>
          </w:tcPr>
          <w:p w14:paraId="5EC2E6C0"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761B3E38" w14:textId="77777777" w:rsidR="00D657C7" w:rsidRPr="009929B6" w:rsidRDefault="00D657C7">
            <w:pPr>
              <w:autoSpaceDE w:val="0"/>
              <w:autoSpaceDN w:val="0"/>
              <w:adjustRightInd w:val="0"/>
              <w:jc w:val="center"/>
              <w:rPr>
                <w:sz w:val="22"/>
                <w:szCs w:val="22"/>
              </w:rPr>
            </w:pPr>
            <w:r w:rsidRPr="009929B6">
              <w:rPr>
                <w:sz w:val="22"/>
                <w:szCs w:val="22"/>
              </w:rPr>
              <w:t>(1.46, 2.76)</w:t>
            </w:r>
          </w:p>
        </w:tc>
      </w:tr>
      <w:tr w:rsidR="00D657C7" w:rsidRPr="009929B6" w14:paraId="46501307"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398CA729" w14:textId="77777777" w:rsidR="00D657C7" w:rsidRPr="009929B6" w:rsidRDefault="00D657C7">
            <w:pPr>
              <w:autoSpaceDE w:val="0"/>
              <w:autoSpaceDN w:val="0"/>
              <w:adjustRightInd w:val="0"/>
              <w:ind w:left="317"/>
              <w:rPr>
                <w:sz w:val="22"/>
                <w:szCs w:val="22"/>
              </w:rPr>
            </w:pPr>
            <w:r w:rsidRPr="009929B6">
              <w:rPr>
                <w:sz w:val="22"/>
                <w:szCs w:val="22"/>
              </w:rPr>
              <w:t>Nominal p-value</w:t>
            </w:r>
          </w:p>
        </w:tc>
        <w:tc>
          <w:tcPr>
            <w:tcW w:w="1252" w:type="pct"/>
            <w:tcBorders>
              <w:top w:val="single" w:sz="4" w:space="0" w:color="auto"/>
              <w:left w:val="single" w:sz="4" w:space="0" w:color="auto"/>
              <w:bottom w:val="single" w:sz="4" w:space="0" w:color="auto"/>
              <w:right w:val="single" w:sz="4" w:space="0" w:color="auto"/>
            </w:tcBorders>
          </w:tcPr>
          <w:p w14:paraId="63F5A490"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61B70BE4" w14:textId="77777777" w:rsidR="00D657C7" w:rsidRPr="009929B6" w:rsidRDefault="00D657C7">
            <w:pPr>
              <w:autoSpaceDE w:val="0"/>
              <w:autoSpaceDN w:val="0"/>
              <w:adjustRightInd w:val="0"/>
              <w:jc w:val="center"/>
              <w:rPr>
                <w:sz w:val="22"/>
                <w:szCs w:val="22"/>
              </w:rPr>
            </w:pPr>
            <w:r w:rsidRPr="009929B6">
              <w:rPr>
                <w:sz w:val="22"/>
                <w:szCs w:val="22"/>
              </w:rPr>
              <w:t>&lt;0.0001</w:t>
            </w:r>
          </w:p>
        </w:tc>
      </w:tr>
      <w:tr w:rsidR="00D657C7" w:rsidRPr="009929B6" w14:paraId="7F5478B8" w14:textId="77777777" w:rsidTr="00B24AEB">
        <w:tc>
          <w:tcPr>
            <w:tcW w:w="5000" w:type="pct"/>
            <w:gridSpan w:val="3"/>
            <w:tcBorders>
              <w:top w:val="single" w:sz="4" w:space="0" w:color="auto"/>
              <w:left w:val="single" w:sz="4" w:space="0" w:color="auto"/>
              <w:bottom w:val="single" w:sz="4" w:space="0" w:color="auto"/>
              <w:right w:val="single" w:sz="4" w:space="0" w:color="auto"/>
            </w:tcBorders>
            <w:hideMark/>
          </w:tcPr>
          <w:p w14:paraId="08F6CE49" w14:textId="77777777" w:rsidR="00D657C7" w:rsidRPr="009929B6" w:rsidRDefault="00D657C7">
            <w:pPr>
              <w:autoSpaceDE w:val="0"/>
              <w:autoSpaceDN w:val="0"/>
              <w:adjustRightInd w:val="0"/>
              <w:rPr>
                <w:b/>
                <w:sz w:val="22"/>
                <w:szCs w:val="22"/>
              </w:rPr>
            </w:pPr>
            <w:r w:rsidRPr="009929B6">
              <w:rPr>
                <w:b/>
                <w:sz w:val="22"/>
                <w:szCs w:val="22"/>
              </w:rPr>
              <w:t>10% threshold</w:t>
            </w:r>
          </w:p>
        </w:tc>
      </w:tr>
      <w:tr w:rsidR="00D657C7" w:rsidRPr="009929B6" w14:paraId="36599D80"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66A81F81" w14:textId="77777777" w:rsidR="00D657C7" w:rsidRPr="009929B6" w:rsidRDefault="00D657C7">
            <w:pPr>
              <w:autoSpaceDE w:val="0"/>
              <w:autoSpaceDN w:val="0"/>
              <w:adjustRightInd w:val="0"/>
              <w:rPr>
                <w:sz w:val="22"/>
                <w:szCs w:val="22"/>
              </w:rPr>
            </w:pPr>
            <w:r w:rsidRPr="009929B6">
              <w:rPr>
                <w:sz w:val="22"/>
                <w:szCs w:val="22"/>
              </w:rPr>
              <w:t>Number (%) of FVC responders</w:t>
            </w:r>
            <w:r w:rsidRPr="009929B6">
              <w:rPr>
                <w:sz w:val="22"/>
                <w:szCs w:val="22"/>
                <w:vertAlign w:val="superscript"/>
              </w:rPr>
              <w:t>1</w:t>
            </w:r>
          </w:p>
        </w:tc>
        <w:tc>
          <w:tcPr>
            <w:tcW w:w="1252" w:type="pct"/>
            <w:tcBorders>
              <w:top w:val="single" w:sz="4" w:space="0" w:color="auto"/>
              <w:left w:val="single" w:sz="4" w:space="0" w:color="auto"/>
              <w:bottom w:val="single" w:sz="4" w:space="0" w:color="auto"/>
              <w:right w:val="single" w:sz="4" w:space="0" w:color="auto"/>
            </w:tcBorders>
            <w:vAlign w:val="center"/>
            <w:hideMark/>
          </w:tcPr>
          <w:p w14:paraId="5ACD9105" w14:textId="77777777" w:rsidR="00D657C7" w:rsidRPr="009929B6" w:rsidRDefault="00D657C7">
            <w:pPr>
              <w:autoSpaceDE w:val="0"/>
              <w:autoSpaceDN w:val="0"/>
              <w:adjustRightInd w:val="0"/>
              <w:jc w:val="center"/>
              <w:rPr>
                <w:sz w:val="22"/>
                <w:szCs w:val="22"/>
              </w:rPr>
            </w:pPr>
            <w:r w:rsidRPr="009929B6">
              <w:rPr>
                <w:sz w:val="22"/>
                <w:szCs w:val="22"/>
              </w:rPr>
              <w:t>169 (51.1)</w:t>
            </w:r>
          </w:p>
        </w:tc>
        <w:tc>
          <w:tcPr>
            <w:tcW w:w="1323" w:type="pct"/>
            <w:tcBorders>
              <w:top w:val="single" w:sz="4" w:space="0" w:color="auto"/>
              <w:left w:val="single" w:sz="4" w:space="0" w:color="auto"/>
              <w:bottom w:val="single" w:sz="4" w:space="0" w:color="auto"/>
              <w:right w:val="single" w:sz="4" w:space="0" w:color="auto"/>
            </w:tcBorders>
            <w:vAlign w:val="center"/>
            <w:hideMark/>
          </w:tcPr>
          <w:p w14:paraId="1B416202" w14:textId="77777777" w:rsidR="00D657C7" w:rsidRPr="009929B6" w:rsidRDefault="00D657C7">
            <w:pPr>
              <w:autoSpaceDE w:val="0"/>
              <w:autoSpaceDN w:val="0"/>
              <w:adjustRightInd w:val="0"/>
              <w:jc w:val="center"/>
              <w:rPr>
                <w:sz w:val="22"/>
                <w:szCs w:val="22"/>
              </w:rPr>
            </w:pPr>
            <w:r w:rsidRPr="009929B6">
              <w:rPr>
                <w:sz w:val="22"/>
                <w:szCs w:val="22"/>
              </w:rPr>
              <w:t>197 (59.3)</w:t>
            </w:r>
          </w:p>
        </w:tc>
      </w:tr>
      <w:tr w:rsidR="00D657C7" w:rsidRPr="009929B6" w14:paraId="70AB2362"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26FC08E0" w14:textId="77777777" w:rsidR="00D657C7" w:rsidRPr="009929B6" w:rsidRDefault="00D657C7">
            <w:pPr>
              <w:autoSpaceDE w:val="0"/>
              <w:autoSpaceDN w:val="0"/>
              <w:adjustRightInd w:val="0"/>
              <w:rPr>
                <w:sz w:val="22"/>
                <w:szCs w:val="22"/>
              </w:rPr>
            </w:pPr>
            <w:r w:rsidRPr="009929B6">
              <w:rPr>
                <w:sz w:val="22"/>
                <w:szCs w:val="22"/>
              </w:rPr>
              <w:t>Comparison vs placebo</w:t>
            </w:r>
          </w:p>
        </w:tc>
        <w:tc>
          <w:tcPr>
            <w:tcW w:w="1252" w:type="pct"/>
            <w:tcBorders>
              <w:top w:val="single" w:sz="4" w:space="0" w:color="auto"/>
              <w:left w:val="single" w:sz="4" w:space="0" w:color="auto"/>
              <w:bottom w:val="single" w:sz="4" w:space="0" w:color="auto"/>
              <w:right w:val="single" w:sz="4" w:space="0" w:color="auto"/>
            </w:tcBorders>
          </w:tcPr>
          <w:p w14:paraId="2DED36E4"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tcPr>
          <w:p w14:paraId="005FA78B" w14:textId="77777777" w:rsidR="00D657C7" w:rsidRPr="009929B6" w:rsidRDefault="00D657C7">
            <w:pPr>
              <w:autoSpaceDE w:val="0"/>
              <w:autoSpaceDN w:val="0"/>
              <w:adjustRightInd w:val="0"/>
              <w:rPr>
                <w:sz w:val="22"/>
                <w:szCs w:val="22"/>
              </w:rPr>
            </w:pPr>
          </w:p>
        </w:tc>
      </w:tr>
      <w:tr w:rsidR="00D657C7" w:rsidRPr="009929B6" w14:paraId="035E6930"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70796707" w14:textId="77777777" w:rsidR="00D657C7" w:rsidRPr="009929B6" w:rsidRDefault="00D657C7">
            <w:pPr>
              <w:autoSpaceDE w:val="0"/>
              <w:autoSpaceDN w:val="0"/>
              <w:adjustRightInd w:val="0"/>
              <w:ind w:left="317"/>
              <w:rPr>
                <w:sz w:val="22"/>
                <w:szCs w:val="22"/>
              </w:rPr>
            </w:pPr>
            <w:r w:rsidRPr="009929B6">
              <w:rPr>
                <w:sz w:val="22"/>
                <w:szCs w:val="22"/>
              </w:rPr>
              <w:t>Odds ratio</w:t>
            </w:r>
            <w:r w:rsidRPr="009929B6">
              <w:rPr>
                <w:sz w:val="22"/>
                <w:szCs w:val="22"/>
                <w:vertAlign w:val="superscript"/>
              </w:rPr>
              <w:t>2</w:t>
            </w:r>
          </w:p>
        </w:tc>
        <w:tc>
          <w:tcPr>
            <w:tcW w:w="1252" w:type="pct"/>
            <w:tcBorders>
              <w:top w:val="single" w:sz="4" w:space="0" w:color="auto"/>
              <w:left w:val="single" w:sz="4" w:space="0" w:color="auto"/>
              <w:bottom w:val="single" w:sz="4" w:space="0" w:color="auto"/>
              <w:right w:val="single" w:sz="4" w:space="0" w:color="auto"/>
            </w:tcBorders>
          </w:tcPr>
          <w:p w14:paraId="7C726C81"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4CB97F88" w14:textId="77777777" w:rsidR="00D657C7" w:rsidRPr="009929B6" w:rsidRDefault="00D657C7">
            <w:pPr>
              <w:autoSpaceDE w:val="0"/>
              <w:autoSpaceDN w:val="0"/>
              <w:adjustRightInd w:val="0"/>
              <w:jc w:val="center"/>
              <w:rPr>
                <w:sz w:val="22"/>
                <w:szCs w:val="22"/>
              </w:rPr>
            </w:pPr>
            <w:r w:rsidRPr="009929B6">
              <w:rPr>
                <w:sz w:val="22"/>
                <w:szCs w:val="22"/>
              </w:rPr>
              <w:t>1.42</w:t>
            </w:r>
          </w:p>
        </w:tc>
      </w:tr>
      <w:tr w:rsidR="00D657C7" w:rsidRPr="009929B6" w14:paraId="6F656D01"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57F615AD"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252" w:type="pct"/>
            <w:tcBorders>
              <w:top w:val="single" w:sz="4" w:space="0" w:color="auto"/>
              <w:left w:val="single" w:sz="4" w:space="0" w:color="auto"/>
              <w:bottom w:val="single" w:sz="4" w:space="0" w:color="auto"/>
              <w:right w:val="single" w:sz="4" w:space="0" w:color="auto"/>
            </w:tcBorders>
          </w:tcPr>
          <w:p w14:paraId="16AA7361"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24190870" w14:textId="77777777" w:rsidR="00D657C7" w:rsidRPr="009929B6" w:rsidRDefault="00D657C7">
            <w:pPr>
              <w:autoSpaceDE w:val="0"/>
              <w:autoSpaceDN w:val="0"/>
              <w:adjustRightInd w:val="0"/>
              <w:jc w:val="center"/>
              <w:rPr>
                <w:sz w:val="22"/>
                <w:szCs w:val="22"/>
              </w:rPr>
            </w:pPr>
            <w:r w:rsidRPr="009929B6">
              <w:rPr>
                <w:sz w:val="22"/>
                <w:szCs w:val="22"/>
              </w:rPr>
              <w:t>(1.04, 1.94)</w:t>
            </w:r>
          </w:p>
        </w:tc>
      </w:tr>
      <w:tr w:rsidR="00D657C7" w:rsidRPr="009929B6" w14:paraId="75CB4087" w14:textId="77777777" w:rsidTr="00B24AEB">
        <w:tc>
          <w:tcPr>
            <w:tcW w:w="2425" w:type="pct"/>
            <w:tcBorders>
              <w:top w:val="single" w:sz="4" w:space="0" w:color="auto"/>
              <w:left w:val="single" w:sz="4" w:space="0" w:color="auto"/>
              <w:bottom w:val="single" w:sz="4" w:space="0" w:color="auto"/>
              <w:right w:val="single" w:sz="4" w:space="0" w:color="auto"/>
            </w:tcBorders>
            <w:hideMark/>
          </w:tcPr>
          <w:p w14:paraId="2113A1AC" w14:textId="77777777" w:rsidR="00D657C7" w:rsidRPr="009929B6" w:rsidRDefault="00D657C7">
            <w:pPr>
              <w:autoSpaceDE w:val="0"/>
              <w:autoSpaceDN w:val="0"/>
              <w:adjustRightInd w:val="0"/>
              <w:ind w:left="317"/>
              <w:rPr>
                <w:sz w:val="22"/>
                <w:szCs w:val="22"/>
              </w:rPr>
            </w:pPr>
            <w:r w:rsidRPr="009929B6">
              <w:rPr>
                <w:sz w:val="22"/>
                <w:szCs w:val="22"/>
              </w:rPr>
              <w:t>Nominal p-value</w:t>
            </w:r>
          </w:p>
        </w:tc>
        <w:tc>
          <w:tcPr>
            <w:tcW w:w="1252" w:type="pct"/>
            <w:tcBorders>
              <w:top w:val="single" w:sz="4" w:space="0" w:color="auto"/>
              <w:left w:val="single" w:sz="4" w:space="0" w:color="auto"/>
              <w:bottom w:val="single" w:sz="4" w:space="0" w:color="auto"/>
              <w:right w:val="single" w:sz="4" w:space="0" w:color="auto"/>
            </w:tcBorders>
          </w:tcPr>
          <w:p w14:paraId="092E02F4" w14:textId="77777777" w:rsidR="00D657C7" w:rsidRPr="009929B6" w:rsidRDefault="00D657C7">
            <w:pPr>
              <w:autoSpaceDE w:val="0"/>
              <w:autoSpaceDN w:val="0"/>
              <w:adjustRightInd w:val="0"/>
              <w:rPr>
                <w:sz w:val="22"/>
                <w:szCs w:val="22"/>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4533F859" w14:textId="77777777" w:rsidR="00D657C7" w:rsidRPr="009929B6" w:rsidRDefault="00D657C7">
            <w:pPr>
              <w:autoSpaceDE w:val="0"/>
              <w:autoSpaceDN w:val="0"/>
              <w:adjustRightInd w:val="0"/>
              <w:jc w:val="center"/>
              <w:rPr>
                <w:sz w:val="22"/>
                <w:szCs w:val="22"/>
              </w:rPr>
            </w:pPr>
            <w:r w:rsidRPr="009929B6">
              <w:rPr>
                <w:sz w:val="22"/>
                <w:szCs w:val="22"/>
              </w:rPr>
              <w:t>0.0268</w:t>
            </w:r>
          </w:p>
        </w:tc>
      </w:tr>
    </w:tbl>
    <w:p w14:paraId="11775EDA" w14:textId="11C55DE9" w:rsidR="00D657C7" w:rsidRPr="009929B6" w:rsidRDefault="00D657C7" w:rsidP="00B24AEB">
      <w:pPr>
        <w:autoSpaceDE w:val="0"/>
        <w:autoSpaceDN w:val="0"/>
        <w:adjustRightInd w:val="0"/>
        <w:ind w:left="284" w:hanging="284"/>
        <w:rPr>
          <w:sz w:val="20"/>
          <w:lang w:val="en-GB" w:eastAsia="en-US"/>
        </w:rPr>
      </w:pPr>
      <w:r w:rsidRPr="009929B6">
        <w:rPr>
          <w:sz w:val="20"/>
          <w:vertAlign w:val="superscript"/>
          <w:lang w:val="en-US"/>
        </w:rPr>
        <w:t xml:space="preserve">1 </w:t>
      </w:r>
      <w:r w:rsidR="00B24AEB" w:rsidRPr="009929B6">
        <w:rPr>
          <w:sz w:val="20"/>
          <w:vertAlign w:val="superscript"/>
          <w:lang w:val="en-US"/>
        </w:rPr>
        <w:tab/>
      </w:r>
      <w:r w:rsidRPr="009929B6">
        <w:rPr>
          <w:sz w:val="20"/>
          <w:lang w:val="en-US"/>
        </w:rPr>
        <w:t>Responder patients are those with no relative decline greater than 5% or greater than 10% in FVC % predicted, depending on the threshold and with an FVC evaluation at 52 weeks (patients with missing data at week 52 were considered as non-responders).</w:t>
      </w:r>
    </w:p>
    <w:p w14:paraId="2B7E8293" w14:textId="5BB06373" w:rsidR="00D657C7" w:rsidRPr="009929B6" w:rsidRDefault="00D657C7" w:rsidP="00B24AEB">
      <w:pPr>
        <w:autoSpaceDE w:val="0"/>
        <w:autoSpaceDN w:val="0"/>
        <w:adjustRightInd w:val="0"/>
        <w:ind w:left="284" w:hanging="284"/>
        <w:rPr>
          <w:sz w:val="20"/>
          <w:lang w:val="en-US"/>
        </w:rPr>
      </w:pPr>
      <w:r w:rsidRPr="009929B6">
        <w:rPr>
          <w:sz w:val="20"/>
          <w:vertAlign w:val="superscript"/>
          <w:lang w:val="en-US"/>
        </w:rPr>
        <w:t xml:space="preserve">2 </w:t>
      </w:r>
      <w:r w:rsidR="00B24AEB" w:rsidRPr="009929B6">
        <w:rPr>
          <w:sz w:val="20"/>
          <w:vertAlign w:val="superscript"/>
          <w:lang w:val="en-US"/>
        </w:rPr>
        <w:tab/>
      </w:r>
      <w:r w:rsidRPr="009929B6">
        <w:rPr>
          <w:sz w:val="20"/>
          <w:lang w:val="en-US"/>
        </w:rPr>
        <w:t>Based on a logistic regression model with continuous covariate baseline FVC % predicted and binary covariate HRCT pattern</w:t>
      </w:r>
    </w:p>
    <w:p w14:paraId="2F640FC7" w14:textId="77777777" w:rsidR="00D657C7" w:rsidRPr="00F85BD8" w:rsidRDefault="00D657C7" w:rsidP="00D657C7">
      <w:pPr>
        <w:autoSpaceDE w:val="0"/>
        <w:autoSpaceDN w:val="0"/>
        <w:adjustRightInd w:val="0"/>
        <w:rPr>
          <w:sz w:val="24"/>
          <w:szCs w:val="24"/>
          <w:lang w:val="en-US"/>
        </w:rPr>
      </w:pPr>
    </w:p>
    <w:p w14:paraId="2CBE1EFC" w14:textId="77777777" w:rsidR="00D657C7" w:rsidRPr="009929B6" w:rsidRDefault="00D657C7" w:rsidP="00B24AEB">
      <w:pPr>
        <w:ind w:left="851"/>
        <w:rPr>
          <w:i/>
          <w:sz w:val="24"/>
          <w:szCs w:val="24"/>
          <w:u w:val="single"/>
          <w:lang w:val="en-US"/>
        </w:rPr>
      </w:pPr>
      <w:r w:rsidRPr="009929B6">
        <w:rPr>
          <w:i/>
          <w:sz w:val="24"/>
          <w:szCs w:val="24"/>
          <w:u w:val="single"/>
          <w:lang w:val="en-US"/>
        </w:rPr>
        <w:t>Time to first acute ILD exacerbation or death</w:t>
      </w:r>
    </w:p>
    <w:p w14:paraId="14B76D49" w14:textId="77777777" w:rsidR="00D657C7" w:rsidRPr="00F85BD8" w:rsidRDefault="00D657C7" w:rsidP="00B24AEB">
      <w:pPr>
        <w:ind w:left="851"/>
        <w:rPr>
          <w:sz w:val="24"/>
          <w:szCs w:val="24"/>
          <w:lang w:val="en-US"/>
        </w:rPr>
      </w:pPr>
      <w:r w:rsidRPr="00F85BD8">
        <w:rPr>
          <w:sz w:val="24"/>
          <w:szCs w:val="24"/>
          <w:lang w:val="en-US"/>
        </w:rPr>
        <w:t xml:space="preserve">Over the whole trial, the proportion of patients with at least one event of first acute ILD exacerbation or death was 13.9% in the </w:t>
      </w:r>
      <w:proofErr w:type="spellStart"/>
      <w:r w:rsidRPr="00F85BD8">
        <w:rPr>
          <w:sz w:val="24"/>
          <w:szCs w:val="24"/>
          <w:lang w:val="en-US"/>
        </w:rPr>
        <w:t>nintedanib</w:t>
      </w:r>
      <w:proofErr w:type="spellEnd"/>
      <w:r w:rsidRPr="00F85BD8">
        <w:rPr>
          <w:sz w:val="24"/>
          <w:szCs w:val="24"/>
          <w:lang w:val="en-US"/>
        </w:rPr>
        <w:t xml:space="preserve"> group and 19.6% in the placebo group. The HR was 0.67 (95% CI: 0.46, 0.98; nominal p=0.0387), indicating a 33% reduction in the risk of first acute ILD exacerbation or death in patients receiving </w:t>
      </w:r>
      <w:proofErr w:type="spellStart"/>
      <w:r w:rsidRPr="00F85BD8">
        <w:rPr>
          <w:sz w:val="24"/>
          <w:szCs w:val="24"/>
          <w:lang w:val="en-US"/>
        </w:rPr>
        <w:t>nintedanib</w:t>
      </w:r>
      <w:proofErr w:type="spellEnd"/>
      <w:r w:rsidRPr="00F85BD8">
        <w:rPr>
          <w:sz w:val="24"/>
          <w:szCs w:val="24"/>
          <w:lang w:val="en-US"/>
        </w:rPr>
        <w:t xml:space="preserve"> compared to placebo (Figure 4).</w:t>
      </w:r>
    </w:p>
    <w:p w14:paraId="5BE844C9" w14:textId="77777777" w:rsidR="00D657C7" w:rsidRPr="00F85BD8" w:rsidRDefault="00D657C7" w:rsidP="00B24AEB">
      <w:pPr>
        <w:ind w:left="851"/>
        <w:rPr>
          <w:sz w:val="24"/>
          <w:szCs w:val="24"/>
          <w:lang w:val="en-US"/>
        </w:rPr>
      </w:pPr>
    </w:p>
    <w:p w14:paraId="78A3C6DB" w14:textId="103F0F3D" w:rsidR="00D657C7" w:rsidRPr="00F85BD8" w:rsidRDefault="00D657C7" w:rsidP="00B24AEB">
      <w:pPr>
        <w:keepNext/>
        <w:rPr>
          <w:b/>
          <w:sz w:val="24"/>
          <w:szCs w:val="24"/>
          <w:lang w:val="en-US"/>
        </w:rPr>
      </w:pPr>
      <w:r w:rsidRPr="00F85BD8">
        <w:rPr>
          <w:b/>
          <w:sz w:val="24"/>
          <w:szCs w:val="24"/>
          <w:lang w:val="en-US"/>
        </w:rPr>
        <w:t>Figure 4:</w:t>
      </w:r>
      <w:r w:rsidR="00B24AEB" w:rsidRPr="00F85BD8">
        <w:rPr>
          <w:b/>
          <w:sz w:val="24"/>
          <w:szCs w:val="24"/>
          <w:lang w:val="en-US"/>
        </w:rPr>
        <w:t xml:space="preserve"> </w:t>
      </w:r>
      <w:r w:rsidRPr="00F85BD8">
        <w:rPr>
          <w:b/>
          <w:sz w:val="24"/>
          <w:szCs w:val="24"/>
          <w:lang w:val="en-US"/>
        </w:rPr>
        <w:t>Kaplan–Meier plot of time to first acute ILD exacerbation or death over the whole trial</w:t>
      </w:r>
    </w:p>
    <w:p w14:paraId="3E10B8B8" w14:textId="77777777" w:rsidR="00D657C7" w:rsidRPr="00F85BD8" w:rsidRDefault="00D657C7" w:rsidP="00B24AEB">
      <w:pPr>
        <w:keepNext/>
        <w:rPr>
          <w:sz w:val="24"/>
          <w:szCs w:val="24"/>
          <w:lang w:val="en-US"/>
        </w:rPr>
      </w:pPr>
    </w:p>
    <w:p w14:paraId="228B39BF" w14:textId="1722ADC8" w:rsidR="00D657C7" w:rsidRPr="00F85BD8" w:rsidRDefault="00D657C7" w:rsidP="00B24AEB">
      <w:pPr>
        <w:keepNext/>
        <w:autoSpaceDE w:val="0"/>
        <w:autoSpaceDN w:val="0"/>
        <w:adjustRightInd w:val="0"/>
        <w:rPr>
          <w:sz w:val="24"/>
          <w:szCs w:val="24"/>
        </w:rPr>
      </w:pPr>
      <w:r w:rsidRPr="00F85BD8">
        <w:rPr>
          <w:noProof/>
          <w:sz w:val="24"/>
          <w:szCs w:val="24"/>
        </w:rPr>
        <w:drawing>
          <wp:inline distT="0" distB="0" distL="0" distR="0" wp14:anchorId="4ED8B4C7" wp14:editId="05D6A91F">
            <wp:extent cx="5753100" cy="43205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20540"/>
                    </a:xfrm>
                    <a:prstGeom prst="rect">
                      <a:avLst/>
                    </a:prstGeom>
                    <a:noFill/>
                    <a:ln>
                      <a:noFill/>
                    </a:ln>
                  </pic:spPr>
                </pic:pic>
              </a:graphicData>
            </a:graphic>
          </wp:inline>
        </w:drawing>
      </w:r>
    </w:p>
    <w:p w14:paraId="52331220" w14:textId="77777777" w:rsidR="00D657C7" w:rsidRPr="009929B6" w:rsidRDefault="00D657C7" w:rsidP="00B24AEB">
      <w:pPr>
        <w:keepNext/>
        <w:autoSpaceDE w:val="0"/>
        <w:autoSpaceDN w:val="0"/>
        <w:adjustRightInd w:val="0"/>
        <w:rPr>
          <w:sz w:val="20"/>
          <w:lang w:val="en-US"/>
        </w:rPr>
      </w:pPr>
      <w:r w:rsidRPr="009929B6">
        <w:rPr>
          <w:sz w:val="20"/>
          <w:lang w:val="en-US"/>
        </w:rPr>
        <w:t>bid=twice daily</w:t>
      </w:r>
    </w:p>
    <w:p w14:paraId="0C4B493E" w14:textId="79A4DEE7" w:rsidR="00A93BE7" w:rsidRDefault="00A93BE7">
      <w:pPr>
        <w:rPr>
          <w:sz w:val="24"/>
          <w:szCs w:val="24"/>
          <w:lang w:val="en-US"/>
        </w:rPr>
      </w:pPr>
      <w:r>
        <w:rPr>
          <w:sz w:val="24"/>
          <w:szCs w:val="24"/>
          <w:lang w:val="en-US"/>
        </w:rPr>
        <w:br w:type="page"/>
      </w:r>
    </w:p>
    <w:p w14:paraId="4508416C" w14:textId="77777777" w:rsidR="00D657C7" w:rsidRPr="00F85BD8" w:rsidRDefault="00D657C7" w:rsidP="00D657C7">
      <w:pPr>
        <w:autoSpaceDE w:val="0"/>
        <w:autoSpaceDN w:val="0"/>
        <w:adjustRightInd w:val="0"/>
        <w:rPr>
          <w:sz w:val="24"/>
          <w:szCs w:val="24"/>
          <w:lang w:val="en-US"/>
        </w:rPr>
      </w:pPr>
    </w:p>
    <w:p w14:paraId="3F458D6A" w14:textId="77777777" w:rsidR="00D657C7" w:rsidRPr="009929B6" w:rsidRDefault="00D657C7" w:rsidP="00B24AEB">
      <w:pPr>
        <w:ind w:left="851"/>
        <w:rPr>
          <w:i/>
          <w:sz w:val="24"/>
          <w:szCs w:val="24"/>
          <w:u w:val="single"/>
          <w:lang w:val="en-US"/>
        </w:rPr>
      </w:pPr>
      <w:r w:rsidRPr="009929B6">
        <w:rPr>
          <w:i/>
          <w:sz w:val="24"/>
          <w:szCs w:val="24"/>
          <w:u w:val="single"/>
          <w:lang w:val="en-US"/>
        </w:rPr>
        <w:t>Survival analysis</w:t>
      </w:r>
    </w:p>
    <w:p w14:paraId="6A4EF6B1" w14:textId="77777777" w:rsidR="00D657C7" w:rsidRPr="00F85BD8" w:rsidRDefault="00D657C7" w:rsidP="00B24AEB">
      <w:pPr>
        <w:ind w:left="851"/>
        <w:rPr>
          <w:sz w:val="24"/>
          <w:szCs w:val="24"/>
          <w:lang w:val="en-US"/>
        </w:rPr>
      </w:pPr>
      <w:r w:rsidRPr="00F85BD8">
        <w:rPr>
          <w:sz w:val="24"/>
          <w:szCs w:val="24"/>
          <w:lang w:val="en-US"/>
        </w:rPr>
        <w:t xml:space="preserve">The risk of death was lower in the </w:t>
      </w:r>
      <w:proofErr w:type="spellStart"/>
      <w:r w:rsidRPr="00F85BD8">
        <w:rPr>
          <w:sz w:val="24"/>
          <w:szCs w:val="24"/>
          <w:lang w:val="en-US"/>
        </w:rPr>
        <w:t>nintedanib</w:t>
      </w:r>
      <w:proofErr w:type="spellEnd"/>
      <w:r w:rsidRPr="00F85BD8">
        <w:rPr>
          <w:sz w:val="24"/>
          <w:szCs w:val="24"/>
          <w:lang w:val="en-US"/>
        </w:rPr>
        <w:t xml:space="preserve"> group compared to the placebo group. The HR was 0.78 (95% CI: 0.50, 1.21; nominal p=0.2594), indicating a 22% reduction in the risk of death in patients receiving </w:t>
      </w:r>
      <w:proofErr w:type="spellStart"/>
      <w:r w:rsidRPr="00F85BD8">
        <w:rPr>
          <w:sz w:val="24"/>
          <w:szCs w:val="24"/>
          <w:lang w:val="en-US"/>
        </w:rPr>
        <w:t>nintedanib</w:t>
      </w:r>
      <w:proofErr w:type="spellEnd"/>
      <w:r w:rsidRPr="00F85BD8">
        <w:rPr>
          <w:sz w:val="24"/>
          <w:szCs w:val="24"/>
          <w:lang w:val="en-US"/>
        </w:rPr>
        <w:t xml:space="preserve"> compared to placebo.</w:t>
      </w:r>
    </w:p>
    <w:p w14:paraId="725AE6AC" w14:textId="77777777" w:rsidR="00D657C7" w:rsidRPr="00F85BD8" w:rsidRDefault="00D657C7" w:rsidP="00B24AEB">
      <w:pPr>
        <w:ind w:left="851"/>
        <w:rPr>
          <w:sz w:val="24"/>
          <w:szCs w:val="24"/>
          <w:lang w:val="en-US"/>
        </w:rPr>
      </w:pPr>
    </w:p>
    <w:p w14:paraId="245056C9" w14:textId="77777777" w:rsidR="00D657C7" w:rsidRPr="009929B6" w:rsidRDefault="00D657C7" w:rsidP="00B24AEB">
      <w:pPr>
        <w:ind w:left="851"/>
        <w:rPr>
          <w:i/>
          <w:sz w:val="24"/>
          <w:szCs w:val="24"/>
          <w:u w:val="single"/>
          <w:lang w:val="en-US"/>
        </w:rPr>
      </w:pPr>
      <w:r w:rsidRPr="009929B6">
        <w:rPr>
          <w:i/>
          <w:sz w:val="24"/>
          <w:szCs w:val="24"/>
          <w:u w:val="single"/>
          <w:lang w:val="en-US"/>
        </w:rPr>
        <w:t>Time to progression (≥10% absolute decline of FVC % predicted) or death</w:t>
      </w:r>
    </w:p>
    <w:p w14:paraId="391E3210" w14:textId="77777777" w:rsidR="00D657C7" w:rsidRPr="00F85BD8" w:rsidRDefault="00D657C7" w:rsidP="00B24AEB">
      <w:pPr>
        <w:ind w:left="851"/>
        <w:rPr>
          <w:sz w:val="24"/>
          <w:szCs w:val="24"/>
          <w:lang w:val="en-US"/>
        </w:rPr>
      </w:pPr>
      <w:r w:rsidRPr="00F85BD8">
        <w:rPr>
          <w:sz w:val="24"/>
          <w:szCs w:val="24"/>
          <w:lang w:val="en-US"/>
        </w:rPr>
        <w:t xml:space="preserve">In the INBUILD trial, the risk of progression (≥10% absolute decline of FVC % predicted) or death was reduced for patients treated with </w:t>
      </w:r>
      <w:proofErr w:type="spellStart"/>
      <w:r w:rsidRPr="00F85BD8">
        <w:rPr>
          <w:sz w:val="24"/>
          <w:szCs w:val="24"/>
          <w:lang w:val="en-US"/>
        </w:rPr>
        <w:t>nintedanib</w:t>
      </w:r>
      <w:proofErr w:type="spellEnd"/>
      <w:r w:rsidRPr="00F85BD8">
        <w:rPr>
          <w:sz w:val="24"/>
          <w:szCs w:val="24"/>
          <w:lang w:val="en-US"/>
        </w:rPr>
        <w:t xml:space="preserve">. The proportion of patients with an event was 40.4% in the </w:t>
      </w:r>
      <w:proofErr w:type="spellStart"/>
      <w:r w:rsidRPr="00F85BD8">
        <w:rPr>
          <w:sz w:val="24"/>
          <w:szCs w:val="24"/>
          <w:lang w:val="en-US"/>
        </w:rPr>
        <w:t>nintedanib</w:t>
      </w:r>
      <w:proofErr w:type="spellEnd"/>
      <w:r w:rsidRPr="00F85BD8">
        <w:rPr>
          <w:sz w:val="24"/>
          <w:szCs w:val="24"/>
          <w:lang w:val="en-US"/>
        </w:rPr>
        <w:t xml:space="preserve"> group and 54.7% in the placebo group. The HR was 0.66 (95% CI: 0.53, 0.83; p=0.0003), indicating a 34% reduction of the risk of progression (≥10% absolute decline of FVC % predicted) or death in patients receiving </w:t>
      </w:r>
      <w:proofErr w:type="spellStart"/>
      <w:r w:rsidRPr="00F85BD8">
        <w:rPr>
          <w:sz w:val="24"/>
          <w:szCs w:val="24"/>
          <w:lang w:val="en-US"/>
        </w:rPr>
        <w:t>nintedanib</w:t>
      </w:r>
      <w:proofErr w:type="spellEnd"/>
      <w:r w:rsidRPr="00F85BD8">
        <w:rPr>
          <w:sz w:val="24"/>
          <w:szCs w:val="24"/>
          <w:lang w:val="en-US"/>
        </w:rPr>
        <w:t xml:space="preserve"> compared to placebo.</w:t>
      </w:r>
    </w:p>
    <w:p w14:paraId="56736FDF" w14:textId="77777777" w:rsidR="00D657C7" w:rsidRPr="00F85BD8" w:rsidRDefault="00D657C7" w:rsidP="00B24AEB">
      <w:pPr>
        <w:ind w:left="851"/>
        <w:rPr>
          <w:sz w:val="24"/>
          <w:szCs w:val="24"/>
          <w:lang w:val="en-US"/>
        </w:rPr>
      </w:pPr>
    </w:p>
    <w:p w14:paraId="2597929C" w14:textId="77777777" w:rsidR="00D657C7" w:rsidRPr="009929B6" w:rsidRDefault="00D657C7" w:rsidP="00B24AEB">
      <w:pPr>
        <w:ind w:left="851"/>
        <w:rPr>
          <w:i/>
          <w:sz w:val="24"/>
          <w:szCs w:val="24"/>
          <w:u w:val="single"/>
          <w:lang w:val="en-US"/>
        </w:rPr>
      </w:pPr>
      <w:r w:rsidRPr="009929B6">
        <w:rPr>
          <w:i/>
          <w:sz w:val="24"/>
          <w:szCs w:val="24"/>
          <w:u w:val="single"/>
          <w:lang w:val="en-US"/>
        </w:rPr>
        <w:t>Quality of life</w:t>
      </w:r>
    </w:p>
    <w:p w14:paraId="42E020EC" w14:textId="77777777" w:rsidR="00D657C7" w:rsidRPr="00F85BD8" w:rsidRDefault="00D657C7" w:rsidP="00B24AEB">
      <w:pPr>
        <w:ind w:left="851"/>
        <w:rPr>
          <w:sz w:val="24"/>
          <w:szCs w:val="24"/>
          <w:lang w:val="en-US"/>
        </w:rPr>
      </w:pPr>
      <w:r w:rsidRPr="00F85BD8">
        <w:rPr>
          <w:sz w:val="24"/>
          <w:szCs w:val="24"/>
          <w:lang w:val="en-US"/>
        </w:rPr>
        <w:t xml:space="preserve">The adjusted mean </w:t>
      </w:r>
      <w:proofErr w:type="gramStart"/>
      <w:r w:rsidRPr="00F85BD8">
        <w:rPr>
          <w:sz w:val="24"/>
          <w:szCs w:val="24"/>
          <w:lang w:val="en-US"/>
        </w:rPr>
        <w:t>change</w:t>
      </w:r>
      <w:proofErr w:type="gramEnd"/>
      <w:r w:rsidRPr="00F85BD8">
        <w:rPr>
          <w:sz w:val="24"/>
          <w:szCs w:val="24"/>
          <w:lang w:val="en-US"/>
        </w:rPr>
        <w:t xml:space="preserve"> from baseline in K</w:t>
      </w:r>
      <w:r w:rsidRPr="00F85BD8">
        <w:rPr>
          <w:sz w:val="24"/>
          <w:szCs w:val="24"/>
          <w:lang w:val="en-US"/>
        </w:rPr>
        <w:noBreakHyphen/>
        <w:t xml:space="preserve">BILD total score at week 52 was </w:t>
      </w:r>
      <w:r w:rsidRPr="00F85BD8">
        <w:rPr>
          <w:sz w:val="24"/>
          <w:szCs w:val="24"/>
          <w:lang w:val="en-US"/>
        </w:rPr>
        <w:noBreakHyphen/>
        <w:t xml:space="preserve">0.79 units in the placebo group and 0.55 in the </w:t>
      </w:r>
      <w:proofErr w:type="spellStart"/>
      <w:r w:rsidRPr="00F85BD8">
        <w:rPr>
          <w:sz w:val="24"/>
          <w:szCs w:val="24"/>
          <w:lang w:val="en-US"/>
        </w:rPr>
        <w:t>nintedanib</w:t>
      </w:r>
      <w:proofErr w:type="spellEnd"/>
      <w:r w:rsidRPr="00F85BD8">
        <w:rPr>
          <w:sz w:val="24"/>
          <w:szCs w:val="24"/>
          <w:lang w:val="en-US"/>
        </w:rPr>
        <w:t xml:space="preserve"> group. The difference between the treatment groups was 1.34 (95% CI: </w:t>
      </w:r>
      <w:r w:rsidRPr="00F85BD8">
        <w:rPr>
          <w:sz w:val="24"/>
          <w:szCs w:val="24"/>
          <w:lang w:val="en-US"/>
        </w:rPr>
        <w:noBreakHyphen/>
        <w:t>0.31, 2.98; nominal p=0.1115).</w:t>
      </w:r>
    </w:p>
    <w:p w14:paraId="2B5BC4B1" w14:textId="77777777" w:rsidR="00D657C7" w:rsidRPr="00F85BD8" w:rsidRDefault="00D657C7" w:rsidP="00B24AEB">
      <w:pPr>
        <w:ind w:left="851"/>
        <w:rPr>
          <w:sz w:val="24"/>
          <w:szCs w:val="24"/>
          <w:lang w:val="en-US"/>
        </w:rPr>
      </w:pPr>
    </w:p>
    <w:p w14:paraId="7A9594A9" w14:textId="77777777" w:rsidR="00D657C7" w:rsidRPr="00F85BD8" w:rsidRDefault="00D657C7" w:rsidP="00B24AEB">
      <w:pPr>
        <w:ind w:left="851"/>
        <w:rPr>
          <w:sz w:val="24"/>
          <w:szCs w:val="24"/>
          <w:lang w:val="en-US"/>
        </w:rPr>
      </w:pPr>
      <w:r w:rsidRPr="00F85BD8">
        <w:rPr>
          <w:sz w:val="24"/>
          <w:szCs w:val="24"/>
          <w:lang w:val="en-US"/>
        </w:rPr>
        <w:t>The adjusted mean absolute change from baseline in Living with Pulmonary Fibrosis (L</w:t>
      </w:r>
      <w:r w:rsidRPr="00F85BD8">
        <w:rPr>
          <w:sz w:val="24"/>
          <w:szCs w:val="24"/>
          <w:lang w:val="en-US"/>
        </w:rPr>
        <w:noBreakHyphen/>
        <w:t xml:space="preserve">PF) symptoms </w:t>
      </w:r>
      <w:proofErr w:type="spellStart"/>
      <w:r w:rsidRPr="00F85BD8">
        <w:rPr>
          <w:sz w:val="24"/>
          <w:szCs w:val="24"/>
          <w:lang w:val="en-US"/>
        </w:rPr>
        <w:t>dyspnoea</w:t>
      </w:r>
      <w:proofErr w:type="spellEnd"/>
      <w:r w:rsidRPr="00F85BD8">
        <w:rPr>
          <w:sz w:val="24"/>
          <w:szCs w:val="24"/>
          <w:lang w:val="en-US"/>
        </w:rPr>
        <w:t xml:space="preserve"> domain score at week 52 was 4.28 in the </w:t>
      </w:r>
      <w:proofErr w:type="spellStart"/>
      <w:r w:rsidRPr="00F85BD8">
        <w:rPr>
          <w:sz w:val="24"/>
          <w:szCs w:val="24"/>
          <w:lang w:val="en-US"/>
        </w:rPr>
        <w:t>nintedanib</w:t>
      </w:r>
      <w:proofErr w:type="spellEnd"/>
      <w:r w:rsidRPr="00F85BD8">
        <w:rPr>
          <w:sz w:val="24"/>
          <w:szCs w:val="24"/>
          <w:lang w:val="en-US"/>
        </w:rPr>
        <w:t xml:space="preserve"> group compared with 7.81 in the placebo group. The adjusted mean difference between the groups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Pr="00F85BD8">
        <w:rPr>
          <w:sz w:val="24"/>
          <w:szCs w:val="24"/>
          <w:lang w:val="en-US"/>
        </w:rPr>
        <w:t xml:space="preserve"> was </w:t>
      </w:r>
      <w:r w:rsidRPr="00F85BD8">
        <w:rPr>
          <w:sz w:val="24"/>
          <w:szCs w:val="24"/>
          <w:lang w:val="en-US"/>
        </w:rPr>
        <w:noBreakHyphen/>
        <w:t xml:space="preserve">3.53 (95% CI: </w:t>
      </w:r>
      <w:r w:rsidRPr="00F85BD8">
        <w:rPr>
          <w:sz w:val="24"/>
          <w:szCs w:val="24"/>
          <w:lang w:val="en-US"/>
        </w:rPr>
        <w:noBreakHyphen/>
        <w:t xml:space="preserve">6.14, </w:t>
      </w:r>
      <w:r w:rsidRPr="00F85BD8">
        <w:rPr>
          <w:sz w:val="24"/>
          <w:szCs w:val="24"/>
          <w:lang w:val="en-US"/>
        </w:rPr>
        <w:noBreakHyphen/>
        <w:t>0.92; nominal p=0.0081). The adjusted mean absolute change from baseline in L</w:t>
      </w:r>
      <w:r w:rsidRPr="00F85BD8">
        <w:rPr>
          <w:sz w:val="24"/>
          <w:szCs w:val="24"/>
          <w:lang w:val="en-US"/>
        </w:rPr>
        <w:noBreakHyphen/>
        <w:t xml:space="preserve">PF Symptoms cough domain score at week 52 was </w:t>
      </w:r>
      <w:r w:rsidRPr="00F85BD8">
        <w:rPr>
          <w:sz w:val="24"/>
          <w:szCs w:val="24"/>
          <w:lang w:val="en-US"/>
        </w:rPr>
        <w:noBreakHyphen/>
        <w:t xml:space="preserve">1.84 in the </w:t>
      </w:r>
      <w:proofErr w:type="spellStart"/>
      <w:r w:rsidRPr="00F85BD8">
        <w:rPr>
          <w:sz w:val="24"/>
          <w:szCs w:val="24"/>
          <w:lang w:val="en-US"/>
        </w:rPr>
        <w:t>nintedanib</w:t>
      </w:r>
      <w:proofErr w:type="spellEnd"/>
      <w:r w:rsidRPr="00F85BD8">
        <w:rPr>
          <w:sz w:val="24"/>
          <w:szCs w:val="24"/>
          <w:lang w:val="en-US"/>
        </w:rPr>
        <w:t xml:space="preserve"> group compared with 4.25 in the placebo group. The adjusted mean difference between the groups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Pr="00F85BD8">
        <w:rPr>
          <w:sz w:val="24"/>
          <w:szCs w:val="24"/>
          <w:lang w:val="en-US"/>
        </w:rPr>
        <w:t xml:space="preserve"> was </w:t>
      </w:r>
      <w:r w:rsidRPr="00F85BD8">
        <w:rPr>
          <w:sz w:val="24"/>
          <w:szCs w:val="24"/>
          <w:lang w:val="en-US"/>
        </w:rPr>
        <w:noBreakHyphen/>
        <w:t>6.09</w:t>
      </w:r>
      <w:r w:rsidRPr="00AE5920">
        <w:rPr>
          <w:lang w:val="en-US"/>
        </w:rPr>
        <w:t> </w:t>
      </w:r>
      <w:r w:rsidRPr="00F85BD8">
        <w:rPr>
          <w:sz w:val="24"/>
          <w:szCs w:val="24"/>
          <w:lang w:val="en-US"/>
        </w:rPr>
        <w:t xml:space="preserve">(95% CI: </w:t>
      </w:r>
      <w:r w:rsidRPr="00F85BD8">
        <w:rPr>
          <w:sz w:val="24"/>
          <w:szCs w:val="24"/>
          <w:lang w:val="en-US"/>
        </w:rPr>
        <w:noBreakHyphen/>
        <w:t xml:space="preserve">9.65, </w:t>
      </w:r>
      <w:r w:rsidRPr="00F85BD8">
        <w:rPr>
          <w:sz w:val="24"/>
          <w:szCs w:val="24"/>
          <w:lang w:val="en-US"/>
        </w:rPr>
        <w:noBreakHyphen/>
        <w:t>2.53; nominal p=0.0008).</w:t>
      </w:r>
    </w:p>
    <w:p w14:paraId="577519D8" w14:textId="77777777" w:rsidR="00D657C7" w:rsidRPr="00F85BD8" w:rsidRDefault="00D657C7" w:rsidP="00B24AEB">
      <w:pPr>
        <w:ind w:left="851"/>
        <w:rPr>
          <w:sz w:val="24"/>
          <w:szCs w:val="24"/>
          <w:lang w:val="en-US"/>
        </w:rPr>
      </w:pPr>
    </w:p>
    <w:p w14:paraId="426D5673" w14:textId="77777777" w:rsidR="00D657C7" w:rsidRPr="009929B6" w:rsidRDefault="00D657C7" w:rsidP="00B24AEB">
      <w:pPr>
        <w:ind w:left="851"/>
        <w:rPr>
          <w:i/>
          <w:sz w:val="24"/>
          <w:szCs w:val="24"/>
          <w:lang w:val="en-US"/>
        </w:rPr>
      </w:pPr>
      <w:r w:rsidRPr="009929B6">
        <w:rPr>
          <w:i/>
          <w:sz w:val="24"/>
          <w:szCs w:val="24"/>
          <w:lang w:val="en-US"/>
        </w:rPr>
        <w:t>Systemic sclerosis associated interstitial lung disease (</w:t>
      </w:r>
      <w:proofErr w:type="spellStart"/>
      <w:r w:rsidRPr="009929B6">
        <w:rPr>
          <w:i/>
          <w:sz w:val="24"/>
          <w:szCs w:val="24"/>
          <w:lang w:val="en-US"/>
        </w:rPr>
        <w:t>SSc</w:t>
      </w:r>
      <w:proofErr w:type="spellEnd"/>
      <w:r w:rsidRPr="009929B6">
        <w:rPr>
          <w:i/>
          <w:sz w:val="24"/>
          <w:szCs w:val="24"/>
          <w:lang w:val="en-US"/>
        </w:rPr>
        <w:t>-ILD)</w:t>
      </w:r>
    </w:p>
    <w:p w14:paraId="779A5197" w14:textId="77777777" w:rsidR="00D657C7" w:rsidRPr="00F85BD8" w:rsidRDefault="00D657C7" w:rsidP="00B24AEB">
      <w:pPr>
        <w:ind w:left="851"/>
        <w:rPr>
          <w:sz w:val="24"/>
          <w:szCs w:val="24"/>
          <w:lang w:val="en-US"/>
        </w:rPr>
      </w:pPr>
      <w:r w:rsidRPr="00F85BD8">
        <w:rPr>
          <w:sz w:val="24"/>
          <w:szCs w:val="24"/>
          <w:lang w:val="en-US"/>
        </w:rPr>
        <w:t xml:space="preserve">The clinical efficacy of </w:t>
      </w:r>
      <w:proofErr w:type="spellStart"/>
      <w:r w:rsidRPr="00F85BD8">
        <w:rPr>
          <w:sz w:val="24"/>
          <w:szCs w:val="24"/>
          <w:lang w:val="en-US"/>
        </w:rPr>
        <w:t>nintedanib</w:t>
      </w:r>
      <w:proofErr w:type="spellEnd"/>
      <w:r w:rsidRPr="00F85BD8">
        <w:rPr>
          <w:sz w:val="24"/>
          <w:szCs w:val="24"/>
          <w:lang w:val="en-US"/>
        </w:rPr>
        <w:t xml:space="preserve"> has been studied in patients with </w:t>
      </w:r>
      <w:proofErr w:type="spellStart"/>
      <w:r w:rsidRPr="00F85BD8">
        <w:rPr>
          <w:sz w:val="24"/>
          <w:szCs w:val="24"/>
          <w:lang w:val="en-US"/>
        </w:rPr>
        <w:t>SSc</w:t>
      </w:r>
      <w:proofErr w:type="spellEnd"/>
      <w:r w:rsidRPr="00F85BD8">
        <w:rPr>
          <w:sz w:val="24"/>
          <w:szCs w:val="24"/>
          <w:lang w:val="en-US"/>
        </w:rPr>
        <w:noBreakHyphen/>
        <w:t xml:space="preserve">ILD in a double-blind, </w:t>
      </w:r>
      <w:proofErr w:type="spellStart"/>
      <w:r w:rsidRPr="00F85BD8">
        <w:rPr>
          <w:sz w:val="24"/>
          <w:szCs w:val="24"/>
          <w:lang w:val="en-US"/>
        </w:rPr>
        <w:t>randomised</w:t>
      </w:r>
      <w:proofErr w:type="spellEnd"/>
      <w:r w:rsidRPr="00F85BD8">
        <w:rPr>
          <w:sz w:val="24"/>
          <w:szCs w:val="24"/>
          <w:lang w:val="en-US"/>
        </w:rPr>
        <w:t xml:space="preserve">, placebo-controlled phase III trial (SENSCIS). Patients were diagnosed with </w:t>
      </w:r>
      <w:proofErr w:type="spellStart"/>
      <w:r w:rsidRPr="00F85BD8">
        <w:rPr>
          <w:sz w:val="24"/>
          <w:szCs w:val="24"/>
          <w:lang w:val="en-US"/>
        </w:rPr>
        <w:t>SSc</w:t>
      </w:r>
      <w:proofErr w:type="spellEnd"/>
      <w:r w:rsidRPr="00F85BD8">
        <w:rPr>
          <w:sz w:val="24"/>
          <w:szCs w:val="24"/>
          <w:lang w:val="en-US"/>
        </w:rPr>
        <w:noBreakHyphen/>
        <w:t xml:space="preserve">ILD based upon the 2013 American College of Rheumatology / European League Against Rheumatism classification criteria for </w:t>
      </w:r>
      <w:proofErr w:type="spellStart"/>
      <w:r w:rsidRPr="00F85BD8">
        <w:rPr>
          <w:sz w:val="24"/>
          <w:szCs w:val="24"/>
          <w:lang w:val="en-US"/>
        </w:rPr>
        <w:t>SSc</w:t>
      </w:r>
      <w:proofErr w:type="spellEnd"/>
      <w:r w:rsidRPr="00F85BD8">
        <w:rPr>
          <w:sz w:val="24"/>
          <w:szCs w:val="24"/>
          <w:lang w:val="en-US"/>
        </w:rPr>
        <w:t xml:space="preserve"> and a chest high resolution computed tomography (HRCT) scan conducted within the previous 12 months. A total of 580 patients were </w:t>
      </w:r>
      <w:proofErr w:type="spellStart"/>
      <w:r w:rsidRPr="00F85BD8">
        <w:rPr>
          <w:sz w:val="24"/>
          <w:szCs w:val="24"/>
          <w:lang w:val="en-US"/>
        </w:rPr>
        <w:t>randomised</w:t>
      </w:r>
      <w:proofErr w:type="spellEnd"/>
      <w:r w:rsidRPr="00F85BD8">
        <w:rPr>
          <w:sz w:val="24"/>
          <w:szCs w:val="24"/>
          <w:lang w:val="en-US"/>
        </w:rPr>
        <w:t xml:space="preserve"> in a 1:1 ratio to receive either </w:t>
      </w:r>
      <w:proofErr w:type="spellStart"/>
      <w:r w:rsidRPr="00F85BD8">
        <w:rPr>
          <w:sz w:val="24"/>
          <w:szCs w:val="24"/>
          <w:lang w:val="en-US"/>
        </w:rPr>
        <w:t>nintedanib</w:t>
      </w:r>
      <w:proofErr w:type="spellEnd"/>
      <w:r w:rsidRPr="00F85BD8">
        <w:rPr>
          <w:sz w:val="24"/>
          <w:szCs w:val="24"/>
          <w:lang w:val="en-US"/>
        </w:rPr>
        <w:t xml:space="preserve"> 150 mg bid or matching placebo for at least 52 weeks, of which 576 patients were treated. </w:t>
      </w:r>
      <w:proofErr w:type="spellStart"/>
      <w:r w:rsidRPr="00F85BD8">
        <w:rPr>
          <w:sz w:val="24"/>
          <w:szCs w:val="24"/>
          <w:lang w:val="en-US"/>
        </w:rPr>
        <w:t>Randomisation</w:t>
      </w:r>
      <w:proofErr w:type="spellEnd"/>
      <w:r w:rsidRPr="00F85BD8">
        <w:rPr>
          <w:sz w:val="24"/>
          <w:szCs w:val="24"/>
          <w:lang w:val="en-US"/>
        </w:rPr>
        <w:t xml:space="preserve"> was stratified by </w:t>
      </w:r>
      <w:proofErr w:type="spellStart"/>
      <w:r w:rsidRPr="00F85BD8">
        <w:rPr>
          <w:sz w:val="24"/>
          <w:szCs w:val="24"/>
          <w:lang w:val="en-US"/>
        </w:rPr>
        <w:t>antitopoisomerase</w:t>
      </w:r>
      <w:proofErr w:type="spellEnd"/>
      <w:r w:rsidRPr="00F85BD8">
        <w:rPr>
          <w:sz w:val="24"/>
          <w:szCs w:val="24"/>
          <w:lang w:val="en-US"/>
        </w:rPr>
        <w:t xml:space="preserve"> antibody status (ATA). Individual patients stayed on blinded trial treatment for up to 100 weeks (median </w:t>
      </w:r>
      <w:proofErr w:type="spellStart"/>
      <w:r w:rsidRPr="00F85BD8">
        <w:rPr>
          <w:sz w:val="24"/>
          <w:szCs w:val="24"/>
          <w:lang w:val="en-US"/>
        </w:rPr>
        <w:t>nintedanib</w:t>
      </w:r>
      <w:proofErr w:type="spellEnd"/>
      <w:r w:rsidRPr="00F85BD8">
        <w:rPr>
          <w:sz w:val="24"/>
          <w:szCs w:val="24"/>
          <w:lang w:val="en-US"/>
        </w:rPr>
        <w:t xml:space="preserve"> exposure 15.4 months; mean </w:t>
      </w:r>
      <w:proofErr w:type="spellStart"/>
      <w:r w:rsidRPr="00F85BD8">
        <w:rPr>
          <w:sz w:val="24"/>
          <w:szCs w:val="24"/>
          <w:lang w:val="en-US"/>
        </w:rPr>
        <w:t>nintedanib</w:t>
      </w:r>
      <w:proofErr w:type="spellEnd"/>
      <w:r w:rsidRPr="00F85BD8">
        <w:rPr>
          <w:sz w:val="24"/>
          <w:szCs w:val="24"/>
          <w:lang w:val="en-US"/>
        </w:rPr>
        <w:t xml:space="preserve"> exposure 14.5 months).</w:t>
      </w:r>
    </w:p>
    <w:p w14:paraId="7639098F" w14:textId="77777777" w:rsidR="00D657C7" w:rsidRPr="00F85BD8" w:rsidRDefault="00D657C7" w:rsidP="00B24AEB">
      <w:pPr>
        <w:ind w:left="851"/>
        <w:rPr>
          <w:sz w:val="24"/>
          <w:szCs w:val="24"/>
          <w:lang w:val="en-US"/>
        </w:rPr>
      </w:pPr>
    </w:p>
    <w:p w14:paraId="0530AEF6" w14:textId="77777777" w:rsidR="00D657C7" w:rsidRPr="00F85BD8" w:rsidRDefault="00D657C7" w:rsidP="00B24AEB">
      <w:pPr>
        <w:ind w:left="851"/>
        <w:rPr>
          <w:sz w:val="24"/>
          <w:szCs w:val="24"/>
          <w:lang w:val="en-US"/>
        </w:rPr>
      </w:pPr>
      <w:r w:rsidRPr="00F85BD8">
        <w:rPr>
          <w:sz w:val="24"/>
          <w:szCs w:val="24"/>
          <w:lang w:val="en-US"/>
        </w:rPr>
        <w:t xml:space="preserve">The primary endpoint was the annual rate of decline in FVC over 52 weeks. Key secondary endpoints were absolute change from baseline in the modified </w:t>
      </w:r>
      <w:proofErr w:type="spellStart"/>
      <w:r w:rsidRPr="00F85BD8">
        <w:rPr>
          <w:sz w:val="24"/>
          <w:szCs w:val="24"/>
          <w:lang w:val="en-US"/>
        </w:rPr>
        <w:t>Rodnan</w:t>
      </w:r>
      <w:proofErr w:type="spellEnd"/>
      <w:r w:rsidRPr="00F85BD8">
        <w:rPr>
          <w:sz w:val="24"/>
          <w:szCs w:val="24"/>
          <w:lang w:val="en-US"/>
        </w:rPr>
        <w:t xml:space="preserve"> Skin Score (</w:t>
      </w:r>
      <w:proofErr w:type="spellStart"/>
      <w:r w:rsidRPr="00F85BD8">
        <w:rPr>
          <w:sz w:val="24"/>
          <w:szCs w:val="24"/>
          <w:lang w:val="en-US"/>
        </w:rPr>
        <w:t>mRSS</w:t>
      </w:r>
      <w:proofErr w:type="spellEnd"/>
      <w:r w:rsidRPr="00F85BD8">
        <w:rPr>
          <w:sz w:val="24"/>
          <w:szCs w:val="24"/>
          <w:lang w:val="en-US"/>
        </w:rPr>
        <w:t>) at week 52 and absolute change from baseline in the Saint George’s Respiratory Questionnaire (SGRQ) total score at week 52.</w:t>
      </w:r>
    </w:p>
    <w:p w14:paraId="37B4B828" w14:textId="77777777" w:rsidR="00D657C7" w:rsidRPr="00F85BD8" w:rsidRDefault="00D657C7" w:rsidP="00B24AEB">
      <w:pPr>
        <w:ind w:left="851"/>
        <w:rPr>
          <w:sz w:val="24"/>
          <w:szCs w:val="24"/>
          <w:lang w:val="en-US"/>
        </w:rPr>
      </w:pPr>
    </w:p>
    <w:p w14:paraId="2B09B77D" w14:textId="77777777" w:rsidR="00D657C7" w:rsidRPr="00F85BD8" w:rsidRDefault="00D657C7" w:rsidP="00B24AEB">
      <w:pPr>
        <w:ind w:left="851"/>
        <w:rPr>
          <w:sz w:val="24"/>
          <w:szCs w:val="24"/>
          <w:lang w:val="en-US"/>
        </w:rPr>
      </w:pPr>
      <w:r w:rsidRPr="00F85BD8">
        <w:rPr>
          <w:sz w:val="24"/>
          <w:szCs w:val="24"/>
          <w:lang w:val="en-US"/>
        </w:rPr>
        <w:t>In the overall population, 75.2% of the patients were female. The mean (standard deviation [SD, Min</w:t>
      </w:r>
      <w:r w:rsidRPr="00F85BD8">
        <w:rPr>
          <w:sz w:val="24"/>
          <w:szCs w:val="24"/>
          <w:lang w:val="en-US"/>
        </w:rPr>
        <w:noBreakHyphen/>
        <w:t>Max]) age was 54.0 (12.2, 20</w:t>
      </w:r>
      <w:r w:rsidRPr="00F85BD8">
        <w:rPr>
          <w:sz w:val="24"/>
          <w:szCs w:val="24"/>
          <w:lang w:val="en-US"/>
        </w:rPr>
        <w:noBreakHyphen/>
        <w:t>79) years. Overall, 51.9% of patients had diffuse cutaneous systemic sclerosis (</w:t>
      </w:r>
      <w:proofErr w:type="spellStart"/>
      <w:r w:rsidRPr="00F85BD8">
        <w:rPr>
          <w:sz w:val="24"/>
          <w:szCs w:val="24"/>
          <w:lang w:val="en-US"/>
        </w:rPr>
        <w:t>SSc</w:t>
      </w:r>
      <w:proofErr w:type="spellEnd"/>
      <w:r w:rsidRPr="00F85BD8">
        <w:rPr>
          <w:sz w:val="24"/>
          <w:szCs w:val="24"/>
          <w:lang w:val="en-US"/>
        </w:rPr>
        <w:t xml:space="preserve">) and 48.1% had limited cutaneous </w:t>
      </w:r>
      <w:proofErr w:type="spellStart"/>
      <w:r w:rsidRPr="00F85BD8">
        <w:rPr>
          <w:sz w:val="24"/>
          <w:szCs w:val="24"/>
          <w:lang w:val="en-US"/>
        </w:rPr>
        <w:t>SSc</w:t>
      </w:r>
      <w:proofErr w:type="spellEnd"/>
      <w:r w:rsidRPr="00F85BD8">
        <w:rPr>
          <w:sz w:val="24"/>
          <w:szCs w:val="24"/>
          <w:lang w:val="en-US"/>
        </w:rPr>
        <w:t>. The mean (SD) time since first onset of a non-Raynaud symptom was 3.49 (1.7) years. 49.0% of patients were on stable therapy with mycophenolate at baseline (46.5% mycophenolate mofetil, 1.9% mycophenolate sodium, 0.5% mycophenolic acid). The safety profile in patients with or without mycophenolate at baseline was comparable.</w:t>
      </w:r>
    </w:p>
    <w:p w14:paraId="2ED111E6" w14:textId="77777777" w:rsidR="00D657C7" w:rsidRPr="00F85BD8" w:rsidRDefault="00D657C7" w:rsidP="00B24AEB">
      <w:pPr>
        <w:ind w:left="851"/>
        <w:rPr>
          <w:sz w:val="24"/>
          <w:szCs w:val="24"/>
          <w:lang w:val="en-US"/>
        </w:rPr>
      </w:pPr>
    </w:p>
    <w:p w14:paraId="25A87614" w14:textId="77777777" w:rsidR="00D657C7" w:rsidRPr="009929B6" w:rsidRDefault="00D657C7" w:rsidP="00B24AEB">
      <w:pPr>
        <w:ind w:left="851"/>
        <w:rPr>
          <w:i/>
          <w:sz w:val="24"/>
          <w:szCs w:val="24"/>
          <w:u w:val="single"/>
          <w:lang w:val="en-US"/>
        </w:rPr>
      </w:pPr>
      <w:r w:rsidRPr="009929B6">
        <w:rPr>
          <w:i/>
          <w:sz w:val="24"/>
          <w:szCs w:val="24"/>
          <w:u w:val="single"/>
          <w:lang w:val="en-US"/>
        </w:rPr>
        <w:t>Annual rate of decline in FVC</w:t>
      </w:r>
    </w:p>
    <w:p w14:paraId="4AC6A8B8" w14:textId="77777777" w:rsidR="00D657C7" w:rsidRPr="00F85BD8" w:rsidRDefault="00D657C7" w:rsidP="00B24AEB">
      <w:pPr>
        <w:ind w:left="851"/>
        <w:rPr>
          <w:sz w:val="24"/>
          <w:szCs w:val="24"/>
          <w:lang w:val="en-US"/>
        </w:rPr>
      </w:pPr>
      <w:r w:rsidRPr="00F85BD8">
        <w:rPr>
          <w:sz w:val="24"/>
          <w:szCs w:val="24"/>
          <w:lang w:val="en-US"/>
        </w:rPr>
        <w:t xml:space="preserve">The annual rate of decline of FVC (mL) over 52 weeks was significantly reduced by 41.0 mL in patients receiving </w:t>
      </w:r>
      <w:proofErr w:type="spellStart"/>
      <w:r w:rsidRPr="00F85BD8">
        <w:rPr>
          <w:sz w:val="24"/>
          <w:szCs w:val="24"/>
          <w:lang w:val="en-US"/>
        </w:rPr>
        <w:t>nintedanib</w:t>
      </w:r>
      <w:proofErr w:type="spellEnd"/>
      <w:r w:rsidRPr="00F85BD8">
        <w:rPr>
          <w:sz w:val="24"/>
          <w:szCs w:val="24"/>
          <w:lang w:val="en-US"/>
        </w:rPr>
        <w:t xml:space="preserve"> compared to patients receiving placebo (Table 10) corresponding to a relative treatment effect of 43.8%.</w:t>
      </w:r>
    </w:p>
    <w:p w14:paraId="42437150" w14:textId="77777777" w:rsidR="00D657C7" w:rsidRPr="00F85BD8" w:rsidRDefault="00D657C7" w:rsidP="00B24AEB">
      <w:pPr>
        <w:ind w:left="851"/>
        <w:rPr>
          <w:sz w:val="24"/>
          <w:szCs w:val="24"/>
          <w:lang w:val="en-US"/>
        </w:rPr>
      </w:pPr>
    </w:p>
    <w:p w14:paraId="305ED511" w14:textId="36A3FFC4" w:rsidR="00D657C7" w:rsidRPr="00F85BD8" w:rsidRDefault="00D657C7" w:rsidP="00B24AEB">
      <w:pPr>
        <w:rPr>
          <w:b/>
          <w:sz w:val="24"/>
          <w:szCs w:val="24"/>
          <w:lang w:val="en-US"/>
        </w:rPr>
      </w:pPr>
      <w:r w:rsidRPr="00F85BD8">
        <w:rPr>
          <w:b/>
          <w:sz w:val="24"/>
          <w:szCs w:val="24"/>
          <w:lang w:val="en-US"/>
        </w:rPr>
        <w:t>Table 10:</w:t>
      </w:r>
      <w:r w:rsidR="00B24AEB" w:rsidRPr="00F85BD8">
        <w:rPr>
          <w:b/>
          <w:sz w:val="24"/>
          <w:szCs w:val="24"/>
          <w:lang w:val="en-US"/>
        </w:rPr>
        <w:t xml:space="preserve"> </w:t>
      </w:r>
      <w:r w:rsidRPr="00F85BD8">
        <w:rPr>
          <w:b/>
          <w:sz w:val="24"/>
          <w:szCs w:val="24"/>
          <w:lang w:val="en-US"/>
        </w:rPr>
        <w:t>Annual rate of decline in FVC (mL) over 52 weeks</w:t>
      </w:r>
    </w:p>
    <w:p w14:paraId="4120C032" w14:textId="77777777" w:rsidR="00D657C7" w:rsidRPr="00F85BD8" w:rsidRDefault="00D657C7" w:rsidP="00B24AEB">
      <w:pPr>
        <w:rPr>
          <w:sz w:val="24"/>
          <w:szCs w:val="24"/>
          <w:lang w:val="en-US"/>
        </w:rPr>
      </w:pPr>
    </w:p>
    <w:tbl>
      <w:tblPr>
        <w:tblStyle w:val="Tabel-Gitter"/>
        <w:tblW w:w="4994" w:type="pct"/>
        <w:tblInd w:w="0" w:type="dxa"/>
        <w:tblLook w:val="04A0" w:firstRow="1" w:lastRow="0" w:firstColumn="1" w:lastColumn="0" w:noHBand="0" w:noVBand="1"/>
      </w:tblPr>
      <w:tblGrid>
        <w:gridCol w:w="3204"/>
        <w:gridCol w:w="3204"/>
        <w:gridCol w:w="3208"/>
      </w:tblGrid>
      <w:tr w:rsidR="00D657C7" w:rsidRPr="009929B6" w14:paraId="47395B39" w14:textId="77777777" w:rsidTr="00D657C7">
        <w:trPr>
          <w:tblHeader/>
        </w:trPr>
        <w:tc>
          <w:tcPr>
            <w:tcW w:w="1666" w:type="pct"/>
            <w:tcBorders>
              <w:top w:val="single" w:sz="4" w:space="0" w:color="auto"/>
              <w:left w:val="single" w:sz="4" w:space="0" w:color="auto"/>
              <w:bottom w:val="single" w:sz="4" w:space="0" w:color="auto"/>
              <w:right w:val="single" w:sz="4" w:space="0" w:color="auto"/>
            </w:tcBorders>
          </w:tcPr>
          <w:p w14:paraId="207A21E5"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08731EF8"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7" w:type="pct"/>
            <w:tcBorders>
              <w:top w:val="single" w:sz="4" w:space="0" w:color="auto"/>
              <w:left w:val="single" w:sz="4" w:space="0" w:color="auto"/>
              <w:bottom w:val="single" w:sz="4" w:space="0" w:color="auto"/>
              <w:right w:val="single" w:sz="4" w:space="0" w:color="auto"/>
            </w:tcBorders>
            <w:hideMark/>
          </w:tcPr>
          <w:p w14:paraId="4377BC3A"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637CD662"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6657123C"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7E6D6994"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467844BB" w14:textId="77777777" w:rsidR="00D657C7" w:rsidRPr="009929B6" w:rsidRDefault="00D657C7">
            <w:pPr>
              <w:autoSpaceDE w:val="0"/>
              <w:autoSpaceDN w:val="0"/>
              <w:adjustRightInd w:val="0"/>
              <w:jc w:val="center"/>
              <w:rPr>
                <w:sz w:val="22"/>
                <w:szCs w:val="22"/>
              </w:rPr>
            </w:pPr>
            <w:r w:rsidRPr="009929B6">
              <w:rPr>
                <w:sz w:val="22"/>
                <w:szCs w:val="22"/>
              </w:rPr>
              <w:t>288</w:t>
            </w:r>
          </w:p>
        </w:tc>
        <w:tc>
          <w:tcPr>
            <w:tcW w:w="1667" w:type="pct"/>
            <w:tcBorders>
              <w:top w:val="single" w:sz="4" w:space="0" w:color="auto"/>
              <w:left w:val="single" w:sz="4" w:space="0" w:color="auto"/>
              <w:bottom w:val="single" w:sz="4" w:space="0" w:color="auto"/>
              <w:right w:val="single" w:sz="4" w:space="0" w:color="auto"/>
            </w:tcBorders>
            <w:vAlign w:val="center"/>
            <w:hideMark/>
          </w:tcPr>
          <w:p w14:paraId="0EF19E6A" w14:textId="77777777" w:rsidR="00D657C7" w:rsidRPr="009929B6" w:rsidRDefault="00D657C7">
            <w:pPr>
              <w:autoSpaceDE w:val="0"/>
              <w:autoSpaceDN w:val="0"/>
              <w:adjustRightInd w:val="0"/>
              <w:jc w:val="center"/>
              <w:rPr>
                <w:sz w:val="22"/>
                <w:szCs w:val="22"/>
              </w:rPr>
            </w:pPr>
            <w:r w:rsidRPr="009929B6">
              <w:rPr>
                <w:sz w:val="22"/>
                <w:szCs w:val="22"/>
              </w:rPr>
              <w:t>287</w:t>
            </w:r>
          </w:p>
        </w:tc>
      </w:tr>
      <w:tr w:rsidR="00D657C7" w:rsidRPr="009929B6" w14:paraId="7AD44805"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35637DCF"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1666" w:type="pct"/>
            <w:tcBorders>
              <w:top w:val="single" w:sz="4" w:space="0" w:color="auto"/>
              <w:left w:val="single" w:sz="4" w:space="0" w:color="auto"/>
              <w:bottom w:val="single" w:sz="4" w:space="0" w:color="auto"/>
              <w:right w:val="single" w:sz="4" w:space="0" w:color="auto"/>
            </w:tcBorders>
            <w:vAlign w:val="bottom"/>
            <w:hideMark/>
          </w:tcPr>
          <w:p w14:paraId="44DE4B43" w14:textId="77777777" w:rsidR="00D657C7" w:rsidRPr="009929B6" w:rsidRDefault="00D657C7">
            <w:pPr>
              <w:autoSpaceDE w:val="0"/>
              <w:autoSpaceDN w:val="0"/>
              <w:adjustRightInd w:val="0"/>
              <w:jc w:val="center"/>
              <w:rPr>
                <w:sz w:val="22"/>
                <w:szCs w:val="22"/>
              </w:rPr>
            </w:pPr>
            <w:r w:rsidRPr="009929B6">
              <w:rPr>
                <w:sz w:val="22"/>
                <w:szCs w:val="22"/>
              </w:rPr>
              <w:t>-93.3 (13.5)</w:t>
            </w:r>
          </w:p>
        </w:tc>
        <w:tc>
          <w:tcPr>
            <w:tcW w:w="1667" w:type="pct"/>
            <w:tcBorders>
              <w:top w:val="single" w:sz="4" w:space="0" w:color="auto"/>
              <w:left w:val="single" w:sz="4" w:space="0" w:color="auto"/>
              <w:bottom w:val="single" w:sz="4" w:space="0" w:color="auto"/>
              <w:right w:val="single" w:sz="4" w:space="0" w:color="auto"/>
            </w:tcBorders>
            <w:vAlign w:val="bottom"/>
            <w:hideMark/>
          </w:tcPr>
          <w:p w14:paraId="1EFA13BF" w14:textId="77777777" w:rsidR="00D657C7" w:rsidRPr="009929B6" w:rsidRDefault="00D657C7">
            <w:pPr>
              <w:autoSpaceDE w:val="0"/>
              <w:autoSpaceDN w:val="0"/>
              <w:adjustRightInd w:val="0"/>
              <w:jc w:val="center"/>
              <w:rPr>
                <w:sz w:val="22"/>
                <w:szCs w:val="22"/>
              </w:rPr>
            </w:pPr>
            <w:r w:rsidRPr="009929B6">
              <w:rPr>
                <w:sz w:val="22"/>
                <w:szCs w:val="22"/>
              </w:rPr>
              <w:t>-52.4 (13.8)</w:t>
            </w:r>
          </w:p>
        </w:tc>
      </w:tr>
      <w:tr w:rsidR="00D657C7" w:rsidRPr="009929B6" w14:paraId="5C0D51CD" w14:textId="77777777" w:rsidTr="00D657C7">
        <w:tc>
          <w:tcPr>
            <w:tcW w:w="5000" w:type="pct"/>
            <w:gridSpan w:val="3"/>
            <w:tcBorders>
              <w:top w:val="single" w:sz="4" w:space="0" w:color="auto"/>
              <w:left w:val="single" w:sz="4" w:space="0" w:color="auto"/>
              <w:bottom w:val="single" w:sz="4" w:space="0" w:color="auto"/>
              <w:right w:val="single" w:sz="4" w:space="0" w:color="auto"/>
            </w:tcBorders>
            <w:hideMark/>
          </w:tcPr>
          <w:p w14:paraId="3CDBEC84"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2A53F364"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06081B1D"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0004E1C2" w14:textId="77777777" w:rsidR="00D657C7" w:rsidRPr="009929B6" w:rsidRDefault="00D657C7">
            <w:pPr>
              <w:autoSpaceDE w:val="0"/>
              <w:autoSpaceDN w:val="0"/>
              <w:adjustRightInd w:val="0"/>
              <w:jc w:val="center"/>
              <w:rPr>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5655881F" w14:textId="77777777" w:rsidR="00D657C7" w:rsidRPr="009929B6" w:rsidRDefault="00D657C7">
            <w:pPr>
              <w:autoSpaceDE w:val="0"/>
              <w:autoSpaceDN w:val="0"/>
              <w:adjustRightInd w:val="0"/>
              <w:jc w:val="center"/>
              <w:rPr>
                <w:sz w:val="22"/>
                <w:szCs w:val="22"/>
              </w:rPr>
            </w:pPr>
            <w:r w:rsidRPr="009929B6">
              <w:rPr>
                <w:sz w:val="22"/>
                <w:szCs w:val="22"/>
              </w:rPr>
              <w:t>41.0</w:t>
            </w:r>
          </w:p>
        </w:tc>
      </w:tr>
      <w:tr w:rsidR="00D657C7" w:rsidRPr="009929B6" w14:paraId="72451EB1"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71AD1AC4"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18E8D06F" w14:textId="77777777" w:rsidR="00D657C7" w:rsidRPr="009929B6" w:rsidRDefault="00D657C7">
            <w:pPr>
              <w:autoSpaceDE w:val="0"/>
              <w:autoSpaceDN w:val="0"/>
              <w:adjustRightInd w:val="0"/>
              <w:jc w:val="center"/>
              <w:rPr>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3690F649" w14:textId="77777777" w:rsidR="00D657C7" w:rsidRPr="009929B6" w:rsidRDefault="00D657C7">
            <w:pPr>
              <w:autoSpaceDE w:val="0"/>
              <w:autoSpaceDN w:val="0"/>
              <w:adjustRightInd w:val="0"/>
              <w:jc w:val="center"/>
              <w:rPr>
                <w:sz w:val="22"/>
                <w:szCs w:val="22"/>
              </w:rPr>
            </w:pPr>
            <w:r w:rsidRPr="009929B6">
              <w:rPr>
                <w:sz w:val="22"/>
                <w:szCs w:val="22"/>
              </w:rPr>
              <w:t>(2.9, 79.0)</w:t>
            </w:r>
          </w:p>
        </w:tc>
      </w:tr>
      <w:tr w:rsidR="00D657C7" w:rsidRPr="009929B6" w14:paraId="2EC12919" w14:textId="77777777" w:rsidTr="00D657C7">
        <w:tc>
          <w:tcPr>
            <w:tcW w:w="1666" w:type="pct"/>
            <w:tcBorders>
              <w:top w:val="single" w:sz="4" w:space="0" w:color="auto"/>
              <w:left w:val="single" w:sz="4" w:space="0" w:color="auto"/>
              <w:bottom w:val="single" w:sz="4" w:space="0" w:color="auto"/>
              <w:right w:val="single" w:sz="4" w:space="0" w:color="auto"/>
            </w:tcBorders>
            <w:hideMark/>
          </w:tcPr>
          <w:p w14:paraId="60B753C6"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7415CD49" w14:textId="77777777" w:rsidR="00D657C7" w:rsidRPr="009929B6" w:rsidRDefault="00D657C7">
            <w:pPr>
              <w:autoSpaceDE w:val="0"/>
              <w:autoSpaceDN w:val="0"/>
              <w:adjustRightInd w:val="0"/>
              <w:jc w:val="center"/>
              <w:rPr>
                <w:sz w:val="22"/>
                <w:szCs w:val="22"/>
              </w:rPr>
            </w:pPr>
          </w:p>
        </w:tc>
        <w:tc>
          <w:tcPr>
            <w:tcW w:w="1667" w:type="pct"/>
            <w:tcBorders>
              <w:top w:val="single" w:sz="4" w:space="0" w:color="auto"/>
              <w:left w:val="single" w:sz="4" w:space="0" w:color="auto"/>
              <w:bottom w:val="single" w:sz="4" w:space="0" w:color="auto"/>
              <w:right w:val="single" w:sz="4" w:space="0" w:color="auto"/>
            </w:tcBorders>
            <w:vAlign w:val="center"/>
            <w:hideMark/>
          </w:tcPr>
          <w:p w14:paraId="03715B1D" w14:textId="77777777" w:rsidR="00D657C7" w:rsidRPr="009929B6" w:rsidRDefault="00D657C7">
            <w:pPr>
              <w:autoSpaceDE w:val="0"/>
              <w:autoSpaceDN w:val="0"/>
              <w:adjustRightInd w:val="0"/>
              <w:jc w:val="center"/>
              <w:rPr>
                <w:sz w:val="22"/>
                <w:szCs w:val="22"/>
              </w:rPr>
            </w:pPr>
            <w:r w:rsidRPr="009929B6">
              <w:rPr>
                <w:sz w:val="22"/>
                <w:szCs w:val="22"/>
              </w:rPr>
              <w:t>&lt;0.05</w:t>
            </w:r>
          </w:p>
        </w:tc>
      </w:tr>
    </w:tbl>
    <w:p w14:paraId="43527B73" w14:textId="620AA0C5" w:rsidR="00D657C7" w:rsidRPr="009929B6" w:rsidRDefault="00D657C7" w:rsidP="00B24AEB">
      <w:pPr>
        <w:autoSpaceDE w:val="0"/>
        <w:autoSpaceDN w:val="0"/>
        <w:adjustRightInd w:val="0"/>
        <w:ind w:left="284" w:hanging="284"/>
        <w:rPr>
          <w:sz w:val="20"/>
          <w:lang w:val="en-GB" w:eastAsia="en-US"/>
        </w:rPr>
      </w:pPr>
      <w:r w:rsidRPr="009929B6">
        <w:rPr>
          <w:sz w:val="20"/>
          <w:vertAlign w:val="superscript"/>
          <w:lang w:val="en-US"/>
        </w:rPr>
        <w:t xml:space="preserve">1 </w:t>
      </w:r>
      <w:r w:rsidR="00B24AEB" w:rsidRPr="009929B6">
        <w:rPr>
          <w:sz w:val="20"/>
          <w:vertAlign w:val="superscript"/>
          <w:lang w:val="en-US"/>
        </w:rPr>
        <w:tab/>
      </w:r>
      <w:r w:rsidRPr="009929B6">
        <w:rPr>
          <w:sz w:val="20"/>
          <w:lang w:val="en-US"/>
        </w:rPr>
        <w:t>Based on a random coefficient regression with fixed categorical effects of treatment, ATA status, gender, fixed continuous effects of time, baseline FVC [mL], age, height, and including treatment-by-time and baseline-by-time interactions. Random effect was included for patient specific intercept and time. Within-patient errors were modelled by an unstructured variance-covariance matrix. Inter-individual variability was modelled by a variance-components variance-covariance matrix.</w:t>
      </w:r>
    </w:p>
    <w:p w14:paraId="4E56BCAC" w14:textId="77777777" w:rsidR="00D657C7" w:rsidRPr="00F85BD8" w:rsidRDefault="00D657C7" w:rsidP="00D657C7">
      <w:pPr>
        <w:autoSpaceDE w:val="0"/>
        <w:autoSpaceDN w:val="0"/>
        <w:adjustRightInd w:val="0"/>
        <w:rPr>
          <w:sz w:val="24"/>
          <w:szCs w:val="24"/>
          <w:lang w:val="en-US"/>
        </w:rPr>
      </w:pPr>
    </w:p>
    <w:p w14:paraId="709100C7" w14:textId="77777777" w:rsidR="00D657C7" w:rsidRPr="00F85BD8" w:rsidRDefault="00D657C7" w:rsidP="00B24AEB">
      <w:pPr>
        <w:autoSpaceDE w:val="0"/>
        <w:autoSpaceDN w:val="0"/>
        <w:adjustRightInd w:val="0"/>
        <w:ind w:left="851"/>
        <w:rPr>
          <w:sz w:val="24"/>
          <w:szCs w:val="24"/>
          <w:lang w:val="en-US"/>
        </w:rPr>
      </w:pPr>
      <w:r w:rsidRPr="00F85BD8">
        <w:rPr>
          <w:sz w:val="24"/>
          <w:szCs w:val="24"/>
          <w:lang w:val="en-US"/>
        </w:rPr>
        <w:t xml:space="preserve">The effect of </w:t>
      </w:r>
      <w:proofErr w:type="spellStart"/>
      <w:r w:rsidRPr="00F85BD8">
        <w:rPr>
          <w:sz w:val="24"/>
          <w:szCs w:val="24"/>
          <w:lang w:val="en-US"/>
        </w:rPr>
        <w:t>nintedanib</w:t>
      </w:r>
      <w:proofErr w:type="spellEnd"/>
      <w:r w:rsidRPr="00F85BD8">
        <w:rPr>
          <w:sz w:val="24"/>
          <w:szCs w:val="24"/>
          <w:lang w:val="en-US"/>
        </w:rPr>
        <w:t xml:space="preserve"> in reducing the annual rate of decline in FVC was similar across pre-specified sensitivity analyses and no heterogeneity was detected in pre-specified subgroups (e.g. by age, gender, and mycophenolate use).</w:t>
      </w:r>
    </w:p>
    <w:p w14:paraId="05D7BA86" w14:textId="77777777" w:rsidR="00D657C7" w:rsidRPr="00F85BD8" w:rsidRDefault="00D657C7" w:rsidP="00B24AEB">
      <w:pPr>
        <w:autoSpaceDE w:val="0"/>
        <w:autoSpaceDN w:val="0"/>
        <w:adjustRightInd w:val="0"/>
        <w:ind w:left="851"/>
        <w:rPr>
          <w:sz w:val="24"/>
          <w:szCs w:val="24"/>
          <w:lang w:val="en-US"/>
        </w:rPr>
      </w:pPr>
    </w:p>
    <w:p w14:paraId="401B4D45" w14:textId="77777777" w:rsidR="00D657C7" w:rsidRPr="00F85BD8" w:rsidRDefault="00D657C7" w:rsidP="00B24AEB">
      <w:pPr>
        <w:autoSpaceDE w:val="0"/>
        <w:autoSpaceDN w:val="0"/>
        <w:adjustRightInd w:val="0"/>
        <w:ind w:left="851"/>
        <w:rPr>
          <w:sz w:val="24"/>
          <w:szCs w:val="24"/>
          <w:lang w:val="en-US"/>
        </w:rPr>
      </w:pPr>
      <w:r w:rsidRPr="00F85BD8">
        <w:rPr>
          <w:sz w:val="24"/>
          <w:szCs w:val="24"/>
          <w:lang w:val="en-US"/>
        </w:rPr>
        <w:t xml:space="preserve">In addition, similar effects were observed on other lung function endpoints, </w:t>
      </w:r>
      <w:proofErr w:type="spellStart"/>
      <w:r w:rsidRPr="00F85BD8">
        <w:rPr>
          <w:sz w:val="24"/>
          <w:szCs w:val="24"/>
          <w:lang w:val="en-US"/>
        </w:rPr>
        <w:t>e.g</w:t>
      </w:r>
      <w:proofErr w:type="spellEnd"/>
      <w:r w:rsidRPr="00F85BD8">
        <w:rPr>
          <w:sz w:val="24"/>
          <w:szCs w:val="24"/>
          <w:lang w:val="en-US"/>
        </w:rPr>
        <w:t xml:space="preserve"> absolute change from baseline in FVC in mL at week 52 (Figure 5 and Table 11) and rate of decline in FVC in % predicted over 52 weeks (Table 12) providing further substantiation of the effects of </w:t>
      </w:r>
      <w:proofErr w:type="spellStart"/>
      <w:r w:rsidRPr="00F85BD8">
        <w:rPr>
          <w:sz w:val="24"/>
          <w:szCs w:val="24"/>
          <w:lang w:val="en-US"/>
        </w:rPr>
        <w:t>nintedanib</w:t>
      </w:r>
      <w:proofErr w:type="spellEnd"/>
      <w:r w:rsidRPr="00F85BD8">
        <w:rPr>
          <w:sz w:val="24"/>
          <w:szCs w:val="24"/>
          <w:lang w:val="en-US"/>
        </w:rPr>
        <w:t xml:space="preserve"> on slowing progression of </w:t>
      </w:r>
      <w:proofErr w:type="spellStart"/>
      <w:r w:rsidRPr="00F85BD8">
        <w:rPr>
          <w:sz w:val="24"/>
          <w:szCs w:val="24"/>
          <w:lang w:val="en-US"/>
        </w:rPr>
        <w:t>SSc</w:t>
      </w:r>
      <w:proofErr w:type="spellEnd"/>
      <w:r w:rsidRPr="00F85BD8">
        <w:rPr>
          <w:sz w:val="24"/>
          <w:szCs w:val="24"/>
          <w:lang w:val="en-US"/>
        </w:rPr>
        <w:noBreakHyphen/>
        <w:t xml:space="preserve">ILD. Furthermore, fewer patients in the </w:t>
      </w:r>
      <w:proofErr w:type="spellStart"/>
      <w:r w:rsidRPr="00F85BD8">
        <w:rPr>
          <w:sz w:val="24"/>
          <w:szCs w:val="24"/>
          <w:lang w:val="en-US"/>
        </w:rPr>
        <w:t>nintedanib</w:t>
      </w:r>
      <w:proofErr w:type="spellEnd"/>
      <w:r w:rsidRPr="00F85BD8">
        <w:rPr>
          <w:sz w:val="24"/>
          <w:szCs w:val="24"/>
          <w:lang w:val="en-US"/>
        </w:rPr>
        <w:t xml:space="preserve"> group had an absolute FVC decline &gt;5% predicted (20.6% in the </w:t>
      </w:r>
      <w:proofErr w:type="spellStart"/>
      <w:r w:rsidRPr="00F85BD8">
        <w:rPr>
          <w:sz w:val="24"/>
          <w:szCs w:val="24"/>
          <w:lang w:val="en-US"/>
        </w:rPr>
        <w:t>nintedanib</w:t>
      </w:r>
      <w:proofErr w:type="spellEnd"/>
      <w:r w:rsidRPr="00F85BD8">
        <w:rPr>
          <w:sz w:val="24"/>
          <w:szCs w:val="24"/>
          <w:lang w:val="en-US"/>
        </w:rPr>
        <w:t xml:space="preserve"> group vs. 28.5% in the placebo group, OR=0.65, p=0.0287). The relative FVC decline in mL &gt;10% was comparable between both groups (16.7% in the </w:t>
      </w:r>
      <w:proofErr w:type="spellStart"/>
      <w:r w:rsidRPr="00F85BD8">
        <w:rPr>
          <w:sz w:val="24"/>
          <w:szCs w:val="24"/>
          <w:lang w:val="en-US"/>
        </w:rPr>
        <w:t>nintedanib</w:t>
      </w:r>
      <w:proofErr w:type="spellEnd"/>
      <w:r w:rsidRPr="00F85BD8">
        <w:rPr>
          <w:sz w:val="24"/>
          <w:szCs w:val="24"/>
          <w:lang w:val="en-US"/>
        </w:rPr>
        <w:t xml:space="preserve"> group vs. 18.1% in the placebo group, OR=0.91, p=0.6842). In these analyses, missing FVC values at week 52 were imputed with the patient’s worst value on treatment.</w:t>
      </w:r>
    </w:p>
    <w:p w14:paraId="72701872" w14:textId="77777777" w:rsidR="00D657C7" w:rsidRPr="00F85BD8" w:rsidRDefault="00D657C7" w:rsidP="00B24AEB">
      <w:pPr>
        <w:autoSpaceDE w:val="0"/>
        <w:autoSpaceDN w:val="0"/>
        <w:adjustRightInd w:val="0"/>
        <w:ind w:left="851"/>
        <w:rPr>
          <w:sz w:val="24"/>
          <w:szCs w:val="24"/>
          <w:lang w:val="en-US"/>
        </w:rPr>
      </w:pPr>
    </w:p>
    <w:p w14:paraId="5166B916" w14:textId="77777777" w:rsidR="00D657C7" w:rsidRPr="00F85BD8" w:rsidRDefault="00D657C7" w:rsidP="00B24AEB">
      <w:pPr>
        <w:autoSpaceDE w:val="0"/>
        <w:autoSpaceDN w:val="0"/>
        <w:adjustRightInd w:val="0"/>
        <w:ind w:left="851"/>
        <w:rPr>
          <w:sz w:val="24"/>
          <w:szCs w:val="24"/>
          <w:lang w:val="en-US"/>
        </w:rPr>
      </w:pPr>
      <w:r w:rsidRPr="00F85BD8">
        <w:rPr>
          <w:sz w:val="24"/>
          <w:szCs w:val="24"/>
          <w:lang w:val="en-US"/>
        </w:rPr>
        <w:t xml:space="preserve">An exploratory analysis of data up to 100 weeks (maximum treatment duration in SENSCIS) suggested that the </w:t>
      </w:r>
      <w:proofErr w:type="gramStart"/>
      <w:r w:rsidRPr="00F85BD8">
        <w:rPr>
          <w:sz w:val="24"/>
          <w:szCs w:val="24"/>
          <w:lang w:val="en-US"/>
        </w:rPr>
        <w:t>on treatment</w:t>
      </w:r>
      <w:proofErr w:type="gramEnd"/>
      <w:r w:rsidRPr="00F85BD8">
        <w:rPr>
          <w:sz w:val="24"/>
          <w:szCs w:val="24"/>
          <w:lang w:val="en-US"/>
        </w:rPr>
        <w:t xml:space="preserve"> effect of </w:t>
      </w:r>
      <w:proofErr w:type="spellStart"/>
      <w:r w:rsidRPr="00F85BD8">
        <w:rPr>
          <w:sz w:val="24"/>
          <w:szCs w:val="24"/>
          <w:lang w:val="en-US"/>
        </w:rPr>
        <w:t>ninteanib</w:t>
      </w:r>
      <w:proofErr w:type="spellEnd"/>
      <w:r w:rsidRPr="00F85BD8">
        <w:rPr>
          <w:sz w:val="24"/>
          <w:szCs w:val="24"/>
          <w:lang w:val="en-US"/>
        </w:rPr>
        <w:t xml:space="preserve"> on slowing progression of </w:t>
      </w:r>
      <w:proofErr w:type="spellStart"/>
      <w:r w:rsidRPr="00F85BD8">
        <w:rPr>
          <w:sz w:val="24"/>
          <w:szCs w:val="24"/>
          <w:lang w:val="en-US"/>
        </w:rPr>
        <w:t>SSc</w:t>
      </w:r>
      <w:proofErr w:type="spellEnd"/>
      <w:r w:rsidRPr="00F85BD8">
        <w:rPr>
          <w:sz w:val="24"/>
          <w:szCs w:val="24"/>
          <w:lang w:val="en-US"/>
        </w:rPr>
        <w:noBreakHyphen/>
        <w:t>ILD persisted beyond 52 weeks.</w:t>
      </w:r>
    </w:p>
    <w:p w14:paraId="6CD75B94" w14:textId="77777777" w:rsidR="00D657C7" w:rsidRPr="00F85BD8" w:rsidRDefault="00D657C7" w:rsidP="00D657C7">
      <w:pPr>
        <w:autoSpaceDE w:val="0"/>
        <w:autoSpaceDN w:val="0"/>
        <w:adjustRightInd w:val="0"/>
        <w:rPr>
          <w:sz w:val="24"/>
          <w:szCs w:val="24"/>
          <w:lang w:val="en-US"/>
        </w:rPr>
      </w:pPr>
    </w:p>
    <w:p w14:paraId="1CE12DC3" w14:textId="71AE2C95" w:rsidR="00D657C7" w:rsidRPr="00F85BD8" w:rsidRDefault="00D657C7" w:rsidP="00B24AEB">
      <w:pPr>
        <w:keepNext/>
        <w:autoSpaceDE w:val="0"/>
        <w:autoSpaceDN w:val="0"/>
        <w:adjustRightInd w:val="0"/>
        <w:rPr>
          <w:b/>
          <w:sz w:val="24"/>
          <w:szCs w:val="24"/>
          <w:lang w:val="en-US"/>
        </w:rPr>
      </w:pPr>
      <w:r w:rsidRPr="00F85BD8">
        <w:rPr>
          <w:b/>
          <w:sz w:val="24"/>
          <w:szCs w:val="24"/>
          <w:lang w:val="en-US"/>
        </w:rPr>
        <w:t>Figure 5:</w:t>
      </w:r>
      <w:r w:rsidR="00B24AEB" w:rsidRPr="00F85BD8">
        <w:rPr>
          <w:b/>
          <w:sz w:val="24"/>
          <w:szCs w:val="24"/>
          <w:lang w:val="en-US"/>
        </w:rPr>
        <w:t xml:space="preserve"> </w:t>
      </w:r>
      <w:r w:rsidRPr="00F85BD8">
        <w:rPr>
          <w:b/>
          <w:sz w:val="24"/>
          <w:szCs w:val="24"/>
          <w:lang w:val="en-US"/>
        </w:rPr>
        <w:t>Mean (SEM) observed FVC change from baseline (mL) over 52 weeks</w:t>
      </w:r>
    </w:p>
    <w:p w14:paraId="05A54206" w14:textId="77777777" w:rsidR="00D657C7" w:rsidRPr="00F85BD8" w:rsidRDefault="00D657C7" w:rsidP="00B24AEB">
      <w:pPr>
        <w:keepNext/>
        <w:autoSpaceDE w:val="0"/>
        <w:autoSpaceDN w:val="0"/>
        <w:adjustRightInd w:val="0"/>
        <w:rPr>
          <w:sz w:val="24"/>
          <w:szCs w:val="24"/>
          <w:lang w:val="en-US"/>
        </w:rPr>
      </w:pPr>
    </w:p>
    <w:p w14:paraId="2FE28BCA" w14:textId="48C1FB0A" w:rsidR="00D657C7" w:rsidRPr="00F85BD8" w:rsidRDefault="00D657C7" w:rsidP="00B24AEB">
      <w:pPr>
        <w:keepNext/>
        <w:autoSpaceDE w:val="0"/>
        <w:autoSpaceDN w:val="0"/>
        <w:adjustRightInd w:val="0"/>
        <w:rPr>
          <w:sz w:val="24"/>
          <w:szCs w:val="24"/>
        </w:rPr>
      </w:pPr>
      <w:r w:rsidRPr="00F85BD8">
        <w:rPr>
          <w:noProof/>
          <w:sz w:val="24"/>
          <w:szCs w:val="24"/>
        </w:rPr>
        <w:drawing>
          <wp:inline distT="0" distB="0" distL="0" distR="0" wp14:anchorId="6A9C16B9" wp14:editId="59B325E7">
            <wp:extent cx="5760720" cy="43967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96740"/>
                    </a:xfrm>
                    <a:prstGeom prst="rect">
                      <a:avLst/>
                    </a:prstGeom>
                    <a:noFill/>
                    <a:ln>
                      <a:noFill/>
                    </a:ln>
                  </pic:spPr>
                </pic:pic>
              </a:graphicData>
            </a:graphic>
          </wp:inline>
        </w:drawing>
      </w:r>
    </w:p>
    <w:p w14:paraId="21199349" w14:textId="77777777" w:rsidR="00D657C7" w:rsidRPr="009929B6" w:rsidRDefault="00D657C7" w:rsidP="00B24AEB">
      <w:pPr>
        <w:keepNext/>
        <w:autoSpaceDE w:val="0"/>
        <w:autoSpaceDN w:val="0"/>
        <w:adjustRightInd w:val="0"/>
        <w:rPr>
          <w:sz w:val="20"/>
          <w:lang w:val="en-US"/>
        </w:rPr>
      </w:pPr>
      <w:r w:rsidRPr="009929B6">
        <w:rPr>
          <w:sz w:val="20"/>
          <w:lang w:val="en-US"/>
        </w:rPr>
        <w:t>bid=twice daily</w:t>
      </w:r>
    </w:p>
    <w:p w14:paraId="6D341542" w14:textId="77777777" w:rsidR="00D657C7" w:rsidRPr="00F85BD8" w:rsidRDefault="00D657C7" w:rsidP="00B24AEB">
      <w:pPr>
        <w:keepNext/>
        <w:autoSpaceDE w:val="0"/>
        <w:autoSpaceDN w:val="0"/>
        <w:adjustRightInd w:val="0"/>
        <w:rPr>
          <w:sz w:val="24"/>
          <w:szCs w:val="24"/>
          <w:lang w:val="en-US"/>
        </w:rPr>
      </w:pPr>
    </w:p>
    <w:p w14:paraId="02207898" w14:textId="51A2E2F0" w:rsidR="00D657C7" w:rsidRPr="00F85BD8" w:rsidRDefault="00D657C7" w:rsidP="00D657C7">
      <w:pPr>
        <w:keepNext/>
        <w:autoSpaceDE w:val="0"/>
        <w:autoSpaceDN w:val="0"/>
        <w:adjustRightInd w:val="0"/>
        <w:ind w:left="1134" w:hanging="1134"/>
        <w:rPr>
          <w:b/>
          <w:sz w:val="24"/>
          <w:szCs w:val="24"/>
          <w:lang w:val="en-US"/>
        </w:rPr>
      </w:pPr>
      <w:r w:rsidRPr="00F85BD8">
        <w:rPr>
          <w:b/>
          <w:sz w:val="24"/>
          <w:szCs w:val="24"/>
          <w:lang w:val="en-US"/>
        </w:rPr>
        <w:t>Table 11:</w:t>
      </w:r>
      <w:r w:rsidR="00B24AEB" w:rsidRPr="00F85BD8">
        <w:rPr>
          <w:b/>
          <w:sz w:val="24"/>
          <w:szCs w:val="24"/>
          <w:lang w:val="en-US"/>
        </w:rPr>
        <w:t xml:space="preserve"> </w:t>
      </w:r>
      <w:r w:rsidRPr="00F85BD8">
        <w:rPr>
          <w:b/>
          <w:sz w:val="24"/>
          <w:szCs w:val="24"/>
          <w:lang w:val="en-US"/>
        </w:rPr>
        <w:t>Absolute change from baseline in FVC (mL) at week 52</w:t>
      </w:r>
    </w:p>
    <w:p w14:paraId="32BF1D30"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D657C7" w:rsidRPr="009929B6" w14:paraId="1D6AA0D1" w14:textId="77777777" w:rsidTr="00B24AEB">
        <w:trPr>
          <w:tblHeader/>
        </w:trPr>
        <w:tc>
          <w:tcPr>
            <w:tcW w:w="1666" w:type="pct"/>
            <w:tcBorders>
              <w:top w:val="single" w:sz="4" w:space="0" w:color="auto"/>
              <w:left w:val="single" w:sz="4" w:space="0" w:color="auto"/>
              <w:bottom w:val="single" w:sz="4" w:space="0" w:color="auto"/>
              <w:right w:val="single" w:sz="4" w:space="0" w:color="auto"/>
            </w:tcBorders>
          </w:tcPr>
          <w:p w14:paraId="68CF763B"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79F7A453"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8" w:type="pct"/>
            <w:tcBorders>
              <w:top w:val="single" w:sz="4" w:space="0" w:color="auto"/>
              <w:left w:val="single" w:sz="4" w:space="0" w:color="auto"/>
              <w:bottom w:val="single" w:sz="4" w:space="0" w:color="auto"/>
              <w:right w:val="single" w:sz="4" w:space="0" w:color="auto"/>
            </w:tcBorders>
            <w:hideMark/>
          </w:tcPr>
          <w:p w14:paraId="2C67FDC3"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2C7EF430"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46109A72"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1EA8416D"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37E2C1B9" w14:textId="77777777" w:rsidR="00D657C7" w:rsidRPr="009929B6" w:rsidRDefault="00D657C7">
            <w:pPr>
              <w:autoSpaceDE w:val="0"/>
              <w:autoSpaceDN w:val="0"/>
              <w:adjustRightInd w:val="0"/>
              <w:jc w:val="center"/>
              <w:rPr>
                <w:sz w:val="22"/>
                <w:szCs w:val="22"/>
              </w:rPr>
            </w:pPr>
            <w:r w:rsidRPr="009929B6">
              <w:rPr>
                <w:sz w:val="22"/>
                <w:szCs w:val="22"/>
              </w:rPr>
              <w:t>288</w:t>
            </w:r>
          </w:p>
        </w:tc>
        <w:tc>
          <w:tcPr>
            <w:tcW w:w="1668" w:type="pct"/>
            <w:tcBorders>
              <w:top w:val="single" w:sz="4" w:space="0" w:color="auto"/>
              <w:left w:val="single" w:sz="4" w:space="0" w:color="auto"/>
              <w:bottom w:val="single" w:sz="4" w:space="0" w:color="auto"/>
              <w:right w:val="single" w:sz="4" w:space="0" w:color="auto"/>
            </w:tcBorders>
            <w:vAlign w:val="center"/>
            <w:hideMark/>
          </w:tcPr>
          <w:p w14:paraId="112EA8DB" w14:textId="77777777" w:rsidR="00D657C7" w:rsidRPr="009929B6" w:rsidRDefault="00D657C7">
            <w:pPr>
              <w:autoSpaceDE w:val="0"/>
              <w:autoSpaceDN w:val="0"/>
              <w:adjustRightInd w:val="0"/>
              <w:jc w:val="center"/>
              <w:rPr>
                <w:sz w:val="22"/>
                <w:szCs w:val="22"/>
              </w:rPr>
            </w:pPr>
            <w:r w:rsidRPr="009929B6">
              <w:rPr>
                <w:sz w:val="22"/>
                <w:szCs w:val="22"/>
              </w:rPr>
              <w:t>288</w:t>
            </w:r>
          </w:p>
        </w:tc>
      </w:tr>
      <w:tr w:rsidR="00D657C7" w:rsidRPr="009929B6" w14:paraId="1CACA919"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0601ECCC" w14:textId="77777777" w:rsidR="00D657C7" w:rsidRPr="009929B6" w:rsidRDefault="00D657C7">
            <w:pPr>
              <w:autoSpaceDE w:val="0"/>
              <w:autoSpaceDN w:val="0"/>
              <w:adjustRightInd w:val="0"/>
              <w:rPr>
                <w:sz w:val="22"/>
                <w:szCs w:val="22"/>
              </w:rPr>
            </w:pPr>
            <w:r w:rsidRPr="009929B6">
              <w:rPr>
                <w:sz w:val="22"/>
                <w:szCs w:val="22"/>
              </w:rPr>
              <w:t>Mean (SD) at Baseline</w:t>
            </w:r>
          </w:p>
        </w:tc>
        <w:tc>
          <w:tcPr>
            <w:tcW w:w="1666" w:type="pct"/>
            <w:tcBorders>
              <w:top w:val="single" w:sz="4" w:space="0" w:color="auto"/>
              <w:left w:val="single" w:sz="4" w:space="0" w:color="auto"/>
              <w:bottom w:val="single" w:sz="4" w:space="0" w:color="auto"/>
              <w:right w:val="single" w:sz="4" w:space="0" w:color="auto"/>
            </w:tcBorders>
            <w:vAlign w:val="center"/>
            <w:hideMark/>
          </w:tcPr>
          <w:p w14:paraId="12E5F85F" w14:textId="77777777" w:rsidR="00D657C7" w:rsidRPr="009929B6" w:rsidRDefault="00D657C7">
            <w:pPr>
              <w:autoSpaceDE w:val="0"/>
              <w:autoSpaceDN w:val="0"/>
              <w:adjustRightInd w:val="0"/>
              <w:jc w:val="center"/>
              <w:rPr>
                <w:sz w:val="22"/>
                <w:szCs w:val="22"/>
              </w:rPr>
            </w:pPr>
            <w:r w:rsidRPr="009929B6">
              <w:rPr>
                <w:sz w:val="22"/>
                <w:szCs w:val="22"/>
              </w:rPr>
              <w:t>2541.0 (815.5)</w:t>
            </w:r>
          </w:p>
        </w:tc>
        <w:tc>
          <w:tcPr>
            <w:tcW w:w="1668" w:type="pct"/>
            <w:tcBorders>
              <w:top w:val="single" w:sz="4" w:space="0" w:color="auto"/>
              <w:left w:val="single" w:sz="4" w:space="0" w:color="auto"/>
              <w:bottom w:val="single" w:sz="4" w:space="0" w:color="auto"/>
              <w:right w:val="single" w:sz="4" w:space="0" w:color="auto"/>
            </w:tcBorders>
            <w:vAlign w:val="center"/>
            <w:hideMark/>
          </w:tcPr>
          <w:p w14:paraId="1B761913" w14:textId="77777777" w:rsidR="00D657C7" w:rsidRPr="009929B6" w:rsidRDefault="00D657C7">
            <w:pPr>
              <w:autoSpaceDE w:val="0"/>
              <w:autoSpaceDN w:val="0"/>
              <w:adjustRightInd w:val="0"/>
              <w:jc w:val="center"/>
              <w:rPr>
                <w:sz w:val="22"/>
                <w:szCs w:val="22"/>
              </w:rPr>
            </w:pPr>
            <w:r w:rsidRPr="009929B6">
              <w:rPr>
                <w:sz w:val="22"/>
                <w:szCs w:val="22"/>
              </w:rPr>
              <w:t>2458.5 (735.9)</w:t>
            </w:r>
          </w:p>
        </w:tc>
      </w:tr>
      <w:tr w:rsidR="00D657C7" w:rsidRPr="009929B6" w14:paraId="1D88BCF9"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26DFEA97" w14:textId="77777777" w:rsidR="00D657C7" w:rsidRPr="009929B6" w:rsidRDefault="00D657C7">
            <w:pPr>
              <w:autoSpaceDE w:val="0"/>
              <w:autoSpaceDN w:val="0"/>
              <w:adjustRightInd w:val="0"/>
              <w:rPr>
                <w:sz w:val="22"/>
                <w:szCs w:val="22"/>
              </w:rPr>
            </w:pPr>
            <w:r w:rsidRPr="009929B6">
              <w:rPr>
                <w:sz w:val="22"/>
                <w:szCs w:val="22"/>
              </w:rPr>
              <w:t>Mean</w:t>
            </w:r>
            <w:r w:rsidRPr="009929B6">
              <w:rPr>
                <w:sz w:val="22"/>
                <w:szCs w:val="22"/>
                <w:vertAlign w:val="superscript"/>
              </w:rPr>
              <w:t>1</w:t>
            </w:r>
            <w:r w:rsidRPr="009929B6">
              <w:rPr>
                <w:sz w:val="22"/>
                <w:szCs w:val="22"/>
              </w:rPr>
              <w:t xml:space="preserve"> (SE) change from baseline at week 52</w:t>
            </w:r>
          </w:p>
        </w:tc>
        <w:tc>
          <w:tcPr>
            <w:tcW w:w="1666" w:type="pct"/>
            <w:tcBorders>
              <w:top w:val="single" w:sz="4" w:space="0" w:color="auto"/>
              <w:left w:val="single" w:sz="4" w:space="0" w:color="auto"/>
              <w:bottom w:val="single" w:sz="4" w:space="0" w:color="auto"/>
              <w:right w:val="single" w:sz="4" w:space="0" w:color="auto"/>
            </w:tcBorders>
            <w:vAlign w:val="bottom"/>
            <w:hideMark/>
          </w:tcPr>
          <w:p w14:paraId="773779C5" w14:textId="77777777" w:rsidR="00D657C7" w:rsidRPr="009929B6" w:rsidRDefault="00D657C7">
            <w:pPr>
              <w:autoSpaceDE w:val="0"/>
              <w:autoSpaceDN w:val="0"/>
              <w:adjustRightInd w:val="0"/>
              <w:jc w:val="center"/>
              <w:rPr>
                <w:sz w:val="22"/>
                <w:szCs w:val="22"/>
              </w:rPr>
            </w:pPr>
            <w:r w:rsidRPr="009929B6">
              <w:rPr>
                <w:sz w:val="22"/>
                <w:szCs w:val="22"/>
              </w:rPr>
              <w:t>-101.0 (13.6)</w:t>
            </w:r>
          </w:p>
        </w:tc>
        <w:tc>
          <w:tcPr>
            <w:tcW w:w="1668" w:type="pct"/>
            <w:tcBorders>
              <w:top w:val="single" w:sz="4" w:space="0" w:color="auto"/>
              <w:left w:val="single" w:sz="4" w:space="0" w:color="auto"/>
              <w:bottom w:val="single" w:sz="4" w:space="0" w:color="auto"/>
              <w:right w:val="single" w:sz="4" w:space="0" w:color="auto"/>
            </w:tcBorders>
            <w:vAlign w:val="bottom"/>
            <w:hideMark/>
          </w:tcPr>
          <w:p w14:paraId="26476F62" w14:textId="77777777" w:rsidR="00D657C7" w:rsidRPr="009929B6" w:rsidRDefault="00D657C7">
            <w:pPr>
              <w:autoSpaceDE w:val="0"/>
              <w:autoSpaceDN w:val="0"/>
              <w:adjustRightInd w:val="0"/>
              <w:jc w:val="center"/>
              <w:rPr>
                <w:sz w:val="22"/>
                <w:szCs w:val="22"/>
              </w:rPr>
            </w:pPr>
            <w:r w:rsidRPr="009929B6">
              <w:rPr>
                <w:sz w:val="22"/>
                <w:szCs w:val="22"/>
              </w:rPr>
              <w:t>-54.6 (13.9)</w:t>
            </w:r>
          </w:p>
        </w:tc>
      </w:tr>
      <w:tr w:rsidR="00D657C7" w:rsidRPr="009929B6" w14:paraId="52D25484" w14:textId="77777777" w:rsidTr="00B24AEB">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1C6630B"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65F61E68"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6A013CA5" w14:textId="77777777" w:rsidR="00D657C7" w:rsidRPr="009929B6" w:rsidRDefault="00D657C7">
            <w:pPr>
              <w:autoSpaceDE w:val="0"/>
              <w:autoSpaceDN w:val="0"/>
              <w:adjustRightInd w:val="0"/>
              <w:rPr>
                <w:sz w:val="22"/>
                <w:szCs w:val="22"/>
              </w:rPr>
            </w:pPr>
            <w:r w:rsidRPr="009929B6">
              <w:rPr>
                <w:sz w:val="22"/>
                <w:szCs w:val="22"/>
              </w:rPr>
              <w:t>Mean</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4C8066F9"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4FB40E9" w14:textId="77777777" w:rsidR="00D657C7" w:rsidRPr="009929B6" w:rsidRDefault="00D657C7">
            <w:pPr>
              <w:autoSpaceDE w:val="0"/>
              <w:autoSpaceDN w:val="0"/>
              <w:adjustRightInd w:val="0"/>
              <w:jc w:val="center"/>
              <w:rPr>
                <w:sz w:val="22"/>
                <w:szCs w:val="22"/>
              </w:rPr>
            </w:pPr>
            <w:r w:rsidRPr="009929B6">
              <w:rPr>
                <w:sz w:val="22"/>
                <w:szCs w:val="22"/>
              </w:rPr>
              <w:t>46.4</w:t>
            </w:r>
          </w:p>
        </w:tc>
      </w:tr>
      <w:tr w:rsidR="00D657C7" w:rsidRPr="009929B6" w14:paraId="402B41CF"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2DF96E0C"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54FF9C46"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6D1B0211" w14:textId="77777777" w:rsidR="00D657C7" w:rsidRPr="009929B6" w:rsidRDefault="00D657C7">
            <w:pPr>
              <w:autoSpaceDE w:val="0"/>
              <w:autoSpaceDN w:val="0"/>
              <w:adjustRightInd w:val="0"/>
              <w:jc w:val="center"/>
              <w:rPr>
                <w:sz w:val="22"/>
                <w:szCs w:val="22"/>
              </w:rPr>
            </w:pPr>
            <w:r w:rsidRPr="009929B6">
              <w:rPr>
                <w:sz w:val="22"/>
                <w:szCs w:val="22"/>
              </w:rPr>
              <w:t>(8.1, 84.7)</w:t>
            </w:r>
          </w:p>
        </w:tc>
      </w:tr>
      <w:tr w:rsidR="00D657C7" w:rsidRPr="009929B6" w14:paraId="73DF19C8"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568870F3"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4B61F072"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07521AE9" w14:textId="77777777" w:rsidR="00D657C7" w:rsidRPr="009929B6" w:rsidRDefault="00D657C7">
            <w:pPr>
              <w:autoSpaceDE w:val="0"/>
              <w:autoSpaceDN w:val="0"/>
              <w:adjustRightInd w:val="0"/>
              <w:jc w:val="center"/>
              <w:rPr>
                <w:sz w:val="22"/>
                <w:szCs w:val="22"/>
              </w:rPr>
            </w:pPr>
            <w:r w:rsidRPr="009929B6">
              <w:rPr>
                <w:sz w:val="22"/>
                <w:szCs w:val="22"/>
              </w:rPr>
              <w:t>&lt;0.05</w:t>
            </w:r>
          </w:p>
        </w:tc>
      </w:tr>
    </w:tbl>
    <w:p w14:paraId="50ED1640" w14:textId="58B2C2B4" w:rsidR="00D657C7" w:rsidRPr="009929B6" w:rsidRDefault="00D657C7" w:rsidP="009929B6">
      <w:pPr>
        <w:autoSpaceDE w:val="0"/>
        <w:autoSpaceDN w:val="0"/>
        <w:adjustRightInd w:val="0"/>
        <w:ind w:left="284" w:hanging="284"/>
        <w:rPr>
          <w:sz w:val="20"/>
          <w:lang w:val="en-GB" w:eastAsia="en-US"/>
        </w:rPr>
      </w:pPr>
      <w:r w:rsidRPr="009929B6">
        <w:rPr>
          <w:sz w:val="20"/>
          <w:vertAlign w:val="superscript"/>
          <w:lang w:val="en-US"/>
        </w:rPr>
        <w:t xml:space="preserve">1 </w:t>
      </w:r>
      <w:r w:rsidR="009929B6" w:rsidRPr="009929B6">
        <w:rPr>
          <w:sz w:val="20"/>
          <w:vertAlign w:val="superscript"/>
          <w:lang w:val="en-US"/>
        </w:rPr>
        <w:tab/>
      </w:r>
      <w:r w:rsidRPr="009929B6">
        <w:rPr>
          <w:sz w:val="20"/>
          <w:lang w:val="en-US"/>
        </w:rPr>
        <w:t xml:space="preserve">Based on Mixed Model for Repeated Measures (MMRM), with fixed categorical effects of ATA status, visit, treatment-by-visit interaction, baseline-by-visit interaction age, gender and height. Visit was the repeated measure. Within-patient errors were modelled by unstructured variance-covariance structure. Adjusted mean was based on all </w:t>
      </w:r>
      <w:proofErr w:type="spellStart"/>
      <w:r w:rsidRPr="009929B6">
        <w:rPr>
          <w:sz w:val="20"/>
          <w:lang w:val="en-US"/>
        </w:rPr>
        <w:t>analysed</w:t>
      </w:r>
      <w:proofErr w:type="spellEnd"/>
      <w:r w:rsidRPr="009929B6">
        <w:rPr>
          <w:sz w:val="20"/>
          <w:lang w:val="en-US"/>
        </w:rPr>
        <w:t xml:space="preserve"> patients in the model (not only patients with a baseline and measurement at week 52).</w:t>
      </w:r>
    </w:p>
    <w:p w14:paraId="327B742F" w14:textId="25536301" w:rsidR="00A5675D" w:rsidRDefault="00A5675D">
      <w:pPr>
        <w:rPr>
          <w:sz w:val="24"/>
          <w:szCs w:val="24"/>
          <w:lang w:val="en-US"/>
        </w:rPr>
      </w:pPr>
      <w:r>
        <w:rPr>
          <w:sz w:val="24"/>
          <w:szCs w:val="24"/>
          <w:lang w:val="en-US"/>
        </w:rPr>
        <w:br w:type="page"/>
      </w:r>
    </w:p>
    <w:p w14:paraId="0B09E539" w14:textId="77777777" w:rsidR="00D657C7" w:rsidRPr="00F85BD8" w:rsidRDefault="00D657C7" w:rsidP="00D657C7">
      <w:pPr>
        <w:autoSpaceDE w:val="0"/>
        <w:autoSpaceDN w:val="0"/>
        <w:adjustRightInd w:val="0"/>
        <w:rPr>
          <w:sz w:val="24"/>
          <w:szCs w:val="24"/>
          <w:lang w:val="en-US"/>
        </w:rPr>
      </w:pPr>
    </w:p>
    <w:p w14:paraId="45250E3C" w14:textId="359B1A0A" w:rsidR="00D657C7" w:rsidRPr="00F85BD8" w:rsidRDefault="00D657C7" w:rsidP="00D657C7">
      <w:pPr>
        <w:keepNext/>
        <w:autoSpaceDE w:val="0"/>
        <w:autoSpaceDN w:val="0"/>
        <w:adjustRightInd w:val="0"/>
        <w:ind w:left="1134" w:hanging="1134"/>
        <w:rPr>
          <w:b/>
          <w:sz w:val="24"/>
          <w:szCs w:val="24"/>
          <w:lang w:val="en-US"/>
        </w:rPr>
      </w:pPr>
      <w:r w:rsidRPr="00F85BD8">
        <w:rPr>
          <w:b/>
          <w:sz w:val="24"/>
          <w:szCs w:val="24"/>
          <w:lang w:val="en-US"/>
        </w:rPr>
        <w:t>Table 12:</w:t>
      </w:r>
      <w:r w:rsidR="00B24AEB" w:rsidRPr="00F85BD8">
        <w:rPr>
          <w:b/>
          <w:sz w:val="24"/>
          <w:szCs w:val="24"/>
          <w:lang w:val="en-US"/>
        </w:rPr>
        <w:t xml:space="preserve"> </w:t>
      </w:r>
      <w:r w:rsidRPr="00F85BD8">
        <w:rPr>
          <w:b/>
          <w:sz w:val="24"/>
          <w:szCs w:val="24"/>
          <w:lang w:val="en-US"/>
        </w:rPr>
        <w:t>Annual rate of decline in FVC (% predicted) over 52 weeks</w:t>
      </w:r>
    </w:p>
    <w:p w14:paraId="399FE180" w14:textId="77777777" w:rsidR="00D657C7" w:rsidRPr="00F85BD8" w:rsidRDefault="00D657C7" w:rsidP="00D657C7">
      <w:pPr>
        <w:keepNext/>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D657C7" w:rsidRPr="009929B6" w14:paraId="40025210" w14:textId="77777777" w:rsidTr="00B24AEB">
        <w:trPr>
          <w:tblHeader/>
        </w:trPr>
        <w:tc>
          <w:tcPr>
            <w:tcW w:w="1666" w:type="pct"/>
            <w:tcBorders>
              <w:top w:val="single" w:sz="4" w:space="0" w:color="auto"/>
              <w:left w:val="single" w:sz="4" w:space="0" w:color="auto"/>
              <w:bottom w:val="single" w:sz="4" w:space="0" w:color="auto"/>
              <w:right w:val="single" w:sz="4" w:space="0" w:color="auto"/>
            </w:tcBorders>
          </w:tcPr>
          <w:p w14:paraId="459AACD6" w14:textId="77777777" w:rsidR="00D657C7" w:rsidRPr="009929B6" w:rsidRDefault="00D657C7">
            <w:pPr>
              <w:autoSpaceDE w:val="0"/>
              <w:autoSpaceDN w:val="0"/>
              <w:adjustRightInd w:val="0"/>
              <w:rPr>
                <w:sz w:val="22"/>
                <w:szCs w:val="22"/>
              </w:rPr>
            </w:pPr>
          </w:p>
        </w:tc>
        <w:tc>
          <w:tcPr>
            <w:tcW w:w="1666" w:type="pct"/>
            <w:tcBorders>
              <w:top w:val="single" w:sz="4" w:space="0" w:color="auto"/>
              <w:left w:val="single" w:sz="4" w:space="0" w:color="auto"/>
              <w:bottom w:val="single" w:sz="4" w:space="0" w:color="auto"/>
              <w:right w:val="single" w:sz="4" w:space="0" w:color="auto"/>
            </w:tcBorders>
            <w:hideMark/>
          </w:tcPr>
          <w:p w14:paraId="59E57691" w14:textId="77777777" w:rsidR="00D657C7" w:rsidRPr="009929B6" w:rsidRDefault="00D657C7">
            <w:pPr>
              <w:autoSpaceDE w:val="0"/>
              <w:autoSpaceDN w:val="0"/>
              <w:adjustRightInd w:val="0"/>
              <w:jc w:val="center"/>
              <w:rPr>
                <w:sz w:val="22"/>
                <w:szCs w:val="22"/>
              </w:rPr>
            </w:pPr>
            <w:r w:rsidRPr="009929B6">
              <w:rPr>
                <w:sz w:val="22"/>
                <w:szCs w:val="22"/>
              </w:rPr>
              <w:t>Placebo</w:t>
            </w:r>
          </w:p>
        </w:tc>
        <w:tc>
          <w:tcPr>
            <w:tcW w:w="1668" w:type="pct"/>
            <w:tcBorders>
              <w:top w:val="single" w:sz="4" w:space="0" w:color="auto"/>
              <w:left w:val="single" w:sz="4" w:space="0" w:color="auto"/>
              <w:bottom w:val="single" w:sz="4" w:space="0" w:color="auto"/>
              <w:right w:val="single" w:sz="4" w:space="0" w:color="auto"/>
            </w:tcBorders>
            <w:hideMark/>
          </w:tcPr>
          <w:p w14:paraId="530276EF" w14:textId="77777777" w:rsidR="00D657C7" w:rsidRPr="009929B6" w:rsidRDefault="00D657C7">
            <w:pPr>
              <w:autoSpaceDE w:val="0"/>
              <w:autoSpaceDN w:val="0"/>
              <w:adjustRightInd w:val="0"/>
              <w:jc w:val="center"/>
              <w:rPr>
                <w:sz w:val="22"/>
                <w:szCs w:val="22"/>
              </w:rPr>
            </w:pPr>
            <w:proofErr w:type="spellStart"/>
            <w:r w:rsidRPr="009929B6">
              <w:rPr>
                <w:sz w:val="22"/>
                <w:szCs w:val="22"/>
              </w:rPr>
              <w:t>Nintedanib</w:t>
            </w:r>
            <w:proofErr w:type="spellEnd"/>
          </w:p>
          <w:p w14:paraId="20999BFF" w14:textId="77777777" w:rsidR="00D657C7" w:rsidRPr="009929B6" w:rsidRDefault="00D657C7">
            <w:pPr>
              <w:autoSpaceDE w:val="0"/>
              <w:autoSpaceDN w:val="0"/>
              <w:adjustRightInd w:val="0"/>
              <w:jc w:val="center"/>
              <w:rPr>
                <w:sz w:val="22"/>
                <w:szCs w:val="22"/>
              </w:rPr>
            </w:pPr>
            <w:r w:rsidRPr="009929B6">
              <w:rPr>
                <w:sz w:val="22"/>
                <w:szCs w:val="22"/>
              </w:rPr>
              <w:t>150 mg twice daily</w:t>
            </w:r>
          </w:p>
        </w:tc>
      </w:tr>
      <w:tr w:rsidR="00D657C7" w:rsidRPr="009929B6" w14:paraId="5077C040"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34131424" w14:textId="77777777" w:rsidR="00D657C7" w:rsidRPr="009929B6" w:rsidRDefault="00D657C7">
            <w:pPr>
              <w:autoSpaceDE w:val="0"/>
              <w:autoSpaceDN w:val="0"/>
              <w:adjustRightInd w:val="0"/>
              <w:rPr>
                <w:sz w:val="22"/>
                <w:szCs w:val="22"/>
              </w:rPr>
            </w:pPr>
            <w:r w:rsidRPr="009929B6">
              <w:rPr>
                <w:sz w:val="22"/>
                <w:szCs w:val="22"/>
              </w:rPr>
              <w:t>Number of analysed patients</w:t>
            </w:r>
          </w:p>
        </w:tc>
        <w:tc>
          <w:tcPr>
            <w:tcW w:w="1666" w:type="pct"/>
            <w:tcBorders>
              <w:top w:val="single" w:sz="4" w:space="0" w:color="auto"/>
              <w:left w:val="single" w:sz="4" w:space="0" w:color="auto"/>
              <w:bottom w:val="single" w:sz="4" w:space="0" w:color="auto"/>
              <w:right w:val="single" w:sz="4" w:space="0" w:color="auto"/>
            </w:tcBorders>
            <w:vAlign w:val="center"/>
            <w:hideMark/>
          </w:tcPr>
          <w:p w14:paraId="5AF88B3C" w14:textId="77777777" w:rsidR="00D657C7" w:rsidRPr="009929B6" w:rsidRDefault="00D657C7">
            <w:pPr>
              <w:autoSpaceDE w:val="0"/>
              <w:autoSpaceDN w:val="0"/>
              <w:adjustRightInd w:val="0"/>
              <w:jc w:val="center"/>
              <w:rPr>
                <w:sz w:val="22"/>
                <w:szCs w:val="22"/>
              </w:rPr>
            </w:pPr>
            <w:r w:rsidRPr="009929B6">
              <w:rPr>
                <w:sz w:val="22"/>
                <w:szCs w:val="22"/>
              </w:rPr>
              <w:t>288</w:t>
            </w:r>
          </w:p>
        </w:tc>
        <w:tc>
          <w:tcPr>
            <w:tcW w:w="1668" w:type="pct"/>
            <w:tcBorders>
              <w:top w:val="single" w:sz="4" w:space="0" w:color="auto"/>
              <w:left w:val="single" w:sz="4" w:space="0" w:color="auto"/>
              <w:bottom w:val="single" w:sz="4" w:space="0" w:color="auto"/>
              <w:right w:val="single" w:sz="4" w:space="0" w:color="auto"/>
            </w:tcBorders>
            <w:vAlign w:val="center"/>
            <w:hideMark/>
          </w:tcPr>
          <w:p w14:paraId="0C0254B1" w14:textId="77777777" w:rsidR="00D657C7" w:rsidRPr="009929B6" w:rsidRDefault="00D657C7">
            <w:pPr>
              <w:autoSpaceDE w:val="0"/>
              <w:autoSpaceDN w:val="0"/>
              <w:adjustRightInd w:val="0"/>
              <w:jc w:val="center"/>
              <w:rPr>
                <w:sz w:val="22"/>
                <w:szCs w:val="22"/>
              </w:rPr>
            </w:pPr>
            <w:r w:rsidRPr="009929B6">
              <w:rPr>
                <w:sz w:val="22"/>
                <w:szCs w:val="22"/>
              </w:rPr>
              <w:t>287</w:t>
            </w:r>
          </w:p>
        </w:tc>
      </w:tr>
      <w:tr w:rsidR="00D657C7" w:rsidRPr="009929B6" w14:paraId="1E8D1258"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1D1728B3" w14:textId="77777777" w:rsidR="00D657C7" w:rsidRPr="009929B6" w:rsidRDefault="00D657C7">
            <w:pPr>
              <w:autoSpaceDE w:val="0"/>
              <w:autoSpaceDN w:val="0"/>
              <w:adjustRightInd w:val="0"/>
              <w:rPr>
                <w:sz w:val="22"/>
                <w:szCs w:val="22"/>
              </w:rPr>
            </w:pPr>
            <w:r w:rsidRPr="009929B6">
              <w:rPr>
                <w:sz w:val="22"/>
                <w:szCs w:val="22"/>
              </w:rPr>
              <w:t>Rate</w:t>
            </w:r>
            <w:r w:rsidRPr="009929B6">
              <w:rPr>
                <w:sz w:val="22"/>
                <w:szCs w:val="22"/>
                <w:vertAlign w:val="superscript"/>
              </w:rPr>
              <w:t>1</w:t>
            </w:r>
            <w:r w:rsidRPr="009929B6">
              <w:rPr>
                <w:sz w:val="22"/>
                <w:szCs w:val="22"/>
              </w:rPr>
              <w:t xml:space="preserve"> (SE) of decline over 52 weeks</w:t>
            </w:r>
          </w:p>
        </w:tc>
        <w:tc>
          <w:tcPr>
            <w:tcW w:w="1666" w:type="pct"/>
            <w:tcBorders>
              <w:top w:val="single" w:sz="4" w:space="0" w:color="auto"/>
              <w:left w:val="single" w:sz="4" w:space="0" w:color="auto"/>
              <w:bottom w:val="single" w:sz="4" w:space="0" w:color="auto"/>
              <w:right w:val="single" w:sz="4" w:space="0" w:color="auto"/>
            </w:tcBorders>
            <w:vAlign w:val="bottom"/>
            <w:hideMark/>
          </w:tcPr>
          <w:p w14:paraId="1C811F84" w14:textId="77777777" w:rsidR="00D657C7" w:rsidRPr="009929B6" w:rsidRDefault="00D657C7">
            <w:pPr>
              <w:autoSpaceDE w:val="0"/>
              <w:autoSpaceDN w:val="0"/>
              <w:adjustRightInd w:val="0"/>
              <w:jc w:val="center"/>
              <w:rPr>
                <w:sz w:val="22"/>
                <w:szCs w:val="22"/>
              </w:rPr>
            </w:pPr>
            <w:r w:rsidRPr="009929B6">
              <w:rPr>
                <w:sz w:val="22"/>
                <w:szCs w:val="22"/>
              </w:rPr>
              <w:t>-2.6 (0.4)</w:t>
            </w:r>
          </w:p>
        </w:tc>
        <w:tc>
          <w:tcPr>
            <w:tcW w:w="1668" w:type="pct"/>
            <w:tcBorders>
              <w:top w:val="single" w:sz="4" w:space="0" w:color="auto"/>
              <w:left w:val="single" w:sz="4" w:space="0" w:color="auto"/>
              <w:bottom w:val="single" w:sz="4" w:space="0" w:color="auto"/>
              <w:right w:val="single" w:sz="4" w:space="0" w:color="auto"/>
            </w:tcBorders>
            <w:vAlign w:val="bottom"/>
            <w:hideMark/>
          </w:tcPr>
          <w:p w14:paraId="20A2BF2E" w14:textId="77777777" w:rsidR="00D657C7" w:rsidRPr="009929B6" w:rsidRDefault="00D657C7">
            <w:pPr>
              <w:autoSpaceDE w:val="0"/>
              <w:autoSpaceDN w:val="0"/>
              <w:adjustRightInd w:val="0"/>
              <w:jc w:val="center"/>
              <w:rPr>
                <w:sz w:val="22"/>
                <w:szCs w:val="22"/>
              </w:rPr>
            </w:pPr>
            <w:r w:rsidRPr="009929B6">
              <w:rPr>
                <w:sz w:val="22"/>
                <w:szCs w:val="22"/>
              </w:rPr>
              <w:t>-1.4 (0.4)</w:t>
            </w:r>
          </w:p>
        </w:tc>
      </w:tr>
      <w:tr w:rsidR="00D657C7" w:rsidRPr="009929B6" w14:paraId="5BC605C6" w14:textId="77777777" w:rsidTr="00B24AEB">
        <w:tc>
          <w:tcPr>
            <w:tcW w:w="5000" w:type="pct"/>
            <w:gridSpan w:val="3"/>
            <w:tcBorders>
              <w:top w:val="single" w:sz="4" w:space="0" w:color="auto"/>
              <w:left w:val="single" w:sz="4" w:space="0" w:color="auto"/>
              <w:bottom w:val="single" w:sz="4" w:space="0" w:color="auto"/>
              <w:right w:val="single" w:sz="4" w:space="0" w:color="auto"/>
            </w:tcBorders>
            <w:hideMark/>
          </w:tcPr>
          <w:p w14:paraId="25056A26" w14:textId="77777777" w:rsidR="00D657C7" w:rsidRPr="009929B6" w:rsidRDefault="00D657C7">
            <w:pPr>
              <w:autoSpaceDE w:val="0"/>
              <w:autoSpaceDN w:val="0"/>
              <w:adjustRightInd w:val="0"/>
              <w:rPr>
                <w:sz w:val="22"/>
                <w:szCs w:val="22"/>
              </w:rPr>
            </w:pPr>
            <w:r w:rsidRPr="009929B6">
              <w:rPr>
                <w:sz w:val="22"/>
                <w:szCs w:val="22"/>
              </w:rPr>
              <w:t>Comparison vs placebo</w:t>
            </w:r>
          </w:p>
        </w:tc>
      </w:tr>
      <w:tr w:rsidR="00D657C7" w:rsidRPr="009929B6" w14:paraId="03AA7FAA"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56D87231" w14:textId="77777777" w:rsidR="00D657C7" w:rsidRPr="009929B6" w:rsidRDefault="00D657C7">
            <w:pPr>
              <w:autoSpaceDE w:val="0"/>
              <w:autoSpaceDN w:val="0"/>
              <w:adjustRightInd w:val="0"/>
              <w:rPr>
                <w:sz w:val="22"/>
                <w:szCs w:val="22"/>
              </w:rPr>
            </w:pPr>
            <w:r w:rsidRPr="009929B6">
              <w:rPr>
                <w:sz w:val="22"/>
                <w:szCs w:val="22"/>
              </w:rPr>
              <w:t>Difference</w:t>
            </w:r>
            <w:r w:rsidRPr="009929B6">
              <w:rPr>
                <w:sz w:val="22"/>
                <w:szCs w:val="22"/>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48A1A5E8"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C668287" w14:textId="77777777" w:rsidR="00D657C7" w:rsidRPr="009929B6" w:rsidRDefault="00D657C7">
            <w:pPr>
              <w:autoSpaceDE w:val="0"/>
              <w:autoSpaceDN w:val="0"/>
              <w:adjustRightInd w:val="0"/>
              <w:jc w:val="center"/>
              <w:rPr>
                <w:sz w:val="22"/>
                <w:szCs w:val="22"/>
              </w:rPr>
            </w:pPr>
            <w:r w:rsidRPr="009929B6">
              <w:rPr>
                <w:sz w:val="22"/>
                <w:szCs w:val="22"/>
              </w:rPr>
              <w:t>1.15</w:t>
            </w:r>
          </w:p>
        </w:tc>
      </w:tr>
      <w:tr w:rsidR="00D657C7" w:rsidRPr="009929B6" w14:paraId="02F7F0D5"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3EF051BC" w14:textId="77777777" w:rsidR="00D657C7" w:rsidRPr="009929B6" w:rsidRDefault="00D657C7">
            <w:pPr>
              <w:autoSpaceDE w:val="0"/>
              <w:autoSpaceDN w:val="0"/>
              <w:adjustRightInd w:val="0"/>
              <w:ind w:left="317"/>
              <w:rPr>
                <w:sz w:val="22"/>
                <w:szCs w:val="22"/>
              </w:rPr>
            </w:pPr>
            <w:r w:rsidRPr="009929B6">
              <w:rPr>
                <w:sz w:val="22"/>
                <w:szCs w:val="22"/>
              </w:rPr>
              <w:t>95% CI</w:t>
            </w:r>
          </w:p>
        </w:tc>
        <w:tc>
          <w:tcPr>
            <w:tcW w:w="1666" w:type="pct"/>
            <w:tcBorders>
              <w:top w:val="single" w:sz="4" w:space="0" w:color="auto"/>
              <w:left w:val="single" w:sz="4" w:space="0" w:color="auto"/>
              <w:bottom w:val="single" w:sz="4" w:space="0" w:color="auto"/>
              <w:right w:val="single" w:sz="4" w:space="0" w:color="auto"/>
            </w:tcBorders>
            <w:vAlign w:val="center"/>
          </w:tcPr>
          <w:p w14:paraId="247C5CE2"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52041DCC" w14:textId="77777777" w:rsidR="00D657C7" w:rsidRPr="009929B6" w:rsidRDefault="00D657C7">
            <w:pPr>
              <w:autoSpaceDE w:val="0"/>
              <w:autoSpaceDN w:val="0"/>
              <w:adjustRightInd w:val="0"/>
              <w:jc w:val="center"/>
              <w:rPr>
                <w:sz w:val="22"/>
                <w:szCs w:val="22"/>
              </w:rPr>
            </w:pPr>
            <w:r w:rsidRPr="009929B6">
              <w:rPr>
                <w:sz w:val="22"/>
                <w:szCs w:val="22"/>
              </w:rPr>
              <w:t>(0.09, 2.21)</w:t>
            </w:r>
          </w:p>
        </w:tc>
      </w:tr>
      <w:tr w:rsidR="00D657C7" w:rsidRPr="009929B6" w14:paraId="471820F5" w14:textId="77777777" w:rsidTr="00B24AEB">
        <w:tc>
          <w:tcPr>
            <w:tcW w:w="1666" w:type="pct"/>
            <w:tcBorders>
              <w:top w:val="single" w:sz="4" w:space="0" w:color="auto"/>
              <w:left w:val="single" w:sz="4" w:space="0" w:color="auto"/>
              <w:bottom w:val="single" w:sz="4" w:space="0" w:color="auto"/>
              <w:right w:val="single" w:sz="4" w:space="0" w:color="auto"/>
            </w:tcBorders>
            <w:hideMark/>
          </w:tcPr>
          <w:p w14:paraId="7CDEC70F" w14:textId="77777777" w:rsidR="00D657C7" w:rsidRPr="009929B6" w:rsidRDefault="00D657C7">
            <w:pPr>
              <w:autoSpaceDE w:val="0"/>
              <w:autoSpaceDN w:val="0"/>
              <w:adjustRightInd w:val="0"/>
              <w:ind w:left="317"/>
              <w:rPr>
                <w:sz w:val="22"/>
                <w:szCs w:val="22"/>
              </w:rPr>
            </w:pPr>
            <w:r w:rsidRPr="009929B6">
              <w:rPr>
                <w:sz w:val="22"/>
                <w:szCs w:val="22"/>
              </w:rPr>
              <w:t>p-value</w:t>
            </w:r>
          </w:p>
        </w:tc>
        <w:tc>
          <w:tcPr>
            <w:tcW w:w="1666" w:type="pct"/>
            <w:tcBorders>
              <w:top w:val="single" w:sz="4" w:space="0" w:color="auto"/>
              <w:left w:val="single" w:sz="4" w:space="0" w:color="auto"/>
              <w:bottom w:val="single" w:sz="4" w:space="0" w:color="auto"/>
              <w:right w:val="single" w:sz="4" w:space="0" w:color="auto"/>
            </w:tcBorders>
            <w:vAlign w:val="center"/>
          </w:tcPr>
          <w:p w14:paraId="098786B0" w14:textId="77777777" w:rsidR="00D657C7" w:rsidRPr="009929B6" w:rsidRDefault="00D657C7">
            <w:pPr>
              <w:autoSpaceDE w:val="0"/>
              <w:autoSpaceDN w:val="0"/>
              <w:adjustRightInd w:val="0"/>
              <w:jc w:val="center"/>
              <w:rPr>
                <w:sz w:val="22"/>
                <w:szCs w:val="22"/>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2F46B846" w14:textId="77777777" w:rsidR="00D657C7" w:rsidRPr="009929B6" w:rsidRDefault="00D657C7">
            <w:pPr>
              <w:autoSpaceDE w:val="0"/>
              <w:autoSpaceDN w:val="0"/>
              <w:adjustRightInd w:val="0"/>
              <w:jc w:val="center"/>
              <w:rPr>
                <w:sz w:val="22"/>
                <w:szCs w:val="22"/>
              </w:rPr>
            </w:pPr>
            <w:r w:rsidRPr="009929B6">
              <w:rPr>
                <w:sz w:val="22"/>
                <w:szCs w:val="22"/>
              </w:rPr>
              <w:t>&lt;0.05</w:t>
            </w:r>
          </w:p>
        </w:tc>
      </w:tr>
    </w:tbl>
    <w:p w14:paraId="03B53472" w14:textId="22BCD2EB" w:rsidR="00D657C7" w:rsidRPr="009929B6" w:rsidRDefault="00D657C7" w:rsidP="00B24AEB">
      <w:pPr>
        <w:autoSpaceDE w:val="0"/>
        <w:autoSpaceDN w:val="0"/>
        <w:adjustRightInd w:val="0"/>
        <w:ind w:left="284" w:hanging="284"/>
        <w:rPr>
          <w:sz w:val="20"/>
          <w:lang w:val="en-GB" w:eastAsia="en-US"/>
        </w:rPr>
      </w:pPr>
      <w:r w:rsidRPr="009929B6">
        <w:rPr>
          <w:sz w:val="20"/>
          <w:vertAlign w:val="superscript"/>
          <w:lang w:val="en-US"/>
        </w:rPr>
        <w:t xml:space="preserve">1 </w:t>
      </w:r>
      <w:r w:rsidR="00B24AEB" w:rsidRPr="009929B6">
        <w:rPr>
          <w:sz w:val="20"/>
          <w:vertAlign w:val="superscript"/>
          <w:lang w:val="en-US"/>
        </w:rPr>
        <w:tab/>
      </w:r>
      <w:r w:rsidRPr="009929B6">
        <w:rPr>
          <w:sz w:val="20"/>
          <w:lang w:val="en-US"/>
        </w:rPr>
        <w:t xml:space="preserve">Based on a random coefficient regression with fixed categorical effects of treatment, ATA status, fixed continuous effects of time, baseline FVC [% </w:t>
      </w:r>
      <w:proofErr w:type="spellStart"/>
      <w:r w:rsidRPr="009929B6">
        <w:rPr>
          <w:sz w:val="20"/>
          <w:lang w:val="en-US"/>
        </w:rPr>
        <w:t>pred</w:t>
      </w:r>
      <w:proofErr w:type="spellEnd"/>
      <w:r w:rsidRPr="009929B6">
        <w:rPr>
          <w:sz w:val="20"/>
          <w:lang w:val="en-US"/>
        </w:rPr>
        <w:t>], and including treatment-by-time and baseline-by-time interactions. Random effect was included for patient specific intercept and time. Within-patient errors were modelled by an unstructured variance-covariance matrix. Inter-individual variability was modelled by a variance-components variance-covariance matrix</w:t>
      </w:r>
    </w:p>
    <w:p w14:paraId="59A999EF" w14:textId="77777777" w:rsidR="00D657C7" w:rsidRPr="00F85BD8" w:rsidRDefault="00D657C7" w:rsidP="00D657C7">
      <w:pPr>
        <w:autoSpaceDE w:val="0"/>
        <w:autoSpaceDN w:val="0"/>
        <w:adjustRightInd w:val="0"/>
        <w:rPr>
          <w:sz w:val="24"/>
          <w:szCs w:val="24"/>
          <w:lang w:val="en-US"/>
        </w:rPr>
      </w:pPr>
    </w:p>
    <w:p w14:paraId="5A833938" w14:textId="77777777" w:rsidR="00D657C7" w:rsidRPr="009929B6" w:rsidRDefault="00D657C7" w:rsidP="00B24AEB">
      <w:pPr>
        <w:ind w:left="851"/>
        <w:rPr>
          <w:i/>
          <w:sz w:val="24"/>
          <w:szCs w:val="24"/>
          <w:u w:val="single"/>
          <w:lang w:val="en-US"/>
        </w:rPr>
      </w:pPr>
      <w:r w:rsidRPr="009929B6">
        <w:rPr>
          <w:i/>
          <w:sz w:val="24"/>
          <w:szCs w:val="24"/>
          <w:u w:val="single"/>
          <w:lang w:val="en-US"/>
        </w:rPr>
        <w:t xml:space="preserve">Change from baseline in Modified </w:t>
      </w:r>
      <w:proofErr w:type="spellStart"/>
      <w:r w:rsidRPr="009929B6">
        <w:rPr>
          <w:i/>
          <w:sz w:val="24"/>
          <w:szCs w:val="24"/>
          <w:u w:val="single"/>
          <w:lang w:val="en-US"/>
        </w:rPr>
        <w:t>Rodnan</w:t>
      </w:r>
      <w:proofErr w:type="spellEnd"/>
      <w:r w:rsidRPr="009929B6">
        <w:rPr>
          <w:i/>
          <w:sz w:val="24"/>
          <w:szCs w:val="24"/>
          <w:u w:val="single"/>
          <w:lang w:val="en-US"/>
        </w:rPr>
        <w:t xml:space="preserve"> Skin Score (</w:t>
      </w:r>
      <w:proofErr w:type="spellStart"/>
      <w:r w:rsidRPr="009929B6">
        <w:rPr>
          <w:i/>
          <w:sz w:val="24"/>
          <w:szCs w:val="24"/>
          <w:u w:val="single"/>
          <w:lang w:val="en-US"/>
        </w:rPr>
        <w:t>mRSS</w:t>
      </w:r>
      <w:proofErr w:type="spellEnd"/>
      <w:r w:rsidRPr="009929B6">
        <w:rPr>
          <w:i/>
          <w:sz w:val="24"/>
          <w:szCs w:val="24"/>
          <w:u w:val="single"/>
          <w:lang w:val="en-US"/>
        </w:rPr>
        <w:t>) at week 52</w:t>
      </w:r>
    </w:p>
    <w:p w14:paraId="7736F98C" w14:textId="77777777" w:rsidR="00D657C7" w:rsidRPr="00F85BD8" w:rsidRDefault="00D657C7" w:rsidP="00B24AEB">
      <w:pPr>
        <w:ind w:left="851"/>
        <w:rPr>
          <w:sz w:val="24"/>
          <w:szCs w:val="24"/>
          <w:lang w:val="en-US"/>
        </w:rPr>
      </w:pPr>
      <w:r w:rsidRPr="00F85BD8">
        <w:rPr>
          <w:sz w:val="24"/>
          <w:szCs w:val="24"/>
          <w:lang w:val="en-US"/>
        </w:rPr>
        <w:t xml:space="preserve">The adjusted mean absolute change from baseline in </w:t>
      </w:r>
      <w:proofErr w:type="spellStart"/>
      <w:r w:rsidRPr="00F85BD8">
        <w:rPr>
          <w:sz w:val="24"/>
          <w:szCs w:val="24"/>
          <w:lang w:val="en-US"/>
        </w:rPr>
        <w:t>mRSS</w:t>
      </w:r>
      <w:proofErr w:type="spellEnd"/>
      <w:r w:rsidRPr="00F85BD8">
        <w:rPr>
          <w:sz w:val="24"/>
          <w:szCs w:val="24"/>
          <w:lang w:val="en-US"/>
        </w:rPr>
        <w:t xml:space="preserve"> at week 52 was comparable between the </w:t>
      </w:r>
      <w:proofErr w:type="spellStart"/>
      <w:r w:rsidRPr="00F85BD8">
        <w:rPr>
          <w:sz w:val="24"/>
          <w:szCs w:val="24"/>
          <w:lang w:val="en-US"/>
        </w:rPr>
        <w:t>nintedanib</w:t>
      </w:r>
      <w:proofErr w:type="spellEnd"/>
      <w:r w:rsidRPr="00F85BD8">
        <w:rPr>
          <w:sz w:val="24"/>
          <w:szCs w:val="24"/>
          <w:lang w:val="en-US"/>
        </w:rPr>
        <w:t xml:space="preserve"> group (-2.17 (95% CI -2.69, -1.65)) and the placebo group (-1.96 (95% CI -2.48, -1.45)). The adjusted mean difference between the treatment groups was -0.21 (95% CI -0.94, 0.53; p=0.5785). </w:t>
      </w:r>
    </w:p>
    <w:p w14:paraId="131078C2" w14:textId="77777777" w:rsidR="00D657C7" w:rsidRPr="00F85BD8" w:rsidRDefault="00D657C7" w:rsidP="00B24AEB">
      <w:pPr>
        <w:ind w:left="851"/>
        <w:rPr>
          <w:sz w:val="24"/>
          <w:szCs w:val="24"/>
          <w:lang w:val="en-US"/>
        </w:rPr>
      </w:pPr>
    </w:p>
    <w:p w14:paraId="79F5588E" w14:textId="77777777" w:rsidR="00D657C7" w:rsidRPr="009929B6" w:rsidRDefault="00D657C7" w:rsidP="00B24AEB">
      <w:pPr>
        <w:ind w:left="851"/>
        <w:rPr>
          <w:i/>
          <w:sz w:val="24"/>
          <w:szCs w:val="24"/>
          <w:u w:val="single"/>
          <w:lang w:val="en-US"/>
        </w:rPr>
      </w:pPr>
      <w:r w:rsidRPr="009929B6">
        <w:rPr>
          <w:i/>
          <w:sz w:val="24"/>
          <w:szCs w:val="24"/>
          <w:u w:val="single"/>
          <w:lang w:val="en-US"/>
        </w:rPr>
        <w:t xml:space="preserve">Change from baseline in St. George’s Respiratory Questionnaire (SGRQ) total score at week 52 </w:t>
      </w:r>
    </w:p>
    <w:p w14:paraId="5453349F" w14:textId="77777777" w:rsidR="00D657C7" w:rsidRPr="00F85BD8" w:rsidRDefault="00D657C7" w:rsidP="00B24AEB">
      <w:pPr>
        <w:ind w:left="851"/>
        <w:rPr>
          <w:sz w:val="24"/>
          <w:szCs w:val="24"/>
          <w:lang w:val="en-US"/>
        </w:rPr>
      </w:pPr>
      <w:r w:rsidRPr="00F85BD8">
        <w:rPr>
          <w:sz w:val="24"/>
          <w:szCs w:val="24"/>
          <w:lang w:val="en-US"/>
        </w:rPr>
        <w:t xml:space="preserve">The adjusted mean absolute change from baseline in SGRQ total score at week 52 was comparable between the </w:t>
      </w:r>
      <w:proofErr w:type="spellStart"/>
      <w:r w:rsidRPr="00F85BD8">
        <w:rPr>
          <w:sz w:val="24"/>
          <w:szCs w:val="24"/>
          <w:lang w:val="en-US"/>
        </w:rPr>
        <w:t>nintedanib</w:t>
      </w:r>
      <w:proofErr w:type="spellEnd"/>
      <w:r w:rsidRPr="00F85BD8">
        <w:rPr>
          <w:sz w:val="24"/>
          <w:szCs w:val="24"/>
          <w:lang w:val="en-US"/>
        </w:rPr>
        <w:t xml:space="preserve"> group (0.81 (95% CI -0.92, 2.55)) and the placebo group (-0.88 (95% CI -2.58, 0.82)). The adjusted mean difference between the treatment groups was 1.69 (95% CI -0.73, 4.12; p=0.1711).</w:t>
      </w:r>
    </w:p>
    <w:p w14:paraId="1716AD7A" w14:textId="77777777" w:rsidR="00D657C7" w:rsidRPr="00F85BD8" w:rsidRDefault="00D657C7" w:rsidP="00B24AEB">
      <w:pPr>
        <w:ind w:left="851"/>
        <w:rPr>
          <w:sz w:val="24"/>
          <w:szCs w:val="24"/>
          <w:lang w:val="en-US"/>
        </w:rPr>
      </w:pPr>
    </w:p>
    <w:p w14:paraId="5C09E282" w14:textId="77777777" w:rsidR="00D657C7" w:rsidRPr="009929B6" w:rsidRDefault="00D657C7" w:rsidP="00B24AEB">
      <w:pPr>
        <w:ind w:left="851"/>
        <w:rPr>
          <w:i/>
          <w:sz w:val="24"/>
          <w:szCs w:val="24"/>
          <w:u w:val="single"/>
          <w:lang w:val="en-US"/>
        </w:rPr>
      </w:pPr>
      <w:r w:rsidRPr="009929B6">
        <w:rPr>
          <w:i/>
          <w:sz w:val="24"/>
          <w:szCs w:val="24"/>
          <w:u w:val="single"/>
          <w:lang w:val="en-US"/>
        </w:rPr>
        <w:t>Survival analysis</w:t>
      </w:r>
    </w:p>
    <w:p w14:paraId="0243701E" w14:textId="77777777" w:rsidR="00D657C7" w:rsidRPr="00F85BD8" w:rsidRDefault="00D657C7" w:rsidP="00B24AEB">
      <w:pPr>
        <w:ind w:left="851"/>
        <w:rPr>
          <w:sz w:val="24"/>
          <w:szCs w:val="24"/>
          <w:lang w:val="en-US"/>
        </w:rPr>
      </w:pPr>
      <w:r w:rsidRPr="00F85BD8">
        <w:rPr>
          <w:sz w:val="24"/>
          <w:szCs w:val="24"/>
          <w:lang w:val="en-US"/>
        </w:rPr>
        <w:t xml:space="preserve">Mortality over the whole trial was comparable between the </w:t>
      </w:r>
      <w:proofErr w:type="spellStart"/>
      <w:r w:rsidRPr="00F85BD8">
        <w:rPr>
          <w:sz w:val="24"/>
          <w:szCs w:val="24"/>
          <w:lang w:val="en-US"/>
        </w:rPr>
        <w:t>nintedanib</w:t>
      </w:r>
      <w:proofErr w:type="spellEnd"/>
      <w:r w:rsidRPr="00F85BD8">
        <w:rPr>
          <w:sz w:val="24"/>
          <w:szCs w:val="24"/>
          <w:lang w:val="en-US"/>
        </w:rPr>
        <w:t xml:space="preserve"> group (N=10; 3.5%) and the placebo group (N=9; 3.1%). The analysis of time to death over the whole trial resulted in a HR of 1.16 (95% CI 0.47, 2.84; p=0.7535).</w:t>
      </w:r>
    </w:p>
    <w:p w14:paraId="7030EF09" w14:textId="77777777" w:rsidR="00D657C7" w:rsidRPr="00F85BD8" w:rsidRDefault="00D657C7" w:rsidP="00B24AEB">
      <w:pPr>
        <w:ind w:left="851"/>
        <w:rPr>
          <w:sz w:val="24"/>
          <w:szCs w:val="24"/>
          <w:lang w:val="en-US"/>
        </w:rPr>
      </w:pPr>
    </w:p>
    <w:p w14:paraId="204F18B2" w14:textId="77777777" w:rsidR="00D657C7" w:rsidRPr="009929B6" w:rsidRDefault="00D657C7" w:rsidP="00B24AEB">
      <w:pPr>
        <w:ind w:left="851"/>
        <w:rPr>
          <w:i/>
          <w:sz w:val="24"/>
          <w:szCs w:val="24"/>
          <w:u w:val="single"/>
          <w:lang w:val="en-US"/>
        </w:rPr>
      </w:pPr>
      <w:r w:rsidRPr="009929B6">
        <w:rPr>
          <w:i/>
          <w:sz w:val="24"/>
          <w:szCs w:val="24"/>
          <w:u w:val="single"/>
          <w:lang w:val="en-US"/>
        </w:rPr>
        <w:t>QT interval</w:t>
      </w:r>
    </w:p>
    <w:p w14:paraId="157328C7" w14:textId="77777777" w:rsidR="00D657C7" w:rsidRPr="00F85BD8" w:rsidRDefault="00D657C7" w:rsidP="00B24AEB">
      <w:pPr>
        <w:ind w:left="851"/>
        <w:rPr>
          <w:sz w:val="24"/>
          <w:szCs w:val="24"/>
          <w:lang w:val="en-US"/>
        </w:rPr>
      </w:pPr>
      <w:r w:rsidRPr="00F85BD8">
        <w:rPr>
          <w:sz w:val="24"/>
          <w:szCs w:val="24"/>
          <w:lang w:val="en-US"/>
        </w:rPr>
        <w:t xml:space="preserve">In a dedicated study in renal cell cancer patients, QT/QTc measurements were recorded and showed that a single oral dose of 200 mg </w:t>
      </w:r>
      <w:proofErr w:type="spellStart"/>
      <w:r w:rsidRPr="00F85BD8">
        <w:rPr>
          <w:sz w:val="24"/>
          <w:szCs w:val="24"/>
          <w:lang w:val="en-US"/>
        </w:rPr>
        <w:t>nintedanib</w:t>
      </w:r>
      <w:proofErr w:type="spellEnd"/>
      <w:r w:rsidRPr="00F85BD8">
        <w:rPr>
          <w:sz w:val="24"/>
          <w:szCs w:val="24"/>
          <w:lang w:val="en-US"/>
        </w:rPr>
        <w:t xml:space="preserve"> as well as multiple oral doses of 200 mg </w:t>
      </w:r>
      <w:proofErr w:type="spellStart"/>
      <w:r w:rsidRPr="00F85BD8">
        <w:rPr>
          <w:sz w:val="24"/>
          <w:szCs w:val="24"/>
          <w:lang w:val="en-US"/>
        </w:rPr>
        <w:t>nintedanib</w:t>
      </w:r>
      <w:proofErr w:type="spellEnd"/>
      <w:r w:rsidRPr="00F85BD8">
        <w:rPr>
          <w:sz w:val="24"/>
          <w:szCs w:val="24"/>
          <w:lang w:val="en-US"/>
        </w:rPr>
        <w:t xml:space="preserve"> administered twice daily for 15 days did not prolong the </w:t>
      </w:r>
      <w:proofErr w:type="spellStart"/>
      <w:r w:rsidRPr="00F85BD8">
        <w:rPr>
          <w:sz w:val="24"/>
          <w:szCs w:val="24"/>
          <w:lang w:val="en-US"/>
        </w:rPr>
        <w:t>QTcF</w:t>
      </w:r>
      <w:proofErr w:type="spellEnd"/>
      <w:r w:rsidRPr="00F85BD8">
        <w:rPr>
          <w:sz w:val="24"/>
          <w:szCs w:val="24"/>
          <w:lang w:val="en-US"/>
        </w:rPr>
        <w:t xml:space="preserve"> interval.</w:t>
      </w:r>
    </w:p>
    <w:p w14:paraId="7DF01209" w14:textId="77777777" w:rsidR="00D657C7" w:rsidRPr="00F85BD8" w:rsidRDefault="00D657C7" w:rsidP="00B24AEB">
      <w:pPr>
        <w:ind w:left="851"/>
        <w:rPr>
          <w:sz w:val="24"/>
          <w:szCs w:val="24"/>
          <w:lang w:val="en-US"/>
        </w:rPr>
      </w:pPr>
    </w:p>
    <w:p w14:paraId="7DF0E8DD" w14:textId="77777777" w:rsidR="00D657C7" w:rsidRPr="009929B6" w:rsidRDefault="00D657C7" w:rsidP="00B24AEB">
      <w:pPr>
        <w:ind w:left="851"/>
        <w:rPr>
          <w:sz w:val="24"/>
          <w:szCs w:val="24"/>
          <w:u w:val="single"/>
          <w:lang w:val="en-US"/>
        </w:rPr>
      </w:pPr>
      <w:r w:rsidRPr="009929B6">
        <w:rPr>
          <w:sz w:val="24"/>
          <w:szCs w:val="24"/>
          <w:u w:val="single"/>
          <w:lang w:val="en-US"/>
        </w:rPr>
        <w:t>Paediatric population</w:t>
      </w:r>
    </w:p>
    <w:p w14:paraId="1E226165" w14:textId="77777777" w:rsidR="00D657C7" w:rsidRPr="009929B6" w:rsidRDefault="00D657C7" w:rsidP="00B24AEB">
      <w:pPr>
        <w:ind w:left="851"/>
        <w:rPr>
          <w:i/>
          <w:sz w:val="24"/>
          <w:szCs w:val="24"/>
          <w:lang w:val="en-US"/>
        </w:rPr>
      </w:pPr>
      <w:r w:rsidRPr="009929B6">
        <w:rPr>
          <w:i/>
          <w:sz w:val="24"/>
          <w:szCs w:val="24"/>
          <w:lang w:val="en-US"/>
        </w:rPr>
        <w:t>Fibrosing interstitial lung diseases (ILDs) in children and adolescents</w:t>
      </w:r>
    </w:p>
    <w:p w14:paraId="27FF23F4" w14:textId="77777777" w:rsidR="00D657C7" w:rsidRPr="00F85BD8" w:rsidRDefault="00D657C7" w:rsidP="00B24AEB">
      <w:pPr>
        <w:ind w:left="851"/>
        <w:rPr>
          <w:sz w:val="24"/>
          <w:szCs w:val="24"/>
          <w:lang w:val="en-US"/>
        </w:rPr>
      </w:pPr>
      <w:r w:rsidRPr="00F85BD8">
        <w:rPr>
          <w:sz w:val="24"/>
          <w:szCs w:val="24"/>
          <w:lang w:val="en-US"/>
        </w:rPr>
        <w:t xml:space="preserve">The clinical safety and efficacy of </w:t>
      </w:r>
      <w:proofErr w:type="spellStart"/>
      <w:r w:rsidRPr="00F85BD8">
        <w:rPr>
          <w:sz w:val="24"/>
          <w:szCs w:val="24"/>
          <w:lang w:val="en-US"/>
        </w:rPr>
        <w:t>nintedanib</w:t>
      </w:r>
      <w:proofErr w:type="spellEnd"/>
      <w:r w:rsidRPr="00F85BD8">
        <w:rPr>
          <w:sz w:val="24"/>
          <w:szCs w:val="24"/>
          <w:lang w:val="en-US"/>
        </w:rPr>
        <w:t xml:space="preserve"> in children and adolescents from 6 to 17 years with clinically significant fibrosing interstitial lung diseases (ILDs) was assessed in an exploratory </w:t>
      </w:r>
      <w:proofErr w:type="spellStart"/>
      <w:r w:rsidRPr="00F85BD8">
        <w:rPr>
          <w:sz w:val="24"/>
          <w:szCs w:val="24"/>
          <w:lang w:val="en-US"/>
        </w:rPr>
        <w:t>randomised</w:t>
      </w:r>
      <w:proofErr w:type="spellEnd"/>
      <w:r w:rsidRPr="00F85BD8">
        <w:rPr>
          <w:sz w:val="24"/>
          <w:szCs w:val="24"/>
          <w:lang w:val="en-US"/>
        </w:rPr>
        <w:t>, double-blind, placebo-controlled phase III trial (</w:t>
      </w:r>
      <w:proofErr w:type="spellStart"/>
      <w:r w:rsidRPr="00F85BD8">
        <w:rPr>
          <w:sz w:val="24"/>
          <w:szCs w:val="24"/>
          <w:lang w:val="en-US"/>
        </w:rPr>
        <w:t>InPedILD</w:t>
      </w:r>
      <w:proofErr w:type="spellEnd"/>
      <w:r w:rsidRPr="00F85BD8">
        <w:rPr>
          <w:sz w:val="24"/>
          <w:szCs w:val="24"/>
          <w:lang w:val="en-US"/>
        </w:rPr>
        <w:t> 1199.337) (see section 4.2).</w:t>
      </w:r>
    </w:p>
    <w:p w14:paraId="02130D54" w14:textId="77777777" w:rsidR="00D657C7" w:rsidRPr="00F85BD8" w:rsidRDefault="00D657C7" w:rsidP="00B24AEB">
      <w:pPr>
        <w:ind w:left="851"/>
        <w:rPr>
          <w:sz w:val="24"/>
          <w:szCs w:val="24"/>
          <w:lang w:val="en-US"/>
        </w:rPr>
      </w:pPr>
    </w:p>
    <w:p w14:paraId="2FF30025" w14:textId="77777777" w:rsidR="00D657C7" w:rsidRPr="00F85BD8" w:rsidRDefault="00D657C7" w:rsidP="00B24AEB">
      <w:pPr>
        <w:ind w:left="851"/>
        <w:rPr>
          <w:sz w:val="24"/>
          <w:szCs w:val="24"/>
          <w:lang w:val="en-US"/>
        </w:rPr>
      </w:pPr>
      <w:r w:rsidRPr="00F85BD8">
        <w:rPr>
          <w:sz w:val="24"/>
          <w:szCs w:val="24"/>
          <w:lang w:val="en-US"/>
        </w:rPr>
        <w:t xml:space="preserve">The </w:t>
      </w:r>
      <w:proofErr w:type="spellStart"/>
      <w:r w:rsidRPr="00F85BD8">
        <w:rPr>
          <w:sz w:val="24"/>
          <w:szCs w:val="24"/>
          <w:lang w:val="en-US"/>
        </w:rPr>
        <w:t>InPedILD</w:t>
      </w:r>
      <w:proofErr w:type="spellEnd"/>
      <w:r w:rsidRPr="00F85BD8">
        <w:rPr>
          <w:sz w:val="24"/>
          <w:szCs w:val="24"/>
          <w:lang w:val="en-US"/>
        </w:rPr>
        <w:t xml:space="preserve"> trial enrolled children and adolescents aged 6 to 17 years with clinically significant fibrosing ILD and FVC of at least 25% predicted. Patients were classified as having fibrosing ILD based on evidence of fibrosis on two HRCT scans (with one HRCT scan conducted within the previous 12 months) or evidence of fibrosis on lung biopsy and one HRCT scan conducted within the previous 12 months.</w:t>
      </w:r>
    </w:p>
    <w:p w14:paraId="185960DD" w14:textId="77777777" w:rsidR="00D657C7" w:rsidRPr="00F85BD8" w:rsidRDefault="00D657C7" w:rsidP="00B24AEB">
      <w:pPr>
        <w:ind w:left="851"/>
        <w:rPr>
          <w:sz w:val="24"/>
          <w:szCs w:val="24"/>
          <w:lang w:val="en-US"/>
        </w:rPr>
      </w:pPr>
    </w:p>
    <w:p w14:paraId="37E5CB76" w14:textId="77777777" w:rsidR="00D657C7" w:rsidRPr="00F85BD8" w:rsidRDefault="00D657C7" w:rsidP="00B24AEB">
      <w:pPr>
        <w:ind w:left="851"/>
        <w:rPr>
          <w:sz w:val="24"/>
          <w:szCs w:val="24"/>
          <w:lang w:val="en-US"/>
        </w:rPr>
      </w:pPr>
      <w:r w:rsidRPr="00F85BD8">
        <w:rPr>
          <w:sz w:val="24"/>
          <w:szCs w:val="24"/>
          <w:lang w:val="en-US"/>
        </w:rPr>
        <w:t>Clinically significant disease was defined as a Fan score ≥3 or documented evidence of clinical progression over any time frame. Evidence of clinical progression was based on a relative decline in FVC ≥10% predicted, a relative decline in FVC of 5–10% predicted with worsening symptoms, worsening fibrosis on HRCT or other measures of clinical worsening attributed to progressive pulmonary fibrosis (e.g. increased oxygen requirement, decreased diffusion capacity) although this was not a requirement for enrolment for patients with a Fan score of ≥3.</w:t>
      </w:r>
    </w:p>
    <w:p w14:paraId="05BB4B28" w14:textId="77777777" w:rsidR="00D657C7" w:rsidRPr="00F85BD8" w:rsidRDefault="00D657C7" w:rsidP="00B24AEB">
      <w:pPr>
        <w:ind w:left="851"/>
        <w:rPr>
          <w:sz w:val="24"/>
          <w:szCs w:val="24"/>
          <w:lang w:val="en-US"/>
        </w:rPr>
      </w:pPr>
      <w:r w:rsidRPr="00F85BD8">
        <w:rPr>
          <w:sz w:val="24"/>
          <w:szCs w:val="24"/>
          <w:lang w:val="en-US"/>
        </w:rPr>
        <w:t xml:space="preserve">Patients were </w:t>
      </w:r>
      <w:proofErr w:type="spellStart"/>
      <w:r w:rsidRPr="00F85BD8">
        <w:rPr>
          <w:sz w:val="24"/>
          <w:szCs w:val="24"/>
          <w:lang w:val="en-US"/>
        </w:rPr>
        <w:t>randomised</w:t>
      </w:r>
      <w:proofErr w:type="spellEnd"/>
      <w:r w:rsidRPr="00F85BD8">
        <w:rPr>
          <w:sz w:val="24"/>
          <w:szCs w:val="24"/>
          <w:lang w:val="en-US"/>
        </w:rPr>
        <w:t xml:space="preserve"> in a 2:1 ratio to receive either </w:t>
      </w:r>
      <w:proofErr w:type="spellStart"/>
      <w:r w:rsidRPr="00F85BD8">
        <w:rPr>
          <w:sz w:val="24"/>
          <w:szCs w:val="24"/>
          <w:lang w:val="en-US"/>
        </w:rPr>
        <w:t>nintedanib</w:t>
      </w:r>
      <w:proofErr w:type="spellEnd"/>
      <w:r w:rsidRPr="00F85BD8">
        <w:rPr>
          <w:sz w:val="24"/>
          <w:szCs w:val="24"/>
          <w:lang w:val="en-US"/>
        </w:rPr>
        <w:t xml:space="preserve"> twice daily (doses adjusted for weight, including the use of a 25 mg capsule) or matching placebo for 24 weeks, followed by open label treatment with </w:t>
      </w:r>
      <w:proofErr w:type="spellStart"/>
      <w:r w:rsidRPr="00F85BD8">
        <w:rPr>
          <w:sz w:val="24"/>
          <w:szCs w:val="24"/>
          <w:lang w:val="en-US"/>
        </w:rPr>
        <w:t>nintedanib</w:t>
      </w:r>
      <w:proofErr w:type="spellEnd"/>
      <w:r w:rsidRPr="00F85BD8">
        <w:rPr>
          <w:sz w:val="24"/>
          <w:szCs w:val="24"/>
          <w:lang w:val="en-US"/>
        </w:rPr>
        <w:t xml:space="preserve"> of variable </w:t>
      </w:r>
      <w:proofErr w:type="spellStart"/>
      <w:proofErr w:type="gramStart"/>
      <w:r w:rsidRPr="00F85BD8">
        <w:rPr>
          <w:sz w:val="24"/>
          <w:szCs w:val="24"/>
          <w:lang w:val="en-US"/>
        </w:rPr>
        <w:t>duration.The</w:t>
      </w:r>
      <w:proofErr w:type="spellEnd"/>
      <w:proofErr w:type="gramEnd"/>
      <w:r w:rsidRPr="00F85BD8">
        <w:rPr>
          <w:sz w:val="24"/>
          <w:szCs w:val="24"/>
          <w:lang w:val="en-US"/>
        </w:rPr>
        <w:t xml:space="preserve"> use of standard of care as deemed clinically indicated by the treating physician was allowed.</w:t>
      </w:r>
    </w:p>
    <w:p w14:paraId="7D3EF679" w14:textId="77777777" w:rsidR="00D657C7" w:rsidRPr="00F85BD8" w:rsidRDefault="00D657C7" w:rsidP="00B24AEB">
      <w:pPr>
        <w:ind w:left="851"/>
        <w:rPr>
          <w:sz w:val="24"/>
          <w:szCs w:val="24"/>
          <w:lang w:val="en-US"/>
        </w:rPr>
      </w:pPr>
    </w:p>
    <w:p w14:paraId="738281F4" w14:textId="77777777" w:rsidR="00D657C7" w:rsidRPr="00F85BD8" w:rsidRDefault="00D657C7" w:rsidP="00B24AEB">
      <w:pPr>
        <w:ind w:left="851"/>
        <w:rPr>
          <w:sz w:val="24"/>
          <w:szCs w:val="24"/>
          <w:lang w:val="en-US"/>
        </w:rPr>
      </w:pPr>
      <w:r w:rsidRPr="00F85BD8">
        <w:rPr>
          <w:sz w:val="24"/>
          <w:szCs w:val="24"/>
          <w:lang w:val="en-US"/>
        </w:rPr>
        <w:t xml:space="preserve">In total, 39 patients were </w:t>
      </w:r>
      <w:proofErr w:type="spellStart"/>
      <w:r w:rsidRPr="00F85BD8">
        <w:rPr>
          <w:sz w:val="24"/>
          <w:szCs w:val="24"/>
          <w:lang w:val="en-US"/>
        </w:rPr>
        <w:t>randomised</w:t>
      </w:r>
      <w:proofErr w:type="spellEnd"/>
      <w:r w:rsidRPr="00F85BD8">
        <w:rPr>
          <w:sz w:val="24"/>
          <w:szCs w:val="24"/>
          <w:lang w:val="en-US"/>
        </w:rPr>
        <w:t xml:space="preserve"> (61.5% female), (6-11 years: 12 patients, 12-17 years: 27 patients). The mean [standard deviation (SD)] age was 12.6 (3.3) years.</w:t>
      </w:r>
    </w:p>
    <w:p w14:paraId="70C07389" w14:textId="77777777" w:rsidR="00D657C7" w:rsidRPr="00F85BD8" w:rsidRDefault="00D657C7" w:rsidP="00B24AEB">
      <w:pPr>
        <w:ind w:left="851"/>
        <w:rPr>
          <w:sz w:val="24"/>
          <w:szCs w:val="24"/>
          <w:lang w:val="en-US"/>
        </w:rPr>
      </w:pPr>
      <w:r w:rsidRPr="00F85BD8">
        <w:rPr>
          <w:sz w:val="24"/>
          <w:szCs w:val="24"/>
          <w:lang w:val="en-US"/>
        </w:rPr>
        <w:t>Mean (SD) weight was 42.2 kg (17.8 kg); 6-11 years: 26.6 kg (10.4 kg), 12-17 years: 49.1 kg (16.0 kg). Trial 1199-0337 enrolled patients with a broad spectrum of diseases. The most frequent single underlying ILD diagnoses were ‘surfactant protein deficiency’ (</w:t>
      </w:r>
      <w:proofErr w:type="spellStart"/>
      <w:r w:rsidRPr="00F85BD8">
        <w:rPr>
          <w:sz w:val="24"/>
          <w:szCs w:val="24"/>
          <w:lang w:val="en-US"/>
        </w:rPr>
        <w:t>nintedanib</w:t>
      </w:r>
      <w:proofErr w:type="spellEnd"/>
      <w:r w:rsidRPr="00F85BD8">
        <w:rPr>
          <w:sz w:val="24"/>
          <w:szCs w:val="24"/>
          <w:lang w:val="en-US"/>
        </w:rPr>
        <w:t>: 26.9%, placebo: 38.5%), ‘systemic sclerosis’ (</w:t>
      </w:r>
      <w:proofErr w:type="spellStart"/>
      <w:r w:rsidRPr="00F85BD8">
        <w:rPr>
          <w:sz w:val="24"/>
          <w:szCs w:val="24"/>
          <w:lang w:val="en-US"/>
        </w:rPr>
        <w:t>nintedanib</w:t>
      </w:r>
      <w:proofErr w:type="spellEnd"/>
      <w:r w:rsidRPr="00F85BD8">
        <w:rPr>
          <w:sz w:val="24"/>
          <w:szCs w:val="24"/>
          <w:lang w:val="en-US"/>
        </w:rPr>
        <w:t>: 15.4%, placebo: 23.1%), and ‘toxic/radiation/drug-induced pneumonitis’ (</w:t>
      </w:r>
      <w:proofErr w:type="spellStart"/>
      <w:r w:rsidRPr="00F85BD8">
        <w:rPr>
          <w:sz w:val="24"/>
          <w:szCs w:val="24"/>
          <w:lang w:val="en-US"/>
        </w:rPr>
        <w:t>nintedanib</w:t>
      </w:r>
      <w:proofErr w:type="spellEnd"/>
      <w:r w:rsidRPr="00F85BD8">
        <w:rPr>
          <w:sz w:val="24"/>
          <w:szCs w:val="24"/>
          <w:lang w:val="en-US"/>
        </w:rPr>
        <w:t>: 11.5%, placebo 7.7%). Chronic hypersensitivity pneumonitis was reported for 2 patients (</w:t>
      </w:r>
      <w:proofErr w:type="spellStart"/>
      <w:r w:rsidRPr="00F85BD8">
        <w:rPr>
          <w:sz w:val="24"/>
          <w:szCs w:val="24"/>
          <w:lang w:val="en-US"/>
        </w:rPr>
        <w:t>nintedanib</w:t>
      </w:r>
      <w:proofErr w:type="spellEnd"/>
      <w:r w:rsidRPr="00F85BD8">
        <w:rPr>
          <w:sz w:val="24"/>
          <w:szCs w:val="24"/>
          <w:lang w:val="en-US"/>
        </w:rPr>
        <w:t xml:space="preserve">: 7.7%). The remaining underlying ILD diagnoses reported for 1 patient each were post-HSCT fibrosis, juvenile RA, juvenile idiopathic arthritis, Dermatomyositis (DM), </w:t>
      </w:r>
      <w:proofErr w:type="spellStart"/>
      <w:r w:rsidRPr="00F85BD8">
        <w:rPr>
          <w:sz w:val="24"/>
          <w:szCs w:val="24"/>
          <w:lang w:val="en-US"/>
        </w:rPr>
        <w:t>Desquammative</w:t>
      </w:r>
      <w:proofErr w:type="spellEnd"/>
      <w:r w:rsidRPr="00F85BD8">
        <w:rPr>
          <w:sz w:val="24"/>
          <w:szCs w:val="24"/>
          <w:lang w:val="en-US"/>
        </w:rPr>
        <w:t xml:space="preserve"> Interstitial Pneumonitis, Influenza H1N1, Unclear (Chronic Diffuse Pulmonary Lung Disease), Copa Syndrome, Copa Gene Mutation, Undifferentiated Connective Tissue Disease, </w:t>
      </w:r>
      <w:proofErr w:type="spellStart"/>
      <w:r w:rsidRPr="00F85BD8">
        <w:rPr>
          <w:sz w:val="24"/>
          <w:szCs w:val="24"/>
          <w:lang w:val="en-US"/>
        </w:rPr>
        <w:t>PostInfectious</w:t>
      </w:r>
      <w:proofErr w:type="spellEnd"/>
      <w:r w:rsidRPr="00F85BD8">
        <w:rPr>
          <w:sz w:val="24"/>
          <w:szCs w:val="24"/>
          <w:lang w:val="en-US"/>
        </w:rPr>
        <w:t xml:space="preserve"> Bronchiolitis Obliterans, Unspecified ILD, Idiopathic and Sting-associated Vasculopathy.</w:t>
      </w:r>
    </w:p>
    <w:p w14:paraId="221D3F64" w14:textId="77777777" w:rsidR="00D657C7" w:rsidRPr="00F85BD8" w:rsidRDefault="00D657C7" w:rsidP="00B24AEB">
      <w:pPr>
        <w:ind w:left="851"/>
        <w:rPr>
          <w:sz w:val="24"/>
          <w:szCs w:val="24"/>
          <w:lang w:val="en-US"/>
        </w:rPr>
      </w:pPr>
    </w:p>
    <w:p w14:paraId="5715931A" w14:textId="1A12C83B" w:rsidR="00D657C7" w:rsidRPr="00F85BD8" w:rsidRDefault="00D657C7" w:rsidP="00B24AEB">
      <w:pPr>
        <w:ind w:left="851"/>
        <w:rPr>
          <w:sz w:val="24"/>
          <w:szCs w:val="24"/>
          <w:lang w:val="en-US"/>
        </w:rPr>
      </w:pPr>
      <w:r w:rsidRPr="00F85BD8">
        <w:rPr>
          <w:sz w:val="24"/>
          <w:szCs w:val="24"/>
          <w:lang w:val="en-US"/>
        </w:rPr>
        <w:t>All patients were reported with at least concomitant therapy during the double-blind period. Use of concomitant therapies (baseline, on-treatment, and post-study drug discontinuation therapies) to treat the underlying disease including corticosteroids and immunomodulators was permitted.</w:t>
      </w:r>
    </w:p>
    <w:p w14:paraId="71B939FD" w14:textId="77777777" w:rsidR="00D657C7" w:rsidRPr="00F85BD8" w:rsidRDefault="00D657C7" w:rsidP="00B24AEB">
      <w:pPr>
        <w:ind w:left="851"/>
        <w:rPr>
          <w:sz w:val="24"/>
          <w:szCs w:val="24"/>
          <w:lang w:val="en-US"/>
        </w:rPr>
      </w:pPr>
    </w:p>
    <w:p w14:paraId="69F28E2D" w14:textId="77777777" w:rsidR="00D657C7" w:rsidRPr="00F85BD8" w:rsidRDefault="00D657C7" w:rsidP="00B24AEB">
      <w:pPr>
        <w:ind w:left="851"/>
        <w:rPr>
          <w:sz w:val="24"/>
          <w:szCs w:val="24"/>
          <w:lang w:val="en-US"/>
        </w:rPr>
      </w:pPr>
      <w:r w:rsidRPr="00F85BD8">
        <w:rPr>
          <w:sz w:val="24"/>
          <w:szCs w:val="24"/>
          <w:lang w:val="en-US"/>
        </w:rPr>
        <w:t>The primary endpoints results were:</w:t>
      </w:r>
    </w:p>
    <w:p w14:paraId="19454A83" w14:textId="047C0623" w:rsidR="00D657C7" w:rsidRPr="009929B6" w:rsidRDefault="00D657C7" w:rsidP="009929B6">
      <w:pPr>
        <w:pStyle w:val="Listeafsnit"/>
        <w:numPr>
          <w:ilvl w:val="0"/>
          <w:numId w:val="7"/>
        </w:numPr>
        <w:ind w:left="1276" w:hanging="425"/>
        <w:rPr>
          <w:sz w:val="24"/>
          <w:szCs w:val="24"/>
          <w:lang w:val="en-US"/>
        </w:rPr>
      </w:pPr>
      <w:r w:rsidRPr="009929B6">
        <w:rPr>
          <w:sz w:val="24"/>
          <w:szCs w:val="24"/>
          <w:lang w:val="en-US"/>
        </w:rPr>
        <w:t xml:space="preserve">The exposure to </w:t>
      </w:r>
      <w:proofErr w:type="spellStart"/>
      <w:r w:rsidRPr="009929B6">
        <w:rPr>
          <w:sz w:val="24"/>
          <w:szCs w:val="24"/>
          <w:lang w:val="en-US"/>
        </w:rPr>
        <w:t>nintedanib</w:t>
      </w:r>
      <w:proofErr w:type="spellEnd"/>
      <w:r w:rsidRPr="009929B6">
        <w:rPr>
          <w:sz w:val="24"/>
          <w:szCs w:val="24"/>
          <w:lang w:val="en-US"/>
        </w:rPr>
        <w:t xml:space="preserve"> described as AUC</w:t>
      </w:r>
      <w:proofErr w:type="gramStart"/>
      <w:r w:rsidRPr="009929B6">
        <w:rPr>
          <w:sz w:val="24"/>
          <w:szCs w:val="24"/>
          <w:vertAlign w:val="subscript"/>
        </w:rPr>
        <w:t>τ</w:t>
      </w:r>
      <w:r w:rsidRPr="009929B6">
        <w:rPr>
          <w:sz w:val="24"/>
          <w:szCs w:val="24"/>
          <w:vertAlign w:val="subscript"/>
          <w:lang w:val="en-US"/>
        </w:rPr>
        <w:t>,ss</w:t>
      </w:r>
      <w:proofErr w:type="gramEnd"/>
      <w:r w:rsidRPr="009929B6">
        <w:rPr>
          <w:sz w:val="24"/>
          <w:szCs w:val="24"/>
          <w:lang w:val="en-US"/>
        </w:rPr>
        <w:t xml:space="preserve"> based on sampling at steady state was broadly similar in children and adolescents and comparable to the AUC</w:t>
      </w:r>
      <w:r w:rsidRPr="009929B6">
        <w:rPr>
          <w:sz w:val="24"/>
          <w:szCs w:val="24"/>
          <w:vertAlign w:val="subscript"/>
        </w:rPr>
        <w:t>τ</w:t>
      </w:r>
      <w:r w:rsidRPr="009929B6">
        <w:rPr>
          <w:sz w:val="24"/>
          <w:szCs w:val="24"/>
          <w:vertAlign w:val="subscript"/>
          <w:lang w:val="en-US"/>
        </w:rPr>
        <w:t>,ss</w:t>
      </w:r>
      <w:r w:rsidRPr="009929B6">
        <w:rPr>
          <w:sz w:val="24"/>
          <w:szCs w:val="24"/>
          <w:lang w:val="en-US"/>
        </w:rPr>
        <w:t xml:space="preserve"> observed in adults (see section 5.2).</w:t>
      </w:r>
    </w:p>
    <w:p w14:paraId="1248483A" w14:textId="239FC973" w:rsidR="00D657C7" w:rsidRPr="009929B6" w:rsidRDefault="00D657C7" w:rsidP="009929B6">
      <w:pPr>
        <w:pStyle w:val="Listeafsnit"/>
        <w:numPr>
          <w:ilvl w:val="0"/>
          <w:numId w:val="7"/>
        </w:numPr>
        <w:ind w:left="1276" w:hanging="425"/>
        <w:rPr>
          <w:sz w:val="24"/>
          <w:szCs w:val="24"/>
          <w:lang w:val="en-US"/>
        </w:rPr>
      </w:pPr>
      <w:r w:rsidRPr="009929B6">
        <w:rPr>
          <w:sz w:val="24"/>
          <w:szCs w:val="24"/>
          <w:lang w:val="en-US"/>
        </w:rPr>
        <w:t xml:space="preserve">The percentage of patients with treatment-emergent adverse events at week 24 was 84.6% in the </w:t>
      </w:r>
      <w:proofErr w:type="spellStart"/>
      <w:r w:rsidRPr="009929B6">
        <w:rPr>
          <w:sz w:val="24"/>
          <w:szCs w:val="24"/>
          <w:lang w:val="en-US"/>
        </w:rPr>
        <w:t>nintedanib</w:t>
      </w:r>
      <w:proofErr w:type="spellEnd"/>
      <w:r w:rsidRPr="009929B6">
        <w:rPr>
          <w:sz w:val="24"/>
          <w:szCs w:val="24"/>
          <w:lang w:val="en-US"/>
        </w:rPr>
        <w:t xml:space="preserve"> group (6-11 years: 75.0%, 12-17 years: 88.9%) and 84.6% in the placebo group (6</w:t>
      </w:r>
      <w:r w:rsidRPr="009929B6">
        <w:rPr>
          <w:sz w:val="24"/>
          <w:szCs w:val="24"/>
          <w:lang w:val="en-US"/>
        </w:rPr>
        <w:noBreakHyphen/>
        <w:t xml:space="preserve">11 years: 100%, 12-17 years: 77.8%). </w:t>
      </w:r>
    </w:p>
    <w:p w14:paraId="7A079B3B" w14:textId="77777777" w:rsidR="00D657C7" w:rsidRPr="00F85BD8" w:rsidRDefault="00D657C7" w:rsidP="00B24AEB">
      <w:pPr>
        <w:ind w:left="851"/>
        <w:rPr>
          <w:sz w:val="24"/>
          <w:szCs w:val="24"/>
          <w:lang w:val="en-US"/>
        </w:rPr>
      </w:pPr>
    </w:p>
    <w:p w14:paraId="10DB0F30" w14:textId="77777777" w:rsidR="00D657C7" w:rsidRPr="00F85BD8" w:rsidRDefault="00D657C7" w:rsidP="00B24AEB">
      <w:pPr>
        <w:ind w:left="851"/>
        <w:rPr>
          <w:sz w:val="24"/>
          <w:szCs w:val="24"/>
          <w:lang w:val="en-US"/>
        </w:rPr>
      </w:pPr>
      <w:r w:rsidRPr="00F85BD8">
        <w:rPr>
          <w:sz w:val="24"/>
          <w:szCs w:val="24"/>
          <w:lang w:val="en-US"/>
        </w:rPr>
        <w:t>There was no primary efficacy endpoint in the study.</w:t>
      </w:r>
    </w:p>
    <w:p w14:paraId="3EE25584" w14:textId="77777777" w:rsidR="00D657C7" w:rsidRPr="00F85BD8" w:rsidRDefault="00D657C7" w:rsidP="00B24AEB">
      <w:pPr>
        <w:ind w:left="851"/>
        <w:rPr>
          <w:sz w:val="24"/>
          <w:szCs w:val="24"/>
          <w:lang w:val="en-US"/>
        </w:rPr>
      </w:pPr>
      <w:r w:rsidRPr="00F85BD8">
        <w:rPr>
          <w:sz w:val="24"/>
          <w:szCs w:val="24"/>
          <w:lang w:val="en-US"/>
        </w:rPr>
        <w:t xml:space="preserve">Secondary endpoint for lung function was the change in Forced Vital Capacity (FVC) % predicted from baseline at week 24 and week 52. The adjusted mean </w:t>
      </w:r>
      <w:proofErr w:type="gramStart"/>
      <w:r w:rsidRPr="00F85BD8">
        <w:rPr>
          <w:sz w:val="24"/>
          <w:szCs w:val="24"/>
          <w:lang w:val="en-US"/>
        </w:rPr>
        <w:t>change</w:t>
      </w:r>
      <w:proofErr w:type="gramEnd"/>
      <w:r w:rsidRPr="00F85BD8">
        <w:rPr>
          <w:sz w:val="24"/>
          <w:szCs w:val="24"/>
          <w:lang w:val="en-US"/>
        </w:rPr>
        <w:t xml:space="preserve"> from baseline at week 24 in FVC % predicted was 0.31 (95% CI -2.36, 2.98) in the </w:t>
      </w:r>
      <w:proofErr w:type="spellStart"/>
      <w:r w:rsidRPr="00F85BD8">
        <w:rPr>
          <w:sz w:val="24"/>
          <w:szCs w:val="24"/>
          <w:lang w:val="en-US"/>
        </w:rPr>
        <w:t>nintedanib</w:t>
      </w:r>
      <w:proofErr w:type="spellEnd"/>
      <w:r w:rsidRPr="00F85BD8">
        <w:rPr>
          <w:sz w:val="24"/>
          <w:szCs w:val="24"/>
          <w:lang w:val="en-US"/>
        </w:rPr>
        <w:t xml:space="preserve"> group, and -0.89 (95% CI -4.61, 2.82) in the placebo group, with an adjusted mean (95% CI) difference in FVC % predicted of 1.21 (95% CI -3.40, 5.81) in </w:t>
      </w:r>
      <w:proofErr w:type="spellStart"/>
      <w:r w:rsidRPr="00F85BD8">
        <w:rPr>
          <w:sz w:val="24"/>
          <w:szCs w:val="24"/>
          <w:lang w:val="en-US"/>
        </w:rPr>
        <w:t>favour</w:t>
      </w:r>
      <w:proofErr w:type="spellEnd"/>
      <w:r w:rsidRPr="00F85BD8">
        <w:rPr>
          <w:sz w:val="24"/>
          <w:szCs w:val="24"/>
          <w:lang w:val="en-US"/>
        </w:rPr>
        <w:t xml:space="preserve"> of </w:t>
      </w:r>
      <w:proofErr w:type="spellStart"/>
      <w:r w:rsidRPr="00F85BD8">
        <w:rPr>
          <w:sz w:val="24"/>
          <w:szCs w:val="24"/>
          <w:lang w:val="en-US"/>
        </w:rPr>
        <w:t>nintedanib</w:t>
      </w:r>
      <w:proofErr w:type="spellEnd"/>
      <w:r w:rsidRPr="00F85BD8">
        <w:rPr>
          <w:sz w:val="24"/>
          <w:szCs w:val="24"/>
          <w:lang w:val="en-US"/>
        </w:rPr>
        <w:t>. At week 52, the adjusted mean of the difference in change from baseline in FVC % predicted between treatment groups was 1.77 (95% CI -4.70, 8.25).</w:t>
      </w:r>
    </w:p>
    <w:p w14:paraId="0BF781D2" w14:textId="77777777" w:rsidR="00D657C7" w:rsidRPr="00F85BD8" w:rsidRDefault="00D657C7" w:rsidP="00B24AEB">
      <w:pPr>
        <w:ind w:left="851"/>
        <w:rPr>
          <w:sz w:val="24"/>
          <w:szCs w:val="24"/>
          <w:lang w:val="en-US"/>
        </w:rPr>
      </w:pPr>
    </w:p>
    <w:p w14:paraId="313C191A" w14:textId="77777777" w:rsidR="00D657C7" w:rsidRPr="00F85BD8" w:rsidRDefault="00D657C7" w:rsidP="00B24AEB">
      <w:pPr>
        <w:ind w:left="851"/>
        <w:rPr>
          <w:sz w:val="24"/>
          <w:szCs w:val="24"/>
          <w:lang w:val="en-US"/>
        </w:rPr>
      </w:pPr>
      <w:r w:rsidRPr="00F85BD8">
        <w:rPr>
          <w:sz w:val="24"/>
          <w:szCs w:val="24"/>
          <w:lang w:val="en-US"/>
        </w:rPr>
        <w:t xml:space="preserve">For the FVC % predicted endpoint and a number of other exploratory efficacy endpoints, high variability in response to treatment with </w:t>
      </w:r>
      <w:proofErr w:type="spellStart"/>
      <w:r w:rsidRPr="00F85BD8">
        <w:rPr>
          <w:sz w:val="24"/>
          <w:szCs w:val="24"/>
          <w:lang w:val="en-US"/>
        </w:rPr>
        <w:t>nintedanib</w:t>
      </w:r>
      <w:proofErr w:type="spellEnd"/>
      <w:r w:rsidRPr="00F85BD8">
        <w:rPr>
          <w:sz w:val="24"/>
          <w:szCs w:val="24"/>
          <w:lang w:val="en-US"/>
        </w:rPr>
        <w:t xml:space="preserve"> was observed amongst paediatric patients.</w:t>
      </w:r>
    </w:p>
    <w:p w14:paraId="699BBCAE" w14:textId="77777777" w:rsidR="00D657C7" w:rsidRPr="00F85BD8" w:rsidRDefault="00D657C7" w:rsidP="00B24AEB">
      <w:pPr>
        <w:ind w:left="851"/>
        <w:rPr>
          <w:sz w:val="24"/>
          <w:szCs w:val="24"/>
          <w:lang w:val="en-US"/>
        </w:rPr>
      </w:pPr>
    </w:p>
    <w:p w14:paraId="16A24EEF" w14:textId="77777777" w:rsidR="00D657C7" w:rsidRPr="00F85BD8" w:rsidRDefault="00D657C7" w:rsidP="00B24AEB">
      <w:pPr>
        <w:ind w:left="851"/>
        <w:rPr>
          <w:sz w:val="24"/>
          <w:szCs w:val="24"/>
          <w:lang w:val="en-US"/>
        </w:rPr>
      </w:pPr>
      <w:r w:rsidRPr="00F85BD8">
        <w:rPr>
          <w:sz w:val="24"/>
          <w:szCs w:val="24"/>
          <w:lang w:val="en-US"/>
        </w:rPr>
        <w:t>Safety secondary endpoints included:</w:t>
      </w:r>
    </w:p>
    <w:p w14:paraId="6BBAD3A1" w14:textId="7C592330" w:rsidR="00D657C7" w:rsidRPr="009929B6" w:rsidRDefault="00D657C7" w:rsidP="009929B6">
      <w:pPr>
        <w:pStyle w:val="Listeafsnit"/>
        <w:numPr>
          <w:ilvl w:val="0"/>
          <w:numId w:val="8"/>
        </w:numPr>
        <w:ind w:left="1276" w:hanging="425"/>
        <w:rPr>
          <w:sz w:val="24"/>
          <w:szCs w:val="24"/>
          <w:lang w:val="en-US"/>
        </w:rPr>
      </w:pPr>
      <w:r w:rsidRPr="009929B6">
        <w:rPr>
          <w:sz w:val="24"/>
          <w:szCs w:val="24"/>
          <w:lang w:val="en-US"/>
        </w:rPr>
        <w:t xml:space="preserve">Percentage of patients with treatment-emergent pathological findings of epiphyseal growth plate, which was similar across the treatment groups at week 24 (7.7% in both treatment groups). Up to week 52, the percentage of patients with pathological findings was </w:t>
      </w:r>
      <w:proofErr w:type="spellStart"/>
      <w:r w:rsidRPr="009929B6">
        <w:rPr>
          <w:sz w:val="24"/>
          <w:szCs w:val="24"/>
          <w:lang w:val="en-US"/>
        </w:rPr>
        <w:t>nintedanib</w:t>
      </w:r>
      <w:proofErr w:type="spellEnd"/>
      <w:r w:rsidRPr="009929B6">
        <w:rPr>
          <w:sz w:val="24"/>
          <w:szCs w:val="24"/>
          <w:lang w:val="en-US"/>
        </w:rPr>
        <w:t>/</w:t>
      </w:r>
      <w:proofErr w:type="spellStart"/>
      <w:r w:rsidRPr="009929B6">
        <w:rPr>
          <w:sz w:val="24"/>
          <w:szCs w:val="24"/>
          <w:lang w:val="en-US"/>
        </w:rPr>
        <w:t>nintedanib</w:t>
      </w:r>
      <w:proofErr w:type="spellEnd"/>
      <w:r w:rsidRPr="009929B6">
        <w:rPr>
          <w:sz w:val="24"/>
          <w:szCs w:val="24"/>
          <w:lang w:val="en-US"/>
        </w:rPr>
        <w:t>: 11.5% and placebo/</w:t>
      </w:r>
      <w:proofErr w:type="spellStart"/>
      <w:r w:rsidRPr="009929B6">
        <w:rPr>
          <w:sz w:val="24"/>
          <w:szCs w:val="24"/>
          <w:lang w:val="en-US"/>
        </w:rPr>
        <w:t>nintedanib</w:t>
      </w:r>
      <w:proofErr w:type="spellEnd"/>
      <w:r w:rsidRPr="009929B6">
        <w:rPr>
          <w:sz w:val="24"/>
          <w:szCs w:val="24"/>
          <w:lang w:val="en-US"/>
        </w:rPr>
        <w:t>: 15.4%.</w:t>
      </w:r>
    </w:p>
    <w:p w14:paraId="7955B927" w14:textId="2FD414C8" w:rsidR="00D657C7" w:rsidRPr="009929B6" w:rsidRDefault="00D657C7" w:rsidP="009929B6">
      <w:pPr>
        <w:pStyle w:val="Listeafsnit"/>
        <w:numPr>
          <w:ilvl w:val="0"/>
          <w:numId w:val="8"/>
        </w:numPr>
        <w:ind w:left="1276" w:hanging="425"/>
        <w:rPr>
          <w:sz w:val="24"/>
          <w:szCs w:val="24"/>
          <w:lang w:val="en-US"/>
        </w:rPr>
      </w:pPr>
      <w:r w:rsidRPr="009929B6">
        <w:rPr>
          <w:sz w:val="24"/>
          <w:szCs w:val="24"/>
          <w:lang w:val="en-US"/>
        </w:rPr>
        <w:t xml:space="preserve">Percentage of patients with treatment-emergent pathological findings on dental examination or imaging, which was 46.2% in the </w:t>
      </w:r>
      <w:proofErr w:type="spellStart"/>
      <w:r w:rsidRPr="009929B6">
        <w:rPr>
          <w:sz w:val="24"/>
          <w:szCs w:val="24"/>
          <w:lang w:val="en-US"/>
        </w:rPr>
        <w:t>nintedanib</w:t>
      </w:r>
      <w:proofErr w:type="spellEnd"/>
      <w:r w:rsidRPr="009929B6">
        <w:rPr>
          <w:sz w:val="24"/>
          <w:szCs w:val="24"/>
          <w:lang w:val="en-US"/>
        </w:rPr>
        <w:t xml:space="preserve"> group and 38.5% in the placebo group up to week 24. Up to week 52, the percentage of patients with pathological findings was </w:t>
      </w:r>
      <w:proofErr w:type="spellStart"/>
      <w:r w:rsidRPr="009929B6">
        <w:rPr>
          <w:sz w:val="24"/>
          <w:szCs w:val="24"/>
          <w:lang w:val="en-US"/>
        </w:rPr>
        <w:t>nintedanib</w:t>
      </w:r>
      <w:proofErr w:type="spellEnd"/>
      <w:r w:rsidRPr="009929B6">
        <w:rPr>
          <w:sz w:val="24"/>
          <w:szCs w:val="24"/>
          <w:lang w:val="en-US"/>
        </w:rPr>
        <w:t>/</w:t>
      </w:r>
      <w:proofErr w:type="spellStart"/>
      <w:r w:rsidRPr="009929B6">
        <w:rPr>
          <w:sz w:val="24"/>
          <w:szCs w:val="24"/>
          <w:lang w:val="en-US"/>
        </w:rPr>
        <w:t>nintedanib</w:t>
      </w:r>
      <w:proofErr w:type="spellEnd"/>
      <w:r w:rsidRPr="009929B6">
        <w:rPr>
          <w:sz w:val="24"/>
          <w:szCs w:val="24"/>
          <w:lang w:val="en-US"/>
        </w:rPr>
        <w:t>: 50.0% and placebo/</w:t>
      </w:r>
      <w:proofErr w:type="spellStart"/>
      <w:r w:rsidRPr="009929B6">
        <w:rPr>
          <w:sz w:val="24"/>
          <w:szCs w:val="24"/>
          <w:lang w:val="en-US"/>
        </w:rPr>
        <w:t>nintedanib</w:t>
      </w:r>
      <w:proofErr w:type="spellEnd"/>
      <w:r w:rsidRPr="009929B6">
        <w:rPr>
          <w:sz w:val="24"/>
          <w:szCs w:val="24"/>
          <w:lang w:val="en-US"/>
        </w:rPr>
        <w:t>: 46.2%.</w:t>
      </w:r>
    </w:p>
    <w:p w14:paraId="68ACFC22" w14:textId="77777777" w:rsidR="00D657C7" w:rsidRPr="00F85BD8" w:rsidRDefault="00D657C7" w:rsidP="00B24AEB">
      <w:pPr>
        <w:ind w:left="851"/>
        <w:rPr>
          <w:sz w:val="24"/>
          <w:szCs w:val="24"/>
          <w:lang w:val="en-US"/>
        </w:rPr>
      </w:pPr>
    </w:p>
    <w:p w14:paraId="4F51A501" w14:textId="77777777" w:rsidR="00D657C7" w:rsidRPr="00F85BD8" w:rsidRDefault="00D657C7" w:rsidP="00B24AEB">
      <w:pPr>
        <w:ind w:left="851"/>
        <w:rPr>
          <w:sz w:val="24"/>
          <w:szCs w:val="24"/>
          <w:lang w:val="en-US"/>
        </w:rPr>
      </w:pPr>
      <w:r w:rsidRPr="00F85BD8">
        <w:rPr>
          <w:sz w:val="24"/>
          <w:szCs w:val="24"/>
          <w:lang w:val="en-US"/>
        </w:rPr>
        <w:t xml:space="preserve">The European Medicines Agency has waived the obligation to submit the results of studies with the reference medicinal product containing </w:t>
      </w:r>
      <w:proofErr w:type="spellStart"/>
      <w:r w:rsidRPr="00F85BD8">
        <w:rPr>
          <w:sz w:val="24"/>
          <w:szCs w:val="24"/>
          <w:lang w:val="en-US"/>
        </w:rPr>
        <w:t>nintedanib</w:t>
      </w:r>
      <w:proofErr w:type="spellEnd"/>
      <w:r w:rsidRPr="00F85BD8">
        <w:rPr>
          <w:sz w:val="24"/>
          <w:szCs w:val="24"/>
          <w:lang w:val="en-US"/>
        </w:rPr>
        <w:t xml:space="preserve"> in all subsets of the paediatric population in IPF (see section 4.2 for information on paediatric use). The European Medicines Agency has waived the obligation to submit the results of studies with the reference medicinal product containing </w:t>
      </w:r>
      <w:proofErr w:type="spellStart"/>
      <w:r w:rsidRPr="00F85BD8">
        <w:rPr>
          <w:sz w:val="24"/>
          <w:szCs w:val="24"/>
          <w:lang w:val="en-US"/>
        </w:rPr>
        <w:t>nintedanib</w:t>
      </w:r>
      <w:proofErr w:type="spellEnd"/>
      <w:r w:rsidRPr="00F85BD8">
        <w:rPr>
          <w:sz w:val="24"/>
          <w:szCs w:val="24"/>
          <w:lang w:val="en-US"/>
        </w:rPr>
        <w:t xml:space="preserve"> in paediatric population below 6 years of age in fibrosing ILDs (see section 4.2 for information on paediatric use).</w:t>
      </w:r>
    </w:p>
    <w:p w14:paraId="6E43F137" w14:textId="77777777" w:rsidR="007C5D2A" w:rsidRPr="00F85BD8" w:rsidRDefault="007C5D2A" w:rsidP="003E0341">
      <w:pPr>
        <w:tabs>
          <w:tab w:val="left" w:pos="851"/>
        </w:tabs>
        <w:ind w:left="851"/>
        <w:rPr>
          <w:sz w:val="24"/>
          <w:szCs w:val="24"/>
          <w:lang w:val="en-GB"/>
        </w:rPr>
      </w:pPr>
    </w:p>
    <w:p w14:paraId="3F89BFF2" w14:textId="77777777" w:rsidR="007C5D2A" w:rsidRPr="00F85BD8" w:rsidRDefault="007C5D2A" w:rsidP="007C5D2A">
      <w:pPr>
        <w:tabs>
          <w:tab w:val="left" w:pos="851"/>
        </w:tabs>
        <w:ind w:left="851" w:hanging="851"/>
        <w:rPr>
          <w:b/>
          <w:sz w:val="24"/>
          <w:szCs w:val="24"/>
          <w:lang w:val="en-GB"/>
        </w:rPr>
      </w:pPr>
      <w:r w:rsidRPr="00F85BD8">
        <w:rPr>
          <w:b/>
          <w:sz w:val="24"/>
          <w:szCs w:val="24"/>
          <w:lang w:val="en-GB"/>
        </w:rPr>
        <w:t>5.2</w:t>
      </w:r>
      <w:r w:rsidRPr="00F85BD8">
        <w:rPr>
          <w:b/>
          <w:sz w:val="24"/>
          <w:szCs w:val="24"/>
          <w:lang w:val="en-GB"/>
        </w:rPr>
        <w:tab/>
        <w:t>Pharmacokinetic properties</w:t>
      </w:r>
      <w:r w:rsidRPr="00F85BD8">
        <w:rPr>
          <w:b/>
          <w:sz w:val="24"/>
          <w:szCs w:val="24"/>
          <w:lang w:val="en-GB"/>
        </w:rPr>
        <w:tab/>
      </w:r>
    </w:p>
    <w:p w14:paraId="79D7FDD0" w14:textId="77777777" w:rsidR="009929B6" w:rsidRDefault="009929B6" w:rsidP="00B24AEB">
      <w:pPr>
        <w:ind w:left="851"/>
        <w:rPr>
          <w:sz w:val="24"/>
          <w:szCs w:val="24"/>
          <w:lang w:val="en-US"/>
        </w:rPr>
      </w:pPr>
    </w:p>
    <w:p w14:paraId="093193C4" w14:textId="596E5C4E" w:rsidR="00D657C7" w:rsidRPr="009929B6" w:rsidRDefault="00D657C7" w:rsidP="00B24AEB">
      <w:pPr>
        <w:ind w:left="851"/>
        <w:rPr>
          <w:sz w:val="24"/>
          <w:szCs w:val="24"/>
          <w:u w:val="single"/>
          <w:lang w:val="en-US"/>
        </w:rPr>
      </w:pPr>
      <w:r w:rsidRPr="009929B6">
        <w:rPr>
          <w:sz w:val="24"/>
          <w:szCs w:val="24"/>
          <w:u w:val="single"/>
          <w:lang w:val="en-US"/>
        </w:rPr>
        <w:t>Absorption</w:t>
      </w:r>
    </w:p>
    <w:p w14:paraId="4DFE6D9D" w14:textId="77777777" w:rsidR="00D657C7" w:rsidRPr="00F85BD8" w:rsidRDefault="00D657C7" w:rsidP="00B24AEB">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reached maximum plasma concentrations approximately 2</w:t>
      </w:r>
      <w:r w:rsidRPr="00F85BD8">
        <w:rPr>
          <w:sz w:val="24"/>
          <w:szCs w:val="24"/>
          <w:lang w:val="en-US"/>
        </w:rPr>
        <w:noBreakHyphen/>
        <w:t xml:space="preserve">4 h after oral administration as soft </w:t>
      </w:r>
      <w:proofErr w:type="spellStart"/>
      <w:r w:rsidRPr="00F85BD8">
        <w:rPr>
          <w:sz w:val="24"/>
          <w:szCs w:val="24"/>
          <w:lang w:val="en-US"/>
        </w:rPr>
        <w:t>gelatine</w:t>
      </w:r>
      <w:proofErr w:type="spellEnd"/>
      <w:r w:rsidRPr="00F85BD8">
        <w:rPr>
          <w:sz w:val="24"/>
          <w:szCs w:val="24"/>
          <w:lang w:val="en-US"/>
        </w:rPr>
        <w:t xml:space="preserve"> capsule under fed conditions (range 0.5</w:t>
      </w:r>
      <w:r w:rsidRPr="00F85BD8">
        <w:rPr>
          <w:sz w:val="24"/>
          <w:szCs w:val="24"/>
          <w:lang w:val="en-US"/>
        </w:rPr>
        <w:noBreakHyphen/>
        <w:t>8 h). The absolute bioavailability of a 100 mg dose was 4.69% (90% CI: 3.615</w:t>
      </w:r>
      <w:r w:rsidRPr="00F85BD8">
        <w:rPr>
          <w:sz w:val="24"/>
          <w:szCs w:val="24"/>
          <w:lang w:val="en-US"/>
        </w:rPr>
        <w:noBreakHyphen/>
        <w:t xml:space="preserve">6.078) in healthy volunteers. Absorption and bioavailability are decreased by transporter effects and substantial first-pass metabolism. </w:t>
      </w:r>
      <w:proofErr w:type="spellStart"/>
      <w:r w:rsidRPr="00F85BD8">
        <w:rPr>
          <w:sz w:val="24"/>
          <w:szCs w:val="24"/>
          <w:lang w:val="en-US"/>
        </w:rPr>
        <w:t>Nintedanib</w:t>
      </w:r>
      <w:proofErr w:type="spellEnd"/>
      <w:r w:rsidRPr="00F85BD8">
        <w:rPr>
          <w:sz w:val="24"/>
          <w:szCs w:val="24"/>
          <w:lang w:val="en-US"/>
        </w:rPr>
        <w:t xml:space="preserve"> exposure increased dose-proportionally in the dose range of 50</w:t>
      </w:r>
      <w:r w:rsidRPr="00F85BD8">
        <w:rPr>
          <w:sz w:val="24"/>
          <w:szCs w:val="24"/>
          <w:lang w:val="en-US"/>
        </w:rPr>
        <w:noBreakHyphen/>
        <w:t>450 mg once daily and 150</w:t>
      </w:r>
      <w:r w:rsidRPr="00F85BD8">
        <w:rPr>
          <w:sz w:val="24"/>
          <w:szCs w:val="24"/>
          <w:lang w:val="en-US"/>
        </w:rPr>
        <w:noBreakHyphen/>
        <w:t>300 mg twice daily. Steady state plasma concentrations were achieved within one week of dosing at the latest.</w:t>
      </w:r>
    </w:p>
    <w:p w14:paraId="34C00EB5" w14:textId="77777777" w:rsidR="00D657C7" w:rsidRPr="00F85BD8" w:rsidRDefault="00D657C7" w:rsidP="00B24AEB">
      <w:pPr>
        <w:ind w:left="851"/>
        <w:rPr>
          <w:sz w:val="24"/>
          <w:szCs w:val="24"/>
          <w:lang w:val="en-US"/>
        </w:rPr>
      </w:pPr>
    </w:p>
    <w:p w14:paraId="4700F418" w14:textId="77777777" w:rsidR="00D657C7" w:rsidRPr="00F85BD8" w:rsidRDefault="00D657C7" w:rsidP="00B24AEB">
      <w:pPr>
        <w:ind w:left="851"/>
        <w:rPr>
          <w:sz w:val="24"/>
          <w:szCs w:val="24"/>
          <w:lang w:val="en-US"/>
        </w:rPr>
      </w:pPr>
      <w:r w:rsidRPr="00F85BD8">
        <w:rPr>
          <w:sz w:val="24"/>
          <w:szCs w:val="24"/>
          <w:lang w:val="en-US"/>
        </w:rPr>
        <w:t xml:space="preserve">After food intake, </w:t>
      </w:r>
      <w:proofErr w:type="spellStart"/>
      <w:r w:rsidRPr="00F85BD8">
        <w:rPr>
          <w:sz w:val="24"/>
          <w:szCs w:val="24"/>
          <w:lang w:val="en-US"/>
        </w:rPr>
        <w:t>nintedanib</w:t>
      </w:r>
      <w:proofErr w:type="spellEnd"/>
      <w:r w:rsidRPr="00F85BD8">
        <w:rPr>
          <w:sz w:val="24"/>
          <w:szCs w:val="24"/>
          <w:lang w:val="en-US"/>
        </w:rPr>
        <w:t xml:space="preserve"> exposure increased by approximately 20% compared to administration under fasted conditions (CI: 95.3</w:t>
      </w:r>
      <w:r w:rsidRPr="00F85BD8">
        <w:rPr>
          <w:sz w:val="24"/>
          <w:szCs w:val="24"/>
          <w:lang w:val="en-US"/>
        </w:rPr>
        <w:noBreakHyphen/>
        <w:t xml:space="preserve">152.5%) and absorption was delayed (median </w:t>
      </w:r>
      <w:proofErr w:type="spellStart"/>
      <w:r w:rsidRPr="00F85BD8">
        <w:rPr>
          <w:sz w:val="24"/>
          <w:szCs w:val="24"/>
          <w:lang w:val="en-US"/>
        </w:rPr>
        <w:t>t</w:t>
      </w:r>
      <w:r w:rsidRPr="00F85BD8">
        <w:rPr>
          <w:sz w:val="24"/>
          <w:szCs w:val="24"/>
          <w:vertAlign w:val="subscript"/>
          <w:lang w:val="en-US"/>
        </w:rPr>
        <w:t>max</w:t>
      </w:r>
      <w:proofErr w:type="spellEnd"/>
      <w:r w:rsidRPr="00F85BD8">
        <w:rPr>
          <w:sz w:val="24"/>
          <w:szCs w:val="24"/>
          <w:lang w:val="en-US"/>
        </w:rPr>
        <w:t xml:space="preserve"> fasted: 2.00 h; fed: 3.98 h).</w:t>
      </w:r>
    </w:p>
    <w:p w14:paraId="0AA11B5B" w14:textId="77777777" w:rsidR="00D657C7" w:rsidRPr="00F85BD8" w:rsidRDefault="00D657C7" w:rsidP="00B24AEB">
      <w:pPr>
        <w:ind w:left="851"/>
        <w:rPr>
          <w:sz w:val="24"/>
          <w:szCs w:val="24"/>
          <w:lang w:val="en-US"/>
        </w:rPr>
      </w:pPr>
    </w:p>
    <w:p w14:paraId="61A33558" w14:textId="77777777" w:rsidR="00D657C7" w:rsidRPr="00F85BD8" w:rsidRDefault="00D657C7" w:rsidP="00B24AEB">
      <w:pPr>
        <w:ind w:left="851"/>
        <w:rPr>
          <w:sz w:val="24"/>
          <w:szCs w:val="24"/>
          <w:lang w:val="en-US"/>
        </w:rPr>
      </w:pPr>
      <w:r w:rsidRPr="00F85BD8">
        <w:rPr>
          <w:sz w:val="24"/>
          <w:szCs w:val="24"/>
          <w:lang w:val="en-US"/>
        </w:rPr>
        <w:t xml:space="preserve">In an </w:t>
      </w:r>
      <w:r w:rsidRPr="00F85BD8">
        <w:rPr>
          <w:i/>
          <w:sz w:val="24"/>
          <w:szCs w:val="24"/>
          <w:lang w:val="en-US"/>
        </w:rPr>
        <w:t>in vitro</w:t>
      </w:r>
      <w:r w:rsidRPr="00F85BD8">
        <w:rPr>
          <w:sz w:val="24"/>
          <w:szCs w:val="24"/>
          <w:lang w:val="en-US"/>
        </w:rPr>
        <w:t xml:space="preserve"> study, mixing </w:t>
      </w:r>
      <w:proofErr w:type="spellStart"/>
      <w:r w:rsidRPr="00F85BD8">
        <w:rPr>
          <w:sz w:val="24"/>
          <w:szCs w:val="24"/>
          <w:lang w:val="en-US"/>
        </w:rPr>
        <w:t>nintedanib</w:t>
      </w:r>
      <w:proofErr w:type="spellEnd"/>
      <w:r w:rsidRPr="00F85BD8">
        <w:rPr>
          <w:sz w:val="24"/>
          <w:szCs w:val="24"/>
          <w:lang w:val="en-US"/>
        </w:rPr>
        <w:t xml:space="preserve"> capsules with a small amount of apple sauce or chocolate pudding for up to 15 minutes did not have any impact on the pharmaceutical quality. Swelling and deformation of the capsules due to the water uptake of the gelatin capsule shell was observed with longer exposure time to the soft food. Therefore, taking the capsules with soft food would not be expected to alter the clinical effect when taken immediately.</w:t>
      </w:r>
    </w:p>
    <w:p w14:paraId="4D424F27" w14:textId="77777777" w:rsidR="00D657C7" w:rsidRPr="00F85BD8" w:rsidRDefault="00D657C7" w:rsidP="00B24AEB">
      <w:pPr>
        <w:ind w:left="851"/>
        <w:rPr>
          <w:sz w:val="24"/>
          <w:szCs w:val="24"/>
          <w:lang w:val="en-US"/>
        </w:rPr>
      </w:pPr>
    </w:p>
    <w:p w14:paraId="03E37160" w14:textId="77777777" w:rsidR="00D657C7" w:rsidRPr="009929B6" w:rsidRDefault="00D657C7" w:rsidP="00B24AEB">
      <w:pPr>
        <w:ind w:left="851"/>
        <w:rPr>
          <w:sz w:val="24"/>
          <w:szCs w:val="24"/>
          <w:u w:val="single"/>
          <w:lang w:val="en-US"/>
        </w:rPr>
      </w:pPr>
      <w:r w:rsidRPr="009929B6">
        <w:rPr>
          <w:sz w:val="24"/>
          <w:szCs w:val="24"/>
          <w:u w:val="single"/>
          <w:lang w:val="en-US"/>
        </w:rPr>
        <w:t>Distribution</w:t>
      </w:r>
    </w:p>
    <w:p w14:paraId="47811A0F" w14:textId="77777777" w:rsidR="00D657C7" w:rsidRPr="00F85BD8" w:rsidRDefault="00D657C7" w:rsidP="00B24AEB">
      <w:pPr>
        <w:ind w:left="851"/>
        <w:rPr>
          <w:sz w:val="24"/>
          <w:szCs w:val="24"/>
          <w:lang w:val="en-US"/>
        </w:rPr>
      </w:pPr>
      <w:proofErr w:type="spellStart"/>
      <w:r w:rsidRPr="00F85BD8">
        <w:rPr>
          <w:sz w:val="24"/>
          <w:szCs w:val="24"/>
          <w:lang w:val="en-US"/>
        </w:rPr>
        <w:t>Nintedanib</w:t>
      </w:r>
      <w:proofErr w:type="spellEnd"/>
      <w:r w:rsidRPr="00F85BD8">
        <w:rPr>
          <w:sz w:val="24"/>
          <w:szCs w:val="24"/>
          <w:lang w:val="en-US"/>
        </w:rPr>
        <w:t xml:space="preserve"> follows at least bi-phasic disposition kinetics. After intravenous infusion, a high volume of distribution (</w:t>
      </w:r>
      <w:proofErr w:type="spellStart"/>
      <w:r w:rsidRPr="00F85BD8">
        <w:rPr>
          <w:sz w:val="24"/>
          <w:szCs w:val="24"/>
          <w:lang w:val="en-US"/>
        </w:rPr>
        <w:t>V</w:t>
      </w:r>
      <w:r w:rsidRPr="00F85BD8">
        <w:rPr>
          <w:sz w:val="24"/>
          <w:szCs w:val="24"/>
          <w:vertAlign w:val="subscript"/>
          <w:lang w:val="en-US"/>
        </w:rPr>
        <w:t>ss</w:t>
      </w:r>
      <w:proofErr w:type="spellEnd"/>
      <w:r w:rsidRPr="00F85BD8">
        <w:rPr>
          <w:sz w:val="24"/>
          <w:szCs w:val="24"/>
          <w:lang w:val="en-US"/>
        </w:rPr>
        <w:t>: 1,050 L, 45.0% </w:t>
      </w:r>
      <w:proofErr w:type="spellStart"/>
      <w:r w:rsidRPr="00F85BD8">
        <w:rPr>
          <w:sz w:val="24"/>
          <w:szCs w:val="24"/>
          <w:lang w:val="en-US"/>
        </w:rPr>
        <w:t>gCV</w:t>
      </w:r>
      <w:proofErr w:type="spellEnd"/>
      <w:r w:rsidRPr="00F85BD8">
        <w:rPr>
          <w:sz w:val="24"/>
          <w:szCs w:val="24"/>
          <w:lang w:val="en-US"/>
        </w:rPr>
        <w:t>) was observed.</w:t>
      </w:r>
    </w:p>
    <w:p w14:paraId="3ED19567" w14:textId="77777777" w:rsidR="00D657C7" w:rsidRPr="00F85BD8" w:rsidRDefault="00D657C7" w:rsidP="00B24AEB">
      <w:pPr>
        <w:ind w:left="851"/>
        <w:rPr>
          <w:sz w:val="24"/>
          <w:szCs w:val="24"/>
          <w:lang w:val="en-US"/>
        </w:rPr>
      </w:pPr>
    </w:p>
    <w:p w14:paraId="095D7619" w14:textId="77777777" w:rsidR="00D657C7" w:rsidRPr="00F85BD8" w:rsidRDefault="00D657C7" w:rsidP="00B24AEB">
      <w:pPr>
        <w:ind w:left="851"/>
        <w:rPr>
          <w:sz w:val="24"/>
          <w:szCs w:val="24"/>
          <w:lang w:val="en-US"/>
        </w:rPr>
      </w:pPr>
      <w:r w:rsidRPr="00F85BD8">
        <w:rPr>
          <w:sz w:val="24"/>
          <w:szCs w:val="24"/>
          <w:lang w:val="en-US"/>
        </w:rPr>
        <w:t xml:space="preserve">The </w:t>
      </w:r>
      <w:r w:rsidRPr="00F85BD8">
        <w:rPr>
          <w:i/>
          <w:sz w:val="24"/>
          <w:szCs w:val="24"/>
          <w:lang w:val="en-US"/>
        </w:rPr>
        <w:t>in vitro</w:t>
      </w:r>
      <w:r w:rsidRPr="00F85BD8">
        <w:rPr>
          <w:sz w:val="24"/>
          <w:szCs w:val="24"/>
          <w:lang w:val="en-US"/>
        </w:rPr>
        <w:t xml:space="preserve"> protein binding of </w:t>
      </w:r>
      <w:proofErr w:type="spellStart"/>
      <w:r w:rsidRPr="00F85BD8">
        <w:rPr>
          <w:sz w:val="24"/>
          <w:szCs w:val="24"/>
          <w:lang w:val="en-US"/>
        </w:rPr>
        <w:t>nintedanib</w:t>
      </w:r>
      <w:proofErr w:type="spellEnd"/>
      <w:r w:rsidRPr="00F85BD8">
        <w:rPr>
          <w:sz w:val="24"/>
          <w:szCs w:val="24"/>
          <w:lang w:val="en-US"/>
        </w:rPr>
        <w:t xml:space="preserve"> in human plasma was high, with a bound fraction of 97.8%. Serum albumin is considered to be the major binding protein. </w:t>
      </w:r>
      <w:proofErr w:type="spellStart"/>
      <w:r w:rsidRPr="00F85BD8">
        <w:rPr>
          <w:sz w:val="24"/>
          <w:szCs w:val="24"/>
          <w:lang w:val="en-US"/>
        </w:rPr>
        <w:t>Nintedanib</w:t>
      </w:r>
      <w:proofErr w:type="spellEnd"/>
      <w:r w:rsidRPr="00F85BD8">
        <w:rPr>
          <w:sz w:val="24"/>
          <w:szCs w:val="24"/>
          <w:lang w:val="en-US"/>
        </w:rPr>
        <w:t xml:space="preserve"> is preferentially distributed in plasma with a blood to plasma ratio of 0.869.</w:t>
      </w:r>
    </w:p>
    <w:p w14:paraId="61886337" w14:textId="77777777" w:rsidR="00D657C7" w:rsidRPr="00F85BD8" w:rsidRDefault="00D657C7" w:rsidP="00B24AEB">
      <w:pPr>
        <w:ind w:left="851"/>
        <w:rPr>
          <w:sz w:val="24"/>
          <w:szCs w:val="24"/>
          <w:lang w:val="en-US"/>
        </w:rPr>
      </w:pPr>
    </w:p>
    <w:p w14:paraId="48530F6B" w14:textId="77777777" w:rsidR="00D657C7" w:rsidRPr="009929B6" w:rsidRDefault="00D657C7" w:rsidP="00B24AEB">
      <w:pPr>
        <w:ind w:left="851"/>
        <w:rPr>
          <w:sz w:val="24"/>
          <w:szCs w:val="24"/>
          <w:u w:val="single"/>
          <w:lang w:val="en-US"/>
        </w:rPr>
      </w:pPr>
      <w:r w:rsidRPr="009929B6">
        <w:rPr>
          <w:sz w:val="24"/>
          <w:szCs w:val="24"/>
          <w:u w:val="single"/>
          <w:lang w:val="en-US"/>
        </w:rPr>
        <w:t>Biotransformation</w:t>
      </w:r>
    </w:p>
    <w:p w14:paraId="35835EED" w14:textId="77777777" w:rsidR="00D657C7" w:rsidRPr="00F85BD8" w:rsidRDefault="00D657C7" w:rsidP="00B24AEB">
      <w:pPr>
        <w:ind w:left="851"/>
        <w:rPr>
          <w:sz w:val="24"/>
          <w:szCs w:val="24"/>
          <w:lang w:val="en-US"/>
        </w:rPr>
      </w:pPr>
      <w:r w:rsidRPr="00F85BD8">
        <w:rPr>
          <w:sz w:val="24"/>
          <w:szCs w:val="24"/>
          <w:lang w:val="en-US"/>
        </w:rPr>
        <w:t xml:space="preserve">The prevalent metabolic reaction for </w:t>
      </w:r>
      <w:proofErr w:type="spellStart"/>
      <w:r w:rsidRPr="00F85BD8">
        <w:rPr>
          <w:sz w:val="24"/>
          <w:szCs w:val="24"/>
          <w:lang w:val="en-US"/>
        </w:rPr>
        <w:t>nintedanib</w:t>
      </w:r>
      <w:proofErr w:type="spellEnd"/>
      <w:r w:rsidRPr="00F85BD8">
        <w:rPr>
          <w:sz w:val="24"/>
          <w:szCs w:val="24"/>
          <w:lang w:val="en-US"/>
        </w:rPr>
        <w:t xml:space="preserve"> is hydrolytic cleavage by </w:t>
      </w:r>
      <w:proofErr w:type="spellStart"/>
      <w:r w:rsidRPr="00F85BD8">
        <w:rPr>
          <w:sz w:val="24"/>
          <w:szCs w:val="24"/>
          <w:lang w:val="en-US"/>
        </w:rPr>
        <w:t>esterases</w:t>
      </w:r>
      <w:proofErr w:type="spellEnd"/>
      <w:r w:rsidRPr="00F85BD8">
        <w:rPr>
          <w:sz w:val="24"/>
          <w:szCs w:val="24"/>
          <w:lang w:val="en-US"/>
        </w:rPr>
        <w:t xml:space="preserve"> resulting in the free acid moiety BIBF 1202. BIBF 1202 is subsequently </w:t>
      </w:r>
      <w:proofErr w:type="spellStart"/>
      <w:r w:rsidRPr="00F85BD8">
        <w:rPr>
          <w:sz w:val="24"/>
          <w:szCs w:val="24"/>
          <w:lang w:val="en-US"/>
        </w:rPr>
        <w:t>glucuronidated</w:t>
      </w:r>
      <w:proofErr w:type="spellEnd"/>
      <w:r w:rsidRPr="00F85BD8">
        <w:rPr>
          <w:sz w:val="24"/>
          <w:szCs w:val="24"/>
          <w:lang w:val="en-US"/>
        </w:rPr>
        <w:t xml:space="preserve"> by uridine 5'</w:t>
      </w:r>
      <w:r w:rsidRPr="00F85BD8">
        <w:rPr>
          <w:sz w:val="24"/>
          <w:szCs w:val="24"/>
          <w:lang w:val="en-US"/>
        </w:rPr>
        <w:noBreakHyphen/>
        <w:t>diphospho-glucuronosyltransferase enzymes (UGT) enzymes, namely UGT 1A1, UGT 1A7, UGT 1A8, and UGT 1A10 to BIBF 1202 glucuronide.</w:t>
      </w:r>
    </w:p>
    <w:p w14:paraId="0BDD88E3" w14:textId="77777777" w:rsidR="00D657C7" w:rsidRPr="00F85BD8" w:rsidRDefault="00D657C7" w:rsidP="00B24AEB">
      <w:pPr>
        <w:ind w:left="851"/>
        <w:rPr>
          <w:sz w:val="24"/>
          <w:szCs w:val="24"/>
          <w:lang w:val="en-US"/>
        </w:rPr>
      </w:pPr>
    </w:p>
    <w:p w14:paraId="4CD91753" w14:textId="77777777" w:rsidR="00D657C7" w:rsidRPr="00F85BD8" w:rsidRDefault="00D657C7" w:rsidP="00B24AEB">
      <w:pPr>
        <w:ind w:left="851"/>
        <w:rPr>
          <w:sz w:val="24"/>
          <w:szCs w:val="24"/>
          <w:lang w:val="en-US"/>
        </w:rPr>
      </w:pPr>
      <w:r w:rsidRPr="00F85BD8">
        <w:rPr>
          <w:sz w:val="24"/>
          <w:szCs w:val="24"/>
          <w:lang w:val="en-US"/>
        </w:rPr>
        <w:t xml:space="preserve">Only a minor extent of the biotransformation of </w:t>
      </w:r>
      <w:proofErr w:type="spellStart"/>
      <w:r w:rsidRPr="00F85BD8">
        <w:rPr>
          <w:sz w:val="24"/>
          <w:szCs w:val="24"/>
          <w:lang w:val="en-US"/>
        </w:rPr>
        <w:t>nintedanib</w:t>
      </w:r>
      <w:proofErr w:type="spellEnd"/>
      <w:r w:rsidRPr="00F85BD8">
        <w:rPr>
          <w:sz w:val="24"/>
          <w:szCs w:val="24"/>
          <w:lang w:val="en-US"/>
        </w:rPr>
        <w:t xml:space="preserve"> consisted of CYP pathways, with CYP 3A4 being the predominant enzyme involved. The major CYP-dependent metabolite could not be detected in plasma in the human ADME study. </w:t>
      </w:r>
      <w:r w:rsidRPr="00F85BD8">
        <w:rPr>
          <w:i/>
          <w:sz w:val="24"/>
          <w:szCs w:val="24"/>
          <w:lang w:val="en-US"/>
        </w:rPr>
        <w:t>In vitro</w:t>
      </w:r>
      <w:r w:rsidRPr="00F85BD8">
        <w:rPr>
          <w:sz w:val="24"/>
          <w:szCs w:val="24"/>
          <w:lang w:val="en-US"/>
        </w:rPr>
        <w:t xml:space="preserve">, CYP-dependent metabolism accounted for about 5% compared to about 25% ester cleavage. </w:t>
      </w:r>
      <w:proofErr w:type="spellStart"/>
      <w:r w:rsidRPr="00F85BD8">
        <w:rPr>
          <w:sz w:val="24"/>
          <w:szCs w:val="24"/>
          <w:lang w:val="en-US"/>
        </w:rPr>
        <w:t>Nintedanib</w:t>
      </w:r>
      <w:proofErr w:type="spellEnd"/>
      <w:r w:rsidRPr="00F85BD8">
        <w:rPr>
          <w:sz w:val="24"/>
          <w:szCs w:val="24"/>
          <w:lang w:val="en-US"/>
        </w:rPr>
        <w:t xml:space="preserve">, BIBF 1202, and BIBF 1202 glucuronide did not inhibit or induce CYP enzymes in preclinical studies, either. Drug-drug interactions between </w:t>
      </w:r>
      <w:proofErr w:type="spellStart"/>
      <w:r w:rsidRPr="00F85BD8">
        <w:rPr>
          <w:sz w:val="24"/>
          <w:szCs w:val="24"/>
          <w:lang w:val="en-US"/>
        </w:rPr>
        <w:t>nintedanib</w:t>
      </w:r>
      <w:proofErr w:type="spellEnd"/>
      <w:r w:rsidRPr="00F85BD8">
        <w:rPr>
          <w:sz w:val="24"/>
          <w:szCs w:val="24"/>
          <w:lang w:val="en-US"/>
        </w:rPr>
        <w:t xml:space="preserve"> and CYP substrates, CYP inhibitors, or CYP inducers are therefore not expected.</w:t>
      </w:r>
    </w:p>
    <w:p w14:paraId="3F60A118" w14:textId="77777777" w:rsidR="00D657C7" w:rsidRPr="00F85BD8" w:rsidRDefault="00D657C7" w:rsidP="00B24AEB">
      <w:pPr>
        <w:ind w:left="851"/>
        <w:rPr>
          <w:sz w:val="24"/>
          <w:szCs w:val="24"/>
          <w:lang w:val="en-US"/>
        </w:rPr>
      </w:pPr>
    </w:p>
    <w:p w14:paraId="7910FCAB" w14:textId="77777777" w:rsidR="00D657C7" w:rsidRPr="009929B6" w:rsidRDefault="00D657C7" w:rsidP="00B24AEB">
      <w:pPr>
        <w:ind w:left="851"/>
        <w:rPr>
          <w:sz w:val="24"/>
          <w:szCs w:val="24"/>
          <w:u w:val="single"/>
          <w:lang w:val="en-US"/>
        </w:rPr>
      </w:pPr>
      <w:r w:rsidRPr="009929B6">
        <w:rPr>
          <w:sz w:val="24"/>
          <w:szCs w:val="24"/>
          <w:u w:val="single"/>
          <w:lang w:val="en-US"/>
        </w:rPr>
        <w:t>Elimination</w:t>
      </w:r>
    </w:p>
    <w:p w14:paraId="1BBA1BFE" w14:textId="77777777" w:rsidR="00D657C7" w:rsidRPr="00F85BD8" w:rsidRDefault="00D657C7" w:rsidP="00B24AEB">
      <w:pPr>
        <w:ind w:left="851"/>
        <w:rPr>
          <w:sz w:val="24"/>
          <w:szCs w:val="24"/>
          <w:lang w:val="en-US"/>
        </w:rPr>
      </w:pPr>
      <w:r w:rsidRPr="00F85BD8">
        <w:rPr>
          <w:sz w:val="24"/>
          <w:szCs w:val="24"/>
          <w:lang w:val="en-US"/>
        </w:rPr>
        <w:t>Total plasma clearance after intravenous infusion was high (CL: 1,390 mL/min, 28.8% </w:t>
      </w:r>
      <w:proofErr w:type="spellStart"/>
      <w:r w:rsidRPr="00F85BD8">
        <w:rPr>
          <w:sz w:val="24"/>
          <w:szCs w:val="24"/>
          <w:lang w:val="en-US"/>
        </w:rPr>
        <w:t>gCV</w:t>
      </w:r>
      <w:proofErr w:type="spellEnd"/>
      <w:r w:rsidRPr="00F85BD8">
        <w:rPr>
          <w:sz w:val="24"/>
          <w:szCs w:val="24"/>
          <w:lang w:val="en-US"/>
        </w:rPr>
        <w:t>). Urinary excretion of the unchanged active substance within 48 h was about 0.05% of the dose (31.5% </w:t>
      </w:r>
      <w:proofErr w:type="spellStart"/>
      <w:r w:rsidRPr="00F85BD8">
        <w:rPr>
          <w:sz w:val="24"/>
          <w:szCs w:val="24"/>
          <w:lang w:val="en-US"/>
        </w:rPr>
        <w:t>gCV</w:t>
      </w:r>
      <w:proofErr w:type="spellEnd"/>
      <w:r w:rsidRPr="00F85BD8">
        <w:rPr>
          <w:sz w:val="24"/>
          <w:szCs w:val="24"/>
          <w:lang w:val="en-US"/>
        </w:rPr>
        <w:t>) after oral and about 1.4% of the dose (24.2% </w:t>
      </w:r>
      <w:proofErr w:type="spellStart"/>
      <w:r w:rsidRPr="00F85BD8">
        <w:rPr>
          <w:sz w:val="24"/>
          <w:szCs w:val="24"/>
          <w:lang w:val="en-US"/>
        </w:rPr>
        <w:t>gCV</w:t>
      </w:r>
      <w:proofErr w:type="spellEnd"/>
      <w:r w:rsidRPr="00F85BD8">
        <w:rPr>
          <w:sz w:val="24"/>
          <w:szCs w:val="24"/>
          <w:lang w:val="en-US"/>
        </w:rPr>
        <w:t>) after intravenous administration; the renal clearance was 20 mL/min (32.6% </w:t>
      </w:r>
      <w:proofErr w:type="spellStart"/>
      <w:r w:rsidRPr="00F85BD8">
        <w:rPr>
          <w:sz w:val="24"/>
          <w:szCs w:val="24"/>
          <w:lang w:val="en-US"/>
        </w:rPr>
        <w:t>gCV</w:t>
      </w:r>
      <w:proofErr w:type="spellEnd"/>
      <w:r w:rsidRPr="00F85BD8">
        <w:rPr>
          <w:sz w:val="24"/>
          <w:szCs w:val="24"/>
          <w:lang w:val="en-US"/>
        </w:rPr>
        <w:t>). The major route of elimination of drug related radioactivity after oral administration of [</w:t>
      </w:r>
      <w:r w:rsidRPr="00F85BD8">
        <w:rPr>
          <w:sz w:val="24"/>
          <w:szCs w:val="24"/>
          <w:vertAlign w:val="superscript"/>
          <w:lang w:val="en-US"/>
        </w:rPr>
        <w:t>14</w:t>
      </w:r>
      <w:r w:rsidRPr="00F85BD8">
        <w:rPr>
          <w:sz w:val="24"/>
          <w:szCs w:val="24"/>
          <w:lang w:val="en-US"/>
        </w:rPr>
        <w:t xml:space="preserve">C] </w:t>
      </w:r>
      <w:proofErr w:type="spellStart"/>
      <w:r w:rsidRPr="00F85BD8">
        <w:rPr>
          <w:sz w:val="24"/>
          <w:szCs w:val="24"/>
          <w:lang w:val="en-US"/>
        </w:rPr>
        <w:t>nintedanib</w:t>
      </w:r>
      <w:proofErr w:type="spellEnd"/>
      <w:r w:rsidRPr="00F85BD8">
        <w:rPr>
          <w:sz w:val="24"/>
          <w:szCs w:val="24"/>
          <w:lang w:val="en-US"/>
        </w:rPr>
        <w:t xml:space="preserve"> was via </w:t>
      </w:r>
      <w:proofErr w:type="spellStart"/>
      <w:r w:rsidRPr="00F85BD8">
        <w:rPr>
          <w:sz w:val="24"/>
          <w:szCs w:val="24"/>
          <w:lang w:val="en-US"/>
        </w:rPr>
        <w:t>faecal</w:t>
      </w:r>
      <w:proofErr w:type="spellEnd"/>
      <w:r w:rsidRPr="00F85BD8">
        <w:rPr>
          <w:sz w:val="24"/>
          <w:szCs w:val="24"/>
          <w:lang w:val="en-US"/>
        </w:rPr>
        <w:t>/biliary excretion (93.4% of dose, 2.61% </w:t>
      </w:r>
      <w:proofErr w:type="spellStart"/>
      <w:r w:rsidRPr="00F85BD8">
        <w:rPr>
          <w:sz w:val="24"/>
          <w:szCs w:val="24"/>
          <w:lang w:val="en-US"/>
        </w:rPr>
        <w:t>gCV</w:t>
      </w:r>
      <w:proofErr w:type="spellEnd"/>
      <w:r w:rsidRPr="00F85BD8">
        <w:rPr>
          <w:sz w:val="24"/>
          <w:szCs w:val="24"/>
          <w:lang w:val="en-US"/>
        </w:rPr>
        <w:t>). The contribution of renal excretion to the total clearance was low (0.649% of dose, 26.3% </w:t>
      </w:r>
      <w:proofErr w:type="spellStart"/>
      <w:r w:rsidRPr="00F85BD8">
        <w:rPr>
          <w:sz w:val="24"/>
          <w:szCs w:val="24"/>
          <w:lang w:val="en-US"/>
        </w:rPr>
        <w:t>gCV</w:t>
      </w:r>
      <w:proofErr w:type="spellEnd"/>
      <w:r w:rsidRPr="00F85BD8">
        <w:rPr>
          <w:sz w:val="24"/>
          <w:szCs w:val="24"/>
          <w:lang w:val="en-US"/>
        </w:rPr>
        <w:t xml:space="preserve">). The overall recovery was considered complete (above 90%) within 4 days after dosing. The terminal half-life of </w:t>
      </w:r>
      <w:proofErr w:type="spellStart"/>
      <w:r w:rsidRPr="00F85BD8">
        <w:rPr>
          <w:sz w:val="24"/>
          <w:szCs w:val="24"/>
          <w:lang w:val="en-US"/>
        </w:rPr>
        <w:t>nintedanib</w:t>
      </w:r>
      <w:proofErr w:type="spellEnd"/>
      <w:r w:rsidRPr="00F85BD8">
        <w:rPr>
          <w:sz w:val="24"/>
          <w:szCs w:val="24"/>
          <w:lang w:val="en-US"/>
        </w:rPr>
        <w:t xml:space="preserve"> was between 10 and 15 h (</w:t>
      </w:r>
      <w:proofErr w:type="spellStart"/>
      <w:r w:rsidRPr="00F85BD8">
        <w:rPr>
          <w:sz w:val="24"/>
          <w:szCs w:val="24"/>
          <w:lang w:val="en-US"/>
        </w:rPr>
        <w:t>gCV</w:t>
      </w:r>
      <w:proofErr w:type="spellEnd"/>
      <w:r w:rsidRPr="00F85BD8">
        <w:rPr>
          <w:sz w:val="24"/>
          <w:szCs w:val="24"/>
          <w:lang w:val="en-US"/>
        </w:rPr>
        <w:t xml:space="preserve"> % approximately 50%).</w:t>
      </w:r>
    </w:p>
    <w:p w14:paraId="4DD09A17" w14:textId="77777777" w:rsidR="00D657C7" w:rsidRPr="00F85BD8" w:rsidRDefault="00D657C7" w:rsidP="00B24AEB">
      <w:pPr>
        <w:ind w:left="851"/>
        <w:rPr>
          <w:sz w:val="24"/>
          <w:szCs w:val="24"/>
          <w:lang w:val="en-US"/>
        </w:rPr>
      </w:pPr>
    </w:p>
    <w:p w14:paraId="56B454BF" w14:textId="77777777" w:rsidR="00D657C7" w:rsidRPr="009929B6" w:rsidRDefault="00D657C7" w:rsidP="00B24AEB">
      <w:pPr>
        <w:ind w:left="851"/>
        <w:rPr>
          <w:iCs/>
          <w:noProof/>
          <w:sz w:val="24"/>
          <w:szCs w:val="24"/>
          <w:u w:val="single"/>
          <w:lang w:val="en-US"/>
        </w:rPr>
      </w:pPr>
      <w:r w:rsidRPr="009929B6">
        <w:rPr>
          <w:iCs/>
          <w:noProof/>
          <w:sz w:val="24"/>
          <w:szCs w:val="24"/>
          <w:u w:val="single"/>
          <w:lang w:val="en-US"/>
        </w:rPr>
        <w:t>Linearity/non-linearity</w:t>
      </w:r>
    </w:p>
    <w:p w14:paraId="5F240EE8" w14:textId="77777777" w:rsidR="00D657C7" w:rsidRPr="00F85BD8" w:rsidRDefault="00D657C7" w:rsidP="00B24AEB">
      <w:pPr>
        <w:ind w:left="851"/>
        <w:rPr>
          <w:iCs/>
          <w:noProof/>
          <w:sz w:val="24"/>
          <w:szCs w:val="24"/>
          <w:lang w:val="en-US"/>
        </w:rPr>
      </w:pPr>
      <w:r w:rsidRPr="00F85BD8">
        <w:rPr>
          <w:iCs/>
          <w:noProof/>
          <w:sz w:val="24"/>
          <w:szCs w:val="24"/>
          <w:lang w:val="en-US"/>
        </w:rPr>
        <w:t>The pharmacokinetics (PK) of nintedanib can be considered linear with respect to time (i.e. single-dose data can be extrapolated to multiple-dose data). Accumulation upon multiple administrations was 1.04</w:t>
      </w:r>
      <w:r w:rsidRPr="00F85BD8">
        <w:rPr>
          <w:iCs/>
          <w:noProof/>
          <w:sz w:val="24"/>
          <w:szCs w:val="24"/>
          <w:lang w:val="en-US"/>
        </w:rPr>
        <w:noBreakHyphen/>
        <w:t>fold for C</w:t>
      </w:r>
      <w:r w:rsidRPr="00F85BD8">
        <w:rPr>
          <w:iCs/>
          <w:noProof/>
          <w:sz w:val="24"/>
          <w:szCs w:val="24"/>
          <w:vertAlign w:val="subscript"/>
          <w:lang w:val="en-US"/>
        </w:rPr>
        <w:t>max</w:t>
      </w:r>
      <w:r w:rsidRPr="00F85BD8">
        <w:rPr>
          <w:iCs/>
          <w:noProof/>
          <w:sz w:val="24"/>
          <w:szCs w:val="24"/>
          <w:lang w:val="en-US"/>
        </w:rPr>
        <w:t xml:space="preserve"> and 1.38</w:t>
      </w:r>
      <w:r w:rsidRPr="00F85BD8">
        <w:rPr>
          <w:iCs/>
          <w:noProof/>
          <w:sz w:val="24"/>
          <w:szCs w:val="24"/>
          <w:lang w:val="en-US"/>
        </w:rPr>
        <w:noBreakHyphen/>
        <w:t>fold for AUC</w:t>
      </w:r>
      <w:r w:rsidRPr="00F85BD8">
        <w:rPr>
          <w:iCs/>
          <w:noProof/>
          <w:sz w:val="24"/>
          <w:szCs w:val="24"/>
          <w:vertAlign w:val="subscript"/>
        </w:rPr>
        <w:t>τ</w:t>
      </w:r>
      <w:r w:rsidRPr="00F85BD8">
        <w:rPr>
          <w:iCs/>
          <w:noProof/>
          <w:sz w:val="24"/>
          <w:szCs w:val="24"/>
          <w:lang w:val="en-US"/>
        </w:rPr>
        <w:t>. Nintedanib trough concentrations remained stable for more than one year.</w:t>
      </w:r>
    </w:p>
    <w:p w14:paraId="055CCD3A" w14:textId="77777777" w:rsidR="00D657C7" w:rsidRPr="00F85BD8" w:rsidRDefault="00D657C7" w:rsidP="00B24AEB">
      <w:pPr>
        <w:ind w:left="851"/>
        <w:rPr>
          <w:iCs/>
          <w:noProof/>
          <w:sz w:val="24"/>
          <w:szCs w:val="24"/>
          <w:lang w:val="en-US"/>
        </w:rPr>
      </w:pPr>
    </w:p>
    <w:p w14:paraId="5439CF9C" w14:textId="77777777" w:rsidR="00D657C7" w:rsidRPr="009929B6" w:rsidRDefault="00D657C7" w:rsidP="00B24AEB">
      <w:pPr>
        <w:ind w:left="851"/>
        <w:rPr>
          <w:iCs/>
          <w:noProof/>
          <w:sz w:val="24"/>
          <w:szCs w:val="24"/>
          <w:u w:val="single"/>
          <w:lang w:val="en-US"/>
        </w:rPr>
      </w:pPr>
      <w:r w:rsidRPr="009929B6">
        <w:rPr>
          <w:iCs/>
          <w:noProof/>
          <w:sz w:val="24"/>
          <w:szCs w:val="24"/>
          <w:u w:val="single"/>
          <w:lang w:val="en-US"/>
        </w:rPr>
        <w:t>Transport</w:t>
      </w:r>
    </w:p>
    <w:p w14:paraId="48DE6D96" w14:textId="77777777" w:rsidR="00D657C7" w:rsidRPr="00F85BD8" w:rsidRDefault="00D657C7" w:rsidP="00B24AEB">
      <w:pPr>
        <w:ind w:left="851"/>
        <w:rPr>
          <w:iCs/>
          <w:noProof/>
          <w:sz w:val="24"/>
          <w:szCs w:val="24"/>
          <w:lang w:val="en-US"/>
        </w:rPr>
      </w:pPr>
      <w:r w:rsidRPr="00F85BD8">
        <w:rPr>
          <w:iCs/>
          <w:noProof/>
          <w:sz w:val="24"/>
          <w:szCs w:val="24"/>
          <w:lang w:val="en-US"/>
        </w:rPr>
        <w:t>Nintedanib is a substrate of P</w:t>
      </w:r>
      <w:r w:rsidRPr="00F85BD8">
        <w:rPr>
          <w:iCs/>
          <w:noProof/>
          <w:sz w:val="24"/>
          <w:szCs w:val="24"/>
          <w:lang w:val="en-US"/>
        </w:rPr>
        <w:noBreakHyphen/>
        <w:t>gp. For the interaction potential of nintedanib with this transporter, see section 4.5. Nintedanib was shown to be not a substrate or inhibitor of OATP</w:t>
      </w:r>
      <w:r w:rsidRPr="00F85BD8">
        <w:rPr>
          <w:iCs/>
          <w:noProof/>
          <w:sz w:val="24"/>
          <w:szCs w:val="24"/>
          <w:lang w:val="en-US"/>
        </w:rPr>
        <w:noBreakHyphen/>
        <w:t>1B1, OATP</w:t>
      </w:r>
      <w:r w:rsidRPr="00F85BD8">
        <w:rPr>
          <w:iCs/>
          <w:noProof/>
          <w:sz w:val="24"/>
          <w:szCs w:val="24"/>
          <w:lang w:val="en-US"/>
        </w:rPr>
        <w:noBreakHyphen/>
        <w:t>1B3, OATP</w:t>
      </w:r>
      <w:r w:rsidRPr="00F85BD8">
        <w:rPr>
          <w:iCs/>
          <w:noProof/>
          <w:sz w:val="24"/>
          <w:szCs w:val="24"/>
          <w:lang w:val="en-US"/>
        </w:rPr>
        <w:noBreakHyphen/>
        <w:t>2B1, OCT</w:t>
      </w:r>
      <w:r w:rsidRPr="00F85BD8">
        <w:rPr>
          <w:iCs/>
          <w:noProof/>
          <w:sz w:val="24"/>
          <w:szCs w:val="24"/>
          <w:lang w:val="en-US"/>
        </w:rPr>
        <w:noBreakHyphen/>
        <w:t>2, or MRP</w:t>
      </w:r>
      <w:r w:rsidRPr="00F85BD8">
        <w:rPr>
          <w:iCs/>
          <w:noProof/>
          <w:sz w:val="24"/>
          <w:szCs w:val="24"/>
          <w:lang w:val="en-US"/>
        </w:rPr>
        <w:noBreakHyphen/>
        <w:t xml:space="preserve">2 </w:t>
      </w:r>
      <w:r w:rsidRPr="00F85BD8">
        <w:rPr>
          <w:i/>
          <w:iCs/>
          <w:noProof/>
          <w:sz w:val="24"/>
          <w:szCs w:val="24"/>
          <w:lang w:val="en-US"/>
        </w:rPr>
        <w:t>in vitro</w:t>
      </w:r>
      <w:r w:rsidRPr="00F85BD8">
        <w:rPr>
          <w:iCs/>
          <w:noProof/>
          <w:sz w:val="24"/>
          <w:szCs w:val="24"/>
          <w:lang w:val="en-US"/>
        </w:rPr>
        <w:t>. Nintedanib was also not a substrate of BCRP. Only a weak inhibitory potential on OCT</w:t>
      </w:r>
      <w:r w:rsidRPr="00F85BD8">
        <w:rPr>
          <w:iCs/>
          <w:noProof/>
          <w:sz w:val="24"/>
          <w:szCs w:val="24"/>
          <w:lang w:val="en-US"/>
        </w:rPr>
        <w:noBreakHyphen/>
        <w:t>1, BCRP, and P</w:t>
      </w:r>
      <w:r w:rsidRPr="00F85BD8">
        <w:rPr>
          <w:iCs/>
          <w:noProof/>
          <w:sz w:val="24"/>
          <w:szCs w:val="24"/>
          <w:lang w:val="en-US"/>
        </w:rPr>
        <w:noBreakHyphen/>
        <w:t xml:space="preserve">gp was observed </w:t>
      </w:r>
      <w:r w:rsidRPr="00F85BD8">
        <w:rPr>
          <w:i/>
          <w:iCs/>
          <w:noProof/>
          <w:sz w:val="24"/>
          <w:szCs w:val="24"/>
          <w:lang w:val="en-US"/>
        </w:rPr>
        <w:t>in vitro</w:t>
      </w:r>
      <w:r w:rsidRPr="00F85BD8">
        <w:rPr>
          <w:iCs/>
          <w:noProof/>
          <w:sz w:val="24"/>
          <w:szCs w:val="24"/>
          <w:lang w:val="en-US"/>
        </w:rPr>
        <w:t xml:space="preserve"> which is considered to be of low clinical relevance. The same applies for nintedanib being a substrate of OCT</w:t>
      </w:r>
      <w:r w:rsidRPr="00F85BD8">
        <w:rPr>
          <w:iCs/>
          <w:noProof/>
          <w:sz w:val="24"/>
          <w:szCs w:val="24"/>
          <w:lang w:val="en-US"/>
        </w:rPr>
        <w:noBreakHyphen/>
        <w:t>1.</w:t>
      </w:r>
    </w:p>
    <w:p w14:paraId="181EEC23" w14:textId="77777777" w:rsidR="00D657C7" w:rsidRPr="00F85BD8" w:rsidRDefault="00D657C7" w:rsidP="00B24AEB">
      <w:pPr>
        <w:ind w:left="851"/>
        <w:rPr>
          <w:iCs/>
          <w:noProof/>
          <w:sz w:val="24"/>
          <w:szCs w:val="24"/>
          <w:lang w:val="en-US"/>
        </w:rPr>
      </w:pPr>
    </w:p>
    <w:p w14:paraId="7555A99E" w14:textId="77777777" w:rsidR="00D657C7" w:rsidRPr="009929B6" w:rsidRDefault="00D657C7" w:rsidP="00B24AEB">
      <w:pPr>
        <w:ind w:left="851"/>
        <w:rPr>
          <w:iCs/>
          <w:noProof/>
          <w:sz w:val="24"/>
          <w:szCs w:val="24"/>
          <w:u w:val="single"/>
          <w:lang w:val="en-US"/>
        </w:rPr>
      </w:pPr>
      <w:r w:rsidRPr="009929B6">
        <w:rPr>
          <w:iCs/>
          <w:noProof/>
          <w:sz w:val="24"/>
          <w:szCs w:val="24"/>
          <w:u w:val="single"/>
          <w:lang w:val="en-US"/>
        </w:rPr>
        <w:t>Population pharmocokinetic analysis in special populations</w:t>
      </w:r>
    </w:p>
    <w:p w14:paraId="7259075C" w14:textId="77777777" w:rsidR="00D657C7" w:rsidRPr="00F85BD8" w:rsidRDefault="00D657C7" w:rsidP="00B24AEB">
      <w:pPr>
        <w:ind w:left="851"/>
        <w:rPr>
          <w:iCs/>
          <w:noProof/>
          <w:sz w:val="24"/>
          <w:szCs w:val="24"/>
          <w:lang w:val="en-US"/>
        </w:rPr>
      </w:pPr>
      <w:r w:rsidRPr="00F85BD8">
        <w:rPr>
          <w:iCs/>
          <w:noProof/>
          <w:sz w:val="24"/>
          <w:szCs w:val="24"/>
          <w:lang w:val="en-US"/>
        </w:rPr>
        <w:t>The PK properties of nintedanib were similar in healthy volunteers, patients with IPF, patients with other chronic fibrosing ILDs with a progressive phenotype, patients with SSc</w:t>
      </w:r>
      <w:r w:rsidRPr="00F85BD8">
        <w:rPr>
          <w:iCs/>
          <w:noProof/>
          <w:sz w:val="24"/>
          <w:szCs w:val="24"/>
          <w:lang w:val="en-US"/>
        </w:rPr>
        <w:noBreakHyphen/>
        <w:t>ILD, and cancer patients. Based on results of a population PK (PopPK) analysis in patients with IPF and non small cell lung cancer (NSCLC) (N=1,191) and descriptive investigations, exposure to nintedanib was not influenced by sex (body weight corrected), mild and moderate renal impairment (estimated by creatinine clearance), alcohol consumption, or P</w:t>
      </w:r>
      <w:r w:rsidRPr="00F85BD8">
        <w:rPr>
          <w:iCs/>
          <w:noProof/>
          <w:sz w:val="24"/>
          <w:szCs w:val="24"/>
          <w:lang w:val="en-US"/>
        </w:rPr>
        <w:noBreakHyphen/>
        <w:t>gp genotype.</w:t>
      </w:r>
    </w:p>
    <w:p w14:paraId="5C7C4317" w14:textId="77777777" w:rsidR="00D657C7" w:rsidRPr="00F85BD8" w:rsidRDefault="00D657C7" w:rsidP="00B24AEB">
      <w:pPr>
        <w:ind w:left="851"/>
        <w:rPr>
          <w:iCs/>
          <w:noProof/>
          <w:sz w:val="24"/>
          <w:szCs w:val="24"/>
          <w:lang w:val="en-US"/>
        </w:rPr>
      </w:pPr>
      <w:r w:rsidRPr="00F85BD8">
        <w:rPr>
          <w:iCs/>
          <w:noProof/>
          <w:sz w:val="24"/>
          <w:szCs w:val="24"/>
          <w:lang w:val="en-US"/>
        </w:rPr>
        <w:t>PopPK analyses indicated moderate effects on exposure to nintedanib depending on age, body weight, and race (see below). Based on the high inter-individual variability of exposure observed moderate effects are considered not clinically relevant (see section 4.4).</w:t>
      </w:r>
    </w:p>
    <w:p w14:paraId="2626AE23" w14:textId="77777777" w:rsidR="00D657C7" w:rsidRPr="00F85BD8" w:rsidRDefault="00D657C7" w:rsidP="00B24AEB">
      <w:pPr>
        <w:ind w:left="851"/>
        <w:rPr>
          <w:iCs/>
          <w:noProof/>
          <w:sz w:val="24"/>
          <w:szCs w:val="24"/>
          <w:lang w:val="en-US"/>
        </w:rPr>
      </w:pPr>
    </w:p>
    <w:p w14:paraId="34F333F5" w14:textId="77777777" w:rsidR="00D657C7" w:rsidRPr="00F85BD8" w:rsidRDefault="00D657C7" w:rsidP="00B24AEB">
      <w:pPr>
        <w:ind w:left="851"/>
        <w:rPr>
          <w:i/>
          <w:iCs/>
          <w:noProof/>
          <w:sz w:val="24"/>
          <w:szCs w:val="24"/>
          <w:lang w:val="en-US"/>
        </w:rPr>
      </w:pPr>
      <w:r w:rsidRPr="00F85BD8">
        <w:rPr>
          <w:i/>
          <w:iCs/>
          <w:noProof/>
          <w:sz w:val="24"/>
          <w:szCs w:val="24"/>
          <w:lang w:val="en-US"/>
        </w:rPr>
        <w:t>Age</w:t>
      </w:r>
    </w:p>
    <w:p w14:paraId="711CFD2A" w14:textId="77777777" w:rsidR="00D657C7" w:rsidRPr="00F85BD8" w:rsidRDefault="00D657C7" w:rsidP="00B24AEB">
      <w:pPr>
        <w:ind w:left="851"/>
        <w:rPr>
          <w:iCs/>
          <w:noProof/>
          <w:sz w:val="24"/>
          <w:szCs w:val="24"/>
          <w:lang w:val="en-US"/>
        </w:rPr>
      </w:pPr>
      <w:r w:rsidRPr="00F85BD8">
        <w:rPr>
          <w:iCs/>
          <w:noProof/>
          <w:sz w:val="24"/>
          <w:szCs w:val="24"/>
          <w:lang w:val="en-US"/>
        </w:rPr>
        <w:t>Exposure to nintedanib increased linearly with age.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decreased by 16% for a 45</w:t>
      </w:r>
      <w:r w:rsidRPr="00F85BD8">
        <w:rPr>
          <w:iCs/>
          <w:noProof/>
          <w:sz w:val="24"/>
          <w:szCs w:val="24"/>
          <w:lang w:val="en-US"/>
        </w:rPr>
        <w:noBreakHyphen/>
        <w:t>year old patient and increased by 13% for a 76</w:t>
      </w:r>
      <w:r w:rsidRPr="00F85BD8">
        <w:rPr>
          <w:iCs/>
          <w:noProof/>
          <w:sz w:val="24"/>
          <w:szCs w:val="24"/>
          <w:lang w:val="en-US"/>
        </w:rPr>
        <w:noBreakHyphen/>
        <w:t>year old patient relative to a patient with the median age of 62 years. The age range covered by the analysis was 29 to 85 years; approximately 5% of the population were older than 75 years. Based on a PopPK model, an increase in nintedanib exposure of approximately 20</w:t>
      </w:r>
      <w:r w:rsidRPr="00F85BD8">
        <w:rPr>
          <w:iCs/>
          <w:noProof/>
          <w:sz w:val="24"/>
          <w:szCs w:val="24"/>
          <w:lang w:val="en-US"/>
        </w:rPr>
        <w:noBreakHyphen/>
        <w:t>25% was observed in patients ≥75 years compared with patients under 65 years.</w:t>
      </w:r>
    </w:p>
    <w:p w14:paraId="0029392F" w14:textId="77777777" w:rsidR="00D657C7" w:rsidRPr="00F85BD8" w:rsidRDefault="00D657C7" w:rsidP="00B24AEB">
      <w:pPr>
        <w:ind w:left="851"/>
        <w:rPr>
          <w:iCs/>
          <w:noProof/>
          <w:sz w:val="24"/>
          <w:szCs w:val="24"/>
          <w:lang w:val="en-US"/>
        </w:rPr>
      </w:pPr>
    </w:p>
    <w:p w14:paraId="48837C8B" w14:textId="77777777" w:rsidR="00D657C7" w:rsidRPr="00F85BD8" w:rsidRDefault="00D657C7" w:rsidP="00B24AEB">
      <w:pPr>
        <w:ind w:left="851"/>
        <w:rPr>
          <w:i/>
          <w:iCs/>
          <w:noProof/>
          <w:sz w:val="24"/>
          <w:szCs w:val="24"/>
          <w:lang w:val="en-US"/>
        </w:rPr>
      </w:pPr>
      <w:r w:rsidRPr="00F85BD8">
        <w:rPr>
          <w:i/>
          <w:iCs/>
          <w:noProof/>
          <w:sz w:val="24"/>
          <w:szCs w:val="24"/>
          <w:lang w:val="en-US"/>
        </w:rPr>
        <w:t>Paediatric population</w:t>
      </w:r>
    </w:p>
    <w:p w14:paraId="774DAA60" w14:textId="77777777" w:rsidR="00D657C7" w:rsidRPr="00F85BD8" w:rsidRDefault="00D657C7" w:rsidP="00B24AEB">
      <w:pPr>
        <w:ind w:left="851"/>
        <w:rPr>
          <w:iCs/>
          <w:noProof/>
          <w:sz w:val="24"/>
          <w:szCs w:val="24"/>
          <w:lang w:val="en-US"/>
        </w:rPr>
      </w:pPr>
      <w:r w:rsidRPr="00F85BD8">
        <w:rPr>
          <w:iCs/>
          <w:noProof/>
          <w:sz w:val="24"/>
          <w:szCs w:val="24"/>
          <w:lang w:val="en-US"/>
        </w:rPr>
        <w:t>Based on the analysis of pharmacokinetic data of study InPedILD (1199.337), oral administration of nintedanib according to the weight-based dosing algorithm resulted in exposure within the range observed in adult patients. The observed geometric mean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(geometric coefficient of variation) exposures were 175 ng/mL hr (85.1%) and 167 ng/mL hr (83.6 %) in 10 patients aged 6 to 11 years old and 23 patients aged 12 to 17 years old, respectively.</w:t>
      </w:r>
    </w:p>
    <w:p w14:paraId="798E10D8" w14:textId="77777777" w:rsidR="00D657C7" w:rsidRPr="00F85BD8" w:rsidRDefault="00D657C7" w:rsidP="00B24AEB">
      <w:pPr>
        <w:ind w:left="851"/>
        <w:rPr>
          <w:iCs/>
          <w:noProof/>
          <w:sz w:val="24"/>
          <w:szCs w:val="24"/>
          <w:lang w:val="en-US"/>
        </w:rPr>
      </w:pPr>
    </w:p>
    <w:p w14:paraId="5A2924EE" w14:textId="77777777" w:rsidR="00D657C7" w:rsidRPr="00F85BD8" w:rsidRDefault="00D657C7" w:rsidP="00B24AEB">
      <w:pPr>
        <w:ind w:left="851"/>
        <w:rPr>
          <w:i/>
          <w:iCs/>
          <w:noProof/>
          <w:sz w:val="24"/>
          <w:szCs w:val="24"/>
          <w:lang w:val="en-US"/>
        </w:rPr>
      </w:pPr>
      <w:r w:rsidRPr="00F85BD8">
        <w:rPr>
          <w:i/>
          <w:iCs/>
          <w:noProof/>
          <w:sz w:val="24"/>
          <w:szCs w:val="24"/>
          <w:lang w:val="en-US"/>
        </w:rPr>
        <w:t>Body weight</w:t>
      </w:r>
    </w:p>
    <w:p w14:paraId="777A9F0A" w14:textId="77777777" w:rsidR="00D657C7" w:rsidRPr="00F85BD8" w:rsidRDefault="00D657C7" w:rsidP="00B24AEB">
      <w:pPr>
        <w:ind w:left="851"/>
        <w:rPr>
          <w:iCs/>
          <w:noProof/>
          <w:sz w:val="24"/>
          <w:szCs w:val="24"/>
          <w:lang w:val="en-US"/>
        </w:rPr>
      </w:pPr>
      <w:r w:rsidRPr="00F85BD8">
        <w:rPr>
          <w:iCs/>
          <w:noProof/>
          <w:sz w:val="24"/>
          <w:szCs w:val="24"/>
          <w:lang w:val="en-US"/>
        </w:rPr>
        <w:t>An inverse correlation between body weight and exposure to nintedanib was observed.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increased by 25% for a 50 kg patient (5</w:t>
      </w:r>
      <w:r w:rsidRPr="00F85BD8">
        <w:rPr>
          <w:iCs/>
          <w:noProof/>
          <w:sz w:val="24"/>
          <w:szCs w:val="24"/>
          <w:vertAlign w:val="superscript"/>
          <w:lang w:val="en-US"/>
        </w:rPr>
        <w:t>th</w:t>
      </w:r>
      <w:r w:rsidRPr="00F85BD8">
        <w:rPr>
          <w:iCs/>
          <w:noProof/>
          <w:sz w:val="24"/>
          <w:szCs w:val="24"/>
          <w:lang w:val="en-US"/>
        </w:rPr>
        <w:t xml:space="preserve"> percentile) and decreased by 19% for a 100 kg patient (95</w:t>
      </w:r>
      <w:r w:rsidRPr="00F85BD8">
        <w:rPr>
          <w:iCs/>
          <w:noProof/>
          <w:sz w:val="24"/>
          <w:szCs w:val="24"/>
          <w:vertAlign w:val="superscript"/>
          <w:lang w:val="en-US"/>
        </w:rPr>
        <w:t>th</w:t>
      </w:r>
      <w:r w:rsidRPr="00F85BD8">
        <w:rPr>
          <w:iCs/>
          <w:noProof/>
          <w:sz w:val="24"/>
          <w:szCs w:val="24"/>
          <w:lang w:val="en-US"/>
        </w:rPr>
        <w:t> percentile) relative to a patient with the median weight of 71.5 kg.</w:t>
      </w:r>
    </w:p>
    <w:p w14:paraId="36344802" w14:textId="77777777" w:rsidR="00D657C7" w:rsidRPr="00F85BD8" w:rsidRDefault="00D657C7" w:rsidP="00B24AEB">
      <w:pPr>
        <w:ind w:left="851"/>
        <w:rPr>
          <w:iCs/>
          <w:noProof/>
          <w:sz w:val="24"/>
          <w:szCs w:val="24"/>
          <w:lang w:val="en-US"/>
        </w:rPr>
      </w:pPr>
    </w:p>
    <w:p w14:paraId="0EBB347E" w14:textId="77777777" w:rsidR="00D657C7" w:rsidRPr="00F85BD8" w:rsidRDefault="00D657C7" w:rsidP="00B24AEB">
      <w:pPr>
        <w:ind w:left="851"/>
        <w:rPr>
          <w:i/>
          <w:iCs/>
          <w:noProof/>
          <w:sz w:val="24"/>
          <w:szCs w:val="24"/>
          <w:lang w:val="en-US"/>
        </w:rPr>
      </w:pPr>
      <w:r w:rsidRPr="00F85BD8">
        <w:rPr>
          <w:i/>
          <w:iCs/>
          <w:noProof/>
          <w:sz w:val="24"/>
          <w:szCs w:val="24"/>
          <w:lang w:val="en-US"/>
        </w:rPr>
        <w:t>Race</w:t>
      </w:r>
    </w:p>
    <w:p w14:paraId="3ED98F5A" w14:textId="77777777" w:rsidR="00D657C7" w:rsidRPr="00F85BD8" w:rsidRDefault="00D657C7" w:rsidP="00B24AEB">
      <w:pPr>
        <w:ind w:left="851"/>
        <w:rPr>
          <w:iCs/>
          <w:noProof/>
          <w:sz w:val="24"/>
          <w:szCs w:val="24"/>
          <w:lang w:val="en-US"/>
        </w:rPr>
      </w:pPr>
      <w:r w:rsidRPr="00F85BD8">
        <w:rPr>
          <w:iCs/>
          <w:noProof/>
          <w:sz w:val="24"/>
          <w:szCs w:val="24"/>
          <w:lang w:val="en-US"/>
        </w:rPr>
        <w:t>The population mean exposure to nintedanib was 33</w:t>
      </w:r>
      <w:r w:rsidRPr="00F85BD8">
        <w:rPr>
          <w:iCs/>
          <w:noProof/>
          <w:sz w:val="24"/>
          <w:szCs w:val="24"/>
          <w:lang w:val="en-US"/>
        </w:rPr>
        <w:noBreakHyphen/>
        <w:t>50% higher in Chinese, Taiwanese, and Indian patients and 16% higher in Japanese patients while it was 16</w:t>
      </w:r>
      <w:r w:rsidRPr="00F85BD8">
        <w:rPr>
          <w:iCs/>
          <w:noProof/>
          <w:sz w:val="24"/>
          <w:szCs w:val="24"/>
          <w:lang w:val="en-US"/>
        </w:rPr>
        <w:noBreakHyphen/>
        <w:t>22% lower in Koreans compared to Caucasians (body weight corrected). Data from Black individuals were very limited but in the same range as for Caucasians.</w:t>
      </w:r>
    </w:p>
    <w:p w14:paraId="3B5D57C5" w14:textId="77777777" w:rsidR="00D657C7" w:rsidRPr="00F85BD8" w:rsidRDefault="00D657C7" w:rsidP="00B24AEB">
      <w:pPr>
        <w:ind w:left="851"/>
        <w:rPr>
          <w:iCs/>
          <w:noProof/>
          <w:sz w:val="24"/>
          <w:szCs w:val="24"/>
          <w:lang w:val="en-US"/>
        </w:rPr>
      </w:pPr>
    </w:p>
    <w:p w14:paraId="06FD05E0" w14:textId="77777777" w:rsidR="00D657C7" w:rsidRPr="00F85BD8" w:rsidRDefault="00D657C7" w:rsidP="00B24AEB">
      <w:pPr>
        <w:ind w:left="851"/>
        <w:rPr>
          <w:i/>
          <w:iCs/>
          <w:noProof/>
          <w:sz w:val="24"/>
          <w:szCs w:val="24"/>
          <w:lang w:val="en-US"/>
        </w:rPr>
      </w:pPr>
      <w:r w:rsidRPr="00F85BD8">
        <w:rPr>
          <w:i/>
          <w:iCs/>
          <w:noProof/>
          <w:sz w:val="24"/>
          <w:szCs w:val="24"/>
          <w:lang w:val="en-US"/>
        </w:rPr>
        <w:t>Hepatic impairment</w:t>
      </w:r>
    </w:p>
    <w:p w14:paraId="33D705AB" w14:textId="77777777" w:rsidR="00D657C7" w:rsidRPr="00F85BD8" w:rsidRDefault="00D657C7" w:rsidP="00B24AEB">
      <w:pPr>
        <w:ind w:left="851"/>
        <w:rPr>
          <w:iCs/>
          <w:noProof/>
          <w:sz w:val="24"/>
          <w:szCs w:val="24"/>
          <w:lang w:val="en-US"/>
        </w:rPr>
      </w:pPr>
      <w:r w:rsidRPr="00F85BD8">
        <w:rPr>
          <w:iCs/>
          <w:noProof/>
          <w:sz w:val="24"/>
          <w:szCs w:val="24"/>
          <w:lang w:val="en-US"/>
        </w:rPr>
        <w:t>In a dedicated single dose phase I study and compared to healthy subjects, exposure to nintedanib based on C</w:t>
      </w:r>
      <w:r w:rsidRPr="00F85BD8">
        <w:rPr>
          <w:iCs/>
          <w:noProof/>
          <w:sz w:val="24"/>
          <w:szCs w:val="24"/>
          <w:vertAlign w:val="subscript"/>
          <w:lang w:val="en-US"/>
        </w:rPr>
        <w:t>max</w:t>
      </w:r>
      <w:r w:rsidRPr="00F85BD8">
        <w:rPr>
          <w:iCs/>
          <w:noProof/>
          <w:sz w:val="24"/>
          <w:szCs w:val="24"/>
          <w:lang w:val="en-US"/>
        </w:rPr>
        <w:t xml:space="preserve"> and AUC was 2.2</w:t>
      </w:r>
      <w:r w:rsidRPr="00F85BD8">
        <w:rPr>
          <w:iCs/>
          <w:noProof/>
          <w:sz w:val="24"/>
          <w:szCs w:val="24"/>
          <w:lang w:val="en-US"/>
        </w:rPr>
        <w:noBreakHyphen/>
        <w:t>fold higher in volunteers with mild hepatic impairment (Child Pugh A; 90% CI 1.3 – 3.7 for C</w:t>
      </w:r>
      <w:r w:rsidRPr="00F85BD8">
        <w:rPr>
          <w:iCs/>
          <w:noProof/>
          <w:sz w:val="24"/>
          <w:szCs w:val="24"/>
          <w:vertAlign w:val="subscript"/>
          <w:lang w:val="en-US"/>
        </w:rPr>
        <w:t>max</w:t>
      </w:r>
      <w:r w:rsidRPr="00F85BD8">
        <w:rPr>
          <w:iCs/>
          <w:noProof/>
          <w:sz w:val="24"/>
          <w:szCs w:val="24"/>
          <w:lang w:val="en-US"/>
        </w:rPr>
        <w:t xml:space="preserve"> and 1.2 – 3.8 for AUC, respectively). In volunteers with moderate hepatic impairment (Child Pugh B), exposure was 7.6</w:t>
      </w:r>
      <w:r w:rsidRPr="00F85BD8">
        <w:rPr>
          <w:iCs/>
          <w:noProof/>
          <w:sz w:val="24"/>
          <w:szCs w:val="24"/>
          <w:lang w:val="en-US"/>
        </w:rPr>
        <w:noBreakHyphen/>
        <w:t>fold higher based on C</w:t>
      </w:r>
      <w:r w:rsidRPr="00F85BD8">
        <w:rPr>
          <w:iCs/>
          <w:noProof/>
          <w:sz w:val="24"/>
          <w:szCs w:val="24"/>
          <w:vertAlign w:val="subscript"/>
          <w:lang w:val="en-US"/>
        </w:rPr>
        <w:t>max</w:t>
      </w:r>
      <w:r w:rsidRPr="00F85BD8">
        <w:rPr>
          <w:iCs/>
          <w:noProof/>
          <w:sz w:val="24"/>
          <w:szCs w:val="24"/>
          <w:lang w:val="en-US"/>
        </w:rPr>
        <w:t xml:space="preserve"> (90% CI 4.4–13.2) and 8.7</w:t>
      </w:r>
      <w:r w:rsidRPr="00F85BD8">
        <w:rPr>
          <w:iCs/>
          <w:noProof/>
          <w:sz w:val="24"/>
          <w:szCs w:val="24"/>
          <w:lang w:val="en-US"/>
        </w:rPr>
        <w:noBreakHyphen/>
        <w:t>fold higher (90% CI 5.7 – 13.1) based on AUC, respectively, compared to healthy volunteers.</w:t>
      </w:r>
    </w:p>
    <w:p w14:paraId="5B0139CD" w14:textId="77777777" w:rsidR="00D657C7" w:rsidRPr="00F85BD8" w:rsidRDefault="00D657C7" w:rsidP="00B24AEB">
      <w:pPr>
        <w:ind w:left="851"/>
        <w:rPr>
          <w:iCs/>
          <w:noProof/>
          <w:sz w:val="24"/>
          <w:szCs w:val="24"/>
          <w:lang w:val="en-US"/>
        </w:rPr>
      </w:pPr>
      <w:r w:rsidRPr="00F85BD8">
        <w:rPr>
          <w:iCs/>
          <w:noProof/>
          <w:sz w:val="24"/>
          <w:szCs w:val="24"/>
          <w:lang w:val="en-US"/>
        </w:rPr>
        <w:t>Subjects with severe hepatic impairment (Child Pugh C) have not been studied.</w:t>
      </w:r>
    </w:p>
    <w:p w14:paraId="59134EA7" w14:textId="77777777" w:rsidR="00D657C7" w:rsidRPr="00F85BD8" w:rsidRDefault="00D657C7" w:rsidP="00B24AEB">
      <w:pPr>
        <w:ind w:left="851"/>
        <w:rPr>
          <w:iCs/>
          <w:noProof/>
          <w:sz w:val="24"/>
          <w:szCs w:val="24"/>
          <w:lang w:val="en-US"/>
        </w:rPr>
      </w:pPr>
    </w:p>
    <w:p w14:paraId="54BD4D0F" w14:textId="77777777" w:rsidR="00D657C7" w:rsidRPr="00F85BD8" w:rsidRDefault="00D657C7" w:rsidP="00B24AEB">
      <w:pPr>
        <w:ind w:left="851"/>
        <w:rPr>
          <w:i/>
          <w:iCs/>
          <w:noProof/>
          <w:sz w:val="24"/>
          <w:szCs w:val="24"/>
          <w:lang w:val="en-US"/>
        </w:rPr>
      </w:pPr>
      <w:r w:rsidRPr="00F85BD8">
        <w:rPr>
          <w:i/>
          <w:iCs/>
          <w:noProof/>
          <w:sz w:val="24"/>
          <w:szCs w:val="24"/>
          <w:lang w:val="en-US"/>
        </w:rPr>
        <w:t>Concomitant treatment with pirfenidone</w:t>
      </w:r>
    </w:p>
    <w:p w14:paraId="7D4223F8" w14:textId="77777777" w:rsidR="00D657C7" w:rsidRPr="00F85BD8" w:rsidRDefault="00D657C7" w:rsidP="00B24AEB">
      <w:pPr>
        <w:ind w:left="851"/>
        <w:rPr>
          <w:iCs/>
          <w:noProof/>
          <w:sz w:val="24"/>
          <w:szCs w:val="24"/>
          <w:lang w:val="en-US"/>
        </w:rPr>
      </w:pPr>
      <w:r w:rsidRPr="00F85BD8">
        <w:rPr>
          <w:iCs/>
          <w:noProof/>
          <w:sz w:val="24"/>
          <w:szCs w:val="24"/>
          <w:lang w:val="en-US"/>
        </w:rPr>
        <w:t>In a dedicated pharmacokinetic study, concomitant treatment of nintedanib with pirfenidone was investigated in patients with IPF. Group 1 received a single dose of 150 mg nintedanib before and after uptitration to 801 mg pirfenidone three times a day at steady state (N=20 patients treated). Group 2 received steady state treatment of 801 mg pirfenidone three times a day and had a PK profiling before and after at least 7 days of co-treatment with 150 mg nintedanib twice daily (N=17 patients treated). In group 1, the adjusted geometric mean ratios (90% confidence interval (CI)) were 93% (57%</w:t>
      </w:r>
      <w:r w:rsidRPr="00F85BD8">
        <w:rPr>
          <w:iCs/>
          <w:noProof/>
          <w:sz w:val="24"/>
          <w:szCs w:val="24"/>
          <w:lang w:val="en-US"/>
        </w:rPr>
        <w:noBreakHyphen/>
        <w:t>151%) and 96% (70%</w:t>
      </w:r>
      <w:r w:rsidRPr="00F85BD8">
        <w:rPr>
          <w:iCs/>
          <w:noProof/>
          <w:sz w:val="24"/>
          <w:szCs w:val="24"/>
          <w:lang w:val="en-US"/>
        </w:rPr>
        <w:noBreakHyphen/>
        <w:t>131%) for C</w:t>
      </w:r>
      <w:r w:rsidRPr="00F85BD8">
        <w:rPr>
          <w:iCs/>
          <w:noProof/>
          <w:sz w:val="24"/>
          <w:szCs w:val="24"/>
          <w:vertAlign w:val="subscript"/>
          <w:lang w:val="en-US"/>
        </w:rPr>
        <w:t>max</w:t>
      </w:r>
      <w:r w:rsidRPr="00F85BD8">
        <w:rPr>
          <w:iCs/>
          <w:noProof/>
          <w:sz w:val="24"/>
          <w:szCs w:val="24"/>
          <w:lang w:val="en-US"/>
        </w:rPr>
        <w:t xml:space="preserve"> and AUC</w:t>
      </w:r>
      <w:r w:rsidRPr="00F85BD8">
        <w:rPr>
          <w:iCs/>
          <w:noProof/>
          <w:sz w:val="24"/>
          <w:szCs w:val="24"/>
          <w:vertAlign w:val="subscript"/>
          <w:lang w:val="en-US"/>
        </w:rPr>
        <w:t>0</w:t>
      </w:r>
      <w:r w:rsidRPr="00F85BD8">
        <w:rPr>
          <w:iCs/>
          <w:noProof/>
          <w:sz w:val="24"/>
          <w:szCs w:val="24"/>
          <w:vertAlign w:val="subscript"/>
          <w:lang w:val="en-US"/>
        </w:rPr>
        <w:noBreakHyphen/>
        <w:t>tz</w:t>
      </w:r>
      <w:r w:rsidRPr="00F85BD8">
        <w:rPr>
          <w:iCs/>
          <w:noProof/>
          <w:sz w:val="24"/>
          <w:szCs w:val="24"/>
          <w:lang w:val="en-US"/>
        </w:rPr>
        <w:t xml:space="preserve"> of nintedanib, respectively (n=12 for intraindividual comparison). In group 2, the adjusted geometric mean ratios (90% CI)) were 97% (86%</w:t>
      </w:r>
      <w:r w:rsidRPr="00F85BD8">
        <w:rPr>
          <w:iCs/>
          <w:noProof/>
          <w:sz w:val="24"/>
          <w:szCs w:val="24"/>
          <w:lang w:val="en-US"/>
        </w:rPr>
        <w:noBreakHyphen/>
        <w:t>110%) and 95% (86%</w:t>
      </w:r>
      <w:r w:rsidRPr="00F85BD8">
        <w:rPr>
          <w:iCs/>
          <w:noProof/>
          <w:sz w:val="24"/>
          <w:szCs w:val="24"/>
          <w:lang w:val="en-US"/>
        </w:rPr>
        <w:noBreakHyphen/>
        <w:t>106%) for C</w:t>
      </w:r>
      <w:r w:rsidRPr="00F85BD8">
        <w:rPr>
          <w:iCs/>
          <w:noProof/>
          <w:sz w:val="24"/>
          <w:szCs w:val="24"/>
          <w:vertAlign w:val="subscript"/>
          <w:lang w:val="en-US"/>
        </w:rPr>
        <w:t>max,ss</w:t>
      </w:r>
      <w:r w:rsidRPr="00F85BD8">
        <w:rPr>
          <w:iCs/>
          <w:noProof/>
          <w:sz w:val="24"/>
          <w:szCs w:val="24"/>
          <w:lang w:val="en-US"/>
        </w:rPr>
        <w:t xml:space="preserve"> and AUC</w:t>
      </w:r>
      <w:r w:rsidRPr="00F85BD8">
        <w:rPr>
          <w:iCs/>
          <w:noProof/>
          <w:sz w:val="24"/>
          <w:szCs w:val="24"/>
          <w:vertAlign w:val="subscript"/>
        </w:rPr>
        <w:t>τ</w:t>
      </w:r>
      <w:r w:rsidRPr="00F85BD8">
        <w:rPr>
          <w:iCs/>
          <w:noProof/>
          <w:sz w:val="24"/>
          <w:szCs w:val="24"/>
          <w:vertAlign w:val="subscript"/>
          <w:lang w:val="en-US"/>
        </w:rPr>
        <w:t>,ss</w:t>
      </w:r>
      <w:r w:rsidRPr="00F85BD8">
        <w:rPr>
          <w:iCs/>
          <w:noProof/>
          <w:sz w:val="24"/>
          <w:szCs w:val="24"/>
          <w:lang w:val="en-US"/>
        </w:rPr>
        <w:t xml:space="preserve"> of pirfenidone, respectively (n=12 for intraindividual comparison).</w:t>
      </w:r>
    </w:p>
    <w:p w14:paraId="6D6AD408" w14:textId="77777777" w:rsidR="00D657C7" w:rsidRPr="00F85BD8" w:rsidRDefault="00D657C7" w:rsidP="00B24AEB">
      <w:pPr>
        <w:ind w:left="851"/>
        <w:rPr>
          <w:iCs/>
          <w:noProof/>
          <w:sz w:val="24"/>
          <w:szCs w:val="24"/>
          <w:lang w:val="en-US"/>
        </w:rPr>
      </w:pPr>
      <w:r w:rsidRPr="00F85BD8">
        <w:rPr>
          <w:iCs/>
          <w:noProof/>
          <w:sz w:val="24"/>
          <w:szCs w:val="24"/>
          <w:lang w:val="en-US"/>
        </w:rPr>
        <w:t>Based on these results, there is no evidence of a relevant pharmacokinetic drug-drug interaction between nintedanib and pirfenidone when administered in combination (see section 4.4).</w:t>
      </w:r>
    </w:p>
    <w:p w14:paraId="36552953" w14:textId="77777777" w:rsidR="00D657C7" w:rsidRPr="00F85BD8" w:rsidRDefault="00D657C7" w:rsidP="00B24AEB">
      <w:pPr>
        <w:ind w:left="851"/>
        <w:rPr>
          <w:iCs/>
          <w:noProof/>
          <w:sz w:val="24"/>
          <w:szCs w:val="24"/>
          <w:lang w:val="en-US"/>
        </w:rPr>
      </w:pPr>
    </w:p>
    <w:p w14:paraId="7C1F16B6" w14:textId="77777777" w:rsidR="00D657C7" w:rsidRPr="00F85BD8" w:rsidRDefault="00D657C7" w:rsidP="00B24AEB">
      <w:pPr>
        <w:ind w:left="851"/>
        <w:rPr>
          <w:i/>
          <w:iCs/>
          <w:noProof/>
          <w:sz w:val="24"/>
          <w:szCs w:val="24"/>
          <w:lang w:val="en-US"/>
        </w:rPr>
      </w:pPr>
      <w:r w:rsidRPr="00F85BD8">
        <w:rPr>
          <w:i/>
          <w:iCs/>
          <w:noProof/>
          <w:sz w:val="24"/>
          <w:szCs w:val="24"/>
          <w:lang w:val="en-US"/>
        </w:rPr>
        <w:t>Concomitant treatment with bosentan</w:t>
      </w:r>
    </w:p>
    <w:p w14:paraId="4FB741D9" w14:textId="77777777" w:rsidR="00D657C7" w:rsidRPr="00F85BD8" w:rsidRDefault="00D657C7" w:rsidP="00B24AEB">
      <w:pPr>
        <w:ind w:left="851"/>
        <w:rPr>
          <w:iCs/>
          <w:noProof/>
          <w:sz w:val="24"/>
          <w:szCs w:val="24"/>
          <w:lang w:val="en-US"/>
        </w:rPr>
      </w:pPr>
      <w:r w:rsidRPr="00F85BD8">
        <w:rPr>
          <w:iCs/>
          <w:noProof/>
          <w:sz w:val="24"/>
          <w:szCs w:val="24"/>
          <w:lang w:val="en-US"/>
        </w:rPr>
        <w:t>In a dedicated pharmacokinetic study, concomitant treatment of nintedanib with bosentan was investigated in healthy volunteers. Subjects received a single dose of 150 mg nintedanib before and after multiple dosing of 125 mg bosentan twice daily at steady state. The adjusted geometric mean ratios (90% confidence interval (CI)) were 103% (86%-124%) and 99% (91%-107%) for C</w:t>
      </w:r>
      <w:r w:rsidRPr="00F85BD8">
        <w:rPr>
          <w:iCs/>
          <w:noProof/>
          <w:sz w:val="24"/>
          <w:szCs w:val="24"/>
          <w:vertAlign w:val="subscript"/>
          <w:lang w:val="en-US"/>
        </w:rPr>
        <w:t>max</w:t>
      </w:r>
      <w:r w:rsidRPr="00F85BD8">
        <w:rPr>
          <w:iCs/>
          <w:noProof/>
          <w:sz w:val="24"/>
          <w:szCs w:val="24"/>
          <w:lang w:val="en-US"/>
        </w:rPr>
        <w:t xml:space="preserve"> and AUC</w:t>
      </w:r>
      <w:r w:rsidRPr="00F85BD8">
        <w:rPr>
          <w:iCs/>
          <w:noProof/>
          <w:sz w:val="24"/>
          <w:szCs w:val="24"/>
          <w:vertAlign w:val="subscript"/>
          <w:lang w:val="en-US"/>
        </w:rPr>
        <w:t>0-tz</w:t>
      </w:r>
      <w:r w:rsidRPr="00F85BD8">
        <w:rPr>
          <w:iCs/>
          <w:noProof/>
          <w:sz w:val="24"/>
          <w:szCs w:val="24"/>
          <w:lang w:val="en-US"/>
        </w:rPr>
        <w:t xml:space="preserve"> of nintedanib, respectively (n=13), indicating that co-administration of nintedanib with bosentan did not alter the pharmacokinetics of nintedanib.</w:t>
      </w:r>
    </w:p>
    <w:p w14:paraId="4465F3E1" w14:textId="77777777" w:rsidR="00D657C7" w:rsidRPr="00F85BD8" w:rsidRDefault="00D657C7" w:rsidP="00B24AEB">
      <w:pPr>
        <w:ind w:left="851"/>
        <w:rPr>
          <w:iCs/>
          <w:noProof/>
          <w:sz w:val="24"/>
          <w:szCs w:val="24"/>
          <w:lang w:val="en-US"/>
        </w:rPr>
      </w:pPr>
    </w:p>
    <w:p w14:paraId="1649D49C" w14:textId="77777777" w:rsidR="00D657C7" w:rsidRPr="00F85BD8" w:rsidRDefault="00D657C7" w:rsidP="00B24AEB">
      <w:pPr>
        <w:ind w:left="851"/>
        <w:rPr>
          <w:i/>
          <w:iCs/>
          <w:noProof/>
          <w:sz w:val="24"/>
          <w:szCs w:val="24"/>
          <w:lang w:val="en-US"/>
        </w:rPr>
      </w:pPr>
      <w:r w:rsidRPr="00F85BD8">
        <w:rPr>
          <w:i/>
          <w:iCs/>
          <w:noProof/>
          <w:sz w:val="24"/>
          <w:szCs w:val="24"/>
          <w:lang w:val="en-US"/>
        </w:rPr>
        <w:t>Concomitant treatment with oral hormonal contraceptives</w:t>
      </w:r>
    </w:p>
    <w:p w14:paraId="296E1E4B" w14:textId="77777777" w:rsidR="00D657C7" w:rsidRPr="00F85BD8" w:rsidRDefault="00D657C7" w:rsidP="00B24AEB">
      <w:pPr>
        <w:ind w:left="851"/>
        <w:rPr>
          <w:iCs/>
          <w:noProof/>
          <w:sz w:val="24"/>
          <w:szCs w:val="24"/>
          <w:lang w:val="en-US"/>
        </w:rPr>
      </w:pPr>
      <w:r w:rsidRPr="00F85BD8">
        <w:rPr>
          <w:iCs/>
          <w:noProof/>
          <w:sz w:val="24"/>
          <w:szCs w:val="24"/>
          <w:lang w:val="en-US"/>
        </w:rPr>
        <w:t>In a dedicated pharmacokinetic study, female patients with SSc</w:t>
      </w:r>
      <w:r w:rsidRPr="00F85BD8">
        <w:rPr>
          <w:iCs/>
          <w:noProof/>
          <w:sz w:val="24"/>
          <w:szCs w:val="24"/>
          <w:lang w:val="en-US"/>
        </w:rPr>
        <w:noBreakHyphen/>
        <w:t>ILD received a single dose of a combination of 30 micrograms ethinylestradiol and 150 micrograms levonorgestrel before and after twice daily dosing of 150 mg nintedanib for at least 10 days. The adjusted geometric mean ratios (90% confidence interval (CI)) were 117% (108%</w:t>
      </w:r>
      <w:r w:rsidRPr="00F85BD8">
        <w:rPr>
          <w:iCs/>
          <w:noProof/>
          <w:sz w:val="24"/>
          <w:szCs w:val="24"/>
          <w:lang w:val="en-US"/>
        </w:rPr>
        <w:noBreakHyphen/>
        <w:t>127%; C</w:t>
      </w:r>
      <w:r w:rsidRPr="00F85BD8">
        <w:rPr>
          <w:iCs/>
          <w:noProof/>
          <w:sz w:val="24"/>
          <w:szCs w:val="24"/>
          <w:vertAlign w:val="subscript"/>
          <w:lang w:val="en-US"/>
        </w:rPr>
        <w:t>max</w:t>
      </w:r>
      <w:r w:rsidRPr="00F85BD8">
        <w:rPr>
          <w:iCs/>
          <w:noProof/>
          <w:sz w:val="24"/>
          <w:szCs w:val="24"/>
          <w:lang w:val="en-US"/>
        </w:rPr>
        <w:t>) and 101% (93%</w:t>
      </w:r>
      <w:r w:rsidRPr="00F85BD8">
        <w:rPr>
          <w:iCs/>
          <w:noProof/>
          <w:sz w:val="24"/>
          <w:szCs w:val="24"/>
          <w:lang w:val="en-US"/>
        </w:rPr>
        <w:noBreakHyphen/>
        <w:t>111%; AUC</w:t>
      </w:r>
      <w:r w:rsidRPr="00F85BD8">
        <w:rPr>
          <w:iCs/>
          <w:noProof/>
          <w:sz w:val="24"/>
          <w:szCs w:val="24"/>
          <w:vertAlign w:val="subscript"/>
          <w:lang w:val="en-US"/>
        </w:rPr>
        <w:t>0–tz</w:t>
      </w:r>
      <w:r w:rsidRPr="00F85BD8">
        <w:rPr>
          <w:iCs/>
          <w:noProof/>
          <w:sz w:val="24"/>
          <w:szCs w:val="24"/>
          <w:lang w:val="en-US"/>
        </w:rPr>
        <w:t>) for ethinylestradiol and 101% (90%</w:t>
      </w:r>
      <w:r w:rsidRPr="00F85BD8">
        <w:rPr>
          <w:iCs/>
          <w:noProof/>
          <w:sz w:val="24"/>
          <w:szCs w:val="24"/>
          <w:lang w:val="en-US"/>
        </w:rPr>
        <w:noBreakHyphen/>
        <w:t>113%; C</w:t>
      </w:r>
      <w:r w:rsidRPr="00F85BD8">
        <w:rPr>
          <w:iCs/>
          <w:noProof/>
          <w:sz w:val="24"/>
          <w:szCs w:val="24"/>
          <w:vertAlign w:val="subscript"/>
          <w:lang w:val="en-US"/>
        </w:rPr>
        <w:t>max</w:t>
      </w:r>
      <w:r w:rsidRPr="00F85BD8">
        <w:rPr>
          <w:iCs/>
          <w:noProof/>
          <w:sz w:val="24"/>
          <w:szCs w:val="24"/>
          <w:lang w:val="en-US"/>
        </w:rPr>
        <w:t>) and 96% (91%-102%; AUC</w:t>
      </w:r>
      <w:r w:rsidRPr="00F85BD8">
        <w:rPr>
          <w:iCs/>
          <w:noProof/>
          <w:sz w:val="24"/>
          <w:szCs w:val="24"/>
          <w:vertAlign w:val="subscript"/>
          <w:lang w:val="en-US"/>
        </w:rPr>
        <w:t>0–tz</w:t>
      </w:r>
      <w:r w:rsidRPr="00F85BD8">
        <w:rPr>
          <w:iCs/>
          <w:noProof/>
          <w:sz w:val="24"/>
          <w:szCs w:val="24"/>
          <w:lang w:val="en-US"/>
        </w:rPr>
        <w:t>) for levonorgestrel, respectively (n=15), indicating that co-administration of nintedanib has no relevant effect on the plasma exposure of ethinylestradiol and levonorgestrel.</w:t>
      </w:r>
    </w:p>
    <w:p w14:paraId="008CF0E0" w14:textId="77777777" w:rsidR="00D657C7" w:rsidRPr="00F85BD8" w:rsidRDefault="00D657C7" w:rsidP="00B24AEB">
      <w:pPr>
        <w:ind w:left="851"/>
        <w:rPr>
          <w:iCs/>
          <w:noProof/>
          <w:sz w:val="24"/>
          <w:szCs w:val="24"/>
          <w:lang w:val="en-US"/>
        </w:rPr>
      </w:pPr>
    </w:p>
    <w:p w14:paraId="3A017BBF" w14:textId="77777777" w:rsidR="00D657C7" w:rsidRPr="00F85BD8" w:rsidRDefault="00D657C7" w:rsidP="00B24AEB">
      <w:pPr>
        <w:ind w:left="851"/>
        <w:rPr>
          <w:i/>
          <w:iCs/>
          <w:noProof/>
          <w:sz w:val="24"/>
          <w:szCs w:val="24"/>
          <w:lang w:val="en-US"/>
        </w:rPr>
      </w:pPr>
      <w:r w:rsidRPr="00F85BD8">
        <w:rPr>
          <w:i/>
          <w:iCs/>
          <w:noProof/>
          <w:sz w:val="24"/>
          <w:szCs w:val="24"/>
          <w:lang w:val="en-US"/>
        </w:rPr>
        <w:t>Exposure-response relationship</w:t>
      </w:r>
    </w:p>
    <w:p w14:paraId="65F514F8" w14:textId="77777777" w:rsidR="00D657C7" w:rsidRPr="00F85BD8" w:rsidRDefault="00D657C7" w:rsidP="00B24AEB">
      <w:pPr>
        <w:ind w:left="851"/>
        <w:rPr>
          <w:iCs/>
          <w:noProof/>
          <w:sz w:val="24"/>
          <w:szCs w:val="24"/>
          <w:lang w:val="en-US"/>
        </w:rPr>
      </w:pPr>
      <w:r w:rsidRPr="00F85BD8">
        <w:rPr>
          <w:iCs/>
          <w:noProof/>
          <w:sz w:val="24"/>
          <w:szCs w:val="24"/>
          <w:lang w:val="en-US"/>
        </w:rPr>
        <w:t>Exposure-response analyses of patients with IPF and other chronic fibrosing ILDs with a progressive phenotype, indicated a weak relationship between nintedanib plasma exposure and ALT and/or AST elevations. Actual administered dose might be the better predictor for the risk of developing diarrhoea of any intensity, even if plasma exposure as risk determining factor could not be ruled out (see section 4.4).</w:t>
      </w:r>
    </w:p>
    <w:p w14:paraId="59D89C0C" w14:textId="77777777" w:rsidR="007C5D2A" w:rsidRPr="00F85BD8" w:rsidRDefault="007C5D2A" w:rsidP="003E0341">
      <w:pPr>
        <w:tabs>
          <w:tab w:val="left" w:pos="851"/>
        </w:tabs>
        <w:ind w:left="851"/>
        <w:rPr>
          <w:sz w:val="24"/>
          <w:szCs w:val="24"/>
          <w:lang w:val="en-GB"/>
        </w:rPr>
      </w:pPr>
    </w:p>
    <w:p w14:paraId="65E756FE" w14:textId="77777777" w:rsidR="007C5D2A" w:rsidRPr="00F85BD8" w:rsidRDefault="00180A12" w:rsidP="007C5D2A">
      <w:pPr>
        <w:tabs>
          <w:tab w:val="left" w:pos="851"/>
        </w:tabs>
        <w:ind w:left="851" w:hanging="851"/>
        <w:rPr>
          <w:b/>
          <w:sz w:val="24"/>
          <w:szCs w:val="24"/>
          <w:lang w:val="en-GB"/>
        </w:rPr>
      </w:pPr>
      <w:r w:rsidRPr="00F85BD8">
        <w:rPr>
          <w:b/>
          <w:sz w:val="24"/>
          <w:szCs w:val="24"/>
          <w:lang w:val="en-GB"/>
        </w:rPr>
        <w:t>5.3</w:t>
      </w:r>
      <w:r w:rsidRPr="00F85BD8">
        <w:rPr>
          <w:b/>
          <w:sz w:val="24"/>
          <w:szCs w:val="24"/>
          <w:lang w:val="en-GB"/>
        </w:rPr>
        <w:tab/>
        <w:t>Preclinical safety data</w:t>
      </w:r>
    </w:p>
    <w:p w14:paraId="6DC5400D" w14:textId="77777777" w:rsidR="009929B6" w:rsidRDefault="009929B6" w:rsidP="00B24AEB">
      <w:pPr>
        <w:ind w:left="851"/>
        <w:rPr>
          <w:noProof/>
          <w:sz w:val="24"/>
          <w:szCs w:val="24"/>
          <w:lang w:val="en-US"/>
        </w:rPr>
      </w:pPr>
    </w:p>
    <w:p w14:paraId="12239913" w14:textId="6E3120D3" w:rsidR="00D657C7" w:rsidRPr="009929B6" w:rsidRDefault="00D657C7" w:rsidP="00B24AEB">
      <w:pPr>
        <w:ind w:left="851"/>
        <w:rPr>
          <w:noProof/>
          <w:sz w:val="24"/>
          <w:szCs w:val="24"/>
          <w:u w:val="single"/>
          <w:lang w:val="en-US"/>
        </w:rPr>
      </w:pPr>
      <w:r w:rsidRPr="009929B6">
        <w:rPr>
          <w:noProof/>
          <w:sz w:val="24"/>
          <w:szCs w:val="24"/>
          <w:u w:val="single"/>
          <w:lang w:val="en-US"/>
        </w:rPr>
        <w:t>General toxicology</w:t>
      </w:r>
    </w:p>
    <w:p w14:paraId="7AB42BA4" w14:textId="77777777" w:rsidR="00D657C7" w:rsidRPr="00F85BD8" w:rsidRDefault="00D657C7" w:rsidP="00B24AEB">
      <w:pPr>
        <w:ind w:left="851"/>
        <w:rPr>
          <w:noProof/>
          <w:sz w:val="24"/>
          <w:szCs w:val="24"/>
          <w:lang w:val="en-US"/>
        </w:rPr>
      </w:pPr>
      <w:r w:rsidRPr="00F85BD8">
        <w:rPr>
          <w:noProof/>
          <w:sz w:val="24"/>
          <w:szCs w:val="24"/>
          <w:lang w:val="en-US"/>
        </w:rPr>
        <w:t>Single dose toxicity studies in rats and mice indicated a low acute toxic potential of nintedanib. In repeat dose toxicology studies in young rats, irreversible changes of enamel and dentin were observed in the continuously fast-growing incisors, but not in premolars or molars. In addition, thickening of epiphyseal growth plates during bone growth phases was observed and was reversible after discontinuation. These changes are known from other VEGFR</w:t>
      </w:r>
      <w:r w:rsidRPr="00F85BD8">
        <w:rPr>
          <w:noProof/>
          <w:sz w:val="24"/>
          <w:szCs w:val="24"/>
          <w:lang w:val="en-US"/>
        </w:rPr>
        <w:noBreakHyphen/>
        <w:t>2 inhibitors and can be considered class effects.</w:t>
      </w:r>
    </w:p>
    <w:p w14:paraId="6CFB2631" w14:textId="77777777" w:rsidR="00D657C7" w:rsidRPr="00F85BD8" w:rsidRDefault="00D657C7" w:rsidP="00B24AEB">
      <w:pPr>
        <w:ind w:left="851"/>
        <w:rPr>
          <w:noProof/>
          <w:sz w:val="24"/>
          <w:szCs w:val="24"/>
          <w:lang w:val="en-US"/>
        </w:rPr>
      </w:pPr>
    </w:p>
    <w:p w14:paraId="79F50A20" w14:textId="77777777" w:rsidR="00D657C7" w:rsidRPr="00F85BD8" w:rsidRDefault="00D657C7" w:rsidP="00B24AEB">
      <w:pPr>
        <w:ind w:left="851"/>
        <w:rPr>
          <w:noProof/>
          <w:sz w:val="24"/>
          <w:szCs w:val="24"/>
          <w:lang w:val="en-US"/>
        </w:rPr>
      </w:pPr>
      <w:r w:rsidRPr="00F85BD8">
        <w:rPr>
          <w:noProof/>
          <w:sz w:val="24"/>
          <w:szCs w:val="24"/>
          <w:lang w:val="en-US"/>
        </w:rPr>
        <w:t>Diarrhoea and vomiting accompanied by reduced food consumption and loss of body weight were observed in toxicity studies in non-rodents.</w:t>
      </w:r>
    </w:p>
    <w:p w14:paraId="48927638" w14:textId="77777777" w:rsidR="00D657C7" w:rsidRPr="00F85BD8" w:rsidRDefault="00D657C7" w:rsidP="00B24AEB">
      <w:pPr>
        <w:ind w:left="851"/>
        <w:rPr>
          <w:noProof/>
          <w:sz w:val="24"/>
          <w:szCs w:val="24"/>
          <w:lang w:val="en-US"/>
        </w:rPr>
      </w:pPr>
    </w:p>
    <w:p w14:paraId="35CE2147" w14:textId="77777777" w:rsidR="00D657C7" w:rsidRPr="00F85BD8" w:rsidRDefault="00D657C7" w:rsidP="00B24AEB">
      <w:pPr>
        <w:ind w:left="851"/>
        <w:rPr>
          <w:noProof/>
          <w:sz w:val="24"/>
          <w:szCs w:val="24"/>
          <w:lang w:val="en-US"/>
        </w:rPr>
      </w:pPr>
      <w:r w:rsidRPr="00F85BD8">
        <w:rPr>
          <w:noProof/>
          <w:sz w:val="24"/>
          <w:szCs w:val="24"/>
          <w:lang w:val="en-US"/>
        </w:rPr>
        <w:t>There was no evidence of liver enzyme increases in rats, dogs, and cynomolgus monkeys. Mild liver enzyme increases, which were not due to serious adverse effects such as diarrhoea were only observed in rhesus monkeys.</w:t>
      </w:r>
    </w:p>
    <w:p w14:paraId="3FDF7FF4" w14:textId="15AB769B" w:rsidR="00A5675D" w:rsidRDefault="00A5675D">
      <w:pPr>
        <w:rPr>
          <w:noProof/>
          <w:sz w:val="24"/>
          <w:szCs w:val="24"/>
          <w:lang w:val="en-US"/>
        </w:rPr>
      </w:pPr>
      <w:r>
        <w:rPr>
          <w:noProof/>
          <w:sz w:val="24"/>
          <w:szCs w:val="24"/>
          <w:lang w:val="en-US"/>
        </w:rPr>
        <w:br w:type="page"/>
      </w:r>
    </w:p>
    <w:p w14:paraId="6DF1C2F1" w14:textId="77777777" w:rsidR="00D657C7" w:rsidRPr="00F85BD8" w:rsidRDefault="00D657C7" w:rsidP="00B24AEB">
      <w:pPr>
        <w:ind w:left="851"/>
        <w:rPr>
          <w:noProof/>
          <w:sz w:val="24"/>
          <w:szCs w:val="24"/>
          <w:lang w:val="en-US"/>
        </w:rPr>
      </w:pPr>
    </w:p>
    <w:p w14:paraId="7C3C8157" w14:textId="77777777" w:rsidR="00D657C7" w:rsidRPr="009929B6" w:rsidRDefault="00D657C7" w:rsidP="00B24AEB">
      <w:pPr>
        <w:ind w:left="851"/>
        <w:rPr>
          <w:noProof/>
          <w:sz w:val="24"/>
          <w:szCs w:val="24"/>
          <w:u w:val="single"/>
          <w:lang w:val="en-US"/>
        </w:rPr>
      </w:pPr>
      <w:r w:rsidRPr="009929B6">
        <w:rPr>
          <w:noProof/>
          <w:sz w:val="24"/>
          <w:szCs w:val="24"/>
          <w:u w:val="single"/>
          <w:lang w:val="en-US"/>
        </w:rPr>
        <w:t>Reproduction toxicity</w:t>
      </w:r>
    </w:p>
    <w:p w14:paraId="383ACE4F" w14:textId="77777777" w:rsidR="00D657C7" w:rsidRPr="00F85BD8" w:rsidRDefault="00D657C7" w:rsidP="00B24AEB">
      <w:pPr>
        <w:ind w:left="851"/>
        <w:rPr>
          <w:noProof/>
          <w:sz w:val="24"/>
          <w:szCs w:val="24"/>
          <w:lang w:val="en-US"/>
        </w:rPr>
      </w:pPr>
      <w:r w:rsidRPr="00F85BD8">
        <w:rPr>
          <w:noProof/>
          <w:sz w:val="24"/>
          <w:szCs w:val="24"/>
          <w:lang w:val="en-US"/>
        </w:rPr>
        <w:t>In rats, embryo-foetal lethality and teratogenic effects were observed at exposure levels below human exposure at the MRHD of 150 mg twice daily. Effects on the development of the axial skeleton and on the development of the great arteries were also noted at subtherapeutic exposure levels.</w:t>
      </w:r>
    </w:p>
    <w:p w14:paraId="43096F29" w14:textId="77777777" w:rsidR="00D657C7" w:rsidRPr="00F85BD8" w:rsidRDefault="00D657C7" w:rsidP="00B24AEB">
      <w:pPr>
        <w:ind w:left="851"/>
        <w:rPr>
          <w:noProof/>
          <w:sz w:val="24"/>
          <w:szCs w:val="24"/>
          <w:lang w:val="en-US"/>
        </w:rPr>
      </w:pPr>
    </w:p>
    <w:p w14:paraId="5BFA5627" w14:textId="77777777" w:rsidR="00D657C7" w:rsidRPr="00F85BD8" w:rsidRDefault="00D657C7" w:rsidP="00B24AEB">
      <w:pPr>
        <w:ind w:left="851"/>
        <w:rPr>
          <w:noProof/>
          <w:sz w:val="24"/>
          <w:szCs w:val="24"/>
          <w:lang w:val="en-US"/>
        </w:rPr>
      </w:pPr>
      <w:r w:rsidRPr="00F85BD8">
        <w:rPr>
          <w:noProof/>
          <w:sz w:val="24"/>
          <w:szCs w:val="24"/>
          <w:lang w:val="en-US"/>
        </w:rPr>
        <w:t>In rabbits, embryo-foetal lethality and teratogenic effects were observed at an exposure approximately 3 times higher than at the MRHD but equivocal effects on the embryo-foetal development of the axial skeleton and the heart were noted already at an exposure below that at the MRHD of 150 mg twice daily.</w:t>
      </w:r>
    </w:p>
    <w:p w14:paraId="2DC80357" w14:textId="77777777" w:rsidR="00D657C7" w:rsidRPr="00F85BD8" w:rsidRDefault="00D657C7" w:rsidP="00B24AEB">
      <w:pPr>
        <w:ind w:left="851"/>
        <w:rPr>
          <w:noProof/>
          <w:sz w:val="24"/>
          <w:szCs w:val="24"/>
          <w:lang w:val="en-US"/>
        </w:rPr>
      </w:pPr>
    </w:p>
    <w:p w14:paraId="6D34ED08" w14:textId="77777777" w:rsidR="00D657C7" w:rsidRPr="00F85BD8" w:rsidRDefault="00D657C7" w:rsidP="00B24AEB">
      <w:pPr>
        <w:ind w:left="851"/>
        <w:rPr>
          <w:noProof/>
          <w:sz w:val="24"/>
          <w:szCs w:val="24"/>
          <w:lang w:val="en-US"/>
        </w:rPr>
      </w:pPr>
      <w:r w:rsidRPr="00F85BD8">
        <w:rPr>
          <w:noProof/>
          <w:sz w:val="24"/>
          <w:szCs w:val="24"/>
          <w:lang w:val="en-US"/>
        </w:rPr>
        <w:t>In a pre- and postnatal development study in rats, effects on pre- and post-natal development were seen at an exposure below the MRHD.</w:t>
      </w:r>
    </w:p>
    <w:p w14:paraId="2276303D" w14:textId="77777777" w:rsidR="00D657C7" w:rsidRPr="00F85BD8" w:rsidRDefault="00D657C7" w:rsidP="00B24AEB">
      <w:pPr>
        <w:ind w:left="851"/>
        <w:rPr>
          <w:noProof/>
          <w:sz w:val="24"/>
          <w:szCs w:val="24"/>
          <w:lang w:val="en-US"/>
        </w:rPr>
      </w:pPr>
    </w:p>
    <w:p w14:paraId="2B255008" w14:textId="77777777" w:rsidR="00D657C7" w:rsidRPr="00F85BD8" w:rsidRDefault="00D657C7" w:rsidP="00B24AEB">
      <w:pPr>
        <w:ind w:left="851"/>
        <w:rPr>
          <w:noProof/>
          <w:sz w:val="24"/>
          <w:szCs w:val="24"/>
          <w:lang w:val="en-US"/>
        </w:rPr>
      </w:pPr>
      <w:r w:rsidRPr="00F85BD8">
        <w:rPr>
          <w:noProof/>
          <w:sz w:val="24"/>
          <w:szCs w:val="24"/>
          <w:lang w:val="en-US"/>
        </w:rPr>
        <w:t>A study of male fertility and early embryonic development up to implantation in rats did not reveal effects on the male reproductive tract and male fertility.</w:t>
      </w:r>
    </w:p>
    <w:p w14:paraId="517BFB67" w14:textId="77777777" w:rsidR="00D657C7" w:rsidRPr="00F85BD8" w:rsidRDefault="00D657C7" w:rsidP="00B24AEB">
      <w:pPr>
        <w:ind w:left="851"/>
        <w:rPr>
          <w:noProof/>
          <w:sz w:val="24"/>
          <w:szCs w:val="24"/>
          <w:lang w:val="en-US"/>
        </w:rPr>
      </w:pPr>
    </w:p>
    <w:p w14:paraId="1C68769C" w14:textId="77777777" w:rsidR="00D657C7" w:rsidRPr="00F85BD8" w:rsidRDefault="00D657C7" w:rsidP="00B24AEB">
      <w:pPr>
        <w:ind w:left="851"/>
        <w:rPr>
          <w:noProof/>
          <w:sz w:val="24"/>
          <w:szCs w:val="24"/>
          <w:lang w:val="en-US"/>
        </w:rPr>
      </w:pPr>
      <w:r w:rsidRPr="00F85BD8">
        <w:rPr>
          <w:noProof/>
          <w:sz w:val="24"/>
          <w:szCs w:val="24"/>
          <w:lang w:val="en-US"/>
        </w:rPr>
        <w:t>In rats, small amounts of radiolabelled nintedanib and/or its metabolites were excreted into the milk (≤0.5% of the administered dose).</w:t>
      </w:r>
    </w:p>
    <w:p w14:paraId="6E9B107E" w14:textId="77777777" w:rsidR="00D657C7" w:rsidRPr="00F85BD8" w:rsidRDefault="00D657C7" w:rsidP="00B24AEB">
      <w:pPr>
        <w:ind w:left="851"/>
        <w:rPr>
          <w:noProof/>
          <w:sz w:val="24"/>
          <w:szCs w:val="24"/>
          <w:lang w:val="en-US"/>
        </w:rPr>
      </w:pPr>
    </w:p>
    <w:p w14:paraId="4DD49919" w14:textId="77777777" w:rsidR="00D657C7" w:rsidRPr="00F85BD8" w:rsidRDefault="00D657C7" w:rsidP="00B24AEB">
      <w:pPr>
        <w:ind w:left="851"/>
        <w:rPr>
          <w:noProof/>
          <w:sz w:val="24"/>
          <w:szCs w:val="24"/>
          <w:lang w:val="en-US"/>
        </w:rPr>
      </w:pPr>
      <w:r w:rsidRPr="00F85BD8">
        <w:rPr>
          <w:noProof/>
          <w:sz w:val="24"/>
          <w:szCs w:val="24"/>
          <w:lang w:val="en-US"/>
        </w:rPr>
        <w:t>From the 2</w:t>
      </w:r>
      <w:r w:rsidRPr="00F85BD8">
        <w:rPr>
          <w:noProof/>
          <w:sz w:val="24"/>
          <w:szCs w:val="24"/>
          <w:lang w:val="en-US"/>
        </w:rPr>
        <w:noBreakHyphen/>
        <w:t>year carcinogenicity studies in mice and rats, there was no evidence for a carcinogenic potential of nintedanib.</w:t>
      </w:r>
    </w:p>
    <w:p w14:paraId="70024080" w14:textId="77777777" w:rsidR="00D657C7" w:rsidRPr="00F85BD8" w:rsidRDefault="00D657C7" w:rsidP="00B24AEB">
      <w:pPr>
        <w:ind w:left="851"/>
        <w:rPr>
          <w:noProof/>
          <w:sz w:val="24"/>
          <w:szCs w:val="24"/>
          <w:lang w:val="en-US"/>
        </w:rPr>
      </w:pPr>
    </w:p>
    <w:p w14:paraId="21716856" w14:textId="77777777" w:rsidR="00D657C7" w:rsidRPr="00F85BD8" w:rsidRDefault="00D657C7" w:rsidP="00B24AEB">
      <w:pPr>
        <w:ind w:left="851"/>
        <w:rPr>
          <w:noProof/>
          <w:sz w:val="24"/>
          <w:szCs w:val="24"/>
          <w:lang w:val="en-US"/>
        </w:rPr>
      </w:pPr>
      <w:r w:rsidRPr="00F85BD8">
        <w:rPr>
          <w:noProof/>
          <w:sz w:val="24"/>
          <w:szCs w:val="24"/>
          <w:lang w:val="en-US"/>
        </w:rPr>
        <w:t>Genotoxicity studies indicated no mutagenic potential for nintedanib.</w:t>
      </w:r>
    </w:p>
    <w:p w14:paraId="04CB36EC" w14:textId="77777777" w:rsidR="007C5D2A" w:rsidRPr="00F85BD8" w:rsidRDefault="007C5D2A" w:rsidP="00B24AEB">
      <w:pPr>
        <w:ind w:left="851"/>
        <w:rPr>
          <w:sz w:val="24"/>
          <w:szCs w:val="24"/>
          <w:lang w:val="en-GB"/>
        </w:rPr>
      </w:pPr>
    </w:p>
    <w:p w14:paraId="0306BBA7" w14:textId="77777777" w:rsidR="007C5D2A" w:rsidRPr="00F85BD8" w:rsidRDefault="007C5D2A" w:rsidP="00B24AEB">
      <w:pPr>
        <w:ind w:left="851"/>
        <w:rPr>
          <w:sz w:val="24"/>
          <w:szCs w:val="24"/>
          <w:lang w:val="en-GB"/>
        </w:rPr>
      </w:pPr>
    </w:p>
    <w:p w14:paraId="3459A6D2" w14:textId="77777777" w:rsidR="007C5D2A" w:rsidRPr="00F85BD8" w:rsidRDefault="009925C9" w:rsidP="007C5D2A">
      <w:pPr>
        <w:ind w:left="851" w:hanging="851"/>
        <w:rPr>
          <w:b/>
          <w:sz w:val="24"/>
          <w:szCs w:val="24"/>
          <w:lang w:val="en-GB"/>
        </w:rPr>
      </w:pPr>
      <w:r w:rsidRPr="00F85BD8">
        <w:rPr>
          <w:b/>
          <w:sz w:val="24"/>
          <w:szCs w:val="24"/>
          <w:lang w:val="en-GB"/>
        </w:rPr>
        <w:t>6.</w:t>
      </w:r>
      <w:r w:rsidR="007C5D2A" w:rsidRPr="00F85BD8">
        <w:rPr>
          <w:b/>
          <w:sz w:val="24"/>
          <w:szCs w:val="24"/>
          <w:lang w:val="en-GB"/>
        </w:rPr>
        <w:tab/>
        <w:t>PHARMACEUTICAL PARTICULARS</w:t>
      </w:r>
    </w:p>
    <w:p w14:paraId="6E61A61F" w14:textId="77777777" w:rsidR="007C5D2A" w:rsidRPr="00F85BD8" w:rsidRDefault="007C5D2A" w:rsidP="003E0341">
      <w:pPr>
        <w:tabs>
          <w:tab w:val="left" w:pos="851"/>
        </w:tabs>
        <w:ind w:left="851"/>
        <w:rPr>
          <w:sz w:val="24"/>
          <w:szCs w:val="24"/>
          <w:lang w:val="en-GB"/>
        </w:rPr>
      </w:pPr>
    </w:p>
    <w:p w14:paraId="332EF051" w14:textId="77777777" w:rsidR="007C5D2A" w:rsidRPr="00F85BD8" w:rsidRDefault="007C5D2A" w:rsidP="007C5D2A">
      <w:pPr>
        <w:ind w:left="851" w:hanging="851"/>
        <w:rPr>
          <w:b/>
          <w:sz w:val="24"/>
          <w:szCs w:val="24"/>
          <w:lang w:val="en-GB"/>
        </w:rPr>
      </w:pPr>
      <w:r w:rsidRPr="00F85BD8">
        <w:rPr>
          <w:b/>
          <w:sz w:val="24"/>
          <w:szCs w:val="24"/>
          <w:lang w:val="en-GB"/>
        </w:rPr>
        <w:t>6.1</w:t>
      </w:r>
      <w:r w:rsidRPr="00F85BD8">
        <w:rPr>
          <w:b/>
          <w:sz w:val="24"/>
          <w:szCs w:val="24"/>
          <w:lang w:val="en-GB"/>
        </w:rPr>
        <w:tab/>
        <w:t>List of excipients</w:t>
      </w:r>
    </w:p>
    <w:p w14:paraId="35E91405" w14:textId="77777777" w:rsidR="009929B6" w:rsidRDefault="009929B6" w:rsidP="00B24AEB">
      <w:pPr>
        <w:ind w:left="851"/>
        <w:rPr>
          <w:noProof/>
          <w:sz w:val="24"/>
          <w:szCs w:val="24"/>
          <w:lang w:val="en-US"/>
        </w:rPr>
      </w:pPr>
    </w:p>
    <w:p w14:paraId="43089538" w14:textId="4337273C" w:rsidR="00D657C7" w:rsidRPr="009929B6" w:rsidRDefault="00D657C7" w:rsidP="00B24AEB">
      <w:pPr>
        <w:ind w:left="851"/>
        <w:rPr>
          <w:noProof/>
          <w:sz w:val="24"/>
          <w:szCs w:val="24"/>
          <w:u w:val="single"/>
          <w:lang w:val="en-US"/>
        </w:rPr>
      </w:pPr>
      <w:r w:rsidRPr="009929B6">
        <w:rPr>
          <w:noProof/>
          <w:sz w:val="24"/>
          <w:szCs w:val="24"/>
          <w:u w:val="single"/>
          <w:lang w:val="en-US"/>
        </w:rPr>
        <w:t>Capsule content</w:t>
      </w:r>
    </w:p>
    <w:p w14:paraId="3B514CD3" w14:textId="77777777" w:rsidR="00D657C7" w:rsidRPr="00F85BD8" w:rsidRDefault="00D657C7" w:rsidP="00B24AEB">
      <w:pPr>
        <w:ind w:left="851"/>
        <w:rPr>
          <w:noProof/>
          <w:sz w:val="24"/>
          <w:szCs w:val="24"/>
          <w:lang w:val="en-US"/>
        </w:rPr>
      </w:pPr>
      <w:r w:rsidRPr="00F85BD8">
        <w:rPr>
          <w:noProof/>
          <w:sz w:val="24"/>
          <w:szCs w:val="24"/>
          <w:lang w:val="en-US"/>
        </w:rPr>
        <w:t>Triglycerides, medium-chain</w:t>
      </w:r>
    </w:p>
    <w:p w14:paraId="38FD1F6F" w14:textId="77777777" w:rsidR="00D657C7" w:rsidRPr="00F85BD8" w:rsidRDefault="00D657C7" w:rsidP="00B24AEB">
      <w:pPr>
        <w:ind w:left="851"/>
        <w:rPr>
          <w:noProof/>
          <w:sz w:val="24"/>
          <w:szCs w:val="24"/>
          <w:lang w:val="en-US"/>
        </w:rPr>
      </w:pPr>
      <w:r w:rsidRPr="00F85BD8">
        <w:rPr>
          <w:noProof/>
          <w:sz w:val="24"/>
          <w:szCs w:val="24"/>
          <w:lang w:val="en-US"/>
        </w:rPr>
        <w:t>Hard fat</w:t>
      </w:r>
    </w:p>
    <w:p w14:paraId="61ABA490" w14:textId="77777777" w:rsidR="00D657C7" w:rsidRPr="00F85BD8" w:rsidRDefault="00D657C7" w:rsidP="00B24AEB">
      <w:pPr>
        <w:ind w:left="851"/>
        <w:rPr>
          <w:noProof/>
          <w:sz w:val="24"/>
          <w:szCs w:val="24"/>
          <w:lang w:val="en-US"/>
        </w:rPr>
      </w:pPr>
      <w:r w:rsidRPr="00F85BD8">
        <w:rPr>
          <w:noProof/>
          <w:sz w:val="24"/>
          <w:szCs w:val="24"/>
          <w:lang w:val="en-US"/>
        </w:rPr>
        <w:t>Polyglyceryl-3 dioleate</w:t>
      </w:r>
    </w:p>
    <w:p w14:paraId="10D50DD8" w14:textId="77777777" w:rsidR="00D657C7" w:rsidRPr="00F85BD8" w:rsidRDefault="00D657C7" w:rsidP="00B24AEB">
      <w:pPr>
        <w:ind w:left="851"/>
        <w:rPr>
          <w:noProof/>
          <w:sz w:val="24"/>
          <w:szCs w:val="24"/>
          <w:lang w:val="en-US"/>
        </w:rPr>
      </w:pPr>
    </w:p>
    <w:p w14:paraId="5880CFAA" w14:textId="77777777" w:rsidR="00D657C7" w:rsidRPr="009929B6" w:rsidRDefault="00D657C7" w:rsidP="00B24AEB">
      <w:pPr>
        <w:ind w:left="851"/>
        <w:rPr>
          <w:noProof/>
          <w:sz w:val="24"/>
          <w:szCs w:val="24"/>
          <w:u w:val="single"/>
          <w:lang w:val="en-US"/>
        </w:rPr>
      </w:pPr>
      <w:r w:rsidRPr="009929B6">
        <w:rPr>
          <w:noProof/>
          <w:sz w:val="24"/>
          <w:szCs w:val="24"/>
          <w:u w:val="single"/>
          <w:lang w:val="en-US"/>
        </w:rPr>
        <w:t>Capsule shell</w:t>
      </w:r>
    </w:p>
    <w:p w14:paraId="60AB8F70" w14:textId="77777777" w:rsidR="00D657C7" w:rsidRPr="00F85BD8" w:rsidRDefault="00D657C7" w:rsidP="00B24AEB">
      <w:pPr>
        <w:ind w:left="851"/>
        <w:rPr>
          <w:noProof/>
          <w:sz w:val="24"/>
          <w:szCs w:val="24"/>
          <w:lang w:val="en-US"/>
        </w:rPr>
      </w:pPr>
      <w:r w:rsidRPr="00F85BD8">
        <w:rPr>
          <w:noProof/>
          <w:sz w:val="24"/>
          <w:szCs w:val="24"/>
          <w:lang w:val="en-US"/>
        </w:rPr>
        <w:t>Gelatin</w:t>
      </w:r>
    </w:p>
    <w:p w14:paraId="30AA9DFF" w14:textId="77777777" w:rsidR="00D657C7" w:rsidRPr="00F85BD8" w:rsidRDefault="00D657C7" w:rsidP="00B24AEB">
      <w:pPr>
        <w:ind w:left="851"/>
        <w:rPr>
          <w:noProof/>
          <w:sz w:val="24"/>
          <w:szCs w:val="24"/>
          <w:lang w:val="en-US"/>
        </w:rPr>
      </w:pPr>
      <w:r w:rsidRPr="00F85BD8">
        <w:rPr>
          <w:noProof/>
          <w:sz w:val="24"/>
          <w:szCs w:val="24"/>
          <w:lang w:val="en-US"/>
        </w:rPr>
        <w:t>Glycerol</w:t>
      </w:r>
    </w:p>
    <w:p w14:paraId="1C7BFF1A" w14:textId="77777777" w:rsidR="00D657C7" w:rsidRPr="00F85BD8" w:rsidRDefault="00D657C7" w:rsidP="00B24AEB">
      <w:pPr>
        <w:ind w:left="851"/>
        <w:rPr>
          <w:noProof/>
          <w:sz w:val="24"/>
          <w:szCs w:val="24"/>
          <w:lang w:val="en-US"/>
        </w:rPr>
      </w:pPr>
      <w:r w:rsidRPr="00F85BD8">
        <w:rPr>
          <w:noProof/>
          <w:sz w:val="24"/>
          <w:szCs w:val="24"/>
          <w:lang w:val="en-US"/>
        </w:rPr>
        <w:t>Titanium dioxide (E 171)</w:t>
      </w:r>
    </w:p>
    <w:p w14:paraId="5BF65C83" w14:textId="77777777" w:rsidR="00D657C7" w:rsidRPr="00F85BD8" w:rsidRDefault="00D657C7" w:rsidP="00B24AEB">
      <w:pPr>
        <w:ind w:left="851"/>
        <w:rPr>
          <w:noProof/>
          <w:sz w:val="24"/>
          <w:szCs w:val="24"/>
          <w:lang w:val="es-ES"/>
        </w:rPr>
      </w:pPr>
      <w:r w:rsidRPr="00F85BD8">
        <w:rPr>
          <w:noProof/>
          <w:sz w:val="24"/>
          <w:szCs w:val="24"/>
          <w:lang w:val="es-ES"/>
        </w:rPr>
        <w:t>Iron oxide red (E 172)</w:t>
      </w:r>
    </w:p>
    <w:p w14:paraId="15480627" w14:textId="77777777" w:rsidR="00D657C7" w:rsidRPr="00F85BD8" w:rsidRDefault="00D657C7" w:rsidP="00B24AEB">
      <w:pPr>
        <w:ind w:left="851"/>
        <w:rPr>
          <w:noProof/>
          <w:sz w:val="24"/>
          <w:szCs w:val="24"/>
          <w:lang w:val="es-ES"/>
        </w:rPr>
      </w:pPr>
      <w:r w:rsidRPr="00F85BD8">
        <w:rPr>
          <w:noProof/>
          <w:sz w:val="24"/>
          <w:szCs w:val="24"/>
          <w:lang w:val="es-ES"/>
        </w:rPr>
        <w:t>Iron oxide yellow (E 172)</w:t>
      </w:r>
    </w:p>
    <w:p w14:paraId="0720C39D" w14:textId="77777777" w:rsidR="00D657C7" w:rsidRPr="00F85BD8" w:rsidRDefault="00D657C7" w:rsidP="00B24AEB">
      <w:pPr>
        <w:ind w:left="851"/>
        <w:rPr>
          <w:noProof/>
          <w:sz w:val="24"/>
          <w:szCs w:val="24"/>
          <w:lang w:val="es-ES"/>
        </w:rPr>
      </w:pPr>
      <w:r w:rsidRPr="00F85BD8">
        <w:rPr>
          <w:noProof/>
          <w:sz w:val="24"/>
          <w:szCs w:val="24"/>
          <w:lang w:val="es-ES"/>
        </w:rPr>
        <w:t>Water, purified</w:t>
      </w:r>
    </w:p>
    <w:p w14:paraId="0EFD0F6B" w14:textId="77777777" w:rsidR="00D657C7" w:rsidRPr="00F85BD8" w:rsidRDefault="00D657C7" w:rsidP="00B24AEB">
      <w:pPr>
        <w:ind w:left="851"/>
        <w:rPr>
          <w:noProof/>
          <w:sz w:val="24"/>
          <w:szCs w:val="24"/>
          <w:lang w:val="es-ES"/>
        </w:rPr>
      </w:pPr>
    </w:p>
    <w:p w14:paraId="1D4523E3" w14:textId="77777777" w:rsidR="00D657C7" w:rsidRPr="009929B6" w:rsidRDefault="00D657C7" w:rsidP="00B24AEB">
      <w:pPr>
        <w:ind w:left="851"/>
        <w:rPr>
          <w:noProof/>
          <w:sz w:val="24"/>
          <w:szCs w:val="24"/>
          <w:u w:val="single"/>
          <w:lang w:val="en-GB"/>
        </w:rPr>
      </w:pPr>
      <w:r w:rsidRPr="009929B6">
        <w:rPr>
          <w:noProof/>
          <w:sz w:val="24"/>
          <w:szCs w:val="24"/>
          <w:u w:val="single"/>
          <w:lang w:val="en-US"/>
        </w:rPr>
        <w:t>Printing ink</w:t>
      </w:r>
    </w:p>
    <w:p w14:paraId="007E6ECC" w14:textId="77777777" w:rsidR="00D657C7" w:rsidRPr="00F85BD8" w:rsidRDefault="00D657C7" w:rsidP="00B24AEB">
      <w:pPr>
        <w:ind w:left="851"/>
        <w:rPr>
          <w:noProof/>
          <w:sz w:val="24"/>
          <w:szCs w:val="24"/>
          <w:lang w:val="en-US"/>
        </w:rPr>
      </w:pPr>
      <w:r w:rsidRPr="00F85BD8">
        <w:rPr>
          <w:noProof/>
          <w:sz w:val="24"/>
          <w:szCs w:val="24"/>
          <w:lang w:val="en-US"/>
        </w:rPr>
        <w:t xml:space="preserve">Shellac </w:t>
      </w:r>
    </w:p>
    <w:p w14:paraId="0D6D257C" w14:textId="77777777" w:rsidR="00D657C7" w:rsidRPr="00F85BD8" w:rsidRDefault="00D657C7" w:rsidP="00B24AEB">
      <w:pPr>
        <w:ind w:left="851"/>
        <w:rPr>
          <w:noProof/>
          <w:sz w:val="24"/>
          <w:szCs w:val="24"/>
          <w:lang w:val="en-US"/>
        </w:rPr>
      </w:pPr>
      <w:r w:rsidRPr="00F85BD8">
        <w:rPr>
          <w:noProof/>
          <w:sz w:val="24"/>
          <w:szCs w:val="24"/>
          <w:lang w:val="en-US"/>
        </w:rPr>
        <w:t>Carmine (E 120)</w:t>
      </w:r>
    </w:p>
    <w:p w14:paraId="2F43C151" w14:textId="77777777" w:rsidR="00D657C7" w:rsidRPr="00F85BD8" w:rsidRDefault="00D657C7" w:rsidP="00B24AEB">
      <w:pPr>
        <w:ind w:left="851"/>
        <w:rPr>
          <w:noProof/>
          <w:sz w:val="24"/>
          <w:szCs w:val="24"/>
          <w:lang w:val="en-US"/>
        </w:rPr>
      </w:pPr>
      <w:r w:rsidRPr="00F85BD8">
        <w:rPr>
          <w:noProof/>
          <w:sz w:val="24"/>
          <w:szCs w:val="24"/>
          <w:lang w:val="en-US"/>
        </w:rPr>
        <w:t>Propylene glycol (E 1520)</w:t>
      </w:r>
    </w:p>
    <w:p w14:paraId="555C1967" w14:textId="77777777" w:rsidR="00D657C7" w:rsidRPr="00F85BD8" w:rsidRDefault="00D657C7" w:rsidP="00B24AEB">
      <w:pPr>
        <w:ind w:left="851"/>
        <w:rPr>
          <w:noProof/>
          <w:sz w:val="24"/>
          <w:szCs w:val="24"/>
          <w:lang w:val="en-GB"/>
        </w:rPr>
      </w:pPr>
      <w:r w:rsidRPr="00F85BD8">
        <w:rPr>
          <w:noProof/>
          <w:sz w:val="24"/>
          <w:szCs w:val="24"/>
          <w:lang w:val="en-US"/>
        </w:rPr>
        <w:t>Simeticone</w:t>
      </w:r>
    </w:p>
    <w:p w14:paraId="10AF10C6" w14:textId="6ED07EF3" w:rsidR="00A5675D" w:rsidRDefault="00A5675D">
      <w:pPr>
        <w:rPr>
          <w:sz w:val="24"/>
          <w:szCs w:val="24"/>
          <w:lang w:val="en-GB"/>
        </w:rPr>
      </w:pPr>
      <w:r>
        <w:rPr>
          <w:sz w:val="24"/>
          <w:szCs w:val="24"/>
          <w:lang w:val="en-GB"/>
        </w:rPr>
        <w:br w:type="page"/>
      </w:r>
    </w:p>
    <w:p w14:paraId="4FA32397" w14:textId="77777777" w:rsidR="007C5D2A" w:rsidRPr="00F85BD8" w:rsidRDefault="007C5D2A" w:rsidP="003D727E">
      <w:pPr>
        <w:tabs>
          <w:tab w:val="left" w:pos="851"/>
        </w:tabs>
        <w:ind w:left="851"/>
        <w:rPr>
          <w:sz w:val="24"/>
          <w:szCs w:val="24"/>
          <w:lang w:val="en-GB"/>
        </w:rPr>
      </w:pPr>
    </w:p>
    <w:p w14:paraId="2723364D" w14:textId="77777777" w:rsidR="007C5D2A" w:rsidRPr="00F85BD8" w:rsidRDefault="007C5D2A" w:rsidP="007C5D2A">
      <w:pPr>
        <w:ind w:left="851" w:hanging="851"/>
        <w:rPr>
          <w:b/>
          <w:sz w:val="24"/>
          <w:szCs w:val="24"/>
          <w:lang w:val="en-GB"/>
        </w:rPr>
      </w:pPr>
      <w:r w:rsidRPr="00F85BD8">
        <w:rPr>
          <w:b/>
          <w:sz w:val="24"/>
          <w:szCs w:val="24"/>
          <w:lang w:val="en-GB"/>
        </w:rPr>
        <w:t>6.2</w:t>
      </w:r>
      <w:r w:rsidRPr="00F85BD8">
        <w:rPr>
          <w:b/>
          <w:sz w:val="24"/>
          <w:szCs w:val="24"/>
          <w:lang w:val="en-GB"/>
        </w:rPr>
        <w:tab/>
        <w:t>Incompatibilities</w:t>
      </w:r>
    </w:p>
    <w:p w14:paraId="51982DD2" w14:textId="77777777" w:rsidR="00D657C7" w:rsidRPr="00F85BD8" w:rsidRDefault="00D657C7" w:rsidP="00B24AEB">
      <w:pPr>
        <w:ind w:left="851"/>
        <w:rPr>
          <w:noProof/>
          <w:sz w:val="24"/>
          <w:szCs w:val="24"/>
          <w:lang w:val="en-US"/>
        </w:rPr>
      </w:pPr>
      <w:r w:rsidRPr="00F85BD8">
        <w:rPr>
          <w:noProof/>
          <w:sz w:val="24"/>
          <w:szCs w:val="24"/>
          <w:lang w:val="en-US"/>
        </w:rPr>
        <w:t>Not applicable.</w:t>
      </w:r>
    </w:p>
    <w:p w14:paraId="125A9B79" w14:textId="77777777" w:rsidR="007C5D2A" w:rsidRPr="00F85BD8" w:rsidRDefault="007C5D2A" w:rsidP="003E0341">
      <w:pPr>
        <w:tabs>
          <w:tab w:val="left" w:pos="851"/>
        </w:tabs>
        <w:ind w:left="851"/>
        <w:rPr>
          <w:sz w:val="24"/>
          <w:szCs w:val="24"/>
          <w:lang w:val="en-GB"/>
        </w:rPr>
      </w:pPr>
    </w:p>
    <w:p w14:paraId="390B3B49" w14:textId="77777777" w:rsidR="007C5D2A" w:rsidRPr="00F85BD8" w:rsidRDefault="007C5D2A" w:rsidP="007C5D2A">
      <w:pPr>
        <w:ind w:left="851" w:hanging="851"/>
        <w:rPr>
          <w:b/>
          <w:sz w:val="24"/>
          <w:szCs w:val="24"/>
          <w:lang w:val="en-GB"/>
        </w:rPr>
      </w:pPr>
      <w:r w:rsidRPr="00F85BD8">
        <w:rPr>
          <w:b/>
          <w:sz w:val="24"/>
          <w:szCs w:val="24"/>
          <w:lang w:val="en-GB"/>
        </w:rPr>
        <w:t>6.3</w:t>
      </w:r>
      <w:r w:rsidRPr="00F85BD8">
        <w:rPr>
          <w:b/>
          <w:sz w:val="24"/>
          <w:szCs w:val="24"/>
          <w:lang w:val="en-GB"/>
        </w:rPr>
        <w:tab/>
        <w:t>Shelf</w:t>
      </w:r>
      <w:r w:rsidR="00B45DC5" w:rsidRPr="00F85BD8">
        <w:rPr>
          <w:b/>
          <w:sz w:val="24"/>
          <w:szCs w:val="24"/>
          <w:lang w:val="en-GB"/>
        </w:rPr>
        <w:t xml:space="preserve"> </w:t>
      </w:r>
      <w:r w:rsidRPr="00F85BD8">
        <w:rPr>
          <w:b/>
          <w:sz w:val="24"/>
          <w:szCs w:val="24"/>
          <w:lang w:val="en-GB"/>
        </w:rPr>
        <w:t>life</w:t>
      </w:r>
    </w:p>
    <w:p w14:paraId="03CC661B" w14:textId="77777777" w:rsidR="00D657C7" w:rsidRPr="00F85BD8" w:rsidRDefault="00D657C7" w:rsidP="00B24AEB">
      <w:pPr>
        <w:ind w:left="851"/>
        <w:rPr>
          <w:noProof/>
          <w:sz w:val="24"/>
          <w:szCs w:val="24"/>
          <w:lang w:val="en-US"/>
        </w:rPr>
      </w:pPr>
      <w:r w:rsidRPr="00F85BD8">
        <w:rPr>
          <w:noProof/>
          <w:sz w:val="24"/>
          <w:szCs w:val="24"/>
          <w:lang w:val="en-US"/>
        </w:rPr>
        <w:t>3 years</w:t>
      </w:r>
    </w:p>
    <w:p w14:paraId="152F43AE" w14:textId="77777777" w:rsidR="007C5D2A" w:rsidRPr="00F85BD8" w:rsidRDefault="007C5D2A" w:rsidP="003E0341">
      <w:pPr>
        <w:tabs>
          <w:tab w:val="left" w:pos="851"/>
        </w:tabs>
        <w:ind w:left="851"/>
        <w:rPr>
          <w:sz w:val="24"/>
          <w:szCs w:val="24"/>
          <w:lang w:val="en-GB"/>
        </w:rPr>
      </w:pPr>
    </w:p>
    <w:p w14:paraId="514437C3" w14:textId="77777777" w:rsidR="007C5D2A" w:rsidRPr="00F85BD8" w:rsidRDefault="007C5D2A" w:rsidP="007C5D2A">
      <w:pPr>
        <w:ind w:left="851" w:hanging="851"/>
        <w:rPr>
          <w:b/>
          <w:sz w:val="24"/>
          <w:szCs w:val="24"/>
          <w:lang w:val="en-GB"/>
        </w:rPr>
      </w:pPr>
      <w:r w:rsidRPr="00F85BD8">
        <w:rPr>
          <w:b/>
          <w:sz w:val="24"/>
          <w:szCs w:val="24"/>
          <w:lang w:val="en-GB"/>
        </w:rPr>
        <w:t>6.4</w:t>
      </w:r>
      <w:r w:rsidRPr="00F85BD8">
        <w:rPr>
          <w:b/>
          <w:sz w:val="24"/>
          <w:szCs w:val="24"/>
          <w:lang w:val="en-GB"/>
        </w:rPr>
        <w:tab/>
        <w:t>Special precautions for storage</w:t>
      </w:r>
    </w:p>
    <w:p w14:paraId="6EF8C7A5" w14:textId="77777777" w:rsidR="00D657C7" w:rsidRPr="00F85BD8" w:rsidRDefault="00D657C7" w:rsidP="00B24AEB">
      <w:pPr>
        <w:ind w:left="851"/>
        <w:rPr>
          <w:noProof/>
          <w:sz w:val="24"/>
          <w:szCs w:val="24"/>
          <w:lang w:val="en-US"/>
        </w:rPr>
      </w:pPr>
      <w:r w:rsidRPr="00F85BD8">
        <w:rPr>
          <w:noProof/>
          <w:sz w:val="24"/>
          <w:szCs w:val="24"/>
          <w:lang w:val="en-US"/>
        </w:rPr>
        <w:t>This medicinal product does not require any special storage conditions.</w:t>
      </w:r>
    </w:p>
    <w:p w14:paraId="6C42BE02" w14:textId="77777777" w:rsidR="007C5D2A" w:rsidRPr="00F85BD8" w:rsidRDefault="007C5D2A" w:rsidP="003E0341">
      <w:pPr>
        <w:tabs>
          <w:tab w:val="left" w:pos="851"/>
        </w:tabs>
        <w:ind w:left="851"/>
        <w:rPr>
          <w:sz w:val="24"/>
          <w:szCs w:val="24"/>
          <w:lang w:val="en-GB"/>
        </w:rPr>
      </w:pPr>
    </w:p>
    <w:p w14:paraId="57805699" w14:textId="77777777" w:rsidR="007C5D2A" w:rsidRPr="00F85BD8" w:rsidRDefault="007C5D2A" w:rsidP="007C5D2A">
      <w:pPr>
        <w:ind w:left="851" w:hanging="851"/>
        <w:rPr>
          <w:b/>
          <w:sz w:val="24"/>
          <w:szCs w:val="24"/>
          <w:lang w:val="en-GB"/>
        </w:rPr>
      </w:pPr>
      <w:r w:rsidRPr="00F85BD8">
        <w:rPr>
          <w:b/>
          <w:sz w:val="24"/>
          <w:szCs w:val="24"/>
          <w:lang w:val="en-GB"/>
        </w:rPr>
        <w:t>6.5</w:t>
      </w:r>
      <w:r w:rsidRPr="00F85BD8">
        <w:rPr>
          <w:b/>
          <w:sz w:val="24"/>
          <w:szCs w:val="24"/>
          <w:lang w:val="en-GB"/>
        </w:rPr>
        <w:tab/>
        <w:t>Nature and contents of container</w:t>
      </w:r>
    </w:p>
    <w:p w14:paraId="15EA8D52" w14:textId="77777777" w:rsidR="00D657C7" w:rsidRPr="009929B6" w:rsidRDefault="00D657C7" w:rsidP="009929B6">
      <w:pPr>
        <w:rPr>
          <w:noProof/>
          <w:lang w:val="en-US"/>
        </w:rPr>
      </w:pPr>
    </w:p>
    <w:p w14:paraId="623C4805" w14:textId="10FBAF95" w:rsidR="00D657C7" w:rsidRPr="00AE5920" w:rsidRDefault="00530769" w:rsidP="00530769">
      <w:pPr>
        <w:ind w:left="851"/>
        <w:rPr>
          <w:noProof/>
          <w:sz w:val="24"/>
          <w:szCs w:val="24"/>
          <w:u w:val="single"/>
          <w:lang w:val="en-US"/>
        </w:rPr>
      </w:pPr>
      <w:r w:rsidRPr="00AE5920">
        <w:rPr>
          <w:noProof/>
          <w:sz w:val="24"/>
          <w:szCs w:val="24"/>
          <w:u w:val="single"/>
          <w:lang w:val="en-US"/>
        </w:rPr>
        <w:t>Nintedanib "Stada"</w:t>
      </w:r>
      <w:r w:rsidR="00D657C7" w:rsidRPr="00AE5920">
        <w:rPr>
          <w:noProof/>
          <w:sz w:val="24"/>
          <w:szCs w:val="24"/>
          <w:u w:val="single"/>
          <w:lang w:val="en-US"/>
        </w:rPr>
        <w:t xml:space="preserve"> 100 mg soft capsules</w:t>
      </w:r>
    </w:p>
    <w:p w14:paraId="5317645A" w14:textId="0D582EF5" w:rsidR="00D657C7" w:rsidRPr="00F85BD8" w:rsidRDefault="00D657C7" w:rsidP="00530769">
      <w:pPr>
        <w:ind w:left="851"/>
        <w:rPr>
          <w:noProof/>
          <w:sz w:val="24"/>
          <w:szCs w:val="24"/>
          <w:lang w:val="en-US"/>
        </w:rPr>
      </w:pPr>
      <w:r w:rsidRPr="00F85BD8">
        <w:rPr>
          <w:noProof/>
          <w:sz w:val="24"/>
          <w:szCs w:val="24"/>
          <w:lang w:val="en-US"/>
        </w:rPr>
        <w:t>30 </w:t>
      </w:r>
      <w:r w:rsidR="00AE5920">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4371AAFC" w14:textId="36E72D08" w:rsidR="00D657C7" w:rsidRPr="00F85BD8" w:rsidRDefault="00D657C7" w:rsidP="00530769">
      <w:pPr>
        <w:ind w:left="851"/>
        <w:rPr>
          <w:noProof/>
          <w:sz w:val="24"/>
          <w:szCs w:val="24"/>
          <w:lang w:val="en-US"/>
        </w:rPr>
      </w:pPr>
      <w:r w:rsidRPr="00F85BD8">
        <w:rPr>
          <w:noProof/>
          <w:sz w:val="24"/>
          <w:szCs w:val="24"/>
          <w:lang w:val="en-US"/>
        </w:rPr>
        <w:t>60 </w:t>
      </w:r>
      <w:r w:rsidR="00AE5920">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7AB95AAA" w14:textId="77777777" w:rsidR="00D657C7" w:rsidRPr="00F85BD8" w:rsidRDefault="00D657C7" w:rsidP="00530769">
      <w:pPr>
        <w:ind w:left="851"/>
        <w:rPr>
          <w:noProof/>
          <w:sz w:val="24"/>
          <w:szCs w:val="24"/>
          <w:lang w:val="en-US"/>
        </w:rPr>
      </w:pPr>
    </w:p>
    <w:p w14:paraId="432916E0" w14:textId="63B95B52" w:rsidR="00D657C7" w:rsidRPr="00AE5920" w:rsidRDefault="00530769" w:rsidP="00530769">
      <w:pPr>
        <w:ind w:left="851"/>
        <w:rPr>
          <w:noProof/>
          <w:sz w:val="24"/>
          <w:szCs w:val="24"/>
          <w:u w:val="single"/>
          <w:lang w:val="en-US"/>
        </w:rPr>
      </w:pPr>
      <w:r w:rsidRPr="00AE5920">
        <w:rPr>
          <w:noProof/>
          <w:sz w:val="24"/>
          <w:szCs w:val="24"/>
          <w:u w:val="single"/>
          <w:lang w:val="en-US"/>
        </w:rPr>
        <w:t>Nintedanib "Stada"</w:t>
      </w:r>
      <w:r w:rsidR="00D657C7" w:rsidRPr="00AE5920">
        <w:rPr>
          <w:noProof/>
          <w:sz w:val="24"/>
          <w:szCs w:val="24"/>
          <w:u w:val="single"/>
          <w:lang w:val="en-US"/>
        </w:rPr>
        <w:t xml:space="preserve"> 150 mg soft capsules</w:t>
      </w:r>
    </w:p>
    <w:p w14:paraId="580F6344" w14:textId="5CFE4221" w:rsidR="00D657C7" w:rsidRPr="00F85BD8" w:rsidRDefault="00D657C7" w:rsidP="00530769">
      <w:pPr>
        <w:ind w:left="851"/>
        <w:rPr>
          <w:noProof/>
          <w:sz w:val="24"/>
          <w:szCs w:val="24"/>
          <w:lang w:val="en-US"/>
        </w:rPr>
      </w:pPr>
      <w:r w:rsidRPr="00F85BD8">
        <w:rPr>
          <w:noProof/>
          <w:sz w:val="24"/>
          <w:szCs w:val="24"/>
          <w:lang w:val="en-US"/>
        </w:rPr>
        <w:t>30 </w:t>
      </w:r>
      <w:r w:rsidR="00AE5920">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61600669" w14:textId="10BEBE0C" w:rsidR="00D657C7" w:rsidRPr="00F85BD8" w:rsidRDefault="00D657C7" w:rsidP="00530769">
      <w:pPr>
        <w:ind w:left="851"/>
        <w:rPr>
          <w:noProof/>
          <w:sz w:val="24"/>
          <w:szCs w:val="24"/>
          <w:lang w:val="en-US"/>
        </w:rPr>
      </w:pPr>
      <w:r w:rsidRPr="00F85BD8">
        <w:rPr>
          <w:noProof/>
          <w:sz w:val="24"/>
          <w:szCs w:val="24"/>
          <w:lang w:val="en-US"/>
        </w:rPr>
        <w:t>60 </w:t>
      </w:r>
      <w:r w:rsidR="00AE5920">
        <w:rPr>
          <w:noProof/>
          <w:sz w:val="24"/>
          <w:szCs w:val="24"/>
          <w:lang w:val="en-US"/>
        </w:rPr>
        <w:t>×</w:t>
      </w:r>
      <w:r w:rsidRPr="00F85BD8">
        <w:rPr>
          <w:noProof/>
          <w:sz w:val="24"/>
          <w:szCs w:val="24"/>
          <w:lang w:val="en-US"/>
        </w:rPr>
        <w:t> 1 soft capsules in OPA/Al/PVC</w:t>
      </w:r>
      <w:r w:rsidRPr="00F85BD8">
        <w:rPr>
          <w:noProof/>
          <w:sz w:val="24"/>
          <w:szCs w:val="24"/>
          <w:lang w:val="en-US"/>
        </w:rPr>
        <w:noBreakHyphen/>
        <w:t>Aluminum perforated unit dose blisters</w:t>
      </w:r>
    </w:p>
    <w:p w14:paraId="3BE2DAC3" w14:textId="77777777" w:rsidR="00D657C7" w:rsidRPr="00F85BD8" w:rsidRDefault="00D657C7" w:rsidP="00530769">
      <w:pPr>
        <w:ind w:left="851"/>
        <w:rPr>
          <w:noProof/>
          <w:sz w:val="24"/>
          <w:szCs w:val="24"/>
          <w:highlight w:val="yellow"/>
          <w:lang w:val="en-US"/>
        </w:rPr>
      </w:pPr>
    </w:p>
    <w:p w14:paraId="0EC7FAAF" w14:textId="77777777" w:rsidR="00D657C7" w:rsidRPr="00F85BD8" w:rsidRDefault="00D657C7" w:rsidP="00530769">
      <w:pPr>
        <w:ind w:left="851"/>
        <w:rPr>
          <w:noProof/>
          <w:sz w:val="24"/>
          <w:szCs w:val="24"/>
          <w:lang w:val="en-US"/>
        </w:rPr>
      </w:pPr>
      <w:r w:rsidRPr="00F85BD8">
        <w:rPr>
          <w:noProof/>
          <w:sz w:val="24"/>
          <w:szCs w:val="24"/>
          <w:lang w:val="en-US"/>
        </w:rPr>
        <w:t>Not all pack sizes may be marketed.</w:t>
      </w:r>
    </w:p>
    <w:p w14:paraId="67DBA462" w14:textId="77777777" w:rsidR="007C5D2A" w:rsidRPr="00F85BD8" w:rsidRDefault="007C5D2A" w:rsidP="003E0341">
      <w:pPr>
        <w:tabs>
          <w:tab w:val="left" w:pos="851"/>
        </w:tabs>
        <w:ind w:left="851"/>
        <w:rPr>
          <w:sz w:val="24"/>
          <w:szCs w:val="24"/>
          <w:lang w:val="en-GB"/>
        </w:rPr>
      </w:pPr>
    </w:p>
    <w:p w14:paraId="703E2455" w14:textId="77777777" w:rsidR="007C5D2A" w:rsidRPr="00F85BD8" w:rsidRDefault="007C5D2A" w:rsidP="007C5D2A">
      <w:pPr>
        <w:ind w:left="851" w:hanging="851"/>
        <w:rPr>
          <w:b/>
          <w:sz w:val="24"/>
          <w:szCs w:val="24"/>
          <w:lang w:val="en-GB"/>
        </w:rPr>
      </w:pPr>
      <w:r w:rsidRPr="00F85BD8">
        <w:rPr>
          <w:b/>
          <w:sz w:val="24"/>
          <w:szCs w:val="24"/>
          <w:lang w:val="en-GB"/>
        </w:rPr>
        <w:t>6.6</w:t>
      </w:r>
      <w:r w:rsidRPr="00F85BD8">
        <w:rPr>
          <w:b/>
          <w:sz w:val="24"/>
          <w:szCs w:val="24"/>
          <w:lang w:val="en-GB"/>
        </w:rPr>
        <w:tab/>
        <w:t>Special precautions for disposal and other handling</w:t>
      </w:r>
    </w:p>
    <w:p w14:paraId="5A8A9D31" w14:textId="77777777" w:rsidR="00D657C7" w:rsidRPr="00F85BD8" w:rsidRDefault="00D657C7" w:rsidP="00530769">
      <w:pPr>
        <w:ind w:left="851"/>
        <w:rPr>
          <w:noProof/>
          <w:sz w:val="24"/>
          <w:szCs w:val="24"/>
          <w:lang w:val="en-US"/>
        </w:rPr>
      </w:pPr>
      <w:r w:rsidRPr="00F85BD8">
        <w:rPr>
          <w:noProof/>
          <w:sz w:val="24"/>
          <w:szCs w:val="24"/>
          <w:lang w:val="en-US"/>
        </w:rPr>
        <w:t>In the event of coming in contact with the content of the capsule, hands should be washed off immediately with plenty of water (see section 4.2).</w:t>
      </w:r>
    </w:p>
    <w:p w14:paraId="12BD564B" w14:textId="77777777" w:rsidR="00D657C7" w:rsidRPr="00F85BD8" w:rsidRDefault="00D657C7" w:rsidP="00530769">
      <w:pPr>
        <w:ind w:left="851"/>
        <w:rPr>
          <w:noProof/>
          <w:sz w:val="24"/>
          <w:szCs w:val="24"/>
          <w:lang w:val="en-US"/>
        </w:rPr>
      </w:pPr>
    </w:p>
    <w:p w14:paraId="04A42788" w14:textId="77777777" w:rsidR="00D657C7" w:rsidRPr="00F85BD8" w:rsidRDefault="00D657C7" w:rsidP="00530769">
      <w:pPr>
        <w:ind w:left="851"/>
        <w:rPr>
          <w:noProof/>
          <w:sz w:val="24"/>
          <w:szCs w:val="24"/>
          <w:lang w:val="en-US"/>
        </w:rPr>
      </w:pPr>
      <w:r w:rsidRPr="00F85BD8">
        <w:rPr>
          <w:noProof/>
          <w:sz w:val="24"/>
          <w:szCs w:val="24"/>
          <w:lang w:val="en-US"/>
        </w:rPr>
        <w:t>Any unused medicinal product or waste material should be disposed of in accordance with local requirements.</w:t>
      </w:r>
    </w:p>
    <w:p w14:paraId="1FF325B1" w14:textId="77777777" w:rsidR="007C5D2A" w:rsidRPr="00F85BD8" w:rsidRDefault="007C5D2A" w:rsidP="00AB4376">
      <w:pPr>
        <w:tabs>
          <w:tab w:val="left" w:pos="851"/>
        </w:tabs>
        <w:ind w:left="851"/>
        <w:rPr>
          <w:sz w:val="24"/>
          <w:szCs w:val="24"/>
          <w:lang w:val="en-GB"/>
        </w:rPr>
      </w:pPr>
    </w:p>
    <w:p w14:paraId="4DF9A934" w14:textId="77777777" w:rsidR="007C5D2A" w:rsidRPr="00F85BD8" w:rsidRDefault="007C5D2A" w:rsidP="007C5D2A">
      <w:pPr>
        <w:tabs>
          <w:tab w:val="left" w:pos="851"/>
        </w:tabs>
        <w:ind w:left="851" w:hanging="851"/>
        <w:jc w:val="both"/>
        <w:rPr>
          <w:b/>
          <w:sz w:val="24"/>
          <w:szCs w:val="24"/>
          <w:lang w:val="en-GB"/>
        </w:rPr>
      </w:pPr>
      <w:r w:rsidRPr="00F85BD8">
        <w:rPr>
          <w:b/>
          <w:sz w:val="24"/>
          <w:szCs w:val="24"/>
          <w:lang w:val="en-GB"/>
        </w:rPr>
        <w:t>7.</w:t>
      </w:r>
      <w:r w:rsidRPr="00F85BD8">
        <w:rPr>
          <w:b/>
          <w:sz w:val="24"/>
          <w:szCs w:val="24"/>
          <w:lang w:val="en-GB"/>
        </w:rPr>
        <w:tab/>
        <w:t>MARKETING AUTHORISATION HOLDER</w:t>
      </w:r>
    </w:p>
    <w:p w14:paraId="7DDD08AD" w14:textId="02C81CE4" w:rsidR="007C5D2A" w:rsidRPr="00F85BD8" w:rsidRDefault="00530769" w:rsidP="00A85D26">
      <w:pPr>
        <w:tabs>
          <w:tab w:val="left" w:pos="851"/>
        </w:tabs>
        <w:ind w:left="851"/>
        <w:jc w:val="both"/>
        <w:rPr>
          <w:sz w:val="24"/>
          <w:szCs w:val="24"/>
          <w:lang w:val="en-GB"/>
        </w:rPr>
      </w:pPr>
      <w:r w:rsidRPr="00F85BD8">
        <w:rPr>
          <w:sz w:val="24"/>
          <w:szCs w:val="24"/>
          <w:lang w:val="en-GB"/>
        </w:rPr>
        <w:t xml:space="preserve">STADA </w:t>
      </w:r>
      <w:proofErr w:type="spellStart"/>
      <w:r w:rsidRPr="00F85BD8">
        <w:rPr>
          <w:sz w:val="24"/>
          <w:szCs w:val="24"/>
          <w:lang w:val="en-GB"/>
        </w:rPr>
        <w:t>Arzneimittel</w:t>
      </w:r>
      <w:proofErr w:type="spellEnd"/>
      <w:r w:rsidRPr="00F85BD8">
        <w:rPr>
          <w:sz w:val="24"/>
          <w:szCs w:val="24"/>
          <w:lang w:val="en-GB"/>
        </w:rPr>
        <w:t xml:space="preserve"> AG</w:t>
      </w:r>
    </w:p>
    <w:p w14:paraId="5208FA32" w14:textId="1E0F4EF0" w:rsidR="00530769" w:rsidRPr="00F85BD8" w:rsidRDefault="00530769" w:rsidP="00A85D26">
      <w:pPr>
        <w:tabs>
          <w:tab w:val="left" w:pos="851"/>
        </w:tabs>
        <w:ind w:left="851"/>
        <w:jc w:val="both"/>
        <w:rPr>
          <w:sz w:val="24"/>
          <w:szCs w:val="24"/>
          <w:lang w:val="en-GB"/>
        </w:rPr>
      </w:pPr>
      <w:proofErr w:type="spellStart"/>
      <w:r w:rsidRPr="00F85BD8">
        <w:rPr>
          <w:sz w:val="24"/>
          <w:szCs w:val="24"/>
          <w:lang w:val="en-GB"/>
        </w:rPr>
        <w:t>Stadastrasse</w:t>
      </w:r>
      <w:proofErr w:type="spellEnd"/>
      <w:r w:rsidRPr="00F85BD8">
        <w:rPr>
          <w:sz w:val="24"/>
          <w:szCs w:val="24"/>
          <w:lang w:val="en-GB"/>
        </w:rPr>
        <w:t xml:space="preserve"> 2-18</w:t>
      </w:r>
    </w:p>
    <w:p w14:paraId="4C54199D" w14:textId="3B6CA0BF" w:rsidR="00530769" w:rsidRPr="00F85BD8" w:rsidRDefault="00530769" w:rsidP="00A85D26">
      <w:pPr>
        <w:tabs>
          <w:tab w:val="left" w:pos="851"/>
        </w:tabs>
        <w:ind w:left="851"/>
        <w:jc w:val="both"/>
        <w:rPr>
          <w:sz w:val="24"/>
          <w:szCs w:val="24"/>
          <w:lang w:val="en-GB"/>
        </w:rPr>
      </w:pPr>
      <w:r w:rsidRPr="00F85BD8">
        <w:rPr>
          <w:sz w:val="24"/>
          <w:szCs w:val="24"/>
          <w:lang w:val="en-GB"/>
        </w:rPr>
        <w:t xml:space="preserve">61118 Bad </w:t>
      </w:r>
      <w:proofErr w:type="spellStart"/>
      <w:r w:rsidRPr="00F85BD8">
        <w:rPr>
          <w:sz w:val="24"/>
          <w:szCs w:val="24"/>
          <w:lang w:val="en-GB"/>
        </w:rPr>
        <w:t>Vilbel</w:t>
      </w:r>
      <w:proofErr w:type="spellEnd"/>
    </w:p>
    <w:p w14:paraId="23A2DE6B" w14:textId="5AB82EED" w:rsidR="007C5D2A" w:rsidRPr="00F85BD8" w:rsidRDefault="00530769" w:rsidP="003E0341">
      <w:pPr>
        <w:tabs>
          <w:tab w:val="left" w:pos="851"/>
        </w:tabs>
        <w:ind w:left="851"/>
        <w:jc w:val="both"/>
        <w:rPr>
          <w:sz w:val="24"/>
          <w:szCs w:val="24"/>
          <w:lang w:val="en-GB"/>
        </w:rPr>
      </w:pPr>
      <w:r w:rsidRPr="00F85BD8">
        <w:rPr>
          <w:sz w:val="24"/>
          <w:szCs w:val="24"/>
          <w:lang w:val="en-GB"/>
        </w:rPr>
        <w:t>Germany</w:t>
      </w:r>
    </w:p>
    <w:p w14:paraId="66ED26F7" w14:textId="77777777" w:rsidR="00530769" w:rsidRPr="00F85BD8" w:rsidRDefault="00530769" w:rsidP="003E0341">
      <w:pPr>
        <w:tabs>
          <w:tab w:val="left" w:pos="851"/>
        </w:tabs>
        <w:ind w:left="851"/>
        <w:jc w:val="both"/>
        <w:rPr>
          <w:sz w:val="24"/>
          <w:szCs w:val="24"/>
          <w:lang w:val="en-GB"/>
        </w:rPr>
      </w:pPr>
    </w:p>
    <w:p w14:paraId="3A3B753B" w14:textId="77777777" w:rsidR="008A24F6" w:rsidRPr="00F85BD8" w:rsidRDefault="005A498B" w:rsidP="003E0341">
      <w:pPr>
        <w:tabs>
          <w:tab w:val="left" w:pos="851"/>
        </w:tabs>
        <w:ind w:left="851"/>
        <w:jc w:val="both"/>
        <w:rPr>
          <w:b/>
          <w:sz w:val="24"/>
          <w:szCs w:val="24"/>
          <w:lang w:val="en-GB"/>
        </w:rPr>
      </w:pPr>
      <w:r w:rsidRPr="00F85BD8">
        <w:rPr>
          <w:b/>
          <w:sz w:val="24"/>
          <w:szCs w:val="24"/>
          <w:lang w:val="en-GB"/>
        </w:rPr>
        <w:t>Representative</w:t>
      </w:r>
    </w:p>
    <w:p w14:paraId="160D216B" w14:textId="14120C6E" w:rsidR="005A498B" w:rsidRPr="00F85BD8" w:rsidRDefault="00530769" w:rsidP="005A498B">
      <w:pPr>
        <w:tabs>
          <w:tab w:val="left" w:pos="851"/>
        </w:tabs>
        <w:ind w:left="851"/>
        <w:jc w:val="both"/>
        <w:rPr>
          <w:sz w:val="24"/>
          <w:szCs w:val="24"/>
          <w:lang w:val="en-GB"/>
        </w:rPr>
      </w:pPr>
      <w:proofErr w:type="spellStart"/>
      <w:r w:rsidRPr="00F85BD8">
        <w:rPr>
          <w:sz w:val="24"/>
          <w:szCs w:val="24"/>
          <w:lang w:val="en-GB"/>
        </w:rPr>
        <w:t>Stada</w:t>
      </w:r>
      <w:proofErr w:type="spellEnd"/>
      <w:r w:rsidRPr="00F85BD8">
        <w:rPr>
          <w:sz w:val="24"/>
          <w:szCs w:val="24"/>
          <w:lang w:val="en-GB"/>
        </w:rPr>
        <w:t xml:space="preserve"> Nordic </w:t>
      </w:r>
      <w:proofErr w:type="spellStart"/>
      <w:r w:rsidRPr="00F85BD8">
        <w:rPr>
          <w:sz w:val="24"/>
          <w:szCs w:val="24"/>
          <w:lang w:val="en-GB"/>
        </w:rPr>
        <w:t>ApS</w:t>
      </w:r>
      <w:proofErr w:type="spellEnd"/>
    </w:p>
    <w:p w14:paraId="1373A1EB" w14:textId="693F97D5" w:rsidR="00530769" w:rsidRPr="00F85BD8" w:rsidRDefault="00530769" w:rsidP="005A498B">
      <w:pPr>
        <w:tabs>
          <w:tab w:val="left" w:pos="851"/>
        </w:tabs>
        <w:ind w:left="851"/>
        <w:jc w:val="both"/>
        <w:rPr>
          <w:sz w:val="24"/>
          <w:szCs w:val="24"/>
          <w:lang w:val="en-GB"/>
        </w:rPr>
      </w:pPr>
      <w:proofErr w:type="spellStart"/>
      <w:r w:rsidRPr="00F85BD8">
        <w:rPr>
          <w:sz w:val="24"/>
          <w:szCs w:val="24"/>
          <w:lang w:val="en-GB"/>
        </w:rPr>
        <w:t>Marielundvej</w:t>
      </w:r>
      <w:proofErr w:type="spellEnd"/>
      <w:r w:rsidRPr="00F85BD8">
        <w:rPr>
          <w:sz w:val="24"/>
          <w:szCs w:val="24"/>
          <w:lang w:val="en-GB"/>
        </w:rPr>
        <w:t xml:space="preserve"> 46A</w:t>
      </w:r>
    </w:p>
    <w:p w14:paraId="47B0B3A0" w14:textId="18FCA89F" w:rsidR="00530769" w:rsidRPr="00F85BD8" w:rsidRDefault="00530769" w:rsidP="005A498B">
      <w:pPr>
        <w:tabs>
          <w:tab w:val="left" w:pos="851"/>
        </w:tabs>
        <w:ind w:left="851"/>
        <w:jc w:val="both"/>
        <w:rPr>
          <w:sz w:val="24"/>
          <w:szCs w:val="24"/>
          <w:lang w:val="en-GB"/>
        </w:rPr>
      </w:pPr>
      <w:r w:rsidRPr="00F85BD8">
        <w:rPr>
          <w:sz w:val="24"/>
          <w:szCs w:val="24"/>
          <w:lang w:val="en-GB"/>
        </w:rPr>
        <w:t>2730 Herlev</w:t>
      </w:r>
    </w:p>
    <w:p w14:paraId="10C7B634" w14:textId="77777777" w:rsidR="008A24F6" w:rsidRPr="00F85BD8" w:rsidRDefault="008A24F6" w:rsidP="003E0341">
      <w:pPr>
        <w:tabs>
          <w:tab w:val="left" w:pos="851"/>
        </w:tabs>
        <w:ind w:left="851"/>
        <w:jc w:val="both"/>
        <w:rPr>
          <w:sz w:val="24"/>
          <w:szCs w:val="24"/>
          <w:lang w:val="en-GB"/>
        </w:rPr>
      </w:pPr>
    </w:p>
    <w:p w14:paraId="58A5A26F" w14:textId="77777777" w:rsidR="007C5D2A" w:rsidRPr="00F85BD8" w:rsidRDefault="007C5D2A" w:rsidP="007C5D2A">
      <w:pPr>
        <w:ind w:left="851" w:hanging="851"/>
        <w:jc w:val="both"/>
        <w:rPr>
          <w:b/>
          <w:sz w:val="24"/>
          <w:szCs w:val="24"/>
          <w:lang w:val="en-GB"/>
        </w:rPr>
      </w:pPr>
      <w:r w:rsidRPr="00F85BD8">
        <w:rPr>
          <w:b/>
          <w:sz w:val="24"/>
          <w:szCs w:val="24"/>
          <w:lang w:val="en-GB"/>
        </w:rPr>
        <w:t>8.</w:t>
      </w:r>
      <w:r w:rsidRPr="00F85BD8">
        <w:rPr>
          <w:b/>
          <w:sz w:val="24"/>
          <w:szCs w:val="24"/>
          <w:lang w:val="en-GB"/>
        </w:rPr>
        <w:tab/>
        <w:t>MARKETING AUTHORISATION NUMBER(S)</w:t>
      </w:r>
    </w:p>
    <w:p w14:paraId="65556958" w14:textId="17DDA4CE" w:rsidR="007C5D2A" w:rsidRPr="00F85BD8" w:rsidRDefault="00530769" w:rsidP="00A85D26">
      <w:pPr>
        <w:tabs>
          <w:tab w:val="left" w:pos="851"/>
        </w:tabs>
        <w:ind w:left="851"/>
        <w:jc w:val="both"/>
        <w:rPr>
          <w:sz w:val="24"/>
          <w:szCs w:val="24"/>
          <w:lang w:val="en-GB"/>
        </w:rPr>
      </w:pPr>
      <w:r w:rsidRPr="00F85BD8">
        <w:rPr>
          <w:sz w:val="24"/>
          <w:szCs w:val="24"/>
          <w:lang w:val="en-GB"/>
        </w:rPr>
        <w:t>100 mg: 68789</w:t>
      </w:r>
    </w:p>
    <w:p w14:paraId="5573457A" w14:textId="204FD54B" w:rsidR="00530769" w:rsidRPr="00F85BD8" w:rsidRDefault="00530769" w:rsidP="00A85D26">
      <w:pPr>
        <w:tabs>
          <w:tab w:val="left" w:pos="851"/>
        </w:tabs>
        <w:ind w:left="851"/>
        <w:jc w:val="both"/>
        <w:rPr>
          <w:sz w:val="24"/>
          <w:szCs w:val="24"/>
          <w:lang w:val="en-GB"/>
        </w:rPr>
      </w:pPr>
      <w:r w:rsidRPr="00F85BD8">
        <w:rPr>
          <w:sz w:val="24"/>
          <w:szCs w:val="24"/>
          <w:lang w:val="en-GB"/>
        </w:rPr>
        <w:t>150 mg: 68791</w:t>
      </w:r>
    </w:p>
    <w:p w14:paraId="18B739D3" w14:textId="77777777" w:rsidR="007C5D2A" w:rsidRPr="00F85BD8" w:rsidRDefault="007C5D2A" w:rsidP="00180A12">
      <w:pPr>
        <w:tabs>
          <w:tab w:val="left" w:pos="851"/>
        </w:tabs>
        <w:ind w:left="851"/>
        <w:jc w:val="both"/>
        <w:rPr>
          <w:sz w:val="24"/>
          <w:szCs w:val="24"/>
          <w:lang w:val="en-GB"/>
        </w:rPr>
      </w:pPr>
    </w:p>
    <w:p w14:paraId="483219DC" w14:textId="77777777" w:rsidR="007C5D2A" w:rsidRPr="00F85BD8" w:rsidRDefault="007C5D2A" w:rsidP="007C5D2A">
      <w:pPr>
        <w:tabs>
          <w:tab w:val="left" w:pos="851"/>
        </w:tabs>
        <w:jc w:val="both"/>
        <w:rPr>
          <w:sz w:val="24"/>
          <w:szCs w:val="24"/>
          <w:lang w:val="en-GB"/>
        </w:rPr>
      </w:pPr>
      <w:r w:rsidRPr="00F85BD8">
        <w:rPr>
          <w:b/>
          <w:sz w:val="24"/>
          <w:szCs w:val="24"/>
          <w:lang w:val="en-GB"/>
        </w:rPr>
        <w:t>9.</w:t>
      </w:r>
      <w:r w:rsidRPr="00F85BD8">
        <w:rPr>
          <w:b/>
          <w:sz w:val="24"/>
          <w:szCs w:val="24"/>
          <w:lang w:val="en-GB"/>
        </w:rPr>
        <w:tab/>
        <w:t>DATE OF FIRST AUTHORISATION</w:t>
      </w:r>
    </w:p>
    <w:p w14:paraId="4516EE54" w14:textId="157E5A65" w:rsidR="007C5D2A" w:rsidRPr="00F85BD8" w:rsidRDefault="00EF62D2" w:rsidP="00A85D26">
      <w:pPr>
        <w:ind w:left="851"/>
        <w:jc w:val="both"/>
        <w:rPr>
          <w:sz w:val="24"/>
          <w:szCs w:val="24"/>
          <w:lang w:val="en-GB"/>
        </w:rPr>
      </w:pPr>
      <w:r>
        <w:rPr>
          <w:sz w:val="24"/>
          <w:szCs w:val="24"/>
          <w:lang w:val="en-GB"/>
        </w:rPr>
        <w:t>14 February 2024</w:t>
      </w:r>
    </w:p>
    <w:p w14:paraId="1BC1EB74" w14:textId="77777777" w:rsidR="007C5D2A" w:rsidRPr="00F85BD8" w:rsidRDefault="007C5D2A" w:rsidP="003E0341">
      <w:pPr>
        <w:tabs>
          <w:tab w:val="left" w:pos="851"/>
        </w:tabs>
        <w:ind w:left="851"/>
        <w:jc w:val="both"/>
        <w:rPr>
          <w:sz w:val="24"/>
          <w:szCs w:val="24"/>
          <w:lang w:val="en-GB"/>
        </w:rPr>
      </w:pPr>
    </w:p>
    <w:p w14:paraId="797279EF" w14:textId="77777777" w:rsidR="007C5D2A" w:rsidRPr="00F85BD8" w:rsidRDefault="007C5D2A" w:rsidP="007C5D2A">
      <w:pPr>
        <w:tabs>
          <w:tab w:val="left" w:pos="851"/>
        </w:tabs>
        <w:jc w:val="both"/>
        <w:rPr>
          <w:sz w:val="24"/>
          <w:szCs w:val="24"/>
          <w:lang w:val="en-GB"/>
        </w:rPr>
      </w:pPr>
      <w:r w:rsidRPr="00F85BD8">
        <w:rPr>
          <w:b/>
          <w:sz w:val="24"/>
          <w:szCs w:val="24"/>
          <w:lang w:val="en-GB"/>
        </w:rPr>
        <w:t>10.</w:t>
      </w:r>
      <w:r w:rsidRPr="00F85BD8">
        <w:rPr>
          <w:b/>
          <w:sz w:val="24"/>
          <w:szCs w:val="24"/>
          <w:lang w:val="en-GB"/>
        </w:rPr>
        <w:tab/>
        <w:t>DATE OF REVISION OF THE TEXT</w:t>
      </w:r>
    </w:p>
    <w:p w14:paraId="37BCB9E4" w14:textId="3E297C31" w:rsidR="007C5D2A" w:rsidRPr="00F85BD8" w:rsidRDefault="00530769" w:rsidP="003E0341">
      <w:pPr>
        <w:tabs>
          <w:tab w:val="left" w:pos="851"/>
        </w:tabs>
        <w:ind w:left="851"/>
        <w:jc w:val="both"/>
        <w:rPr>
          <w:sz w:val="24"/>
          <w:szCs w:val="24"/>
          <w:lang w:val="en-GB"/>
        </w:rPr>
      </w:pPr>
      <w:r w:rsidRPr="00F85BD8">
        <w:rPr>
          <w:sz w:val="24"/>
          <w:szCs w:val="24"/>
          <w:lang w:val="en-GB"/>
        </w:rPr>
        <w:t>-</w:t>
      </w:r>
    </w:p>
    <w:sectPr w:rsidR="007C5D2A" w:rsidRPr="00F85BD8" w:rsidSect="004A3BF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E6C50" w14:textId="77777777" w:rsidR="00D657C7" w:rsidRDefault="00D657C7">
      <w:r>
        <w:separator/>
      </w:r>
    </w:p>
  </w:endnote>
  <w:endnote w:type="continuationSeparator" w:id="0">
    <w:p w14:paraId="2E5EFEB5" w14:textId="77777777" w:rsidR="00D657C7" w:rsidRDefault="00D6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D339" w14:textId="77777777" w:rsidR="00D657C7" w:rsidRDefault="00D657C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FF52" w14:textId="77777777" w:rsidR="00D657C7" w:rsidRDefault="00D657C7">
    <w:pPr>
      <w:pStyle w:val="Sidefod"/>
      <w:pBdr>
        <w:bottom w:val="single" w:sz="6" w:space="1" w:color="auto"/>
      </w:pBdr>
    </w:pPr>
  </w:p>
  <w:p w14:paraId="66D4B099" w14:textId="77777777" w:rsidR="00D657C7" w:rsidRDefault="00D657C7">
    <w:pPr>
      <w:pStyle w:val="Sidefod"/>
      <w:tabs>
        <w:tab w:val="clear" w:pos="4819"/>
        <w:tab w:val="left" w:pos="8647"/>
      </w:tabs>
      <w:rPr>
        <w:i/>
        <w:snapToGrid w:val="0"/>
        <w:sz w:val="18"/>
      </w:rPr>
    </w:pPr>
  </w:p>
  <w:p w14:paraId="0887C630" w14:textId="7551CF83" w:rsidR="00D657C7" w:rsidRDefault="00D657C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93BE7">
      <w:rPr>
        <w:i/>
        <w:noProof/>
        <w:snapToGrid w:val="0"/>
        <w:sz w:val="18"/>
      </w:rPr>
      <w:t>Nintedanib Stada, bløde kapsler 100 mg og 150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3D91" w14:textId="77777777" w:rsidR="00D657C7" w:rsidRDefault="00D657C7">
    <w:pPr>
      <w:pStyle w:val="Sidefod"/>
      <w:pBdr>
        <w:bottom w:val="single" w:sz="6" w:space="1" w:color="auto"/>
      </w:pBdr>
      <w:tabs>
        <w:tab w:val="clear" w:pos="4819"/>
        <w:tab w:val="left" w:pos="8789"/>
      </w:tabs>
      <w:rPr>
        <w:i/>
        <w:snapToGrid w:val="0"/>
        <w:sz w:val="18"/>
      </w:rPr>
    </w:pPr>
  </w:p>
  <w:p w14:paraId="3BCD908F" w14:textId="77777777" w:rsidR="00D657C7" w:rsidRDefault="00D657C7">
    <w:pPr>
      <w:pStyle w:val="Sidefod"/>
      <w:tabs>
        <w:tab w:val="clear" w:pos="4819"/>
        <w:tab w:val="left" w:pos="8789"/>
      </w:tabs>
      <w:rPr>
        <w:i/>
        <w:snapToGrid w:val="0"/>
        <w:sz w:val="18"/>
      </w:rPr>
    </w:pPr>
  </w:p>
  <w:p w14:paraId="582F9038" w14:textId="41D7C30C" w:rsidR="00D657C7" w:rsidRDefault="00D657C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93BE7">
      <w:rPr>
        <w:i/>
        <w:noProof/>
        <w:snapToGrid w:val="0"/>
        <w:sz w:val="18"/>
      </w:rPr>
      <w:t>Nintedanib Stada, bløde kapsler 100 mg og 150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1AEDF" w14:textId="77777777" w:rsidR="00D657C7" w:rsidRDefault="00D657C7">
      <w:r>
        <w:separator/>
      </w:r>
    </w:p>
  </w:footnote>
  <w:footnote w:type="continuationSeparator" w:id="0">
    <w:p w14:paraId="21F0EAF9" w14:textId="77777777" w:rsidR="00D657C7" w:rsidRDefault="00D65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07C9" w14:textId="77777777" w:rsidR="00D657C7" w:rsidRDefault="00D657C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E66FE" w14:textId="77777777" w:rsidR="00D657C7" w:rsidRDefault="00D657C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1C923" w14:textId="77777777" w:rsidR="00D657C7" w:rsidRDefault="00D657C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8C6319"/>
    <w:multiLevelType w:val="hybridMultilevel"/>
    <w:tmpl w:val="F52A175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E781572"/>
    <w:multiLevelType w:val="hybridMultilevel"/>
    <w:tmpl w:val="DB7EF34A"/>
    <w:lvl w:ilvl="0" w:tplc="F1DC2DC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5032B4D"/>
    <w:multiLevelType w:val="hybridMultilevel"/>
    <w:tmpl w:val="79C63A18"/>
    <w:lvl w:ilvl="0" w:tplc="F1DC2DC0">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AA667AD"/>
    <w:multiLevelType w:val="hybridMultilevel"/>
    <w:tmpl w:val="5B12438E"/>
    <w:lvl w:ilvl="0" w:tplc="F1DC2DC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9EA"/>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076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925C9"/>
    <w:rsid w:val="009929B6"/>
    <w:rsid w:val="00A179D0"/>
    <w:rsid w:val="00A358A3"/>
    <w:rsid w:val="00A46747"/>
    <w:rsid w:val="00A5675D"/>
    <w:rsid w:val="00A80446"/>
    <w:rsid w:val="00A85D26"/>
    <w:rsid w:val="00A9153A"/>
    <w:rsid w:val="00A93BE7"/>
    <w:rsid w:val="00AB4376"/>
    <w:rsid w:val="00AC033C"/>
    <w:rsid w:val="00AD2E36"/>
    <w:rsid w:val="00AE5920"/>
    <w:rsid w:val="00B24AEB"/>
    <w:rsid w:val="00B45DC5"/>
    <w:rsid w:val="00BD3490"/>
    <w:rsid w:val="00BF087A"/>
    <w:rsid w:val="00C26226"/>
    <w:rsid w:val="00C3571D"/>
    <w:rsid w:val="00C54F0B"/>
    <w:rsid w:val="00C82621"/>
    <w:rsid w:val="00CB1423"/>
    <w:rsid w:val="00D02508"/>
    <w:rsid w:val="00D657C7"/>
    <w:rsid w:val="00D778CC"/>
    <w:rsid w:val="00D82FE9"/>
    <w:rsid w:val="00D97B77"/>
    <w:rsid w:val="00DB6A85"/>
    <w:rsid w:val="00E06B32"/>
    <w:rsid w:val="00E1290F"/>
    <w:rsid w:val="00E36A80"/>
    <w:rsid w:val="00E5343D"/>
    <w:rsid w:val="00EB21D7"/>
    <w:rsid w:val="00EE3EB7"/>
    <w:rsid w:val="00EF62D2"/>
    <w:rsid w:val="00F56E5E"/>
    <w:rsid w:val="00F57E16"/>
    <w:rsid w:val="00F60336"/>
    <w:rsid w:val="00F85BD8"/>
    <w:rsid w:val="00FC59EA"/>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C8857"/>
  <w15:chartTrackingRefBased/>
  <w15:docId w15:val="{04C7DB9C-11C3-4072-A7BE-9BFD87A6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D657C7"/>
    <w:rPr>
      <w:color w:val="0000FF"/>
      <w:u w:val="single"/>
    </w:rPr>
  </w:style>
  <w:style w:type="table" w:styleId="Tabel-Gitter">
    <w:name w:val="Table Grid"/>
    <w:basedOn w:val="Tabel-Normal"/>
    <w:rsid w:val="00D657C7"/>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9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1759">
      <w:bodyDiv w:val="1"/>
      <w:marLeft w:val="0"/>
      <w:marRight w:val="0"/>
      <w:marTop w:val="0"/>
      <w:marBottom w:val="0"/>
      <w:divBdr>
        <w:top w:val="none" w:sz="0" w:space="0" w:color="auto"/>
        <w:left w:val="none" w:sz="0" w:space="0" w:color="auto"/>
        <w:bottom w:val="none" w:sz="0" w:space="0" w:color="auto"/>
        <w:right w:val="none" w:sz="0" w:space="0" w:color="auto"/>
      </w:divBdr>
    </w:div>
    <w:div w:id="242447659">
      <w:bodyDiv w:val="1"/>
      <w:marLeft w:val="0"/>
      <w:marRight w:val="0"/>
      <w:marTop w:val="0"/>
      <w:marBottom w:val="0"/>
      <w:divBdr>
        <w:top w:val="none" w:sz="0" w:space="0" w:color="auto"/>
        <w:left w:val="none" w:sz="0" w:space="0" w:color="auto"/>
        <w:bottom w:val="none" w:sz="0" w:space="0" w:color="auto"/>
        <w:right w:val="none" w:sz="0" w:space="0" w:color="auto"/>
      </w:divBdr>
    </w:div>
    <w:div w:id="278224091">
      <w:bodyDiv w:val="1"/>
      <w:marLeft w:val="0"/>
      <w:marRight w:val="0"/>
      <w:marTop w:val="0"/>
      <w:marBottom w:val="0"/>
      <w:divBdr>
        <w:top w:val="none" w:sz="0" w:space="0" w:color="auto"/>
        <w:left w:val="none" w:sz="0" w:space="0" w:color="auto"/>
        <w:bottom w:val="none" w:sz="0" w:space="0" w:color="auto"/>
        <w:right w:val="none" w:sz="0" w:space="0" w:color="auto"/>
      </w:divBdr>
    </w:div>
    <w:div w:id="301034736">
      <w:bodyDiv w:val="1"/>
      <w:marLeft w:val="0"/>
      <w:marRight w:val="0"/>
      <w:marTop w:val="0"/>
      <w:marBottom w:val="0"/>
      <w:divBdr>
        <w:top w:val="none" w:sz="0" w:space="0" w:color="auto"/>
        <w:left w:val="none" w:sz="0" w:space="0" w:color="auto"/>
        <w:bottom w:val="none" w:sz="0" w:space="0" w:color="auto"/>
        <w:right w:val="none" w:sz="0" w:space="0" w:color="auto"/>
      </w:divBdr>
    </w:div>
    <w:div w:id="465394702">
      <w:bodyDiv w:val="1"/>
      <w:marLeft w:val="0"/>
      <w:marRight w:val="0"/>
      <w:marTop w:val="0"/>
      <w:marBottom w:val="0"/>
      <w:divBdr>
        <w:top w:val="none" w:sz="0" w:space="0" w:color="auto"/>
        <w:left w:val="none" w:sz="0" w:space="0" w:color="auto"/>
        <w:bottom w:val="none" w:sz="0" w:space="0" w:color="auto"/>
        <w:right w:val="none" w:sz="0" w:space="0" w:color="auto"/>
      </w:divBdr>
    </w:div>
    <w:div w:id="708187546">
      <w:bodyDiv w:val="1"/>
      <w:marLeft w:val="0"/>
      <w:marRight w:val="0"/>
      <w:marTop w:val="0"/>
      <w:marBottom w:val="0"/>
      <w:divBdr>
        <w:top w:val="none" w:sz="0" w:space="0" w:color="auto"/>
        <w:left w:val="none" w:sz="0" w:space="0" w:color="auto"/>
        <w:bottom w:val="none" w:sz="0" w:space="0" w:color="auto"/>
        <w:right w:val="none" w:sz="0" w:space="0" w:color="auto"/>
      </w:divBdr>
    </w:div>
    <w:div w:id="744953099">
      <w:bodyDiv w:val="1"/>
      <w:marLeft w:val="0"/>
      <w:marRight w:val="0"/>
      <w:marTop w:val="0"/>
      <w:marBottom w:val="0"/>
      <w:divBdr>
        <w:top w:val="none" w:sz="0" w:space="0" w:color="auto"/>
        <w:left w:val="none" w:sz="0" w:space="0" w:color="auto"/>
        <w:bottom w:val="none" w:sz="0" w:space="0" w:color="auto"/>
        <w:right w:val="none" w:sz="0" w:space="0" w:color="auto"/>
      </w:divBdr>
    </w:div>
    <w:div w:id="845554407">
      <w:bodyDiv w:val="1"/>
      <w:marLeft w:val="0"/>
      <w:marRight w:val="0"/>
      <w:marTop w:val="0"/>
      <w:marBottom w:val="0"/>
      <w:divBdr>
        <w:top w:val="none" w:sz="0" w:space="0" w:color="auto"/>
        <w:left w:val="none" w:sz="0" w:space="0" w:color="auto"/>
        <w:bottom w:val="none" w:sz="0" w:space="0" w:color="auto"/>
        <w:right w:val="none" w:sz="0" w:space="0" w:color="auto"/>
      </w:divBdr>
    </w:div>
    <w:div w:id="1243032411">
      <w:bodyDiv w:val="1"/>
      <w:marLeft w:val="0"/>
      <w:marRight w:val="0"/>
      <w:marTop w:val="0"/>
      <w:marBottom w:val="0"/>
      <w:divBdr>
        <w:top w:val="none" w:sz="0" w:space="0" w:color="auto"/>
        <w:left w:val="none" w:sz="0" w:space="0" w:color="auto"/>
        <w:bottom w:val="none" w:sz="0" w:space="0" w:color="auto"/>
        <w:right w:val="none" w:sz="0" w:space="0" w:color="auto"/>
      </w:divBdr>
    </w:div>
    <w:div w:id="1294940564">
      <w:bodyDiv w:val="1"/>
      <w:marLeft w:val="0"/>
      <w:marRight w:val="0"/>
      <w:marTop w:val="0"/>
      <w:marBottom w:val="0"/>
      <w:divBdr>
        <w:top w:val="none" w:sz="0" w:space="0" w:color="auto"/>
        <w:left w:val="none" w:sz="0" w:space="0" w:color="auto"/>
        <w:bottom w:val="none" w:sz="0" w:space="0" w:color="auto"/>
        <w:right w:val="none" w:sz="0" w:space="0" w:color="auto"/>
      </w:divBdr>
    </w:div>
    <w:div w:id="1437553195">
      <w:bodyDiv w:val="1"/>
      <w:marLeft w:val="0"/>
      <w:marRight w:val="0"/>
      <w:marTop w:val="0"/>
      <w:marBottom w:val="0"/>
      <w:divBdr>
        <w:top w:val="none" w:sz="0" w:space="0" w:color="auto"/>
        <w:left w:val="none" w:sz="0" w:space="0" w:color="auto"/>
        <w:bottom w:val="none" w:sz="0" w:space="0" w:color="auto"/>
        <w:right w:val="none" w:sz="0" w:space="0" w:color="auto"/>
      </w:divBdr>
    </w:div>
    <w:div w:id="1440375459">
      <w:bodyDiv w:val="1"/>
      <w:marLeft w:val="0"/>
      <w:marRight w:val="0"/>
      <w:marTop w:val="0"/>
      <w:marBottom w:val="0"/>
      <w:divBdr>
        <w:top w:val="none" w:sz="0" w:space="0" w:color="auto"/>
        <w:left w:val="none" w:sz="0" w:space="0" w:color="auto"/>
        <w:bottom w:val="none" w:sz="0" w:space="0" w:color="auto"/>
        <w:right w:val="none" w:sz="0" w:space="0" w:color="auto"/>
      </w:divBdr>
    </w:div>
    <w:div w:id="1555848551">
      <w:bodyDiv w:val="1"/>
      <w:marLeft w:val="0"/>
      <w:marRight w:val="0"/>
      <w:marTop w:val="0"/>
      <w:marBottom w:val="0"/>
      <w:divBdr>
        <w:top w:val="none" w:sz="0" w:space="0" w:color="auto"/>
        <w:left w:val="none" w:sz="0" w:space="0" w:color="auto"/>
        <w:bottom w:val="none" w:sz="0" w:space="0" w:color="auto"/>
        <w:right w:val="none" w:sz="0" w:space="0" w:color="auto"/>
      </w:divBdr>
    </w:div>
    <w:div w:id="1561676352">
      <w:bodyDiv w:val="1"/>
      <w:marLeft w:val="0"/>
      <w:marRight w:val="0"/>
      <w:marTop w:val="0"/>
      <w:marBottom w:val="0"/>
      <w:divBdr>
        <w:top w:val="none" w:sz="0" w:space="0" w:color="auto"/>
        <w:left w:val="none" w:sz="0" w:space="0" w:color="auto"/>
        <w:bottom w:val="none" w:sz="0" w:space="0" w:color="auto"/>
        <w:right w:val="none" w:sz="0" w:space="0" w:color="auto"/>
      </w:divBdr>
    </w:div>
    <w:div w:id="1704793217">
      <w:bodyDiv w:val="1"/>
      <w:marLeft w:val="0"/>
      <w:marRight w:val="0"/>
      <w:marTop w:val="0"/>
      <w:marBottom w:val="0"/>
      <w:divBdr>
        <w:top w:val="none" w:sz="0" w:space="0" w:color="auto"/>
        <w:left w:val="none" w:sz="0" w:space="0" w:color="auto"/>
        <w:bottom w:val="none" w:sz="0" w:space="0" w:color="auto"/>
        <w:right w:val="none" w:sz="0" w:space="0" w:color="auto"/>
      </w:divBdr>
    </w:div>
    <w:div w:id="1709993441">
      <w:bodyDiv w:val="1"/>
      <w:marLeft w:val="0"/>
      <w:marRight w:val="0"/>
      <w:marTop w:val="0"/>
      <w:marBottom w:val="0"/>
      <w:divBdr>
        <w:top w:val="none" w:sz="0" w:space="0" w:color="auto"/>
        <w:left w:val="none" w:sz="0" w:space="0" w:color="auto"/>
        <w:bottom w:val="none" w:sz="0" w:space="0" w:color="auto"/>
        <w:right w:val="none" w:sz="0" w:space="0" w:color="auto"/>
      </w:divBdr>
    </w:div>
    <w:div w:id="1712071617">
      <w:bodyDiv w:val="1"/>
      <w:marLeft w:val="0"/>
      <w:marRight w:val="0"/>
      <w:marTop w:val="0"/>
      <w:marBottom w:val="0"/>
      <w:divBdr>
        <w:top w:val="none" w:sz="0" w:space="0" w:color="auto"/>
        <w:left w:val="none" w:sz="0" w:space="0" w:color="auto"/>
        <w:bottom w:val="none" w:sz="0" w:space="0" w:color="auto"/>
        <w:right w:val="none" w:sz="0" w:space="0" w:color="auto"/>
      </w:divBdr>
    </w:div>
    <w:div w:id="1788113604">
      <w:bodyDiv w:val="1"/>
      <w:marLeft w:val="0"/>
      <w:marRight w:val="0"/>
      <w:marTop w:val="0"/>
      <w:marBottom w:val="0"/>
      <w:divBdr>
        <w:top w:val="none" w:sz="0" w:space="0" w:color="auto"/>
        <w:left w:val="none" w:sz="0" w:space="0" w:color="auto"/>
        <w:bottom w:val="none" w:sz="0" w:space="0" w:color="auto"/>
        <w:right w:val="none" w:sz="0" w:space="0" w:color="auto"/>
      </w:divBdr>
    </w:div>
    <w:div w:id="1877696245">
      <w:bodyDiv w:val="1"/>
      <w:marLeft w:val="0"/>
      <w:marRight w:val="0"/>
      <w:marTop w:val="0"/>
      <w:marBottom w:val="0"/>
      <w:divBdr>
        <w:top w:val="none" w:sz="0" w:space="0" w:color="auto"/>
        <w:left w:val="none" w:sz="0" w:space="0" w:color="auto"/>
        <w:bottom w:val="none" w:sz="0" w:space="0" w:color="auto"/>
        <w:right w:val="none" w:sz="0" w:space="0" w:color="auto"/>
      </w:divBdr>
    </w:div>
    <w:div w:id="1965965151">
      <w:bodyDiv w:val="1"/>
      <w:marLeft w:val="0"/>
      <w:marRight w:val="0"/>
      <w:marTop w:val="0"/>
      <w:marBottom w:val="0"/>
      <w:divBdr>
        <w:top w:val="none" w:sz="0" w:space="0" w:color="auto"/>
        <w:left w:val="none" w:sz="0" w:space="0" w:color="auto"/>
        <w:bottom w:val="none" w:sz="0" w:space="0" w:color="auto"/>
        <w:right w:val="none" w:sz="0" w:space="0" w:color="auto"/>
      </w:divBdr>
    </w:div>
    <w:div w:id="21069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48</TotalTime>
  <Pages>32</Pages>
  <Words>11361</Words>
  <Characters>65270</Characters>
  <Application>Microsoft Office Word</Application>
  <DocSecurity>0</DocSecurity>
  <Lines>543</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2022120129, MT</dc:description>
  <cp:lastModifiedBy>Gitte Jørgensen</cp:lastModifiedBy>
  <cp:revision>10</cp:revision>
  <cp:lastPrinted>2006-02-24T09:31:00Z</cp:lastPrinted>
  <dcterms:created xsi:type="dcterms:W3CDTF">2024-02-09T14:06:00Z</dcterms:created>
  <dcterms:modified xsi:type="dcterms:W3CDTF">2024-02-14T10:19:00Z</dcterms:modified>
</cp:coreProperties>
</file>