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9AA" w:rsidRPr="008F49E1" w:rsidRDefault="00A729AA" w:rsidP="00A729AA">
      <w:pPr>
        <w:rPr>
          <w:sz w:val="24"/>
          <w:szCs w:val="24"/>
        </w:rPr>
      </w:pPr>
      <w:r w:rsidRPr="009260DE">
        <w:rPr>
          <w:noProof/>
          <w:sz w:val="24"/>
          <w:szCs w:val="24"/>
          <w:lang w:eastAsia="da-DK"/>
        </w:rPr>
        <w:drawing>
          <wp:anchor distT="0" distB="0" distL="114300" distR="114300" simplePos="0" relativeHeight="251659264" behindDoc="0" locked="0" layoutInCell="1" allowOverlap="1" wp14:anchorId="6E8C4C78" wp14:editId="175E7C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729AA" w:rsidRPr="00C84483" w:rsidRDefault="00A729AA" w:rsidP="00A729AA">
      <w:pPr>
        <w:pStyle w:val="Titel"/>
        <w:tabs>
          <w:tab w:val="right" w:pos="9356"/>
        </w:tabs>
        <w:jc w:val="left"/>
        <w:rPr>
          <w:b w:val="0"/>
          <w:szCs w:val="24"/>
          <w:lang w:eastAsia="en-US"/>
        </w:rPr>
      </w:pPr>
      <w:bookmarkStart w:id="0" w:name="_GoBack"/>
      <w:bookmarkEnd w:id="0"/>
    </w:p>
    <w:p w:rsidR="00A729AA" w:rsidRPr="00C84483" w:rsidRDefault="00A729AA" w:rsidP="004F17D8">
      <w:pPr>
        <w:pStyle w:val="Titel"/>
        <w:tabs>
          <w:tab w:val="right" w:pos="9356"/>
        </w:tabs>
        <w:jc w:val="left"/>
        <w:rPr>
          <w:b w:val="0"/>
          <w:szCs w:val="24"/>
          <w:lang w:eastAsia="en-US"/>
        </w:rPr>
      </w:pPr>
      <w:r w:rsidRPr="00C84483">
        <w:rPr>
          <w:b w:val="0"/>
          <w:szCs w:val="24"/>
          <w:lang w:eastAsia="en-US"/>
        </w:rPr>
        <w:tab/>
      </w:r>
      <w:r w:rsidR="004F17D8">
        <w:rPr>
          <w:szCs w:val="24"/>
        </w:rPr>
        <w:t>18</w:t>
      </w:r>
      <w:r>
        <w:rPr>
          <w:szCs w:val="24"/>
        </w:rPr>
        <w:t xml:space="preserve">. </w:t>
      </w:r>
      <w:r w:rsidR="004F17D8">
        <w:rPr>
          <w:szCs w:val="24"/>
        </w:rPr>
        <w:t>december</w:t>
      </w:r>
      <w:r>
        <w:rPr>
          <w:szCs w:val="24"/>
        </w:rPr>
        <w:t xml:space="preserve"> 20</w:t>
      </w:r>
      <w:r w:rsidR="00CB7AE1">
        <w:rPr>
          <w:szCs w:val="24"/>
        </w:rPr>
        <w:t>2</w:t>
      </w:r>
      <w:r w:rsidR="004F17D8">
        <w:rPr>
          <w:szCs w:val="24"/>
        </w:rPr>
        <w:t>3</w:t>
      </w:r>
    </w:p>
    <w:p w:rsidR="00A729AA" w:rsidRPr="00C84483" w:rsidRDefault="00A729AA" w:rsidP="00A729AA">
      <w:pPr>
        <w:pStyle w:val="Titel"/>
        <w:jc w:val="left"/>
        <w:rPr>
          <w:b w:val="0"/>
          <w:szCs w:val="24"/>
        </w:rPr>
      </w:pPr>
    </w:p>
    <w:p w:rsidR="00A729AA" w:rsidRPr="00C84483" w:rsidRDefault="00A729AA" w:rsidP="00A729AA">
      <w:pPr>
        <w:pStyle w:val="Titel"/>
        <w:jc w:val="left"/>
        <w:rPr>
          <w:b w:val="0"/>
          <w:szCs w:val="24"/>
        </w:rPr>
      </w:pPr>
    </w:p>
    <w:p w:rsidR="00A729AA" w:rsidRPr="00C84483" w:rsidRDefault="00A729AA" w:rsidP="00A729AA">
      <w:pPr>
        <w:jc w:val="center"/>
        <w:rPr>
          <w:b/>
          <w:sz w:val="24"/>
          <w:szCs w:val="24"/>
        </w:rPr>
      </w:pPr>
      <w:r w:rsidRPr="00C84483">
        <w:rPr>
          <w:b/>
          <w:sz w:val="24"/>
          <w:szCs w:val="24"/>
        </w:rPr>
        <w:t>PRODUKTRESUMÉ</w:t>
      </w:r>
    </w:p>
    <w:p w:rsidR="00A729AA" w:rsidRPr="00C84483" w:rsidRDefault="00A729AA" w:rsidP="00A729AA">
      <w:pPr>
        <w:jc w:val="center"/>
        <w:rPr>
          <w:b/>
          <w:sz w:val="24"/>
          <w:szCs w:val="24"/>
        </w:rPr>
      </w:pPr>
    </w:p>
    <w:p w:rsidR="00A729AA" w:rsidRDefault="00A729AA" w:rsidP="00A729AA">
      <w:pPr>
        <w:jc w:val="center"/>
        <w:rPr>
          <w:b/>
          <w:sz w:val="24"/>
          <w:szCs w:val="24"/>
        </w:rPr>
      </w:pPr>
      <w:r w:rsidRPr="00C84483">
        <w:rPr>
          <w:b/>
          <w:sz w:val="24"/>
          <w:szCs w:val="24"/>
        </w:rPr>
        <w:t>for</w:t>
      </w:r>
    </w:p>
    <w:p w:rsidR="00A729AA" w:rsidRPr="00C84483" w:rsidRDefault="00A729AA" w:rsidP="00A729AA">
      <w:pPr>
        <w:jc w:val="center"/>
        <w:rPr>
          <w:b/>
          <w:sz w:val="24"/>
          <w:szCs w:val="24"/>
        </w:rPr>
      </w:pPr>
    </w:p>
    <w:p w:rsidR="00A729AA" w:rsidRPr="00C84483" w:rsidRDefault="00A729AA" w:rsidP="00A729AA">
      <w:pPr>
        <w:jc w:val="center"/>
        <w:rPr>
          <w:b/>
          <w:sz w:val="24"/>
          <w:szCs w:val="24"/>
        </w:rPr>
      </w:pPr>
      <w:proofErr w:type="spellStart"/>
      <w:r>
        <w:rPr>
          <w:b/>
          <w:sz w:val="24"/>
          <w:szCs w:val="24"/>
        </w:rPr>
        <w:t>Nitrazepam</w:t>
      </w:r>
      <w:proofErr w:type="spellEnd"/>
      <w:r>
        <w:rPr>
          <w:b/>
          <w:sz w:val="24"/>
          <w:szCs w:val="24"/>
        </w:rPr>
        <w:t xml:space="preserve"> "</w:t>
      </w:r>
      <w:proofErr w:type="spellStart"/>
      <w:r>
        <w:rPr>
          <w:b/>
          <w:sz w:val="24"/>
          <w:szCs w:val="24"/>
        </w:rPr>
        <w:t>Accord</w:t>
      </w:r>
      <w:proofErr w:type="spellEnd"/>
      <w:r>
        <w:rPr>
          <w:b/>
          <w:sz w:val="24"/>
          <w:szCs w:val="24"/>
        </w:rPr>
        <w:t>", tabletter</w:t>
      </w:r>
    </w:p>
    <w:p w:rsidR="00A729AA" w:rsidRPr="00C84483" w:rsidRDefault="00A729AA" w:rsidP="00A729AA">
      <w:pPr>
        <w:jc w:val="both"/>
        <w:rPr>
          <w:sz w:val="24"/>
          <w:szCs w:val="24"/>
        </w:rPr>
      </w:pPr>
    </w:p>
    <w:p w:rsidR="00A729AA" w:rsidRPr="00C84483" w:rsidRDefault="00A729AA" w:rsidP="00A729AA">
      <w:pPr>
        <w:jc w:val="both"/>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0.</w:t>
      </w:r>
      <w:r w:rsidRPr="00C84483">
        <w:rPr>
          <w:b/>
          <w:sz w:val="24"/>
          <w:szCs w:val="24"/>
        </w:rPr>
        <w:tab/>
        <w:t>D.SP.NR.</w:t>
      </w:r>
    </w:p>
    <w:p w:rsidR="00A729AA" w:rsidRPr="00C84483" w:rsidRDefault="00A729AA" w:rsidP="00A729AA">
      <w:pPr>
        <w:tabs>
          <w:tab w:val="left" w:pos="851"/>
        </w:tabs>
        <w:ind w:left="851"/>
        <w:rPr>
          <w:sz w:val="24"/>
          <w:szCs w:val="24"/>
        </w:rPr>
      </w:pPr>
      <w:r>
        <w:rPr>
          <w:sz w:val="24"/>
          <w:szCs w:val="24"/>
        </w:rPr>
        <w:t>29561</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1.</w:t>
      </w:r>
      <w:r w:rsidRPr="00C84483">
        <w:rPr>
          <w:b/>
          <w:sz w:val="24"/>
          <w:szCs w:val="24"/>
        </w:rPr>
        <w:tab/>
        <w:t>LÆGEMIDLETS NAVN</w:t>
      </w:r>
    </w:p>
    <w:p w:rsidR="00A729AA" w:rsidRPr="00C84483" w:rsidRDefault="00A729AA" w:rsidP="00A729AA">
      <w:pPr>
        <w:tabs>
          <w:tab w:val="left" w:pos="851"/>
        </w:tabs>
        <w:ind w:left="851"/>
        <w:rPr>
          <w:sz w:val="24"/>
          <w:szCs w:val="24"/>
        </w:rPr>
      </w:pPr>
      <w:proofErr w:type="spellStart"/>
      <w:r>
        <w:rPr>
          <w:sz w:val="24"/>
          <w:szCs w:val="24"/>
        </w:rPr>
        <w:t>Nitrazepam</w:t>
      </w:r>
      <w:proofErr w:type="spellEnd"/>
      <w:r>
        <w:rPr>
          <w:sz w:val="24"/>
          <w:szCs w:val="24"/>
        </w:rPr>
        <w:t xml:space="preserve"> "</w:t>
      </w:r>
      <w:proofErr w:type="spellStart"/>
      <w:r>
        <w:rPr>
          <w:sz w:val="24"/>
          <w:szCs w:val="24"/>
        </w:rPr>
        <w:t>Accord</w:t>
      </w:r>
      <w:proofErr w:type="spellEnd"/>
      <w:r>
        <w:rPr>
          <w:sz w:val="24"/>
          <w:szCs w:val="24"/>
        </w:rPr>
        <w:t>"</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Hver tablet indeholder 5 mg </w:t>
      </w:r>
      <w:proofErr w:type="spellStart"/>
      <w:r w:rsidRPr="00010D37">
        <w:rPr>
          <w:sz w:val="24"/>
          <w:szCs w:val="24"/>
          <w:lang w:eastAsia="da-DK"/>
        </w:rPr>
        <w:t>nitrazepam</w:t>
      </w:r>
      <w:proofErr w:type="spellEnd"/>
      <w:r w:rsidRPr="00010D37">
        <w:rPr>
          <w:sz w:val="24"/>
          <w:szCs w:val="24"/>
          <w:lang w:eastAsia="da-DK"/>
        </w:rPr>
        <w:t>.</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ind w:left="851"/>
        <w:rPr>
          <w:sz w:val="24"/>
          <w:szCs w:val="24"/>
          <w:u w:val="single"/>
          <w:lang w:eastAsia="da-DK"/>
        </w:rPr>
      </w:pPr>
      <w:r w:rsidRPr="00010D37">
        <w:rPr>
          <w:sz w:val="24"/>
          <w:szCs w:val="24"/>
          <w:u w:val="single"/>
          <w:lang w:eastAsia="da-DK"/>
        </w:rPr>
        <w:t>Hjælpestof, som beh</w:t>
      </w:r>
      <w:r>
        <w:rPr>
          <w:sz w:val="24"/>
          <w:szCs w:val="24"/>
          <w:u w:val="single"/>
          <w:lang w:eastAsia="da-DK"/>
        </w:rPr>
        <w:t>andleren skal være opmærksom på</w:t>
      </w:r>
    </w:p>
    <w:p w:rsidR="00A729AA" w:rsidRPr="00010D37" w:rsidRDefault="00A729AA" w:rsidP="00A729AA">
      <w:pPr>
        <w:ind w:left="851"/>
        <w:rPr>
          <w:sz w:val="24"/>
          <w:szCs w:val="24"/>
          <w:lang w:eastAsia="da-DK"/>
        </w:rPr>
      </w:pPr>
      <w:r w:rsidRPr="00010D37">
        <w:rPr>
          <w:sz w:val="24"/>
          <w:szCs w:val="24"/>
          <w:lang w:eastAsia="da-DK"/>
        </w:rPr>
        <w:t xml:space="preserve">Hver tablet indeholder 95 mg </w:t>
      </w:r>
      <w:proofErr w:type="spellStart"/>
      <w:r w:rsidRPr="00010D37">
        <w:rPr>
          <w:sz w:val="24"/>
          <w:szCs w:val="24"/>
          <w:lang w:eastAsia="da-DK"/>
        </w:rPr>
        <w:t>la</w:t>
      </w:r>
      <w:r>
        <w:rPr>
          <w:sz w:val="24"/>
          <w:szCs w:val="24"/>
          <w:lang w:eastAsia="da-DK"/>
        </w:rPr>
        <w:t>c</w:t>
      </w:r>
      <w:r w:rsidRPr="00010D37">
        <w:rPr>
          <w:sz w:val="24"/>
          <w:szCs w:val="24"/>
          <w:lang w:eastAsia="da-DK"/>
        </w:rPr>
        <w:t>tose</w:t>
      </w:r>
      <w:proofErr w:type="spellEnd"/>
      <w:r w:rsidRPr="00010D37">
        <w:rPr>
          <w:sz w:val="24"/>
          <w:szCs w:val="24"/>
          <w:lang w:eastAsia="da-DK"/>
        </w:rPr>
        <w:t>.</w:t>
      </w:r>
    </w:p>
    <w:p w:rsidR="00A729AA" w:rsidRPr="00010D37" w:rsidRDefault="00A729AA" w:rsidP="00A729AA">
      <w:pPr>
        <w:widowControl w:val="0"/>
        <w:autoSpaceDE w:val="0"/>
        <w:autoSpaceDN w:val="0"/>
        <w:adjustRightInd w:val="0"/>
        <w:ind w:left="851" w:right="-20"/>
        <w:rPr>
          <w:spacing w:val="-1"/>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r w:rsidRPr="00010D37">
        <w:rPr>
          <w:spacing w:val="-1"/>
          <w:sz w:val="24"/>
          <w:szCs w:val="24"/>
          <w:lang w:eastAsia="da-DK"/>
        </w:rPr>
        <w:t>Alle hjælpestoffer er anført under pkt. 6.1.</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3.</w:t>
      </w:r>
      <w:r w:rsidRPr="00C84483">
        <w:rPr>
          <w:b/>
          <w:sz w:val="24"/>
          <w:szCs w:val="24"/>
        </w:rPr>
        <w:tab/>
        <w:t>LÆGEMIDDELFORM</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Tablet</w:t>
      </w:r>
      <w:r>
        <w:rPr>
          <w:sz w:val="24"/>
          <w:szCs w:val="24"/>
          <w:lang w:eastAsia="da-DK"/>
        </w:rPr>
        <w:t>ter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tabs>
          <w:tab w:val="left" w:pos="3700"/>
          <w:tab w:val="left" w:pos="4120"/>
        </w:tabs>
        <w:autoSpaceDE w:val="0"/>
        <w:autoSpaceDN w:val="0"/>
        <w:adjustRightInd w:val="0"/>
        <w:ind w:left="851" w:right="-20"/>
        <w:rPr>
          <w:sz w:val="24"/>
          <w:szCs w:val="24"/>
          <w:lang w:eastAsia="da-DK"/>
        </w:rPr>
      </w:pPr>
      <w:r w:rsidRPr="00010D37">
        <w:rPr>
          <w:sz w:val="24"/>
          <w:szCs w:val="24"/>
          <w:lang w:eastAsia="da-DK"/>
        </w:rPr>
        <w:t>Hvid til råhvid, rund, flad tablet med skrå kant, præget med ”DM” på den ene side og glat på den anden side.</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w:t>
      </w:r>
      <w:r w:rsidRPr="00C84483">
        <w:rPr>
          <w:b/>
          <w:sz w:val="24"/>
          <w:szCs w:val="24"/>
        </w:rPr>
        <w:tab/>
        <w:t>KLINISKE OPLYSNINGER</w:t>
      </w:r>
    </w:p>
    <w:p w:rsidR="00A729AA" w:rsidRPr="00C84483" w:rsidRDefault="00A729AA" w:rsidP="00A729AA">
      <w:pPr>
        <w:tabs>
          <w:tab w:val="left" w:pos="851"/>
        </w:tabs>
        <w:ind w:left="851"/>
        <w:rPr>
          <w:b/>
          <w:sz w:val="24"/>
          <w:szCs w:val="24"/>
        </w:rPr>
      </w:pPr>
    </w:p>
    <w:p w:rsidR="00A729AA" w:rsidRPr="00C84483" w:rsidRDefault="00A729AA" w:rsidP="00A729A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Kortvarig behandling af søvnløshed, når det er alvorligt, invaliderende eller udsætter patienten for uacceptabel lidelse, hvor sedation i dagtimerne er acceptabelt.</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Den underliggende årsag til søvnløshed bør undersøges, før der træffes beslutning om brug af benzodiazepiner for symptomlindring.</w:t>
      </w:r>
    </w:p>
    <w:p w:rsidR="00A729AA" w:rsidRPr="00010D37" w:rsidRDefault="00A729AA"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r w:rsidRPr="00010D37">
        <w:rPr>
          <w:spacing w:val="-2"/>
          <w:sz w:val="24"/>
          <w:szCs w:val="24"/>
          <w:lang w:eastAsia="da-DK"/>
        </w:rPr>
        <w:t>Benzodiazepiner anbefales ikke til primær behandling af psykotisk sygdom.</w:t>
      </w:r>
    </w:p>
    <w:p w:rsidR="00A729AA" w:rsidRDefault="00A729AA" w:rsidP="00A729AA">
      <w:pPr>
        <w:rPr>
          <w:sz w:val="24"/>
          <w:szCs w:val="24"/>
        </w:rPr>
      </w:pPr>
      <w:r>
        <w:rPr>
          <w:sz w:val="24"/>
          <w:szCs w:val="24"/>
        </w:rPr>
        <w:br w:type="page"/>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4F17D8">
        <w:rPr>
          <w:b/>
          <w:sz w:val="24"/>
          <w:szCs w:val="24"/>
        </w:rPr>
        <w:t>administration</w:t>
      </w:r>
    </w:p>
    <w:p w:rsidR="00A729AA" w:rsidRPr="00010D37" w:rsidRDefault="00A729AA" w:rsidP="00A729AA">
      <w:pPr>
        <w:widowControl w:val="0"/>
        <w:tabs>
          <w:tab w:val="left" w:pos="3293"/>
        </w:tabs>
        <w:autoSpaceDE w:val="0"/>
        <w:autoSpaceDN w:val="0"/>
        <w:adjustRightInd w:val="0"/>
        <w:ind w:left="851" w:right="-20"/>
        <w:rPr>
          <w:sz w:val="24"/>
          <w:szCs w:val="24"/>
          <w:lang w:eastAsia="da-DK"/>
        </w:rPr>
      </w:pPr>
      <w:r w:rsidRPr="00010D37">
        <w:rPr>
          <w:sz w:val="24"/>
          <w:szCs w:val="24"/>
          <w:lang w:eastAsia="da-DK"/>
        </w:rPr>
        <w:tab/>
      </w:r>
    </w:p>
    <w:p w:rsidR="00A729AA" w:rsidRPr="00010D37" w:rsidRDefault="00A729AA" w:rsidP="00A729AA">
      <w:pPr>
        <w:widowControl w:val="0"/>
        <w:autoSpaceDE w:val="0"/>
        <w:autoSpaceDN w:val="0"/>
        <w:adjustRightInd w:val="0"/>
        <w:ind w:left="851" w:right="-20"/>
        <w:rPr>
          <w:b/>
          <w:iCs/>
          <w:sz w:val="24"/>
          <w:szCs w:val="24"/>
          <w:lang w:eastAsia="da-DK"/>
        </w:rPr>
      </w:pPr>
      <w:r>
        <w:rPr>
          <w:b/>
          <w:sz w:val="24"/>
          <w:szCs w:val="24"/>
          <w:lang w:eastAsia="da-DK"/>
        </w:rPr>
        <w:t>Dosering</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bCs/>
          <w:sz w:val="24"/>
          <w:szCs w:val="24"/>
          <w:u w:val="single"/>
          <w:lang w:eastAsia="da-DK"/>
        </w:rPr>
      </w:pPr>
      <w:r w:rsidRPr="00010D37">
        <w:rPr>
          <w:sz w:val="24"/>
          <w:szCs w:val="24"/>
          <w:u w:val="single"/>
          <w:lang w:eastAsia="da-DK"/>
        </w:rPr>
        <w:t>Voksne</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5 mg før patienten går til hvile. Denne dosis kan om nødvendigt øges til 10 mg.</w:t>
      </w:r>
    </w:p>
    <w:p w:rsidR="00A729AA" w:rsidRPr="00010D37" w:rsidRDefault="00A729AA" w:rsidP="00A729AA">
      <w:pPr>
        <w:widowControl w:val="0"/>
        <w:autoSpaceDE w:val="0"/>
        <w:autoSpaceDN w:val="0"/>
        <w:adjustRightInd w:val="0"/>
        <w:ind w:left="851" w:right="-20"/>
        <w:rPr>
          <w:b/>
          <w:bCs/>
          <w:spacing w:val="1"/>
          <w:sz w:val="24"/>
          <w:szCs w:val="24"/>
          <w:lang w:eastAsia="da-DK"/>
        </w:rPr>
      </w:pPr>
    </w:p>
    <w:p w:rsidR="00A729AA" w:rsidRPr="00010D37" w:rsidRDefault="00A729AA" w:rsidP="00A729AA">
      <w:pPr>
        <w:widowControl w:val="0"/>
        <w:autoSpaceDE w:val="0"/>
        <w:autoSpaceDN w:val="0"/>
        <w:adjustRightInd w:val="0"/>
        <w:ind w:left="851" w:right="-20"/>
        <w:rPr>
          <w:bCs/>
          <w:sz w:val="24"/>
          <w:szCs w:val="24"/>
          <w:u w:val="single"/>
          <w:lang w:eastAsia="da-DK"/>
        </w:rPr>
      </w:pPr>
      <w:r w:rsidRPr="00010D37">
        <w:rPr>
          <w:spacing w:val="1"/>
          <w:sz w:val="24"/>
          <w:szCs w:val="24"/>
          <w:u w:val="single"/>
          <w:lang w:eastAsia="da-DK"/>
        </w:rPr>
        <w:t>Ældre</w:t>
      </w:r>
    </w:p>
    <w:p w:rsidR="00A729AA" w:rsidRPr="00010D37" w:rsidRDefault="00A729AA" w:rsidP="00A729AA">
      <w:pPr>
        <w:widowControl w:val="0"/>
        <w:autoSpaceDE w:val="0"/>
        <w:autoSpaceDN w:val="0"/>
        <w:adjustRightInd w:val="0"/>
        <w:ind w:left="851" w:right="-20"/>
        <w:rPr>
          <w:sz w:val="24"/>
          <w:szCs w:val="24"/>
          <w:lang w:eastAsia="da-DK"/>
        </w:rPr>
      </w:pPr>
      <w:r w:rsidRPr="00010D37">
        <w:rPr>
          <w:i/>
          <w:sz w:val="24"/>
          <w:szCs w:val="24"/>
          <w:lang w:eastAsia="da-DK"/>
        </w:rPr>
        <w:t xml:space="preserve">Ældre eller svækkede </w:t>
      </w:r>
      <w:r w:rsidRPr="00010D37">
        <w:rPr>
          <w:sz w:val="24"/>
          <w:szCs w:val="24"/>
          <w:lang w:eastAsia="da-DK"/>
        </w:rPr>
        <w:t>patienter:</w:t>
      </w:r>
      <w:r>
        <w:rPr>
          <w:sz w:val="24"/>
          <w:szCs w:val="24"/>
          <w:lang w:eastAsia="da-DK"/>
        </w:rPr>
        <w:t xml:space="preserve"> Æ</w:t>
      </w:r>
      <w:r w:rsidRPr="00010D37">
        <w:rPr>
          <w:sz w:val="24"/>
          <w:szCs w:val="24"/>
          <w:lang w:eastAsia="da-DK"/>
        </w:rPr>
        <w:t xml:space="preserve">ldre eller patienter med nedsat nyre- og/eller leverfunktion vil være særligt udsatte for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r w:rsidRPr="00010D37">
        <w:rPr>
          <w:sz w:val="24"/>
          <w:szCs w:val="24"/>
          <w:lang w:eastAsia="da-DK"/>
        </w:rPr>
        <w:t>s</w:t>
      </w:r>
      <w:proofErr w:type="spellEnd"/>
      <w:r w:rsidRPr="00010D37">
        <w:rPr>
          <w:sz w:val="24"/>
          <w:szCs w:val="24"/>
          <w:lang w:eastAsia="da-DK"/>
        </w:rPr>
        <w:t xml:space="preserve"> bivirkninger. Dosis bør ikke overstige halvdelen af den normalt anbefalede dosis. </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 xml:space="preserve">Hvis der forefindes organiske hjerneændringer, må doseringen af </w:t>
      </w:r>
      <w:proofErr w:type="spellStart"/>
      <w:r>
        <w:rPr>
          <w:spacing w:val="-3"/>
          <w:sz w:val="24"/>
          <w:szCs w:val="24"/>
          <w:lang w:eastAsia="da-DK"/>
        </w:rPr>
        <w:t>Nitrazepam</w:t>
      </w:r>
      <w:proofErr w:type="spellEnd"/>
      <w:r>
        <w:rPr>
          <w:spacing w:val="-3"/>
          <w:sz w:val="24"/>
          <w:szCs w:val="24"/>
          <w:lang w:eastAsia="da-DK"/>
        </w:rPr>
        <w:t xml:space="preserve"> "</w:t>
      </w:r>
      <w:proofErr w:type="spellStart"/>
      <w:r>
        <w:rPr>
          <w:spacing w:val="-3"/>
          <w:sz w:val="24"/>
          <w:szCs w:val="24"/>
          <w:lang w:eastAsia="da-DK"/>
        </w:rPr>
        <w:t>Accord</w:t>
      </w:r>
      <w:proofErr w:type="spellEnd"/>
      <w:r>
        <w:rPr>
          <w:spacing w:val="-3"/>
          <w:sz w:val="24"/>
          <w:szCs w:val="24"/>
          <w:lang w:eastAsia="da-DK"/>
        </w:rPr>
        <w:t>"</w:t>
      </w:r>
      <w:r w:rsidRPr="00010D37">
        <w:rPr>
          <w:spacing w:val="-3"/>
          <w:sz w:val="24"/>
          <w:szCs w:val="24"/>
          <w:lang w:eastAsia="da-DK"/>
        </w:rPr>
        <w:t xml:space="preserve"> ikke overstige 5 mg hos disse patienter.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bCs/>
          <w:spacing w:val="1"/>
          <w:sz w:val="24"/>
          <w:szCs w:val="24"/>
          <w:u w:val="single"/>
          <w:lang w:eastAsia="da-DK"/>
        </w:rPr>
      </w:pPr>
      <w:r w:rsidRPr="00010D37">
        <w:rPr>
          <w:spacing w:val="1"/>
          <w:sz w:val="24"/>
          <w:szCs w:val="24"/>
          <w:u w:val="single"/>
          <w:lang w:eastAsia="da-DK"/>
        </w:rPr>
        <w:t>Andre populationer</w:t>
      </w: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 xml:space="preserve">Det kan være nødvendigt at reducere dosis hos patienter med kronisk </w:t>
      </w:r>
      <w:proofErr w:type="spellStart"/>
      <w:r w:rsidRPr="00010D37">
        <w:rPr>
          <w:spacing w:val="-3"/>
          <w:sz w:val="24"/>
          <w:szCs w:val="24"/>
          <w:lang w:eastAsia="da-DK"/>
        </w:rPr>
        <w:t>pulmonal</w:t>
      </w:r>
      <w:proofErr w:type="spellEnd"/>
      <w:r w:rsidRPr="00010D37">
        <w:rPr>
          <w:spacing w:val="-3"/>
          <w:sz w:val="24"/>
          <w:szCs w:val="24"/>
          <w:lang w:eastAsia="da-DK"/>
        </w:rPr>
        <w:t xml:space="preserve"> insufficiens og hos patienter med kronisk nyre- eller leversygdom.</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bCs/>
          <w:i/>
          <w:spacing w:val="1"/>
          <w:sz w:val="24"/>
          <w:szCs w:val="24"/>
          <w:lang w:eastAsia="da-DK"/>
        </w:rPr>
      </w:pPr>
      <w:r w:rsidRPr="00010D37">
        <w:rPr>
          <w:i/>
          <w:spacing w:val="-3"/>
          <w:sz w:val="24"/>
          <w:szCs w:val="24"/>
          <w:lang w:eastAsia="da-DK"/>
        </w:rPr>
        <w:t>Pædiatrisk population</w:t>
      </w:r>
    </w:p>
    <w:p w:rsidR="00A729AA" w:rsidRPr="00010D37"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xml:space="preserve"> er kontraindiceret til brug hos børn.</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Dosis bør justeres individuelt. Behandlingen bør om muligt være på en intermitterende basis.</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Behandlingen bør være så kort som muligt og skal opstartes med den laveste anbefalede dosis. Den maksimale dosis må ikke overskrides. B​</w:t>
      </w:r>
      <w:proofErr w:type="spellStart"/>
      <w:r w:rsidRPr="00010D37">
        <w:rPr>
          <w:sz w:val="24"/>
          <w:szCs w:val="24"/>
          <w:lang w:eastAsia="da-DK"/>
        </w:rPr>
        <w:t>ehandlingsvarighed</w:t>
      </w:r>
      <w:proofErr w:type="spellEnd"/>
      <w:r w:rsidRPr="00010D37">
        <w:rPr>
          <w:sz w:val="24"/>
          <w:szCs w:val="24"/>
          <w:lang w:eastAsia="da-DK"/>
        </w:rPr>
        <w:t xml:space="preserve"> varierer generelt fra et par dage til to uger, dog højst fire uger inkl. nedtrapning. Patienter, der har taget benzodiazepiner i længere tid, kan være nødt til at have en længere periode, hvor doserne reduceres. Speciallægehjælp kan være hensigtsmæssig. Der er begrænset viden om benzodiazepiners effekt og sikkerhed ved langtidsbrug.</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 xml:space="preserve">I visse tilfælde kan forlængelse ud over den maksimale behandlingsperiode være nødvendigt; i så tilfælde bør det ikke ske uden revurdering af patientens tilstand. Langvarig kronisk brug frarådes. Det kan være hensigtsmæssigt ved behandlingens start at informere patienten om, at behandlingen vil være af begrænset varighed og at forklare præcist, hvordan dosis nedsættes gradvist. Det er endvidere vigtigt, at patienten er klar over muligheden for </w:t>
      </w:r>
      <w:proofErr w:type="spellStart"/>
      <w:r w:rsidRPr="00010D37">
        <w:rPr>
          <w:spacing w:val="-3"/>
          <w:sz w:val="24"/>
          <w:szCs w:val="24"/>
          <w:lang w:eastAsia="da-DK"/>
        </w:rPr>
        <w:t>rebound</w:t>
      </w:r>
      <w:proofErr w:type="spellEnd"/>
      <w:r w:rsidRPr="00010D37">
        <w:rPr>
          <w:spacing w:val="-3"/>
          <w:sz w:val="24"/>
          <w:szCs w:val="24"/>
          <w:lang w:eastAsia="da-DK"/>
        </w:rPr>
        <w:t xml:space="preserve"> effekt (se </w:t>
      </w:r>
      <w:r w:rsidRPr="00010D37">
        <w:rPr>
          <w:i/>
          <w:spacing w:val="-3"/>
          <w:sz w:val="24"/>
          <w:szCs w:val="24"/>
          <w:lang w:eastAsia="da-DK"/>
        </w:rPr>
        <w:t>Bivirkninger</w:t>
      </w:r>
      <w:r w:rsidRPr="00010D37">
        <w:rPr>
          <w:spacing w:val="-3"/>
          <w:sz w:val="24"/>
          <w:szCs w:val="24"/>
          <w:lang w:eastAsia="da-DK"/>
        </w:rPr>
        <w:t xml:space="preserve">) for derved at minimere angsten for sådanne symptomer, hvis de skulle forekomme, mens behandlingen aftrappes. Behandling med </w:t>
      </w:r>
      <w:proofErr w:type="spellStart"/>
      <w:r>
        <w:rPr>
          <w:spacing w:val="-3"/>
          <w:sz w:val="24"/>
          <w:szCs w:val="24"/>
          <w:lang w:eastAsia="da-DK"/>
        </w:rPr>
        <w:t>Nitrazepam</w:t>
      </w:r>
      <w:proofErr w:type="spellEnd"/>
      <w:r>
        <w:rPr>
          <w:spacing w:val="-3"/>
          <w:sz w:val="24"/>
          <w:szCs w:val="24"/>
          <w:lang w:eastAsia="da-DK"/>
        </w:rPr>
        <w:t xml:space="preserve"> "</w:t>
      </w:r>
      <w:proofErr w:type="spellStart"/>
      <w:r>
        <w:rPr>
          <w:spacing w:val="-3"/>
          <w:sz w:val="24"/>
          <w:szCs w:val="24"/>
          <w:lang w:eastAsia="da-DK"/>
        </w:rPr>
        <w:t>Accord</w:t>
      </w:r>
      <w:proofErr w:type="spellEnd"/>
      <w:r>
        <w:rPr>
          <w:spacing w:val="-3"/>
          <w:sz w:val="24"/>
          <w:szCs w:val="24"/>
          <w:lang w:eastAsia="da-DK"/>
        </w:rPr>
        <w:t>"</w:t>
      </w:r>
      <w:r w:rsidRPr="00010D37">
        <w:rPr>
          <w:spacing w:val="-3"/>
          <w:sz w:val="24"/>
          <w:szCs w:val="24"/>
          <w:lang w:eastAsia="da-DK"/>
        </w:rPr>
        <w:t xml:space="preserve"> bør ikke seponeres pludseligt, men dosis nedsættes gradvist.</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Produktet bør tages lige før sengetid.</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Det skal desuden understreges, for langtidsvirkende benzodiazepiner, at patienten bør kontrolleres regelmæssigt i starten af ​​behandling for, hvis nødvendigt, at nedsætte dosis eller hyppighed for at forhindre overdosering på grund af ophobning.</w:t>
      </w:r>
    </w:p>
    <w:p w:rsidR="00A729AA" w:rsidRPr="00010D37" w:rsidRDefault="00A729AA" w:rsidP="00A729AA">
      <w:pPr>
        <w:widowControl w:val="0"/>
        <w:autoSpaceDE w:val="0"/>
        <w:autoSpaceDN w:val="0"/>
        <w:adjustRightInd w:val="0"/>
        <w:ind w:left="851" w:right="-20"/>
        <w:rPr>
          <w:i/>
          <w:iCs/>
          <w:sz w:val="24"/>
          <w:szCs w:val="24"/>
          <w:lang w:eastAsia="da-DK"/>
        </w:rPr>
      </w:pPr>
    </w:p>
    <w:p w:rsidR="00A729AA" w:rsidRPr="004F17D8" w:rsidRDefault="00A729AA" w:rsidP="00A729AA">
      <w:pPr>
        <w:widowControl w:val="0"/>
        <w:autoSpaceDE w:val="0"/>
        <w:autoSpaceDN w:val="0"/>
        <w:adjustRightInd w:val="0"/>
        <w:ind w:left="851" w:right="-20"/>
        <w:rPr>
          <w:sz w:val="24"/>
          <w:szCs w:val="24"/>
          <w:u w:val="single"/>
          <w:lang w:eastAsia="da-DK"/>
        </w:rPr>
      </w:pPr>
      <w:r w:rsidRPr="004F17D8">
        <w:rPr>
          <w:sz w:val="24"/>
          <w:szCs w:val="24"/>
          <w:u w:val="single"/>
          <w:lang w:eastAsia="da-DK"/>
        </w:rPr>
        <w:t>Administration</w:t>
      </w:r>
    </w:p>
    <w:p w:rsidR="00A729AA" w:rsidRPr="00C84483"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xml:space="preserve"> er til oral administration.</w:t>
      </w:r>
    </w:p>
    <w:p w:rsidR="00A729AA" w:rsidRPr="00C84483" w:rsidRDefault="00A729AA" w:rsidP="00A729AA">
      <w:pPr>
        <w:tabs>
          <w:tab w:val="left" w:pos="851"/>
        </w:tabs>
        <w:ind w:left="851"/>
        <w:rPr>
          <w:sz w:val="24"/>
          <w:szCs w:val="24"/>
        </w:rPr>
      </w:pPr>
    </w:p>
    <w:p w:rsidR="00A729AA" w:rsidRPr="00F21F29" w:rsidRDefault="00A729AA" w:rsidP="00A729AA">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Patienter med kendt overfølsomhed over for benzodiazepiner, </w:t>
      </w:r>
      <w:proofErr w:type="spellStart"/>
      <w:r w:rsidRPr="00010D37">
        <w:rPr>
          <w:sz w:val="24"/>
          <w:szCs w:val="24"/>
          <w:lang w:eastAsia="da-DK"/>
        </w:rPr>
        <w:t>nitrazepam</w:t>
      </w:r>
      <w:proofErr w:type="spellEnd"/>
      <w:r w:rsidRPr="00010D37">
        <w:rPr>
          <w:sz w:val="24"/>
          <w:szCs w:val="24"/>
          <w:lang w:eastAsia="da-DK"/>
        </w:rPr>
        <w:t xml:space="preserve"> eller over for et eller flere af hjælpestofferne anført i punkt 6.1.</w:t>
      </w:r>
    </w:p>
    <w:p w:rsidR="00A729AA" w:rsidRPr="00010D37" w:rsidRDefault="00A729AA" w:rsidP="00A729AA">
      <w:pPr>
        <w:widowControl w:val="0"/>
        <w:autoSpaceDE w:val="0"/>
        <w:autoSpaceDN w:val="0"/>
        <w:adjustRightInd w:val="0"/>
        <w:ind w:left="851" w:right="-20"/>
        <w:rPr>
          <w:spacing w:val="2"/>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2"/>
          <w:sz w:val="24"/>
          <w:szCs w:val="24"/>
          <w:lang w:eastAsia="da-DK"/>
        </w:rPr>
        <w:t xml:space="preserve">Der er i sjældne tilfælde rapporteret om overfølsomhedsreaktioner med benzodiazepiner, herunder udslæt, </w:t>
      </w:r>
      <w:proofErr w:type="spellStart"/>
      <w:r w:rsidRPr="00010D37">
        <w:rPr>
          <w:spacing w:val="2"/>
          <w:sz w:val="24"/>
          <w:szCs w:val="24"/>
          <w:lang w:eastAsia="da-DK"/>
        </w:rPr>
        <w:t>angioødem</w:t>
      </w:r>
      <w:proofErr w:type="spellEnd"/>
      <w:r w:rsidRPr="00010D37">
        <w:rPr>
          <w:spacing w:val="2"/>
          <w:sz w:val="24"/>
          <w:szCs w:val="24"/>
          <w:lang w:eastAsia="da-DK"/>
        </w:rPr>
        <w:t xml:space="preserve"> og hypertension hos disponerede patienter.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Anvendelse af dette lægemiddel er også kontraindiceret hos patienter med akut lungesvigt; respiratorisk depression; fobiske eller </w:t>
      </w:r>
      <w:proofErr w:type="spellStart"/>
      <w:r w:rsidRPr="00010D37">
        <w:rPr>
          <w:sz w:val="24"/>
          <w:szCs w:val="24"/>
          <w:lang w:eastAsia="da-DK"/>
        </w:rPr>
        <w:t>obsessionelle</w:t>
      </w:r>
      <w:proofErr w:type="spellEnd"/>
      <w:r w:rsidRPr="00010D37">
        <w:rPr>
          <w:sz w:val="24"/>
          <w:szCs w:val="24"/>
          <w:lang w:eastAsia="da-DK"/>
        </w:rPr>
        <w:t xml:space="preserve"> tilstande; kronisk psykose; </w:t>
      </w:r>
      <w:proofErr w:type="spellStart"/>
      <w:r w:rsidRPr="00010D37">
        <w:rPr>
          <w:sz w:val="24"/>
          <w:szCs w:val="24"/>
          <w:lang w:eastAsia="da-DK"/>
        </w:rPr>
        <w:t>myasthenia</w:t>
      </w:r>
      <w:proofErr w:type="spellEnd"/>
      <w:r w:rsidRPr="00010D37">
        <w:rPr>
          <w:sz w:val="24"/>
          <w:szCs w:val="24"/>
          <w:lang w:eastAsia="da-DK"/>
        </w:rPr>
        <w:t xml:space="preserve"> </w:t>
      </w:r>
      <w:proofErr w:type="spellStart"/>
      <w:r w:rsidRPr="00010D37">
        <w:rPr>
          <w:sz w:val="24"/>
          <w:szCs w:val="24"/>
          <w:lang w:eastAsia="da-DK"/>
        </w:rPr>
        <w:t>gravis</w:t>
      </w:r>
      <w:proofErr w:type="spellEnd"/>
      <w:r w:rsidRPr="00010D37">
        <w:rPr>
          <w:sz w:val="24"/>
          <w:szCs w:val="24"/>
          <w:lang w:eastAsia="da-DK"/>
        </w:rPr>
        <w:t>; søvnapnø-syndrom; alvorlig leverinsufficiens; anvendelse til børn.</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 xml:space="preserve">Det kan være nødvendigt at reducere dosis hos patienter med kronisk </w:t>
      </w:r>
      <w:proofErr w:type="spellStart"/>
      <w:r w:rsidRPr="00010D37">
        <w:rPr>
          <w:spacing w:val="-3"/>
          <w:sz w:val="24"/>
          <w:szCs w:val="24"/>
          <w:lang w:eastAsia="da-DK"/>
        </w:rPr>
        <w:t>pulmonal</w:t>
      </w:r>
      <w:proofErr w:type="spellEnd"/>
      <w:r w:rsidRPr="00010D37">
        <w:rPr>
          <w:spacing w:val="-3"/>
          <w:sz w:val="24"/>
          <w:szCs w:val="24"/>
          <w:lang w:eastAsia="da-DK"/>
        </w:rPr>
        <w:t xml:space="preserve"> insufficiens og hos patienter med kronisk nyre- eller leversygdom. Benzodiazepiner er kontraindiceret hos patienter med alvorligt nedsat leverinsufficiens.</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xml:space="preserve"> bør ikke anvendes alene til behandling af depression eller angst i forbindelse med depression, da selvmord kan udløses hos sådanne patienter. Benzodiazepiner bør anvendes med stor forsigtighed hos patienter med tidligere alkohol- eller stofmisbrug. Benzodiazepiner anbefales ikke til primær behandling af psykotisk sygdom.</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Hvis patienten vækkes i perioden med maksimal lægemiddelaktivitet, kan hukommelsen påvirkes.</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I tilfælde af tab eller dødsfald i familien kan psykologisk tilpasning hæmmes af benzodiazepiner.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Anvendelse af benzodiazepiner kan føre til udvikling af fysisk og psykisk afhængighed af disse præparater. Risikoen for afhængighed øges, når der anvendes højere dosis, især ved indgivelse over længere tid. Dette er især tilfældet hos patienter med alkoholisme eller stofmisbrug i anamnesen, eller hos patienter med udprægede personlighedsforstyrrelser. Det er af afgørende betydning med regelmæssig overvågning af disse patienter. Rutinemæssige gentagne receptudskrivelser bør undgås, og behandlingen bør seponeres gradvist. Der er rapporteret om symptomer som depression, hovedpine, muskelsvaghed, nervøsitet, ekstrem angst, spænding, rastløshed, forvirring, humørsvingninger, </w:t>
      </w:r>
      <w:proofErr w:type="spellStart"/>
      <w:r w:rsidRPr="00010D37">
        <w:rPr>
          <w:sz w:val="24"/>
          <w:szCs w:val="24"/>
          <w:lang w:eastAsia="da-DK"/>
        </w:rPr>
        <w:t>rebound</w:t>
      </w:r>
      <w:proofErr w:type="spellEnd"/>
      <w:r w:rsidRPr="00010D37">
        <w:rPr>
          <w:sz w:val="24"/>
          <w:szCs w:val="24"/>
          <w:lang w:eastAsia="da-DK"/>
        </w:rPr>
        <w:t xml:space="preserve"> </w:t>
      </w:r>
      <w:proofErr w:type="spellStart"/>
      <w:r w:rsidRPr="00010D37">
        <w:rPr>
          <w:sz w:val="24"/>
          <w:szCs w:val="24"/>
          <w:lang w:eastAsia="da-DK"/>
        </w:rPr>
        <w:t>insomnia</w:t>
      </w:r>
      <w:proofErr w:type="spellEnd"/>
      <w:r w:rsidRPr="00010D37">
        <w:rPr>
          <w:sz w:val="24"/>
          <w:szCs w:val="24"/>
          <w:lang w:eastAsia="da-DK"/>
        </w:rPr>
        <w:t>, irritabilitet, svedtendens og diarré efter pludseligt behandlingsophør hos patienter, der får selv normale terapeutiske doser i korte tidsperioder.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1"/>
          <w:sz w:val="24"/>
          <w:szCs w:val="24"/>
          <w:lang w:eastAsia="da-DK"/>
        </w:rPr>
        <w:t xml:space="preserve">Når der anvendes langtidsvirkende benzodiazepiner er det vigtigt at advare mod at skifte til </w:t>
      </w:r>
      <w:proofErr w:type="gramStart"/>
      <w:r w:rsidRPr="00010D37">
        <w:rPr>
          <w:spacing w:val="1"/>
          <w:sz w:val="24"/>
          <w:szCs w:val="24"/>
          <w:lang w:eastAsia="da-DK"/>
        </w:rPr>
        <w:t>et korttidsvirkende benzodiazepin</w:t>
      </w:r>
      <w:proofErr w:type="gramEnd"/>
      <w:r w:rsidRPr="00010D37">
        <w:rPr>
          <w:spacing w:val="1"/>
          <w:sz w:val="24"/>
          <w:szCs w:val="24"/>
          <w:lang w:eastAsia="da-DK"/>
        </w:rPr>
        <w:t>, idet der kan udvikles abstinenssymptomer.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i/>
          <w:sz w:val="24"/>
          <w:szCs w:val="24"/>
          <w:lang w:eastAsia="da-DK"/>
        </w:rPr>
        <w:t xml:space="preserve">I alvorlige tilfælde kan følgende symptomer forekomme: </w:t>
      </w:r>
      <w:r w:rsidRPr="00010D37">
        <w:rPr>
          <w:sz w:val="24"/>
          <w:szCs w:val="24"/>
          <w:lang w:eastAsia="da-DK"/>
        </w:rPr>
        <w:t>derealisation, depersonalisation, lydoverfølsomhed, følelsesløshed og snurren i ekstremiteterne, overfølsomhed over for lys, støj og fysisk kontakt og hallucinationer eller epileptiske anfald. I sjældne tilfælde kan ophør efter store doser medføre konfusion og psykotiske manifestationer og kramper. Der er rapporteret om misbrug af benzodiazepiner.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Der kan udvikles en vis nedsættelse af den hypnotiske virkning af korttidsvirkende </w:t>
      </w:r>
      <w:proofErr w:type="spellStart"/>
      <w:r w:rsidRPr="00010D37">
        <w:rPr>
          <w:sz w:val="24"/>
          <w:szCs w:val="24"/>
          <w:lang w:eastAsia="da-DK"/>
        </w:rPr>
        <w:t>nitrazepam</w:t>
      </w:r>
      <w:proofErr w:type="spellEnd"/>
      <w:r w:rsidRPr="00010D37">
        <w:rPr>
          <w:sz w:val="24"/>
          <w:szCs w:val="24"/>
          <w:lang w:eastAsia="da-DK"/>
        </w:rPr>
        <w:t xml:space="preserve"> efter gentagen anvendelse i få uger. </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lastRenderedPageBreak/>
        <w:t xml:space="preserve">Der er rapporteret om unormale psykologiske reaktioner med benzodiazepiner. Sjældne adfærdsmæssige virkninger omfatter paradoksale aggressive udbrud, spænding, forvirring, rastløshed, agitation, irritabilitet, vrangforestillinger, raserianfald, mareridt, hallucinationer, psykoser, upassende opførsel og blotlægning af ​​depression med </w:t>
      </w:r>
      <w:proofErr w:type="spellStart"/>
      <w:r w:rsidRPr="00010D37">
        <w:rPr>
          <w:sz w:val="24"/>
          <w:szCs w:val="24"/>
          <w:lang w:eastAsia="da-DK"/>
        </w:rPr>
        <w:t>suicidale</w:t>
      </w:r>
      <w:proofErr w:type="spellEnd"/>
      <w:r w:rsidRPr="00010D37">
        <w:rPr>
          <w:sz w:val="24"/>
          <w:szCs w:val="24"/>
          <w:lang w:eastAsia="da-DK"/>
        </w:rPr>
        <w:t xml:space="preserve"> tendenser. Der skal derfor anvendes ekstrem forsigtighed ved ordination af benzodiazepiner til patienter med personlighedsforstyrrelser. Såfremt nogen af ​​disse reaktioner opstår, skal lægemidlet straks seponeres. Disse reaktioner kan være ganske alvorlige og er mere tilbøjelige til at forekomme hos ældre.</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Benzodiazepiner kan fremkalde </w:t>
      </w:r>
      <w:proofErr w:type="spellStart"/>
      <w:r w:rsidRPr="00010D37">
        <w:rPr>
          <w:sz w:val="24"/>
          <w:szCs w:val="24"/>
          <w:lang w:eastAsia="da-DK"/>
        </w:rPr>
        <w:t>anterograd</w:t>
      </w:r>
      <w:proofErr w:type="spellEnd"/>
      <w:r w:rsidRPr="00010D37">
        <w:rPr>
          <w:sz w:val="24"/>
          <w:szCs w:val="24"/>
          <w:lang w:eastAsia="da-DK"/>
        </w:rPr>
        <w:t xml:space="preserve"> amnesi. Tilstanden opstår normalt 1 til 2 timer efter indtagelse af lægemidlet og kan vare op til flere timer. For at mindske risikoen, skal patienterne derfor sikre, at de vil være i stand til at have en uafbrudt søvn i 7 til 8 timer.</w:t>
      </w:r>
    </w:p>
    <w:p w:rsidR="00A729AA" w:rsidRPr="00010D37" w:rsidRDefault="00A729AA" w:rsidP="00A729AA">
      <w:pPr>
        <w:widowControl w:val="0"/>
        <w:autoSpaceDE w:val="0"/>
        <w:autoSpaceDN w:val="0"/>
        <w:adjustRightInd w:val="0"/>
        <w:ind w:left="851" w:right="-20"/>
        <w:rPr>
          <w:sz w:val="24"/>
          <w:szCs w:val="24"/>
          <w:lang w:eastAsia="da-DK"/>
        </w:rPr>
      </w:pPr>
    </w:p>
    <w:p w:rsidR="00A729AA" w:rsidRDefault="00A729AA" w:rsidP="00A729AA">
      <w:pPr>
        <w:widowControl w:val="0"/>
        <w:autoSpaceDE w:val="0"/>
        <w:autoSpaceDN w:val="0"/>
        <w:adjustRightInd w:val="0"/>
        <w:ind w:left="851" w:right="-20"/>
        <w:rPr>
          <w:spacing w:val="-1"/>
          <w:sz w:val="24"/>
          <w:szCs w:val="24"/>
          <w:lang w:eastAsia="da-DK"/>
        </w:rPr>
      </w:pPr>
      <w:r w:rsidRPr="00010D37">
        <w:rPr>
          <w:spacing w:val="-1"/>
          <w:sz w:val="24"/>
          <w:szCs w:val="24"/>
          <w:lang w:eastAsia="da-DK"/>
        </w:rPr>
        <w:t>På grund af den muskelafslappende effekt er der risiko for fald og dermed hoftebrud især for ældre patienter, når de står op om natten.</w:t>
      </w:r>
    </w:p>
    <w:p w:rsidR="00A729AA" w:rsidRDefault="00A729AA" w:rsidP="00A729AA">
      <w:pPr>
        <w:widowControl w:val="0"/>
        <w:autoSpaceDE w:val="0"/>
        <w:autoSpaceDN w:val="0"/>
        <w:adjustRightInd w:val="0"/>
        <w:ind w:left="851" w:right="-20"/>
        <w:rPr>
          <w:spacing w:val="-1"/>
          <w:sz w:val="24"/>
          <w:szCs w:val="24"/>
          <w:lang w:eastAsia="da-DK"/>
        </w:rPr>
      </w:pPr>
    </w:p>
    <w:p w:rsidR="00A729AA" w:rsidRPr="00C12A69" w:rsidRDefault="00A729AA" w:rsidP="00A729AA">
      <w:pPr>
        <w:ind w:left="851"/>
        <w:rPr>
          <w:i/>
          <w:sz w:val="24"/>
          <w:szCs w:val="24"/>
        </w:rPr>
      </w:pPr>
      <w:r w:rsidRPr="00C12A69">
        <w:rPr>
          <w:i/>
          <w:sz w:val="24"/>
          <w:szCs w:val="24"/>
        </w:rPr>
        <w:t>Risiko ved samtidig anvendelse af opioider:</w:t>
      </w:r>
    </w:p>
    <w:p w:rsidR="00A729AA" w:rsidRPr="00C12A69" w:rsidRDefault="00A729AA" w:rsidP="00A729AA">
      <w:pPr>
        <w:ind w:left="851"/>
        <w:rPr>
          <w:sz w:val="24"/>
          <w:szCs w:val="24"/>
        </w:rPr>
      </w:pPr>
      <w:r w:rsidRPr="00C12A69">
        <w:rPr>
          <w:sz w:val="24"/>
          <w:szCs w:val="24"/>
        </w:rPr>
        <w:t xml:space="preserve">Samtidig brug af </w:t>
      </w:r>
      <w:proofErr w:type="spellStart"/>
      <w:r>
        <w:rPr>
          <w:sz w:val="24"/>
          <w:szCs w:val="24"/>
        </w:rPr>
        <w:t>Nitrazepam</w:t>
      </w:r>
      <w:proofErr w:type="spellEnd"/>
      <w:r w:rsidRPr="00C12A69">
        <w:rPr>
          <w:sz w:val="24"/>
          <w:szCs w:val="24"/>
        </w:rPr>
        <w:t xml:space="preserve"> </w:t>
      </w:r>
      <w:proofErr w:type="spellStart"/>
      <w:r w:rsidRPr="00C12A69">
        <w:rPr>
          <w:sz w:val="24"/>
          <w:szCs w:val="24"/>
        </w:rPr>
        <w:t>Accord</w:t>
      </w:r>
      <w:proofErr w:type="spellEnd"/>
      <w:r w:rsidRPr="00C12A69">
        <w:rPr>
          <w:sz w:val="24"/>
          <w:szCs w:val="24"/>
        </w:rPr>
        <w:t xml:space="preserve"> og opioider kan resultere i </w:t>
      </w:r>
      <w:proofErr w:type="spellStart"/>
      <w:r w:rsidRPr="00C12A69">
        <w:rPr>
          <w:sz w:val="24"/>
          <w:szCs w:val="24"/>
        </w:rPr>
        <w:t>sedering</w:t>
      </w:r>
      <w:proofErr w:type="spellEnd"/>
      <w:r w:rsidRPr="00C12A69">
        <w:rPr>
          <w:sz w:val="24"/>
          <w:szCs w:val="24"/>
        </w:rPr>
        <w:t>, respirationsdepression, koma og død. På grund af disse risici bør samtidig ordinering af benzodiazepiner og opioider forbeholdes patienter, for hvem der ikke er mulighed for alternative behandlingsmuligheder.</w:t>
      </w:r>
      <w:r>
        <w:rPr>
          <w:sz w:val="24"/>
          <w:szCs w:val="24"/>
        </w:rPr>
        <w:br/>
      </w:r>
      <w:r w:rsidRPr="00C12A69">
        <w:rPr>
          <w:sz w:val="24"/>
          <w:szCs w:val="24"/>
        </w:rPr>
        <w:t xml:space="preserve">Hvis der træffes beslutning om at ordinere benzodiazepiner samtidig med opioider, skal den laveste effektive dosis anvendes, og behandlingsvarigheden skal være så kort som muligt </w:t>
      </w:r>
      <w:bookmarkStart w:id="1" w:name="_Hlk511898203"/>
      <w:r w:rsidRPr="00C12A69">
        <w:rPr>
          <w:sz w:val="24"/>
          <w:szCs w:val="24"/>
        </w:rPr>
        <w:t>(se også generel dosisanbefaling under pkt. 4.2).</w:t>
      </w:r>
    </w:p>
    <w:p w:rsidR="00A729AA" w:rsidRPr="00C12A69" w:rsidRDefault="00A729AA" w:rsidP="00A729AA">
      <w:pPr>
        <w:ind w:left="851"/>
        <w:rPr>
          <w:sz w:val="24"/>
          <w:szCs w:val="24"/>
        </w:rPr>
      </w:pPr>
    </w:p>
    <w:p w:rsidR="00A729AA" w:rsidRPr="00010D37" w:rsidRDefault="00A729AA" w:rsidP="00A729AA">
      <w:pPr>
        <w:ind w:left="851"/>
        <w:rPr>
          <w:sz w:val="24"/>
          <w:szCs w:val="24"/>
        </w:rPr>
      </w:pPr>
      <w:r w:rsidRPr="00A663CA">
        <w:rPr>
          <w:sz w:val="24"/>
          <w:szCs w:val="24"/>
        </w:rPr>
        <w:t xml:space="preserve">Patienterne skal følges nøje for tegn og symptomer på respirationsdepression og sedation. I denne forbindelse anbefales det på det kraftigste at oplyse patienter og deres pårørende og hjælpere (hvis relevant) om at være opmærksomme på disse symptomer (se pkt. 4.5). </w:t>
      </w:r>
      <w:bookmarkEnd w:id="1"/>
    </w:p>
    <w:p w:rsidR="00A729AA" w:rsidRPr="00010D37" w:rsidRDefault="00A729AA" w:rsidP="00A729AA">
      <w:pPr>
        <w:widowControl w:val="0"/>
        <w:autoSpaceDE w:val="0"/>
        <w:autoSpaceDN w:val="0"/>
        <w:adjustRightInd w:val="0"/>
        <w:ind w:left="851" w:right="-20"/>
        <w:rPr>
          <w:sz w:val="24"/>
          <w:szCs w:val="24"/>
          <w:lang w:eastAsia="da-DK"/>
        </w:rPr>
      </w:pPr>
    </w:p>
    <w:p w:rsidR="004F17D8" w:rsidRDefault="004F17D8" w:rsidP="004F17D8">
      <w:pPr>
        <w:widowControl w:val="0"/>
        <w:autoSpaceDE w:val="0"/>
        <w:autoSpaceDN w:val="0"/>
        <w:adjustRightInd w:val="0"/>
        <w:ind w:left="851" w:right="-20"/>
        <w:rPr>
          <w:sz w:val="24"/>
          <w:szCs w:val="24"/>
          <w:lang w:eastAsia="da-DK"/>
        </w:rPr>
      </w:pP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xml:space="preserve"> indeholder </w:t>
      </w:r>
      <w:proofErr w:type="spellStart"/>
      <w:r w:rsidRPr="00010D37">
        <w:rPr>
          <w:sz w:val="24"/>
          <w:szCs w:val="24"/>
          <w:lang w:eastAsia="da-DK"/>
        </w:rPr>
        <w:t>lactose</w:t>
      </w:r>
      <w:proofErr w:type="spellEnd"/>
      <w:r w:rsidRPr="00010D37">
        <w:rPr>
          <w:sz w:val="24"/>
          <w:szCs w:val="24"/>
          <w:lang w:eastAsia="da-DK"/>
        </w:rPr>
        <w:t xml:space="preserve">. Patienter med sjælden arvelig </w:t>
      </w:r>
      <w:proofErr w:type="spellStart"/>
      <w:r w:rsidRPr="00010D37">
        <w:rPr>
          <w:sz w:val="24"/>
          <w:szCs w:val="24"/>
          <w:lang w:eastAsia="da-DK"/>
        </w:rPr>
        <w:t>galactoseintolerance</w:t>
      </w:r>
      <w:proofErr w:type="spellEnd"/>
      <w:r w:rsidRPr="00010D37">
        <w:rPr>
          <w:sz w:val="24"/>
          <w:szCs w:val="24"/>
          <w:lang w:eastAsia="da-DK"/>
        </w:rPr>
        <w:t xml:space="preserve">, Lapp </w:t>
      </w:r>
      <w:proofErr w:type="spellStart"/>
      <w:r w:rsidRPr="00010D37">
        <w:rPr>
          <w:sz w:val="24"/>
          <w:szCs w:val="24"/>
          <w:lang w:eastAsia="da-DK"/>
        </w:rPr>
        <w:t>lactasemangel</w:t>
      </w:r>
      <w:proofErr w:type="spellEnd"/>
      <w:r w:rsidRPr="00010D37">
        <w:rPr>
          <w:sz w:val="24"/>
          <w:szCs w:val="24"/>
          <w:lang w:eastAsia="da-DK"/>
        </w:rPr>
        <w:t xml:space="preserve"> eller </w:t>
      </w:r>
      <w:proofErr w:type="spellStart"/>
      <w:r w:rsidRPr="00010D37">
        <w:rPr>
          <w:sz w:val="24"/>
          <w:szCs w:val="24"/>
          <w:lang w:eastAsia="da-DK"/>
        </w:rPr>
        <w:t>glucose-galactose</w:t>
      </w:r>
      <w:proofErr w:type="spellEnd"/>
      <w:r w:rsidRPr="00010D37">
        <w:rPr>
          <w:sz w:val="24"/>
          <w:szCs w:val="24"/>
          <w:lang w:eastAsia="da-DK"/>
        </w:rPr>
        <w:t xml:space="preserve"> </w:t>
      </w:r>
      <w:proofErr w:type="spellStart"/>
      <w:r w:rsidRPr="00010D37">
        <w:rPr>
          <w:sz w:val="24"/>
          <w:szCs w:val="24"/>
          <w:lang w:eastAsia="da-DK"/>
        </w:rPr>
        <w:t>malabsorption</w:t>
      </w:r>
      <w:proofErr w:type="spellEnd"/>
      <w:r w:rsidRPr="00010D37">
        <w:rPr>
          <w:sz w:val="24"/>
          <w:szCs w:val="24"/>
          <w:lang w:eastAsia="da-DK"/>
        </w:rPr>
        <w:t xml:space="preserve"> bør ikke anvende dette lægemiddel.</w:t>
      </w:r>
    </w:p>
    <w:p w:rsidR="004F17D8" w:rsidRDefault="004F17D8" w:rsidP="004F17D8">
      <w:pPr>
        <w:widowControl w:val="0"/>
        <w:autoSpaceDE w:val="0"/>
        <w:autoSpaceDN w:val="0"/>
        <w:adjustRightInd w:val="0"/>
        <w:ind w:left="851" w:right="-20"/>
        <w:rPr>
          <w:sz w:val="24"/>
          <w:szCs w:val="24"/>
          <w:lang w:eastAsia="da-DK"/>
        </w:rPr>
      </w:pPr>
    </w:p>
    <w:p w:rsidR="004F17D8" w:rsidRDefault="004F17D8" w:rsidP="004F17D8">
      <w:pPr>
        <w:widowControl w:val="0"/>
        <w:autoSpaceDE w:val="0"/>
        <w:autoSpaceDN w:val="0"/>
        <w:adjustRightInd w:val="0"/>
        <w:ind w:left="851" w:right="-20"/>
        <w:rPr>
          <w:sz w:val="24"/>
          <w:szCs w:val="24"/>
          <w:lang w:eastAsia="da-DK"/>
        </w:rPr>
      </w:pPr>
      <w:r>
        <w:rPr>
          <w:sz w:val="24"/>
          <w:szCs w:val="24"/>
          <w:lang w:eastAsia="da-DK"/>
        </w:rPr>
        <w:t>Natrium</w:t>
      </w:r>
    </w:p>
    <w:p w:rsidR="004F17D8" w:rsidRPr="00C84483" w:rsidRDefault="004F17D8" w:rsidP="004F17D8">
      <w:pPr>
        <w:widowControl w:val="0"/>
        <w:autoSpaceDE w:val="0"/>
        <w:autoSpaceDN w:val="0"/>
        <w:adjustRightInd w:val="0"/>
        <w:ind w:left="851" w:right="-20"/>
        <w:rPr>
          <w:sz w:val="24"/>
          <w:szCs w:val="24"/>
          <w:lang w:eastAsia="da-DK"/>
        </w:rPr>
      </w:pPr>
      <w:r w:rsidRPr="00254D70">
        <w:rPr>
          <w:sz w:val="24"/>
          <w:szCs w:val="24"/>
          <w:lang w:eastAsia="da-DK"/>
        </w:rPr>
        <w:t>Dette lægemiddel indeholder mindre end 1</w:t>
      </w:r>
      <w:r>
        <w:rPr>
          <w:sz w:val="24"/>
          <w:szCs w:val="24"/>
          <w:lang w:eastAsia="da-DK"/>
        </w:rPr>
        <w:t> </w:t>
      </w:r>
      <w:r w:rsidRPr="00254D70">
        <w:rPr>
          <w:sz w:val="24"/>
          <w:szCs w:val="24"/>
          <w:lang w:eastAsia="da-DK"/>
        </w:rPr>
        <w:t>mmol (23</w:t>
      </w:r>
      <w:r>
        <w:rPr>
          <w:sz w:val="24"/>
          <w:szCs w:val="24"/>
          <w:lang w:eastAsia="da-DK"/>
        </w:rPr>
        <w:t> </w:t>
      </w:r>
      <w:r w:rsidRPr="00254D70">
        <w:rPr>
          <w:sz w:val="24"/>
          <w:szCs w:val="24"/>
          <w:lang w:eastAsia="da-DK"/>
        </w:rPr>
        <w:t xml:space="preserve">mg) natrium pr. </w:t>
      </w:r>
      <w:r>
        <w:rPr>
          <w:sz w:val="24"/>
          <w:szCs w:val="24"/>
          <w:lang w:eastAsia="da-DK"/>
        </w:rPr>
        <w:t>tablet</w:t>
      </w:r>
      <w:r w:rsidRPr="00254D70">
        <w:rPr>
          <w:sz w:val="24"/>
          <w:szCs w:val="24"/>
          <w:lang w:eastAsia="da-DK"/>
        </w:rPr>
        <w:t>, dvs. det er i det væsentlige natriumfrit.</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Der kan forekomme forøgelse af den centrale depressive virkning, hvis benzodiazepiner kombineres med centralt virkende lægemidler, såsom </w:t>
      </w:r>
      <w:proofErr w:type="spellStart"/>
      <w:r w:rsidRPr="00010D37">
        <w:rPr>
          <w:sz w:val="24"/>
          <w:szCs w:val="24"/>
          <w:lang w:eastAsia="da-DK"/>
        </w:rPr>
        <w:t>neuroleptika</w:t>
      </w:r>
      <w:proofErr w:type="spellEnd"/>
      <w:r w:rsidRPr="00010D37">
        <w:rPr>
          <w:sz w:val="24"/>
          <w:szCs w:val="24"/>
          <w:lang w:eastAsia="da-DK"/>
        </w:rPr>
        <w:t xml:space="preserve">, beroligende midler, </w:t>
      </w:r>
      <w:proofErr w:type="spellStart"/>
      <w:r w:rsidRPr="00010D37">
        <w:rPr>
          <w:sz w:val="24"/>
          <w:szCs w:val="24"/>
          <w:lang w:eastAsia="da-DK"/>
        </w:rPr>
        <w:t>antidepressiva</w:t>
      </w:r>
      <w:proofErr w:type="spellEnd"/>
      <w:r w:rsidRPr="00010D37">
        <w:rPr>
          <w:sz w:val="24"/>
          <w:szCs w:val="24"/>
          <w:lang w:eastAsia="da-DK"/>
        </w:rPr>
        <w:t xml:space="preserve">, </w:t>
      </w:r>
      <w:proofErr w:type="spellStart"/>
      <w:r w:rsidRPr="00010D37">
        <w:rPr>
          <w:sz w:val="24"/>
          <w:szCs w:val="24"/>
          <w:lang w:eastAsia="da-DK"/>
        </w:rPr>
        <w:t>hypnotika</w:t>
      </w:r>
      <w:proofErr w:type="spellEnd"/>
      <w:r w:rsidRPr="00010D37">
        <w:rPr>
          <w:sz w:val="24"/>
          <w:szCs w:val="24"/>
          <w:lang w:eastAsia="da-DK"/>
        </w:rPr>
        <w:t xml:space="preserve">, </w:t>
      </w:r>
      <w:proofErr w:type="spellStart"/>
      <w:r w:rsidRPr="00010D37">
        <w:rPr>
          <w:sz w:val="24"/>
          <w:szCs w:val="24"/>
          <w:lang w:eastAsia="da-DK"/>
        </w:rPr>
        <w:t>analgetika</w:t>
      </w:r>
      <w:proofErr w:type="spellEnd"/>
      <w:r w:rsidRPr="00010D37">
        <w:rPr>
          <w:sz w:val="24"/>
          <w:szCs w:val="24"/>
          <w:lang w:eastAsia="da-DK"/>
        </w:rPr>
        <w:t xml:space="preserve"> og </w:t>
      </w:r>
      <w:proofErr w:type="spellStart"/>
      <w:r w:rsidRPr="00010D37">
        <w:rPr>
          <w:sz w:val="24"/>
          <w:szCs w:val="24"/>
          <w:lang w:eastAsia="da-DK"/>
        </w:rPr>
        <w:t>anæstetika</w:t>
      </w:r>
      <w:proofErr w:type="spellEnd"/>
      <w:r w:rsidRPr="00010D37">
        <w:rPr>
          <w:sz w:val="24"/>
          <w:szCs w:val="24"/>
          <w:lang w:eastAsia="da-DK"/>
        </w:rPr>
        <w:t xml:space="preserve">, </w:t>
      </w:r>
      <w:proofErr w:type="spellStart"/>
      <w:r w:rsidRPr="00010D37">
        <w:rPr>
          <w:sz w:val="24"/>
          <w:szCs w:val="24"/>
          <w:lang w:eastAsia="da-DK"/>
        </w:rPr>
        <w:t>antiepileptika</w:t>
      </w:r>
      <w:proofErr w:type="spellEnd"/>
      <w:r w:rsidRPr="00010D37">
        <w:rPr>
          <w:sz w:val="24"/>
          <w:szCs w:val="24"/>
          <w:lang w:eastAsia="da-DK"/>
        </w:rPr>
        <w:t xml:space="preserve"> og sedative antihistaminer. I tilfælde af narkotiske </w:t>
      </w:r>
      <w:proofErr w:type="spellStart"/>
      <w:r w:rsidRPr="00010D37">
        <w:rPr>
          <w:sz w:val="24"/>
          <w:szCs w:val="24"/>
          <w:lang w:eastAsia="da-DK"/>
        </w:rPr>
        <w:t>analgetika</w:t>
      </w:r>
      <w:proofErr w:type="spellEnd"/>
      <w:r w:rsidRPr="00010D37">
        <w:rPr>
          <w:sz w:val="24"/>
          <w:szCs w:val="24"/>
          <w:lang w:eastAsia="da-DK"/>
        </w:rPr>
        <w:t xml:space="preserve"> kan der også forekomme forstærkning af eufori, hvilket fører til en stigning i psykisk afhængighed. Ældre kræver særlig overvågning.</w:t>
      </w:r>
    </w:p>
    <w:p w:rsidR="00A729AA" w:rsidRPr="00010D37" w:rsidRDefault="00A729AA" w:rsidP="00A729AA">
      <w:pPr>
        <w:widowControl w:val="0"/>
        <w:autoSpaceDE w:val="0"/>
        <w:autoSpaceDN w:val="0"/>
        <w:adjustRightInd w:val="0"/>
        <w:ind w:left="851" w:right="-20"/>
        <w:rPr>
          <w:sz w:val="24"/>
          <w:szCs w:val="24"/>
          <w:lang w:eastAsia="da-DK"/>
        </w:rPr>
      </w:pPr>
    </w:p>
    <w:p w:rsidR="00A729AA" w:rsidRDefault="00A729AA" w:rsidP="00A729AA">
      <w:pPr>
        <w:widowControl w:val="0"/>
        <w:autoSpaceDE w:val="0"/>
        <w:autoSpaceDN w:val="0"/>
        <w:adjustRightInd w:val="0"/>
        <w:ind w:left="851" w:right="-20"/>
        <w:rPr>
          <w:spacing w:val="1"/>
          <w:sz w:val="24"/>
          <w:szCs w:val="24"/>
          <w:lang w:eastAsia="da-DK"/>
        </w:rPr>
      </w:pPr>
      <w:r w:rsidRPr="00010D37">
        <w:rPr>
          <w:spacing w:val="1"/>
          <w:sz w:val="24"/>
          <w:szCs w:val="24"/>
          <w:lang w:eastAsia="da-DK"/>
        </w:rPr>
        <w:t xml:space="preserve">Når </w:t>
      </w:r>
      <w:proofErr w:type="spellStart"/>
      <w:r>
        <w:rPr>
          <w:spacing w:val="1"/>
          <w:sz w:val="24"/>
          <w:szCs w:val="24"/>
          <w:lang w:eastAsia="da-DK"/>
        </w:rPr>
        <w:t>Nitrazepam</w:t>
      </w:r>
      <w:proofErr w:type="spellEnd"/>
      <w:r>
        <w:rPr>
          <w:spacing w:val="1"/>
          <w:sz w:val="24"/>
          <w:szCs w:val="24"/>
          <w:lang w:eastAsia="da-DK"/>
        </w:rPr>
        <w:t xml:space="preserve"> "</w:t>
      </w:r>
      <w:proofErr w:type="spellStart"/>
      <w:r>
        <w:rPr>
          <w:spacing w:val="1"/>
          <w:sz w:val="24"/>
          <w:szCs w:val="24"/>
          <w:lang w:eastAsia="da-DK"/>
        </w:rPr>
        <w:t>Accord</w:t>
      </w:r>
      <w:proofErr w:type="spellEnd"/>
      <w:r>
        <w:rPr>
          <w:spacing w:val="1"/>
          <w:sz w:val="24"/>
          <w:szCs w:val="24"/>
          <w:lang w:eastAsia="da-DK"/>
        </w:rPr>
        <w:t>"</w:t>
      </w:r>
      <w:r w:rsidRPr="00010D37">
        <w:rPr>
          <w:spacing w:val="1"/>
          <w:sz w:val="24"/>
          <w:szCs w:val="24"/>
          <w:lang w:eastAsia="da-DK"/>
        </w:rPr>
        <w:t xml:space="preserve"> anvendes i forbindelse med anti-epileptiske lægemidler, kan bivirkninger og toksicitet være mere tydelig, især med </w:t>
      </w:r>
      <w:proofErr w:type="spellStart"/>
      <w:r w:rsidRPr="00010D37">
        <w:rPr>
          <w:spacing w:val="1"/>
          <w:sz w:val="24"/>
          <w:szCs w:val="24"/>
          <w:lang w:eastAsia="da-DK"/>
        </w:rPr>
        <w:t>hydantoiner</w:t>
      </w:r>
      <w:proofErr w:type="spellEnd"/>
      <w:r w:rsidRPr="00010D37">
        <w:rPr>
          <w:spacing w:val="1"/>
          <w:sz w:val="24"/>
          <w:szCs w:val="24"/>
          <w:lang w:eastAsia="da-DK"/>
        </w:rPr>
        <w:t xml:space="preserve"> eller barbiturater eller kombinationer med disse. Dette kræver ekstra forsigtighed, når dosis justeres i de indledende stadier af behandlingen.</w:t>
      </w:r>
    </w:p>
    <w:p w:rsidR="00A729AA" w:rsidRDefault="00A729AA" w:rsidP="00A729AA">
      <w:pPr>
        <w:widowControl w:val="0"/>
        <w:autoSpaceDE w:val="0"/>
        <w:autoSpaceDN w:val="0"/>
        <w:adjustRightInd w:val="0"/>
        <w:ind w:left="851" w:right="-20"/>
        <w:rPr>
          <w:spacing w:val="1"/>
          <w:sz w:val="24"/>
          <w:szCs w:val="24"/>
          <w:lang w:eastAsia="da-DK"/>
        </w:rPr>
      </w:pPr>
    </w:p>
    <w:p w:rsidR="004F17D8" w:rsidRDefault="004F17D8" w:rsidP="00A729AA">
      <w:pPr>
        <w:widowControl w:val="0"/>
        <w:autoSpaceDE w:val="0"/>
        <w:autoSpaceDN w:val="0"/>
        <w:adjustRightInd w:val="0"/>
        <w:ind w:left="851" w:right="-20"/>
        <w:rPr>
          <w:spacing w:val="1"/>
          <w:sz w:val="24"/>
          <w:szCs w:val="24"/>
          <w:lang w:eastAsia="da-DK"/>
        </w:rPr>
      </w:pPr>
    </w:p>
    <w:p w:rsidR="00A729AA" w:rsidRPr="00DB7EB9" w:rsidRDefault="00A729AA" w:rsidP="00A729AA">
      <w:pPr>
        <w:ind w:left="851"/>
        <w:rPr>
          <w:sz w:val="24"/>
          <w:szCs w:val="24"/>
        </w:rPr>
      </w:pPr>
      <w:r w:rsidRPr="00DB7EB9">
        <w:rPr>
          <w:sz w:val="24"/>
          <w:szCs w:val="24"/>
        </w:rPr>
        <w:lastRenderedPageBreak/>
        <w:t>Opioider</w:t>
      </w:r>
      <w:r>
        <w:rPr>
          <w:sz w:val="24"/>
          <w:szCs w:val="24"/>
        </w:rPr>
        <w:t>:</w:t>
      </w:r>
    </w:p>
    <w:p w:rsidR="00A729AA" w:rsidRPr="00010D37" w:rsidRDefault="00A729AA" w:rsidP="00A729AA">
      <w:pPr>
        <w:ind w:left="851"/>
        <w:rPr>
          <w:sz w:val="24"/>
          <w:szCs w:val="24"/>
        </w:rPr>
      </w:pPr>
      <w:r w:rsidRPr="004575F3">
        <w:rPr>
          <w:sz w:val="24"/>
          <w:szCs w:val="24"/>
        </w:rPr>
        <w:t>Samtidig brug af benzodiazepiner og opioider øger risikoen for sedation, respirationsdepression, koma og død på grund af additiv CNS-depressiv virkning. Doseringen og varigheden af samtidig brug bør begrænses (se pkt. 4.4).</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Kendte inhibitorer af leverenzymer, især </w:t>
      </w:r>
      <w:proofErr w:type="spellStart"/>
      <w:r w:rsidRPr="00010D37">
        <w:rPr>
          <w:sz w:val="24"/>
          <w:szCs w:val="24"/>
          <w:lang w:eastAsia="da-DK"/>
        </w:rPr>
        <w:t>cytochrom</w:t>
      </w:r>
      <w:proofErr w:type="spellEnd"/>
      <w:r w:rsidRPr="00010D37">
        <w:rPr>
          <w:sz w:val="24"/>
          <w:szCs w:val="24"/>
          <w:lang w:eastAsia="da-DK"/>
        </w:rPr>
        <w:t xml:space="preserve"> P450, har vist sig at reducere benzodiazepiners </w:t>
      </w:r>
      <w:proofErr w:type="spellStart"/>
      <w:r w:rsidRPr="00010D37">
        <w:rPr>
          <w:sz w:val="24"/>
          <w:szCs w:val="24"/>
          <w:lang w:eastAsia="da-DK"/>
        </w:rPr>
        <w:t>clearance</w:t>
      </w:r>
      <w:proofErr w:type="spellEnd"/>
      <w:r w:rsidRPr="00010D37">
        <w:rPr>
          <w:sz w:val="24"/>
          <w:szCs w:val="24"/>
          <w:lang w:eastAsia="da-DK"/>
        </w:rPr>
        <w:t xml:space="preserve"> og kan potensere deres indvirkning. Kendte induktorer af leverenzymer, fx. </w:t>
      </w:r>
      <w:proofErr w:type="spellStart"/>
      <w:r w:rsidRPr="00010D37">
        <w:rPr>
          <w:sz w:val="24"/>
          <w:szCs w:val="24"/>
          <w:lang w:eastAsia="da-DK"/>
        </w:rPr>
        <w:t>rifampicin</w:t>
      </w:r>
      <w:proofErr w:type="spellEnd"/>
      <w:r w:rsidRPr="00010D37">
        <w:rPr>
          <w:sz w:val="24"/>
          <w:szCs w:val="24"/>
          <w:lang w:eastAsia="da-DK"/>
        </w:rPr>
        <w:t xml:space="preserve">, kan øge benzodiazepiners </w:t>
      </w:r>
      <w:proofErr w:type="spellStart"/>
      <w:r w:rsidRPr="00010D37">
        <w:rPr>
          <w:sz w:val="24"/>
          <w:szCs w:val="24"/>
          <w:lang w:eastAsia="da-DK"/>
        </w:rPr>
        <w:t>clearance</w:t>
      </w:r>
      <w:proofErr w:type="spellEnd"/>
      <w:r w:rsidRPr="00010D37">
        <w:rPr>
          <w:sz w:val="24"/>
          <w:szCs w:val="24"/>
          <w:lang w:eastAsia="da-DK"/>
        </w:rPr>
        <w:t>.</w:t>
      </w:r>
    </w:p>
    <w:p w:rsidR="00A729AA" w:rsidRPr="00010D37" w:rsidRDefault="00A729AA"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Samtidig indtagelse af alkohol bør undgås. Den sløvende effekt kan forstærkes, når præparatet benyttes i kombination med alkohol. Dette påvirker evnen til at køre eller betjene maskiner.</w:t>
      </w:r>
    </w:p>
    <w:p w:rsidR="00A729AA" w:rsidRPr="00C84483" w:rsidRDefault="00A729AA" w:rsidP="00A729AA">
      <w:pPr>
        <w:tabs>
          <w:tab w:val="left" w:pos="851"/>
        </w:tabs>
        <w:ind w:left="851"/>
        <w:rPr>
          <w:sz w:val="24"/>
          <w:szCs w:val="24"/>
        </w:rPr>
      </w:pPr>
    </w:p>
    <w:p w:rsidR="00A729AA" w:rsidRPr="00F21F29" w:rsidRDefault="00A729AA" w:rsidP="00A729AA">
      <w:pPr>
        <w:tabs>
          <w:tab w:val="left" w:pos="851"/>
        </w:tabs>
        <w:ind w:left="851" w:hanging="851"/>
        <w:rPr>
          <w:b/>
          <w:sz w:val="24"/>
          <w:szCs w:val="24"/>
        </w:rPr>
      </w:pPr>
      <w:r w:rsidRPr="00C84483">
        <w:rPr>
          <w:b/>
          <w:sz w:val="24"/>
          <w:szCs w:val="24"/>
        </w:rPr>
        <w:t>4.6</w:t>
      </w:r>
      <w:r w:rsidRPr="00C84483">
        <w:rPr>
          <w:b/>
          <w:sz w:val="24"/>
          <w:szCs w:val="24"/>
        </w:rPr>
        <w:tab/>
      </w:r>
      <w:r w:rsidR="004F17D8">
        <w:rPr>
          <w:b/>
          <w:sz w:val="24"/>
          <w:szCs w:val="24"/>
        </w:rPr>
        <w:t>Fertilitet, g</w:t>
      </w:r>
      <w:r w:rsidRPr="00C84483">
        <w:rPr>
          <w:b/>
          <w:sz w:val="24"/>
          <w:szCs w:val="24"/>
        </w:rPr>
        <w:t>raviditet og amning</w:t>
      </w:r>
    </w:p>
    <w:p w:rsidR="00A729AA" w:rsidRPr="00010D37"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Graviditet</w:t>
      </w: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2"/>
          <w:sz w:val="24"/>
          <w:szCs w:val="24"/>
          <w:lang w:eastAsia="da-DK"/>
        </w:rPr>
        <w:t>Der er ingen beviser for lægemiddelsikkerhed under graviditet. Bevis fra dyreforsøg påviser heller ikke lægemiddelsikkerhed. Må ikke anvendes under graviditet, især i det første og sidste trimester, medmindre der er tvingende årsager.</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4"/>
          <w:sz w:val="24"/>
          <w:szCs w:val="24"/>
          <w:lang w:eastAsia="da-DK"/>
        </w:rPr>
        <w:t>Hvis præparatet ordineres til en kvinde i den fertile alder, bør hun tilskyndes at kontakte sin læge vedrørende ophør med behandlingen, hvis hun ønsker at blive gravid eller tror hun er gravid.</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Administration af benzodiazepiner i </w:t>
      </w:r>
      <w:proofErr w:type="gramStart"/>
      <w:r w:rsidRPr="00010D37">
        <w:rPr>
          <w:sz w:val="24"/>
          <w:szCs w:val="24"/>
          <w:lang w:eastAsia="da-DK"/>
        </w:rPr>
        <w:t>det sidste trimester</w:t>
      </w:r>
      <w:proofErr w:type="gramEnd"/>
      <w:r w:rsidRPr="00010D37">
        <w:rPr>
          <w:sz w:val="24"/>
          <w:szCs w:val="24"/>
          <w:lang w:eastAsia="da-DK"/>
        </w:rPr>
        <w:t xml:space="preserve"> af graviditeten eller under veerne har vist sig at medføre uregelmæssigheder i fostrets hjertefrekvens og </w:t>
      </w:r>
      <w:proofErr w:type="spellStart"/>
      <w:r w:rsidRPr="00010D37">
        <w:rPr>
          <w:sz w:val="24"/>
          <w:szCs w:val="24"/>
          <w:lang w:eastAsia="da-DK"/>
        </w:rPr>
        <w:t>hypotoni</w:t>
      </w:r>
      <w:proofErr w:type="spellEnd"/>
      <w:r w:rsidRPr="00010D37">
        <w:rPr>
          <w:sz w:val="24"/>
          <w:szCs w:val="24"/>
          <w:lang w:eastAsia="da-DK"/>
        </w:rPr>
        <w:t xml:space="preserve">, dårlig dieevne, </w:t>
      </w:r>
      <w:proofErr w:type="spellStart"/>
      <w:r w:rsidRPr="00010D37">
        <w:rPr>
          <w:sz w:val="24"/>
          <w:szCs w:val="24"/>
          <w:lang w:eastAsia="da-DK"/>
        </w:rPr>
        <w:t>hypotermi</w:t>
      </w:r>
      <w:proofErr w:type="spellEnd"/>
      <w:r w:rsidRPr="00010D37">
        <w:rPr>
          <w:sz w:val="24"/>
          <w:szCs w:val="24"/>
          <w:lang w:eastAsia="da-DK"/>
        </w:rPr>
        <w:t xml:space="preserve"> og moderat respirationsdepression hos den nyfødte.</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4"/>
          <w:sz w:val="24"/>
          <w:szCs w:val="24"/>
          <w:lang w:eastAsia="da-DK"/>
        </w:rPr>
        <w:t>Spædbørn født af mødre, der har indtaget benzodiazepiner konstant under den sidste del af graviditeten, kan have udviklet fysisk afhængighed og kan have risiko for at udvikle abstinenssymptomer efter fødslen.</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Amning</w:t>
      </w:r>
    </w:p>
    <w:p w:rsidR="00A729AA" w:rsidRPr="00C84483"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Da benzodiazepiner udskilles i brystmælk, frarådes anvendelse af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xml:space="preserve"> hos mødre, der ammer.</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4F17D8">
        <w:rPr>
          <w:b/>
          <w:sz w:val="24"/>
          <w:szCs w:val="24"/>
        </w:rPr>
        <w:t>og</w:t>
      </w:r>
      <w:r w:rsidRPr="00C84483">
        <w:rPr>
          <w:b/>
          <w:sz w:val="24"/>
          <w:szCs w:val="24"/>
        </w:rPr>
        <w:t xml:space="preserve"> betjene maskiner</w:t>
      </w:r>
    </w:p>
    <w:p w:rsidR="00A729AA" w:rsidRPr="00010D37" w:rsidRDefault="00A729AA" w:rsidP="00A729AA">
      <w:pPr>
        <w:widowControl w:val="0"/>
        <w:autoSpaceDE w:val="0"/>
        <w:autoSpaceDN w:val="0"/>
        <w:adjustRightInd w:val="0"/>
        <w:ind w:left="851" w:right="-20"/>
        <w:rPr>
          <w:sz w:val="24"/>
          <w:szCs w:val="24"/>
          <w:lang w:eastAsia="da-DK"/>
        </w:rPr>
      </w:pPr>
      <w:r>
        <w:rPr>
          <w:sz w:val="24"/>
          <w:szCs w:val="24"/>
          <w:lang w:eastAsia="da-DK"/>
        </w:rPr>
        <w:t>Mærkning.</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Patienter bør informeres om, at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010D37">
        <w:rPr>
          <w:sz w:val="24"/>
          <w:szCs w:val="24"/>
          <w:lang w:eastAsia="da-DK"/>
        </w:rPr>
        <w:t>, lige som alle denne slags lægemidler, kan ændre patienternes præstationer ved krævende opgaver. Sedation, amnesi, nedsat koncentration og nedsat muskelfunktion kan påvirke evnen til at køre eller betjene maskiner. Hvis der opstår utilstrækkelig søvnvarighed, kan sandsynligheden for nedsat agtpågivenhed øges. Patienterne bør desuden informeres om, at alkohol kan forstærke eventuelle funktionshæmninger, og bør derfor undgås under behandlingen.</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Dette lægemiddel kan forringe den kognitive funktion og kan påvirke patientens evne til at køre sikkert. Denne type lægemidler er på listen over stoffer, der indgår i tabel H3.2</w:t>
      </w:r>
      <w:r>
        <w:rPr>
          <w:sz w:val="24"/>
          <w:szCs w:val="24"/>
          <w:lang w:eastAsia="da-DK"/>
        </w:rPr>
        <w:t>,</w:t>
      </w:r>
      <w:r w:rsidRPr="00010D37">
        <w:rPr>
          <w:sz w:val="24"/>
          <w:szCs w:val="24"/>
          <w:lang w:eastAsia="da-DK"/>
        </w:rPr>
        <w:t xml:space="preserve"> jf. § 54 i færdselsloven. Ved ordination af dette lægemiddel, skal patienten orienteres om:</w:t>
      </w:r>
    </w:p>
    <w:p w:rsidR="00A729AA" w:rsidRPr="00010D37" w:rsidRDefault="00A729AA" w:rsidP="00A729AA">
      <w:pPr>
        <w:widowControl w:val="0"/>
        <w:numPr>
          <w:ilvl w:val="0"/>
          <w:numId w:val="6"/>
        </w:numPr>
        <w:tabs>
          <w:tab w:val="left" w:pos="1134"/>
        </w:tabs>
        <w:autoSpaceDE w:val="0"/>
        <w:autoSpaceDN w:val="0"/>
        <w:adjustRightInd w:val="0"/>
        <w:ind w:left="851" w:right="-20" w:firstLine="0"/>
        <w:rPr>
          <w:rFonts w:eastAsiaTheme="minorEastAsia"/>
          <w:sz w:val="24"/>
          <w:szCs w:val="24"/>
        </w:rPr>
      </w:pPr>
      <w:r w:rsidRPr="00010D37">
        <w:rPr>
          <w:rFonts w:eastAsiaTheme="minorEastAsia"/>
          <w:spacing w:val="2"/>
          <w:sz w:val="24"/>
          <w:szCs w:val="24"/>
        </w:rPr>
        <w:t>Lægemidlet vil sandsynligvis påvirke din evne til at føre motorkøretøj</w:t>
      </w:r>
    </w:p>
    <w:p w:rsidR="00A729AA" w:rsidRPr="00010D37" w:rsidRDefault="00A729AA" w:rsidP="00A729AA">
      <w:pPr>
        <w:widowControl w:val="0"/>
        <w:numPr>
          <w:ilvl w:val="0"/>
          <w:numId w:val="6"/>
        </w:numPr>
        <w:tabs>
          <w:tab w:val="left" w:pos="1134"/>
        </w:tabs>
        <w:autoSpaceDE w:val="0"/>
        <w:autoSpaceDN w:val="0"/>
        <w:adjustRightInd w:val="0"/>
        <w:ind w:left="851" w:right="-20" w:firstLine="0"/>
        <w:rPr>
          <w:rFonts w:eastAsiaTheme="minorEastAsia"/>
          <w:sz w:val="24"/>
          <w:szCs w:val="24"/>
        </w:rPr>
      </w:pPr>
      <w:r w:rsidRPr="00010D37">
        <w:rPr>
          <w:rFonts w:eastAsiaTheme="minorEastAsia"/>
          <w:sz w:val="24"/>
          <w:szCs w:val="24"/>
        </w:rPr>
        <w:t>Du må ikke føre motorkøretøj, før du ved, hvordan lægemidlet påvirker dig</w:t>
      </w:r>
    </w:p>
    <w:p w:rsidR="00A729AA" w:rsidRPr="00010D37" w:rsidRDefault="00A729AA" w:rsidP="00A729AA">
      <w:pPr>
        <w:widowControl w:val="0"/>
        <w:numPr>
          <w:ilvl w:val="0"/>
          <w:numId w:val="6"/>
        </w:numPr>
        <w:tabs>
          <w:tab w:val="left" w:pos="1134"/>
        </w:tabs>
        <w:autoSpaceDE w:val="0"/>
        <w:autoSpaceDN w:val="0"/>
        <w:adjustRightInd w:val="0"/>
        <w:ind w:left="851" w:right="-20" w:firstLine="0"/>
        <w:rPr>
          <w:rFonts w:eastAsiaTheme="minorEastAsia"/>
          <w:sz w:val="24"/>
          <w:szCs w:val="24"/>
        </w:rPr>
      </w:pPr>
      <w:r w:rsidRPr="00010D37">
        <w:rPr>
          <w:rFonts w:eastAsiaTheme="minorEastAsia"/>
          <w:spacing w:val="-4"/>
          <w:sz w:val="24"/>
          <w:szCs w:val="24"/>
        </w:rPr>
        <w:t>Det er strafbart at køre under påvirkning af dette lægemiddel</w:t>
      </w:r>
    </w:p>
    <w:p w:rsidR="00A729AA" w:rsidRPr="00010D37" w:rsidRDefault="00A729AA" w:rsidP="00A729AA">
      <w:pPr>
        <w:widowControl w:val="0"/>
        <w:numPr>
          <w:ilvl w:val="0"/>
          <w:numId w:val="6"/>
        </w:numPr>
        <w:tabs>
          <w:tab w:val="left" w:pos="1134"/>
        </w:tabs>
        <w:autoSpaceDE w:val="0"/>
        <w:autoSpaceDN w:val="0"/>
        <w:adjustRightInd w:val="0"/>
        <w:ind w:left="851" w:right="-20" w:firstLine="0"/>
        <w:rPr>
          <w:rFonts w:eastAsiaTheme="minorEastAsia"/>
          <w:sz w:val="24"/>
          <w:szCs w:val="24"/>
        </w:rPr>
      </w:pPr>
      <w:r w:rsidRPr="00010D37">
        <w:rPr>
          <w:rFonts w:eastAsiaTheme="minorEastAsia"/>
          <w:spacing w:val="-1"/>
          <w:sz w:val="24"/>
          <w:szCs w:val="24"/>
        </w:rPr>
        <w:t>Du begår dog ikke en strafbar handling</w:t>
      </w:r>
      <w:r w:rsidRPr="00010D37">
        <w:rPr>
          <w:rFonts w:eastAsiaTheme="minorEastAsia"/>
          <w:sz w:val="24"/>
          <w:szCs w:val="24"/>
        </w:rPr>
        <w:t>, hvis:</w:t>
      </w:r>
    </w:p>
    <w:p w:rsidR="00A729AA" w:rsidRDefault="00A729AA" w:rsidP="00A729AA">
      <w:pPr>
        <w:widowControl w:val="0"/>
        <w:tabs>
          <w:tab w:val="left" w:pos="1418"/>
        </w:tabs>
        <w:autoSpaceDE w:val="0"/>
        <w:autoSpaceDN w:val="0"/>
        <w:adjustRightInd w:val="0"/>
        <w:ind w:left="1418" w:right="-20" w:hanging="284"/>
        <w:rPr>
          <w:rFonts w:eastAsiaTheme="minorEastAsia"/>
          <w:spacing w:val="-4"/>
          <w:sz w:val="24"/>
          <w:szCs w:val="24"/>
        </w:rPr>
      </w:pPr>
      <w:r>
        <w:rPr>
          <w:rFonts w:eastAsiaTheme="minorEastAsia"/>
          <w:spacing w:val="2"/>
          <w:sz w:val="24"/>
          <w:szCs w:val="24"/>
        </w:rPr>
        <w:lastRenderedPageBreak/>
        <w:t>-</w:t>
      </w:r>
      <w:r>
        <w:rPr>
          <w:rFonts w:eastAsiaTheme="minorEastAsia"/>
          <w:spacing w:val="2"/>
          <w:sz w:val="24"/>
          <w:szCs w:val="24"/>
        </w:rPr>
        <w:tab/>
      </w:r>
      <w:r w:rsidRPr="004E6141">
        <w:rPr>
          <w:rFonts w:eastAsiaTheme="minorEastAsia"/>
          <w:spacing w:val="2"/>
          <w:sz w:val="24"/>
          <w:szCs w:val="24"/>
        </w:rPr>
        <w:t xml:space="preserve">Lægemidlet er ordineret til behandling af et </w:t>
      </w:r>
      <w:r w:rsidRPr="004E6141">
        <w:rPr>
          <w:rFonts w:eastAsiaTheme="minorEastAsia"/>
          <w:spacing w:val="-4"/>
          <w:sz w:val="24"/>
          <w:szCs w:val="24"/>
        </w:rPr>
        <w:t>m</w:t>
      </w:r>
      <w:r w:rsidRPr="004E6141">
        <w:rPr>
          <w:rFonts w:eastAsiaTheme="minorEastAsia"/>
          <w:sz w:val="24"/>
          <w:szCs w:val="24"/>
        </w:rPr>
        <w:t>edi</w:t>
      </w:r>
      <w:r w:rsidRPr="004E6141">
        <w:rPr>
          <w:rFonts w:eastAsiaTheme="minorEastAsia"/>
          <w:spacing w:val="-2"/>
          <w:sz w:val="24"/>
          <w:szCs w:val="24"/>
        </w:rPr>
        <w:t xml:space="preserve">cinsk eller </w:t>
      </w:r>
      <w:r w:rsidRPr="004E6141">
        <w:rPr>
          <w:rFonts w:eastAsiaTheme="minorEastAsia"/>
          <w:sz w:val="24"/>
          <w:szCs w:val="24"/>
        </w:rPr>
        <w:t>dent</w:t>
      </w:r>
      <w:r w:rsidRPr="004E6141">
        <w:rPr>
          <w:rFonts w:eastAsiaTheme="minorEastAsia"/>
          <w:spacing w:val="-2"/>
          <w:sz w:val="24"/>
          <w:szCs w:val="24"/>
        </w:rPr>
        <w:t>a</w:t>
      </w:r>
      <w:r w:rsidRPr="004E6141">
        <w:rPr>
          <w:rFonts w:eastAsiaTheme="minorEastAsia"/>
          <w:sz w:val="24"/>
          <w:szCs w:val="24"/>
        </w:rPr>
        <w:t>lt</w:t>
      </w:r>
      <w:r w:rsidRPr="004E6141">
        <w:rPr>
          <w:rFonts w:eastAsiaTheme="minorEastAsia"/>
          <w:spacing w:val="1"/>
          <w:sz w:val="24"/>
          <w:szCs w:val="24"/>
        </w:rPr>
        <w:t xml:space="preserve"> </w:t>
      </w:r>
      <w:r w:rsidRPr="004E6141">
        <w:rPr>
          <w:rFonts w:eastAsiaTheme="minorEastAsia"/>
          <w:spacing w:val="-2"/>
          <w:sz w:val="24"/>
          <w:szCs w:val="24"/>
        </w:rPr>
        <w:t>p</w:t>
      </w:r>
      <w:r w:rsidRPr="004E6141">
        <w:rPr>
          <w:rFonts w:eastAsiaTheme="minorEastAsia"/>
          <w:spacing w:val="1"/>
          <w:sz w:val="24"/>
          <w:szCs w:val="24"/>
        </w:rPr>
        <w:t>r</w:t>
      </w:r>
      <w:r w:rsidRPr="004E6141">
        <w:rPr>
          <w:rFonts w:eastAsiaTheme="minorEastAsia"/>
          <w:sz w:val="24"/>
          <w:szCs w:val="24"/>
        </w:rPr>
        <w:t>o</w:t>
      </w:r>
      <w:r w:rsidRPr="004E6141">
        <w:rPr>
          <w:rFonts w:eastAsiaTheme="minorEastAsia"/>
          <w:spacing w:val="-2"/>
          <w:sz w:val="24"/>
          <w:szCs w:val="24"/>
        </w:rPr>
        <w:t>b</w:t>
      </w:r>
      <w:r w:rsidRPr="004E6141">
        <w:rPr>
          <w:rFonts w:eastAsiaTheme="minorEastAsia"/>
          <w:sz w:val="24"/>
          <w:szCs w:val="24"/>
        </w:rPr>
        <w:t>lem</w:t>
      </w:r>
      <w:r w:rsidRPr="004E6141">
        <w:rPr>
          <w:rFonts w:eastAsiaTheme="minorEastAsia"/>
          <w:spacing w:val="-4"/>
          <w:sz w:val="24"/>
          <w:szCs w:val="24"/>
        </w:rPr>
        <w:t xml:space="preserve"> og</w:t>
      </w:r>
    </w:p>
    <w:p w:rsidR="00A729AA" w:rsidRDefault="00A729AA" w:rsidP="00A729AA">
      <w:pPr>
        <w:widowControl w:val="0"/>
        <w:tabs>
          <w:tab w:val="left" w:pos="1418"/>
        </w:tabs>
        <w:autoSpaceDE w:val="0"/>
        <w:autoSpaceDN w:val="0"/>
        <w:adjustRightInd w:val="0"/>
        <w:ind w:left="1418" w:right="-20" w:hanging="284"/>
        <w:rPr>
          <w:rFonts w:eastAsiaTheme="minorEastAsia"/>
          <w:sz w:val="24"/>
          <w:szCs w:val="24"/>
        </w:rPr>
      </w:pPr>
      <w:r>
        <w:rPr>
          <w:rFonts w:eastAsiaTheme="minorEastAsia"/>
          <w:spacing w:val="-4"/>
          <w:sz w:val="24"/>
          <w:szCs w:val="24"/>
        </w:rPr>
        <w:t>-</w:t>
      </w:r>
      <w:r>
        <w:rPr>
          <w:rFonts w:eastAsiaTheme="minorEastAsia"/>
          <w:spacing w:val="-4"/>
          <w:sz w:val="24"/>
          <w:szCs w:val="24"/>
        </w:rPr>
        <w:tab/>
      </w:r>
      <w:r w:rsidRPr="004E6141">
        <w:rPr>
          <w:rFonts w:eastAsiaTheme="minorEastAsia"/>
          <w:sz w:val="24"/>
          <w:szCs w:val="24"/>
        </w:rPr>
        <w:t>Du har taget det i overensstemmelse med de instruktioner, du har fået af den ordinerende læge, samt instruktionerne i det informationsmateriale, der følger med lægemidlet</w:t>
      </w:r>
    </w:p>
    <w:p w:rsidR="00A729AA" w:rsidRPr="00EA4618" w:rsidRDefault="00A729AA" w:rsidP="00A729AA">
      <w:pPr>
        <w:widowControl w:val="0"/>
        <w:tabs>
          <w:tab w:val="left" w:pos="1418"/>
        </w:tabs>
        <w:autoSpaceDE w:val="0"/>
        <w:autoSpaceDN w:val="0"/>
        <w:adjustRightInd w:val="0"/>
        <w:ind w:left="1418" w:right="-20" w:hanging="284"/>
        <w:rPr>
          <w:rFonts w:eastAsiaTheme="minorEastAsia"/>
          <w:sz w:val="24"/>
          <w:szCs w:val="24"/>
        </w:rPr>
      </w:pPr>
      <w:r>
        <w:rPr>
          <w:rFonts w:eastAsiaTheme="minorEastAsia"/>
          <w:sz w:val="24"/>
          <w:szCs w:val="24"/>
        </w:rPr>
        <w:t>-</w:t>
      </w:r>
      <w:r>
        <w:rPr>
          <w:rFonts w:eastAsiaTheme="minorEastAsia"/>
          <w:sz w:val="24"/>
          <w:szCs w:val="24"/>
        </w:rPr>
        <w:tab/>
      </w:r>
      <w:r w:rsidRPr="004E6141">
        <w:rPr>
          <w:rFonts w:eastAsiaTheme="minorEastAsia"/>
          <w:spacing w:val="-4"/>
          <w:sz w:val="24"/>
          <w:szCs w:val="24"/>
        </w:rPr>
        <w:t>Det har vist sig, at lægemidlet ikke påvirker din evne til at køre sikkert</w:t>
      </w:r>
    </w:p>
    <w:p w:rsidR="00A729AA" w:rsidRPr="00C84483" w:rsidRDefault="00A729AA" w:rsidP="00A729AA">
      <w:pPr>
        <w:rPr>
          <w:sz w:val="24"/>
          <w:szCs w:val="24"/>
        </w:rPr>
      </w:pPr>
    </w:p>
    <w:p w:rsidR="00A729AA" w:rsidRDefault="00A729AA" w:rsidP="00A729AA">
      <w:pPr>
        <w:tabs>
          <w:tab w:val="left" w:pos="851"/>
        </w:tabs>
        <w:ind w:left="851" w:hanging="851"/>
        <w:rPr>
          <w:b/>
          <w:sz w:val="24"/>
          <w:szCs w:val="24"/>
        </w:rPr>
      </w:pPr>
      <w:r w:rsidRPr="00C84483">
        <w:rPr>
          <w:b/>
          <w:sz w:val="24"/>
          <w:szCs w:val="24"/>
        </w:rPr>
        <w:t>4.8</w:t>
      </w:r>
      <w:r w:rsidRPr="00C84483">
        <w:rPr>
          <w:b/>
          <w:sz w:val="24"/>
          <w:szCs w:val="24"/>
        </w:rPr>
        <w:tab/>
        <w:t>Bivirkninger</w:t>
      </w:r>
    </w:p>
    <w:p w:rsidR="00A729AA" w:rsidRDefault="00A729AA" w:rsidP="00A729AA">
      <w:pPr>
        <w:tabs>
          <w:tab w:val="left" w:pos="851"/>
        </w:tabs>
        <w:ind w:left="851" w:hanging="851"/>
        <w:rPr>
          <w:sz w:val="24"/>
          <w:szCs w:val="24"/>
        </w:rPr>
      </w:pPr>
    </w:p>
    <w:tbl>
      <w:tblPr>
        <w:tblW w:w="9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1631"/>
        <w:gridCol w:w="1350"/>
        <w:gridCol w:w="1393"/>
        <w:gridCol w:w="1384"/>
        <w:gridCol w:w="2159"/>
      </w:tblGrid>
      <w:tr w:rsidR="00A729AA" w:rsidRPr="00010D37" w:rsidTr="003B4BCE">
        <w:trPr>
          <w:trHeight w:val="300"/>
          <w:tblHeader/>
        </w:trPr>
        <w:tc>
          <w:tcPr>
            <w:tcW w:w="2014" w:type="dxa"/>
            <w:noWrap/>
            <w:hideMark/>
          </w:tcPr>
          <w:p w:rsidR="00A729AA" w:rsidRPr="00010D37" w:rsidRDefault="00A729AA" w:rsidP="003B4BCE">
            <w:pPr>
              <w:widowControl w:val="0"/>
              <w:autoSpaceDE w:val="0"/>
              <w:autoSpaceDN w:val="0"/>
              <w:adjustRightInd w:val="0"/>
              <w:ind w:right="-20"/>
              <w:rPr>
                <w:b/>
                <w:sz w:val="22"/>
                <w:szCs w:val="22"/>
                <w:lang w:eastAsia="da-DK"/>
              </w:rPr>
            </w:pPr>
            <w:r w:rsidRPr="00E96BBE">
              <w:rPr>
                <w:b/>
                <w:sz w:val="22"/>
                <w:szCs w:val="22"/>
                <w:lang w:eastAsia="da-DK"/>
              </w:rPr>
              <w:t>S</w:t>
            </w:r>
            <w:r w:rsidRPr="00010D37">
              <w:rPr>
                <w:b/>
                <w:sz w:val="22"/>
                <w:szCs w:val="22"/>
                <w:lang w:eastAsia="da-DK"/>
              </w:rPr>
              <w:t>ystemorgan</w:t>
            </w:r>
            <w:r w:rsidRPr="00E96BBE">
              <w:rPr>
                <w:b/>
                <w:sz w:val="22"/>
                <w:szCs w:val="22"/>
                <w:lang w:eastAsia="da-DK"/>
              </w:rPr>
              <w:t>-</w:t>
            </w:r>
            <w:r w:rsidRPr="00010D37">
              <w:rPr>
                <w:b/>
                <w:sz w:val="22"/>
                <w:szCs w:val="22"/>
                <w:lang w:eastAsia="da-DK"/>
              </w:rPr>
              <w:t>klasse</w:t>
            </w:r>
            <w:r w:rsidRPr="00E96BBE">
              <w:rPr>
                <w:b/>
                <w:sz w:val="22"/>
                <w:szCs w:val="22"/>
                <w:lang w:eastAsia="da-DK"/>
              </w:rPr>
              <w:t xml:space="preserve"> </w:t>
            </w:r>
          </w:p>
        </w:tc>
        <w:tc>
          <w:tcPr>
            <w:tcW w:w="1631" w:type="dxa"/>
            <w:noWrap/>
            <w:hideMark/>
          </w:tcPr>
          <w:p w:rsidR="00A729AA" w:rsidRPr="00010D37" w:rsidRDefault="00A729AA" w:rsidP="003B4BCE">
            <w:pPr>
              <w:widowControl w:val="0"/>
              <w:autoSpaceDE w:val="0"/>
              <w:autoSpaceDN w:val="0"/>
              <w:adjustRightInd w:val="0"/>
              <w:ind w:left="-36" w:right="-20"/>
              <w:rPr>
                <w:b/>
                <w:sz w:val="22"/>
                <w:szCs w:val="22"/>
                <w:lang w:eastAsia="da-DK"/>
              </w:rPr>
            </w:pPr>
            <w:r w:rsidRPr="00010D37">
              <w:rPr>
                <w:b/>
                <w:sz w:val="22"/>
                <w:szCs w:val="22"/>
                <w:lang w:eastAsia="da-DK"/>
              </w:rPr>
              <w:t>Almindelig (≥1/100 til &lt;1/10)</w:t>
            </w:r>
          </w:p>
        </w:tc>
        <w:tc>
          <w:tcPr>
            <w:tcW w:w="1350" w:type="dxa"/>
            <w:noWrap/>
            <w:hideMark/>
          </w:tcPr>
          <w:p w:rsidR="00A729AA" w:rsidRPr="00010D37" w:rsidRDefault="00A729AA" w:rsidP="003B4BCE">
            <w:pPr>
              <w:widowControl w:val="0"/>
              <w:autoSpaceDE w:val="0"/>
              <w:autoSpaceDN w:val="0"/>
              <w:adjustRightInd w:val="0"/>
              <w:ind w:right="-20"/>
              <w:rPr>
                <w:b/>
                <w:sz w:val="22"/>
                <w:szCs w:val="22"/>
                <w:lang w:eastAsia="da-DK"/>
              </w:rPr>
            </w:pPr>
            <w:r w:rsidRPr="00010D37">
              <w:rPr>
                <w:b/>
                <w:sz w:val="22"/>
                <w:szCs w:val="22"/>
                <w:lang w:eastAsia="da-DK"/>
              </w:rPr>
              <w:t xml:space="preserve">Ikke almindelig (≥1/1.000 til &lt;1/100) </w:t>
            </w:r>
          </w:p>
        </w:tc>
        <w:tc>
          <w:tcPr>
            <w:tcW w:w="1393" w:type="dxa"/>
            <w:noWrap/>
            <w:hideMark/>
          </w:tcPr>
          <w:p w:rsidR="00A729AA" w:rsidRPr="00010D37" w:rsidRDefault="00A729AA" w:rsidP="003B4BCE">
            <w:pPr>
              <w:widowControl w:val="0"/>
              <w:autoSpaceDE w:val="0"/>
              <w:autoSpaceDN w:val="0"/>
              <w:adjustRightInd w:val="0"/>
              <w:ind w:left="9" w:right="-20"/>
              <w:rPr>
                <w:b/>
                <w:sz w:val="22"/>
                <w:szCs w:val="22"/>
                <w:lang w:eastAsia="da-DK"/>
              </w:rPr>
            </w:pPr>
            <w:r w:rsidRPr="00010D37">
              <w:rPr>
                <w:b/>
                <w:sz w:val="22"/>
                <w:szCs w:val="22"/>
                <w:lang w:eastAsia="da-DK"/>
              </w:rPr>
              <w:t>Sjælden (1/10.000 til &lt;/1000)</w:t>
            </w:r>
          </w:p>
        </w:tc>
        <w:tc>
          <w:tcPr>
            <w:tcW w:w="1384" w:type="dxa"/>
            <w:noWrap/>
            <w:hideMark/>
          </w:tcPr>
          <w:p w:rsidR="00A729AA" w:rsidRPr="00010D37" w:rsidRDefault="00A729AA" w:rsidP="003B4BCE">
            <w:pPr>
              <w:widowControl w:val="0"/>
              <w:autoSpaceDE w:val="0"/>
              <w:autoSpaceDN w:val="0"/>
              <w:adjustRightInd w:val="0"/>
              <w:ind w:right="-20"/>
              <w:rPr>
                <w:b/>
                <w:sz w:val="22"/>
                <w:szCs w:val="22"/>
                <w:lang w:eastAsia="da-DK"/>
              </w:rPr>
            </w:pPr>
            <w:r w:rsidRPr="00010D37">
              <w:rPr>
                <w:b/>
                <w:sz w:val="22"/>
                <w:szCs w:val="22"/>
                <w:lang w:eastAsia="da-DK"/>
              </w:rPr>
              <w:t>Meget sjælden (&lt;1/10.000)</w:t>
            </w:r>
          </w:p>
        </w:tc>
        <w:tc>
          <w:tcPr>
            <w:tcW w:w="2159" w:type="dxa"/>
            <w:noWrap/>
            <w:hideMark/>
          </w:tcPr>
          <w:p w:rsidR="00A729AA" w:rsidRPr="00010D37" w:rsidRDefault="00A729AA" w:rsidP="003B4BCE">
            <w:pPr>
              <w:widowControl w:val="0"/>
              <w:autoSpaceDE w:val="0"/>
              <w:autoSpaceDN w:val="0"/>
              <w:adjustRightInd w:val="0"/>
              <w:ind w:left="16" w:right="-20"/>
              <w:rPr>
                <w:b/>
                <w:sz w:val="22"/>
                <w:szCs w:val="22"/>
                <w:lang w:eastAsia="da-DK"/>
              </w:rPr>
            </w:pPr>
            <w:r w:rsidRPr="00010D37">
              <w:rPr>
                <w:b/>
                <w:sz w:val="22"/>
                <w:szCs w:val="22"/>
                <w:lang w:eastAsia="da-DK"/>
              </w:rPr>
              <w:t>Hyppigheden er ikke kendt (hyppigheden kan ikke vurderes ud fra tilgængelige data).</w:t>
            </w: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r w:rsidRPr="00010D37">
              <w:rPr>
                <w:b/>
                <w:sz w:val="22"/>
                <w:szCs w:val="22"/>
                <w:lang w:eastAsia="da-DK"/>
              </w:rPr>
              <w:t>Blod- og lymfesystem</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proofErr w:type="spellStart"/>
            <w:r w:rsidRPr="00010D37">
              <w:rPr>
                <w:sz w:val="22"/>
                <w:szCs w:val="22"/>
                <w:lang w:eastAsia="da-DK"/>
              </w:rPr>
              <w:t>Bloddyskra</w:t>
            </w:r>
            <w:proofErr w:type="spellEnd"/>
            <w:r w:rsidRPr="00E96BBE">
              <w:rPr>
                <w:sz w:val="22"/>
                <w:szCs w:val="22"/>
                <w:lang w:eastAsia="da-DK"/>
              </w:rPr>
              <w:t>-</w:t>
            </w:r>
            <w:r w:rsidRPr="00010D37">
              <w:rPr>
                <w:sz w:val="22"/>
                <w:szCs w:val="22"/>
                <w:lang w:eastAsia="da-DK"/>
              </w:rPr>
              <w:t>sier</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r w:rsidRPr="00010D37">
              <w:rPr>
                <w:b/>
                <w:sz w:val="22"/>
                <w:szCs w:val="22"/>
                <w:lang w:eastAsia="da-DK"/>
              </w:rPr>
              <w:t>Psykiske forstyrrelser</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Ændring i libido</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r w:rsidRPr="00010D37">
              <w:rPr>
                <w:sz w:val="22"/>
                <w:szCs w:val="22"/>
                <w:lang w:eastAsia="da-DK"/>
              </w:rPr>
              <w:t>Afhængighed og misbrug af benzodiazepiner, amnesi (2), depression (3), abstinenssymptomer (1)</w:t>
            </w: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r w:rsidRPr="00010D37">
              <w:rPr>
                <w:b/>
                <w:sz w:val="22"/>
                <w:szCs w:val="22"/>
                <w:lang w:eastAsia="da-DK"/>
              </w:rPr>
              <w:t>Nervesystemet</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r w:rsidRPr="00010D37">
              <w:rPr>
                <w:sz w:val="22"/>
                <w:szCs w:val="22"/>
                <w:lang w:eastAsia="da-DK"/>
              </w:rPr>
              <w:t xml:space="preserve">Svimmelhed, </w:t>
            </w:r>
            <w:proofErr w:type="spellStart"/>
            <w:r w:rsidRPr="00010D37">
              <w:rPr>
                <w:sz w:val="22"/>
                <w:szCs w:val="22"/>
                <w:lang w:eastAsia="da-DK"/>
              </w:rPr>
              <w:t>ataksi</w:t>
            </w:r>
            <w:proofErr w:type="spellEnd"/>
            <w:r w:rsidRPr="00010D37">
              <w:rPr>
                <w:sz w:val="22"/>
                <w:szCs w:val="22"/>
                <w:lang w:eastAsia="da-DK"/>
              </w:rPr>
              <w:t>, døsighed, følelsesforladt</w:t>
            </w:r>
            <w:r>
              <w:rPr>
                <w:sz w:val="22"/>
                <w:szCs w:val="22"/>
                <w:lang w:eastAsia="da-DK"/>
              </w:rPr>
              <w:t>-</w:t>
            </w:r>
            <w:r w:rsidRPr="00E96BBE">
              <w:rPr>
                <w:sz w:val="22"/>
                <w:szCs w:val="22"/>
                <w:lang w:eastAsia="da-DK"/>
              </w:rPr>
              <w:t>hed</w:t>
            </w:r>
            <w:r w:rsidRPr="00010D37">
              <w:rPr>
                <w:sz w:val="22"/>
                <w:szCs w:val="22"/>
                <w:lang w:eastAsia="da-DK"/>
              </w:rPr>
              <w:t>, nedsat opmærksomhed, forvirring, træthed, hovedpine (4)</w:t>
            </w: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r w:rsidRPr="00010D37">
              <w:rPr>
                <w:b/>
                <w:sz w:val="22"/>
                <w:szCs w:val="22"/>
                <w:lang w:eastAsia="da-DK"/>
              </w:rPr>
              <w:t>Øjne</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r w:rsidRPr="00010D37">
              <w:rPr>
                <w:sz w:val="22"/>
                <w:szCs w:val="22"/>
                <w:lang w:eastAsia="da-DK"/>
              </w:rPr>
              <w:t>Dobbeltsyn</w:t>
            </w: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proofErr w:type="spellStart"/>
            <w:r w:rsidRPr="00010D37">
              <w:rPr>
                <w:sz w:val="22"/>
                <w:szCs w:val="22"/>
                <w:lang w:eastAsia="da-DK"/>
              </w:rPr>
              <w:t>Synsforstyr</w:t>
            </w:r>
            <w:r>
              <w:rPr>
                <w:sz w:val="22"/>
                <w:szCs w:val="22"/>
                <w:lang w:eastAsia="da-DK"/>
              </w:rPr>
              <w:t>-</w:t>
            </w:r>
            <w:r w:rsidRPr="00010D37">
              <w:rPr>
                <w:sz w:val="22"/>
                <w:szCs w:val="22"/>
                <w:lang w:eastAsia="da-DK"/>
              </w:rPr>
              <w:t>relser</w:t>
            </w:r>
            <w:proofErr w:type="spellEnd"/>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r w:rsidRPr="00010D37">
              <w:rPr>
                <w:b/>
                <w:sz w:val="22"/>
                <w:szCs w:val="22"/>
                <w:lang w:eastAsia="da-DK"/>
              </w:rPr>
              <w:t>Øre og labyrint</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proofErr w:type="spellStart"/>
            <w:r w:rsidRPr="00010D37">
              <w:rPr>
                <w:sz w:val="22"/>
                <w:szCs w:val="22"/>
                <w:lang w:eastAsia="da-DK"/>
              </w:rPr>
              <w:t>Vertigo</w:t>
            </w:r>
            <w:proofErr w:type="spellEnd"/>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sz w:val="22"/>
                <w:szCs w:val="22"/>
                <w:lang w:eastAsia="da-DK"/>
              </w:rPr>
            </w:pPr>
            <w:proofErr w:type="spellStart"/>
            <w:r w:rsidRPr="00010D37">
              <w:rPr>
                <w:b/>
                <w:sz w:val="22"/>
                <w:szCs w:val="22"/>
                <w:lang w:eastAsia="da-DK"/>
              </w:rPr>
              <w:t>Vaskulære</w:t>
            </w:r>
            <w:proofErr w:type="spellEnd"/>
            <w:r w:rsidRPr="00010D37">
              <w:rPr>
                <w:b/>
                <w:sz w:val="22"/>
                <w:szCs w:val="22"/>
                <w:lang w:eastAsia="da-DK"/>
              </w:rPr>
              <w:t xml:space="preserve"> sygdomme</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Hypotension</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b/>
                <w:bCs/>
                <w:sz w:val="22"/>
                <w:szCs w:val="22"/>
                <w:lang w:eastAsia="da-DK"/>
              </w:rPr>
            </w:pPr>
            <w:r w:rsidRPr="00010D37">
              <w:rPr>
                <w:b/>
                <w:sz w:val="22"/>
                <w:szCs w:val="22"/>
                <w:lang w:eastAsia="da-DK"/>
              </w:rPr>
              <w:t>Mave-tarm</w:t>
            </w:r>
            <w:r w:rsidRPr="00E96BBE">
              <w:rPr>
                <w:b/>
                <w:sz w:val="22"/>
                <w:szCs w:val="22"/>
                <w:lang w:eastAsia="da-DK"/>
              </w:rPr>
              <w:t>-</w:t>
            </w:r>
            <w:r w:rsidRPr="00010D37">
              <w:rPr>
                <w:b/>
                <w:sz w:val="22"/>
                <w:szCs w:val="22"/>
                <w:lang w:eastAsia="da-DK"/>
              </w:rPr>
              <w:t>kanalen</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Mavebesvær</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b/>
                <w:bCs/>
                <w:sz w:val="22"/>
                <w:szCs w:val="22"/>
                <w:lang w:eastAsia="da-DK"/>
              </w:rPr>
            </w:pPr>
            <w:r w:rsidRPr="00010D37">
              <w:rPr>
                <w:b/>
                <w:sz w:val="22"/>
                <w:szCs w:val="22"/>
                <w:lang w:eastAsia="da-DK"/>
              </w:rPr>
              <w:t>Lever og galdeveje</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Gulsot</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b/>
                <w:bCs/>
                <w:sz w:val="22"/>
                <w:szCs w:val="22"/>
                <w:lang w:eastAsia="da-DK"/>
              </w:rPr>
            </w:pPr>
            <w:r w:rsidRPr="00010D37">
              <w:rPr>
                <w:b/>
                <w:sz w:val="22"/>
                <w:szCs w:val="22"/>
                <w:lang w:eastAsia="da-DK"/>
              </w:rPr>
              <w:t>Hud og subkutane væv</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Hududslæt</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b/>
                <w:bCs/>
                <w:sz w:val="22"/>
                <w:szCs w:val="22"/>
                <w:lang w:eastAsia="da-DK"/>
              </w:rPr>
            </w:pPr>
            <w:r w:rsidRPr="00010D37">
              <w:rPr>
                <w:b/>
                <w:sz w:val="22"/>
                <w:szCs w:val="22"/>
                <w:lang w:eastAsia="da-DK"/>
              </w:rPr>
              <w:t>Knogler, led, muskler og bindevæv</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r w:rsidRPr="00010D37">
              <w:rPr>
                <w:sz w:val="22"/>
                <w:szCs w:val="22"/>
                <w:lang w:eastAsia="da-DK"/>
              </w:rPr>
              <w:t>Muskelsvaghed</w:t>
            </w: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r w:rsidR="00A729AA" w:rsidRPr="00010D37" w:rsidTr="003B4BCE">
        <w:trPr>
          <w:trHeight w:val="300"/>
          <w:tblHeader/>
        </w:trPr>
        <w:tc>
          <w:tcPr>
            <w:tcW w:w="2014" w:type="dxa"/>
            <w:noWrap/>
          </w:tcPr>
          <w:p w:rsidR="00A729AA" w:rsidRPr="00010D37" w:rsidRDefault="00A729AA" w:rsidP="003B4BCE">
            <w:pPr>
              <w:widowControl w:val="0"/>
              <w:autoSpaceDE w:val="0"/>
              <w:autoSpaceDN w:val="0"/>
              <w:adjustRightInd w:val="0"/>
              <w:ind w:right="-20"/>
              <w:rPr>
                <w:b/>
                <w:bCs/>
                <w:sz w:val="22"/>
                <w:szCs w:val="22"/>
                <w:lang w:eastAsia="da-DK"/>
              </w:rPr>
            </w:pPr>
            <w:r w:rsidRPr="00010D37">
              <w:rPr>
                <w:b/>
                <w:sz w:val="22"/>
                <w:szCs w:val="22"/>
                <w:lang w:eastAsia="da-DK"/>
              </w:rPr>
              <w:t>Nyrer og urinveje</w:t>
            </w:r>
          </w:p>
        </w:tc>
        <w:tc>
          <w:tcPr>
            <w:tcW w:w="1631" w:type="dxa"/>
            <w:noWrap/>
          </w:tcPr>
          <w:p w:rsidR="00A729AA" w:rsidRPr="00010D37" w:rsidRDefault="00A729AA" w:rsidP="003B4BCE">
            <w:pPr>
              <w:widowControl w:val="0"/>
              <w:autoSpaceDE w:val="0"/>
              <w:autoSpaceDN w:val="0"/>
              <w:adjustRightInd w:val="0"/>
              <w:ind w:left="-36" w:right="-20"/>
              <w:rPr>
                <w:sz w:val="22"/>
                <w:szCs w:val="22"/>
                <w:lang w:eastAsia="da-DK"/>
              </w:rPr>
            </w:pPr>
          </w:p>
        </w:tc>
        <w:tc>
          <w:tcPr>
            <w:tcW w:w="1350" w:type="dxa"/>
            <w:noWrap/>
          </w:tcPr>
          <w:p w:rsidR="00A729AA" w:rsidRPr="00010D37" w:rsidRDefault="00A729AA" w:rsidP="003B4BCE">
            <w:pPr>
              <w:widowControl w:val="0"/>
              <w:autoSpaceDE w:val="0"/>
              <w:autoSpaceDN w:val="0"/>
              <w:adjustRightInd w:val="0"/>
              <w:ind w:right="-20"/>
              <w:rPr>
                <w:sz w:val="22"/>
                <w:szCs w:val="22"/>
                <w:lang w:eastAsia="da-DK"/>
              </w:rPr>
            </w:pPr>
          </w:p>
        </w:tc>
        <w:tc>
          <w:tcPr>
            <w:tcW w:w="1393" w:type="dxa"/>
            <w:noWrap/>
          </w:tcPr>
          <w:p w:rsidR="00A729AA" w:rsidRPr="00010D37" w:rsidRDefault="00A729AA" w:rsidP="003B4BCE">
            <w:pPr>
              <w:widowControl w:val="0"/>
              <w:autoSpaceDE w:val="0"/>
              <w:autoSpaceDN w:val="0"/>
              <w:adjustRightInd w:val="0"/>
              <w:ind w:left="9" w:right="-20"/>
              <w:rPr>
                <w:sz w:val="22"/>
                <w:szCs w:val="22"/>
                <w:lang w:eastAsia="da-DK"/>
              </w:rPr>
            </w:pPr>
            <w:r w:rsidRPr="00010D37">
              <w:rPr>
                <w:sz w:val="22"/>
                <w:szCs w:val="22"/>
                <w:lang w:eastAsia="da-DK"/>
              </w:rPr>
              <w:t>Urinretention</w:t>
            </w:r>
          </w:p>
        </w:tc>
        <w:tc>
          <w:tcPr>
            <w:tcW w:w="1384" w:type="dxa"/>
            <w:noWrap/>
          </w:tcPr>
          <w:p w:rsidR="00A729AA" w:rsidRPr="00010D37" w:rsidRDefault="00A729AA" w:rsidP="003B4BCE">
            <w:pPr>
              <w:widowControl w:val="0"/>
              <w:autoSpaceDE w:val="0"/>
              <w:autoSpaceDN w:val="0"/>
              <w:adjustRightInd w:val="0"/>
              <w:ind w:right="-20"/>
              <w:rPr>
                <w:sz w:val="22"/>
                <w:szCs w:val="22"/>
                <w:lang w:eastAsia="da-DK"/>
              </w:rPr>
            </w:pPr>
          </w:p>
        </w:tc>
        <w:tc>
          <w:tcPr>
            <w:tcW w:w="2159" w:type="dxa"/>
            <w:noWrap/>
          </w:tcPr>
          <w:p w:rsidR="00A729AA" w:rsidRPr="00010D37" w:rsidRDefault="00A729AA" w:rsidP="003B4BCE">
            <w:pPr>
              <w:widowControl w:val="0"/>
              <w:autoSpaceDE w:val="0"/>
              <w:autoSpaceDN w:val="0"/>
              <w:adjustRightInd w:val="0"/>
              <w:ind w:left="16" w:right="-20"/>
              <w:rPr>
                <w:sz w:val="22"/>
                <w:szCs w:val="22"/>
                <w:lang w:eastAsia="da-DK"/>
              </w:rPr>
            </w:pPr>
          </w:p>
        </w:tc>
      </w:tr>
    </w:tbl>
    <w:p w:rsidR="00A729AA" w:rsidRPr="00010D37" w:rsidRDefault="00A729AA" w:rsidP="00A729AA">
      <w:pPr>
        <w:widowControl w:val="0"/>
        <w:autoSpaceDE w:val="0"/>
        <w:autoSpaceDN w:val="0"/>
        <w:adjustRightInd w:val="0"/>
        <w:ind w:left="851" w:right="-20"/>
        <w:rPr>
          <w:sz w:val="24"/>
          <w:szCs w:val="24"/>
          <w:lang w:eastAsia="da-DK"/>
        </w:rPr>
      </w:pPr>
    </w:p>
    <w:p w:rsidR="00A729AA" w:rsidRPr="00151109" w:rsidRDefault="00A729AA" w:rsidP="00A729AA">
      <w:pPr>
        <w:widowControl w:val="0"/>
        <w:autoSpaceDE w:val="0"/>
        <w:autoSpaceDN w:val="0"/>
        <w:adjustRightInd w:val="0"/>
        <w:ind w:left="1276" w:right="-20" w:hanging="425"/>
        <w:rPr>
          <w:sz w:val="22"/>
          <w:szCs w:val="22"/>
          <w:lang w:eastAsia="da-DK"/>
        </w:rPr>
      </w:pPr>
      <w:r w:rsidRPr="00010D37">
        <w:rPr>
          <w:sz w:val="22"/>
          <w:szCs w:val="22"/>
          <w:lang w:eastAsia="da-DK"/>
        </w:rPr>
        <w:t>(1)</w:t>
      </w:r>
      <w:r w:rsidRPr="00151109">
        <w:rPr>
          <w:sz w:val="22"/>
          <w:szCs w:val="22"/>
          <w:lang w:eastAsia="da-DK"/>
        </w:rPr>
        <w:tab/>
      </w:r>
      <w:r w:rsidRPr="00010D37">
        <w:rPr>
          <w:sz w:val="22"/>
          <w:szCs w:val="22"/>
          <w:lang w:eastAsia="da-DK"/>
        </w:rPr>
        <w:t xml:space="preserve">Behandlingen kan (selv i terapeutiske doser) føre til udvikling af fysisk og psykisk afhængighed: </w:t>
      </w:r>
      <w:proofErr w:type="spellStart"/>
      <w:r w:rsidRPr="00010D37">
        <w:rPr>
          <w:sz w:val="22"/>
          <w:szCs w:val="22"/>
          <w:lang w:eastAsia="da-DK"/>
        </w:rPr>
        <w:t>seponering</w:t>
      </w:r>
      <w:proofErr w:type="spellEnd"/>
      <w:r w:rsidRPr="00010D37">
        <w:rPr>
          <w:sz w:val="22"/>
          <w:szCs w:val="22"/>
          <w:lang w:eastAsia="da-DK"/>
        </w:rPr>
        <w:t xml:space="preserve"> af behandlingen kan medføre abstinenssymptomer eller </w:t>
      </w:r>
      <w:proofErr w:type="spellStart"/>
      <w:r w:rsidRPr="00010D37">
        <w:rPr>
          <w:sz w:val="22"/>
          <w:szCs w:val="22"/>
          <w:lang w:eastAsia="da-DK"/>
        </w:rPr>
        <w:t>rebound</w:t>
      </w:r>
      <w:proofErr w:type="spellEnd"/>
      <w:r w:rsidRPr="00010D37">
        <w:rPr>
          <w:sz w:val="22"/>
          <w:szCs w:val="22"/>
          <w:lang w:eastAsia="da-DK"/>
        </w:rPr>
        <w:t xml:space="preserve"> effekt, et transient syndrom, hvor symptomerne, der førte til behandling med benzodiazepiner eller benzodiazepin-lignende middel, gentager sig i en udvidet form. Det kan være ledsaget af andre reaktioner, herunder humørsvingninger, angst og rastløshed. Da risikoen for abstinenssymptomer/</w:t>
      </w:r>
      <w:proofErr w:type="spellStart"/>
      <w:r w:rsidRPr="00010D37">
        <w:rPr>
          <w:sz w:val="22"/>
          <w:szCs w:val="22"/>
          <w:lang w:eastAsia="da-DK"/>
        </w:rPr>
        <w:t>rebound</w:t>
      </w:r>
      <w:proofErr w:type="spellEnd"/>
      <w:r w:rsidRPr="00010D37">
        <w:rPr>
          <w:sz w:val="22"/>
          <w:szCs w:val="22"/>
          <w:lang w:eastAsia="da-DK"/>
        </w:rPr>
        <w:t xml:space="preserve"> effekt er større efter pludseligt ophør med behandlingen, anbefales det, at doseringen reduceres gradvist.</w:t>
      </w:r>
    </w:p>
    <w:p w:rsidR="00A729AA" w:rsidRPr="00010D37" w:rsidRDefault="00A729AA" w:rsidP="00A729AA">
      <w:pPr>
        <w:widowControl w:val="0"/>
        <w:autoSpaceDE w:val="0"/>
        <w:autoSpaceDN w:val="0"/>
        <w:adjustRightInd w:val="0"/>
        <w:ind w:left="1276" w:right="-20" w:hanging="425"/>
        <w:rPr>
          <w:sz w:val="22"/>
          <w:szCs w:val="22"/>
          <w:lang w:eastAsia="da-DK"/>
        </w:rPr>
      </w:pPr>
      <w:r w:rsidRPr="00010D37">
        <w:rPr>
          <w:sz w:val="22"/>
          <w:szCs w:val="22"/>
          <w:lang w:eastAsia="da-DK"/>
        </w:rPr>
        <w:t>(2)</w:t>
      </w:r>
      <w:r w:rsidRPr="00151109">
        <w:rPr>
          <w:sz w:val="22"/>
          <w:szCs w:val="22"/>
          <w:lang w:eastAsia="da-DK"/>
        </w:rPr>
        <w:tab/>
      </w:r>
      <w:proofErr w:type="spellStart"/>
      <w:r w:rsidRPr="00010D37">
        <w:rPr>
          <w:sz w:val="22"/>
          <w:szCs w:val="22"/>
          <w:lang w:eastAsia="da-DK"/>
        </w:rPr>
        <w:t>Anterograd</w:t>
      </w:r>
      <w:proofErr w:type="spellEnd"/>
      <w:r w:rsidRPr="00010D37">
        <w:rPr>
          <w:sz w:val="22"/>
          <w:szCs w:val="22"/>
          <w:lang w:eastAsia="da-DK"/>
        </w:rPr>
        <w:t xml:space="preserve"> amnesi kan forekomme ved terapeutiske</w:t>
      </w:r>
      <w:r w:rsidRPr="00151109">
        <w:rPr>
          <w:sz w:val="22"/>
          <w:szCs w:val="22"/>
          <w:lang w:eastAsia="da-DK"/>
        </w:rPr>
        <w:t xml:space="preserve"> doser, med stigende risiko ved h</w:t>
      </w:r>
      <w:r w:rsidRPr="00010D37">
        <w:rPr>
          <w:sz w:val="22"/>
          <w:szCs w:val="22"/>
          <w:lang w:eastAsia="da-DK"/>
        </w:rPr>
        <w:t xml:space="preserve">øjere </w:t>
      </w:r>
      <w:r w:rsidRPr="00010D37">
        <w:rPr>
          <w:sz w:val="22"/>
          <w:szCs w:val="22"/>
          <w:lang w:eastAsia="da-DK"/>
        </w:rPr>
        <w:lastRenderedPageBreak/>
        <w:t>doser. Amnesivirkning kan være forbundet med uhensigtsmæssig adfærd.</w:t>
      </w:r>
    </w:p>
    <w:p w:rsidR="00A729AA" w:rsidRPr="00010D37" w:rsidRDefault="00A729AA" w:rsidP="00A729AA">
      <w:pPr>
        <w:widowControl w:val="0"/>
        <w:autoSpaceDE w:val="0"/>
        <w:autoSpaceDN w:val="0"/>
        <w:adjustRightInd w:val="0"/>
        <w:ind w:left="1276" w:right="-20" w:hanging="425"/>
        <w:rPr>
          <w:sz w:val="22"/>
          <w:szCs w:val="22"/>
          <w:lang w:eastAsia="da-DK"/>
        </w:rPr>
      </w:pPr>
      <w:r>
        <w:rPr>
          <w:sz w:val="22"/>
          <w:szCs w:val="22"/>
          <w:lang w:eastAsia="da-DK"/>
        </w:rPr>
        <w:t>(3)</w:t>
      </w:r>
      <w:r>
        <w:rPr>
          <w:sz w:val="22"/>
          <w:szCs w:val="22"/>
          <w:lang w:eastAsia="da-DK"/>
        </w:rPr>
        <w:tab/>
      </w:r>
      <w:r w:rsidRPr="00010D37">
        <w:rPr>
          <w:sz w:val="22"/>
          <w:szCs w:val="22"/>
          <w:lang w:eastAsia="da-DK"/>
        </w:rPr>
        <w:t>Allerede eksisterende depression kan blotlægges ved brug af benzodiazepiner.</w:t>
      </w:r>
    </w:p>
    <w:p w:rsidR="00A729AA" w:rsidRPr="00010D37" w:rsidRDefault="00A729AA" w:rsidP="00A729AA">
      <w:pPr>
        <w:widowControl w:val="0"/>
        <w:autoSpaceDE w:val="0"/>
        <w:autoSpaceDN w:val="0"/>
        <w:adjustRightInd w:val="0"/>
        <w:ind w:left="1276" w:right="-20" w:hanging="425"/>
        <w:rPr>
          <w:sz w:val="22"/>
          <w:szCs w:val="22"/>
          <w:lang w:eastAsia="da-DK"/>
        </w:rPr>
      </w:pPr>
      <w:r>
        <w:rPr>
          <w:sz w:val="22"/>
          <w:szCs w:val="22"/>
          <w:lang w:eastAsia="da-DK"/>
        </w:rPr>
        <w:t>(4)</w:t>
      </w:r>
      <w:r>
        <w:rPr>
          <w:sz w:val="22"/>
          <w:szCs w:val="22"/>
          <w:lang w:eastAsia="da-DK"/>
        </w:rPr>
        <w:tab/>
      </w:r>
      <w:r w:rsidRPr="00010D37">
        <w:rPr>
          <w:sz w:val="22"/>
          <w:szCs w:val="22"/>
          <w:lang w:eastAsia="da-DK"/>
        </w:rPr>
        <w:t>Disse fænomener er dosisrelaterede og forekommer overvejende i starten af ​​behandlingen. De forsvinder sædvanligvis ved gentagen administration. Ældre er særligt følsomme over for virkningerne af centralt-depressive lægemidler.</w:t>
      </w:r>
    </w:p>
    <w:p w:rsidR="00A729AA" w:rsidRPr="00010D37" w:rsidRDefault="00A729AA" w:rsidP="00A729AA">
      <w:pPr>
        <w:widowControl w:val="0"/>
        <w:autoSpaceDE w:val="0"/>
        <w:autoSpaceDN w:val="0"/>
        <w:adjustRightInd w:val="0"/>
        <w:ind w:left="851" w:right="-20"/>
        <w:rPr>
          <w:sz w:val="24"/>
          <w:szCs w:val="24"/>
          <w:lang w:eastAsia="da-DK"/>
        </w:rPr>
      </w:pPr>
    </w:p>
    <w:p w:rsidR="00A729AA" w:rsidRDefault="00A729AA" w:rsidP="00A729AA">
      <w:pPr>
        <w:autoSpaceDE w:val="0"/>
        <w:autoSpaceDN w:val="0"/>
        <w:ind w:left="851"/>
        <w:rPr>
          <w:sz w:val="24"/>
          <w:szCs w:val="24"/>
          <w:u w:val="single"/>
          <w:lang w:eastAsia="da-DK"/>
        </w:rPr>
      </w:pPr>
      <w:r>
        <w:rPr>
          <w:sz w:val="24"/>
          <w:szCs w:val="24"/>
          <w:u w:val="single"/>
          <w:lang w:eastAsia="da-DK"/>
        </w:rPr>
        <w:t>Indberetning af formodede bivirkninger</w:t>
      </w:r>
    </w:p>
    <w:p w:rsidR="00A729AA" w:rsidRDefault="00A729AA" w:rsidP="00A729AA">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F17D8">
        <w:rPr>
          <w:sz w:val="24"/>
          <w:szCs w:val="24"/>
          <w:lang w:eastAsia="da-DK"/>
        </w:rPr>
        <w:t>S</w:t>
      </w:r>
      <w:r>
        <w:rPr>
          <w:sz w:val="24"/>
          <w:szCs w:val="24"/>
          <w:lang w:eastAsia="da-DK"/>
        </w:rPr>
        <w:t>undhedsperson</w:t>
      </w:r>
      <w:r w:rsidR="004F17D8">
        <w:rPr>
          <w:sz w:val="24"/>
          <w:szCs w:val="24"/>
          <w:lang w:eastAsia="da-DK"/>
        </w:rPr>
        <w:t>er</w:t>
      </w:r>
      <w:r>
        <w:rPr>
          <w:sz w:val="24"/>
          <w:szCs w:val="24"/>
          <w:lang w:eastAsia="da-DK"/>
        </w:rPr>
        <w:t xml:space="preserve"> anmodes om at indberette alle formodede bivirkninger via:</w:t>
      </w:r>
    </w:p>
    <w:p w:rsidR="00A729AA" w:rsidRDefault="00A729AA" w:rsidP="00A729AA">
      <w:pPr>
        <w:ind w:left="851"/>
        <w:rPr>
          <w:sz w:val="24"/>
          <w:szCs w:val="24"/>
          <w:lang w:eastAsia="da-DK"/>
        </w:rPr>
      </w:pPr>
    </w:p>
    <w:p w:rsidR="00A729AA" w:rsidRDefault="00A729AA" w:rsidP="00A729AA">
      <w:pPr>
        <w:ind w:left="851"/>
        <w:rPr>
          <w:sz w:val="24"/>
          <w:szCs w:val="24"/>
          <w:lang w:eastAsia="da-DK"/>
        </w:rPr>
      </w:pPr>
      <w:r>
        <w:rPr>
          <w:sz w:val="24"/>
          <w:szCs w:val="24"/>
          <w:lang w:eastAsia="da-DK"/>
        </w:rPr>
        <w:t>Lægemiddelstyrelsen</w:t>
      </w:r>
    </w:p>
    <w:p w:rsidR="00A729AA" w:rsidRDefault="00A729AA" w:rsidP="00A729AA">
      <w:pPr>
        <w:ind w:left="851"/>
        <w:rPr>
          <w:sz w:val="24"/>
          <w:szCs w:val="24"/>
          <w:lang w:eastAsia="da-DK"/>
        </w:rPr>
      </w:pPr>
      <w:r>
        <w:rPr>
          <w:sz w:val="24"/>
          <w:szCs w:val="24"/>
          <w:lang w:eastAsia="da-DK"/>
        </w:rPr>
        <w:t>Axel Heides Gade 1</w:t>
      </w:r>
    </w:p>
    <w:p w:rsidR="00A729AA" w:rsidRDefault="00A729AA" w:rsidP="00A729AA">
      <w:pPr>
        <w:ind w:left="851"/>
        <w:rPr>
          <w:sz w:val="24"/>
          <w:szCs w:val="24"/>
          <w:lang w:eastAsia="da-DK"/>
        </w:rPr>
      </w:pPr>
      <w:r>
        <w:rPr>
          <w:sz w:val="24"/>
          <w:szCs w:val="24"/>
          <w:lang w:eastAsia="da-DK"/>
        </w:rPr>
        <w:t>DK-2300 København S</w:t>
      </w:r>
    </w:p>
    <w:p w:rsidR="00A729AA" w:rsidRPr="00E57E3A" w:rsidRDefault="00A729AA" w:rsidP="00CB7AE1">
      <w:pPr>
        <w:ind w:left="851"/>
        <w:rPr>
          <w:sz w:val="24"/>
          <w:szCs w:val="24"/>
          <w:lang w:eastAsia="da-DK"/>
        </w:rPr>
      </w:pPr>
      <w:r w:rsidRPr="00E57E3A">
        <w:rPr>
          <w:sz w:val="24"/>
          <w:szCs w:val="24"/>
          <w:lang w:eastAsia="da-DK"/>
        </w:rPr>
        <w:t xml:space="preserve">Websted: </w:t>
      </w:r>
      <w:hyperlink r:id="rId8" w:history="1">
        <w:r w:rsidRPr="00E57E3A">
          <w:rPr>
            <w:rStyle w:val="Hyperlink"/>
            <w:sz w:val="24"/>
            <w:lang w:eastAsia="da-DK"/>
          </w:rPr>
          <w:t>www.meldenbivirkning.dk</w:t>
        </w:r>
      </w:hyperlink>
    </w:p>
    <w:p w:rsidR="00A729AA" w:rsidRPr="00E57E3A" w:rsidRDefault="00A729AA" w:rsidP="00A729AA">
      <w:pPr>
        <w:pStyle w:val="Sidehoved"/>
        <w:tabs>
          <w:tab w:val="left" w:pos="851"/>
        </w:tabs>
        <w:ind w:left="851"/>
        <w:rPr>
          <w:szCs w:val="24"/>
        </w:rPr>
      </w:pPr>
    </w:p>
    <w:p w:rsidR="00A729AA" w:rsidRPr="00C84483" w:rsidRDefault="00A729AA" w:rsidP="00A729AA">
      <w:pPr>
        <w:tabs>
          <w:tab w:val="left" w:pos="851"/>
        </w:tabs>
        <w:ind w:left="851" w:hanging="851"/>
        <w:rPr>
          <w:b/>
          <w:sz w:val="24"/>
          <w:szCs w:val="24"/>
        </w:rPr>
      </w:pPr>
      <w:r w:rsidRPr="00C84483">
        <w:rPr>
          <w:b/>
          <w:sz w:val="24"/>
          <w:szCs w:val="24"/>
        </w:rPr>
        <w:t>4.9</w:t>
      </w:r>
      <w:r w:rsidRPr="00C84483">
        <w:rPr>
          <w:b/>
          <w:sz w:val="24"/>
          <w:szCs w:val="24"/>
        </w:rPr>
        <w:tab/>
        <w:t>Overdosering</w:t>
      </w: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1"/>
          <w:sz w:val="24"/>
          <w:szCs w:val="24"/>
          <w:lang w:eastAsia="da-DK"/>
        </w:rPr>
        <w:t xml:space="preserve">Når </w:t>
      </w:r>
      <w:proofErr w:type="spellStart"/>
      <w:r>
        <w:rPr>
          <w:spacing w:val="1"/>
          <w:sz w:val="24"/>
          <w:szCs w:val="24"/>
          <w:lang w:eastAsia="da-DK"/>
        </w:rPr>
        <w:t>Nitrazepam</w:t>
      </w:r>
      <w:proofErr w:type="spellEnd"/>
      <w:r>
        <w:rPr>
          <w:spacing w:val="1"/>
          <w:sz w:val="24"/>
          <w:szCs w:val="24"/>
          <w:lang w:eastAsia="da-DK"/>
        </w:rPr>
        <w:t xml:space="preserve"> "</w:t>
      </w:r>
      <w:proofErr w:type="spellStart"/>
      <w:r>
        <w:rPr>
          <w:spacing w:val="1"/>
          <w:sz w:val="24"/>
          <w:szCs w:val="24"/>
          <w:lang w:eastAsia="da-DK"/>
        </w:rPr>
        <w:t>Accord</w:t>
      </w:r>
      <w:proofErr w:type="spellEnd"/>
      <w:r>
        <w:rPr>
          <w:spacing w:val="1"/>
          <w:sz w:val="24"/>
          <w:szCs w:val="24"/>
          <w:lang w:eastAsia="da-DK"/>
        </w:rPr>
        <w:t>"</w:t>
      </w:r>
      <w:r w:rsidRPr="00010D37">
        <w:rPr>
          <w:spacing w:val="1"/>
          <w:sz w:val="24"/>
          <w:szCs w:val="24"/>
          <w:lang w:eastAsia="da-DK"/>
        </w:rPr>
        <w:t xml:space="preserve"> tages alene i overdosis medfører det få problemer og er ikke livstruende, medmindre det kombineres med andre CNS-depressive stoffer (inkl. alkohol). </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Ved behandling af overdosering med ethvert lægemiddel bør man være opmærksom på, at flere stoffer kan være indtaget.</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Symptomer</w:t>
      </w: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Overdosering med benzodiazepiner viser sig normalt ved forskellige grader af depression af centralnervesystemet, der kan variere fra sløvhed til koma. I milde tilfælde omfatter symptomerne sløvhed, mental forvirring, </w:t>
      </w:r>
      <w:proofErr w:type="spellStart"/>
      <w:r w:rsidRPr="00010D37">
        <w:rPr>
          <w:sz w:val="24"/>
          <w:szCs w:val="24"/>
          <w:lang w:eastAsia="da-DK"/>
        </w:rPr>
        <w:t>dysartri</w:t>
      </w:r>
      <w:proofErr w:type="spellEnd"/>
      <w:r w:rsidRPr="00010D37">
        <w:rPr>
          <w:sz w:val="24"/>
          <w:szCs w:val="24"/>
          <w:lang w:eastAsia="da-DK"/>
        </w:rPr>
        <w:t xml:space="preserve"> og døsighed. I alvorligere tilfælde omfatter symptomerne </w:t>
      </w:r>
      <w:proofErr w:type="spellStart"/>
      <w:r w:rsidRPr="00010D37">
        <w:rPr>
          <w:sz w:val="24"/>
          <w:szCs w:val="24"/>
          <w:lang w:eastAsia="da-DK"/>
        </w:rPr>
        <w:t>ataksi</w:t>
      </w:r>
      <w:proofErr w:type="spellEnd"/>
      <w:r w:rsidRPr="00010D37">
        <w:rPr>
          <w:sz w:val="24"/>
          <w:szCs w:val="24"/>
          <w:lang w:eastAsia="da-DK"/>
        </w:rPr>
        <w:t xml:space="preserve">, </w:t>
      </w:r>
      <w:proofErr w:type="spellStart"/>
      <w:r w:rsidRPr="00010D37">
        <w:rPr>
          <w:sz w:val="24"/>
          <w:szCs w:val="24"/>
          <w:lang w:eastAsia="da-DK"/>
        </w:rPr>
        <w:t>hypotoni</w:t>
      </w:r>
      <w:proofErr w:type="spellEnd"/>
      <w:r w:rsidRPr="00010D37">
        <w:rPr>
          <w:sz w:val="24"/>
          <w:szCs w:val="24"/>
          <w:lang w:eastAsia="da-DK"/>
        </w:rPr>
        <w:t>, hypotension, åndedrætsbesvær, sjældent koma og meget sjældent død.</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Behandling</w:t>
      </w: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1"/>
          <w:sz w:val="24"/>
          <w:szCs w:val="24"/>
          <w:lang w:eastAsia="da-DK"/>
        </w:rPr>
        <w:t>Efter overdosering med orale benzodiazepiner bør opkastning fremprovokeres (inden for 1 time), hvis patienten er ved bevidsthed. Hvis patienten er bevidstløs, bør der foretages udskylning af mavesækken under beskyttelse af luftvejene. Hvis det ikke er hensigtsmæssigt at tømme mavesækken, bør der gives aktivt kul for at nedsætte absorptionen.</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z w:val="24"/>
          <w:szCs w:val="24"/>
          <w:lang w:eastAsia="da-DK"/>
        </w:rPr>
        <w:t xml:space="preserve">Der bør under intensiv overvågning vises særlig opmærksomhed over for åndedræts- og hjertefunktioner. Værdien af ​​dialyse er ikke blevet fastlagt. </w:t>
      </w:r>
      <w:proofErr w:type="spellStart"/>
      <w:r w:rsidRPr="00010D37">
        <w:rPr>
          <w:sz w:val="24"/>
          <w:szCs w:val="24"/>
          <w:lang w:eastAsia="da-DK"/>
        </w:rPr>
        <w:t>Flumazenil</w:t>
      </w:r>
      <w:proofErr w:type="spellEnd"/>
      <w:r w:rsidRPr="00010D37">
        <w:rPr>
          <w:sz w:val="24"/>
          <w:szCs w:val="24"/>
          <w:lang w:eastAsia="da-DK"/>
        </w:rPr>
        <w:t xml:space="preserve"> er en specifik IV-</w:t>
      </w:r>
      <w:proofErr w:type="spellStart"/>
      <w:r w:rsidRPr="00010D37">
        <w:rPr>
          <w:sz w:val="24"/>
          <w:szCs w:val="24"/>
          <w:lang w:eastAsia="da-DK"/>
        </w:rPr>
        <w:t>antidot</w:t>
      </w:r>
      <w:proofErr w:type="spellEnd"/>
      <w:r w:rsidRPr="00010D37">
        <w:rPr>
          <w:sz w:val="24"/>
          <w:szCs w:val="24"/>
          <w:lang w:eastAsia="da-DK"/>
        </w:rPr>
        <w:t xml:space="preserve"> til brug i nødsituationer. Patienter med behov for en sådan indgriben bør overvåges nøje på hospitalet (se særskilte ordinationsoplysninger). Benzodiazepin-antagonisten </w:t>
      </w:r>
      <w:proofErr w:type="spellStart"/>
      <w:r w:rsidRPr="00010D37">
        <w:rPr>
          <w:sz w:val="24"/>
          <w:szCs w:val="24"/>
          <w:lang w:eastAsia="da-DK"/>
        </w:rPr>
        <w:t>flumazenil</w:t>
      </w:r>
      <w:proofErr w:type="spellEnd"/>
      <w:r w:rsidRPr="00010D37">
        <w:rPr>
          <w:sz w:val="24"/>
          <w:szCs w:val="24"/>
          <w:lang w:eastAsia="da-DK"/>
        </w:rPr>
        <w:t xml:space="preserve"> er ikke indiceret til patienter med epilepsi, som er blevet behandlet med benzodiazepiner. Antagonisme af benzodiazepins effekt hos disse patienter kan udløse anfald.</w:t>
      </w:r>
    </w:p>
    <w:p w:rsidR="00A729AA" w:rsidRPr="00010D37" w:rsidRDefault="00A729AA" w:rsidP="00A729AA">
      <w:pPr>
        <w:widowControl w:val="0"/>
        <w:autoSpaceDE w:val="0"/>
        <w:autoSpaceDN w:val="0"/>
        <w:adjustRightInd w:val="0"/>
        <w:ind w:left="851" w:right="-20"/>
        <w:rPr>
          <w:sz w:val="24"/>
          <w:szCs w:val="24"/>
          <w:lang w:eastAsia="da-DK"/>
        </w:rPr>
      </w:pPr>
    </w:p>
    <w:p w:rsidR="00A729AA" w:rsidRPr="00010D37" w:rsidRDefault="00A729AA" w:rsidP="00A729AA">
      <w:pPr>
        <w:widowControl w:val="0"/>
        <w:autoSpaceDE w:val="0"/>
        <w:autoSpaceDN w:val="0"/>
        <w:adjustRightInd w:val="0"/>
        <w:ind w:left="851" w:right="-20"/>
        <w:rPr>
          <w:sz w:val="24"/>
          <w:szCs w:val="24"/>
          <w:lang w:eastAsia="da-DK"/>
        </w:rPr>
      </w:pPr>
      <w:r w:rsidRPr="00010D37">
        <w:rPr>
          <w:spacing w:val="-3"/>
          <w:sz w:val="24"/>
          <w:szCs w:val="24"/>
          <w:lang w:eastAsia="da-DK"/>
        </w:rPr>
        <w:t xml:space="preserve">Hvis der opstår </w:t>
      </w:r>
      <w:proofErr w:type="spellStart"/>
      <w:r w:rsidRPr="00010D37">
        <w:rPr>
          <w:spacing w:val="-3"/>
          <w:sz w:val="24"/>
          <w:szCs w:val="24"/>
          <w:lang w:eastAsia="da-DK"/>
        </w:rPr>
        <w:t>excitation</w:t>
      </w:r>
      <w:proofErr w:type="spellEnd"/>
      <w:r w:rsidRPr="00010D37">
        <w:rPr>
          <w:spacing w:val="-3"/>
          <w:sz w:val="24"/>
          <w:szCs w:val="24"/>
          <w:lang w:eastAsia="da-DK"/>
        </w:rPr>
        <w:t>, bør barbiturater ikke anvendes.</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4.10</w:t>
      </w:r>
      <w:r w:rsidRPr="00C84483">
        <w:rPr>
          <w:b/>
          <w:sz w:val="24"/>
          <w:szCs w:val="24"/>
        </w:rPr>
        <w:tab/>
        <w:t>Udlevering</w:t>
      </w:r>
    </w:p>
    <w:p w:rsidR="00A729AA" w:rsidRPr="00C84483" w:rsidRDefault="00A729AA" w:rsidP="00A729AA">
      <w:pPr>
        <w:tabs>
          <w:tab w:val="left" w:pos="851"/>
        </w:tabs>
        <w:ind w:left="851"/>
        <w:rPr>
          <w:sz w:val="24"/>
          <w:szCs w:val="24"/>
        </w:rPr>
      </w:pPr>
      <w:r>
        <w:rPr>
          <w:sz w:val="24"/>
          <w:szCs w:val="24"/>
        </w:rPr>
        <w:t>A</w:t>
      </w:r>
    </w:p>
    <w:p w:rsidR="00A729AA" w:rsidRDefault="00A729AA" w:rsidP="004F17D8">
      <w:pPr>
        <w:tabs>
          <w:tab w:val="left" w:pos="851"/>
        </w:tabs>
        <w:rPr>
          <w:sz w:val="24"/>
          <w:szCs w:val="24"/>
        </w:rPr>
      </w:pPr>
    </w:p>
    <w:p w:rsidR="004F17D8" w:rsidRDefault="004F17D8" w:rsidP="004F17D8">
      <w:pPr>
        <w:tabs>
          <w:tab w:val="left" w:pos="851"/>
        </w:tabs>
        <w:rPr>
          <w:sz w:val="24"/>
          <w:szCs w:val="24"/>
        </w:rPr>
      </w:pPr>
    </w:p>
    <w:p w:rsidR="004F17D8" w:rsidRDefault="004F17D8" w:rsidP="004F17D8">
      <w:pPr>
        <w:tabs>
          <w:tab w:val="left" w:pos="851"/>
        </w:tabs>
        <w:rPr>
          <w:sz w:val="24"/>
          <w:szCs w:val="24"/>
        </w:rPr>
      </w:pPr>
    </w:p>
    <w:p w:rsidR="004F17D8" w:rsidRPr="00C84483" w:rsidRDefault="004F17D8" w:rsidP="004F17D8">
      <w:pPr>
        <w:tabs>
          <w:tab w:val="left" w:pos="851"/>
        </w:tabs>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lastRenderedPageBreak/>
        <w:t>5.</w:t>
      </w:r>
      <w:r w:rsidRPr="00C84483">
        <w:rPr>
          <w:b/>
          <w:sz w:val="24"/>
          <w:szCs w:val="24"/>
        </w:rPr>
        <w:tab/>
        <w:t>FARMAKOLOGISKE EGENSKABER</w:t>
      </w:r>
    </w:p>
    <w:p w:rsidR="00CB7AE1" w:rsidRPr="00C84483" w:rsidRDefault="00CB7AE1" w:rsidP="00A729AA">
      <w:pPr>
        <w:tabs>
          <w:tab w:val="left" w:pos="851"/>
        </w:tabs>
        <w:ind w:left="851"/>
        <w:rPr>
          <w:sz w:val="24"/>
          <w:szCs w:val="24"/>
        </w:rPr>
      </w:pPr>
    </w:p>
    <w:p w:rsidR="00A729AA" w:rsidRPr="00C84483" w:rsidRDefault="00A729AA" w:rsidP="00A729A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F17D8" w:rsidRDefault="004F17D8" w:rsidP="00A729AA">
      <w:pPr>
        <w:widowControl w:val="0"/>
        <w:autoSpaceDE w:val="0"/>
        <w:autoSpaceDN w:val="0"/>
        <w:adjustRightInd w:val="0"/>
        <w:ind w:left="851" w:right="-20"/>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65CD1">
        <w:rPr>
          <w:spacing w:val="1"/>
          <w:sz w:val="24"/>
          <w:szCs w:val="24"/>
          <w:lang w:eastAsia="da-DK"/>
        </w:rPr>
        <w:t>Hypnotika</w:t>
      </w:r>
      <w:proofErr w:type="spellEnd"/>
      <w:r w:rsidRPr="00765CD1">
        <w:rPr>
          <w:spacing w:val="1"/>
          <w:sz w:val="24"/>
          <w:szCs w:val="24"/>
          <w:lang w:eastAsia="da-DK"/>
        </w:rPr>
        <w:t xml:space="preserve"> og beroligende midler, </w:t>
      </w:r>
      <w:proofErr w:type="spellStart"/>
      <w:r w:rsidRPr="00765CD1">
        <w:rPr>
          <w:spacing w:val="1"/>
          <w:sz w:val="24"/>
          <w:szCs w:val="24"/>
          <w:lang w:eastAsia="da-DK"/>
        </w:rPr>
        <w:t>benzodiazepinderivater</w:t>
      </w:r>
      <w:proofErr w:type="spellEnd"/>
      <w:r>
        <w:rPr>
          <w:spacing w:val="1"/>
          <w:sz w:val="24"/>
          <w:szCs w:val="24"/>
          <w:lang w:eastAsia="da-DK"/>
        </w:rPr>
        <w:t>.</w:t>
      </w:r>
      <w:r>
        <w:rPr>
          <w:spacing w:val="1"/>
          <w:sz w:val="24"/>
          <w:szCs w:val="24"/>
          <w:lang w:eastAsia="da-DK"/>
        </w:rPr>
        <w:t xml:space="preserve"> </w:t>
      </w:r>
      <w:r w:rsidRPr="00765CD1">
        <w:rPr>
          <w:sz w:val="24"/>
          <w:szCs w:val="24"/>
          <w:lang w:eastAsia="da-DK"/>
        </w:rPr>
        <w:t>ATC-kode: N</w:t>
      </w:r>
      <w:r>
        <w:rPr>
          <w:sz w:val="24"/>
          <w:szCs w:val="24"/>
          <w:lang w:eastAsia="da-DK"/>
        </w:rPr>
        <w:t xml:space="preserve"> </w:t>
      </w:r>
      <w:r w:rsidRPr="00765CD1">
        <w:rPr>
          <w:sz w:val="24"/>
          <w:szCs w:val="24"/>
          <w:lang w:eastAsia="da-DK"/>
        </w:rPr>
        <w:t>05</w:t>
      </w:r>
      <w:r>
        <w:rPr>
          <w:sz w:val="24"/>
          <w:szCs w:val="24"/>
          <w:lang w:eastAsia="da-DK"/>
        </w:rPr>
        <w:t xml:space="preserve"> </w:t>
      </w:r>
      <w:r w:rsidRPr="00765CD1">
        <w:rPr>
          <w:sz w:val="24"/>
          <w:szCs w:val="24"/>
          <w:lang w:eastAsia="da-DK"/>
        </w:rPr>
        <w:t>CD</w:t>
      </w:r>
      <w:r>
        <w:rPr>
          <w:sz w:val="24"/>
          <w:szCs w:val="24"/>
          <w:lang w:eastAsia="da-DK"/>
        </w:rPr>
        <w:t xml:space="preserve"> </w:t>
      </w:r>
      <w:r w:rsidRPr="00765CD1">
        <w:rPr>
          <w:sz w:val="24"/>
          <w:szCs w:val="24"/>
          <w:lang w:eastAsia="da-DK"/>
        </w:rPr>
        <w:t>02</w:t>
      </w:r>
      <w:r>
        <w:rPr>
          <w:sz w:val="24"/>
          <w:szCs w:val="24"/>
          <w:lang w:eastAsia="da-DK"/>
        </w:rPr>
        <w:t>.</w:t>
      </w:r>
    </w:p>
    <w:p w:rsidR="004F17D8" w:rsidRDefault="004F17D8"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765CD1">
        <w:rPr>
          <w:sz w:val="24"/>
          <w:szCs w:val="24"/>
          <w:lang w:eastAsia="da-DK"/>
        </w:rPr>
        <w:t xml:space="preserve"> er et </w:t>
      </w:r>
      <w:proofErr w:type="spellStart"/>
      <w:r w:rsidRPr="00765CD1">
        <w:rPr>
          <w:sz w:val="24"/>
          <w:szCs w:val="24"/>
          <w:lang w:eastAsia="da-DK"/>
        </w:rPr>
        <w:t>benzodiazepinderivat</w:t>
      </w:r>
      <w:proofErr w:type="spellEnd"/>
      <w:r w:rsidRPr="00765CD1">
        <w:rPr>
          <w:sz w:val="24"/>
          <w:szCs w:val="24"/>
          <w:lang w:eastAsia="da-DK"/>
        </w:rPr>
        <w:t xml:space="preserve"> med sedative egenskaber. Det virker inden for 30 til 60 minutter og medfører søvn i en varighed af 6 til 8 timer.</w:t>
      </w:r>
    </w:p>
    <w:p w:rsidR="00A729AA" w:rsidRPr="00C84483" w:rsidRDefault="00A729AA" w:rsidP="00A729AA">
      <w:pPr>
        <w:tabs>
          <w:tab w:val="left" w:pos="851"/>
        </w:tabs>
        <w:ind w:left="851"/>
        <w:rPr>
          <w:sz w:val="24"/>
          <w:szCs w:val="24"/>
        </w:rPr>
      </w:pPr>
    </w:p>
    <w:p w:rsidR="00A729AA" w:rsidRPr="00F21F29" w:rsidRDefault="00A729AA" w:rsidP="00A729A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729AA" w:rsidRPr="00765CD1" w:rsidRDefault="00A729AA" w:rsidP="00A729AA">
      <w:pPr>
        <w:widowControl w:val="0"/>
        <w:autoSpaceDE w:val="0"/>
        <w:autoSpaceDN w:val="0"/>
        <w:adjustRightInd w:val="0"/>
        <w:ind w:left="851" w:right="-20"/>
        <w:rPr>
          <w:sz w:val="24"/>
          <w:szCs w:val="24"/>
          <w:lang w:eastAsia="da-DK"/>
        </w:rPr>
      </w:pPr>
      <w:r w:rsidRPr="00765CD1">
        <w:rPr>
          <w:sz w:val="24"/>
          <w:szCs w:val="24"/>
          <w:u w:val="single"/>
          <w:lang w:eastAsia="da-DK"/>
        </w:rPr>
        <w:t>Absorption</w:t>
      </w:r>
    </w:p>
    <w:p w:rsidR="00A729AA" w:rsidRPr="00765CD1" w:rsidRDefault="00A729AA" w:rsidP="00A729AA">
      <w:pPr>
        <w:widowControl w:val="0"/>
        <w:tabs>
          <w:tab w:val="left" w:pos="5140"/>
        </w:tabs>
        <w:autoSpaceDE w:val="0"/>
        <w:autoSpaceDN w:val="0"/>
        <w:adjustRightInd w:val="0"/>
        <w:ind w:left="851" w:right="-20"/>
        <w:rPr>
          <w:sz w:val="24"/>
          <w:szCs w:val="24"/>
          <w:lang w:eastAsia="da-DK"/>
        </w:rPr>
      </w:pPr>
      <w:r w:rsidRPr="00765CD1">
        <w:rPr>
          <w:sz w:val="24"/>
          <w:szCs w:val="24"/>
          <w:lang w:eastAsia="da-DK"/>
        </w:rPr>
        <w:t>Lægemidlet absorberes godt fra mave</w:t>
      </w:r>
      <w:r>
        <w:rPr>
          <w:sz w:val="24"/>
          <w:szCs w:val="24"/>
          <w:lang w:eastAsia="da-DK"/>
        </w:rPr>
        <w:t>-</w:t>
      </w:r>
      <w:r w:rsidRPr="00765CD1">
        <w:rPr>
          <w:sz w:val="24"/>
          <w:szCs w:val="24"/>
          <w:lang w:eastAsia="da-DK"/>
        </w:rPr>
        <w:t>tarm</w:t>
      </w:r>
      <w:r>
        <w:rPr>
          <w:sz w:val="24"/>
          <w:szCs w:val="24"/>
          <w:lang w:eastAsia="da-DK"/>
        </w:rPr>
        <w:t>-</w:t>
      </w:r>
      <w:r w:rsidRPr="00765CD1">
        <w:rPr>
          <w:sz w:val="24"/>
          <w:szCs w:val="24"/>
          <w:lang w:eastAsia="da-DK"/>
        </w:rPr>
        <w:t>kanalen og maksimal plasmakoncentration opnås inden for 2 timer efter indgivelse. To timer efter administration er koncentrationen af ​​</w:t>
      </w:r>
      <w:proofErr w:type="spellStart"/>
      <w:r w:rsidRPr="00765CD1">
        <w:rPr>
          <w:sz w:val="24"/>
          <w:szCs w:val="24"/>
          <w:lang w:eastAsia="da-DK"/>
        </w:rPr>
        <w:t>nitrazepam</w:t>
      </w:r>
      <w:proofErr w:type="spellEnd"/>
      <w:r w:rsidRPr="00765CD1">
        <w:rPr>
          <w:sz w:val="24"/>
          <w:szCs w:val="24"/>
          <w:lang w:eastAsia="da-DK"/>
        </w:rPr>
        <w:t xml:space="preserve"> i cerebrospinalvæsken ca. 8 %, og efter 36 timer er ca. 16 % af koncentrationen i plasma. Cerebrospinalvæskekoncentration svarer således til den ikke-protein-bundne fraktion af aktivstoffet i plasmaet. </w:t>
      </w:r>
      <w:proofErr w:type="spellStart"/>
      <w:r w:rsidRPr="00765CD1">
        <w:rPr>
          <w:sz w:val="24"/>
          <w:szCs w:val="24"/>
          <w:lang w:eastAsia="da-DK"/>
        </w:rPr>
        <w:t>Steady</w:t>
      </w:r>
      <w:proofErr w:type="spellEnd"/>
      <w:r w:rsidRPr="00765CD1">
        <w:rPr>
          <w:sz w:val="24"/>
          <w:szCs w:val="24"/>
          <w:lang w:eastAsia="da-DK"/>
        </w:rPr>
        <w:t>-state-niveauer opnås inden for 5 dage.</w:t>
      </w:r>
    </w:p>
    <w:p w:rsidR="00A729AA" w:rsidRPr="00765CD1" w:rsidRDefault="00A729AA" w:rsidP="00A729AA">
      <w:pPr>
        <w:widowControl w:val="0"/>
        <w:autoSpaceDE w:val="0"/>
        <w:autoSpaceDN w:val="0"/>
        <w:adjustRightInd w:val="0"/>
        <w:ind w:left="851" w:right="-20"/>
        <w:rPr>
          <w:sz w:val="24"/>
          <w:szCs w:val="24"/>
          <w:lang w:eastAsia="da-DK"/>
        </w:rPr>
      </w:pPr>
    </w:p>
    <w:p w:rsidR="00A729AA" w:rsidRPr="00765CD1"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Fordeling</w:t>
      </w:r>
    </w:p>
    <w:p w:rsidR="00A729AA" w:rsidRPr="00765CD1" w:rsidRDefault="00A729AA" w:rsidP="00A729AA">
      <w:pPr>
        <w:widowControl w:val="0"/>
        <w:autoSpaceDE w:val="0"/>
        <w:autoSpaceDN w:val="0"/>
        <w:adjustRightInd w:val="0"/>
        <w:ind w:left="851" w:right="-20"/>
        <w:rPr>
          <w:sz w:val="24"/>
          <w:szCs w:val="24"/>
          <w:lang w:eastAsia="da-DK"/>
        </w:rPr>
      </w:pPr>
      <w:r w:rsidRPr="00765CD1">
        <w:rPr>
          <w:spacing w:val="-3"/>
          <w:sz w:val="24"/>
          <w:szCs w:val="24"/>
          <w:lang w:eastAsia="da-DK"/>
        </w:rPr>
        <w:t>Hos yngre personer er fordelingsvolumen 2l/kg. Hos ældre patienter er fordelingsvolumen større, og den gennemsnitlige halveringstid stiger til 40 timer.</w:t>
      </w:r>
    </w:p>
    <w:p w:rsidR="00A729AA" w:rsidRPr="00765CD1" w:rsidRDefault="00A729AA" w:rsidP="00A729AA">
      <w:pPr>
        <w:widowControl w:val="0"/>
        <w:autoSpaceDE w:val="0"/>
        <w:autoSpaceDN w:val="0"/>
        <w:adjustRightInd w:val="0"/>
        <w:ind w:left="851" w:right="-20"/>
        <w:rPr>
          <w:sz w:val="24"/>
          <w:szCs w:val="24"/>
          <w:lang w:eastAsia="da-DK"/>
        </w:rPr>
      </w:pPr>
    </w:p>
    <w:p w:rsidR="00A729AA" w:rsidRPr="00765CD1"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Biotransformation</w:t>
      </w:r>
    </w:p>
    <w:p w:rsidR="00A729AA" w:rsidRPr="00765CD1" w:rsidRDefault="00A729AA" w:rsidP="00A729AA">
      <w:pPr>
        <w:widowControl w:val="0"/>
        <w:autoSpaceDE w:val="0"/>
        <w:autoSpaceDN w:val="0"/>
        <w:adjustRightInd w:val="0"/>
        <w:ind w:left="851" w:right="-20"/>
        <w:rPr>
          <w:sz w:val="24"/>
          <w:szCs w:val="24"/>
          <w:lang w:eastAsia="da-DK"/>
        </w:rPr>
      </w:pPr>
      <w:proofErr w:type="spellStart"/>
      <w:r w:rsidRPr="00765CD1">
        <w:rPr>
          <w:sz w:val="24"/>
          <w:szCs w:val="24"/>
          <w:lang w:eastAsia="da-DK"/>
        </w:rPr>
        <w:t>Nitrazepam</w:t>
      </w:r>
      <w:proofErr w:type="spellEnd"/>
      <w:r w:rsidRPr="00765CD1">
        <w:rPr>
          <w:sz w:val="24"/>
          <w:szCs w:val="24"/>
          <w:lang w:eastAsia="da-DK"/>
        </w:rPr>
        <w:t xml:space="preserve"> gennemgår biotransformation til en række metabolitter, hvoraf ingen besidder signifikant klinisk aktivitet.</w:t>
      </w:r>
    </w:p>
    <w:p w:rsidR="00A729AA" w:rsidRPr="00765CD1" w:rsidRDefault="00A729AA" w:rsidP="00A729AA">
      <w:pPr>
        <w:widowControl w:val="0"/>
        <w:autoSpaceDE w:val="0"/>
        <w:autoSpaceDN w:val="0"/>
        <w:adjustRightInd w:val="0"/>
        <w:ind w:left="851" w:right="-20"/>
        <w:rPr>
          <w:sz w:val="24"/>
          <w:szCs w:val="24"/>
          <w:lang w:eastAsia="da-DK"/>
        </w:rPr>
      </w:pPr>
    </w:p>
    <w:p w:rsidR="00A729AA" w:rsidRPr="00765CD1" w:rsidRDefault="00A729AA" w:rsidP="00A729AA">
      <w:pPr>
        <w:widowControl w:val="0"/>
        <w:autoSpaceDE w:val="0"/>
        <w:autoSpaceDN w:val="0"/>
        <w:adjustRightInd w:val="0"/>
        <w:ind w:left="851" w:right="-20"/>
        <w:rPr>
          <w:sz w:val="24"/>
          <w:szCs w:val="24"/>
          <w:u w:val="single"/>
          <w:lang w:eastAsia="da-DK"/>
        </w:rPr>
      </w:pPr>
      <w:r>
        <w:rPr>
          <w:sz w:val="24"/>
          <w:szCs w:val="24"/>
          <w:u w:val="single"/>
          <w:lang w:eastAsia="da-DK"/>
        </w:rPr>
        <w:t>Elimination</w:t>
      </w:r>
    </w:p>
    <w:p w:rsidR="00A729AA" w:rsidRPr="00765CD1"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Omkring 5 % af metabolitterne udskilles uændret i urinen sammen med mindre end 10 % af hver af 7-amino- og 7-acetylamino-metabolitterne i de første 48 timer. Hos yngre personer er fordelingsvolumen 2l/kg. Hos ældre patienter er fordelingsvolumen større, og den gennemsnitlige halveringstid stiger til 40 timer.</w:t>
      </w:r>
    </w:p>
    <w:p w:rsidR="00A729AA" w:rsidRPr="00765CD1" w:rsidRDefault="00A729AA" w:rsidP="00A729AA">
      <w:pPr>
        <w:widowControl w:val="0"/>
        <w:autoSpaceDE w:val="0"/>
        <w:autoSpaceDN w:val="0"/>
        <w:adjustRightInd w:val="0"/>
        <w:ind w:left="851" w:right="-20"/>
        <w:rPr>
          <w:sz w:val="24"/>
          <w:szCs w:val="24"/>
          <w:lang w:eastAsia="da-DK"/>
        </w:rPr>
      </w:pPr>
    </w:p>
    <w:p w:rsidR="00A729AA" w:rsidRPr="00765CD1"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Halveringstiden er, i gennemsnit, 24 timer.</w:t>
      </w:r>
    </w:p>
    <w:p w:rsidR="00A729AA" w:rsidRPr="00765CD1" w:rsidRDefault="00A729AA" w:rsidP="00A729AA">
      <w:pPr>
        <w:widowControl w:val="0"/>
        <w:autoSpaceDE w:val="0"/>
        <w:autoSpaceDN w:val="0"/>
        <w:adjustRightInd w:val="0"/>
        <w:ind w:left="851" w:right="-20"/>
        <w:rPr>
          <w:sz w:val="24"/>
          <w:szCs w:val="24"/>
          <w:lang w:eastAsia="da-DK"/>
        </w:rPr>
      </w:pPr>
    </w:p>
    <w:p w:rsidR="00A729AA" w:rsidRPr="00765CD1" w:rsidRDefault="00A729AA" w:rsidP="00A729AA">
      <w:pPr>
        <w:widowControl w:val="0"/>
        <w:autoSpaceDE w:val="0"/>
        <w:autoSpaceDN w:val="0"/>
        <w:adjustRightInd w:val="0"/>
        <w:ind w:left="851" w:right="-20"/>
        <w:rPr>
          <w:sz w:val="24"/>
          <w:szCs w:val="24"/>
          <w:u w:val="single"/>
          <w:lang w:eastAsia="da-DK"/>
        </w:rPr>
      </w:pPr>
      <w:proofErr w:type="spellStart"/>
      <w:r w:rsidRPr="00C86C05">
        <w:rPr>
          <w:sz w:val="24"/>
          <w:szCs w:val="24"/>
          <w:u w:val="single"/>
          <w:lang w:eastAsia="da-DK"/>
        </w:rPr>
        <w:t>F</w:t>
      </w:r>
      <w:r w:rsidRPr="00765CD1">
        <w:rPr>
          <w:sz w:val="24"/>
          <w:szCs w:val="24"/>
          <w:u w:val="single"/>
          <w:lang w:eastAsia="da-DK"/>
        </w:rPr>
        <w:t>armakoki</w:t>
      </w:r>
      <w:r>
        <w:rPr>
          <w:sz w:val="24"/>
          <w:szCs w:val="24"/>
          <w:u w:val="single"/>
          <w:lang w:eastAsia="da-DK"/>
        </w:rPr>
        <w:t>netisk</w:t>
      </w:r>
      <w:proofErr w:type="spellEnd"/>
      <w:r>
        <w:rPr>
          <w:sz w:val="24"/>
          <w:szCs w:val="24"/>
          <w:u w:val="single"/>
          <w:lang w:eastAsia="da-DK"/>
        </w:rPr>
        <w:t>/</w:t>
      </w:r>
      <w:proofErr w:type="spellStart"/>
      <w:r>
        <w:rPr>
          <w:sz w:val="24"/>
          <w:szCs w:val="24"/>
          <w:u w:val="single"/>
          <w:lang w:eastAsia="da-DK"/>
        </w:rPr>
        <w:t>farmakodynamisk</w:t>
      </w:r>
      <w:proofErr w:type="spellEnd"/>
      <w:r>
        <w:rPr>
          <w:sz w:val="24"/>
          <w:szCs w:val="24"/>
          <w:u w:val="single"/>
          <w:lang w:eastAsia="da-DK"/>
        </w:rPr>
        <w:t xml:space="preserve"> relation</w:t>
      </w:r>
    </w:p>
    <w:p w:rsidR="00A729AA" w:rsidRPr="00C84483"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 xml:space="preserve">Der er ikke påvist nogen klar korrelation mellem blodets indhold af </w:t>
      </w:r>
      <w:proofErr w:type="spellStart"/>
      <w:r>
        <w:rPr>
          <w:sz w:val="24"/>
          <w:szCs w:val="24"/>
          <w:lang w:eastAsia="da-DK"/>
        </w:rPr>
        <w:t>Nitrazepam</w:t>
      </w:r>
      <w:proofErr w:type="spellEnd"/>
      <w:r>
        <w:rPr>
          <w:sz w:val="24"/>
          <w:szCs w:val="24"/>
          <w:lang w:eastAsia="da-DK"/>
        </w:rPr>
        <w:t xml:space="preserve"> "</w:t>
      </w:r>
      <w:proofErr w:type="spellStart"/>
      <w:r>
        <w:rPr>
          <w:sz w:val="24"/>
          <w:szCs w:val="24"/>
          <w:lang w:eastAsia="da-DK"/>
        </w:rPr>
        <w:t>Accord</w:t>
      </w:r>
      <w:proofErr w:type="spellEnd"/>
      <w:r>
        <w:rPr>
          <w:sz w:val="24"/>
          <w:szCs w:val="24"/>
          <w:lang w:eastAsia="da-DK"/>
        </w:rPr>
        <w:t>"</w:t>
      </w:r>
      <w:r w:rsidRPr="00765CD1">
        <w:rPr>
          <w:sz w:val="24"/>
          <w:szCs w:val="24"/>
          <w:lang w:eastAsia="da-DK"/>
        </w:rPr>
        <w:t xml:space="preserve"> og dets kliniske virkninger.</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5.3</w:t>
      </w:r>
      <w:r w:rsidRPr="00C84483">
        <w:rPr>
          <w:b/>
          <w:sz w:val="24"/>
          <w:szCs w:val="24"/>
        </w:rPr>
        <w:tab/>
      </w:r>
      <w:r w:rsidR="004F17D8">
        <w:rPr>
          <w:b/>
          <w:sz w:val="24"/>
          <w:szCs w:val="24"/>
        </w:rPr>
        <w:t>Non-</w:t>
      </w:r>
      <w:r w:rsidRPr="00C84483">
        <w:rPr>
          <w:b/>
          <w:sz w:val="24"/>
          <w:szCs w:val="24"/>
        </w:rPr>
        <w:t>kliniske sikkerhedsdata</w:t>
      </w:r>
    </w:p>
    <w:p w:rsidR="00A729AA" w:rsidRPr="00C84483"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Ikke anført.</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A729AA" w:rsidRPr="00BA09F1"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6.1</w:t>
      </w:r>
      <w:r w:rsidRPr="00C84483">
        <w:rPr>
          <w:b/>
          <w:sz w:val="24"/>
          <w:szCs w:val="24"/>
        </w:rPr>
        <w:tab/>
        <w:t>Hjælpestoffer</w:t>
      </w:r>
    </w:p>
    <w:p w:rsidR="00A729AA" w:rsidRPr="00765CD1"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Lactosemonohydrat</w:t>
      </w:r>
      <w:proofErr w:type="spellEnd"/>
    </w:p>
    <w:p w:rsidR="00A729AA" w:rsidRPr="00765CD1" w:rsidRDefault="00A729AA" w:rsidP="00A729AA">
      <w:pPr>
        <w:widowControl w:val="0"/>
        <w:autoSpaceDE w:val="0"/>
        <w:autoSpaceDN w:val="0"/>
        <w:adjustRightInd w:val="0"/>
        <w:ind w:left="851" w:right="-20"/>
        <w:rPr>
          <w:sz w:val="24"/>
          <w:szCs w:val="24"/>
          <w:lang w:eastAsia="da-DK"/>
        </w:rPr>
      </w:pPr>
      <w:r>
        <w:rPr>
          <w:sz w:val="24"/>
          <w:szCs w:val="24"/>
          <w:lang w:eastAsia="da-DK"/>
        </w:rPr>
        <w:t>Majsstivelse</w:t>
      </w:r>
    </w:p>
    <w:p w:rsidR="00A729AA" w:rsidRPr="00765CD1"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N</w:t>
      </w:r>
      <w:r w:rsidRPr="00765CD1">
        <w:rPr>
          <w:sz w:val="24"/>
          <w:szCs w:val="24"/>
          <w:lang w:eastAsia="da-DK"/>
        </w:rPr>
        <w:t>a</w:t>
      </w:r>
      <w:r>
        <w:rPr>
          <w:sz w:val="24"/>
          <w:szCs w:val="24"/>
          <w:lang w:eastAsia="da-DK"/>
        </w:rPr>
        <w:t>triumstivelsesglycolat</w:t>
      </w:r>
      <w:proofErr w:type="spellEnd"/>
      <w:r>
        <w:rPr>
          <w:sz w:val="24"/>
          <w:szCs w:val="24"/>
          <w:lang w:eastAsia="da-DK"/>
        </w:rPr>
        <w:t xml:space="preserve"> (type A)</w:t>
      </w:r>
    </w:p>
    <w:p w:rsidR="00A729AA" w:rsidRPr="00765CD1"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T</w:t>
      </w:r>
      <w:r w:rsidRPr="00765CD1">
        <w:rPr>
          <w:sz w:val="24"/>
          <w:szCs w:val="24"/>
          <w:lang w:eastAsia="da-DK"/>
        </w:rPr>
        <w:t>al</w:t>
      </w:r>
      <w:r>
        <w:rPr>
          <w:sz w:val="24"/>
          <w:szCs w:val="24"/>
          <w:lang w:eastAsia="da-DK"/>
        </w:rPr>
        <w:t>cum</w:t>
      </w:r>
      <w:proofErr w:type="spellEnd"/>
      <w:r>
        <w:rPr>
          <w:sz w:val="24"/>
          <w:szCs w:val="24"/>
          <w:lang w:eastAsia="da-DK"/>
        </w:rPr>
        <w:t xml:space="preserve"> (E553b)</w:t>
      </w:r>
    </w:p>
    <w:p w:rsidR="00A729AA" w:rsidRPr="00C84483" w:rsidRDefault="00A729AA" w:rsidP="00A729AA">
      <w:pPr>
        <w:widowControl w:val="0"/>
        <w:autoSpaceDE w:val="0"/>
        <w:autoSpaceDN w:val="0"/>
        <w:adjustRightInd w:val="0"/>
        <w:ind w:left="851" w:right="-20"/>
        <w:rPr>
          <w:sz w:val="24"/>
          <w:szCs w:val="24"/>
          <w:lang w:eastAsia="da-DK"/>
        </w:rPr>
      </w:pPr>
      <w:proofErr w:type="spellStart"/>
      <w:r>
        <w:rPr>
          <w:sz w:val="24"/>
          <w:szCs w:val="24"/>
          <w:lang w:eastAsia="da-DK"/>
        </w:rPr>
        <w:t>M</w:t>
      </w:r>
      <w:r w:rsidRPr="00765CD1">
        <w:rPr>
          <w:sz w:val="24"/>
          <w:szCs w:val="24"/>
          <w:lang w:eastAsia="da-DK"/>
        </w:rPr>
        <w:t>agnesiumstearat</w:t>
      </w:r>
      <w:proofErr w:type="spellEnd"/>
    </w:p>
    <w:p w:rsidR="00A729AA" w:rsidRDefault="00A729AA" w:rsidP="00A729AA">
      <w:pPr>
        <w:tabs>
          <w:tab w:val="left" w:pos="851"/>
        </w:tabs>
        <w:ind w:left="851"/>
        <w:rPr>
          <w:sz w:val="24"/>
          <w:szCs w:val="24"/>
        </w:rPr>
      </w:pPr>
    </w:p>
    <w:p w:rsidR="004F17D8" w:rsidRPr="00C84483" w:rsidRDefault="004F17D8"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lastRenderedPageBreak/>
        <w:t>6.2</w:t>
      </w:r>
      <w:r w:rsidRPr="00C84483">
        <w:rPr>
          <w:b/>
          <w:sz w:val="24"/>
          <w:szCs w:val="24"/>
        </w:rPr>
        <w:tab/>
        <w:t>Uforligeligheder</w:t>
      </w:r>
    </w:p>
    <w:p w:rsidR="00A729AA" w:rsidRPr="00765CD1"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Ikke relevant.</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6.3</w:t>
      </w:r>
      <w:r w:rsidRPr="00C84483">
        <w:rPr>
          <w:b/>
          <w:sz w:val="24"/>
          <w:szCs w:val="24"/>
        </w:rPr>
        <w:tab/>
        <w:t>Opbevaringstid</w:t>
      </w:r>
    </w:p>
    <w:p w:rsidR="00A729AA" w:rsidRPr="00C84483" w:rsidRDefault="00A729AA" w:rsidP="00A729AA">
      <w:pPr>
        <w:tabs>
          <w:tab w:val="left" w:pos="851"/>
        </w:tabs>
        <w:ind w:left="851"/>
        <w:rPr>
          <w:sz w:val="24"/>
          <w:szCs w:val="24"/>
        </w:rPr>
      </w:pPr>
      <w:r>
        <w:rPr>
          <w:sz w:val="24"/>
          <w:szCs w:val="24"/>
        </w:rPr>
        <w:t>5 år.</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729AA" w:rsidRPr="00C84483"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Dette lægemiddel kræver ingen særlige forholdsregler vedrørende opbevaringen.</w:t>
      </w:r>
    </w:p>
    <w:p w:rsidR="00A729AA" w:rsidRPr="00C84483" w:rsidRDefault="00A729AA" w:rsidP="00A729AA">
      <w:pPr>
        <w:tabs>
          <w:tab w:val="left" w:pos="851"/>
        </w:tabs>
        <w:ind w:left="851"/>
        <w:rPr>
          <w:sz w:val="24"/>
          <w:szCs w:val="24"/>
        </w:rPr>
      </w:pPr>
    </w:p>
    <w:p w:rsidR="00A729AA" w:rsidRPr="00F21F29" w:rsidRDefault="00A729AA" w:rsidP="00A729AA">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A729AA" w:rsidRPr="009A1C2D" w:rsidRDefault="00A729AA" w:rsidP="00A729AA">
      <w:pPr>
        <w:shd w:val="clear" w:color="auto" w:fill="FFFFFF"/>
        <w:ind w:left="851"/>
        <w:rPr>
          <w:color w:val="000000"/>
          <w:sz w:val="24"/>
          <w:szCs w:val="24"/>
          <w:u w:val="single"/>
          <w:lang w:eastAsia="da-DK"/>
        </w:rPr>
      </w:pPr>
      <w:r w:rsidRPr="00765CD1">
        <w:rPr>
          <w:color w:val="000000"/>
          <w:sz w:val="24"/>
          <w:szCs w:val="24"/>
          <w:u w:val="single"/>
          <w:lang w:eastAsia="da-DK"/>
        </w:rPr>
        <w:t>PVC/PVDC-aluminiumsblisterkort</w:t>
      </w:r>
    </w:p>
    <w:p w:rsidR="00A729AA" w:rsidRPr="00765CD1" w:rsidRDefault="00A729AA" w:rsidP="00A729AA">
      <w:pPr>
        <w:autoSpaceDE w:val="0"/>
        <w:autoSpaceDN w:val="0"/>
        <w:adjustRightInd w:val="0"/>
        <w:ind w:left="851"/>
        <w:rPr>
          <w:color w:val="000000"/>
          <w:sz w:val="24"/>
          <w:szCs w:val="24"/>
          <w:lang w:eastAsia="da-DK"/>
        </w:rPr>
      </w:pPr>
      <w:r w:rsidRPr="00765CD1">
        <w:rPr>
          <w:color w:val="000000"/>
          <w:sz w:val="24"/>
          <w:szCs w:val="24"/>
          <w:lang w:eastAsia="da-DK"/>
        </w:rPr>
        <w:t>Pakningsstørrelser</w:t>
      </w:r>
      <w:r w:rsidRPr="000A6971">
        <w:rPr>
          <w:color w:val="000000"/>
          <w:sz w:val="24"/>
          <w:szCs w:val="24"/>
          <w:lang w:eastAsia="da-DK"/>
        </w:rPr>
        <w:t xml:space="preserve">: </w:t>
      </w:r>
      <w:r w:rsidRPr="00765CD1">
        <w:rPr>
          <w:color w:val="000000"/>
          <w:sz w:val="24"/>
          <w:szCs w:val="24"/>
          <w:lang w:eastAsia="da-DK"/>
        </w:rPr>
        <w:t xml:space="preserve">10, 20, 25, 28, </w:t>
      </w:r>
      <w:r>
        <w:rPr>
          <w:color w:val="000000"/>
          <w:sz w:val="24"/>
          <w:szCs w:val="24"/>
          <w:lang w:eastAsia="da-DK"/>
        </w:rPr>
        <w:t xml:space="preserve">30, </w:t>
      </w:r>
      <w:r w:rsidRPr="00765CD1">
        <w:rPr>
          <w:color w:val="000000"/>
          <w:sz w:val="24"/>
          <w:szCs w:val="24"/>
          <w:lang w:eastAsia="da-DK"/>
        </w:rPr>
        <w:t xml:space="preserve">50, 60 </w:t>
      </w:r>
      <w:r w:rsidRPr="000A6971">
        <w:rPr>
          <w:color w:val="000000"/>
          <w:sz w:val="24"/>
          <w:szCs w:val="24"/>
          <w:lang w:eastAsia="da-DK"/>
        </w:rPr>
        <w:t>og</w:t>
      </w:r>
      <w:r w:rsidRPr="00765CD1">
        <w:rPr>
          <w:color w:val="000000"/>
          <w:sz w:val="24"/>
          <w:szCs w:val="24"/>
          <w:lang w:eastAsia="da-DK"/>
        </w:rPr>
        <w:t xml:space="preserve"> 100 </w:t>
      </w:r>
      <w:r w:rsidRPr="000A6971">
        <w:rPr>
          <w:color w:val="000000"/>
          <w:sz w:val="24"/>
          <w:szCs w:val="24"/>
          <w:lang w:eastAsia="da-DK"/>
        </w:rPr>
        <w:t>stk</w:t>
      </w:r>
      <w:r w:rsidRPr="00765CD1">
        <w:rPr>
          <w:color w:val="000000"/>
          <w:sz w:val="24"/>
          <w:szCs w:val="24"/>
          <w:lang w:eastAsia="da-DK"/>
        </w:rPr>
        <w:t xml:space="preserve">. </w:t>
      </w:r>
    </w:p>
    <w:p w:rsidR="00A729AA" w:rsidRDefault="00A729AA" w:rsidP="00A729AA">
      <w:pPr>
        <w:shd w:val="clear" w:color="auto" w:fill="FFFFFF"/>
        <w:ind w:left="851"/>
        <w:rPr>
          <w:color w:val="000000"/>
          <w:sz w:val="24"/>
          <w:szCs w:val="24"/>
          <w:lang w:eastAsia="da-DK"/>
        </w:rPr>
      </w:pPr>
    </w:p>
    <w:p w:rsidR="00A729AA" w:rsidRPr="00765CD1" w:rsidRDefault="00A729AA" w:rsidP="00A729AA">
      <w:pPr>
        <w:shd w:val="clear" w:color="auto" w:fill="FFFFFF"/>
        <w:ind w:left="851"/>
        <w:rPr>
          <w:color w:val="000000"/>
          <w:sz w:val="24"/>
          <w:szCs w:val="24"/>
          <w:u w:val="single"/>
          <w:lang w:eastAsia="da-DK"/>
        </w:rPr>
      </w:pPr>
      <w:r w:rsidRPr="00765CD1">
        <w:rPr>
          <w:color w:val="000000"/>
          <w:sz w:val="24"/>
          <w:szCs w:val="24"/>
          <w:u w:val="single"/>
          <w:lang w:eastAsia="da-DK"/>
        </w:rPr>
        <w:t>HDPE-beholder med børnesikre</w:t>
      </w:r>
      <w:r w:rsidRPr="000A6971">
        <w:rPr>
          <w:color w:val="000000"/>
          <w:sz w:val="24"/>
          <w:szCs w:val="24"/>
          <w:u w:val="single"/>
          <w:lang w:eastAsia="da-DK"/>
        </w:rPr>
        <w:t>t PP-hætte</w:t>
      </w:r>
    </w:p>
    <w:p w:rsidR="00A729AA" w:rsidRPr="00765CD1" w:rsidRDefault="00A729AA" w:rsidP="00A729AA">
      <w:pPr>
        <w:autoSpaceDE w:val="0"/>
        <w:autoSpaceDN w:val="0"/>
        <w:adjustRightInd w:val="0"/>
        <w:ind w:left="851"/>
        <w:rPr>
          <w:color w:val="000000"/>
          <w:sz w:val="24"/>
          <w:szCs w:val="24"/>
          <w:lang w:eastAsia="da-DK"/>
        </w:rPr>
      </w:pPr>
      <w:r>
        <w:rPr>
          <w:color w:val="000000"/>
          <w:sz w:val="24"/>
          <w:szCs w:val="24"/>
          <w:lang w:eastAsia="da-DK"/>
        </w:rPr>
        <w:t xml:space="preserve">Pakningsstørrelser: </w:t>
      </w:r>
      <w:r w:rsidRPr="00765CD1">
        <w:rPr>
          <w:sz w:val="24"/>
          <w:szCs w:val="24"/>
          <w:lang w:eastAsia="da-DK"/>
        </w:rPr>
        <w:t xml:space="preserve">30, 500 </w:t>
      </w:r>
      <w:r>
        <w:rPr>
          <w:sz w:val="24"/>
          <w:szCs w:val="24"/>
          <w:lang w:eastAsia="da-DK"/>
        </w:rPr>
        <w:t>og 1000 stk.</w:t>
      </w:r>
    </w:p>
    <w:p w:rsidR="00A729AA" w:rsidRPr="00765CD1" w:rsidRDefault="00A729AA" w:rsidP="00A729AA">
      <w:pPr>
        <w:widowControl w:val="0"/>
        <w:autoSpaceDE w:val="0"/>
        <w:autoSpaceDN w:val="0"/>
        <w:adjustRightInd w:val="0"/>
        <w:ind w:left="851" w:right="-20"/>
        <w:rPr>
          <w:sz w:val="24"/>
          <w:szCs w:val="24"/>
          <w:lang w:eastAsia="da-DK"/>
        </w:rPr>
      </w:pPr>
    </w:p>
    <w:p w:rsidR="00A729AA" w:rsidRPr="00C84483"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Ikke alle pakningsstørrelser er nødvendigvis markedsført.</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729AA" w:rsidRPr="00C84483" w:rsidRDefault="00A729AA" w:rsidP="00A729AA">
      <w:pPr>
        <w:widowControl w:val="0"/>
        <w:autoSpaceDE w:val="0"/>
        <w:autoSpaceDN w:val="0"/>
        <w:adjustRightInd w:val="0"/>
        <w:ind w:left="851" w:right="-20"/>
        <w:rPr>
          <w:sz w:val="24"/>
          <w:szCs w:val="24"/>
          <w:lang w:eastAsia="da-DK"/>
        </w:rPr>
      </w:pPr>
      <w:r w:rsidRPr="00765CD1">
        <w:rPr>
          <w:sz w:val="24"/>
          <w:szCs w:val="24"/>
          <w:lang w:eastAsia="da-DK"/>
        </w:rPr>
        <w:t>Ikke anvendt lægemiddel skal bortskaffes i henhold til lokale retningslinjer.</w:t>
      </w:r>
    </w:p>
    <w:p w:rsidR="00A729AA" w:rsidRPr="00C84483" w:rsidRDefault="00A729AA" w:rsidP="00A729AA">
      <w:pPr>
        <w:tabs>
          <w:tab w:val="left" w:pos="851"/>
        </w:tabs>
        <w:ind w:left="851"/>
        <w:jc w:val="both"/>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B7AE1" w:rsidRPr="00E57E3A" w:rsidRDefault="00CB7AE1" w:rsidP="00CB7AE1">
      <w:pPr>
        <w:ind w:left="851"/>
        <w:rPr>
          <w:sz w:val="24"/>
          <w:szCs w:val="24"/>
        </w:rPr>
      </w:pPr>
      <w:bookmarkStart w:id="2" w:name="_Hlk44060003"/>
      <w:proofErr w:type="spellStart"/>
      <w:r w:rsidRPr="00E57E3A">
        <w:rPr>
          <w:sz w:val="24"/>
          <w:szCs w:val="24"/>
        </w:rPr>
        <w:t>Accord</w:t>
      </w:r>
      <w:proofErr w:type="spellEnd"/>
      <w:r w:rsidRPr="00E57E3A">
        <w:rPr>
          <w:sz w:val="24"/>
          <w:szCs w:val="24"/>
        </w:rPr>
        <w:t xml:space="preserve"> Healthcare B.V.</w:t>
      </w:r>
    </w:p>
    <w:p w:rsidR="00CB7AE1" w:rsidRPr="00E57E3A" w:rsidRDefault="00CB7AE1" w:rsidP="00CB7AE1">
      <w:pPr>
        <w:ind w:left="851"/>
        <w:rPr>
          <w:sz w:val="24"/>
          <w:szCs w:val="24"/>
        </w:rPr>
      </w:pPr>
      <w:proofErr w:type="spellStart"/>
      <w:r w:rsidRPr="00E57E3A">
        <w:rPr>
          <w:sz w:val="24"/>
          <w:szCs w:val="24"/>
        </w:rPr>
        <w:t>Winthontlaan</w:t>
      </w:r>
      <w:proofErr w:type="spellEnd"/>
      <w:r w:rsidRPr="00E57E3A">
        <w:rPr>
          <w:sz w:val="24"/>
          <w:szCs w:val="24"/>
        </w:rPr>
        <w:t xml:space="preserve"> 200</w:t>
      </w:r>
    </w:p>
    <w:p w:rsidR="00CB7AE1" w:rsidRDefault="00CB7AE1" w:rsidP="00CB7AE1">
      <w:pPr>
        <w:ind w:left="851"/>
        <w:rPr>
          <w:sz w:val="24"/>
          <w:szCs w:val="24"/>
        </w:rPr>
      </w:pPr>
      <w:r w:rsidRPr="00771C9E">
        <w:rPr>
          <w:sz w:val="24"/>
          <w:szCs w:val="24"/>
        </w:rPr>
        <w:t>3526 KV</w:t>
      </w:r>
      <w:r>
        <w:rPr>
          <w:sz w:val="24"/>
          <w:szCs w:val="24"/>
        </w:rPr>
        <w:t xml:space="preserve"> Utrecht</w:t>
      </w:r>
    </w:p>
    <w:p w:rsidR="00A729AA" w:rsidRPr="000515C2" w:rsidRDefault="00CB7AE1" w:rsidP="00CB7AE1">
      <w:pPr>
        <w:widowControl w:val="0"/>
        <w:autoSpaceDE w:val="0"/>
        <w:autoSpaceDN w:val="0"/>
        <w:adjustRightInd w:val="0"/>
        <w:ind w:left="851" w:right="-20"/>
        <w:rPr>
          <w:sz w:val="24"/>
          <w:szCs w:val="24"/>
          <w:lang w:eastAsia="da-DK"/>
        </w:rPr>
      </w:pPr>
      <w:r>
        <w:rPr>
          <w:sz w:val="24"/>
          <w:szCs w:val="24"/>
        </w:rPr>
        <w:t>Holland</w:t>
      </w:r>
      <w:bookmarkEnd w:id="2"/>
    </w:p>
    <w:p w:rsidR="00A729AA" w:rsidRPr="000515C2"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4F17D8">
        <w:rPr>
          <w:b/>
          <w:sz w:val="24"/>
          <w:szCs w:val="24"/>
        </w:rPr>
        <w:t>-</w:t>
      </w:r>
      <w:r w:rsidRPr="00C84483">
        <w:rPr>
          <w:b/>
          <w:sz w:val="24"/>
          <w:szCs w:val="24"/>
        </w:rPr>
        <w:t>NUMRE)</w:t>
      </w:r>
    </w:p>
    <w:p w:rsidR="00A729AA" w:rsidRPr="00C84483" w:rsidRDefault="00A729AA" w:rsidP="00A729AA">
      <w:pPr>
        <w:tabs>
          <w:tab w:val="left" w:pos="851"/>
        </w:tabs>
        <w:ind w:left="851"/>
        <w:rPr>
          <w:sz w:val="24"/>
          <w:szCs w:val="24"/>
        </w:rPr>
      </w:pPr>
      <w:r>
        <w:rPr>
          <w:sz w:val="24"/>
          <w:szCs w:val="24"/>
        </w:rPr>
        <w:t>55229</w:t>
      </w:r>
    </w:p>
    <w:p w:rsidR="00A729AA" w:rsidRPr="00C84483" w:rsidRDefault="00A729AA" w:rsidP="00A729AA">
      <w:pPr>
        <w:tabs>
          <w:tab w:val="left" w:pos="851"/>
        </w:tabs>
        <w:ind w:left="851"/>
        <w:jc w:val="both"/>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A729AA" w:rsidRPr="00C84483" w:rsidRDefault="00A729AA" w:rsidP="00A729AA">
      <w:pPr>
        <w:tabs>
          <w:tab w:val="left" w:pos="851"/>
        </w:tabs>
        <w:ind w:left="851"/>
        <w:rPr>
          <w:sz w:val="24"/>
          <w:szCs w:val="24"/>
        </w:rPr>
      </w:pPr>
      <w:r>
        <w:rPr>
          <w:sz w:val="24"/>
          <w:szCs w:val="24"/>
        </w:rPr>
        <w:t>29. juni 2016</w:t>
      </w:r>
    </w:p>
    <w:p w:rsidR="00A729AA" w:rsidRPr="00C84483" w:rsidRDefault="00A729AA" w:rsidP="00A729AA">
      <w:pPr>
        <w:tabs>
          <w:tab w:val="left" w:pos="851"/>
        </w:tabs>
        <w:ind w:left="851"/>
        <w:rPr>
          <w:sz w:val="24"/>
          <w:szCs w:val="24"/>
        </w:rPr>
      </w:pPr>
    </w:p>
    <w:p w:rsidR="00A729AA" w:rsidRPr="00C84483" w:rsidRDefault="00A729AA" w:rsidP="00A729A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A729AA" w:rsidRPr="00C84483" w:rsidRDefault="004F17D8" w:rsidP="00A729AA">
      <w:pPr>
        <w:tabs>
          <w:tab w:val="left" w:pos="851"/>
        </w:tabs>
        <w:ind w:left="851"/>
        <w:rPr>
          <w:sz w:val="24"/>
          <w:szCs w:val="24"/>
        </w:rPr>
      </w:pPr>
      <w:r>
        <w:rPr>
          <w:sz w:val="24"/>
          <w:szCs w:val="24"/>
        </w:rPr>
        <w:t>18. december 2023</w:t>
      </w:r>
    </w:p>
    <w:p w:rsidR="00A729AA" w:rsidRPr="00997978" w:rsidRDefault="00A729AA" w:rsidP="00A729AA"/>
    <w:p w:rsidR="00A729AA" w:rsidRPr="00D63DB1" w:rsidRDefault="00A729AA" w:rsidP="00A729AA"/>
    <w:p w:rsidR="009260DE" w:rsidRPr="00A729AA" w:rsidRDefault="009260DE" w:rsidP="00A729AA"/>
    <w:sectPr w:rsidR="009260DE" w:rsidRPr="00A729A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9AA" w:rsidRDefault="00A729AA">
      <w:r>
        <w:separator/>
      </w:r>
    </w:p>
  </w:endnote>
  <w:endnote w:type="continuationSeparator" w:id="0">
    <w:p w:rsidR="00A729AA" w:rsidRDefault="00A7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EF7A7C" w:rsidP="00C42586">
    <w:pPr>
      <w:pStyle w:val="Sidefod"/>
      <w:tabs>
        <w:tab w:val="clear" w:pos="4819"/>
        <w:tab w:val="left" w:pos="8505"/>
      </w:tabs>
      <w:rPr>
        <w:i/>
        <w:sz w:val="18"/>
        <w:szCs w:val="18"/>
      </w:rPr>
    </w:pPr>
    <w:proofErr w:type="spellStart"/>
    <w:r w:rsidRPr="00EF7A7C">
      <w:rPr>
        <w:i/>
        <w:sz w:val="18"/>
        <w:szCs w:val="18"/>
      </w:rPr>
      <w:t>Nitrazepam</w:t>
    </w:r>
    <w:proofErr w:type="spellEnd"/>
    <w:r w:rsidRPr="00EF7A7C">
      <w:rPr>
        <w:i/>
        <w:sz w:val="18"/>
        <w:szCs w:val="18"/>
      </w:rPr>
      <w:t xml:space="preserve"> </w:t>
    </w:r>
    <w:proofErr w:type="spellStart"/>
    <w:r w:rsidRPr="00EF7A7C">
      <w:rPr>
        <w:i/>
        <w:sz w:val="18"/>
        <w:szCs w:val="18"/>
      </w:rPr>
      <w:t>Accord</w:t>
    </w:r>
    <w:proofErr w:type="spellEnd"/>
    <w:r w:rsidRPr="00EF7A7C">
      <w:rPr>
        <w:i/>
        <w:sz w:val="18"/>
        <w:szCs w:val="18"/>
      </w:rPr>
      <w:t>, tabletter 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9AA" w:rsidRDefault="00A729AA">
      <w:r>
        <w:separator/>
      </w:r>
    </w:p>
  </w:footnote>
  <w:footnote w:type="continuationSeparator" w:id="0">
    <w:p w:rsidR="00A729AA" w:rsidRDefault="00A72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FC84117"/>
    <w:multiLevelType w:val="hybridMultilevel"/>
    <w:tmpl w:val="696CAC0E"/>
    <w:lvl w:ilvl="0" w:tplc="20A81F8E">
      <w:numFmt w:val="bullet"/>
      <w:lvlText w:val="•"/>
      <w:lvlJc w:val="left"/>
      <w:pPr>
        <w:ind w:left="1605" w:hanging="1245"/>
      </w:pPr>
      <w:rPr>
        <w:rFonts w:ascii="Times New Roman" w:eastAsia="Times New Roman" w:hAnsi="Times New Roman" w:hint="default"/>
        <w:w w:val="13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9AA"/>
    <w:rsid w:val="000259B9"/>
    <w:rsid w:val="00041491"/>
    <w:rsid w:val="00050D16"/>
    <w:rsid w:val="00074F2A"/>
    <w:rsid w:val="000A0876"/>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4F17D8"/>
    <w:rsid w:val="00532310"/>
    <w:rsid w:val="00560ECC"/>
    <w:rsid w:val="00565F0F"/>
    <w:rsid w:val="00594A86"/>
    <w:rsid w:val="00596D86"/>
    <w:rsid w:val="00637F5A"/>
    <w:rsid w:val="006560B1"/>
    <w:rsid w:val="006756DD"/>
    <w:rsid w:val="00737275"/>
    <w:rsid w:val="00740EEC"/>
    <w:rsid w:val="0078011A"/>
    <w:rsid w:val="00782AF4"/>
    <w:rsid w:val="00790EE7"/>
    <w:rsid w:val="007B6649"/>
    <w:rsid w:val="007C5326"/>
    <w:rsid w:val="0081546F"/>
    <w:rsid w:val="0082576E"/>
    <w:rsid w:val="008C6DEF"/>
    <w:rsid w:val="00907F75"/>
    <w:rsid w:val="009260DE"/>
    <w:rsid w:val="0093258A"/>
    <w:rsid w:val="00972BD9"/>
    <w:rsid w:val="009C7BA3"/>
    <w:rsid w:val="009D1F5A"/>
    <w:rsid w:val="00A729AA"/>
    <w:rsid w:val="00B003BF"/>
    <w:rsid w:val="00B373D7"/>
    <w:rsid w:val="00C36276"/>
    <w:rsid w:val="00C42586"/>
    <w:rsid w:val="00C60CCD"/>
    <w:rsid w:val="00C84483"/>
    <w:rsid w:val="00C95551"/>
    <w:rsid w:val="00CB20D7"/>
    <w:rsid w:val="00CB7AE1"/>
    <w:rsid w:val="00D020B0"/>
    <w:rsid w:val="00D11748"/>
    <w:rsid w:val="00D366CF"/>
    <w:rsid w:val="00E108AA"/>
    <w:rsid w:val="00E31812"/>
    <w:rsid w:val="00E3749A"/>
    <w:rsid w:val="00E57E3A"/>
    <w:rsid w:val="00E7437F"/>
    <w:rsid w:val="00E865B8"/>
    <w:rsid w:val="00EC0B9B"/>
    <w:rsid w:val="00ED5E9F"/>
    <w:rsid w:val="00EF7A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CE52A"/>
  <w15:chartTrackingRefBased/>
  <w15:docId w15:val="{065375F6-660C-494B-A5A4-935432A0C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A729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2495</Words>
  <Characters>16572</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2022024720_x000d_
SPC opdat. pkt. 4.2, 4.4, 4.8 + QRD overksrifter</dc:description>
  <cp:lastModifiedBy>Marianne Ott Jensen</cp:lastModifiedBy>
  <cp:revision>4</cp:revision>
  <cp:lastPrinted>2012-08-22T08:53:00Z</cp:lastPrinted>
  <dcterms:created xsi:type="dcterms:W3CDTF">2023-12-14T09:09:00Z</dcterms:created>
  <dcterms:modified xsi:type="dcterms:W3CDTF">2023-12-14T09:16:00Z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