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70AF9"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53E748CE" wp14:editId="6AE0FC79">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8E911F1" w14:textId="0EF6C23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C20D07">
        <w:rPr>
          <w:szCs w:val="24"/>
        </w:rPr>
        <w:t>27. februar 2024</w:t>
      </w:r>
    </w:p>
    <w:p w14:paraId="741FF3C6" w14:textId="715F32B1" w:rsidR="009260DE" w:rsidRDefault="009260DE" w:rsidP="009260DE">
      <w:pPr>
        <w:pStyle w:val="Titel"/>
        <w:jc w:val="left"/>
        <w:rPr>
          <w:b w:val="0"/>
          <w:szCs w:val="24"/>
        </w:rPr>
      </w:pPr>
    </w:p>
    <w:p w14:paraId="6C28AB08" w14:textId="77777777" w:rsidR="00C20D07" w:rsidRPr="00C84483" w:rsidRDefault="00C20D07" w:rsidP="009260DE">
      <w:pPr>
        <w:pStyle w:val="Titel"/>
        <w:jc w:val="left"/>
        <w:rPr>
          <w:b w:val="0"/>
          <w:szCs w:val="24"/>
        </w:rPr>
      </w:pPr>
    </w:p>
    <w:p w14:paraId="08D7E81F" w14:textId="77777777" w:rsidR="009260DE" w:rsidRPr="00C84483" w:rsidRDefault="009260DE" w:rsidP="009260DE">
      <w:pPr>
        <w:pStyle w:val="Titel"/>
        <w:jc w:val="left"/>
        <w:rPr>
          <w:b w:val="0"/>
          <w:szCs w:val="24"/>
        </w:rPr>
      </w:pPr>
    </w:p>
    <w:p w14:paraId="5DF0A408" w14:textId="77777777" w:rsidR="009260DE" w:rsidRPr="00C84483" w:rsidRDefault="009260DE" w:rsidP="009260DE">
      <w:pPr>
        <w:jc w:val="center"/>
        <w:rPr>
          <w:b/>
          <w:sz w:val="24"/>
          <w:szCs w:val="24"/>
        </w:rPr>
      </w:pPr>
      <w:r w:rsidRPr="00C84483">
        <w:rPr>
          <w:b/>
          <w:sz w:val="24"/>
          <w:szCs w:val="24"/>
        </w:rPr>
        <w:t>PRODUKTRESUMÉ</w:t>
      </w:r>
    </w:p>
    <w:p w14:paraId="73D1BEA4" w14:textId="77777777" w:rsidR="009260DE" w:rsidRPr="00C84483" w:rsidRDefault="009260DE" w:rsidP="009260DE">
      <w:pPr>
        <w:jc w:val="center"/>
        <w:rPr>
          <w:b/>
          <w:sz w:val="24"/>
          <w:szCs w:val="24"/>
        </w:rPr>
      </w:pPr>
    </w:p>
    <w:p w14:paraId="508B7D75" w14:textId="77777777" w:rsidR="009260DE" w:rsidRDefault="009260DE" w:rsidP="009260DE">
      <w:pPr>
        <w:jc w:val="center"/>
        <w:rPr>
          <w:b/>
          <w:sz w:val="24"/>
          <w:szCs w:val="24"/>
        </w:rPr>
      </w:pPr>
      <w:r w:rsidRPr="00C84483">
        <w:rPr>
          <w:b/>
          <w:sz w:val="24"/>
          <w:szCs w:val="24"/>
        </w:rPr>
        <w:t>for</w:t>
      </w:r>
    </w:p>
    <w:p w14:paraId="1258D04B" w14:textId="77777777" w:rsidR="000B058C" w:rsidRPr="00C84483" w:rsidRDefault="000B058C" w:rsidP="009260DE">
      <w:pPr>
        <w:jc w:val="center"/>
        <w:rPr>
          <w:b/>
          <w:sz w:val="24"/>
          <w:szCs w:val="24"/>
        </w:rPr>
      </w:pPr>
    </w:p>
    <w:p w14:paraId="743B781A" w14:textId="299D4912" w:rsidR="009260DE" w:rsidRPr="00C84483" w:rsidRDefault="009B4C0A" w:rsidP="009260DE">
      <w:pPr>
        <w:jc w:val="center"/>
        <w:rPr>
          <w:b/>
          <w:sz w:val="24"/>
          <w:szCs w:val="24"/>
        </w:rPr>
      </w:pPr>
      <w:r>
        <w:rPr>
          <w:b/>
          <w:sz w:val="24"/>
          <w:szCs w:val="24"/>
        </w:rPr>
        <w:t>Nitroglycerin "</w:t>
      </w:r>
      <w:proofErr w:type="spellStart"/>
      <w:r w:rsidR="00BE4AB6">
        <w:rPr>
          <w:b/>
          <w:sz w:val="24"/>
          <w:szCs w:val="24"/>
        </w:rPr>
        <w:t>Macure</w:t>
      </w:r>
      <w:proofErr w:type="spellEnd"/>
      <w:r>
        <w:rPr>
          <w:b/>
          <w:sz w:val="24"/>
          <w:szCs w:val="24"/>
        </w:rPr>
        <w:t>", infusionsvæske, opløsning</w:t>
      </w:r>
    </w:p>
    <w:p w14:paraId="287B79C1" w14:textId="77777777" w:rsidR="009260DE" w:rsidRPr="00C84483" w:rsidRDefault="009260DE" w:rsidP="009260DE">
      <w:pPr>
        <w:jc w:val="both"/>
        <w:rPr>
          <w:sz w:val="24"/>
          <w:szCs w:val="24"/>
        </w:rPr>
      </w:pPr>
    </w:p>
    <w:p w14:paraId="23FAA1C7" w14:textId="77777777" w:rsidR="009260DE" w:rsidRPr="00C84483" w:rsidRDefault="009260DE" w:rsidP="009260DE">
      <w:pPr>
        <w:jc w:val="both"/>
        <w:rPr>
          <w:sz w:val="24"/>
          <w:szCs w:val="24"/>
        </w:rPr>
      </w:pPr>
    </w:p>
    <w:p w14:paraId="611D1FC4"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5587F31" w14:textId="77777777" w:rsidR="009260DE" w:rsidRPr="00C84483" w:rsidRDefault="009B4C0A" w:rsidP="009260DE">
      <w:pPr>
        <w:tabs>
          <w:tab w:val="left" w:pos="851"/>
        </w:tabs>
        <w:ind w:left="851"/>
        <w:rPr>
          <w:sz w:val="24"/>
          <w:szCs w:val="24"/>
        </w:rPr>
      </w:pPr>
      <w:r>
        <w:rPr>
          <w:sz w:val="24"/>
          <w:szCs w:val="24"/>
        </w:rPr>
        <w:t>33032</w:t>
      </w:r>
    </w:p>
    <w:p w14:paraId="1F143E3D" w14:textId="77777777" w:rsidR="009260DE" w:rsidRPr="00C84483" w:rsidRDefault="009260DE" w:rsidP="009260DE">
      <w:pPr>
        <w:tabs>
          <w:tab w:val="left" w:pos="851"/>
        </w:tabs>
        <w:ind w:left="851"/>
        <w:rPr>
          <w:sz w:val="24"/>
          <w:szCs w:val="24"/>
        </w:rPr>
      </w:pPr>
    </w:p>
    <w:p w14:paraId="66A46FE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4D666855" w14:textId="7CA8390D" w:rsidR="009260DE" w:rsidRPr="00C84483" w:rsidRDefault="009B4C0A" w:rsidP="009260DE">
      <w:pPr>
        <w:tabs>
          <w:tab w:val="left" w:pos="851"/>
        </w:tabs>
        <w:ind w:left="851"/>
        <w:rPr>
          <w:sz w:val="24"/>
          <w:szCs w:val="24"/>
        </w:rPr>
      </w:pPr>
      <w:r>
        <w:rPr>
          <w:sz w:val="24"/>
          <w:szCs w:val="24"/>
        </w:rPr>
        <w:t>Nitroglycerin "</w:t>
      </w:r>
      <w:proofErr w:type="spellStart"/>
      <w:r w:rsidR="00BE4AB6">
        <w:rPr>
          <w:sz w:val="24"/>
          <w:szCs w:val="24"/>
        </w:rPr>
        <w:t>Macure</w:t>
      </w:r>
      <w:proofErr w:type="spellEnd"/>
      <w:r>
        <w:rPr>
          <w:sz w:val="24"/>
          <w:szCs w:val="24"/>
        </w:rPr>
        <w:t>"</w:t>
      </w:r>
    </w:p>
    <w:p w14:paraId="6CBD562C" w14:textId="77777777" w:rsidR="009260DE" w:rsidRPr="00C84483" w:rsidRDefault="009260DE" w:rsidP="009260DE">
      <w:pPr>
        <w:tabs>
          <w:tab w:val="left" w:pos="851"/>
        </w:tabs>
        <w:ind w:left="851"/>
        <w:rPr>
          <w:sz w:val="24"/>
          <w:szCs w:val="24"/>
        </w:rPr>
      </w:pPr>
    </w:p>
    <w:p w14:paraId="369FD942"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4F6EAD32" w14:textId="77777777" w:rsidR="00B81505" w:rsidRPr="00B81505" w:rsidRDefault="00B81505" w:rsidP="00B81505">
      <w:pPr>
        <w:tabs>
          <w:tab w:val="left" w:pos="851"/>
        </w:tabs>
        <w:ind w:left="851"/>
        <w:rPr>
          <w:sz w:val="24"/>
          <w:szCs w:val="24"/>
        </w:rPr>
      </w:pPr>
      <w:r w:rsidRPr="00B81505">
        <w:rPr>
          <w:sz w:val="24"/>
          <w:szCs w:val="24"/>
        </w:rPr>
        <w:t xml:space="preserve">1 ml opløsning indeholder 1 mg </w:t>
      </w:r>
      <w:proofErr w:type="spellStart"/>
      <w:r w:rsidRPr="00B81505">
        <w:rPr>
          <w:sz w:val="24"/>
          <w:szCs w:val="24"/>
        </w:rPr>
        <w:t>glyceryltrinitrat</w:t>
      </w:r>
      <w:proofErr w:type="spellEnd"/>
      <w:r w:rsidRPr="00B81505">
        <w:rPr>
          <w:sz w:val="24"/>
          <w:szCs w:val="24"/>
        </w:rPr>
        <w:t>.</w:t>
      </w:r>
    </w:p>
    <w:p w14:paraId="63F7442F" w14:textId="77777777" w:rsidR="00B81505" w:rsidRPr="00B81505" w:rsidRDefault="00B81505" w:rsidP="00B81505">
      <w:pPr>
        <w:tabs>
          <w:tab w:val="left" w:pos="851"/>
        </w:tabs>
        <w:ind w:left="851"/>
        <w:rPr>
          <w:sz w:val="24"/>
          <w:szCs w:val="24"/>
        </w:rPr>
      </w:pPr>
      <w:r w:rsidRPr="00B81505">
        <w:rPr>
          <w:sz w:val="24"/>
          <w:szCs w:val="24"/>
        </w:rPr>
        <w:t xml:space="preserve">Et hætteglas med 50 ml opløsning indeholder 50 mg </w:t>
      </w:r>
      <w:proofErr w:type="spellStart"/>
      <w:r w:rsidRPr="00B81505">
        <w:rPr>
          <w:sz w:val="24"/>
          <w:szCs w:val="24"/>
        </w:rPr>
        <w:t>glyceryltrinitrat</w:t>
      </w:r>
      <w:proofErr w:type="spellEnd"/>
      <w:r w:rsidRPr="00B81505">
        <w:rPr>
          <w:sz w:val="24"/>
          <w:szCs w:val="24"/>
        </w:rPr>
        <w:t>.</w:t>
      </w:r>
    </w:p>
    <w:p w14:paraId="1FFFA3EE" w14:textId="77777777" w:rsidR="00B81505" w:rsidRPr="00B81505" w:rsidRDefault="00B81505" w:rsidP="00B81505">
      <w:pPr>
        <w:tabs>
          <w:tab w:val="left" w:pos="851"/>
        </w:tabs>
        <w:ind w:left="851"/>
        <w:rPr>
          <w:sz w:val="24"/>
          <w:szCs w:val="24"/>
        </w:rPr>
      </w:pPr>
    </w:p>
    <w:p w14:paraId="6E54F078" w14:textId="77777777" w:rsidR="00B81505" w:rsidRDefault="00B81505" w:rsidP="00B81505">
      <w:pPr>
        <w:tabs>
          <w:tab w:val="left" w:pos="851"/>
        </w:tabs>
        <w:ind w:left="851"/>
        <w:rPr>
          <w:sz w:val="24"/>
          <w:szCs w:val="24"/>
          <w:u w:val="single"/>
        </w:rPr>
      </w:pPr>
      <w:r w:rsidRPr="00B81505">
        <w:rPr>
          <w:sz w:val="24"/>
          <w:szCs w:val="24"/>
          <w:u w:val="single"/>
        </w:rPr>
        <w:t>Hjælpestof, som behandleren skal være opmærksom på</w:t>
      </w:r>
    </w:p>
    <w:p w14:paraId="2D40A7AC" w14:textId="7383AEF5" w:rsidR="00B81505" w:rsidRPr="00B81505" w:rsidRDefault="00B81505" w:rsidP="00B81505">
      <w:pPr>
        <w:tabs>
          <w:tab w:val="left" w:pos="851"/>
        </w:tabs>
        <w:ind w:left="851"/>
        <w:rPr>
          <w:sz w:val="24"/>
          <w:szCs w:val="24"/>
        </w:rPr>
      </w:pPr>
      <w:r w:rsidRPr="00B81505">
        <w:rPr>
          <w:sz w:val="24"/>
          <w:szCs w:val="24"/>
        </w:rPr>
        <w:t xml:space="preserve">1 ml opløsning indeholder 51 mg </w:t>
      </w:r>
      <w:proofErr w:type="spellStart"/>
      <w:r w:rsidRPr="00B81505">
        <w:rPr>
          <w:sz w:val="24"/>
          <w:szCs w:val="24"/>
        </w:rPr>
        <w:t>glucosemonohydrat</w:t>
      </w:r>
      <w:proofErr w:type="spellEnd"/>
      <w:r w:rsidRPr="00B81505">
        <w:rPr>
          <w:sz w:val="24"/>
          <w:szCs w:val="24"/>
        </w:rPr>
        <w:t>.</w:t>
      </w:r>
    </w:p>
    <w:p w14:paraId="246D2C88" w14:textId="77777777" w:rsidR="00B81505" w:rsidRPr="00B81505" w:rsidRDefault="00B81505" w:rsidP="00B81505">
      <w:pPr>
        <w:tabs>
          <w:tab w:val="left" w:pos="851"/>
        </w:tabs>
        <w:ind w:left="851"/>
        <w:rPr>
          <w:sz w:val="24"/>
          <w:szCs w:val="24"/>
        </w:rPr>
      </w:pPr>
    </w:p>
    <w:p w14:paraId="0B5215FB" w14:textId="77777777" w:rsidR="00B81505" w:rsidRPr="00B81505" w:rsidRDefault="00B81505" w:rsidP="00B81505">
      <w:pPr>
        <w:tabs>
          <w:tab w:val="left" w:pos="851"/>
        </w:tabs>
        <w:ind w:left="851"/>
        <w:rPr>
          <w:sz w:val="24"/>
          <w:szCs w:val="24"/>
        </w:rPr>
      </w:pPr>
      <w:r w:rsidRPr="00B81505">
        <w:rPr>
          <w:sz w:val="24"/>
          <w:szCs w:val="24"/>
        </w:rPr>
        <w:t>Alle hjælpestoffer er anført under pkt. 6.1.</w:t>
      </w:r>
    </w:p>
    <w:p w14:paraId="218C1E15" w14:textId="77777777" w:rsidR="009260DE" w:rsidRPr="00C84483" w:rsidRDefault="009260DE" w:rsidP="009260DE">
      <w:pPr>
        <w:tabs>
          <w:tab w:val="left" w:pos="851"/>
        </w:tabs>
        <w:ind w:left="851"/>
        <w:rPr>
          <w:sz w:val="24"/>
          <w:szCs w:val="24"/>
        </w:rPr>
      </w:pPr>
    </w:p>
    <w:p w14:paraId="176AC2DB"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CD5353D" w14:textId="15A0BF06" w:rsidR="00B81505" w:rsidRPr="00B81505" w:rsidRDefault="00B81505" w:rsidP="00B81505">
      <w:pPr>
        <w:tabs>
          <w:tab w:val="left" w:pos="851"/>
        </w:tabs>
        <w:ind w:left="851"/>
        <w:rPr>
          <w:sz w:val="24"/>
          <w:szCs w:val="24"/>
        </w:rPr>
      </w:pPr>
      <w:r w:rsidRPr="00B81505">
        <w:rPr>
          <w:sz w:val="24"/>
          <w:szCs w:val="24"/>
        </w:rPr>
        <w:t>Infusionsvæske, opløsning</w:t>
      </w:r>
    </w:p>
    <w:p w14:paraId="5A682A78" w14:textId="77777777" w:rsidR="00B81505" w:rsidRPr="00B81505" w:rsidRDefault="00B81505" w:rsidP="00B81505">
      <w:pPr>
        <w:tabs>
          <w:tab w:val="left" w:pos="851"/>
        </w:tabs>
        <w:ind w:left="851"/>
        <w:rPr>
          <w:sz w:val="24"/>
          <w:szCs w:val="24"/>
        </w:rPr>
      </w:pPr>
    </w:p>
    <w:p w14:paraId="6932181B" w14:textId="77777777" w:rsidR="00B81505" w:rsidRPr="00B81505" w:rsidRDefault="00B81505" w:rsidP="00B81505">
      <w:pPr>
        <w:tabs>
          <w:tab w:val="left" w:pos="851"/>
        </w:tabs>
        <w:ind w:left="851"/>
        <w:rPr>
          <w:sz w:val="24"/>
          <w:szCs w:val="24"/>
        </w:rPr>
      </w:pPr>
      <w:r w:rsidRPr="00B81505">
        <w:rPr>
          <w:sz w:val="24"/>
          <w:szCs w:val="24"/>
        </w:rPr>
        <w:t>Klar, farveløs opløsning, fri for synlige partikler.</w:t>
      </w:r>
    </w:p>
    <w:p w14:paraId="41D3ADD5" w14:textId="77777777" w:rsidR="00B81505" w:rsidRPr="00B81505" w:rsidRDefault="00B81505" w:rsidP="00B81505">
      <w:pPr>
        <w:tabs>
          <w:tab w:val="left" w:pos="851"/>
        </w:tabs>
        <w:ind w:left="851"/>
        <w:rPr>
          <w:sz w:val="24"/>
          <w:szCs w:val="24"/>
        </w:rPr>
      </w:pPr>
      <w:r w:rsidRPr="00B81505">
        <w:rPr>
          <w:sz w:val="24"/>
          <w:szCs w:val="24"/>
        </w:rPr>
        <w:t xml:space="preserve">pH er mellem 3 og 4, og </w:t>
      </w:r>
      <w:proofErr w:type="spellStart"/>
      <w:r w:rsidRPr="00B81505">
        <w:rPr>
          <w:sz w:val="24"/>
          <w:szCs w:val="24"/>
        </w:rPr>
        <w:t>osmolaliteten</w:t>
      </w:r>
      <w:proofErr w:type="spellEnd"/>
      <w:r w:rsidRPr="00B81505">
        <w:rPr>
          <w:sz w:val="24"/>
          <w:szCs w:val="24"/>
        </w:rPr>
        <w:t xml:space="preserve"> er mellem 270 og 310 </w:t>
      </w:r>
      <w:proofErr w:type="spellStart"/>
      <w:r w:rsidRPr="00B81505">
        <w:rPr>
          <w:sz w:val="24"/>
          <w:szCs w:val="24"/>
        </w:rPr>
        <w:t>mOsm</w:t>
      </w:r>
      <w:proofErr w:type="spellEnd"/>
      <w:r w:rsidRPr="00B81505">
        <w:rPr>
          <w:sz w:val="24"/>
          <w:szCs w:val="24"/>
        </w:rPr>
        <w:t>/kg.</w:t>
      </w:r>
    </w:p>
    <w:p w14:paraId="2DA1369C" w14:textId="77777777" w:rsidR="009260DE" w:rsidRPr="00C84483" w:rsidRDefault="009260DE" w:rsidP="009260DE">
      <w:pPr>
        <w:tabs>
          <w:tab w:val="left" w:pos="851"/>
        </w:tabs>
        <w:ind w:left="851"/>
        <w:rPr>
          <w:sz w:val="24"/>
          <w:szCs w:val="24"/>
        </w:rPr>
      </w:pPr>
    </w:p>
    <w:p w14:paraId="1CB8B958" w14:textId="77777777" w:rsidR="009260DE" w:rsidRPr="00C84483" w:rsidRDefault="009260DE" w:rsidP="009260DE">
      <w:pPr>
        <w:tabs>
          <w:tab w:val="left" w:pos="851"/>
        </w:tabs>
        <w:ind w:left="851"/>
        <w:rPr>
          <w:sz w:val="24"/>
          <w:szCs w:val="24"/>
        </w:rPr>
      </w:pPr>
    </w:p>
    <w:p w14:paraId="75AB210F"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1203037" w14:textId="77777777" w:rsidR="009260DE" w:rsidRPr="00C84483" w:rsidRDefault="009260DE" w:rsidP="009260DE">
      <w:pPr>
        <w:tabs>
          <w:tab w:val="left" w:pos="851"/>
        </w:tabs>
        <w:ind w:left="851"/>
        <w:rPr>
          <w:b/>
          <w:sz w:val="24"/>
          <w:szCs w:val="24"/>
        </w:rPr>
      </w:pPr>
    </w:p>
    <w:p w14:paraId="0AE679E3"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6DE92DB9" w14:textId="77777777" w:rsidR="00B81505" w:rsidRPr="00B81505" w:rsidRDefault="00B81505" w:rsidP="00B81505">
      <w:pPr>
        <w:numPr>
          <w:ilvl w:val="0"/>
          <w:numId w:val="6"/>
        </w:numPr>
        <w:tabs>
          <w:tab w:val="clear" w:pos="720"/>
          <w:tab w:val="left" w:pos="851"/>
        </w:tabs>
        <w:ind w:left="1134" w:hanging="283"/>
        <w:rPr>
          <w:sz w:val="24"/>
          <w:szCs w:val="24"/>
        </w:rPr>
      </w:pPr>
      <w:r w:rsidRPr="00B81505">
        <w:rPr>
          <w:sz w:val="24"/>
          <w:szCs w:val="24"/>
        </w:rPr>
        <w:t xml:space="preserve">Svære og langvarige iskæmiske brystsmerter i forbindelse med akut myokardieinfarkt eller ustabil </w:t>
      </w:r>
      <w:r w:rsidRPr="00B81505">
        <w:rPr>
          <w:i/>
          <w:sz w:val="24"/>
          <w:szCs w:val="24"/>
        </w:rPr>
        <w:t>angina pectoris</w:t>
      </w:r>
      <w:r w:rsidRPr="00B81505">
        <w:rPr>
          <w:sz w:val="24"/>
          <w:szCs w:val="24"/>
        </w:rPr>
        <w:t>.</w:t>
      </w:r>
    </w:p>
    <w:p w14:paraId="258C0560" w14:textId="1A75D822" w:rsidR="00B81505" w:rsidRPr="00B81505" w:rsidRDefault="00B81505" w:rsidP="00B81505">
      <w:pPr>
        <w:numPr>
          <w:ilvl w:val="0"/>
          <w:numId w:val="6"/>
        </w:numPr>
        <w:tabs>
          <w:tab w:val="clear" w:pos="720"/>
          <w:tab w:val="left" w:pos="851"/>
        </w:tabs>
        <w:ind w:left="1134" w:hanging="283"/>
        <w:rPr>
          <w:sz w:val="24"/>
          <w:szCs w:val="24"/>
        </w:rPr>
      </w:pPr>
      <w:proofErr w:type="spellStart"/>
      <w:r w:rsidRPr="00B81505">
        <w:rPr>
          <w:sz w:val="24"/>
          <w:szCs w:val="24"/>
        </w:rPr>
        <w:t>Venstresidig</w:t>
      </w:r>
      <w:proofErr w:type="spellEnd"/>
      <w:r w:rsidR="00EE4AE3">
        <w:rPr>
          <w:sz w:val="24"/>
          <w:szCs w:val="24"/>
        </w:rPr>
        <w:t xml:space="preserve"> </w:t>
      </w:r>
      <w:r w:rsidRPr="00B81505">
        <w:rPr>
          <w:sz w:val="24"/>
          <w:szCs w:val="24"/>
        </w:rPr>
        <w:t xml:space="preserve">hjerteinsufficiens og </w:t>
      </w:r>
      <w:proofErr w:type="spellStart"/>
      <w:r w:rsidRPr="00B81505">
        <w:rPr>
          <w:sz w:val="24"/>
          <w:szCs w:val="24"/>
        </w:rPr>
        <w:t>pulmonal</w:t>
      </w:r>
      <w:proofErr w:type="spellEnd"/>
      <w:r w:rsidRPr="00B81505">
        <w:rPr>
          <w:sz w:val="24"/>
          <w:szCs w:val="24"/>
        </w:rPr>
        <w:t xml:space="preserve"> overbelastning i forbindelse med myokardieinfarkt.</w:t>
      </w:r>
    </w:p>
    <w:p w14:paraId="07B6EE66" w14:textId="77777777" w:rsidR="00B81505" w:rsidRPr="00B81505" w:rsidRDefault="00B81505" w:rsidP="00B81505">
      <w:pPr>
        <w:numPr>
          <w:ilvl w:val="0"/>
          <w:numId w:val="6"/>
        </w:numPr>
        <w:tabs>
          <w:tab w:val="clear" w:pos="720"/>
          <w:tab w:val="left" w:pos="851"/>
        </w:tabs>
        <w:ind w:left="1134" w:hanging="283"/>
        <w:rPr>
          <w:sz w:val="24"/>
          <w:szCs w:val="24"/>
        </w:rPr>
      </w:pPr>
      <w:proofErr w:type="spellStart"/>
      <w:r w:rsidRPr="00B81505">
        <w:rPr>
          <w:sz w:val="24"/>
          <w:szCs w:val="24"/>
        </w:rPr>
        <w:t>Hypertensive</w:t>
      </w:r>
      <w:proofErr w:type="spellEnd"/>
      <w:r w:rsidRPr="00B81505">
        <w:rPr>
          <w:sz w:val="24"/>
          <w:szCs w:val="24"/>
        </w:rPr>
        <w:t xml:space="preserve"> tilstande i forbindelse med åben hjertekirurgi og andre kirurgiske indgreb.</w:t>
      </w:r>
    </w:p>
    <w:p w14:paraId="0FE46D37" w14:textId="77777777" w:rsidR="00B81505" w:rsidRPr="00B81505" w:rsidRDefault="00B81505" w:rsidP="00B81505">
      <w:pPr>
        <w:numPr>
          <w:ilvl w:val="0"/>
          <w:numId w:val="6"/>
        </w:numPr>
        <w:tabs>
          <w:tab w:val="clear" w:pos="720"/>
          <w:tab w:val="left" w:pos="851"/>
        </w:tabs>
        <w:ind w:left="1134" w:hanging="283"/>
        <w:rPr>
          <w:sz w:val="24"/>
          <w:szCs w:val="24"/>
        </w:rPr>
      </w:pPr>
      <w:proofErr w:type="spellStart"/>
      <w:r w:rsidRPr="00B81505">
        <w:rPr>
          <w:sz w:val="24"/>
          <w:szCs w:val="24"/>
        </w:rPr>
        <w:t>Hypertensiv</w:t>
      </w:r>
      <w:proofErr w:type="spellEnd"/>
      <w:r w:rsidRPr="00B81505">
        <w:rPr>
          <w:sz w:val="24"/>
          <w:szCs w:val="24"/>
        </w:rPr>
        <w:t xml:space="preserve"> krise med </w:t>
      </w:r>
      <w:proofErr w:type="spellStart"/>
      <w:r w:rsidRPr="00B81505">
        <w:rPr>
          <w:sz w:val="24"/>
          <w:szCs w:val="24"/>
        </w:rPr>
        <w:t>dekompensationssymptomer</w:t>
      </w:r>
      <w:proofErr w:type="spellEnd"/>
      <w:r w:rsidRPr="00B81505">
        <w:rPr>
          <w:sz w:val="24"/>
          <w:szCs w:val="24"/>
        </w:rPr>
        <w:t>.</w:t>
      </w:r>
    </w:p>
    <w:p w14:paraId="493E8643" w14:textId="77777777" w:rsidR="00B81505" w:rsidRPr="00B81505" w:rsidRDefault="00B81505" w:rsidP="00B81505">
      <w:pPr>
        <w:numPr>
          <w:ilvl w:val="0"/>
          <w:numId w:val="6"/>
        </w:numPr>
        <w:tabs>
          <w:tab w:val="clear" w:pos="720"/>
          <w:tab w:val="left" w:pos="851"/>
        </w:tabs>
        <w:ind w:left="1134" w:hanging="283"/>
        <w:rPr>
          <w:sz w:val="24"/>
          <w:szCs w:val="24"/>
        </w:rPr>
      </w:pPr>
      <w:r w:rsidRPr="00B81505">
        <w:rPr>
          <w:sz w:val="24"/>
          <w:szCs w:val="24"/>
        </w:rPr>
        <w:t>Opnåelse af kontrolleret hypotension i forbindelse med kirurgiske indgreb.</w:t>
      </w:r>
    </w:p>
    <w:p w14:paraId="67A04B17" w14:textId="7DE35D30" w:rsidR="000C05E3" w:rsidRDefault="000C05E3">
      <w:pPr>
        <w:rPr>
          <w:sz w:val="24"/>
          <w:szCs w:val="24"/>
        </w:rPr>
      </w:pPr>
      <w:r>
        <w:rPr>
          <w:sz w:val="24"/>
          <w:szCs w:val="24"/>
        </w:rPr>
        <w:br w:type="page"/>
      </w:r>
    </w:p>
    <w:p w14:paraId="167AE716" w14:textId="77777777" w:rsidR="009260DE" w:rsidRPr="00C84483" w:rsidRDefault="009260DE" w:rsidP="009260DE">
      <w:pPr>
        <w:tabs>
          <w:tab w:val="left" w:pos="851"/>
        </w:tabs>
        <w:ind w:left="851"/>
        <w:rPr>
          <w:sz w:val="24"/>
          <w:szCs w:val="24"/>
        </w:rPr>
      </w:pPr>
    </w:p>
    <w:p w14:paraId="0B6DACF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0E0635EC" w14:textId="77777777" w:rsidR="000C05E3" w:rsidRDefault="000C05E3" w:rsidP="00EE4AE3">
      <w:pPr>
        <w:tabs>
          <w:tab w:val="left" w:pos="851"/>
        </w:tabs>
        <w:ind w:left="851"/>
        <w:rPr>
          <w:sz w:val="24"/>
          <w:szCs w:val="24"/>
          <w:u w:val="single"/>
        </w:rPr>
      </w:pPr>
    </w:p>
    <w:p w14:paraId="259CE99A" w14:textId="03FFF928" w:rsidR="00EE4AE3" w:rsidRPr="00EE4AE3" w:rsidRDefault="00EE4AE3" w:rsidP="00EE4AE3">
      <w:pPr>
        <w:tabs>
          <w:tab w:val="left" w:pos="851"/>
        </w:tabs>
        <w:ind w:left="851"/>
        <w:rPr>
          <w:sz w:val="24"/>
          <w:szCs w:val="24"/>
          <w:u w:val="single"/>
        </w:rPr>
      </w:pPr>
      <w:r w:rsidRPr="00EE4AE3">
        <w:rPr>
          <w:sz w:val="24"/>
          <w:szCs w:val="24"/>
          <w:u w:val="single"/>
        </w:rPr>
        <w:t>Dosering</w:t>
      </w:r>
    </w:p>
    <w:p w14:paraId="00A9FCB5" w14:textId="77777777" w:rsidR="00EE4AE3" w:rsidRPr="00EE4AE3" w:rsidRDefault="00EE4AE3" w:rsidP="00EE4AE3">
      <w:pPr>
        <w:tabs>
          <w:tab w:val="left" w:pos="851"/>
        </w:tabs>
        <w:ind w:left="851"/>
        <w:rPr>
          <w:sz w:val="24"/>
          <w:szCs w:val="24"/>
        </w:rPr>
      </w:pPr>
      <w:r w:rsidRPr="00EE4AE3">
        <w:rPr>
          <w:sz w:val="24"/>
          <w:szCs w:val="24"/>
        </w:rPr>
        <w:t xml:space="preserve">Doseringen er individuel og skal reguleres efter den enkelte patients behov. Klinisk respons og </w:t>
      </w:r>
      <w:proofErr w:type="spellStart"/>
      <w:r w:rsidRPr="00EE4AE3">
        <w:rPr>
          <w:sz w:val="24"/>
          <w:szCs w:val="24"/>
        </w:rPr>
        <w:t>hæmodynamiske</w:t>
      </w:r>
      <w:proofErr w:type="spellEnd"/>
      <w:r w:rsidRPr="00EE4AE3">
        <w:rPr>
          <w:sz w:val="24"/>
          <w:szCs w:val="24"/>
        </w:rPr>
        <w:t xml:space="preserve"> variabler skal monitoreres.</w:t>
      </w:r>
    </w:p>
    <w:p w14:paraId="14506873" w14:textId="77777777" w:rsidR="00EE4AE3" w:rsidRPr="00EE4AE3" w:rsidRDefault="00EE4AE3" w:rsidP="00EE4AE3">
      <w:pPr>
        <w:tabs>
          <w:tab w:val="left" w:pos="851"/>
        </w:tabs>
        <w:ind w:left="851"/>
        <w:rPr>
          <w:sz w:val="24"/>
          <w:szCs w:val="24"/>
        </w:rPr>
      </w:pPr>
    </w:p>
    <w:p w14:paraId="6BC3BC32" w14:textId="1B949C2E" w:rsidR="00EE4AE3" w:rsidRPr="00EE4AE3" w:rsidRDefault="00EE4AE3" w:rsidP="00EE4AE3">
      <w:pPr>
        <w:tabs>
          <w:tab w:val="left" w:pos="851"/>
        </w:tabs>
        <w:ind w:left="851"/>
        <w:rPr>
          <w:sz w:val="24"/>
          <w:szCs w:val="24"/>
        </w:rPr>
      </w:pPr>
      <w:r w:rsidRPr="00EE4AE3">
        <w:rPr>
          <w:sz w:val="24"/>
          <w:szCs w:val="24"/>
        </w:rPr>
        <w:t>Anvendelse af Nitroglycerin "</w:t>
      </w:r>
      <w:proofErr w:type="spellStart"/>
      <w:r w:rsidR="00BE4AB6">
        <w:rPr>
          <w:sz w:val="24"/>
          <w:szCs w:val="24"/>
        </w:rPr>
        <w:t>Macure</w:t>
      </w:r>
      <w:proofErr w:type="spellEnd"/>
      <w:r w:rsidRPr="00EE4AE3">
        <w:rPr>
          <w:sz w:val="24"/>
          <w:szCs w:val="24"/>
        </w:rPr>
        <w:t xml:space="preserve">" forudsætter hospitalslignende forhold samt kontinuerlig monitorering af hjerte- og kredsløbsfunktionen. Afhængigt af, hvor alvorlig patientens tilstand er, og det kliniske billede kan der ud over den sædvanlige monitorering (symptomer, blodtryk, puls, </w:t>
      </w:r>
      <w:proofErr w:type="spellStart"/>
      <w:r w:rsidRPr="00EE4AE3">
        <w:rPr>
          <w:sz w:val="24"/>
          <w:szCs w:val="24"/>
        </w:rPr>
        <w:t>døgnurin</w:t>
      </w:r>
      <w:proofErr w:type="spellEnd"/>
      <w:r w:rsidRPr="00EE4AE3">
        <w:rPr>
          <w:sz w:val="24"/>
          <w:szCs w:val="24"/>
        </w:rPr>
        <w:t xml:space="preserve">) være indikation for invasive procedurer ved monitorering af patientens </w:t>
      </w:r>
      <w:proofErr w:type="spellStart"/>
      <w:r w:rsidRPr="00EE4AE3">
        <w:rPr>
          <w:sz w:val="24"/>
          <w:szCs w:val="24"/>
        </w:rPr>
        <w:t>hæmodynamiske</w:t>
      </w:r>
      <w:proofErr w:type="spellEnd"/>
      <w:r w:rsidRPr="00EE4AE3">
        <w:rPr>
          <w:sz w:val="24"/>
          <w:szCs w:val="24"/>
        </w:rPr>
        <w:t xml:space="preserve"> status.</w:t>
      </w:r>
    </w:p>
    <w:p w14:paraId="4F17CD40" w14:textId="77777777" w:rsidR="00EE4AE3" w:rsidRPr="00EE4AE3" w:rsidRDefault="00EE4AE3" w:rsidP="00EE4AE3">
      <w:pPr>
        <w:tabs>
          <w:tab w:val="left" w:pos="851"/>
        </w:tabs>
        <w:ind w:left="851"/>
        <w:rPr>
          <w:sz w:val="24"/>
          <w:szCs w:val="24"/>
        </w:rPr>
      </w:pPr>
    </w:p>
    <w:p w14:paraId="5F29F4E1" w14:textId="77777777" w:rsidR="00EE4AE3" w:rsidRPr="00EE4AE3" w:rsidRDefault="00EE4AE3" w:rsidP="00EE4AE3">
      <w:pPr>
        <w:tabs>
          <w:tab w:val="left" w:pos="851"/>
        </w:tabs>
        <w:ind w:left="851"/>
        <w:rPr>
          <w:sz w:val="24"/>
          <w:szCs w:val="24"/>
        </w:rPr>
      </w:pPr>
      <w:r w:rsidRPr="00EE4AE3">
        <w:rPr>
          <w:sz w:val="24"/>
          <w:szCs w:val="24"/>
        </w:rPr>
        <w:t xml:space="preserve">Hos </w:t>
      </w:r>
      <w:proofErr w:type="spellStart"/>
      <w:r w:rsidRPr="00EE4AE3">
        <w:rPr>
          <w:sz w:val="24"/>
          <w:szCs w:val="24"/>
        </w:rPr>
        <w:t>normotensive</w:t>
      </w:r>
      <w:proofErr w:type="spellEnd"/>
      <w:r w:rsidRPr="00EE4AE3">
        <w:rPr>
          <w:sz w:val="24"/>
          <w:szCs w:val="24"/>
        </w:rPr>
        <w:t xml:space="preserve"> patienter bør det systoliske blodtryk ikke falde mere end 10</w:t>
      </w:r>
      <w:r w:rsidRPr="00EE4AE3">
        <w:rPr>
          <w:sz w:val="24"/>
          <w:szCs w:val="24"/>
        </w:rPr>
        <w:noBreakHyphen/>
        <w:t>15 </w:t>
      </w:r>
      <w:proofErr w:type="spellStart"/>
      <w:r w:rsidRPr="00EE4AE3">
        <w:rPr>
          <w:sz w:val="24"/>
          <w:szCs w:val="24"/>
        </w:rPr>
        <w:t>mmHg</w:t>
      </w:r>
      <w:proofErr w:type="spellEnd"/>
      <w:r w:rsidRPr="00EE4AE3">
        <w:rPr>
          <w:sz w:val="24"/>
          <w:szCs w:val="24"/>
        </w:rPr>
        <w:t xml:space="preserve">, hos </w:t>
      </w:r>
      <w:proofErr w:type="spellStart"/>
      <w:r w:rsidRPr="00EE4AE3">
        <w:rPr>
          <w:sz w:val="24"/>
          <w:szCs w:val="24"/>
        </w:rPr>
        <w:t>hypotensive</w:t>
      </w:r>
      <w:proofErr w:type="spellEnd"/>
      <w:r w:rsidRPr="00EE4AE3">
        <w:rPr>
          <w:sz w:val="24"/>
          <w:szCs w:val="24"/>
        </w:rPr>
        <w:t xml:space="preserve"> patienter ikke mere end 5 </w:t>
      </w:r>
      <w:proofErr w:type="spellStart"/>
      <w:r w:rsidRPr="00EE4AE3">
        <w:rPr>
          <w:sz w:val="24"/>
          <w:szCs w:val="24"/>
        </w:rPr>
        <w:t>mmHg</w:t>
      </w:r>
      <w:proofErr w:type="spellEnd"/>
      <w:r w:rsidRPr="00EE4AE3">
        <w:rPr>
          <w:sz w:val="24"/>
          <w:szCs w:val="24"/>
        </w:rPr>
        <w:t>, og pulsen bør ikke stige mere end 5/min., medmindre det kliniske billede samtidig er tydeligt forbedret.</w:t>
      </w:r>
    </w:p>
    <w:p w14:paraId="67A43367" w14:textId="77777777" w:rsidR="00EE4AE3" w:rsidRPr="00EE4AE3" w:rsidRDefault="00EE4AE3" w:rsidP="00EE4AE3">
      <w:pPr>
        <w:tabs>
          <w:tab w:val="left" w:pos="851"/>
        </w:tabs>
        <w:ind w:left="851"/>
        <w:rPr>
          <w:sz w:val="24"/>
          <w:szCs w:val="24"/>
        </w:rPr>
      </w:pPr>
    </w:p>
    <w:p w14:paraId="2154E431" w14:textId="77777777" w:rsidR="00EE4AE3" w:rsidRPr="00EE4AE3" w:rsidRDefault="00EE4AE3" w:rsidP="00EE4AE3">
      <w:pPr>
        <w:tabs>
          <w:tab w:val="left" w:pos="851"/>
        </w:tabs>
        <w:ind w:left="851"/>
        <w:rPr>
          <w:sz w:val="24"/>
          <w:szCs w:val="24"/>
        </w:rPr>
      </w:pPr>
      <w:r w:rsidRPr="00EE4AE3">
        <w:rPr>
          <w:sz w:val="24"/>
          <w:szCs w:val="24"/>
        </w:rPr>
        <w:t>Intravenøs infusion påbegyndes med lav hastighed, 10</w:t>
      </w:r>
      <w:r w:rsidRPr="00EE4AE3">
        <w:rPr>
          <w:sz w:val="24"/>
          <w:szCs w:val="24"/>
        </w:rPr>
        <w:noBreakHyphen/>
        <w:t>20 mikrogram/min. Infusionshastigheden kan efter respons sættes op med ca. 10</w:t>
      </w:r>
      <w:r w:rsidRPr="00EE4AE3">
        <w:rPr>
          <w:sz w:val="24"/>
          <w:szCs w:val="24"/>
        </w:rPr>
        <w:noBreakHyphen/>
        <w:t>20 mikrogram/</w:t>
      </w:r>
      <w:proofErr w:type="spellStart"/>
      <w:r w:rsidRPr="00EE4AE3">
        <w:rPr>
          <w:sz w:val="24"/>
          <w:szCs w:val="24"/>
        </w:rPr>
        <w:t>min.med</w:t>
      </w:r>
      <w:proofErr w:type="spellEnd"/>
      <w:r w:rsidRPr="00EE4AE3">
        <w:rPr>
          <w:sz w:val="24"/>
          <w:szCs w:val="24"/>
        </w:rPr>
        <w:t xml:space="preserve"> 5</w:t>
      </w:r>
      <w:r w:rsidRPr="00EE4AE3">
        <w:rPr>
          <w:sz w:val="24"/>
          <w:szCs w:val="24"/>
        </w:rPr>
        <w:noBreakHyphen/>
        <w:t>10 minutters interval. Et effektivt respons opnås sædvanligvis ved en infusionshastighed på 50</w:t>
      </w:r>
      <w:r w:rsidRPr="00EE4AE3">
        <w:rPr>
          <w:sz w:val="24"/>
          <w:szCs w:val="24"/>
        </w:rPr>
        <w:noBreakHyphen/>
        <w:t>100 mikrogram/min. (3</w:t>
      </w:r>
      <w:r w:rsidRPr="00EE4AE3">
        <w:rPr>
          <w:sz w:val="24"/>
          <w:szCs w:val="24"/>
        </w:rPr>
        <w:noBreakHyphen/>
        <w:t>6 mg/time).</w:t>
      </w:r>
    </w:p>
    <w:p w14:paraId="50C2E33F" w14:textId="77777777" w:rsidR="00EE4AE3" w:rsidRPr="00EE4AE3" w:rsidRDefault="00EE4AE3" w:rsidP="00EE4AE3">
      <w:pPr>
        <w:tabs>
          <w:tab w:val="left" w:pos="851"/>
        </w:tabs>
        <w:ind w:left="851"/>
        <w:rPr>
          <w:sz w:val="24"/>
          <w:szCs w:val="24"/>
        </w:rPr>
      </w:pPr>
    </w:p>
    <w:p w14:paraId="5F94D19C" w14:textId="77777777" w:rsidR="00EE4AE3" w:rsidRPr="00EE4AE3" w:rsidRDefault="00EE4AE3" w:rsidP="00EE4AE3">
      <w:pPr>
        <w:tabs>
          <w:tab w:val="left" w:pos="851"/>
        </w:tabs>
        <w:ind w:left="851"/>
        <w:rPr>
          <w:sz w:val="24"/>
          <w:szCs w:val="24"/>
        </w:rPr>
      </w:pPr>
      <w:r w:rsidRPr="00EE4AE3">
        <w:rPr>
          <w:sz w:val="24"/>
          <w:szCs w:val="24"/>
        </w:rPr>
        <w:t>Patienter med svære angina pectoris-symptomer skal behandles med en dosis på 2</w:t>
      </w:r>
      <w:r w:rsidRPr="00EE4AE3">
        <w:rPr>
          <w:sz w:val="24"/>
          <w:szCs w:val="24"/>
        </w:rPr>
        <w:noBreakHyphen/>
        <w:t xml:space="preserve">8 mg </w:t>
      </w:r>
      <w:proofErr w:type="spellStart"/>
      <w:r w:rsidRPr="00EE4AE3">
        <w:rPr>
          <w:sz w:val="24"/>
          <w:szCs w:val="24"/>
        </w:rPr>
        <w:t>glyceryltrinitrat</w:t>
      </w:r>
      <w:proofErr w:type="spellEnd"/>
      <w:r w:rsidRPr="00EE4AE3">
        <w:rPr>
          <w:sz w:val="24"/>
          <w:szCs w:val="24"/>
        </w:rPr>
        <w:t>/time (33</w:t>
      </w:r>
      <w:r w:rsidRPr="00EE4AE3">
        <w:rPr>
          <w:sz w:val="24"/>
          <w:szCs w:val="24"/>
        </w:rPr>
        <w:noBreakHyphen/>
        <w:t>133 mikrogram/min.). Den maksimale infusionshastighed kan være på op til 10 mg/time. Ved kontinuerlige infusioner af høje doser vil der udvikles tolerans inden for 8</w:t>
      </w:r>
      <w:r w:rsidRPr="00EE4AE3">
        <w:rPr>
          <w:sz w:val="24"/>
          <w:szCs w:val="24"/>
        </w:rPr>
        <w:noBreakHyphen/>
        <w:t>24 timer, og det kan være nødvendigt at sætte dosen op.</w:t>
      </w:r>
    </w:p>
    <w:p w14:paraId="6B3A32D3" w14:textId="77777777" w:rsidR="00EE4AE3" w:rsidRPr="00EE4AE3" w:rsidRDefault="00EE4AE3" w:rsidP="00EE4AE3">
      <w:pPr>
        <w:tabs>
          <w:tab w:val="left" w:pos="851"/>
        </w:tabs>
        <w:ind w:left="851"/>
        <w:rPr>
          <w:sz w:val="24"/>
          <w:szCs w:val="24"/>
        </w:rPr>
      </w:pPr>
    </w:p>
    <w:p w14:paraId="32BCAABC" w14:textId="77777777" w:rsidR="00EE4AE3" w:rsidRPr="00EE4AE3" w:rsidRDefault="00EE4AE3" w:rsidP="00EE4AE3">
      <w:pPr>
        <w:tabs>
          <w:tab w:val="left" w:pos="851"/>
        </w:tabs>
        <w:ind w:left="851"/>
        <w:rPr>
          <w:sz w:val="24"/>
          <w:szCs w:val="24"/>
        </w:rPr>
      </w:pPr>
      <w:r w:rsidRPr="00EE4AE3">
        <w:rPr>
          <w:sz w:val="24"/>
          <w:szCs w:val="24"/>
        </w:rPr>
        <w:t xml:space="preserve">Hos patienter med akut </w:t>
      </w:r>
      <w:proofErr w:type="spellStart"/>
      <w:r w:rsidRPr="00EE4AE3">
        <w:rPr>
          <w:sz w:val="24"/>
          <w:szCs w:val="24"/>
        </w:rPr>
        <w:t>venstresidig</w:t>
      </w:r>
      <w:proofErr w:type="spellEnd"/>
      <w:r w:rsidRPr="00EE4AE3">
        <w:rPr>
          <w:sz w:val="24"/>
          <w:szCs w:val="24"/>
        </w:rPr>
        <w:t xml:space="preserve"> hjerteinsufficiens (lungeødem) kan behandlingen, såfremt blodtrykket tillader det, indledes med en infusion af 1 mg over 3 minutter efterfulgt af kontinuerlig infusion af 2</w:t>
      </w:r>
      <w:r w:rsidRPr="00EE4AE3">
        <w:rPr>
          <w:sz w:val="24"/>
          <w:szCs w:val="24"/>
        </w:rPr>
        <w:noBreakHyphen/>
        <w:t>8 mg/time i 1</w:t>
      </w:r>
      <w:r w:rsidRPr="00EE4AE3">
        <w:rPr>
          <w:sz w:val="24"/>
          <w:szCs w:val="24"/>
        </w:rPr>
        <w:noBreakHyphen/>
        <w:t>2 dage.</w:t>
      </w:r>
    </w:p>
    <w:p w14:paraId="0AEEBF4C" w14:textId="77777777" w:rsidR="00EE4AE3" w:rsidRPr="00EE4AE3" w:rsidRDefault="00EE4AE3" w:rsidP="00EE4AE3">
      <w:pPr>
        <w:tabs>
          <w:tab w:val="left" w:pos="851"/>
        </w:tabs>
        <w:ind w:left="851"/>
        <w:rPr>
          <w:sz w:val="24"/>
          <w:szCs w:val="24"/>
        </w:rPr>
      </w:pPr>
    </w:p>
    <w:p w14:paraId="042D87A7" w14:textId="77777777" w:rsidR="00EE4AE3" w:rsidRPr="00EE4AE3" w:rsidRDefault="00EE4AE3" w:rsidP="00EE4AE3">
      <w:pPr>
        <w:tabs>
          <w:tab w:val="left" w:pos="851"/>
        </w:tabs>
        <w:ind w:left="851"/>
        <w:rPr>
          <w:sz w:val="24"/>
          <w:szCs w:val="24"/>
        </w:rPr>
      </w:pPr>
      <w:r w:rsidRPr="00EE4AE3">
        <w:rPr>
          <w:sz w:val="24"/>
          <w:szCs w:val="24"/>
        </w:rPr>
        <w:t>For kontrolleret hypotension under anæstesi er dosis 2</w:t>
      </w:r>
      <w:r w:rsidRPr="00EE4AE3">
        <w:rPr>
          <w:sz w:val="24"/>
          <w:szCs w:val="24"/>
        </w:rPr>
        <w:noBreakHyphen/>
        <w:t>10 mikrogram/kg/min., afhængigt af anæstesitype og målet for blodtrykket. EKG og invasiv blodtryksmonitorering er nødvendig.</w:t>
      </w:r>
    </w:p>
    <w:p w14:paraId="61B9B841" w14:textId="77777777" w:rsidR="00EE4AE3" w:rsidRPr="00EE4AE3" w:rsidRDefault="00EE4AE3" w:rsidP="00EE4AE3">
      <w:pPr>
        <w:tabs>
          <w:tab w:val="left" w:pos="851"/>
        </w:tabs>
        <w:ind w:left="851"/>
        <w:rPr>
          <w:sz w:val="24"/>
          <w:szCs w:val="24"/>
        </w:rPr>
      </w:pPr>
    </w:p>
    <w:p w14:paraId="2CDE845C" w14:textId="77777777" w:rsidR="00EE4AE3" w:rsidRPr="00EE4AE3" w:rsidRDefault="00EE4AE3" w:rsidP="00EE4AE3">
      <w:pPr>
        <w:tabs>
          <w:tab w:val="left" w:pos="851"/>
        </w:tabs>
        <w:ind w:left="851"/>
        <w:rPr>
          <w:sz w:val="24"/>
          <w:szCs w:val="24"/>
        </w:rPr>
      </w:pPr>
      <w:r w:rsidRPr="00EE4AE3">
        <w:rPr>
          <w:sz w:val="24"/>
          <w:szCs w:val="24"/>
        </w:rPr>
        <w:t xml:space="preserve">Dosen af intravenøst </w:t>
      </w:r>
      <w:proofErr w:type="spellStart"/>
      <w:r w:rsidRPr="00EE4AE3">
        <w:rPr>
          <w:sz w:val="24"/>
          <w:szCs w:val="24"/>
        </w:rPr>
        <w:t>glyceryltrinitrat</w:t>
      </w:r>
      <w:proofErr w:type="spellEnd"/>
      <w:r w:rsidRPr="00EE4AE3">
        <w:rPr>
          <w:sz w:val="24"/>
          <w:szCs w:val="24"/>
        </w:rPr>
        <w:t xml:space="preserve"> skal justeres for at opnå det ønskede kliniske respons. Hos patienter med svær lever- eller nyreinsufficiens kan det være nødvendigt at regulere dosis af intravenøst </w:t>
      </w:r>
      <w:proofErr w:type="spellStart"/>
      <w:r w:rsidRPr="00EE4AE3">
        <w:rPr>
          <w:sz w:val="24"/>
          <w:szCs w:val="24"/>
        </w:rPr>
        <w:t>glyceryltrinitrat</w:t>
      </w:r>
      <w:proofErr w:type="spellEnd"/>
      <w:r w:rsidRPr="00EE4AE3">
        <w:rPr>
          <w:sz w:val="24"/>
          <w:szCs w:val="24"/>
        </w:rPr>
        <w:t xml:space="preserve"> yderligere, og disse patienter kan have behov for tættere observation end sædvanligt.</w:t>
      </w:r>
    </w:p>
    <w:p w14:paraId="6F8882BA" w14:textId="77777777" w:rsidR="00EE4AE3" w:rsidRPr="00EE4AE3" w:rsidRDefault="00EE4AE3" w:rsidP="00EE4AE3">
      <w:pPr>
        <w:tabs>
          <w:tab w:val="left" w:pos="851"/>
        </w:tabs>
        <w:ind w:left="851"/>
        <w:rPr>
          <w:sz w:val="24"/>
          <w:szCs w:val="24"/>
        </w:rPr>
      </w:pPr>
    </w:p>
    <w:p w14:paraId="630C1A72" w14:textId="77777777" w:rsidR="00EE4AE3" w:rsidRPr="00EE4AE3" w:rsidRDefault="00EE4AE3" w:rsidP="00EE4AE3">
      <w:pPr>
        <w:tabs>
          <w:tab w:val="left" w:pos="851"/>
        </w:tabs>
        <w:ind w:left="851"/>
        <w:rPr>
          <w:i/>
          <w:sz w:val="24"/>
          <w:szCs w:val="24"/>
        </w:rPr>
      </w:pPr>
      <w:r w:rsidRPr="00EE4AE3">
        <w:rPr>
          <w:i/>
          <w:sz w:val="24"/>
          <w:szCs w:val="24"/>
        </w:rPr>
        <w:t>Ældre</w:t>
      </w:r>
    </w:p>
    <w:p w14:paraId="625F7170" w14:textId="77777777" w:rsidR="00EE4AE3" w:rsidRPr="00EE4AE3" w:rsidRDefault="00EE4AE3" w:rsidP="00EE4AE3">
      <w:pPr>
        <w:tabs>
          <w:tab w:val="left" w:pos="851"/>
        </w:tabs>
        <w:ind w:left="851"/>
        <w:rPr>
          <w:sz w:val="24"/>
          <w:szCs w:val="24"/>
        </w:rPr>
      </w:pPr>
      <w:r w:rsidRPr="00EE4AE3">
        <w:rPr>
          <w:sz w:val="24"/>
          <w:szCs w:val="24"/>
        </w:rPr>
        <w:t>Det er ikke nødvendigt at justere dosis for ældre patienter.</w:t>
      </w:r>
    </w:p>
    <w:p w14:paraId="028FB05B" w14:textId="77777777" w:rsidR="00EE4AE3" w:rsidRPr="00EE4AE3" w:rsidRDefault="00EE4AE3" w:rsidP="00EE4AE3">
      <w:pPr>
        <w:tabs>
          <w:tab w:val="left" w:pos="851"/>
        </w:tabs>
        <w:ind w:left="851"/>
        <w:rPr>
          <w:sz w:val="24"/>
          <w:szCs w:val="24"/>
        </w:rPr>
      </w:pPr>
    </w:p>
    <w:p w14:paraId="5D6D3E4A" w14:textId="77777777" w:rsidR="00EE4AE3" w:rsidRPr="00EE4AE3" w:rsidRDefault="00EE4AE3" w:rsidP="00EE4AE3">
      <w:pPr>
        <w:tabs>
          <w:tab w:val="left" w:pos="851"/>
        </w:tabs>
        <w:ind w:left="851"/>
        <w:rPr>
          <w:i/>
          <w:sz w:val="24"/>
          <w:szCs w:val="24"/>
        </w:rPr>
      </w:pPr>
      <w:r w:rsidRPr="00EE4AE3">
        <w:rPr>
          <w:i/>
          <w:sz w:val="24"/>
          <w:szCs w:val="24"/>
        </w:rPr>
        <w:t>Pædiatrisk population</w:t>
      </w:r>
    </w:p>
    <w:p w14:paraId="42FB95AB" w14:textId="77777777" w:rsidR="00EE4AE3" w:rsidRPr="00EE4AE3" w:rsidRDefault="00EE4AE3" w:rsidP="00EE4AE3">
      <w:pPr>
        <w:tabs>
          <w:tab w:val="left" w:pos="851"/>
        </w:tabs>
        <w:ind w:left="851"/>
        <w:rPr>
          <w:sz w:val="24"/>
          <w:szCs w:val="24"/>
        </w:rPr>
      </w:pPr>
      <w:r w:rsidRPr="00EE4AE3">
        <w:rPr>
          <w:sz w:val="24"/>
          <w:szCs w:val="24"/>
        </w:rPr>
        <w:t>Dette lægemiddels sikkerhed og virkning hos børn er endnu ikke klarlagt.</w:t>
      </w:r>
    </w:p>
    <w:p w14:paraId="48A9AA78" w14:textId="77777777" w:rsidR="00EE4AE3" w:rsidRPr="00EE4AE3" w:rsidRDefault="00EE4AE3" w:rsidP="00EE4AE3">
      <w:pPr>
        <w:tabs>
          <w:tab w:val="left" w:pos="851"/>
        </w:tabs>
        <w:ind w:left="851"/>
        <w:rPr>
          <w:sz w:val="24"/>
          <w:szCs w:val="24"/>
        </w:rPr>
      </w:pPr>
    </w:p>
    <w:p w14:paraId="2FFDA645" w14:textId="77777777" w:rsidR="00EE4AE3" w:rsidRPr="00EE4AE3" w:rsidRDefault="00EE4AE3" w:rsidP="00EE4AE3">
      <w:pPr>
        <w:tabs>
          <w:tab w:val="left" w:pos="851"/>
        </w:tabs>
        <w:ind w:left="851"/>
        <w:rPr>
          <w:sz w:val="24"/>
          <w:szCs w:val="24"/>
        </w:rPr>
      </w:pPr>
      <w:r w:rsidRPr="00EE4AE3">
        <w:rPr>
          <w:sz w:val="24"/>
          <w:szCs w:val="24"/>
          <w:u w:val="single"/>
        </w:rPr>
        <w:t>Administration</w:t>
      </w:r>
    </w:p>
    <w:p w14:paraId="2E044C61" w14:textId="77777777" w:rsidR="00EE4AE3" w:rsidRPr="00EE4AE3" w:rsidRDefault="00EE4AE3" w:rsidP="00EE4AE3">
      <w:pPr>
        <w:tabs>
          <w:tab w:val="left" w:pos="851"/>
        </w:tabs>
        <w:ind w:left="851"/>
        <w:rPr>
          <w:sz w:val="24"/>
          <w:szCs w:val="24"/>
        </w:rPr>
      </w:pPr>
      <w:r w:rsidRPr="00EE4AE3">
        <w:rPr>
          <w:sz w:val="24"/>
          <w:szCs w:val="24"/>
        </w:rPr>
        <w:t>Intravenøs anvendelse.</w:t>
      </w:r>
    </w:p>
    <w:p w14:paraId="75F2F0EA" w14:textId="77777777" w:rsidR="00EE4AE3" w:rsidRPr="00EE4AE3" w:rsidRDefault="00EE4AE3" w:rsidP="00EE4AE3">
      <w:pPr>
        <w:tabs>
          <w:tab w:val="left" w:pos="851"/>
        </w:tabs>
        <w:ind w:left="851"/>
        <w:rPr>
          <w:sz w:val="24"/>
          <w:szCs w:val="24"/>
        </w:rPr>
      </w:pPr>
    </w:p>
    <w:p w14:paraId="04112C62" w14:textId="1C57BA37" w:rsidR="00EE4AE3" w:rsidRPr="00EE4AE3" w:rsidRDefault="00EE4AE3" w:rsidP="00EE4AE3">
      <w:pPr>
        <w:tabs>
          <w:tab w:val="left" w:pos="851"/>
        </w:tabs>
        <w:ind w:left="851"/>
        <w:rPr>
          <w:sz w:val="24"/>
          <w:szCs w:val="24"/>
        </w:rPr>
      </w:pPr>
      <w:r w:rsidRPr="00EE4AE3">
        <w:rPr>
          <w:sz w:val="24"/>
          <w:szCs w:val="24"/>
        </w:rPr>
        <w:t>Nitroglycerin "</w:t>
      </w:r>
      <w:proofErr w:type="spellStart"/>
      <w:r w:rsidR="00BE4AB6">
        <w:rPr>
          <w:sz w:val="24"/>
          <w:szCs w:val="24"/>
        </w:rPr>
        <w:t>Macure</w:t>
      </w:r>
      <w:proofErr w:type="spellEnd"/>
      <w:r w:rsidRPr="00EE4AE3">
        <w:rPr>
          <w:sz w:val="24"/>
          <w:szCs w:val="24"/>
        </w:rPr>
        <w:t>" kan administreres fortyndet eller ufortyndet, se pkt. 6.6.</w:t>
      </w:r>
    </w:p>
    <w:p w14:paraId="21E06A52" w14:textId="77777777" w:rsidR="00EE4AE3" w:rsidRPr="00EE4AE3" w:rsidRDefault="00EE4AE3" w:rsidP="00EE4AE3">
      <w:pPr>
        <w:tabs>
          <w:tab w:val="left" w:pos="851"/>
        </w:tabs>
        <w:ind w:left="851"/>
        <w:rPr>
          <w:sz w:val="24"/>
          <w:szCs w:val="24"/>
        </w:rPr>
      </w:pPr>
    </w:p>
    <w:p w14:paraId="395B808A" w14:textId="5BF48BAB" w:rsidR="00EE4AE3" w:rsidRPr="00EE4AE3" w:rsidRDefault="00EE4AE3" w:rsidP="00EE4AE3">
      <w:pPr>
        <w:tabs>
          <w:tab w:val="left" w:pos="851"/>
        </w:tabs>
        <w:ind w:left="851"/>
        <w:rPr>
          <w:sz w:val="24"/>
          <w:szCs w:val="24"/>
        </w:rPr>
      </w:pPr>
      <w:r w:rsidRPr="00EE4AE3">
        <w:rPr>
          <w:sz w:val="24"/>
          <w:szCs w:val="24"/>
        </w:rPr>
        <w:lastRenderedPageBreak/>
        <w:t xml:space="preserve">Materialer af </w:t>
      </w:r>
      <w:proofErr w:type="spellStart"/>
      <w:r w:rsidRPr="00EE4AE3">
        <w:rPr>
          <w:sz w:val="24"/>
          <w:szCs w:val="24"/>
        </w:rPr>
        <w:t>polyethylen</w:t>
      </w:r>
      <w:proofErr w:type="spellEnd"/>
      <w:r w:rsidRPr="00EE4AE3">
        <w:rPr>
          <w:sz w:val="24"/>
          <w:szCs w:val="24"/>
        </w:rPr>
        <w:t xml:space="preserve"> (PE), </w:t>
      </w:r>
      <w:proofErr w:type="spellStart"/>
      <w:r w:rsidRPr="00EE4AE3">
        <w:rPr>
          <w:sz w:val="24"/>
          <w:szCs w:val="24"/>
        </w:rPr>
        <w:t>polytetrafluorethylen</w:t>
      </w:r>
      <w:proofErr w:type="spellEnd"/>
      <w:r w:rsidRPr="00EE4AE3">
        <w:rPr>
          <w:sz w:val="24"/>
          <w:szCs w:val="24"/>
        </w:rPr>
        <w:t xml:space="preserve"> (PTFE) eller glas er egnet til infusion af Nitroglycerin "</w:t>
      </w:r>
      <w:proofErr w:type="spellStart"/>
      <w:r w:rsidR="00BE4AB6">
        <w:rPr>
          <w:sz w:val="24"/>
          <w:szCs w:val="24"/>
        </w:rPr>
        <w:t>Macure</w:t>
      </w:r>
      <w:proofErr w:type="spellEnd"/>
      <w:r w:rsidRPr="00EE4AE3">
        <w:rPr>
          <w:sz w:val="24"/>
          <w:szCs w:val="24"/>
        </w:rPr>
        <w:t xml:space="preserve">". </w:t>
      </w:r>
      <w:bookmarkStart w:id="1" w:name="_Hlk125644075"/>
      <w:r w:rsidRPr="00EE4AE3">
        <w:rPr>
          <w:sz w:val="24"/>
          <w:szCs w:val="24"/>
        </w:rPr>
        <w:t xml:space="preserve">Materialer af </w:t>
      </w:r>
      <w:proofErr w:type="spellStart"/>
      <w:r w:rsidRPr="00EE4AE3">
        <w:rPr>
          <w:sz w:val="24"/>
          <w:szCs w:val="24"/>
        </w:rPr>
        <w:t>polyvinylchlorid</w:t>
      </w:r>
      <w:proofErr w:type="spellEnd"/>
      <w:r w:rsidRPr="00EE4AE3">
        <w:rPr>
          <w:sz w:val="24"/>
          <w:szCs w:val="24"/>
        </w:rPr>
        <w:t xml:space="preserve"> (PVC) bør undgås, da </w:t>
      </w:r>
      <w:proofErr w:type="spellStart"/>
      <w:r w:rsidRPr="00EE4AE3">
        <w:rPr>
          <w:sz w:val="24"/>
          <w:szCs w:val="24"/>
        </w:rPr>
        <w:t>glyceryltrinitrat</w:t>
      </w:r>
      <w:proofErr w:type="spellEnd"/>
      <w:r w:rsidRPr="00EE4AE3">
        <w:rPr>
          <w:sz w:val="24"/>
          <w:szCs w:val="24"/>
        </w:rPr>
        <w:t xml:space="preserve"> binder sig til PVC.</w:t>
      </w:r>
      <w:bookmarkEnd w:id="1"/>
    </w:p>
    <w:p w14:paraId="48F54DD2" w14:textId="77777777" w:rsidR="009260DE" w:rsidRPr="00C84483" w:rsidRDefault="009260DE" w:rsidP="009260DE">
      <w:pPr>
        <w:tabs>
          <w:tab w:val="left" w:pos="851"/>
        </w:tabs>
        <w:ind w:left="851"/>
        <w:rPr>
          <w:sz w:val="24"/>
          <w:szCs w:val="24"/>
        </w:rPr>
      </w:pPr>
    </w:p>
    <w:p w14:paraId="05B74F0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DA766CC"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Overfølsomhed over for det (de) aktive stof(fer), over for andre nitroforbindelser eller over for et eller flere af hjælpestofferne anført i pkt. 6.1</w:t>
      </w:r>
    </w:p>
    <w:p w14:paraId="0A1F67BF"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Akut kredsløbssvigt (</w:t>
      </w:r>
      <w:proofErr w:type="spellStart"/>
      <w:r w:rsidRPr="00BD4552">
        <w:rPr>
          <w:sz w:val="24"/>
          <w:szCs w:val="24"/>
        </w:rPr>
        <w:t>shock</w:t>
      </w:r>
      <w:proofErr w:type="spellEnd"/>
      <w:r w:rsidRPr="00BD4552">
        <w:rPr>
          <w:sz w:val="24"/>
          <w:szCs w:val="24"/>
        </w:rPr>
        <w:t>, kollaps)</w:t>
      </w:r>
    </w:p>
    <w:p w14:paraId="71DBB05F" w14:textId="77777777" w:rsidR="00BD4552" w:rsidRPr="00BD4552" w:rsidRDefault="00BD4552" w:rsidP="00BD4552">
      <w:pPr>
        <w:numPr>
          <w:ilvl w:val="0"/>
          <w:numId w:val="6"/>
        </w:numPr>
        <w:tabs>
          <w:tab w:val="clear" w:pos="720"/>
          <w:tab w:val="left" w:pos="851"/>
        </w:tabs>
        <w:ind w:left="1134" w:hanging="283"/>
        <w:rPr>
          <w:sz w:val="24"/>
          <w:szCs w:val="24"/>
        </w:rPr>
      </w:pPr>
      <w:proofErr w:type="spellStart"/>
      <w:r w:rsidRPr="00BD4552">
        <w:rPr>
          <w:sz w:val="24"/>
          <w:szCs w:val="24"/>
        </w:rPr>
        <w:t>Kardiogent</w:t>
      </w:r>
      <w:proofErr w:type="spellEnd"/>
      <w:r w:rsidRPr="00BD4552">
        <w:rPr>
          <w:sz w:val="24"/>
          <w:szCs w:val="24"/>
        </w:rPr>
        <w:t xml:space="preserve"> </w:t>
      </w:r>
      <w:proofErr w:type="spellStart"/>
      <w:r w:rsidRPr="00BD4552">
        <w:rPr>
          <w:sz w:val="24"/>
          <w:szCs w:val="24"/>
        </w:rPr>
        <w:t>shock</w:t>
      </w:r>
      <w:proofErr w:type="spellEnd"/>
      <w:r w:rsidRPr="00BD4552">
        <w:rPr>
          <w:sz w:val="24"/>
          <w:szCs w:val="24"/>
        </w:rPr>
        <w:t xml:space="preserve"> (medmindre et tilstrækkeligt slutdiastolisk tryk kan opretholdes med passende foranstaltninger)</w:t>
      </w:r>
    </w:p>
    <w:p w14:paraId="140A303D"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Svær hypotension (systolisk blodtryk under 90 </w:t>
      </w:r>
      <w:proofErr w:type="spellStart"/>
      <w:r w:rsidRPr="00BD4552">
        <w:rPr>
          <w:sz w:val="24"/>
          <w:szCs w:val="24"/>
        </w:rPr>
        <w:t>mmHg</w:t>
      </w:r>
      <w:proofErr w:type="spellEnd"/>
      <w:r w:rsidRPr="00BD4552">
        <w:rPr>
          <w:sz w:val="24"/>
          <w:szCs w:val="24"/>
        </w:rPr>
        <w:t>)</w:t>
      </w:r>
    </w:p>
    <w:p w14:paraId="65E95439"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 xml:space="preserve">Svær </w:t>
      </w:r>
      <w:proofErr w:type="spellStart"/>
      <w:r w:rsidRPr="00BD4552">
        <w:rPr>
          <w:sz w:val="24"/>
          <w:szCs w:val="24"/>
        </w:rPr>
        <w:t>hypovolæmi</w:t>
      </w:r>
      <w:proofErr w:type="spellEnd"/>
    </w:p>
    <w:p w14:paraId="4350F429"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Svær anæmi</w:t>
      </w:r>
    </w:p>
    <w:p w14:paraId="13B3A07D" w14:textId="77777777" w:rsidR="00BD4552" w:rsidRPr="00BD4552" w:rsidRDefault="00BD4552" w:rsidP="00BD4552">
      <w:pPr>
        <w:numPr>
          <w:ilvl w:val="0"/>
          <w:numId w:val="6"/>
        </w:numPr>
        <w:tabs>
          <w:tab w:val="clear" w:pos="720"/>
          <w:tab w:val="left" w:pos="851"/>
        </w:tabs>
        <w:ind w:left="1134" w:hanging="283"/>
        <w:rPr>
          <w:sz w:val="24"/>
          <w:szCs w:val="24"/>
        </w:rPr>
      </w:pPr>
      <w:proofErr w:type="spellStart"/>
      <w:r w:rsidRPr="00BD4552">
        <w:rPr>
          <w:sz w:val="24"/>
          <w:szCs w:val="24"/>
        </w:rPr>
        <w:t>Myokardieinsufficiens</w:t>
      </w:r>
      <w:proofErr w:type="spellEnd"/>
      <w:r w:rsidRPr="00BD4552">
        <w:rPr>
          <w:sz w:val="24"/>
          <w:szCs w:val="24"/>
        </w:rPr>
        <w:t xml:space="preserve"> som følge af obstruktion, aorta- eller </w:t>
      </w:r>
      <w:proofErr w:type="spellStart"/>
      <w:r w:rsidRPr="00BD4552">
        <w:rPr>
          <w:sz w:val="24"/>
          <w:szCs w:val="24"/>
        </w:rPr>
        <w:t>mitralstenose</w:t>
      </w:r>
      <w:proofErr w:type="spellEnd"/>
      <w:r w:rsidRPr="00BD4552">
        <w:rPr>
          <w:sz w:val="24"/>
          <w:szCs w:val="24"/>
        </w:rPr>
        <w:t xml:space="preserve">, </w:t>
      </w:r>
      <w:proofErr w:type="spellStart"/>
      <w:r w:rsidRPr="00BD4552">
        <w:rPr>
          <w:sz w:val="24"/>
          <w:szCs w:val="24"/>
        </w:rPr>
        <w:t>hypertrofisk</w:t>
      </w:r>
      <w:proofErr w:type="spellEnd"/>
      <w:r w:rsidRPr="00BD4552">
        <w:rPr>
          <w:sz w:val="24"/>
          <w:szCs w:val="24"/>
        </w:rPr>
        <w:t xml:space="preserve"> obstruktiv </w:t>
      </w:r>
      <w:proofErr w:type="spellStart"/>
      <w:r w:rsidRPr="00BD4552">
        <w:rPr>
          <w:sz w:val="24"/>
          <w:szCs w:val="24"/>
        </w:rPr>
        <w:t>kardiomyopati</w:t>
      </w:r>
      <w:proofErr w:type="spellEnd"/>
      <w:r w:rsidRPr="00BD4552">
        <w:rPr>
          <w:sz w:val="24"/>
          <w:szCs w:val="24"/>
        </w:rPr>
        <w:t xml:space="preserve"> eller </w:t>
      </w:r>
      <w:proofErr w:type="spellStart"/>
      <w:r w:rsidRPr="00BD4552">
        <w:rPr>
          <w:sz w:val="24"/>
          <w:szCs w:val="24"/>
        </w:rPr>
        <w:t>konstriktiv</w:t>
      </w:r>
      <w:proofErr w:type="spellEnd"/>
      <w:r w:rsidRPr="00BD4552">
        <w:rPr>
          <w:sz w:val="24"/>
          <w:szCs w:val="24"/>
        </w:rPr>
        <w:t xml:space="preserve"> </w:t>
      </w:r>
      <w:proofErr w:type="spellStart"/>
      <w:r w:rsidRPr="00BD4552">
        <w:rPr>
          <w:sz w:val="24"/>
          <w:szCs w:val="24"/>
        </w:rPr>
        <w:t>perikardit</w:t>
      </w:r>
      <w:proofErr w:type="spellEnd"/>
    </w:p>
    <w:p w14:paraId="6D209BD9"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Hjertetamponade</w:t>
      </w:r>
    </w:p>
    <w:p w14:paraId="1707B5C4"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 xml:space="preserve">Tilstande med forhøjet </w:t>
      </w:r>
      <w:proofErr w:type="spellStart"/>
      <w:r w:rsidRPr="00BD4552">
        <w:rPr>
          <w:sz w:val="24"/>
          <w:szCs w:val="24"/>
        </w:rPr>
        <w:t>intrakranielt</w:t>
      </w:r>
      <w:proofErr w:type="spellEnd"/>
      <w:r w:rsidRPr="00BD4552">
        <w:rPr>
          <w:sz w:val="24"/>
          <w:szCs w:val="24"/>
        </w:rPr>
        <w:t xml:space="preserve"> tryk</w:t>
      </w:r>
    </w:p>
    <w:p w14:paraId="1DD4E344" w14:textId="77777777" w:rsidR="00BD4552" w:rsidRPr="00BD4552" w:rsidRDefault="00BD4552" w:rsidP="00BD4552">
      <w:pPr>
        <w:numPr>
          <w:ilvl w:val="0"/>
          <w:numId w:val="6"/>
        </w:numPr>
        <w:tabs>
          <w:tab w:val="clear" w:pos="720"/>
          <w:tab w:val="left" w:pos="851"/>
        </w:tabs>
        <w:ind w:left="1134" w:hanging="283"/>
        <w:rPr>
          <w:sz w:val="24"/>
          <w:szCs w:val="24"/>
        </w:rPr>
      </w:pPr>
      <w:r w:rsidRPr="00BD4552">
        <w:rPr>
          <w:sz w:val="24"/>
          <w:szCs w:val="24"/>
        </w:rPr>
        <w:t xml:space="preserve">Under behandling med nitrater, må </w:t>
      </w:r>
      <w:proofErr w:type="spellStart"/>
      <w:r w:rsidRPr="00BD4552">
        <w:rPr>
          <w:i/>
          <w:sz w:val="24"/>
          <w:szCs w:val="24"/>
        </w:rPr>
        <w:t>fosfodiesterase</w:t>
      </w:r>
      <w:proofErr w:type="spellEnd"/>
      <w:r w:rsidRPr="00BD4552">
        <w:rPr>
          <w:sz w:val="24"/>
          <w:szCs w:val="24"/>
        </w:rPr>
        <w:t xml:space="preserve"> </w:t>
      </w:r>
      <w:r w:rsidRPr="00BD4552">
        <w:rPr>
          <w:i/>
          <w:sz w:val="24"/>
          <w:szCs w:val="24"/>
        </w:rPr>
        <w:t>5-hæmmere (PDE5)</w:t>
      </w:r>
      <w:r w:rsidRPr="00BD4552">
        <w:rPr>
          <w:sz w:val="24"/>
          <w:szCs w:val="24"/>
        </w:rPr>
        <w:t xml:space="preserve"> (f.eks. </w:t>
      </w:r>
      <w:proofErr w:type="spellStart"/>
      <w:r w:rsidRPr="00BD4552">
        <w:rPr>
          <w:sz w:val="24"/>
          <w:szCs w:val="24"/>
        </w:rPr>
        <w:t>sildenafil</w:t>
      </w:r>
      <w:proofErr w:type="spellEnd"/>
      <w:r w:rsidRPr="00BD4552">
        <w:rPr>
          <w:sz w:val="24"/>
          <w:szCs w:val="24"/>
        </w:rPr>
        <w:t xml:space="preserve">, </w:t>
      </w:r>
      <w:proofErr w:type="spellStart"/>
      <w:r w:rsidRPr="00BD4552">
        <w:rPr>
          <w:sz w:val="24"/>
          <w:szCs w:val="24"/>
        </w:rPr>
        <w:t>vardenafil</w:t>
      </w:r>
      <w:proofErr w:type="spellEnd"/>
      <w:r w:rsidRPr="00BD4552">
        <w:rPr>
          <w:sz w:val="24"/>
          <w:szCs w:val="24"/>
        </w:rPr>
        <w:t xml:space="preserve">, </w:t>
      </w:r>
      <w:proofErr w:type="spellStart"/>
      <w:r w:rsidRPr="00BD4552">
        <w:rPr>
          <w:sz w:val="24"/>
          <w:szCs w:val="24"/>
        </w:rPr>
        <w:t>tadalafil</w:t>
      </w:r>
      <w:proofErr w:type="spellEnd"/>
      <w:r w:rsidRPr="00BD4552">
        <w:rPr>
          <w:sz w:val="24"/>
          <w:szCs w:val="24"/>
        </w:rPr>
        <w:t xml:space="preserve">) ikke anvendes, </w:t>
      </w:r>
      <w:r w:rsidRPr="00BD4552">
        <w:rPr>
          <w:i/>
          <w:sz w:val="24"/>
          <w:szCs w:val="24"/>
        </w:rPr>
        <w:t xml:space="preserve">da PDE5-hæmmere kan forstærke </w:t>
      </w:r>
      <w:proofErr w:type="spellStart"/>
      <w:r w:rsidRPr="00BD4552">
        <w:rPr>
          <w:i/>
          <w:sz w:val="24"/>
          <w:szCs w:val="24"/>
        </w:rPr>
        <w:t>glyceryltrinitrats</w:t>
      </w:r>
      <w:proofErr w:type="spellEnd"/>
      <w:r w:rsidRPr="00BD4552">
        <w:rPr>
          <w:i/>
          <w:sz w:val="24"/>
          <w:szCs w:val="24"/>
        </w:rPr>
        <w:t xml:space="preserve"> </w:t>
      </w:r>
      <w:proofErr w:type="spellStart"/>
      <w:r w:rsidRPr="00BD4552">
        <w:rPr>
          <w:i/>
          <w:sz w:val="24"/>
          <w:szCs w:val="24"/>
        </w:rPr>
        <w:t>vasoldilaterende</w:t>
      </w:r>
      <w:proofErr w:type="spellEnd"/>
      <w:r w:rsidRPr="00BD4552">
        <w:rPr>
          <w:i/>
          <w:sz w:val="24"/>
          <w:szCs w:val="24"/>
        </w:rPr>
        <w:t xml:space="preserve"> virkning og forårsage svær hypotension</w:t>
      </w:r>
      <w:r w:rsidRPr="00BD4552">
        <w:rPr>
          <w:sz w:val="24"/>
          <w:szCs w:val="24"/>
        </w:rPr>
        <w:t xml:space="preserve"> (se pkt. 4.4 og 4.5).</w:t>
      </w:r>
    </w:p>
    <w:p w14:paraId="3E226919" w14:textId="77777777" w:rsidR="009260DE" w:rsidRPr="00C84483" w:rsidRDefault="009260DE" w:rsidP="009260DE">
      <w:pPr>
        <w:tabs>
          <w:tab w:val="left" w:pos="851"/>
        </w:tabs>
        <w:ind w:left="851"/>
        <w:rPr>
          <w:sz w:val="24"/>
          <w:szCs w:val="24"/>
        </w:rPr>
      </w:pPr>
    </w:p>
    <w:p w14:paraId="4926C5C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02D3468A" w14:textId="25900FB1" w:rsidR="00BD4552" w:rsidRPr="00BD4552" w:rsidRDefault="00BD4552" w:rsidP="00BD4552">
      <w:pPr>
        <w:tabs>
          <w:tab w:val="left" w:pos="851"/>
        </w:tabs>
        <w:ind w:left="851"/>
        <w:rPr>
          <w:sz w:val="24"/>
          <w:szCs w:val="24"/>
        </w:rPr>
      </w:pPr>
      <w:r w:rsidRPr="00BD4552">
        <w:rPr>
          <w:sz w:val="24"/>
          <w:szCs w:val="24"/>
        </w:rPr>
        <w:t>Nitroglycerin "</w:t>
      </w:r>
      <w:proofErr w:type="spellStart"/>
      <w:r w:rsidR="00BE4AB6">
        <w:rPr>
          <w:sz w:val="24"/>
          <w:szCs w:val="24"/>
        </w:rPr>
        <w:t>Macure</w:t>
      </w:r>
      <w:proofErr w:type="spellEnd"/>
      <w:r w:rsidRPr="00BD4552">
        <w:rPr>
          <w:sz w:val="24"/>
          <w:szCs w:val="24"/>
        </w:rPr>
        <w:t>" skal anvendes med særlig forsigtighed og under nøje lægelig overvågning hos patienter med:</w:t>
      </w:r>
    </w:p>
    <w:p w14:paraId="7E45CC4F" w14:textId="77777777" w:rsidR="00BD4552" w:rsidRPr="00BD4552" w:rsidRDefault="00BD4552" w:rsidP="009E2612">
      <w:pPr>
        <w:numPr>
          <w:ilvl w:val="0"/>
          <w:numId w:val="6"/>
        </w:numPr>
        <w:tabs>
          <w:tab w:val="clear" w:pos="720"/>
          <w:tab w:val="left" w:pos="851"/>
        </w:tabs>
        <w:ind w:left="1134" w:hanging="283"/>
        <w:rPr>
          <w:sz w:val="24"/>
          <w:szCs w:val="24"/>
        </w:rPr>
      </w:pPr>
      <w:r w:rsidRPr="00BD4552">
        <w:rPr>
          <w:sz w:val="24"/>
          <w:szCs w:val="24"/>
        </w:rPr>
        <w:t>Lavt fyldningstryk (f.eks. nedsat venstre ventrikel-funktion som følge af akut myokardieinfarkt). Sænkning af det systoliske blodtryk til under 90 </w:t>
      </w:r>
      <w:proofErr w:type="spellStart"/>
      <w:r w:rsidRPr="00BD4552">
        <w:rPr>
          <w:sz w:val="24"/>
          <w:szCs w:val="24"/>
        </w:rPr>
        <w:t>mmHg</w:t>
      </w:r>
      <w:proofErr w:type="spellEnd"/>
      <w:r w:rsidRPr="00BD4552">
        <w:rPr>
          <w:sz w:val="24"/>
          <w:szCs w:val="24"/>
        </w:rPr>
        <w:t xml:space="preserve"> skal undgås.</w:t>
      </w:r>
    </w:p>
    <w:p w14:paraId="56BBEB09" w14:textId="77777777" w:rsidR="00BD4552" w:rsidRPr="00BD4552" w:rsidRDefault="00BD4552" w:rsidP="009E2612">
      <w:pPr>
        <w:numPr>
          <w:ilvl w:val="0"/>
          <w:numId w:val="6"/>
        </w:numPr>
        <w:tabs>
          <w:tab w:val="clear" w:pos="720"/>
          <w:tab w:val="left" w:pos="851"/>
        </w:tabs>
        <w:ind w:left="1134" w:hanging="283"/>
        <w:rPr>
          <w:sz w:val="24"/>
          <w:szCs w:val="24"/>
        </w:rPr>
      </w:pPr>
      <w:proofErr w:type="spellStart"/>
      <w:r w:rsidRPr="00BD4552">
        <w:rPr>
          <w:sz w:val="24"/>
          <w:szCs w:val="24"/>
        </w:rPr>
        <w:t>Ortostatisk</w:t>
      </w:r>
      <w:proofErr w:type="spellEnd"/>
      <w:r w:rsidRPr="00BD4552">
        <w:rPr>
          <w:sz w:val="24"/>
          <w:szCs w:val="24"/>
        </w:rPr>
        <w:t xml:space="preserve"> dysfunktion.</w:t>
      </w:r>
    </w:p>
    <w:p w14:paraId="02349E40" w14:textId="77777777" w:rsidR="00BD4552" w:rsidRPr="00BD4552" w:rsidRDefault="00BD4552" w:rsidP="00BD4552">
      <w:pPr>
        <w:tabs>
          <w:tab w:val="left" w:pos="851"/>
        </w:tabs>
        <w:ind w:left="851"/>
        <w:rPr>
          <w:sz w:val="24"/>
          <w:szCs w:val="24"/>
          <w:u w:val="single"/>
          <w:lang w:val="en-GB"/>
        </w:rPr>
      </w:pPr>
    </w:p>
    <w:p w14:paraId="37A7B8E5" w14:textId="77777777" w:rsidR="00BD4552" w:rsidRPr="00BD4552" w:rsidRDefault="00BD4552" w:rsidP="00BD4552">
      <w:pPr>
        <w:tabs>
          <w:tab w:val="left" w:pos="851"/>
        </w:tabs>
        <w:ind w:left="851"/>
        <w:rPr>
          <w:sz w:val="24"/>
          <w:szCs w:val="24"/>
        </w:rPr>
      </w:pPr>
      <w:r w:rsidRPr="00BD4552">
        <w:rPr>
          <w:sz w:val="24"/>
          <w:szCs w:val="24"/>
        </w:rPr>
        <w:t>Toleransudvikling og krydstolerans over for andre nitroforbindelser er beskrevet.</w:t>
      </w:r>
    </w:p>
    <w:p w14:paraId="386CF326" w14:textId="77777777" w:rsidR="00BD4552" w:rsidRPr="00BD4552" w:rsidRDefault="00BD4552" w:rsidP="00BD4552">
      <w:pPr>
        <w:tabs>
          <w:tab w:val="left" w:pos="851"/>
        </w:tabs>
        <w:ind w:left="851"/>
        <w:rPr>
          <w:sz w:val="24"/>
          <w:szCs w:val="24"/>
        </w:rPr>
      </w:pPr>
    </w:p>
    <w:p w14:paraId="46B8CE00" w14:textId="4A90CD1F" w:rsidR="00BD4552" w:rsidRPr="00BD4552" w:rsidRDefault="00BD4552" w:rsidP="00BD4552">
      <w:pPr>
        <w:tabs>
          <w:tab w:val="left" w:pos="851"/>
        </w:tabs>
        <w:ind w:left="851"/>
        <w:rPr>
          <w:sz w:val="24"/>
          <w:szCs w:val="24"/>
        </w:rPr>
      </w:pPr>
      <w:r w:rsidRPr="00BD4552">
        <w:rPr>
          <w:sz w:val="24"/>
          <w:szCs w:val="24"/>
        </w:rPr>
        <w:t>Nitroglycerin "</w:t>
      </w:r>
      <w:proofErr w:type="spellStart"/>
      <w:r w:rsidR="00BE4AB6">
        <w:rPr>
          <w:sz w:val="24"/>
          <w:szCs w:val="24"/>
        </w:rPr>
        <w:t>Macure</w:t>
      </w:r>
      <w:proofErr w:type="spellEnd"/>
      <w:r w:rsidRPr="00BD4552">
        <w:rPr>
          <w:sz w:val="24"/>
          <w:szCs w:val="24"/>
        </w:rPr>
        <w:t xml:space="preserve">" må ikke anvendes hos patienter, som tager </w:t>
      </w:r>
      <w:proofErr w:type="spellStart"/>
      <w:r w:rsidRPr="00BD4552">
        <w:rPr>
          <w:sz w:val="24"/>
          <w:szCs w:val="24"/>
        </w:rPr>
        <w:t>fosfodiesterase</w:t>
      </w:r>
      <w:r w:rsidR="00C20D07">
        <w:rPr>
          <w:sz w:val="24"/>
          <w:szCs w:val="24"/>
        </w:rPr>
        <w:softHyphen/>
      </w:r>
      <w:r w:rsidRPr="00BD4552">
        <w:rPr>
          <w:sz w:val="24"/>
          <w:szCs w:val="24"/>
        </w:rPr>
        <w:t>hæmmerholdige</w:t>
      </w:r>
      <w:proofErr w:type="spellEnd"/>
      <w:r w:rsidRPr="00BD4552">
        <w:rPr>
          <w:sz w:val="24"/>
          <w:szCs w:val="24"/>
        </w:rPr>
        <w:t xml:space="preserve"> produkter (f.eks. </w:t>
      </w:r>
      <w:proofErr w:type="spellStart"/>
      <w:r w:rsidRPr="00BD4552">
        <w:rPr>
          <w:sz w:val="24"/>
          <w:szCs w:val="24"/>
        </w:rPr>
        <w:t>sildenafil</w:t>
      </w:r>
      <w:proofErr w:type="spellEnd"/>
      <w:r w:rsidRPr="00BD4552">
        <w:rPr>
          <w:sz w:val="24"/>
          <w:szCs w:val="24"/>
        </w:rPr>
        <w:t xml:space="preserve">, </w:t>
      </w:r>
      <w:proofErr w:type="spellStart"/>
      <w:r w:rsidRPr="00BD4552">
        <w:rPr>
          <w:sz w:val="24"/>
          <w:szCs w:val="24"/>
        </w:rPr>
        <w:t>vardenafil</w:t>
      </w:r>
      <w:proofErr w:type="spellEnd"/>
      <w:r w:rsidRPr="00BD4552">
        <w:rPr>
          <w:sz w:val="24"/>
          <w:szCs w:val="24"/>
        </w:rPr>
        <w:t xml:space="preserve">, </w:t>
      </w:r>
      <w:proofErr w:type="spellStart"/>
      <w:r w:rsidRPr="00BD4552">
        <w:rPr>
          <w:sz w:val="24"/>
          <w:szCs w:val="24"/>
        </w:rPr>
        <w:t>tadalafil</w:t>
      </w:r>
      <w:proofErr w:type="spellEnd"/>
      <w:r w:rsidRPr="00BD4552">
        <w:rPr>
          <w:sz w:val="24"/>
          <w:szCs w:val="24"/>
        </w:rPr>
        <w:t xml:space="preserve">). Patienter, som får lægemidler med </w:t>
      </w:r>
      <w:proofErr w:type="spellStart"/>
      <w:r w:rsidRPr="00BD4552">
        <w:rPr>
          <w:sz w:val="24"/>
          <w:szCs w:val="24"/>
        </w:rPr>
        <w:t>glyceryltrinitrat</w:t>
      </w:r>
      <w:proofErr w:type="spellEnd"/>
      <w:r w:rsidRPr="00BD4552">
        <w:rPr>
          <w:sz w:val="24"/>
          <w:szCs w:val="24"/>
        </w:rPr>
        <w:t xml:space="preserve">, skal advares om ikke at tage </w:t>
      </w:r>
      <w:proofErr w:type="spellStart"/>
      <w:r w:rsidRPr="00BD4552">
        <w:rPr>
          <w:sz w:val="24"/>
          <w:szCs w:val="24"/>
        </w:rPr>
        <w:t>fosfodiesterase</w:t>
      </w:r>
      <w:r w:rsidR="00C20D07">
        <w:rPr>
          <w:sz w:val="24"/>
          <w:szCs w:val="24"/>
        </w:rPr>
        <w:softHyphen/>
      </w:r>
      <w:r w:rsidRPr="00BD4552">
        <w:rPr>
          <w:sz w:val="24"/>
          <w:szCs w:val="24"/>
        </w:rPr>
        <w:t>hæmmerholdige</w:t>
      </w:r>
      <w:proofErr w:type="spellEnd"/>
      <w:r w:rsidRPr="00BD4552">
        <w:rPr>
          <w:sz w:val="24"/>
          <w:szCs w:val="24"/>
        </w:rPr>
        <w:t xml:space="preserve"> produkter (f.eks. </w:t>
      </w:r>
      <w:proofErr w:type="spellStart"/>
      <w:r w:rsidRPr="00BD4552">
        <w:rPr>
          <w:sz w:val="24"/>
          <w:szCs w:val="24"/>
        </w:rPr>
        <w:t>sildenafil</w:t>
      </w:r>
      <w:proofErr w:type="spellEnd"/>
      <w:r w:rsidRPr="00BD4552">
        <w:rPr>
          <w:sz w:val="24"/>
          <w:szCs w:val="24"/>
        </w:rPr>
        <w:t xml:space="preserve">, </w:t>
      </w:r>
      <w:proofErr w:type="spellStart"/>
      <w:r w:rsidRPr="00BD4552">
        <w:rPr>
          <w:sz w:val="24"/>
          <w:szCs w:val="24"/>
        </w:rPr>
        <w:t>vardenafil</w:t>
      </w:r>
      <w:proofErr w:type="spellEnd"/>
      <w:r w:rsidRPr="00BD4552">
        <w:rPr>
          <w:sz w:val="24"/>
          <w:szCs w:val="24"/>
        </w:rPr>
        <w:t xml:space="preserve">, </w:t>
      </w:r>
      <w:proofErr w:type="spellStart"/>
      <w:r w:rsidRPr="00BD4552">
        <w:rPr>
          <w:sz w:val="24"/>
          <w:szCs w:val="24"/>
        </w:rPr>
        <w:t>tadalafil</w:t>
      </w:r>
      <w:proofErr w:type="spellEnd"/>
      <w:r w:rsidRPr="00BD4552">
        <w:rPr>
          <w:sz w:val="24"/>
          <w:szCs w:val="24"/>
        </w:rPr>
        <w:t>) (se pkt. 4.3 og 4.5).</w:t>
      </w:r>
    </w:p>
    <w:p w14:paraId="3AC39DA2" w14:textId="77777777" w:rsidR="00BD4552" w:rsidRPr="00BD4552" w:rsidRDefault="00BD4552" w:rsidP="00BD4552">
      <w:pPr>
        <w:tabs>
          <w:tab w:val="left" w:pos="851"/>
        </w:tabs>
        <w:ind w:left="851"/>
        <w:rPr>
          <w:sz w:val="24"/>
          <w:szCs w:val="24"/>
        </w:rPr>
      </w:pPr>
    </w:p>
    <w:p w14:paraId="7D831C33" w14:textId="77777777" w:rsidR="00BD4552" w:rsidRPr="00BD4552" w:rsidRDefault="00BD4552" w:rsidP="00BD4552">
      <w:pPr>
        <w:tabs>
          <w:tab w:val="left" w:pos="851"/>
        </w:tabs>
        <w:ind w:left="851"/>
        <w:rPr>
          <w:sz w:val="24"/>
          <w:szCs w:val="24"/>
          <w:u w:val="single"/>
        </w:rPr>
      </w:pPr>
      <w:proofErr w:type="spellStart"/>
      <w:r w:rsidRPr="00BD4552">
        <w:rPr>
          <w:sz w:val="24"/>
          <w:szCs w:val="24"/>
          <w:u w:val="single"/>
        </w:rPr>
        <w:t>Hypoxæmi</w:t>
      </w:r>
      <w:proofErr w:type="spellEnd"/>
    </w:p>
    <w:p w14:paraId="29DDD441" w14:textId="77777777" w:rsidR="00BD4552" w:rsidRPr="00BD4552" w:rsidRDefault="00BD4552" w:rsidP="00BD4552">
      <w:pPr>
        <w:tabs>
          <w:tab w:val="left" w:pos="851"/>
        </w:tabs>
        <w:ind w:left="851"/>
        <w:rPr>
          <w:sz w:val="24"/>
          <w:szCs w:val="24"/>
        </w:rPr>
      </w:pPr>
      <w:r w:rsidRPr="00BD4552">
        <w:rPr>
          <w:sz w:val="24"/>
          <w:szCs w:val="24"/>
        </w:rPr>
        <w:t xml:space="preserve">Der skal udvises forsigtighed hos patienter med arteriel </w:t>
      </w:r>
      <w:proofErr w:type="spellStart"/>
      <w:r w:rsidRPr="00BD4552">
        <w:rPr>
          <w:sz w:val="24"/>
          <w:szCs w:val="24"/>
        </w:rPr>
        <w:t>hypoxæmi</w:t>
      </w:r>
      <w:proofErr w:type="spellEnd"/>
      <w:r w:rsidRPr="00BD4552">
        <w:rPr>
          <w:sz w:val="24"/>
          <w:szCs w:val="24"/>
        </w:rPr>
        <w:t xml:space="preserve"> som følge af svær anæmi (inklusive </w:t>
      </w:r>
      <w:proofErr w:type="spellStart"/>
      <w:r w:rsidRPr="00BD4552">
        <w:rPr>
          <w:sz w:val="24"/>
          <w:szCs w:val="24"/>
        </w:rPr>
        <w:t>hypoxæmi</w:t>
      </w:r>
      <w:proofErr w:type="spellEnd"/>
      <w:r w:rsidRPr="00BD4552">
        <w:rPr>
          <w:sz w:val="24"/>
          <w:szCs w:val="24"/>
        </w:rPr>
        <w:t xml:space="preserve"> forårsaget af G6PD-mangel), da biotransformationen af nitroglycerin hos disse patienter er svækket.</w:t>
      </w:r>
    </w:p>
    <w:p w14:paraId="3E2481AD" w14:textId="77777777" w:rsidR="00BD4552" w:rsidRPr="00BD4552" w:rsidRDefault="00BD4552" w:rsidP="00BD4552">
      <w:pPr>
        <w:tabs>
          <w:tab w:val="left" w:pos="851"/>
        </w:tabs>
        <w:ind w:left="851"/>
        <w:rPr>
          <w:sz w:val="24"/>
          <w:szCs w:val="24"/>
        </w:rPr>
      </w:pPr>
    </w:p>
    <w:p w14:paraId="198FAF4E" w14:textId="77777777" w:rsidR="00BD4552" w:rsidRPr="00BD4552" w:rsidRDefault="00BD4552" w:rsidP="00BD4552">
      <w:pPr>
        <w:tabs>
          <w:tab w:val="left" w:pos="851"/>
        </w:tabs>
        <w:ind w:left="851"/>
        <w:rPr>
          <w:sz w:val="24"/>
          <w:szCs w:val="24"/>
        </w:rPr>
      </w:pPr>
      <w:r w:rsidRPr="00BD4552">
        <w:rPr>
          <w:sz w:val="24"/>
          <w:szCs w:val="24"/>
        </w:rPr>
        <w:t xml:space="preserve">Der skal også udvises forsigtighed hos patienter med </w:t>
      </w:r>
      <w:proofErr w:type="spellStart"/>
      <w:r w:rsidRPr="00BD4552">
        <w:rPr>
          <w:sz w:val="24"/>
          <w:szCs w:val="24"/>
        </w:rPr>
        <w:t>hypoxæmi</w:t>
      </w:r>
      <w:proofErr w:type="spellEnd"/>
      <w:r w:rsidRPr="00BD4552">
        <w:rPr>
          <w:sz w:val="24"/>
          <w:szCs w:val="24"/>
        </w:rPr>
        <w:t xml:space="preserve"> og ubalance i ventilation/perfusion som følge af lungesygdom eller iskæmisk hjertesvigt.</w:t>
      </w:r>
    </w:p>
    <w:p w14:paraId="3844F491" w14:textId="77777777" w:rsidR="00BD4552" w:rsidRPr="00BD4552" w:rsidRDefault="00BD4552" w:rsidP="00BD4552">
      <w:pPr>
        <w:tabs>
          <w:tab w:val="left" w:pos="851"/>
        </w:tabs>
        <w:ind w:left="851"/>
        <w:rPr>
          <w:sz w:val="24"/>
          <w:szCs w:val="24"/>
        </w:rPr>
      </w:pPr>
    </w:p>
    <w:p w14:paraId="48671F1D" w14:textId="77777777" w:rsidR="00BD4552" w:rsidRPr="00BD4552" w:rsidRDefault="00BD4552" w:rsidP="00BD4552">
      <w:pPr>
        <w:tabs>
          <w:tab w:val="left" w:pos="851"/>
        </w:tabs>
        <w:ind w:left="851"/>
        <w:rPr>
          <w:sz w:val="24"/>
          <w:szCs w:val="24"/>
        </w:rPr>
      </w:pPr>
      <w:r w:rsidRPr="00BD4552">
        <w:rPr>
          <w:sz w:val="24"/>
          <w:szCs w:val="24"/>
        </w:rPr>
        <w:t xml:space="preserve">Patienter med </w:t>
      </w:r>
      <w:r w:rsidRPr="00BD4552">
        <w:rPr>
          <w:i/>
          <w:sz w:val="24"/>
          <w:szCs w:val="24"/>
        </w:rPr>
        <w:t>angina pectoris</w:t>
      </w:r>
      <w:r w:rsidRPr="00BD4552">
        <w:rPr>
          <w:sz w:val="24"/>
          <w:szCs w:val="24"/>
        </w:rPr>
        <w:t xml:space="preserve">, myokardieinfarkt eller cerebral iskæmi lider også ofte af forandringer i de små luftveje (især alveolær </w:t>
      </w:r>
      <w:proofErr w:type="spellStart"/>
      <w:r w:rsidRPr="00BD4552">
        <w:rPr>
          <w:sz w:val="24"/>
          <w:szCs w:val="24"/>
        </w:rPr>
        <w:t>hypoxi</w:t>
      </w:r>
      <w:proofErr w:type="spellEnd"/>
      <w:r w:rsidRPr="00BD4552">
        <w:rPr>
          <w:sz w:val="24"/>
          <w:szCs w:val="24"/>
        </w:rPr>
        <w:t xml:space="preserve">). </w:t>
      </w:r>
    </w:p>
    <w:p w14:paraId="37217D78" w14:textId="77777777" w:rsidR="00BD4552" w:rsidRPr="00BD4552" w:rsidRDefault="00BD4552" w:rsidP="00BD4552">
      <w:pPr>
        <w:tabs>
          <w:tab w:val="left" w:pos="851"/>
        </w:tabs>
        <w:ind w:left="851"/>
        <w:rPr>
          <w:sz w:val="24"/>
          <w:szCs w:val="24"/>
        </w:rPr>
      </w:pPr>
    </w:p>
    <w:p w14:paraId="1AD72795" w14:textId="77777777" w:rsidR="00BD4552" w:rsidRPr="00BD4552" w:rsidRDefault="00BD4552" w:rsidP="00BD4552">
      <w:pPr>
        <w:tabs>
          <w:tab w:val="left" w:pos="851"/>
        </w:tabs>
        <w:ind w:left="851"/>
        <w:rPr>
          <w:sz w:val="24"/>
          <w:szCs w:val="24"/>
        </w:rPr>
      </w:pPr>
      <w:r w:rsidRPr="00BD4552">
        <w:rPr>
          <w:sz w:val="24"/>
          <w:szCs w:val="24"/>
        </w:rPr>
        <w:t xml:space="preserve">Under disse omstændigheder opstår der </w:t>
      </w:r>
      <w:proofErr w:type="spellStart"/>
      <w:r w:rsidRPr="00BD4552">
        <w:rPr>
          <w:sz w:val="24"/>
          <w:szCs w:val="24"/>
        </w:rPr>
        <w:t>vasokonstriktion</w:t>
      </w:r>
      <w:proofErr w:type="spellEnd"/>
      <w:r w:rsidRPr="00BD4552">
        <w:rPr>
          <w:sz w:val="24"/>
          <w:szCs w:val="24"/>
        </w:rPr>
        <w:t xml:space="preserve"> i lungerne for at flytte perfusionen fra områder med alveolær </w:t>
      </w:r>
      <w:proofErr w:type="spellStart"/>
      <w:r w:rsidRPr="00BD4552">
        <w:rPr>
          <w:sz w:val="24"/>
          <w:szCs w:val="24"/>
        </w:rPr>
        <w:t>hypoxi</w:t>
      </w:r>
      <w:proofErr w:type="spellEnd"/>
      <w:r w:rsidRPr="00BD4552">
        <w:rPr>
          <w:sz w:val="24"/>
          <w:szCs w:val="24"/>
        </w:rPr>
        <w:t xml:space="preserve"> til bedre ventilerede områder i lungerne (Euler-Liljestrand-mekanismen, se også pkt. 4.8). Da </w:t>
      </w:r>
      <w:proofErr w:type="spellStart"/>
      <w:r w:rsidRPr="00BD4552">
        <w:rPr>
          <w:sz w:val="24"/>
          <w:szCs w:val="24"/>
        </w:rPr>
        <w:t>glyceryltrinitrat</w:t>
      </w:r>
      <w:proofErr w:type="spellEnd"/>
      <w:r w:rsidRPr="00BD4552">
        <w:rPr>
          <w:sz w:val="24"/>
          <w:szCs w:val="24"/>
        </w:rPr>
        <w:t xml:space="preserve"> er en potent </w:t>
      </w:r>
      <w:proofErr w:type="spellStart"/>
      <w:r w:rsidRPr="00BD4552">
        <w:rPr>
          <w:sz w:val="24"/>
          <w:szCs w:val="24"/>
        </w:rPr>
        <w:t>vasodilatator</w:t>
      </w:r>
      <w:proofErr w:type="spellEnd"/>
      <w:r w:rsidRPr="00BD4552">
        <w:rPr>
          <w:sz w:val="24"/>
          <w:szCs w:val="24"/>
        </w:rPr>
        <w:t xml:space="preserve">, kan det forhindre denne beskyttende </w:t>
      </w:r>
      <w:proofErr w:type="spellStart"/>
      <w:r w:rsidRPr="00BD4552">
        <w:rPr>
          <w:sz w:val="24"/>
          <w:szCs w:val="24"/>
        </w:rPr>
        <w:t>vasokonstriktion</w:t>
      </w:r>
      <w:proofErr w:type="spellEnd"/>
      <w:r w:rsidRPr="00BD4552">
        <w:rPr>
          <w:sz w:val="24"/>
          <w:szCs w:val="24"/>
        </w:rPr>
        <w:t xml:space="preserve"> og dermed øge perfusionen i dårligt ventilerede områder. Dette forværrer ventilation/perfusion-ubalancen og reducerer iltens </w:t>
      </w:r>
      <w:proofErr w:type="spellStart"/>
      <w:r w:rsidRPr="00BD4552">
        <w:rPr>
          <w:sz w:val="24"/>
          <w:szCs w:val="24"/>
        </w:rPr>
        <w:t>partialtryk</w:t>
      </w:r>
      <w:proofErr w:type="spellEnd"/>
      <w:r w:rsidRPr="00BD4552">
        <w:rPr>
          <w:sz w:val="24"/>
          <w:szCs w:val="24"/>
        </w:rPr>
        <w:t xml:space="preserve"> i arterierne yderligere.</w:t>
      </w:r>
    </w:p>
    <w:p w14:paraId="4B164171" w14:textId="77777777" w:rsidR="00BD4552" w:rsidRPr="00BD4552" w:rsidRDefault="00BD4552" w:rsidP="00BD4552">
      <w:pPr>
        <w:tabs>
          <w:tab w:val="left" w:pos="851"/>
        </w:tabs>
        <w:ind w:left="851"/>
        <w:rPr>
          <w:sz w:val="24"/>
          <w:szCs w:val="24"/>
        </w:rPr>
      </w:pPr>
    </w:p>
    <w:p w14:paraId="2FD95C60" w14:textId="77777777" w:rsidR="00BD4552" w:rsidRPr="00BD4552" w:rsidRDefault="00BD4552" w:rsidP="00BD4552">
      <w:pPr>
        <w:tabs>
          <w:tab w:val="left" w:pos="851"/>
        </w:tabs>
        <w:ind w:left="851"/>
        <w:rPr>
          <w:sz w:val="24"/>
          <w:szCs w:val="24"/>
          <w:u w:val="single"/>
        </w:rPr>
      </w:pPr>
      <w:proofErr w:type="spellStart"/>
      <w:r w:rsidRPr="00BD4552">
        <w:rPr>
          <w:sz w:val="24"/>
          <w:szCs w:val="24"/>
          <w:u w:val="single"/>
        </w:rPr>
        <w:t>Methæmoglobinæmi</w:t>
      </w:r>
      <w:proofErr w:type="spellEnd"/>
    </w:p>
    <w:p w14:paraId="40B99DED" w14:textId="77777777" w:rsidR="00BD4552" w:rsidRPr="00BD4552" w:rsidRDefault="00BD4552" w:rsidP="00BD4552">
      <w:pPr>
        <w:tabs>
          <w:tab w:val="left" w:pos="851"/>
        </w:tabs>
        <w:ind w:left="851"/>
        <w:rPr>
          <w:sz w:val="24"/>
          <w:szCs w:val="24"/>
        </w:rPr>
      </w:pPr>
      <w:r w:rsidRPr="00BD4552">
        <w:rPr>
          <w:sz w:val="24"/>
          <w:szCs w:val="24"/>
        </w:rPr>
        <w:t xml:space="preserve">Der har været rapporter om </w:t>
      </w:r>
      <w:proofErr w:type="spellStart"/>
      <w:r w:rsidRPr="00BD4552">
        <w:rPr>
          <w:sz w:val="24"/>
          <w:szCs w:val="24"/>
        </w:rPr>
        <w:t>methæmoglobinæmi</w:t>
      </w:r>
      <w:proofErr w:type="spellEnd"/>
      <w:r w:rsidRPr="00BD4552">
        <w:rPr>
          <w:sz w:val="24"/>
          <w:szCs w:val="24"/>
        </w:rPr>
        <w:t xml:space="preserve"> efter behandling med </w:t>
      </w:r>
      <w:proofErr w:type="spellStart"/>
      <w:r w:rsidRPr="00BD4552">
        <w:rPr>
          <w:sz w:val="24"/>
          <w:szCs w:val="24"/>
        </w:rPr>
        <w:t>glyceryltrinitrater</w:t>
      </w:r>
      <w:proofErr w:type="spellEnd"/>
      <w:r w:rsidRPr="00BD4552">
        <w:rPr>
          <w:sz w:val="24"/>
          <w:szCs w:val="24"/>
        </w:rPr>
        <w:t xml:space="preserve">. </w:t>
      </w:r>
      <w:proofErr w:type="spellStart"/>
      <w:r w:rsidRPr="00BD4552">
        <w:rPr>
          <w:sz w:val="24"/>
          <w:szCs w:val="24"/>
        </w:rPr>
        <w:t>Methæmoglobinæmi</w:t>
      </w:r>
      <w:proofErr w:type="spellEnd"/>
      <w:r w:rsidRPr="00BD4552">
        <w:rPr>
          <w:sz w:val="24"/>
          <w:szCs w:val="24"/>
        </w:rPr>
        <w:t xml:space="preserve"> må ikke behandles med metylenblåt, hvis patienten har glucose</w:t>
      </w:r>
      <w:r w:rsidRPr="00BD4552">
        <w:rPr>
          <w:sz w:val="24"/>
          <w:szCs w:val="24"/>
        </w:rPr>
        <w:noBreakHyphen/>
        <w:t>6</w:t>
      </w:r>
      <w:r w:rsidRPr="00BD4552">
        <w:rPr>
          <w:sz w:val="24"/>
          <w:szCs w:val="24"/>
        </w:rPr>
        <w:noBreakHyphen/>
        <w:t xml:space="preserve">fosfatmangel eller </w:t>
      </w:r>
      <w:proofErr w:type="spellStart"/>
      <w:r w:rsidRPr="00BD4552">
        <w:rPr>
          <w:sz w:val="24"/>
          <w:szCs w:val="24"/>
        </w:rPr>
        <w:t>methæmoglobinreduktasemangel</w:t>
      </w:r>
      <w:proofErr w:type="spellEnd"/>
      <w:r w:rsidRPr="00BD4552">
        <w:rPr>
          <w:sz w:val="24"/>
          <w:szCs w:val="24"/>
        </w:rPr>
        <w:t xml:space="preserve"> (se også pkt. 4.9).</w:t>
      </w:r>
    </w:p>
    <w:p w14:paraId="2BEC58C7" w14:textId="77777777" w:rsidR="00BD4552" w:rsidRPr="00BD4552" w:rsidRDefault="00BD4552" w:rsidP="00BD4552">
      <w:pPr>
        <w:tabs>
          <w:tab w:val="left" w:pos="851"/>
        </w:tabs>
        <w:ind w:left="851"/>
        <w:rPr>
          <w:sz w:val="24"/>
          <w:szCs w:val="24"/>
        </w:rPr>
      </w:pPr>
    </w:p>
    <w:p w14:paraId="25168F4E" w14:textId="77777777" w:rsidR="00BD4552" w:rsidRPr="00BD4552" w:rsidRDefault="00BD4552" w:rsidP="00BD4552">
      <w:pPr>
        <w:tabs>
          <w:tab w:val="left" w:pos="851"/>
        </w:tabs>
        <w:ind w:left="851"/>
        <w:rPr>
          <w:sz w:val="24"/>
          <w:szCs w:val="24"/>
        </w:rPr>
      </w:pPr>
      <w:r w:rsidRPr="00BD4552">
        <w:rPr>
          <w:sz w:val="24"/>
          <w:szCs w:val="24"/>
        </w:rPr>
        <w:t xml:space="preserve">Denne opløsning indeholder 51 mg </w:t>
      </w:r>
      <w:proofErr w:type="spellStart"/>
      <w:r w:rsidRPr="00BD4552">
        <w:rPr>
          <w:sz w:val="24"/>
          <w:szCs w:val="24"/>
        </w:rPr>
        <w:t>glucosemonohydrat</w:t>
      </w:r>
      <w:proofErr w:type="spellEnd"/>
      <w:r w:rsidRPr="00BD4552">
        <w:rPr>
          <w:sz w:val="24"/>
          <w:szCs w:val="24"/>
        </w:rPr>
        <w:t xml:space="preserve"> pr. ml. Diabetespatienter skal tage hensyn hertil.</w:t>
      </w:r>
    </w:p>
    <w:p w14:paraId="696C55B0" w14:textId="77777777" w:rsidR="009260DE" w:rsidRPr="00C84483" w:rsidRDefault="009260DE" w:rsidP="009260DE">
      <w:pPr>
        <w:tabs>
          <w:tab w:val="left" w:pos="851"/>
        </w:tabs>
        <w:ind w:left="851"/>
        <w:rPr>
          <w:sz w:val="24"/>
          <w:szCs w:val="24"/>
        </w:rPr>
      </w:pPr>
    </w:p>
    <w:p w14:paraId="7C2036A6"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5A6D392" w14:textId="77777777" w:rsidR="00D14DB2" w:rsidRPr="00D14DB2" w:rsidRDefault="00D14DB2" w:rsidP="00D14DB2">
      <w:pPr>
        <w:tabs>
          <w:tab w:val="left" w:pos="851"/>
        </w:tabs>
        <w:ind w:left="851"/>
        <w:rPr>
          <w:sz w:val="24"/>
          <w:szCs w:val="24"/>
        </w:rPr>
      </w:pPr>
      <w:r w:rsidRPr="00D14DB2">
        <w:rPr>
          <w:sz w:val="24"/>
          <w:szCs w:val="24"/>
        </w:rPr>
        <w:t xml:space="preserve">Samtidigt indtag af andre lægemidler med blodtrykssænkende egenskaber, f.eks. betablokkere, calciumkanalblokkere, </w:t>
      </w:r>
      <w:proofErr w:type="spellStart"/>
      <w:r w:rsidRPr="00D14DB2">
        <w:rPr>
          <w:sz w:val="24"/>
          <w:szCs w:val="24"/>
        </w:rPr>
        <w:t>vasodilatorer</w:t>
      </w:r>
      <w:proofErr w:type="spellEnd"/>
      <w:r w:rsidRPr="00D14DB2">
        <w:rPr>
          <w:sz w:val="24"/>
          <w:szCs w:val="24"/>
        </w:rPr>
        <w:t xml:space="preserve"> (f.eks. PDE5-hæmmere som </w:t>
      </w:r>
      <w:proofErr w:type="spellStart"/>
      <w:r w:rsidRPr="00D14DB2">
        <w:rPr>
          <w:sz w:val="24"/>
          <w:szCs w:val="24"/>
        </w:rPr>
        <w:t>sildenafil</w:t>
      </w:r>
      <w:proofErr w:type="spellEnd"/>
      <w:r w:rsidRPr="00D14DB2">
        <w:rPr>
          <w:sz w:val="24"/>
          <w:szCs w:val="24"/>
        </w:rPr>
        <w:t>), ACE-</w:t>
      </w:r>
      <w:proofErr w:type="spellStart"/>
      <w:r w:rsidRPr="00D14DB2">
        <w:rPr>
          <w:sz w:val="24"/>
          <w:szCs w:val="24"/>
        </w:rPr>
        <w:t>hæmmere</w:t>
      </w:r>
      <w:proofErr w:type="spellEnd"/>
      <w:r w:rsidRPr="00D14DB2">
        <w:rPr>
          <w:sz w:val="24"/>
          <w:szCs w:val="24"/>
        </w:rPr>
        <w:t xml:space="preserve">, </w:t>
      </w:r>
      <w:proofErr w:type="spellStart"/>
      <w:r w:rsidRPr="00D14DB2">
        <w:rPr>
          <w:sz w:val="24"/>
          <w:szCs w:val="24"/>
        </w:rPr>
        <w:t>diuretika</w:t>
      </w:r>
      <w:proofErr w:type="spellEnd"/>
      <w:r w:rsidRPr="00D14DB2">
        <w:rPr>
          <w:sz w:val="24"/>
          <w:szCs w:val="24"/>
        </w:rPr>
        <w:t xml:space="preserve"> osv. og/eller alkohol kan forstærke </w:t>
      </w:r>
      <w:proofErr w:type="spellStart"/>
      <w:r w:rsidRPr="00D14DB2">
        <w:rPr>
          <w:sz w:val="24"/>
          <w:szCs w:val="24"/>
        </w:rPr>
        <w:t>glyceryltrinitrats</w:t>
      </w:r>
      <w:proofErr w:type="spellEnd"/>
      <w:r w:rsidRPr="00D14DB2">
        <w:rPr>
          <w:sz w:val="24"/>
          <w:szCs w:val="24"/>
        </w:rPr>
        <w:t xml:space="preserve"> </w:t>
      </w:r>
      <w:proofErr w:type="spellStart"/>
      <w:r w:rsidRPr="00D14DB2">
        <w:rPr>
          <w:sz w:val="24"/>
          <w:szCs w:val="24"/>
        </w:rPr>
        <w:t>hypotensive</w:t>
      </w:r>
      <w:proofErr w:type="spellEnd"/>
      <w:r w:rsidRPr="00D14DB2">
        <w:rPr>
          <w:sz w:val="24"/>
          <w:szCs w:val="24"/>
        </w:rPr>
        <w:t xml:space="preserve"> virkning. Antipsykotika og tricykliske </w:t>
      </w:r>
      <w:proofErr w:type="spellStart"/>
      <w:r w:rsidRPr="00D14DB2">
        <w:rPr>
          <w:sz w:val="24"/>
          <w:szCs w:val="24"/>
        </w:rPr>
        <w:t>antidepressiva</w:t>
      </w:r>
      <w:proofErr w:type="spellEnd"/>
      <w:r w:rsidRPr="00D14DB2">
        <w:rPr>
          <w:sz w:val="24"/>
          <w:szCs w:val="24"/>
        </w:rPr>
        <w:t xml:space="preserve"> kan have en lignende virkning.</w:t>
      </w:r>
    </w:p>
    <w:p w14:paraId="5C0F4F85" w14:textId="77777777" w:rsidR="00D14DB2" w:rsidRPr="00D14DB2" w:rsidRDefault="00D14DB2" w:rsidP="00D14DB2">
      <w:pPr>
        <w:tabs>
          <w:tab w:val="left" w:pos="851"/>
        </w:tabs>
        <w:ind w:left="851"/>
        <w:rPr>
          <w:sz w:val="24"/>
          <w:szCs w:val="24"/>
        </w:rPr>
      </w:pPr>
    </w:p>
    <w:p w14:paraId="526A8618" w14:textId="50039EAC" w:rsidR="00D14DB2" w:rsidRPr="00D14DB2" w:rsidRDefault="00D14DB2" w:rsidP="00D14DB2">
      <w:pPr>
        <w:tabs>
          <w:tab w:val="left" w:pos="851"/>
        </w:tabs>
        <w:ind w:left="851"/>
        <w:rPr>
          <w:sz w:val="24"/>
          <w:szCs w:val="24"/>
        </w:rPr>
      </w:pPr>
      <w:r w:rsidRPr="00D14DB2">
        <w:rPr>
          <w:sz w:val="24"/>
          <w:szCs w:val="24"/>
        </w:rPr>
        <w:t xml:space="preserve">Samtidig anvendelse af </w:t>
      </w:r>
      <w:proofErr w:type="spellStart"/>
      <w:r w:rsidRPr="00D14DB2">
        <w:rPr>
          <w:sz w:val="24"/>
          <w:szCs w:val="24"/>
        </w:rPr>
        <w:t>fosfodiesterasehæmmere</w:t>
      </w:r>
      <w:proofErr w:type="spellEnd"/>
      <w:r w:rsidRPr="00D14DB2">
        <w:rPr>
          <w:sz w:val="24"/>
          <w:szCs w:val="24"/>
        </w:rPr>
        <w:t xml:space="preserve"> (f.eks. </w:t>
      </w:r>
      <w:proofErr w:type="spellStart"/>
      <w:r w:rsidRPr="00D14DB2">
        <w:rPr>
          <w:sz w:val="24"/>
          <w:szCs w:val="24"/>
        </w:rPr>
        <w:t>sildenafil</w:t>
      </w:r>
      <w:proofErr w:type="spellEnd"/>
      <w:r w:rsidRPr="00D14DB2">
        <w:rPr>
          <w:sz w:val="24"/>
          <w:szCs w:val="24"/>
        </w:rPr>
        <w:t xml:space="preserve">, </w:t>
      </w:r>
      <w:proofErr w:type="spellStart"/>
      <w:r w:rsidRPr="00D14DB2">
        <w:rPr>
          <w:sz w:val="24"/>
          <w:szCs w:val="24"/>
        </w:rPr>
        <w:t>vardenafil</w:t>
      </w:r>
      <w:proofErr w:type="spellEnd"/>
      <w:r w:rsidRPr="00D14DB2">
        <w:rPr>
          <w:sz w:val="24"/>
          <w:szCs w:val="24"/>
        </w:rPr>
        <w:t xml:space="preserve">, </w:t>
      </w:r>
      <w:proofErr w:type="spellStart"/>
      <w:r w:rsidRPr="00D14DB2">
        <w:rPr>
          <w:sz w:val="24"/>
          <w:szCs w:val="24"/>
        </w:rPr>
        <w:t>tadalafil</w:t>
      </w:r>
      <w:proofErr w:type="spellEnd"/>
      <w:r w:rsidRPr="00D14DB2">
        <w:rPr>
          <w:sz w:val="24"/>
          <w:szCs w:val="24"/>
        </w:rPr>
        <w:t>) (se pkt. 4.3 og 4.4) vil forstærke Nitroglycerin "</w:t>
      </w:r>
      <w:proofErr w:type="spellStart"/>
      <w:r w:rsidR="00BE4AB6">
        <w:rPr>
          <w:sz w:val="24"/>
          <w:szCs w:val="24"/>
        </w:rPr>
        <w:t>Macure</w:t>
      </w:r>
      <w:r w:rsidRPr="00D14DB2">
        <w:rPr>
          <w:sz w:val="24"/>
          <w:szCs w:val="24"/>
        </w:rPr>
        <w:t>"s</w:t>
      </w:r>
      <w:proofErr w:type="spellEnd"/>
      <w:r w:rsidRPr="00D14DB2">
        <w:rPr>
          <w:sz w:val="24"/>
          <w:szCs w:val="24"/>
        </w:rPr>
        <w:t xml:space="preserve"> blodtrykssænkende virkning. Det kan føre til livstruende </w:t>
      </w:r>
      <w:proofErr w:type="spellStart"/>
      <w:r w:rsidRPr="00D14DB2">
        <w:rPr>
          <w:sz w:val="24"/>
          <w:szCs w:val="24"/>
        </w:rPr>
        <w:t>kardiovaskulære</w:t>
      </w:r>
      <w:proofErr w:type="spellEnd"/>
      <w:r w:rsidRPr="00D14DB2">
        <w:rPr>
          <w:sz w:val="24"/>
          <w:szCs w:val="24"/>
        </w:rPr>
        <w:t xml:space="preserve"> komplikationer. Patienter, som for nylig har taget </w:t>
      </w:r>
      <w:proofErr w:type="spellStart"/>
      <w:r w:rsidRPr="00D14DB2">
        <w:rPr>
          <w:sz w:val="24"/>
          <w:szCs w:val="24"/>
        </w:rPr>
        <w:t>fosfodiesterasehæmmere</w:t>
      </w:r>
      <w:proofErr w:type="spellEnd"/>
      <w:r w:rsidRPr="00D14DB2">
        <w:rPr>
          <w:sz w:val="24"/>
          <w:szCs w:val="24"/>
        </w:rPr>
        <w:t xml:space="preserve"> (f.eks. </w:t>
      </w:r>
      <w:proofErr w:type="spellStart"/>
      <w:r w:rsidRPr="00D14DB2">
        <w:rPr>
          <w:sz w:val="24"/>
          <w:szCs w:val="24"/>
        </w:rPr>
        <w:t>sildenafil</w:t>
      </w:r>
      <w:proofErr w:type="spellEnd"/>
      <w:r w:rsidRPr="00D14DB2">
        <w:rPr>
          <w:sz w:val="24"/>
          <w:szCs w:val="24"/>
        </w:rPr>
        <w:t xml:space="preserve">, </w:t>
      </w:r>
      <w:proofErr w:type="spellStart"/>
      <w:r w:rsidRPr="00D14DB2">
        <w:rPr>
          <w:sz w:val="24"/>
          <w:szCs w:val="24"/>
        </w:rPr>
        <w:t>vardenafil</w:t>
      </w:r>
      <w:proofErr w:type="spellEnd"/>
      <w:r w:rsidRPr="00D14DB2">
        <w:rPr>
          <w:sz w:val="24"/>
          <w:szCs w:val="24"/>
        </w:rPr>
        <w:t xml:space="preserve"> eller </w:t>
      </w:r>
      <w:proofErr w:type="spellStart"/>
      <w:r w:rsidRPr="00D14DB2">
        <w:rPr>
          <w:sz w:val="24"/>
          <w:szCs w:val="24"/>
        </w:rPr>
        <w:t>tadalafil</w:t>
      </w:r>
      <w:proofErr w:type="spellEnd"/>
      <w:r w:rsidRPr="00D14DB2">
        <w:rPr>
          <w:sz w:val="24"/>
          <w:szCs w:val="24"/>
        </w:rPr>
        <w:t>) må ikke behandles med Nitroglycerin "</w:t>
      </w:r>
      <w:proofErr w:type="spellStart"/>
      <w:r w:rsidR="00BE4AB6">
        <w:rPr>
          <w:sz w:val="24"/>
          <w:szCs w:val="24"/>
        </w:rPr>
        <w:t>Macure</w:t>
      </w:r>
      <w:proofErr w:type="spellEnd"/>
      <w:r w:rsidRPr="00D14DB2">
        <w:rPr>
          <w:sz w:val="24"/>
          <w:szCs w:val="24"/>
        </w:rPr>
        <w:t>".</w:t>
      </w:r>
    </w:p>
    <w:p w14:paraId="5BA72C52" w14:textId="77777777" w:rsidR="00D14DB2" w:rsidRPr="00D14DB2" w:rsidRDefault="00D14DB2" w:rsidP="00D14DB2">
      <w:pPr>
        <w:tabs>
          <w:tab w:val="left" w:pos="851"/>
        </w:tabs>
        <w:ind w:left="851"/>
        <w:rPr>
          <w:sz w:val="24"/>
          <w:szCs w:val="24"/>
        </w:rPr>
      </w:pPr>
    </w:p>
    <w:p w14:paraId="375C2B51" w14:textId="77777777" w:rsidR="00D14DB2" w:rsidRPr="00D14DB2" w:rsidRDefault="00D14DB2" w:rsidP="00D14DB2">
      <w:pPr>
        <w:tabs>
          <w:tab w:val="left" w:pos="851"/>
        </w:tabs>
        <w:ind w:left="851"/>
        <w:rPr>
          <w:sz w:val="24"/>
          <w:szCs w:val="24"/>
        </w:rPr>
      </w:pPr>
      <w:r w:rsidRPr="00D14DB2">
        <w:rPr>
          <w:sz w:val="24"/>
          <w:szCs w:val="24"/>
        </w:rPr>
        <w:t xml:space="preserve">Rapporterede tilfælde tyder på, at samtidig anvendelse af </w:t>
      </w:r>
      <w:proofErr w:type="spellStart"/>
      <w:r w:rsidRPr="00D14DB2">
        <w:rPr>
          <w:sz w:val="24"/>
          <w:szCs w:val="24"/>
        </w:rPr>
        <w:t>glyceryltrinitrat</w:t>
      </w:r>
      <w:proofErr w:type="spellEnd"/>
      <w:r w:rsidRPr="00D14DB2">
        <w:rPr>
          <w:sz w:val="24"/>
          <w:szCs w:val="24"/>
        </w:rPr>
        <w:t xml:space="preserve"> og </w:t>
      </w:r>
      <w:proofErr w:type="spellStart"/>
      <w:r w:rsidRPr="00D14DB2">
        <w:rPr>
          <w:sz w:val="24"/>
          <w:szCs w:val="24"/>
        </w:rPr>
        <w:t>dihydroergotamin</w:t>
      </w:r>
      <w:proofErr w:type="spellEnd"/>
      <w:r w:rsidRPr="00D14DB2">
        <w:rPr>
          <w:sz w:val="24"/>
          <w:szCs w:val="24"/>
        </w:rPr>
        <w:t xml:space="preserve"> kan øge koncentrationen af </w:t>
      </w:r>
      <w:proofErr w:type="spellStart"/>
      <w:r w:rsidRPr="00D14DB2">
        <w:rPr>
          <w:sz w:val="24"/>
          <w:szCs w:val="24"/>
        </w:rPr>
        <w:t>dihydroergotamin</w:t>
      </w:r>
      <w:proofErr w:type="spellEnd"/>
      <w:r w:rsidRPr="00D14DB2">
        <w:rPr>
          <w:sz w:val="24"/>
          <w:szCs w:val="24"/>
        </w:rPr>
        <w:t xml:space="preserve"> i blodet og dets virkning. Dette kræver særlig opmærksomhed hos patienter med kransåresygdom, da </w:t>
      </w:r>
      <w:proofErr w:type="spellStart"/>
      <w:r w:rsidRPr="00D14DB2">
        <w:rPr>
          <w:sz w:val="24"/>
          <w:szCs w:val="24"/>
        </w:rPr>
        <w:t>dihydroergotamin</w:t>
      </w:r>
      <w:proofErr w:type="spellEnd"/>
      <w:r w:rsidRPr="00D14DB2">
        <w:rPr>
          <w:sz w:val="24"/>
          <w:szCs w:val="24"/>
        </w:rPr>
        <w:t xml:space="preserve"> modvirker virkningen af </w:t>
      </w:r>
      <w:proofErr w:type="spellStart"/>
      <w:r w:rsidRPr="00D14DB2">
        <w:rPr>
          <w:sz w:val="24"/>
          <w:szCs w:val="24"/>
        </w:rPr>
        <w:t>glyceryltrinitrat</w:t>
      </w:r>
      <w:proofErr w:type="spellEnd"/>
      <w:r w:rsidRPr="00D14DB2">
        <w:rPr>
          <w:sz w:val="24"/>
          <w:szCs w:val="24"/>
        </w:rPr>
        <w:t xml:space="preserve"> og kan føre til </w:t>
      </w:r>
      <w:proofErr w:type="spellStart"/>
      <w:r w:rsidRPr="00D14DB2">
        <w:rPr>
          <w:sz w:val="24"/>
          <w:szCs w:val="24"/>
        </w:rPr>
        <w:t>vasokonstriktion</w:t>
      </w:r>
      <w:proofErr w:type="spellEnd"/>
      <w:r w:rsidRPr="00D14DB2">
        <w:rPr>
          <w:sz w:val="24"/>
          <w:szCs w:val="24"/>
        </w:rPr>
        <w:t xml:space="preserve"> i kransårerne.</w:t>
      </w:r>
    </w:p>
    <w:p w14:paraId="65F6A0FC" w14:textId="77777777" w:rsidR="00D14DB2" w:rsidRPr="00D14DB2" w:rsidRDefault="00D14DB2" w:rsidP="00D14DB2">
      <w:pPr>
        <w:tabs>
          <w:tab w:val="left" w:pos="851"/>
        </w:tabs>
        <w:ind w:left="851"/>
        <w:rPr>
          <w:sz w:val="24"/>
          <w:szCs w:val="24"/>
        </w:rPr>
      </w:pPr>
    </w:p>
    <w:p w14:paraId="418AC63A" w14:textId="77777777" w:rsidR="00D14DB2" w:rsidRPr="00D14DB2" w:rsidRDefault="00D14DB2" w:rsidP="00D14DB2">
      <w:pPr>
        <w:tabs>
          <w:tab w:val="left" w:pos="851"/>
        </w:tabs>
        <w:ind w:left="851"/>
        <w:rPr>
          <w:sz w:val="24"/>
          <w:szCs w:val="24"/>
        </w:rPr>
      </w:pPr>
      <w:r w:rsidRPr="00D14DB2">
        <w:rPr>
          <w:sz w:val="24"/>
          <w:szCs w:val="24"/>
        </w:rPr>
        <w:t xml:space="preserve">Samtidig administration af </w:t>
      </w:r>
      <w:proofErr w:type="spellStart"/>
      <w:r w:rsidRPr="00D14DB2">
        <w:rPr>
          <w:sz w:val="24"/>
          <w:szCs w:val="24"/>
        </w:rPr>
        <w:t>glyceryltrinitrat</w:t>
      </w:r>
      <w:proofErr w:type="spellEnd"/>
      <w:r w:rsidRPr="00D14DB2">
        <w:rPr>
          <w:sz w:val="24"/>
          <w:szCs w:val="24"/>
        </w:rPr>
        <w:t xml:space="preserve"> og acetylsalicylsyre kan forstærke </w:t>
      </w:r>
      <w:proofErr w:type="spellStart"/>
      <w:r w:rsidRPr="00D14DB2">
        <w:rPr>
          <w:sz w:val="24"/>
          <w:szCs w:val="24"/>
        </w:rPr>
        <w:t>glyceryltrinitrats</w:t>
      </w:r>
      <w:proofErr w:type="spellEnd"/>
      <w:r w:rsidRPr="00D14DB2">
        <w:rPr>
          <w:sz w:val="24"/>
          <w:szCs w:val="24"/>
        </w:rPr>
        <w:t xml:space="preserve"> blodtrykssænkende virkning.</w:t>
      </w:r>
    </w:p>
    <w:p w14:paraId="03E38161" w14:textId="77777777" w:rsidR="00D14DB2" w:rsidRPr="00D14DB2" w:rsidRDefault="00D14DB2" w:rsidP="00D14DB2">
      <w:pPr>
        <w:tabs>
          <w:tab w:val="left" w:pos="851"/>
        </w:tabs>
        <w:ind w:left="851"/>
        <w:rPr>
          <w:sz w:val="24"/>
          <w:szCs w:val="24"/>
        </w:rPr>
      </w:pPr>
    </w:p>
    <w:p w14:paraId="49E725B4" w14:textId="77777777" w:rsidR="00D14DB2" w:rsidRPr="00D14DB2" w:rsidRDefault="00D14DB2" w:rsidP="00D14DB2">
      <w:pPr>
        <w:tabs>
          <w:tab w:val="left" w:pos="851"/>
        </w:tabs>
        <w:ind w:left="851"/>
        <w:rPr>
          <w:sz w:val="24"/>
          <w:szCs w:val="24"/>
        </w:rPr>
      </w:pPr>
      <w:r w:rsidRPr="00D14DB2">
        <w:rPr>
          <w:sz w:val="24"/>
          <w:szCs w:val="24"/>
        </w:rPr>
        <w:t>Non-</w:t>
      </w:r>
      <w:proofErr w:type="spellStart"/>
      <w:r w:rsidRPr="00D14DB2">
        <w:rPr>
          <w:sz w:val="24"/>
          <w:szCs w:val="24"/>
        </w:rPr>
        <w:t>steroide</w:t>
      </w:r>
      <w:proofErr w:type="spellEnd"/>
      <w:r w:rsidRPr="00D14DB2">
        <w:rPr>
          <w:sz w:val="24"/>
          <w:szCs w:val="24"/>
        </w:rPr>
        <w:t xml:space="preserve"> antiinflammatoriske lægemidler (med undtagelse af små doser </w:t>
      </w:r>
      <w:proofErr w:type="spellStart"/>
      <w:r w:rsidRPr="00D14DB2">
        <w:rPr>
          <w:sz w:val="24"/>
          <w:szCs w:val="24"/>
        </w:rPr>
        <w:t>acetylsalicylisyre</w:t>
      </w:r>
      <w:proofErr w:type="spellEnd"/>
      <w:r w:rsidRPr="00D14DB2">
        <w:rPr>
          <w:sz w:val="24"/>
          <w:szCs w:val="24"/>
        </w:rPr>
        <w:t xml:space="preserve"> som </w:t>
      </w:r>
      <w:proofErr w:type="spellStart"/>
      <w:r w:rsidRPr="00D14DB2">
        <w:rPr>
          <w:sz w:val="24"/>
          <w:szCs w:val="24"/>
        </w:rPr>
        <w:t>antitrombotikum</w:t>
      </w:r>
      <w:proofErr w:type="spellEnd"/>
      <w:r w:rsidRPr="00D14DB2">
        <w:rPr>
          <w:sz w:val="24"/>
          <w:szCs w:val="24"/>
        </w:rPr>
        <w:t xml:space="preserve">) kan reducere det terapeutiske respons på </w:t>
      </w:r>
      <w:proofErr w:type="spellStart"/>
      <w:r w:rsidRPr="00D14DB2">
        <w:rPr>
          <w:sz w:val="24"/>
          <w:szCs w:val="24"/>
        </w:rPr>
        <w:t>glyceryltrinitrat</w:t>
      </w:r>
      <w:proofErr w:type="spellEnd"/>
      <w:r w:rsidRPr="00D14DB2">
        <w:rPr>
          <w:sz w:val="24"/>
          <w:szCs w:val="24"/>
        </w:rPr>
        <w:t>.</w:t>
      </w:r>
    </w:p>
    <w:p w14:paraId="439E3E76" w14:textId="77777777" w:rsidR="00D14DB2" w:rsidRPr="00D14DB2" w:rsidRDefault="00D14DB2" w:rsidP="00D14DB2">
      <w:pPr>
        <w:tabs>
          <w:tab w:val="left" w:pos="851"/>
        </w:tabs>
        <w:ind w:left="851"/>
        <w:rPr>
          <w:sz w:val="24"/>
          <w:szCs w:val="24"/>
        </w:rPr>
      </w:pPr>
    </w:p>
    <w:p w14:paraId="28CF0711" w14:textId="5970AC84" w:rsidR="00D14DB2" w:rsidRPr="00D14DB2" w:rsidRDefault="00D14DB2" w:rsidP="00D14DB2">
      <w:pPr>
        <w:tabs>
          <w:tab w:val="left" w:pos="851"/>
        </w:tabs>
        <w:ind w:left="851"/>
        <w:rPr>
          <w:sz w:val="24"/>
          <w:szCs w:val="24"/>
        </w:rPr>
      </w:pPr>
      <w:proofErr w:type="spellStart"/>
      <w:r w:rsidRPr="00D14DB2">
        <w:rPr>
          <w:sz w:val="24"/>
          <w:szCs w:val="24"/>
        </w:rPr>
        <w:t>Sapropterin</w:t>
      </w:r>
      <w:proofErr w:type="spellEnd"/>
      <w:r w:rsidRPr="00D14DB2">
        <w:rPr>
          <w:sz w:val="24"/>
          <w:szCs w:val="24"/>
        </w:rPr>
        <w:t xml:space="preserve"> (</w:t>
      </w:r>
      <w:proofErr w:type="spellStart"/>
      <w:r w:rsidRPr="00D14DB2">
        <w:rPr>
          <w:sz w:val="24"/>
          <w:szCs w:val="24"/>
        </w:rPr>
        <w:t>tetrahydrobiopterin</w:t>
      </w:r>
      <w:proofErr w:type="spellEnd"/>
      <w:r w:rsidRPr="00D14DB2">
        <w:rPr>
          <w:sz w:val="24"/>
          <w:szCs w:val="24"/>
        </w:rPr>
        <w:t>, BH</w:t>
      </w:r>
      <w:r w:rsidRPr="00D14DB2">
        <w:rPr>
          <w:sz w:val="24"/>
          <w:szCs w:val="24"/>
          <w:vertAlign w:val="subscript"/>
        </w:rPr>
        <w:t>4</w:t>
      </w:r>
      <w:r w:rsidRPr="00D14DB2">
        <w:rPr>
          <w:sz w:val="24"/>
          <w:szCs w:val="24"/>
        </w:rPr>
        <w:t xml:space="preserve">) er en </w:t>
      </w:r>
      <w:proofErr w:type="spellStart"/>
      <w:r w:rsidRPr="00D14DB2">
        <w:rPr>
          <w:sz w:val="24"/>
          <w:szCs w:val="24"/>
        </w:rPr>
        <w:t>cofaktor</w:t>
      </w:r>
      <w:proofErr w:type="spellEnd"/>
      <w:r w:rsidRPr="00D14DB2">
        <w:rPr>
          <w:sz w:val="24"/>
          <w:szCs w:val="24"/>
        </w:rPr>
        <w:t xml:space="preserve"> til NO-</w:t>
      </w:r>
      <w:proofErr w:type="spellStart"/>
      <w:r w:rsidRPr="00D14DB2">
        <w:rPr>
          <w:sz w:val="24"/>
          <w:szCs w:val="24"/>
        </w:rPr>
        <w:t>syntase</w:t>
      </w:r>
      <w:proofErr w:type="spellEnd"/>
      <w:r w:rsidRPr="00D14DB2">
        <w:rPr>
          <w:sz w:val="24"/>
          <w:szCs w:val="24"/>
        </w:rPr>
        <w:t xml:space="preserve">. Det anbefales, at der altid udvises forsigtighed, når et lægemiddel med </w:t>
      </w:r>
      <w:proofErr w:type="spellStart"/>
      <w:r w:rsidRPr="00D14DB2">
        <w:rPr>
          <w:sz w:val="24"/>
          <w:szCs w:val="24"/>
        </w:rPr>
        <w:t>sapropterin</w:t>
      </w:r>
      <w:proofErr w:type="spellEnd"/>
      <w:r w:rsidRPr="00D14DB2">
        <w:rPr>
          <w:sz w:val="24"/>
          <w:szCs w:val="24"/>
        </w:rPr>
        <w:t xml:space="preserve"> anvendes samtidig med stoffer, som udvider venerne ved at påvirke metabolismen eller virkningen af nitrogenoxid (NO). Til disse stoffer hører traditionelle nitrogenoxiddonatorer (f.eks.</w:t>
      </w:r>
      <w:r w:rsidR="007F7A3A">
        <w:rPr>
          <w:sz w:val="24"/>
          <w:szCs w:val="24"/>
        </w:rPr>
        <w:t xml:space="preserve"> </w:t>
      </w:r>
      <w:proofErr w:type="spellStart"/>
      <w:r w:rsidRPr="00D14DB2">
        <w:rPr>
          <w:sz w:val="24"/>
          <w:szCs w:val="24"/>
        </w:rPr>
        <w:t>glyceryltrinitrat</w:t>
      </w:r>
      <w:proofErr w:type="spellEnd"/>
      <w:r w:rsidRPr="00D14DB2">
        <w:rPr>
          <w:sz w:val="24"/>
          <w:szCs w:val="24"/>
        </w:rPr>
        <w:t xml:space="preserve">, </w:t>
      </w:r>
      <w:proofErr w:type="spellStart"/>
      <w:r w:rsidRPr="00D14DB2">
        <w:rPr>
          <w:sz w:val="24"/>
          <w:szCs w:val="24"/>
        </w:rPr>
        <w:t>isosorbiddinitrat</w:t>
      </w:r>
      <w:proofErr w:type="spellEnd"/>
      <w:r w:rsidRPr="00D14DB2">
        <w:rPr>
          <w:sz w:val="24"/>
          <w:szCs w:val="24"/>
        </w:rPr>
        <w:t>, isosorbid-5-mononitrat osv.).</w:t>
      </w:r>
    </w:p>
    <w:p w14:paraId="294ED49E" w14:textId="77777777" w:rsidR="00D14DB2" w:rsidRPr="00D14DB2" w:rsidRDefault="00D14DB2" w:rsidP="00D14DB2">
      <w:pPr>
        <w:tabs>
          <w:tab w:val="left" w:pos="851"/>
        </w:tabs>
        <w:ind w:left="851"/>
        <w:rPr>
          <w:sz w:val="24"/>
          <w:szCs w:val="24"/>
        </w:rPr>
      </w:pPr>
    </w:p>
    <w:p w14:paraId="503F8924" w14:textId="77777777" w:rsidR="00D14DB2" w:rsidRPr="00D14DB2" w:rsidRDefault="00D14DB2" w:rsidP="00D14DB2">
      <w:pPr>
        <w:tabs>
          <w:tab w:val="left" w:pos="851"/>
        </w:tabs>
        <w:ind w:left="851"/>
        <w:rPr>
          <w:sz w:val="24"/>
          <w:szCs w:val="24"/>
        </w:rPr>
      </w:pPr>
      <w:r w:rsidRPr="00D14DB2">
        <w:rPr>
          <w:sz w:val="24"/>
          <w:szCs w:val="24"/>
        </w:rPr>
        <w:t xml:space="preserve">Hvis </w:t>
      </w:r>
      <w:proofErr w:type="spellStart"/>
      <w:r w:rsidRPr="00D14DB2">
        <w:rPr>
          <w:sz w:val="24"/>
          <w:szCs w:val="24"/>
        </w:rPr>
        <w:t>vævsplasminogenaktivatoren</w:t>
      </w:r>
      <w:proofErr w:type="spellEnd"/>
      <w:r w:rsidRPr="00D14DB2">
        <w:rPr>
          <w:sz w:val="24"/>
          <w:szCs w:val="24"/>
        </w:rPr>
        <w:t xml:space="preserve"> (</w:t>
      </w:r>
      <w:proofErr w:type="spellStart"/>
      <w:r w:rsidRPr="00D14DB2">
        <w:rPr>
          <w:sz w:val="24"/>
          <w:szCs w:val="24"/>
        </w:rPr>
        <w:t>tPA</w:t>
      </w:r>
      <w:proofErr w:type="spellEnd"/>
      <w:r w:rsidRPr="00D14DB2">
        <w:rPr>
          <w:sz w:val="24"/>
          <w:szCs w:val="24"/>
        </w:rPr>
        <w:t xml:space="preserve">-infusion) gives intravenøst samtidig med </w:t>
      </w:r>
      <w:proofErr w:type="spellStart"/>
      <w:r w:rsidRPr="00D14DB2">
        <w:rPr>
          <w:sz w:val="24"/>
          <w:szCs w:val="24"/>
        </w:rPr>
        <w:t>glyceryltrinitratinfusionen</w:t>
      </w:r>
      <w:proofErr w:type="spellEnd"/>
      <w:r w:rsidRPr="00D14DB2">
        <w:rPr>
          <w:sz w:val="24"/>
          <w:szCs w:val="24"/>
        </w:rPr>
        <w:t xml:space="preserve">, kan </w:t>
      </w:r>
      <w:proofErr w:type="spellStart"/>
      <w:r w:rsidRPr="00D14DB2">
        <w:rPr>
          <w:sz w:val="24"/>
          <w:szCs w:val="24"/>
        </w:rPr>
        <w:t>tPA's</w:t>
      </w:r>
      <w:proofErr w:type="spellEnd"/>
      <w:r w:rsidRPr="00D14DB2">
        <w:rPr>
          <w:sz w:val="24"/>
          <w:szCs w:val="24"/>
        </w:rPr>
        <w:t xml:space="preserve"> </w:t>
      </w:r>
      <w:proofErr w:type="spellStart"/>
      <w:r w:rsidRPr="00D14DB2">
        <w:rPr>
          <w:sz w:val="24"/>
          <w:szCs w:val="24"/>
        </w:rPr>
        <w:t>plasmaclearance</w:t>
      </w:r>
      <w:proofErr w:type="spellEnd"/>
      <w:r w:rsidRPr="00D14DB2">
        <w:rPr>
          <w:sz w:val="24"/>
          <w:szCs w:val="24"/>
        </w:rPr>
        <w:t xml:space="preserve"> blive fremskyndet på grund af øget </w:t>
      </w:r>
      <w:proofErr w:type="spellStart"/>
      <w:r w:rsidRPr="00D14DB2">
        <w:rPr>
          <w:sz w:val="24"/>
          <w:szCs w:val="24"/>
        </w:rPr>
        <w:t>hepatisk</w:t>
      </w:r>
      <w:proofErr w:type="spellEnd"/>
      <w:r w:rsidRPr="00D14DB2">
        <w:rPr>
          <w:sz w:val="24"/>
          <w:szCs w:val="24"/>
        </w:rPr>
        <w:t xml:space="preserve"> blodgennemstrømning.</w:t>
      </w:r>
    </w:p>
    <w:p w14:paraId="307CF874" w14:textId="77777777" w:rsidR="00D14DB2" w:rsidRPr="00D14DB2" w:rsidRDefault="00D14DB2" w:rsidP="00D14DB2">
      <w:pPr>
        <w:tabs>
          <w:tab w:val="left" w:pos="851"/>
        </w:tabs>
        <w:ind w:left="851"/>
        <w:rPr>
          <w:sz w:val="24"/>
          <w:szCs w:val="24"/>
        </w:rPr>
      </w:pPr>
    </w:p>
    <w:p w14:paraId="455453D4" w14:textId="77777777" w:rsidR="00D14DB2" w:rsidRPr="00D14DB2" w:rsidRDefault="00D14DB2" w:rsidP="00D14DB2">
      <w:pPr>
        <w:tabs>
          <w:tab w:val="left" w:pos="851"/>
        </w:tabs>
        <w:ind w:left="851"/>
        <w:rPr>
          <w:sz w:val="24"/>
          <w:szCs w:val="24"/>
        </w:rPr>
      </w:pPr>
      <w:r w:rsidRPr="00D14DB2">
        <w:rPr>
          <w:sz w:val="24"/>
          <w:szCs w:val="24"/>
        </w:rPr>
        <w:t xml:space="preserve">Anvendelse af </w:t>
      </w:r>
      <w:proofErr w:type="spellStart"/>
      <w:r w:rsidRPr="00D14DB2">
        <w:rPr>
          <w:sz w:val="24"/>
          <w:szCs w:val="24"/>
        </w:rPr>
        <w:t>heparin</w:t>
      </w:r>
      <w:proofErr w:type="spellEnd"/>
      <w:r w:rsidRPr="00D14DB2">
        <w:rPr>
          <w:sz w:val="24"/>
          <w:szCs w:val="24"/>
        </w:rPr>
        <w:t xml:space="preserve"> og </w:t>
      </w:r>
      <w:proofErr w:type="spellStart"/>
      <w:r w:rsidRPr="00D14DB2">
        <w:rPr>
          <w:sz w:val="24"/>
          <w:szCs w:val="24"/>
        </w:rPr>
        <w:t>glyceryltrinitratopløsning</w:t>
      </w:r>
      <w:proofErr w:type="spellEnd"/>
      <w:r w:rsidRPr="00D14DB2">
        <w:rPr>
          <w:sz w:val="24"/>
          <w:szCs w:val="24"/>
        </w:rPr>
        <w:t xml:space="preserve"> kan føre til, at en del af </w:t>
      </w:r>
      <w:proofErr w:type="spellStart"/>
      <w:r w:rsidRPr="00D14DB2">
        <w:rPr>
          <w:sz w:val="24"/>
          <w:szCs w:val="24"/>
        </w:rPr>
        <w:t>heparins</w:t>
      </w:r>
      <w:proofErr w:type="spellEnd"/>
      <w:r w:rsidRPr="00D14DB2">
        <w:rPr>
          <w:sz w:val="24"/>
          <w:szCs w:val="24"/>
        </w:rPr>
        <w:t xml:space="preserve"> virkning går tabt, når begge lægemidler gives intravenøst på samme tid.</w:t>
      </w:r>
    </w:p>
    <w:p w14:paraId="1A995D99" w14:textId="0548941B" w:rsidR="00D14DB2" w:rsidRDefault="00D14DB2">
      <w:pPr>
        <w:rPr>
          <w:sz w:val="24"/>
          <w:szCs w:val="24"/>
        </w:rPr>
      </w:pPr>
      <w:r>
        <w:rPr>
          <w:sz w:val="24"/>
          <w:szCs w:val="24"/>
        </w:rPr>
        <w:br w:type="page"/>
      </w:r>
    </w:p>
    <w:p w14:paraId="4C668FF2" w14:textId="77777777" w:rsidR="009260DE" w:rsidRPr="00C84483" w:rsidRDefault="009260DE" w:rsidP="009260DE">
      <w:pPr>
        <w:tabs>
          <w:tab w:val="left" w:pos="851"/>
        </w:tabs>
        <w:ind w:left="851"/>
        <w:rPr>
          <w:sz w:val="24"/>
          <w:szCs w:val="24"/>
        </w:rPr>
      </w:pPr>
    </w:p>
    <w:p w14:paraId="08A884B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639CEF3A" w14:textId="77777777" w:rsidR="004A04A6" w:rsidRPr="004A04A6" w:rsidRDefault="004A04A6" w:rsidP="004A04A6">
      <w:pPr>
        <w:tabs>
          <w:tab w:val="left" w:pos="851"/>
        </w:tabs>
        <w:ind w:left="851"/>
        <w:rPr>
          <w:sz w:val="24"/>
          <w:szCs w:val="24"/>
        </w:rPr>
      </w:pPr>
    </w:p>
    <w:p w14:paraId="169275F7" w14:textId="77777777" w:rsidR="004A04A6" w:rsidRPr="004A04A6" w:rsidRDefault="004A04A6" w:rsidP="004A04A6">
      <w:pPr>
        <w:tabs>
          <w:tab w:val="left" w:pos="851"/>
        </w:tabs>
        <w:ind w:left="851"/>
        <w:rPr>
          <w:sz w:val="24"/>
          <w:szCs w:val="24"/>
          <w:u w:val="single"/>
        </w:rPr>
      </w:pPr>
      <w:r w:rsidRPr="004A04A6">
        <w:rPr>
          <w:sz w:val="24"/>
          <w:szCs w:val="24"/>
          <w:u w:val="single"/>
        </w:rPr>
        <w:t>Fertilitet</w:t>
      </w:r>
    </w:p>
    <w:p w14:paraId="0BC43BCE" w14:textId="0E021C85" w:rsidR="004A04A6" w:rsidRPr="004A04A6" w:rsidRDefault="004A04A6" w:rsidP="004A04A6">
      <w:pPr>
        <w:tabs>
          <w:tab w:val="left" w:pos="851"/>
        </w:tabs>
        <w:ind w:left="851"/>
        <w:rPr>
          <w:sz w:val="24"/>
          <w:szCs w:val="24"/>
        </w:rPr>
      </w:pPr>
      <w:r w:rsidRPr="004A04A6">
        <w:rPr>
          <w:sz w:val="24"/>
          <w:szCs w:val="24"/>
        </w:rPr>
        <w:t>I reproduktionstoksicitet</w:t>
      </w:r>
      <w:r w:rsidR="007F7A3A">
        <w:rPr>
          <w:sz w:val="24"/>
          <w:szCs w:val="24"/>
        </w:rPr>
        <w:t>s</w:t>
      </w:r>
      <w:r w:rsidRPr="004A04A6">
        <w:rPr>
          <w:sz w:val="24"/>
          <w:szCs w:val="24"/>
        </w:rPr>
        <w:t>studier med rotter og kaniner, hvor forskellige administrationsmåder blev anvendt, blev der ikke påvist nogen virkninger på parring, fertilitet eller generelle reproduktive parametre.</w:t>
      </w:r>
    </w:p>
    <w:p w14:paraId="023714B9" w14:textId="77777777" w:rsidR="004A04A6" w:rsidRPr="004A04A6" w:rsidRDefault="004A04A6" w:rsidP="004A04A6">
      <w:pPr>
        <w:tabs>
          <w:tab w:val="left" w:pos="851"/>
        </w:tabs>
        <w:ind w:left="851"/>
        <w:rPr>
          <w:sz w:val="24"/>
          <w:szCs w:val="24"/>
        </w:rPr>
      </w:pPr>
    </w:p>
    <w:p w14:paraId="1622AA3E" w14:textId="77777777" w:rsidR="004A04A6" w:rsidRPr="004A04A6" w:rsidRDefault="004A04A6" w:rsidP="004A04A6">
      <w:pPr>
        <w:tabs>
          <w:tab w:val="left" w:pos="851"/>
        </w:tabs>
        <w:ind w:left="851"/>
        <w:rPr>
          <w:sz w:val="24"/>
          <w:szCs w:val="24"/>
        </w:rPr>
      </w:pPr>
      <w:r w:rsidRPr="004A04A6">
        <w:rPr>
          <w:sz w:val="24"/>
          <w:szCs w:val="24"/>
        </w:rPr>
        <w:t xml:space="preserve">Der foreligger ingen data vedrørende </w:t>
      </w:r>
      <w:proofErr w:type="spellStart"/>
      <w:r w:rsidRPr="004A04A6">
        <w:rPr>
          <w:sz w:val="24"/>
          <w:szCs w:val="24"/>
        </w:rPr>
        <w:t>glyceryltrinitrats</w:t>
      </w:r>
      <w:proofErr w:type="spellEnd"/>
      <w:r w:rsidRPr="004A04A6">
        <w:rPr>
          <w:sz w:val="24"/>
          <w:szCs w:val="24"/>
        </w:rPr>
        <w:t xml:space="preserve"> indvirkning på menneskers fertilitet.</w:t>
      </w:r>
    </w:p>
    <w:p w14:paraId="4AE9C65F" w14:textId="77777777" w:rsidR="004A04A6" w:rsidRPr="004A04A6" w:rsidRDefault="004A04A6" w:rsidP="004A04A6">
      <w:pPr>
        <w:tabs>
          <w:tab w:val="left" w:pos="851"/>
        </w:tabs>
        <w:ind w:left="851"/>
        <w:rPr>
          <w:sz w:val="24"/>
          <w:szCs w:val="24"/>
          <w:u w:val="single"/>
        </w:rPr>
      </w:pPr>
    </w:p>
    <w:p w14:paraId="056BFDB0" w14:textId="77777777" w:rsidR="004A04A6" w:rsidRPr="004A04A6" w:rsidRDefault="004A04A6" w:rsidP="004A04A6">
      <w:pPr>
        <w:tabs>
          <w:tab w:val="left" w:pos="851"/>
        </w:tabs>
        <w:ind w:left="851"/>
        <w:rPr>
          <w:sz w:val="24"/>
          <w:szCs w:val="24"/>
          <w:u w:val="single"/>
        </w:rPr>
      </w:pPr>
      <w:r w:rsidRPr="004A04A6">
        <w:rPr>
          <w:sz w:val="24"/>
          <w:szCs w:val="24"/>
          <w:u w:val="single"/>
        </w:rPr>
        <w:t>Graviditet</w:t>
      </w:r>
    </w:p>
    <w:p w14:paraId="1AEFEDE1" w14:textId="020CD4D7" w:rsidR="004A04A6" w:rsidRPr="004A04A6" w:rsidRDefault="004A04A6" w:rsidP="004A04A6">
      <w:pPr>
        <w:tabs>
          <w:tab w:val="left" w:pos="851"/>
        </w:tabs>
        <w:ind w:left="851"/>
        <w:rPr>
          <w:sz w:val="24"/>
          <w:szCs w:val="24"/>
        </w:rPr>
      </w:pPr>
      <w:r w:rsidRPr="004A04A6">
        <w:rPr>
          <w:sz w:val="24"/>
          <w:szCs w:val="24"/>
        </w:rPr>
        <w:t>I udviklingstoksicitets</w:t>
      </w:r>
      <w:r w:rsidR="007F7A3A">
        <w:rPr>
          <w:sz w:val="24"/>
          <w:szCs w:val="24"/>
        </w:rPr>
        <w:t>s</w:t>
      </w:r>
      <w:r w:rsidRPr="004A04A6">
        <w:rPr>
          <w:sz w:val="24"/>
          <w:szCs w:val="24"/>
        </w:rPr>
        <w:t>tudier med rotter og kaniner, hvor forskellige administrationsmåder blev anvendt, blev der ikke påvist nogen virkning på embryoer, fostre eller ungdyr, selv ved doser, som var toksiske for hunnen.</w:t>
      </w:r>
    </w:p>
    <w:p w14:paraId="01859946" w14:textId="77777777" w:rsidR="004A04A6" w:rsidRPr="004A04A6" w:rsidRDefault="004A04A6" w:rsidP="004A04A6">
      <w:pPr>
        <w:tabs>
          <w:tab w:val="left" w:pos="851"/>
        </w:tabs>
        <w:ind w:left="851"/>
        <w:rPr>
          <w:sz w:val="24"/>
          <w:szCs w:val="24"/>
        </w:rPr>
      </w:pPr>
    </w:p>
    <w:p w14:paraId="7D55BF4F" w14:textId="63A2791C" w:rsidR="004A04A6" w:rsidRPr="004A04A6" w:rsidRDefault="004A04A6" w:rsidP="004A04A6">
      <w:pPr>
        <w:tabs>
          <w:tab w:val="left" w:pos="851"/>
        </w:tabs>
        <w:ind w:left="851"/>
        <w:rPr>
          <w:sz w:val="24"/>
          <w:szCs w:val="24"/>
        </w:rPr>
      </w:pPr>
      <w:r w:rsidRPr="004A04A6">
        <w:rPr>
          <w:sz w:val="24"/>
          <w:szCs w:val="24"/>
        </w:rPr>
        <w:t xml:space="preserve">I reproduktionstoksicitetsstudier med rotter og kaniner med </w:t>
      </w:r>
      <w:proofErr w:type="spellStart"/>
      <w:r w:rsidRPr="004A04A6">
        <w:rPr>
          <w:sz w:val="24"/>
          <w:szCs w:val="24"/>
        </w:rPr>
        <w:t>topikal</w:t>
      </w:r>
      <w:proofErr w:type="spellEnd"/>
      <w:r w:rsidRPr="004A04A6">
        <w:rPr>
          <w:sz w:val="24"/>
          <w:szCs w:val="24"/>
        </w:rPr>
        <w:t xml:space="preserve"> </w:t>
      </w:r>
      <w:proofErr w:type="spellStart"/>
      <w:r w:rsidRPr="004A04A6">
        <w:rPr>
          <w:sz w:val="24"/>
          <w:szCs w:val="24"/>
        </w:rPr>
        <w:t>glyceryltrinitratsalve</w:t>
      </w:r>
      <w:proofErr w:type="spellEnd"/>
      <w:r w:rsidRPr="004A04A6">
        <w:rPr>
          <w:sz w:val="24"/>
          <w:szCs w:val="24"/>
        </w:rPr>
        <w:t xml:space="preserve"> ved doser på op til henholdsvis 80 mg/kg/dag og 240 mg/kg/dag var der ingen evidens for skadevirkninger af </w:t>
      </w:r>
      <w:proofErr w:type="spellStart"/>
      <w:r w:rsidRPr="004A04A6">
        <w:rPr>
          <w:sz w:val="24"/>
          <w:szCs w:val="24"/>
        </w:rPr>
        <w:t>glyceryltrinitrat</w:t>
      </w:r>
      <w:proofErr w:type="spellEnd"/>
      <w:r w:rsidRPr="004A04A6">
        <w:rPr>
          <w:sz w:val="24"/>
          <w:szCs w:val="24"/>
        </w:rPr>
        <w:t xml:space="preserve"> på fosteret. Der foreligger dog ingen adækvate og velkontrollerede studier hos gravide kvinder.</w:t>
      </w:r>
    </w:p>
    <w:p w14:paraId="5D993255" w14:textId="77777777" w:rsidR="004A04A6" w:rsidRPr="004A04A6" w:rsidRDefault="004A04A6" w:rsidP="004A04A6">
      <w:pPr>
        <w:tabs>
          <w:tab w:val="left" w:pos="851"/>
        </w:tabs>
        <w:ind w:left="851"/>
        <w:rPr>
          <w:sz w:val="24"/>
          <w:szCs w:val="24"/>
        </w:rPr>
      </w:pPr>
    </w:p>
    <w:p w14:paraId="592CDD31" w14:textId="77777777" w:rsidR="004A04A6" w:rsidRPr="004A04A6" w:rsidRDefault="004A04A6" w:rsidP="004A04A6">
      <w:pPr>
        <w:tabs>
          <w:tab w:val="left" w:pos="851"/>
        </w:tabs>
        <w:ind w:left="851"/>
        <w:rPr>
          <w:sz w:val="24"/>
          <w:szCs w:val="24"/>
        </w:rPr>
      </w:pPr>
      <w:r w:rsidRPr="004A04A6">
        <w:rPr>
          <w:sz w:val="24"/>
          <w:szCs w:val="24"/>
        </w:rPr>
        <w:t xml:space="preserve">Da studier med dyr ikke altid kan forudsige responset hos mennesker, bør </w:t>
      </w:r>
      <w:proofErr w:type="spellStart"/>
      <w:r w:rsidRPr="004A04A6">
        <w:rPr>
          <w:sz w:val="24"/>
          <w:szCs w:val="24"/>
        </w:rPr>
        <w:t>glyceryltrinitrat</w:t>
      </w:r>
      <w:proofErr w:type="spellEnd"/>
      <w:r w:rsidRPr="004A04A6">
        <w:rPr>
          <w:sz w:val="24"/>
          <w:szCs w:val="24"/>
        </w:rPr>
        <w:t xml:space="preserve"> kun anvendes under graviditet på tvingende indikation og kun under ordination og kontinuerlig supervision af en læge.</w:t>
      </w:r>
    </w:p>
    <w:p w14:paraId="292E7360" w14:textId="77777777" w:rsidR="004A04A6" w:rsidRPr="004A04A6" w:rsidRDefault="004A04A6" w:rsidP="004A04A6">
      <w:pPr>
        <w:tabs>
          <w:tab w:val="left" w:pos="851"/>
        </w:tabs>
        <w:ind w:left="851"/>
        <w:rPr>
          <w:sz w:val="24"/>
          <w:szCs w:val="24"/>
        </w:rPr>
      </w:pPr>
    </w:p>
    <w:p w14:paraId="760CE3CB" w14:textId="77777777" w:rsidR="004A04A6" w:rsidRPr="004A04A6" w:rsidRDefault="004A04A6" w:rsidP="004A04A6">
      <w:pPr>
        <w:tabs>
          <w:tab w:val="left" w:pos="851"/>
        </w:tabs>
        <w:ind w:left="851"/>
        <w:rPr>
          <w:sz w:val="24"/>
          <w:szCs w:val="24"/>
          <w:u w:val="single"/>
        </w:rPr>
      </w:pPr>
      <w:r w:rsidRPr="004A04A6">
        <w:rPr>
          <w:sz w:val="24"/>
          <w:szCs w:val="24"/>
          <w:u w:val="single"/>
        </w:rPr>
        <w:t>Amning</w:t>
      </w:r>
    </w:p>
    <w:p w14:paraId="678BCC3E" w14:textId="77777777" w:rsidR="004A04A6" w:rsidRPr="004A04A6" w:rsidRDefault="004A04A6" w:rsidP="004A04A6">
      <w:pPr>
        <w:tabs>
          <w:tab w:val="left" w:pos="851"/>
        </w:tabs>
        <w:ind w:left="851"/>
        <w:rPr>
          <w:sz w:val="24"/>
          <w:szCs w:val="24"/>
        </w:rPr>
      </w:pPr>
      <w:r w:rsidRPr="004A04A6">
        <w:rPr>
          <w:sz w:val="24"/>
          <w:szCs w:val="24"/>
        </w:rPr>
        <w:t xml:space="preserve">De tilgængelige oplysninger er ikke entydige og utilstrækkelige til at fastslå risikoen for spædbørn ved anvendelse under amning. Ifølge de foreliggende oplysninger udskilles nitrater i brystmælken og kan forårsage </w:t>
      </w:r>
      <w:proofErr w:type="spellStart"/>
      <w:r w:rsidRPr="004A04A6">
        <w:rPr>
          <w:sz w:val="24"/>
          <w:szCs w:val="24"/>
        </w:rPr>
        <w:t>methæmoglobinæmi</w:t>
      </w:r>
      <w:proofErr w:type="spellEnd"/>
      <w:r w:rsidRPr="004A04A6">
        <w:rPr>
          <w:sz w:val="24"/>
          <w:szCs w:val="24"/>
        </w:rPr>
        <w:t xml:space="preserve"> hos spædbørn. Mængden af </w:t>
      </w:r>
      <w:proofErr w:type="spellStart"/>
      <w:r w:rsidRPr="004A04A6">
        <w:rPr>
          <w:sz w:val="24"/>
          <w:szCs w:val="24"/>
        </w:rPr>
        <w:t>glyceryltrinitrat</w:t>
      </w:r>
      <w:proofErr w:type="spellEnd"/>
      <w:r w:rsidRPr="004A04A6">
        <w:rPr>
          <w:sz w:val="24"/>
          <w:szCs w:val="24"/>
        </w:rPr>
        <w:t>, der udskilles i brystmælken hos mennesker, er ikke klarlagt. En risiko for spædbørn kan ikke udelukkes.</w:t>
      </w:r>
    </w:p>
    <w:p w14:paraId="79275D22" w14:textId="77777777" w:rsidR="004A04A6" w:rsidRPr="004A04A6" w:rsidRDefault="004A04A6" w:rsidP="004A04A6">
      <w:pPr>
        <w:tabs>
          <w:tab w:val="left" w:pos="851"/>
        </w:tabs>
        <w:ind w:left="851"/>
        <w:rPr>
          <w:sz w:val="24"/>
          <w:szCs w:val="24"/>
        </w:rPr>
      </w:pPr>
    </w:p>
    <w:p w14:paraId="762CCFCB" w14:textId="171BD046" w:rsidR="004A04A6" w:rsidRPr="004A04A6" w:rsidRDefault="004A04A6" w:rsidP="004A04A6">
      <w:pPr>
        <w:tabs>
          <w:tab w:val="left" w:pos="851"/>
        </w:tabs>
        <w:ind w:left="851"/>
        <w:rPr>
          <w:sz w:val="24"/>
          <w:szCs w:val="24"/>
        </w:rPr>
      </w:pPr>
      <w:r w:rsidRPr="004A04A6">
        <w:rPr>
          <w:sz w:val="24"/>
          <w:szCs w:val="24"/>
        </w:rPr>
        <w:t>Det skal besluttes, om amningen skal stoppes, eller behandlingen med Nitroglycerin "</w:t>
      </w:r>
      <w:proofErr w:type="spellStart"/>
      <w:r w:rsidR="00BE4AB6">
        <w:rPr>
          <w:sz w:val="24"/>
          <w:szCs w:val="24"/>
        </w:rPr>
        <w:t>Macure</w:t>
      </w:r>
      <w:proofErr w:type="spellEnd"/>
      <w:r w:rsidRPr="004A04A6">
        <w:rPr>
          <w:sz w:val="24"/>
          <w:szCs w:val="24"/>
        </w:rPr>
        <w:t>" skal seponeres, ved at afveje fordelene for barnet ved amning og fordelene ved behandling for moren.</w:t>
      </w:r>
    </w:p>
    <w:p w14:paraId="3E7926BA" w14:textId="77777777" w:rsidR="009260DE" w:rsidRPr="00C84483" w:rsidRDefault="009260DE" w:rsidP="009260DE">
      <w:pPr>
        <w:tabs>
          <w:tab w:val="left" w:pos="851"/>
        </w:tabs>
        <w:ind w:left="851"/>
        <w:rPr>
          <w:sz w:val="24"/>
          <w:szCs w:val="24"/>
        </w:rPr>
      </w:pPr>
    </w:p>
    <w:p w14:paraId="48CF8E14"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1191B76" w14:textId="4C468797" w:rsidR="00842031" w:rsidRPr="00842031" w:rsidRDefault="007E75D0" w:rsidP="00842031">
      <w:pPr>
        <w:tabs>
          <w:tab w:val="left" w:pos="851"/>
        </w:tabs>
        <w:ind w:left="851"/>
        <w:rPr>
          <w:sz w:val="24"/>
          <w:szCs w:val="24"/>
        </w:rPr>
      </w:pPr>
      <w:r>
        <w:rPr>
          <w:sz w:val="24"/>
          <w:szCs w:val="24"/>
        </w:rPr>
        <w:t>Ikke mærkning.</w:t>
      </w:r>
    </w:p>
    <w:p w14:paraId="2B3F5B87" w14:textId="77777777" w:rsidR="00842031" w:rsidRPr="00842031" w:rsidRDefault="00842031" w:rsidP="00842031">
      <w:pPr>
        <w:tabs>
          <w:tab w:val="left" w:pos="851"/>
        </w:tabs>
        <w:ind w:left="851"/>
        <w:rPr>
          <w:sz w:val="24"/>
          <w:szCs w:val="24"/>
        </w:rPr>
      </w:pPr>
      <w:proofErr w:type="spellStart"/>
      <w:r w:rsidRPr="00842031">
        <w:rPr>
          <w:sz w:val="24"/>
          <w:szCs w:val="24"/>
        </w:rPr>
        <w:t>Glyceryltrinitrat</w:t>
      </w:r>
      <w:proofErr w:type="spellEnd"/>
      <w:r w:rsidRPr="00842031">
        <w:rPr>
          <w:sz w:val="24"/>
          <w:szCs w:val="24"/>
        </w:rPr>
        <w:t xml:space="preserve"> kan påvirke patientens reaktionsevne i en grad, så evnen til at føre motorkøretøj eller betjene maskiner er nedsat. Denne virkning forstærkes af alkohol.</w:t>
      </w:r>
    </w:p>
    <w:p w14:paraId="22903396" w14:textId="77777777" w:rsidR="009260DE" w:rsidRPr="00C84483" w:rsidRDefault="009260DE" w:rsidP="009260DE">
      <w:pPr>
        <w:tabs>
          <w:tab w:val="left" w:pos="851"/>
        </w:tabs>
        <w:ind w:left="851"/>
        <w:rPr>
          <w:sz w:val="24"/>
          <w:szCs w:val="24"/>
        </w:rPr>
      </w:pPr>
    </w:p>
    <w:p w14:paraId="1117CAB3"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D2D40BD" w14:textId="26C9FFDF" w:rsidR="00A440FC" w:rsidRDefault="00A440FC" w:rsidP="00A440FC">
      <w:pPr>
        <w:tabs>
          <w:tab w:val="left" w:pos="851"/>
        </w:tabs>
        <w:ind w:left="851"/>
        <w:rPr>
          <w:sz w:val="24"/>
          <w:szCs w:val="24"/>
        </w:rPr>
      </w:pPr>
      <w:r w:rsidRPr="00A440FC">
        <w:rPr>
          <w:sz w:val="24"/>
          <w:szCs w:val="24"/>
        </w:rPr>
        <w:t xml:space="preserve">Der er observeret følgende bivirkninger under administration af </w:t>
      </w:r>
      <w:proofErr w:type="spellStart"/>
      <w:r w:rsidRPr="00A440FC">
        <w:rPr>
          <w:sz w:val="24"/>
          <w:szCs w:val="24"/>
        </w:rPr>
        <w:t>glyceryltrinitrat</w:t>
      </w:r>
      <w:proofErr w:type="spellEnd"/>
      <w:r w:rsidRPr="00A440FC">
        <w:rPr>
          <w:sz w:val="24"/>
          <w:szCs w:val="24"/>
        </w:rPr>
        <w:t>:</w:t>
      </w:r>
    </w:p>
    <w:p w14:paraId="2E69C65C" w14:textId="2AEB81AD" w:rsidR="00E4780B" w:rsidRDefault="00E4780B" w:rsidP="00A440FC">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978"/>
        <w:gridCol w:w="1221"/>
        <w:gridCol w:w="1452"/>
        <w:gridCol w:w="1443"/>
        <w:gridCol w:w="1168"/>
        <w:gridCol w:w="1585"/>
      </w:tblGrid>
      <w:tr w:rsidR="00E4780B" w14:paraId="7FC604F5"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53CD9A10" w14:textId="65F77CF0" w:rsidR="00E4780B" w:rsidRDefault="00E4780B">
            <w:pPr>
              <w:rPr>
                <w:sz w:val="22"/>
                <w:szCs w:val="22"/>
              </w:rPr>
            </w:pPr>
            <w:r>
              <w:rPr>
                <w:b/>
                <w:sz w:val="20"/>
              </w:rPr>
              <w:t>Systemorgan-klasse</w:t>
            </w:r>
          </w:p>
        </w:tc>
        <w:tc>
          <w:tcPr>
            <w:tcW w:w="514" w:type="pct"/>
            <w:tcBorders>
              <w:top w:val="single" w:sz="4" w:space="0" w:color="auto"/>
              <w:left w:val="single" w:sz="4" w:space="0" w:color="auto"/>
              <w:bottom w:val="single" w:sz="4" w:space="0" w:color="auto"/>
              <w:right w:val="single" w:sz="4" w:space="0" w:color="auto"/>
            </w:tcBorders>
            <w:hideMark/>
          </w:tcPr>
          <w:p w14:paraId="119C3254" w14:textId="6280FAB2" w:rsidR="00E4780B" w:rsidRDefault="00E4780B">
            <w:pPr>
              <w:rPr>
                <w:b/>
                <w:sz w:val="20"/>
              </w:rPr>
            </w:pPr>
            <w:r>
              <w:rPr>
                <w:b/>
                <w:sz w:val="20"/>
              </w:rPr>
              <w:t xml:space="preserve">Meget </w:t>
            </w:r>
            <w:proofErr w:type="spellStart"/>
            <w:r>
              <w:rPr>
                <w:b/>
                <w:sz w:val="20"/>
              </w:rPr>
              <w:t>alminde-lig</w:t>
            </w:r>
            <w:proofErr w:type="spellEnd"/>
          </w:p>
          <w:p w14:paraId="3043842D" w14:textId="77777777" w:rsidR="00E4780B" w:rsidRDefault="00E4780B">
            <w:pPr>
              <w:rPr>
                <w:sz w:val="20"/>
              </w:rPr>
            </w:pPr>
            <w:r>
              <w:rPr>
                <w:sz w:val="20"/>
              </w:rPr>
              <w:t>(≥1/10)</w:t>
            </w:r>
          </w:p>
        </w:tc>
        <w:tc>
          <w:tcPr>
            <w:tcW w:w="640" w:type="pct"/>
            <w:tcBorders>
              <w:top w:val="single" w:sz="4" w:space="0" w:color="auto"/>
              <w:left w:val="single" w:sz="4" w:space="0" w:color="auto"/>
              <w:bottom w:val="single" w:sz="4" w:space="0" w:color="auto"/>
              <w:right w:val="single" w:sz="4" w:space="0" w:color="auto"/>
            </w:tcBorders>
            <w:hideMark/>
          </w:tcPr>
          <w:p w14:paraId="29328D03" w14:textId="77777777" w:rsidR="00E4780B" w:rsidRDefault="00E4780B">
            <w:pPr>
              <w:rPr>
                <w:b/>
                <w:sz w:val="20"/>
              </w:rPr>
            </w:pPr>
            <w:r>
              <w:rPr>
                <w:b/>
                <w:sz w:val="20"/>
              </w:rPr>
              <w:t>Almindelig</w:t>
            </w:r>
          </w:p>
          <w:p w14:paraId="13587DB1" w14:textId="77777777" w:rsidR="00E4780B" w:rsidRDefault="00E4780B">
            <w:pPr>
              <w:rPr>
                <w:sz w:val="20"/>
              </w:rPr>
            </w:pPr>
            <w:r>
              <w:rPr>
                <w:sz w:val="20"/>
              </w:rPr>
              <w:t>(≥1/100 til &lt;1/10)</w:t>
            </w:r>
          </w:p>
        </w:tc>
        <w:tc>
          <w:tcPr>
            <w:tcW w:w="760" w:type="pct"/>
            <w:tcBorders>
              <w:top w:val="single" w:sz="4" w:space="0" w:color="auto"/>
              <w:left w:val="single" w:sz="4" w:space="0" w:color="auto"/>
              <w:bottom w:val="single" w:sz="4" w:space="0" w:color="auto"/>
              <w:right w:val="single" w:sz="4" w:space="0" w:color="auto"/>
            </w:tcBorders>
            <w:hideMark/>
          </w:tcPr>
          <w:p w14:paraId="44DA9B5C" w14:textId="77777777" w:rsidR="00E4780B" w:rsidRDefault="00E4780B">
            <w:pPr>
              <w:rPr>
                <w:b/>
                <w:sz w:val="20"/>
              </w:rPr>
            </w:pPr>
            <w:r>
              <w:rPr>
                <w:b/>
                <w:sz w:val="20"/>
              </w:rPr>
              <w:t>Ikke almindelig</w:t>
            </w:r>
          </w:p>
          <w:p w14:paraId="1186EAC5" w14:textId="77777777" w:rsidR="00E4780B" w:rsidRDefault="00E4780B">
            <w:pPr>
              <w:rPr>
                <w:sz w:val="20"/>
              </w:rPr>
            </w:pPr>
            <w:r>
              <w:rPr>
                <w:sz w:val="20"/>
              </w:rPr>
              <w:t>(≥1/1 000 til &lt;1/100)&gt;)</w:t>
            </w:r>
          </w:p>
        </w:tc>
        <w:tc>
          <w:tcPr>
            <w:tcW w:w="755" w:type="pct"/>
            <w:tcBorders>
              <w:top w:val="single" w:sz="4" w:space="0" w:color="auto"/>
              <w:left w:val="single" w:sz="4" w:space="0" w:color="auto"/>
              <w:bottom w:val="single" w:sz="4" w:space="0" w:color="auto"/>
              <w:right w:val="single" w:sz="4" w:space="0" w:color="auto"/>
            </w:tcBorders>
            <w:hideMark/>
          </w:tcPr>
          <w:p w14:paraId="7FE952F1" w14:textId="77777777" w:rsidR="00E4780B" w:rsidRDefault="00E4780B">
            <w:pPr>
              <w:rPr>
                <w:b/>
                <w:sz w:val="20"/>
              </w:rPr>
            </w:pPr>
            <w:r>
              <w:rPr>
                <w:b/>
                <w:sz w:val="20"/>
              </w:rPr>
              <w:t>Sjælden</w:t>
            </w:r>
          </w:p>
          <w:p w14:paraId="351FDD6A" w14:textId="77777777" w:rsidR="00E4780B" w:rsidRDefault="00E4780B">
            <w:pPr>
              <w:rPr>
                <w:sz w:val="20"/>
              </w:rPr>
            </w:pPr>
            <w:r>
              <w:rPr>
                <w:sz w:val="20"/>
              </w:rPr>
              <w:t>(≥1/10 000 til &lt;1/1 000)</w:t>
            </w:r>
          </w:p>
        </w:tc>
        <w:tc>
          <w:tcPr>
            <w:tcW w:w="571" w:type="pct"/>
            <w:tcBorders>
              <w:top w:val="single" w:sz="4" w:space="0" w:color="auto"/>
              <w:left w:val="single" w:sz="4" w:space="0" w:color="auto"/>
              <w:bottom w:val="single" w:sz="4" w:space="0" w:color="auto"/>
              <w:right w:val="single" w:sz="4" w:space="0" w:color="auto"/>
            </w:tcBorders>
            <w:hideMark/>
          </w:tcPr>
          <w:p w14:paraId="227DFAB6" w14:textId="77777777" w:rsidR="00E4780B" w:rsidRDefault="00E4780B">
            <w:pPr>
              <w:rPr>
                <w:b/>
                <w:sz w:val="20"/>
              </w:rPr>
            </w:pPr>
            <w:r>
              <w:rPr>
                <w:b/>
                <w:sz w:val="20"/>
              </w:rPr>
              <w:t>Meget sjælden</w:t>
            </w:r>
          </w:p>
          <w:p w14:paraId="5607CB5E" w14:textId="77777777" w:rsidR="00E4780B" w:rsidRDefault="00E4780B">
            <w:pPr>
              <w:rPr>
                <w:sz w:val="20"/>
              </w:rPr>
            </w:pPr>
            <w:r>
              <w:rPr>
                <w:sz w:val="20"/>
              </w:rPr>
              <w:t>(&lt;1/10 000)</w:t>
            </w:r>
          </w:p>
        </w:tc>
        <w:tc>
          <w:tcPr>
            <w:tcW w:w="829" w:type="pct"/>
            <w:tcBorders>
              <w:top w:val="single" w:sz="4" w:space="0" w:color="auto"/>
              <w:left w:val="single" w:sz="4" w:space="0" w:color="auto"/>
              <w:bottom w:val="single" w:sz="4" w:space="0" w:color="auto"/>
              <w:right w:val="single" w:sz="4" w:space="0" w:color="auto"/>
            </w:tcBorders>
            <w:hideMark/>
          </w:tcPr>
          <w:p w14:paraId="0411B848" w14:textId="77777777" w:rsidR="00E4780B" w:rsidRDefault="00E4780B">
            <w:pPr>
              <w:rPr>
                <w:b/>
                <w:sz w:val="20"/>
              </w:rPr>
            </w:pPr>
            <w:r>
              <w:rPr>
                <w:b/>
                <w:sz w:val="20"/>
              </w:rPr>
              <w:t>Ikke kendt</w:t>
            </w:r>
          </w:p>
          <w:p w14:paraId="36D7618C" w14:textId="77777777" w:rsidR="00E4780B" w:rsidRDefault="00E4780B">
            <w:pPr>
              <w:rPr>
                <w:sz w:val="20"/>
              </w:rPr>
            </w:pPr>
            <w:r>
              <w:rPr>
                <w:sz w:val="20"/>
              </w:rPr>
              <w:t>(kan ikke estimeres ud fra forhåndenværende data)</w:t>
            </w:r>
          </w:p>
        </w:tc>
      </w:tr>
      <w:tr w:rsidR="00E4780B" w14:paraId="0F15545F"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6AB927AF" w14:textId="77777777" w:rsidR="00E4780B" w:rsidRDefault="00E4780B">
            <w:pPr>
              <w:rPr>
                <w:sz w:val="22"/>
                <w:szCs w:val="22"/>
              </w:rPr>
            </w:pPr>
            <w:r>
              <w:rPr>
                <w:sz w:val="20"/>
              </w:rPr>
              <w:t>Psykiske forstyrrelser</w:t>
            </w:r>
          </w:p>
        </w:tc>
        <w:tc>
          <w:tcPr>
            <w:tcW w:w="514" w:type="pct"/>
            <w:tcBorders>
              <w:top w:val="single" w:sz="4" w:space="0" w:color="auto"/>
              <w:left w:val="single" w:sz="4" w:space="0" w:color="auto"/>
              <w:bottom w:val="single" w:sz="4" w:space="0" w:color="auto"/>
              <w:right w:val="single" w:sz="4" w:space="0" w:color="auto"/>
            </w:tcBorders>
          </w:tcPr>
          <w:p w14:paraId="5C344801"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5CBB29A0" w14:textId="77777777" w:rsidR="00E4780B" w:rsidRDefault="00E4780B">
            <w:pPr>
              <w:rPr>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1338C21C" w14:textId="77777777" w:rsidR="00E4780B" w:rsidRDefault="00E4780B">
            <w:pPr>
              <w:rPr>
                <w:szCs w:val="22"/>
                <w:lang w:val="en-GB"/>
              </w:rPr>
            </w:pPr>
          </w:p>
        </w:tc>
        <w:tc>
          <w:tcPr>
            <w:tcW w:w="755" w:type="pct"/>
            <w:tcBorders>
              <w:top w:val="single" w:sz="4" w:space="0" w:color="auto"/>
              <w:left w:val="single" w:sz="4" w:space="0" w:color="auto"/>
              <w:bottom w:val="single" w:sz="4" w:space="0" w:color="auto"/>
              <w:right w:val="single" w:sz="4" w:space="0" w:color="auto"/>
            </w:tcBorders>
            <w:hideMark/>
          </w:tcPr>
          <w:p w14:paraId="037B5DA1" w14:textId="77777777" w:rsidR="00E4780B" w:rsidRDefault="00E4780B">
            <w:pPr>
              <w:rPr>
                <w:szCs w:val="22"/>
              </w:rPr>
            </w:pPr>
            <w:r>
              <w:rPr>
                <w:sz w:val="20"/>
              </w:rPr>
              <w:t>rastløshed</w:t>
            </w:r>
          </w:p>
        </w:tc>
        <w:tc>
          <w:tcPr>
            <w:tcW w:w="571" w:type="pct"/>
            <w:tcBorders>
              <w:top w:val="single" w:sz="4" w:space="0" w:color="auto"/>
              <w:left w:val="single" w:sz="4" w:space="0" w:color="auto"/>
              <w:bottom w:val="single" w:sz="4" w:space="0" w:color="auto"/>
              <w:right w:val="single" w:sz="4" w:space="0" w:color="auto"/>
            </w:tcBorders>
          </w:tcPr>
          <w:p w14:paraId="2EC39878"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tcPr>
          <w:p w14:paraId="20BD092A" w14:textId="77777777" w:rsidR="00E4780B" w:rsidRDefault="00E4780B">
            <w:pPr>
              <w:rPr>
                <w:szCs w:val="22"/>
                <w:lang w:val="en-GB"/>
              </w:rPr>
            </w:pPr>
          </w:p>
        </w:tc>
      </w:tr>
      <w:tr w:rsidR="00E4780B" w14:paraId="4C7C532A"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40527842" w14:textId="77777777" w:rsidR="00E4780B" w:rsidRDefault="00E4780B">
            <w:pPr>
              <w:rPr>
                <w:szCs w:val="22"/>
              </w:rPr>
            </w:pPr>
            <w:r>
              <w:rPr>
                <w:sz w:val="20"/>
              </w:rPr>
              <w:t>Nervesystemet</w:t>
            </w:r>
          </w:p>
        </w:tc>
        <w:tc>
          <w:tcPr>
            <w:tcW w:w="514" w:type="pct"/>
            <w:tcBorders>
              <w:top w:val="single" w:sz="4" w:space="0" w:color="auto"/>
              <w:left w:val="single" w:sz="4" w:space="0" w:color="auto"/>
              <w:bottom w:val="single" w:sz="4" w:space="0" w:color="auto"/>
              <w:right w:val="single" w:sz="4" w:space="0" w:color="auto"/>
            </w:tcBorders>
            <w:hideMark/>
          </w:tcPr>
          <w:p w14:paraId="36DC5B36" w14:textId="77777777" w:rsidR="00E4780B" w:rsidRDefault="00E4780B">
            <w:pPr>
              <w:rPr>
                <w:szCs w:val="22"/>
              </w:rPr>
            </w:pPr>
            <w:r>
              <w:rPr>
                <w:sz w:val="20"/>
              </w:rPr>
              <w:t>hovedpine</w:t>
            </w:r>
          </w:p>
        </w:tc>
        <w:tc>
          <w:tcPr>
            <w:tcW w:w="640" w:type="pct"/>
            <w:tcBorders>
              <w:top w:val="single" w:sz="4" w:space="0" w:color="auto"/>
              <w:left w:val="single" w:sz="4" w:space="0" w:color="auto"/>
              <w:bottom w:val="single" w:sz="4" w:space="0" w:color="auto"/>
              <w:right w:val="single" w:sz="4" w:space="0" w:color="auto"/>
            </w:tcBorders>
            <w:hideMark/>
          </w:tcPr>
          <w:p w14:paraId="3EA3FB49" w14:textId="77777777" w:rsidR="00E4780B" w:rsidRDefault="00E4780B">
            <w:pPr>
              <w:rPr>
                <w:szCs w:val="22"/>
              </w:rPr>
            </w:pPr>
            <w:r>
              <w:rPr>
                <w:sz w:val="20"/>
              </w:rPr>
              <w:t xml:space="preserve">svimmelhed (inklusive </w:t>
            </w:r>
            <w:proofErr w:type="spellStart"/>
            <w:r>
              <w:rPr>
                <w:sz w:val="20"/>
              </w:rPr>
              <w:t>postural</w:t>
            </w:r>
            <w:proofErr w:type="spellEnd"/>
            <w:r>
              <w:rPr>
                <w:sz w:val="20"/>
              </w:rPr>
              <w:t xml:space="preserve"> svimmelhed), døsighed</w:t>
            </w:r>
          </w:p>
        </w:tc>
        <w:tc>
          <w:tcPr>
            <w:tcW w:w="760" w:type="pct"/>
            <w:tcBorders>
              <w:top w:val="single" w:sz="4" w:space="0" w:color="auto"/>
              <w:left w:val="single" w:sz="4" w:space="0" w:color="auto"/>
              <w:bottom w:val="single" w:sz="4" w:space="0" w:color="auto"/>
              <w:right w:val="single" w:sz="4" w:space="0" w:color="auto"/>
            </w:tcBorders>
          </w:tcPr>
          <w:p w14:paraId="33EC031A" w14:textId="77777777" w:rsidR="00E4780B" w:rsidRDefault="00E4780B">
            <w:pPr>
              <w:rPr>
                <w:szCs w:val="22"/>
              </w:rPr>
            </w:pPr>
          </w:p>
        </w:tc>
        <w:tc>
          <w:tcPr>
            <w:tcW w:w="755" w:type="pct"/>
            <w:tcBorders>
              <w:top w:val="single" w:sz="4" w:space="0" w:color="auto"/>
              <w:left w:val="single" w:sz="4" w:space="0" w:color="auto"/>
              <w:bottom w:val="single" w:sz="4" w:space="0" w:color="auto"/>
              <w:right w:val="single" w:sz="4" w:space="0" w:color="auto"/>
            </w:tcBorders>
            <w:hideMark/>
          </w:tcPr>
          <w:p w14:paraId="003FBF49" w14:textId="77777777" w:rsidR="00E4780B" w:rsidRDefault="00E4780B">
            <w:pPr>
              <w:rPr>
                <w:szCs w:val="22"/>
              </w:rPr>
            </w:pPr>
            <w:r>
              <w:rPr>
                <w:sz w:val="20"/>
              </w:rPr>
              <w:t>synkope</w:t>
            </w:r>
          </w:p>
        </w:tc>
        <w:tc>
          <w:tcPr>
            <w:tcW w:w="571" w:type="pct"/>
            <w:tcBorders>
              <w:top w:val="single" w:sz="4" w:space="0" w:color="auto"/>
              <w:left w:val="single" w:sz="4" w:space="0" w:color="auto"/>
              <w:bottom w:val="single" w:sz="4" w:space="0" w:color="auto"/>
              <w:right w:val="single" w:sz="4" w:space="0" w:color="auto"/>
            </w:tcBorders>
          </w:tcPr>
          <w:p w14:paraId="289A07E5"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tcPr>
          <w:p w14:paraId="382DB4C2" w14:textId="77777777" w:rsidR="00E4780B" w:rsidRDefault="00E4780B">
            <w:pPr>
              <w:rPr>
                <w:szCs w:val="22"/>
                <w:lang w:val="en-GB"/>
              </w:rPr>
            </w:pPr>
          </w:p>
        </w:tc>
      </w:tr>
      <w:tr w:rsidR="00E4780B" w14:paraId="483D0BE3"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588F402F" w14:textId="77777777" w:rsidR="00E4780B" w:rsidRDefault="00E4780B">
            <w:pPr>
              <w:rPr>
                <w:szCs w:val="22"/>
              </w:rPr>
            </w:pPr>
            <w:r>
              <w:rPr>
                <w:sz w:val="20"/>
              </w:rPr>
              <w:t>Øjne</w:t>
            </w:r>
          </w:p>
        </w:tc>
        <w:tc>
          <w:tcPr>
            <w:tcW w:w="514" w:type="pct"/>
            <w:tcBorders>
              <w:top w:val="single" w:sz="4" w:space="0" w:color="auto"/>
              <w:left w:val="single" w:sz="4" w:space="0" w:color="auto"/>
              <w:bottom w:val="single" w:sz="4" w:space="0" w:color="auto"/>
              <w:right w:val="single" w:sz="4" w:space="0" w:color="auto"/>
            </w:tcBorders>
          </w:tcPr>
          <w:p w14:paraId="0A9E2152"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6F70FCE2" w14:textId="77777777" w:rsidR="00E4780B" w:rsidRDefault="00E4780B">
            <w:pPr>
              <w:rPr>
                <w:szCs w:val="22"/>
                <w:lang w:val="en-GB"/>
              </w:rPr>
            </w:pPr>
          </w:p>
        </w:tc>
        <w:tc>
          <w:tcPr>
            <w:tcW w:w="760" w:type="pct"/>
            <w:tcBorders>
              <w:top w:val="single" w:sz="4" w:space="0" w:color="auto"/>
              <w:left w:val="single" w:sz="4" w:space="0" w:color="auto"/>
              <w:bottom w:val="single" w:sz="4" w:space="0" w:color="auto"/>
              <w:right w:val="single" w:sz="4" w:space="0" w:color="auto"/>
            </w:tcBorders>
          </w:tcPr>
          <w:p w14:paraId="5CA26FD9" w14:textId="77777777" w:rsidR="00E4780B" w:rsidRDefault="00E4780B">
            <w:pPr>
              <w:rPr>
                <w:szCs w:val="22"/>
                <w:lang w:val="en-GB"/>
              </w:rPr>
            </w:pPr>
          </w:p>
        </w:tc>
        <w:tc>
          <w:tcPr>
            <w:tcW w:w="755" w:type="pct"/>
            <w:tcBorders>
              <w:top w:val="single" w:sz="4" w:space="0" w:color="auto"/>
              <w:left w:val="single" w:sz="4" w:space="0" w:color="auto"/>
              <w:bottom w:val="single" w:sz="4" w:space="0" w:color="auto"/>
              <w:right w:val="single" w:sz="4" w:space="0" w:color="auto"/>
            </w:tcBorders>
            <w:hideMark/>
          </w:tcPr>
          <w:p w14:paraId="5EA9BA83" w14:textId="77777777" w:rsidR="00E4780B" w:rsidRDefault="00E4780B">
            <w:pPr>
              <w:rPr>
                <w:szCs w:val="22"/>
              </w:rPr>
            </w:pPr>
            <w:r>
              <w:rPr>
                <w:sz w:val="20"/>
              </w:rPr>
              <w:t>synsforstyrrelser</w:t>
            </w:r>
          </w:p>
        </w:tc>
        <w:tc>
          <w:tcPr>
            <w:tcW w:w="571" w:type="pct"/>
            <w:tcBorders>
              <w:top w:val="single" w:sz="4" w:space="0" w:color="auto"/>
              <w:left w:val="single" w:sz="4" w:space="0" w:color="auto"/>
              <w:bottom w:val="single" w:sz="4" w:space="0" w:color="auto"/>
              <w:right w:val="single" w:sz="4" w:space="0" w:color="auto"/>
            </w:tcBorders>
          </w:tcPr>
          <w:p w14:paraId="306515E6"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tcPr>
          <w:p w14:paraId="3105D805" w14:textId="77777777" w:rsidR="00E4780B" w:rsidRDefault="00E4780B">
            <w:pPr>
              <w:rPr>
                <w:szCs w:val="22"/>
                <w:lang w:val="en-GB"/>
              </w:rPr>
            </w:pPr>
          </w:p>
        </w:tc>
      </w:tr>
      <w:tr w:rsidR="00E4780B" w14:paraId="6E000BAB"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68FDD5A9" w14:textId="77777777" w:rsidR="00E4780B" w:rsidRDefault="00E4780B">
            <w:pPr>
              <w:rPr>
                <w:szCs w:val="22"/>
              </w:rPr>
            </w:pPr>
            <w:r>
              <w:rPr>
                <w:sz w:val="20"/>
              </w:rPr>
              <w:t>Hjerte</w:t>
            </w:r>
          </w:p>
        </w:tc>
        <w:tc>
          <w:tcPr>
            <w:tcW w:w="514" w:type="pct"/>
            <w:tcBorders>
              <w:top w:val="single" w:sz="4" w:space="0" w:color="auto"/>
              <w:left w:val="single" w:sz="4" w:space="0" w:color="auto"/>
              <w:bottom w:val="single" w:sz="4" w:space="0" w:color="auto"/>
              <w:right w:val="single" w:sz="4" w:space="0" w:color="auto"/>
            </w:tcBorders>
          </w:tcPr>
          <w:p w14:paraId="6CFA9832"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hideMark/>
          </w:tcPr>
          <w:p w14:paraId="64ADB444" w14:textId="77777777" w:rsidR="00E4780B" w:rsidRDefault="00E4780B">
            <w:pPr>
              <w:rPr>
                <w:szCs w:val="22"/>
              </w:rPr>
            </w:pPr>
            <w:proofErr w:type="spellStart"/>
            <w:r>
              <w:rPr>
                <w:sz w:val="20"/>
              </w:rPr>
              <w:t>takykardi</w:t>
            </w:r>
            <w:proofErr w:type="spellEnd"/>
          </w:p>
        </w:tc>
        <w:tc>
          <w:tcPr>
            <w:tcW w:w="760" w:type="pct"/>
            <w:tcBorders>
              <w:top w:val="single" w:sz="4" w:space="0" w:color="auto"/>
              <w:left w:val="single" w:sz="4" w:space="0" w:color="auto"/>
              <w:bottom w:val="single" w:sz="4" w:space="0" w:color="auto"/>
              <w:right w:val="single" w:sz="4" w:space="0" w:color="auto"/>
            </w:tcBorders>
            <w:hideMark/>
          </w:tcPr>
          <w:p w14:paraId="76E98983" w14:textId="77777777" w:rsidR="00E4780B" w:rsidRDefault="00E4780B">
            <w:pPr>
              <w:rPr>
                <w:szCs w:val="22"/>
              </w:rPr>
            </w:pPr>
            <w:r>
              <w:rPr>
                <w:sz w:val="20"/>
              </w:rPr>
              <w:t xml:space="preserve">forstærkede </w:t>
            </w:r>
            <w:r>
              <w:rPr>
                <w:i/>
                <w:sz w:val="20"/>
              </w:rPr>
              <w:t>angina pectoris</w:t>
            </w:r>
            <w:r>
              <w:rPr>
                <w:sz w:val="20"/>
              </w:rPr>
              <w:t>-symptomer</w:t>
            </w:r>
          </w:p>
        </w:tc>
        <w:tc>
          <w:tcPr>
            <w:tcW w:w="755" w:type="pct"/>
            <w:tcBorders>
              <w:top w:val="single" w:sz="4" w:space="0" w:color="auto"/>
              <w:left w:val="single" w:sz="4" w:space="0" w:color="auto"/>
              <w:bottom w:val="single" w:sz="4" w:space="0" w:color="auto"/>
              <w:right w:val="single" w:sz="4" w:space="0" w:color="auto"/>
            </w:tcBorders>
          </w:tcPr>
          <w:p w14:paraId="784D6D9C" w14:textId="77777777" w:rsidR="00E4780B" w:rsidRDefault="00E4780B">
            <w:pPr>
              <w:rPr>
                <w:szCs w:val="22"/>
                <w:lang w:val="en-GB"/>
              </w:rPr>
            </w:pPr>
          </w:p>
        </w:tc>
        <w:tc>
          <w:tcPr>
            <w:tcW w:w="571" w:type="pct"/>
            <w:tcBorders>
              <w:top w:val="single" w:sz="4" w:space="0" w:color="auto"/>
              <w:left w:val="single" w:sz="4" w:space="0" w:color="auto"/>
              <w:bottom w:val="single" w:sz="4" w:space="0" w:color="auto"/>
              <w:right w:val="single" w:sz="4" w:space="0" w:color="auto"/>
            </w:tcBorders>
          </w:tcPr>
          <w:p w14:paraId="4D72DFCC"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hideMark/>
          </w:tcPr>
          <w:p w14:paraId="4B008520" w14:textId="77777777" w:rsidR="00E4780B" w:rsidRDefault="00E4780B">
            <w:pPr>
              <w:rPr>
                <w:szCs w:val="22"/>
              </w:rPr>
            </w:pPr>
            <w:proofErr w:type="spellStart"/>
            <w:r>
              <w:rPr>
                <w:sz w:val="20"/>
              </w:rPr>
              <w:t>palpitation</w:t>
            </w:r>
            <w:proofErr w:type="spellEnd"/>
          </w:p>
        </w:tc>
      </w:tr>
      <w:tr w:rsidR="00E4780B" w14:paraId="1621D614"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12CC804E" w14:textId="77777777" w:rsidR="00E4780B" w:rsidRDefault="00E4780B">
            <w:pPr>
              <w:rPr>
                <w:szCs w:val="22"/>
              </w:rPr>
            </w:pPr>
            <w:proofErr w:type="spellStart"/>
            <w:r>
              <w:rPr>
                <w:sz w:val="20"/>
              </w:rPr>
              <w:t>Vaskulære</w:t>
            </w:r>
            <w:proofErr w:type="spellEnd"/>
            <w:r>
              <w:rPr>
                <w:sz w:val="20"/>
              </w:rPr>
              <w:t xml:space="preserve"> sygdomme</w:t>
            </w:r>
          </w:p>
        </w:tc>
        <w:tc>
          <w:tcPr>
            <w:tcW w:w="514" w:type="pct"/>
            <w:tcBorders>
              <w:top w:val="single" w:sz="4" w:space="0" w:color="auto"/>
              <w:left w:val="single" w:sz="4" w:space="0" w:color="auto"/>
              <w:bottom w:val="single" w:sz="4" w:space="0" w:color="auto"/>
              <w:right w:val="single" w:sz="4" w:space="0" w:color="auto"/>
            </w:tcBorders>
          </w:tcPr>
          <w:p w14:paraId="4A62FA71"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hideMark/>
          </w:tcPr>
          <w:p w14:paraId="522E8D2D" w14:textId="77777777" w:rsidR="00E4780B" w:rsidRDefault="00E4780B">
            <w:pPr>
              <w:rPr>
                <w:szCs w:val="22"/>
              </w:rPr>
            </w:pPr>
            <w:proofErr w:type="spellStart"/>
            <w:r>
              <w:rPr>
                <w:sz w:val="20"/>
              </w:rPr>
              <w:t>ortostatisk</w:t>
            </w:r>
            <w:proofErr w:type="spellEnd"/>
            <w:r>
              <w:rPr>
                <w:sz w:val="20"/>
              </w:rPr>
              <w:t xml:space="preserve"> hypotension</w:t>
            </w:r>
          </w:p>
        </w:tc>
        <w:tc>
          <w:tcPr>
            <w:tcW w:w="760" w:type="pct"/>
            <w:tcBorders>
              <w:top w:val="single" w:sz="4" w:space="0" w:color="auto"/>
              <w:left w:val="single" w:sz="4" w:space="0" w:color="auto"/>
              <w:bottom w:val="single" w:sz="4" w:space="0" w:color="auto"/>
              <w:right w:val="single" w:sz="4" w:space="0" w:color="auto"/>
            </w:tcBorders>
            <w:hideMark/>
          </w:tcPr>
          <w:p w14:paraId="5EEAE62A" w14:textId="77777777" w:rsidR="00E4780B" w:rsidRDefault="00E4780B">
            <w:pPr>
              <w:rPr>
                <w:szCs w:val="22"/>
              </w:rPr>
            </w:pPr>
            <w:r>
              <w:rPr>
                <w:sz w:val="20"/>
              </w:rPr>
              <w:t xml:space="preserve">kredsløbskollaps (af og til ledsaget af </w:t>
            </w:r>
            <w:proofErr w:type="spellStart"/>
            <w:r>
              <w:rPr>
                <w:sz w:val="20"/>
              </w:rPr>
              <w:t>bradyarytmi</w:t>
            </w:r>
            <w:proofErr w:type="spellEnd"/>
            <w:r>
              <w:rPr>
                <w:sz w:val="20"/>
              </w:rPr>
              <w:t xml:space="preserve"> og synkope)</w:t>
            </w:r>
          </w:p>
        </w:tc>
        <w:tc>
          <w:tcPr>
            <w:tcW w:w="755" w:type="pct"/>
            <w:tcBorders>
              <w:top w:val="single" w:sz="4" w:space="0" w:color="auto"/>
              <w:left w:val="single" w:sz="4" w:space="0" w:color="auto"/>
              <w:bottom w:val="single" w:sz="4" w:space="0" w:color="auto"/>
              <w:right w:val="single" w:sz="4" w:space="0" w:color="auto"/>
            </w:tcBorders>
          </w:tcPr>
          <w:p w14:paraId="748CCBE5" w14:textId="77777777" w:rsidR="00E4780B" w:rsidRDefault="00E4780B">
            <w:pPr>
              <w:rPr>
                <w:szCs w:val="22"/>
              </w:rPr>
            </w:pPr>
          </w:p>
        </w:tc>
        <w:tc>
          <w:tcPr>
            <w:tcW w:w="571" w:type="pct"/>
            <w:tcBorders>
              <w:top w:val="single" w:sz="4" w:space="0" w:color="auto"/>
              <w:left w:val="single" w:sz="4" w:space="0" w:color="auto"/>
              <w:bottom w:val="single" w:sz="4" w:space="0" w:color="auto"/>
              <w:right w:val="single" w:sz="4" w:space="0" w:color="auto"/>
            </w:tcBorders>
          </w:tcPr>
          <w:p w14:paraId="58770CF2" w14:textId="77777777" w:rsidR="00E4780B" w:rsidRDefault="00E4780B">
            <w:pPr>
              <w:rPr>
                <w:szCs w:val="22"/>
              </w:rPr>
            </w:pPr>
          </w:p>
        </w:tc>
        <w:tc>
          <w:tcPr>
            <w:tcW w:w="829" w:type="pct"/>
            <w:tcBorders>
              <w:top w:val="single" w:sz="4" w:space="0" w:color="auto"/>
              <w:left w:val="single" w:sz="4" w:space="0" w:color="auto"/>
              <w:bottom w:val="single" w:sz="4" w:space="0" w:color="auto"/>
              <w:right w:val="single" w:sz="4" w:space="0" w:color="auto"/>
            </w:tcBorders>
            <w:hideMark/>
          </w:tcPr>
          <w:p w14:paraId="6A388A63" w14:textId="77777777" w:rsidR="00E4780B" w:rsidRDefault="00E4780B">
            <w:pPr>
              <w:rPr>
                <w:szCs w:val="22"/>
              </w:rPr>
            </w:pPr>
            <w:r>
              <w:rPr>
                <w:sz w:val="20"/>
              </w:rPr>
              <w:t>hypotension, rødme</w:t>
            </w:r>
          </w:p>
        </w:tc>
      </w:tr>
      <w:tr w:rsidR="00E4780B" w14:paraId="19B7FABB"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2B1E7623" w14:textId="77777777" w:rsidR="00E4780B" w:rsidRDefault="00E4780B">
            <w:pPr>
              <w:rPr>
                <w:szCs w:val="22"/>
              </w:rPr>
            </w:pPr>
            <w:r>
              <w:rPr>
                <w:sz w:val="20"/>
              </w:rPr>
              <w:t>Mave-tarm-kanalen</w:t>
            </w:r>
          </w:p>
        </w:tc>
        <w:tc>
          <w:tcPr>
            <w:tcW w:w="514" w:type="pct"/>
            <w:tcBorders>
              <w:top w:val="single" w:sz="4" w:space="0" w:color="auto"/>
              <w:left w:val="single" w:sz="4" w:space="0" w:color="auto"/>
              <w:bottom w:val="single" w:sz="4" w:space="0" w:color="auto"/>
              <w:right w:val="single" w:sz="4" w:space="0" w:color="auto"/>
            </w:tcBorders>
          </w:tcPr>
          <w:p w14:paraId="4AA6F162"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0187202F" w14:textId="77777777" w:rsidR="00E4780B" w:rsidRDefault="00E4780B">
            <w:pPr>
              <w:rPr>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37EA6DE9" w14:textId="77777777" w:rsidR="00E4780B" w:rsidRDefault="00E4780B">
            <w:pPr>
              <w:rPr>
                <w:szCs w:val="22"/>
              </w:rPr>
            </w:pPr>
            <w:r>
              <w:rPr>
                <w:sz w:val="20"/>
              </w:rPr>
              <w:t>kvalme, opkastning</w:t>
            </w:r>
          </w:p>
        </w:tc>
        <w:tc>
          <w:tcPr>
            <w:tcW w:w="755" w:type="pct"/>
            <w:tcBorders>
              <w:top w:val="single" w:sz="4" w:space="0" w:color="auto"/>
              <w:left w:val="single" w:sz="4" w:space="0" w:color="auto"/>
              <w:bottom w:val="single" w:sz="4" w:space="0" w:color="auto"/>
              <w:right w:val="single" w:sz="4" w:space="0" w:color="auto"/>
            </w:tcBorders>
          </w:tcPr>
          <w:p w14:paraId="37875E62" w14:textId="77777777" w:rsidR="00E4780B" w:rsidRDefault="00E4780B">
            <w:pPr>
              <w:rPr>
                <w:szCs w:val="22"/>
                <w:lang w:val="en-GB"/>
              </w:rPr>
            </w:pPr>
          </w:p>
        </w:tc>
        <w:tc>
          <w:tcPr>
            <w:tcW w:w="571" w:type="pct"/>
            <w:tcBorders>
              <w:top w:val="single" w:sz="4" w:space="0" w:color="auto"/>
              <w:left w:val="single" w:sz="4" w:space="0" w:color="auto"/>
              <w:bottom w:val="single" w:sz="4" w:space="0" w:color="auto"/>
              <w:right w:val="single" w:sz="4" w:space="0" w:color="auto"/>
            </w:tcBorders>
            <w:hideMark/>
          </w:tcPr>
          <w:p w14:paraId="5F3CB9A1" w14:textId="77777777" w:rsidR="00E4780B" w:rsidRDefault="00E4780B">
            <w:pPr>
              <w:rPr>
                <w:szCs w:val="22"/>
              </w:rPr>
            </w:pPr>
            <w:r>
              <w:rPr>
                <w:sz w:val="20"/>
              </w:rPr>
              <w:t>halsbrand</w:t>
            </w:r>
          </w:p>
        </w:tc>
        <w:tc>
          <w:tcPr>
            <w:tcW w:w="829" w:type="pct"/>
            <w:tcBorders>
              <w:top w:val="single" w:sz="4" w:space="0" w:color="auto"/>
              <w:left w:val="single" w:sz="4" w:space="0" w:color="auto"/>
              <w:bottom w:val="single" w:sz="4" w:space="0" w:color="auto"/>
              <w:right w:val="single" w:sz="4" w:space="0" w:color="auto"/>
            </w:tcBorders>
          </w:tcPr>
          <w:p w14:paraId="37AA4223" w14:textId="77777777" w:rsidR="00E4780B" w:rsidRDefault="00E4780B">
            <w:pPr>
              <w:rPr>
                <w:szCs w:val="22"/>
                <w:lang w:val="en-GB"/>
              </w:rPr>
            </w:pPr>
          </w:p>
        </w:tc>
      </w:tr>
      <w:tr w:rsidR="00E4780B" w14:paraId="4FBB1C39"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421A8C62" w14:textId="77777777" w:rsidR="00E4780B" w:rsidRDefault="00E4780B">
            <w:pPr>
              <w:rPr>
                <w:szCs w:val="22"/>
              </w:rPr>
            </w:pPr>
            <w:r>
              <w:rPr>
                <w:sz w:val="20"/>
              </w:rPr>
              <w:t>Hud og subkutane væv</w:t>
            </w:r>
          </w:p>
        </w:tc>
        <w:tc>
          <w:tcPr>
            <w:tcW w:w="514" w:type="pct"/>
            <w:tcBorders>
              <w:top w:val="single" w:sz="4" w:space="0" w:color="auto"/>
              <w:left w:val="single" w:sz="4" w:space="0" w:color="auto"/>
              <w:bottom w:val="single" w:sz="4" w:space="0" w:color="auto"/>
              <w:right w:val="single" w:sz="4" w:space="0" w:color="auto"/>
            </w:tcBorders>
          </w:tcPr>
          <w:p w14:paraId="0F886B23" w14:textId="77777777" w:rsidR="00E4780B" w:rsidRDefault="00E4780B">
            <w:pPr>
              <w:rPr>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7F82E7E4" w14:textId="77777777" w:rsidR="00E4780B" w:rsidRDefault="00E4780B">
            <w:pPr>
              <w:rPr>
                <w:szCs w:val="22"/>
                <w:lang w:val="en-GB"/>
              </w:rPr>
            </w:pPr>
          </w:p>
        </w:tc>
        <w:tc>
          <w:tcPr>
            <w:tcW w:w="760" w:type="pct"/>
            <w:tcBorders>
              <w:top w:val="single" w:sz="4" w:space="0" w:color="auto"/>
              <w:left w:val="single" w:sz="4" w:space="0" w:color="auto"/>
              <w:bottom w:val="single" w:sz="4" w:space="0" w:color="auto"/>
              <w:right w:val="single" w:sz="4" w:space="0" w:color="auto"/>
            </w:tcBorders>
            <w:hideMark/>
          </w:tcPr>
          <w:p w14:paraId="5C070F49" w14:textId="77777777" w:rsidR="00E4780B" w:rsidRDefault="00E4780B">
            <w:pPr>
              <w:rPr>
                <w:szCs w:val="22"/>
              </w:rPr>
            </w:pPr>
            <w:r>
              <w:rPr>
                <w:sz w:val="20"/>
              </w:rPr>
              <w:t>allergiske hudreaktioner (udslæt)</w:t>
            </w:r>
          </w:p>
        </w:tc>
        <w:tc>
          <w:tcPr>
            <w:tcW w:w="755" w:type="pct"/>
            <w:tcBorders>
              <w:top w:val="single" w:sz="4" w:space="0" w:color="auto"/>
              <w:left w:val="single" w:sz="4" w:space="0" w:color="auto"/>
              <w:bottom w:val="single" w:sz="4" w:space="0" w:color="auto"/>
              <w:right w:val="single" w:sz="4" w:space="0" w:color="auto"/>
            </w:tcBorders>
          </w:tcPr>
          <w:p w14:paraId="15E24E4C" w14:textId="77777777" w:rsidR="00E4780B" w:rsidRDefault="00E4780B">
            <w:pPr>
              <w:rPr>
                <w:szCs w:val="22"/>
                <w:lang w:val="en-GB"/>
              </w:rPr>
            </w:pPr>
          </w:p>
        </w:tc>
        <w:tc>
          <w:tcPr>
            <w:tcW w:w="571" w:type="pct"/>
            <w:tcBorders>
              <w:top w:val="single" w:sz="4" w:space="0" w:color="auto"/>
              <w:left w:val="single" w:sz="4" w:space="0" w:color="auto"/>
              <w:bottom w:val="single" w:sz="4" w:space="0" w:color="auto"/>
              <w:right w:val="single" w:sz="4" w:space="0" w:color="auto"/>
            </w:tcBorders>
          </w:tcPr>
          <w:p w14:paraId="25E266DE"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hideMark/>
          </w:tcPr>
          <w:p w14:paraId="79912165" w14:textId="77777777" w:rsidR="00E4780B" w:rsidRDefault="00E4780B">
            <w:pPr>
              <w:rPr>
                <w:szCs w:val="22"/>
              </w:rPr>
            </w:pPr>
            <w:proofErr w:type="spellStart"/>
            <w:r>
              <w:rPr>
                <w:sz w:val="20"/>
              </w:rPr>
              <w:t>eksfoliativ</w:t>
            </w:r>
            <w:proofErr w:type="spellEnd"/>
            <w:r>
              <w:rPr>
                <w:sz w:val="20"/>
              </w:rPr>
              <w:t xml:space="preserve"> </w:t>
            </w:r>
            <w:proofErr w:type="spellStart"/>
            <w:r>
              <w:rPr>
                <w:sz w:val="20"/>
              </w:rPr>
              <w:t>dermatitis</w:t>
            </w:r>
            <w:proofErr w:type="spellEnd"/>
            <w:r>
              <w:rPr>
                <w:sz w:val="20"/>
              </w:rPr>
              <w:t>, generaliseret udslæt</w:t>
            </w:r>
          </w:p>
        </w:tc>
      </w:tr>
      <w:tr w:rsidR="00E4780B" w14:paraId="33976933"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58368C59" w14:textId="77777777" w:rsidR="00E4780B" w:rsidRDefault="00E4780B">
            <w:pPr>
              <w:rPr>
                <w:szCs w:val="22"/>
              </w:rPr>
            </w:pPr>
            <w:r>
              <w:rPr>
                <w:sz w:val="20"/>
              </w:rPr>
              <w:t>Almene symptomer og reaktioner på administrationsstedet</w:t>
            </w:r>
          </w:p>
        </w:tc>
        <w:tc>
          <w:tcPr>
            <w:tcW w:w="514" w:type="pct"/>
            <w:tcBorders>
              <w:top w:val="single" w:sz="4" w:space="0" w:color="auto"/>
              <w:left w:val="single" w:sz="4" w:space="0" w:color="auto"/>
              <w:bottom w:val="single" w:sz="4" w:space="0" w:color="auto"/>
              <w:right w:val="single" w:sz="4" w:space="0" w:color="auto"/>
            </w:tcBorders>
          </w:tcPr>
          <w:p w14:paraId="3FB323C6" w14:textId="77777777" w:rsidR="00E4780B" w:rsidRDefault="00E4780B">
            <w:pPr>
              <w:rPr>
                <w:szCs w:val="22"/>
              </w:rPr>
            </w:pPr>
          </w:p>
        </w:tc>
        <w:tc>
          <w:tcPr>
            <w:tcW w:w="640" w:type="pct"/>
            <w:tcBorders>
              <w:top w:val="single" w:sz="4" w:space="0" w:color="auto"/>
              <w:left w:val="single" w:sz="4" w:space="0" w:color="auto"/>
              <w:bottom w:val="single" w:sz="4" w:space="0" w:color="auto"/>
              <w:right w:val="single" w:sz="4" w:space="0" w:color="auto"/>
            </w:tcBorders>
            <w:hideMark/>
          </w:tcPr>
          <w:p w14:paraId="56703CEB" w14:textId="77777777" w:rsidR="00E4780B" w:rsidRDefault="00E4780B">
            <w:pPr>
              <w:rPr>
                <w:szCs w:val="22"/>
              </w:rPr>
            </w:pPr>
            <w:r>
              <w:rPr>
                <w:sz w:val="20"/>
              </w:rPr>
              <w:t>asteni</w:t>
            </w:r>
          </w:p>
        </w:tc>
        <w:tc>
          <w:tcPr>
            <w:tcW w:w="760" w:type="pct"/>
            <w:tcBorders>
              <w:top w:val="single" w:sz="4" w:space="0" w:color="auto"/>
              <w:left w:val="single" w:sz="4" w:space="0" w:color="auto"/>
              <w:bottom w:val="single" w:sz="4" w:space="0" w:color="auto"/>
              <w:right w:val="single" w:sz="4" w:space="0" w:color="auto"/>
            </w:tcBorders>
          </w:tcPr>
          <w:p w14:paraId="2ADDE2FB" w14:textId="77777777" w:rsidR="00E4780B" w:rsidRDefault="00E4780B">
            <w:pPr>
              <w:rPr>
                <w:szCs w:val="22"/>
                <w:lang w:val="en-GB"/>
              </w:rPr>
            </w:pPr>
          </w:p>
        </w:tc>
        <w:tc>
          <w:tcPr>
            <w:tcW w:w="755" w:type="pct"/>
            <w:tcBorders>
              <w:top w:val="single" w:sz="4" w:space="0" w:color="auto"/>
              <w:left w:val="single" w:sz="4" w:space="0" w:color="auto"/>
              <w:bottom w:val="single" w:sz="4" w:space="0" w:color="auto"/>
              <w:right w:val="single" w:sz="4" w:space="0" w:color="auto"/>
            </w:tcBorders>
          </w:tcPr>
          <w:p w14:paraId="1D598855" w14:textId="77777777" w:rsidR="00E4780B" w:rsidRDefault="00E4780B">
            <w:pPr>
              <w:rPr>
                <w:szCs w:val="22"/>
                <w:lang w:val="en-GB"/>
              </w:rPr>
            </w:pPr>
          </w:p>
        </w:tc>
        <w:tc>
          <w:tcPr>
            <w:tcW w:w="571" w:type="pct"/>
            <w:tcBorders>
              <w:top w:val="single" w:sz="4" w:space="0" w:color="auto"/>
              <w:left w:val="single" w:sz="4" w:space="0" w:color="auto"/>
              <w:bottom w:val="single" w:sz="4" w:space="0" w:color="auto"/>
              <w:right w:val="single" w:sz="4" w:space="0" w:color="auto"/>
            </w:tcBorders>
          </w:tcPr>
          <w:p w14:paraId="0ECFF3DB"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tcPr>
          <w:p w14:paraId="5ACADD44" w14:textId="77777777" w:rsidR="00E4780B" w:rsidRDefault="00E4780B">
            <w:pPr>
              <w:rPr>
                <w:szCs w:val="22"/>
                <w:lang w:val="en-GB"/>
              </w:rPr>
            </w:pPr>
          </w:p>
        </w:tc>
      </w:tr>
      <w:tr w:rsidR="00E4780B" w14:paraId="6FE6026A" w14:textId="77777777" w:rsidTr="00C20D07">
        <w:tc>
          <w:tcPr>
            <w:tcW w:w="931" w:type="pct"/>
            <w:tcBorders>
              <w:top w:val="single" w:sz="4" w:space="0" w:color="auto"/>
              <w:left w:val="single" w:sz="4" w:space="0" w:color="auto"/>
              <w:bottom w:val="single" w:sz="4" w:space="0" w:color="auto"/>
              <w:right w:val="single" w:sz="4" w:space="0" w:color="auto"/>
            </w:tcBorders>
            <w:hideMark/>
          </w:tcPr>
          <w:p w14:paraId="52AB87CB" w14:textId="77777777" w:rsidR="00E4780B" w:rsidRDefault="00E4780B">
            <w:pPr>
              <w:rPr>
                <w:sz w:val="20"/>
              </w:rPr>
            </w:pPr>
            <w:r>
              <w:rPr>
                <w:sz w:val="20"/>
              </w:rPr>
              <w:t>Undersøgelser</w:t>
            </w:r>
          </w:p>
        </w:tc>
        <w:tc>
          <w:tcPr>
            <w:tcW w:w="514" w:type="pct"/>
            <w:tcBorders>
              <w:top w:val="single" w:sz="4" w:space="0" w:color="auto"/>
              <w:left w:val="single" w:sz="4" w:space="0" w:color="auto"/>
              <w:bottom w:val="single" w:sz="4" w:space="0" w:color="auto"/>
              <w:right w:val="single" w:sz="4" w:space="0" w:color="auto"/>
            </w:tcBorders>
          </w:tcPr>
          <w:p w14:paraId="19854E6A" w14:textId="77777777" w:rsidR="00E4780B" w:rsidRDefault="00E4780B">
            <w:pPr>
              <w:rPr>
                <w:sz w:val="22"/>
                <w:szCs w:val="22"/>
                <w:lang w:val="en-GB"/>
              </w:rPr>
            </w:pPr>
          </w:p>
        </w:tc>
        <w:tc>
          <w:tcPr>
            <w:tcW w:w="640" w:type="pct"/>
            <w:tcBorders>
              <w:top w:val="single" w:sz="4" w:space="0" w:color="auto"/>
              <w:left w:val="single" w:sz="4" w:space="0" w:color="auto"/>
              <w:bottom w:val="single" w:sz="4" w:space="0" w:color="auto"/>
              <w:right w:val="single" w:sz="4" w:space="0" w:color="auto"/>
            </w:tcBorders>
          </w:tcPr>
          <w:p w14:paraId="2A1DFFEB" w14:textId="77777777" w:rsidR="00E4780B" w:rsidRDefault="00E4780B">
            <w:pPr>
              <w:rPr>
                <w:sz w:val="20"/>
                <w:lang w:val="en-GB"/>
              </w:rPr>
            </w:pPr>
          </w:p>
        </w:tc>
        <w:tc>
          <w:tcPr>
            <w:tcW w:w="760" w:type="pct"/>
            <w:tcBorders>
              <w:top w:val="single" w:sz="4" w:space="0" w:color="auto"/>
              <w:left w:val="single" w:sz="4" w:space="0" w:color="auto"/>
              <w:bottom w:val="single" w:sz="4" w:space="0" w:color="auto"/>
              <w:right w:val="single" w:sz="4" w:space="0" w:color="auto"/>
            </w:tcBorders>
          </w:tcPr>
          <w:p w14:paraId="5BEF91D1" w14:textId="77777777" w:rsidR="00E4780B" w:rsidRDefault="00E4780B">
            <w:pPr>
              <w:rPr>
                <w:sz w:val="22"/>
                <w:szCs w:val="22"/>
                <w:lang w:val="en-GB"/>
              </w:rPr>
            </w:pPr>
          </w:p>
        </w:tc>
        <w:tc>
          <w:tcPr>
            <w:tcW w:w="755" w:type="pct"/>
            <w:tcBorders>
              <w:top w:val="single" w:sz="4" w:space="0" w:color="auto"/>
              <w:left w:val="single" w:sz="4" w:space="0" w:color="auto"/>
              <w:bottom w:val="single" w:sz="4" w:space="0" w:color="auto"/>
              <w:right w:val="single" w:sz="4" w:space="0" w:color="auto"/>
            </w:tcBorders>
          </w:tcPr>
          <w:p w14:paraId="10B9E8A7" w14:textId="77777777" w:rsidR="00E4780B" w:rsidRDefault="00E4780B">
            <w:pPr>
              <w:rPr>
                <w:szCs w:val="22"/>
                <w:lang w:val="en-GB"/>
              </w:rPr>
            </w:pPr>
          </w:p>
        </w:tc>
        <w:tc>
          <w:tcPr>
            <w:tcW w:w="571" w:type="pct"/>
            <w:tcBorders>
              <w:top w:val="single" w:sz="4" w:space="0" w:color="auto"/>
              <w:left w:val="single" w:sz="4" w:space="0" w:color="auto"/>
              <w:bottom w:val="single" w:sz="4" w:space="0" w:color="auto"/>
              <w:right w:val="single" w:sz="4" w:space="0" w:color="auto"/>
            </w:tcBorders>
          </w:tcPr>
          <w:p w14:paraId="471F0D75" w14:textId="77777777" w:rsidR="00E4780B" w:rsidRDefault="00E4780B">
            <w:pPr>
              <w:rPr>
                <w:szCs w:val="22"/>
                <w:lang w:val="en-GB"/>
              </w:rPr>
            </w:pPr>
          </w:p>
        </w:tc>
        <w:tc>
          <w:tcPr>
            <w:tcW w:w="829" w:type="pct"/>
            <w:tcBorders>
              <w:top w:val="single" w:sz="4" w:space="0" w:color="auto"/>
              <w:left w:val="single" w:sz="4" w:space="0" w:color="auto"/>
              <w:bottom w:val="single" w:sz="4" w:space="0" w:color="auto"/>
              <w:right w:val="single" w:sz="4" w:space="0" w:color="auto"/>
            </w:tcBorders>
            <w:hideMark/>
          </w:tcPr>
          <w:p w14:paraId="0D542397" w14:textId="77777777" w:rsidR="00E4780B" w:rsidRDefault="00E4780B">
            <w:pPr>
              <w:rPr>
                <w:szCs w:val="22"/>
              </w:rPr>
            </w:pPr>
            <w:r>
              <w:rPr>
                <w:sz w:val="20"/>
              </w:rPr>
              <w:t>forhøjet hjertefrekvens</w:t>
            </w:r>
          </w:p>
        </w:tc>
      </w:tr>
    </w:tbl>
    <w:p w14:paraId="172DBE08" w14:textId="77777777" w:rsidR="00A440FC" w:rsidRPr="00A440FC" w:rsidRDefault="00A440FC" w:rsidP="00E4780B">
      <w:pPr>
        <w:tabs>
          <w:tab w:val="left" w:pos="851"/>
        </w:tabs>
        <w:rPr>
          <w:sz w:val="24"/>
          <w:szCs w:val="24"/>
          <w:lang w:val="en-GB"/>
        </w:rPr>
      </w:pPr>
    </w:p>
    <w:p w14:paraId="50DFF72C" w14:textId="77777777" w:rsidR="00A440FC" w:rsidRPr="00A440FC" w:rsidRDefault="00A440FC" w:rsidP="00A440FC">
      <w:pPr>
        <w:tabs>
          <w:tab w:val="left" w:pos="851"/>
        </w:tabs>
        <w:ind w:left="851"/>
        <w:rPr>
          <w:sz w:val="24"/>
          <w:szCs w:val="24"/>
        </w:rPr>
      </w:pPr>
      <w:r w:rsidRPr="00A440FC">
        <w:rPr>
          <w:sz w:val="24"/>
          <w:szCs w:val="24"/>
        </w:rPr>
        <w:t>Der har været indberetninger om alvorlige reaktioner for organiske nitrater, inklusive kvalme, opkastning, bleghed og overdreven svedtendens.</w:t>
      </w:r>
    </w:p>
    <w:p w14:paraId="3B1A2AA7" w14:textId="77777777" w:rsidR="00A440FC" w:rsidRPr="00A440FC" w:rsidRDefault="00A440FC" w:rsidP="00A440FC">
      <w:pPr>
        <w:tabs>
          <w:tab w:val="left" w:pos="851"/>
        </w:tabs>
        <w:ind w:left="851"/>
        <w:rPr>
          <w:sz w:val="24"/>
          <w:szCs w:val="24"/>
        </w:rPr>
      </w:pPr>
    </w:p>
    <w:p w14:paraId="75E31012" w14:textId="77777777" w:rsidR="00A440FC" w:rsidRPr="00A440FC" w:rsidRDefault="00A440FC" w:rsidP="00A440FC">
      <w:pPr>
        <w:tabs>
          <w:tab w:val="left" w:pos="851"/>
        </w:tabs>
        <w:ind w:left="851"/>
        <w:rPr>
          <w:sz w:val="24"/>
          <w:szCs w:val="24"/>
        </w:rPr>
      </w:pPr>
      <w:r w:rsidRPr="00A440FC">
        <w:rPr>
          <w:sz w:val="24"/>
          <w:szCs w:val="24"/>
        </w:rPr>
        <w:t xml:space="preserve">Under behandling med </w:t>
      </w:r>
      <w:proofErr w:type="spellStart"/>
      <w:r w:rsidRPr="00A440FC">
        <w:rPr>
          <w:sz w:val="24"/>
          <w:szCs w:val="24"/>
        </w:rPr>
        <w:t>glyceryltrinitrat</w:t>
      </w:r>
      <w:proofErr w:type="spellEnd"/>
      <w:r w:rsidRPr="00A440FC">
        <w:rPr>
          <w:sz w:val="24"/>
          <w:szCs w:val="24"/>
        </w:rPr>
        <w:t xml:space="preserve"> kan der forekomme midlertidig </w:t>
      </w:r>
      <w:proofErr w:type="spellStart"/>
      <w:r w:rsidRPr="00A440FC">
        <w:rPr>
          <w:sz w:val="24"/>
          <w:szCs w:val="24"/>
        </w:rPr>
        <w:t>hypoxæmi</w:t>
      </w:r>
      <w:proofErr w:type="spellEnd"/>
      <w:r w:rsidRPr="00A440FC">
        <w:rPr>
          <w:sz w:val="24"/>
          <w:szCs w:val="24"/>
        </w:rPr>
        <w:t xml:space="preserve"> på grund af en relativ omfordeling af blodgennemstrømningen i </w:t>
      </w:r>
      <w:proofErr w:type="spellStart"/>
      <w:r w:rsidRPr="00A440FC">
        <w:rPr>
          <w:sz w:val="24"/>
          <w:szCs w:val="24"/>
        </w:rPr>
        <w:t>hypoventilerede</w:t>
      </w:r>
      <w:proofErr w:type="spellEnd"/>
      <w:r w:rsidRPr="00A440FC">
        <w:rPr>
          <w:sz w:val="24"/>
          <w:szCs w:val="24"/>
        </w:rPr>
        <w:t xml:space="preserve"> alveolære områder. Dette kan især hos patienter med kransåreforkalkning i hjertet føre til </w:t>
      </w:r>
      <w:proofErr w:type="spellStart"/>
      <w:r w:rsidRPr="00A440FC">
        <w:rPr>
          <w:sz w:val="24"/>
          <w:szCs w:val="24"/>
        </w:rPr>
        <w:t>myokardiehypoxi</w:t>
      </w:r>
      <w:proofErr w:type="spellEnd"/>
      <w:r w:rsidRPr="00A440FC">
        <w:rPr>
          <w:sz w:val="24"/>
          <w:szCs w:val="24"/>
        </w:rPr>
        <w:t>.</w:t>
      </w:r>
    </w:p>
    <w:p w14:paraId="22EC86B7" w14:textId="77777777" w:rsidR="00A440FC" w:rsidRPr="00A440FC" w:rsidRDefault="00A440FC" w:rsidP="00A440FC">
      <w:pPr>
        <w:tabs>
          <w:tab w:val="left" w:pos="851"/>
        </w:tabs>
        <w:ind w:left="851"/>
        <w:rPr>
          <w:sz w:val="24"/>
          <w:szCs w:val="24"/>
        </w:rPr>
      </w:pPr>
    </w:p>
    <w:p w14:paraId="0595DF70" w14:textId="77777777" w:rsidR="001976FB" w:rsidRDefault="001976FB" w:rsidP="001976FB">
      <w:pPr>
        <w:autoSpaceDE w:val="0"/>
        <w:autoSpaceDN w:val="0"/>
        <w:ind w:left="851"/>
        <w:rPr>
          <w:sz w:val="24"/>
          <w:szCs w:val="24"/>
          <w:u w:val="single"/>
          <w:lang w:eastAsia="da-DK"/>
        </w:rPr>
      </w:pPr>
      <w:bookmarkStart w:id="2" w:name="_Hlk121834268"/>
      <w:r>
        <w:rPr>
          <w:sz w:val="24"/>
          <w:szCs w:val="24"/>
          <w:u w:val="single"/>
          <w:lang w:eastAsia="da-DK"/>
        </w:rPr>
        <w:t>Indberetning af formodede bivirkninger</w:t>
      </w:r>
    </w:p>
    <w:p w14:paraId="61A98C33" w14:textId="77777777" w:rsidR="001976FB" w:rsidRDefault="001976FB" w:rsidP="001976FB">
      <w:pPr>
        <w:ind w:left="851"/>
        <w:rPr>
          <w:sz w:val="24"/>
          <w:szCs w:val="24"/>
          <w:lang w:eastAsia="da-DK"/>
        </w:rPr>
      </w:pPr>
      <w:r>
        <w:rPr>
          <w:sz w:val="24"/>
          <w:szCs w:val="24"/>
          <w:lang w:eastAsia="da-DK"/>
        </w:rPr>
        <w:t xml:space="preserve">Når lægemidlet er godkendt, er indberetning af formodede bivirkninger vigtig. Det </w:t>
      </w:r>
      <w:bookmarkStart w:id="3" w:name="_Hlk151725551"/>
      <w:r>
        <w:rPr>
          <w:sz w:val="24"/>
          <w:szCs w:val="24"/>
          <w:lang w:eastAsia="da-DK"/>
        </w:rPr>
        <w:t>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14:paraId="4074696D" w14:textId="77777777" w:rsidR="001976FB" w:rsidRDefault="001976FB" w:rsidP="001976FB">
      <w:pPr>
        <w:ind w:left="851"/>
        <w:rPr>
          <w:sz w:val="24"/>
          <w:szCs w:val="24"/>
          <w:lang w:eastAsia="da-DK"/>
        </w:rPr>
      </w:pPr>
      <w:bookmarkStart w:id="4" w:name="_Hlk112685907"/>
    </w:p>
    <w:p w14:paraId="4CFD5FD3" w14:textId="77777777" w:rsidR="001976FB" w:rsidRDefault="001976FB" w:rsidP="001976FB">
      <w:pPr>
        <w:ind w:left="851"/>
        <w:rPr>
          <w:sz w:val="24"/>
          <w:szCs w:val="24"/>
          <w:lang w:eastAsia="da-DK"/>
        </w:rPr>
      </w:pPr>
      <w:bookmarkStart w:id="5" w:name="_Hlk117501544"/>
      <w:bookmarkStart w:id="6" w:name="_Hlk112664459"/>
      <w:r>
        <w:rPr>
          <w:sz w:val="24"/>
          <w:szCs w:val="24"/>
          <w:lang w:eastAsia="da-DK"/>
        </w:rPr>
        <w:t>Lægemiddelstyrelsen</w:t>
      </w:r>
    </w:p>
    <w:p w14:paraId="2F520AB4" w14:textId="77777777" w:rsidR="001976FB" w:rsidRDefault="001976FB" w:rsidP="001976FB">
      <w:pPr>
        <w:ind w:left="851"/>
        <w:rPr>
          <w:sz w:val="24"/>
          <w:szCs w:val="24"/>
          <w:lang w:eastAsia="da-DK"/>
        </w:rPr>
      </w:pPr>
      <w:bookmarkStart w:id="7" w:name="_Hlk117501524"/>
      <w:bookmarkEnd w:id="5"/>
      <w:r>
        <w:rPr>
          <w:sz w:val="24"/>
          <w:szCs w:val="24"/>
          <w:lang w:eastAsia="da-DK"/>
        </w:rPr>
        <w:t>Axel Heides Gade 1</w:t>
      </w:r>
    </w:p>
    <w:p w14:paraId="79716830" w14:textId="77777777" w:rsidR="001976FB" w:rsidRDefault="001976FB" w:rsidP="001976FB">
      <w:pPr>
        <w:ind w:left="851"/>
        <w:rPr>
          <w:sz w:val="24"/>
          <w:szCs w:val="24"/>
          <w:lang w:eastAsia="da-DK"/>
        </w:rPr>
      </w:pPr>
      <w:r>
        <w:rPr>
          <w:sz w:val="24"/>
          <w:szCs w:val="24"/>
          <w:lang w:eastAsia="da-DK"/>
        </w:rPr>
        <w:t>DK-2300 København S</w:t>
      </w:r>
    </w:p>
    <w:p w14:paraId="0EB7009D" w14:textId="77777777" w:rsidR="001976FB" w:rsidRDefault="001976FB" w:rsidP="001976FB">
      <w:pPr>
        <w:ind w:left="851"/>
        <w:rPr>
          <w:sz w:val="24"/>
          <w:szCs w:val="24"/>
          <w:lang w:eastAsia="da-DK"/>
        </w:rPr>
      </w:pPr>
      <w:r>
        <w:rPr>
          <w:sz w:val="24"/>
          <w:szCs w:val="24"/>
          <w:lang w:eastAsia="da-DK"/>
        </w:rPr>
        <w:t xml:space="preserve">Websted: </w:t>
      </w:r>
      <w:r>
        <w:rPr>
          <w:sz w:val="24"/>
          <w:lang w:eastAsia="da-DK"/>
        </w:rPr>
        <w:t>www.meldenbivirkning.dk</w:t>
      </w:r>
      <w:bookmarkEnd w:id="2"/>
      <w:bookmarkEnd w:id="3"/>
      <w:bookmarkEnd w:id="4"/>
      <w:bookmarkEnd w:id="6"/>
      <w:bookmarkEnd w:id="7"/>
    </w:p>
    <w:p w14:paraId="2456D40F" w14:textId="77777777" w:rsidR="00A440FC" w:rsidRPr="00A440FC" w:rsidRDefault="00A440FC" w:rsidP="00A440FC">
      <w:pPr>
        <w:tabs>
          <w:tab w:val="left" w:pos="851"/>
        </w:tabs>
        <w:ind w:left="851"/>
        <w:rPr>
          <w:sz w:val="24"/>
          <w:szCs w:val="24"/>
        </w:rPr>
      </w:pPr>
    </w:p>
    <w:p w14:paraId="35E05F3F"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623F6A56" w14:textId="77777777" w:rsidR="00AD02F6" w:rsidRDefault="00AD02F6" w:rsidP="00AD02F6">
      <w:pPr>
        <w:tabs>
          <w:tab w:val="left" w:pos="851"/>
        </w:tabs>
        <w:ind w:left="851"/>
        <w:rPr>
          <w:sz w:val="24"/>
          <w:szCs w:val="24"/>
          <w:u w:val="single"/>
        </w:rPr>
      </w:pPr>
    </w:p>
    <w:p w14:paraId="4045C6B8" w14:textId="3E5872F8" w:rsidR="00AD02F6" w:rsidRPr="00AD02F6" w:rsidRDefault="00AD02F6" w:rsidP="00AD02F6">
      <w:pPr>
        <w:tabs>
          <w:tab w:val="left" w:pos="851"/>
        </w:tabs>
        <w:ind w:left="851"/>
        <w:rPr>
          <w:sz w:val="24"/>
          <w:szCs w:val="24"/>
          <w:u w:val="single"/>
        </w:rPr>
      </w:pPr>
      <w:r w:rsidRPr="00AD02F6">
        <w:rPr>
          <w:sz w:val="24"/>
          <w:szCs w:val="24"/>
          <w:u w:val="single"/>
        </w:rPr>
        <w:t>Erfaringer hos dyr</w:t>
      </w:r>
    </w:p>
    <w:p w14:paraId="29C4008E" w14:textId="77777777" w:rsidR="00AD02F6" w:rsidRPr="00AD02F6" w:rsidRDefault="00AD02F6" w:rsidP="00AD02F6">
      <w:pPr>
        <w:tabs>
          <w:tab w:val="left" w:pos="851"/>
        </w:tabs>
        <w:ind w:left="851"/>
        <w:rPr>
          <w:sz w:val="24"/>
          <w:szCs w:val="24"/>
        </w:rPr>
      </w:pPr>
      <w:r w:rsidRPr="00AD02F6">
        <w:rPr>
          <w:sz w:val="24"/>
          <w:szCs w:val="24"/>
        </w:rPr>
        <w:t>Hos rotter og mus blev der observeret en signifikant dødelighed (LD</w:t>
      </w:r>
      <w:r w:rsidRPr="00AD02F6">
        <w:rPr>
          <w:sz w:val="24"/>
          <w:szCs w:val="24"/>
          <w:vertAlign w:val="subscript"/>
        </w:rPr>
        <w:t>50</w:t>
      </w:r>
      <w:r w:rsidRPr="00AD02F6">
        <w:rPr>
          <w:sz w:val="24"/>
          <w:szCs w:val="24"/>
        </w:rPr>
        <w:t>) ved intravenøse enkeltdoser på henholdsvis 23,2 mg/kg og 10,6 mg/kg.</w:t>
      </w:r>
    </w:p>
    <w:p w14:paraId="5F560720" w14:textId="77777777" w:rsidR="00AD02F6" w:rsidRPr="00AD02F6" w:rsidRDefault="00AD02F6" w:rsidP="00AD02F6">
      <w:pPr>
        <w:tabs>
          <w:tab w:val="left" w:pos="851"/>
        </w:tabs>
        <w:ind w:left="851"/>
        <w:rPr>
          <w:sz w:val="24"/>
          <w:szCs w:val="24"/>
        </w:rPr>
      </w:pPr>
    </w:p>
    <w:p w14:paraId="025C31AB" w14:textId="77777777" w:rsidR="00AD02F6" w:rsidRPr="00AD02F6" w:rsidRDefault="00AD02F6" w:rsidP="00AD02F6">
      <w:pPr>
        <w:tabs>
          <w:tab w:val="left" w:pos="851"/>
        </w:tabs>
        <w:ind w:left="851"/>
        <w:rPr>
          <w:sz w:val="24"/>
          <w:szCs w:val="24"/>
        </w:rPr>
      </w:pPr>
      <w:r w:rsidRPr="00AD02F6">
        <w:rPr>
          <w:sz w:val="24"/>
          <w:szCs w:val="24"/>
        </w:rPr>
        <w:t>Hos rotter og mus blev der observeret en signifikant dødelighed (LD</w:t>
      </w:r>
      <w:r w:rsidRPr="00AD02F6">
        <w:rPr>
          <w:sz w:val="24"/>
          <w:szCs w:val="24"/>
          <w:vertAlign w:val="subscript"/>
        </w:rPr>
        <w:t>50</w:t>
      </w:r>
      <w:r w:rsidRPr="00AD02F6">
        <w:rPr>
          <w:sz w:val="24"/>
          <w:szCs w:val="24"/>
        </w:rPr>
        <w:t>) ved subkutane enkeltdoser på henholdsvis 94 mg/kg og 110 mg/kg.</w:t>
      </w:r>
    </w:p>
    <w:p w14:paraId="25EA14D6" w14:textId="35DF41B4" w:rsidR="00AD02F6" w:rsidRDefault="00AD02F6">
      <w:pPr>
        <w:rPr>
          <w:sz w:val="24"/>
          <w:szCs w:val="24"/>
        </w:rPr>
      </w:pPr>
      <w:r>
        <w:rPr>
          <w:sz w:val="24"/>
          <w:szCs w:val="24"/>
        </w:rPr>
        <w:br w:type="page"/>
      </w:r>
    </w:p>
    <w:p w14:paraId="50E875C6" w14:textId="77777777" w:rsidR="00AD02F6" w:rsidRPr="00AD02F6" w:rsidRDefault="00AD02F6" w:rsidP="00AD02F6">
      <w:pPr>
        <w:tabs>
          <w:tab w:val="left" w:pos="851"/>
        </w:tabs>
        <w:ind w:left="851"/>
        <w:rPr>
          <w:sz w:val="24"/>
          <w:szCs w:val="24"/>
        </w:rPr>
      </w:pPr>
    </w:p>
    <w:p w14:paraId="202E1390" w14:textId="77777777" w:rsidR="00AD02F6" w:rsidRPr="00AD02F6" w:rsidRDefault="00AD02F6" w:rsidP="00AD02F6">
      <w:pPr>
        <w:tabs>
          <w:tab w:val="left" w:pos="851"/>
        </w:tabs>
        <w:ind w:left="851"/>
        <w:rPr>
          <w:sz w:val="24"/>
          <w:szCs w:val="24"/>
          <w:u w:val="single"/>
        </w:rPr>
      </w:pPr>
      <w:r w:rsidRPr="00AD02F6">
        <w:rPr>
          <w:sz w:val="24"/>
          <w:szCs w:val="24"/>
          <w:u w:val="single"/>
        </w:rPr>
        <w:t>Erfaringer hos mennesker</w:t>
      </w:r>
    </w:p>
    <w:p w14:paraId="22B1402C" w14:textId="77777777" w:rsidR="00AD02F6" w:rsidRPr="00AD02F6" w:rsidRDefault="00AD02F6" w:rsidP="00AD02F6">
      <w:pPr>
        <w:tabs>
          <w:tab w:val="left" w:pos="851"/>
        </w:tabs>
        <w:ind w:left="851"/>
        <w:rPr>
          <w:sz w:val="24"/>
          <w:szCs w:val="24"/>
          <w:u w:val="single"/>
          <w:lang w:val="en-GB"/>
        </w:rPr>
      </w:pPr>
    </w:p>
    <w:p w14:paraId="04F7AF0E" w14:textId="77777777" w:rsidR="00AD02F6" w:rsidRPr="00AD02F6" w:rsidRDefault="00AD02F6" w:rsidP="00AD02F6">
      <w:pPr>
        <w:tabs>
          <w:tab w:val="left" w:pos="851"/>
        </w:tabs>
        <w:ind w:left="851"/>
        <w:rPr>
          <w:sz w:val="24"/>
          <w:szCs w:val="24"/>
        </w:rPr>
      </w:pPr>
      <w:r w:rsidRPr="00AD02F6">
        <w:rPr>
          <w:i/>
          <w:sz w:val="24"/>
          <w:szCs w:val="24"/>
        </w:rPr>
        <w:t>Symptomer</w:t>
      </w:r>
    </w:p>
    <w:p w14:paraId="2D03621C"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fald i blodtrykket til under 90 </w:t>
      </w:r>
      <w:proofErr w:type="spellStart"/>
      <w:r w:rsidRPr="00AD02F6">
        <w:rPr>
          <w:sz w:val="24"/>
          <w:szCs w:val="24"/>
        </w:rPr>
        <w:t>mmHg</w:t>
      </w:r>
      <w:proofErr w:type="spellEnd"/>
    </w:p>
    <w:p w14:paraId="75D7A496"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bleghed</w:t>
      </w:r>
    </w:p>
    <w:p w14:paraId="6CD1F537"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svedtendens</w:t>
      </w:r>
    </w:p>
    <w:p w14:paraId="4DB94062"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svag puls</w:t>
      </w:r>
    </w:p>
    <w:p w14:paraId="56E7BDC0"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refleks-</w:t>
      </w:r>
      <w:proofErr w:type="spellStart"/>
      <w:r w:rsidRPr="00AD02F6">
        <w:rPr>
          <w:sz w:val="24"/>
          <w:szCs w:val="24"/>
        </w:rPr>
        <w:t>takykardi</w:t>
      </w:r>
      <w:proofErr w:type="spellEnd"/>
    </w:p>
    <w:p w14:paraId="136759E7"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kollaps</w:t>
      </w:r>
    </w:p>
    <w:p w14:paraId="7EF09CA6"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synkope</w:t>
      </w:r>
    </w:p>
    <w:p w14:paraId="6FB6932C" w14:textId="77777777" w:rsidR="00AD02F6" w:rsidRPr="00AD02F6" w:rsidRDefault="00AD02F6" w:rsidP="00AD02F6">
      <w:pPr>
        <w:numPr>
          <w:ilvl w:val="0"/>
          <w:numId w:val="6"/>
        </w:numPr>
        <w:tabs>
          <w:tab w:val="clear" w:pos="720"/>
          <w:tab w:val="left" w:pos="851"/>
        </w:tabs>
        <w:ind w:left="1134" w:hanging="283"/>
        <w:rPr>
          <w:sz w:val="24"/>
          <w:szCs w:val="24"/>
        </w:rPr>
      </w:pPr>
      <w:proofErr w:type="spellStart"/>
      <w:r w:rsidRPr="00AD02F6">
        <w:rPr>
          <w:sz w:val="24"/>
          <w:szCs w:val="24"/>
        </w:rPr>
        <w:t>postural</w:t>
      </w:r>
      <w:proofErr w:type="spellEnd"/>
      <w:r w:rsidRPr="00AD02F6">
        <w:rPr>
          <w:sz w:val="24"/>
          <w:szCs w:val="24"/>
        </w:rPr>
        <w:t xml:space="preserve"> svimmelhed</w:t>
      </w:r>
    </w:p>
    <w:p w14:paraId="4A38FD63"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hovedpine</w:t>
      </w:r>
    </w:p>
    <w:p w14:paraId="075DA94B"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asteni</w:t>
      </w:r>
    </w:p>
    <w:p w14:paraId="2F344C0F"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svimmelhed</w:t>
      </w:r>
    </w:p>
    <w:p w14:paraId="04569C91"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kvalme</w:t>
      </w:r>
    </w:p>
    <w:p w14:paraId="09C1143C"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opkastning</w:t>
      </w:r>
    </w:p>
    <w:p w14:paraId="4F32060E"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diarré</w:t>
      </w:r>
    </w:p>
    <w:p w14:paraId="4D1F3322" w14:textId="77777777" w:rsidR="00AD02F6" w:rsidRPr="00AD02F6" w:rsidRDefault="00AD02F6" w:rsidP="00AD02F6">
      <w:pPr>
        <w:tabs>
          <w:tab w:val="left" w:pos="851"/>
        </w:tabs>
        <w:ind w:left="851"/>
        <w:rPr>
          <w:sz w:val="24"/>
          <w:szCs w:val="24"/>
          <w:lang w:val="en-GB"/>
        </w:rPr>
      </w:pPr>
    </w:p>
    <w:p w14:paraId="40F97658" w14:textId="77777777" w:rsidR="00AD02F6" w:rsidRPr="00AD02F6" w:rsidRDefault="00AD02F6" w:rsidP="00AD02F6">
      <w:pPr>
        <w:tabs>
          <w:tab w:val="left" w:pos="851"/>
        </w:tabs>
        <w:ind w:left="851"/>
        <w:rPr>
          <w:sz w:val="24"/>
          <w:szCs w:val="24"/>
        </w:rPr>
      </w:pPr>
      <w:r w:rsidRPr="00AD02F6">
        <w:rPr>
          <w:sz w:val="24"/>
          <w:szCs w:val="24"/>
        </w:rPr>
        <w:t xml:space="preserve">Der har været rapporter om </w:t>
      </w:r>
      <w:proofErr w:type="spellStart"/>
      <w:r w:rsidRPr="00AD02F6">
        <w:rPr>
          <w:sz w:val="24"/>
          <w:szCs w:val="24"/>
        </w:rPr>
        <w:t>methæmoglobinæmi</w:t>
      </w:r>
      <w:proofErr w:type="spellEnd"/>
      <w:r w:rsidRPr="00AD02F6">
        <w:rPr>
          <w:sz w:val="24"/>
          <w:szCs w:val="24"/>
        </w:rPr>
        <w:t xml:space="preserve"> hos patienter, som fik andre organiske nitrater. Under biotransformationen af </w:t>
      </w:r>
      <w:proofErr w:type="spellStart"/>
      <w:r w:rsidRPr="00AD02F6">
        <w:rPr>
          <w:sz w:val="24"/>
          <w:szCs w:val="24"/>
        </w:rPr>
        <w:t>glyceryltrinitrat</w:t>
      </w:r>
      <w:proofErr w:type="spellEnd"/>
      <w:r w:rsidRPr="00AD02F6">
        <w:rPr>
          <w:sz w:val="24"/>
          <w:szCs w:val="24"/>
        </w:rPr>
        <w:t xml:space="preserve"> frigives der nitrit-ioner, som kan inducere </w:t>
      </w:r>
      <w:proofErr w:type="spellStart"/>
      <w:r w:rsidRPr="00AD02F6">
        <w:rPr>
          <w:sz w:val="24"/>
          <w:szCs w:val="24"/>
        </w:rPr>
        <w:t>methæmoglobinæmi</w:t>
      </w:r>
      <w:proofErr w:type="spellEnd"/>
      <w:r w:rsidRPr="00AD02F6">
        <w:rPr>
          <w:sz w:val="24"/>
          <w:szCs w:val="24"/>
        </w:rPr>
        <w:t xml:space="preserve"> og cyanose med efterfølgende </w:t>
      </w:r>
      <w:proofErr w:type="spellStart"/>
      <w:r w:rsidRPr="00AD02F6">
        <w:rPr>
          <w:sz w:val="24"/>
          <w:szCs w:val="24"/>
        </w:rPr>
        <w:t>takypnø</w:t>
      </w:r>
      <w:proofErr w:type="spellEnd"/>
      <w:r w:rsidRPr="00AD02F6">
        <w:rPr>
          <w:sz w:val="24"/>
          <w:szCs w:val="24"/>
        </w:rPr>
        <w:t xml:space="preserve">, angst, bevidstløshed og hjertestop. Det kan ikke udelukkes, at en overdosis af </w:t>
      </w:r>
      <w:proofErr w:type="spellStart"/>
      <w:r w:rsidRPr="00AD02F6">
        <w:rPr>
          <w:sz w:val="24"/>
          <w:szCs w:val="24"/>
        </w:rPr>
        <w:t>glyceryltrinitrat</w:t>
      </w:r>
      <w:proofErr w:type="spellEnd"/>
      <w:r w:rsidRPr="00AD02F6">
        <w:rPr>
          <w:sz w:val="24"/>
          <w:szCs w:val="24"/>
        </w:rPr>
        <w:t xml:space="preserve"> kan forårsage denne bivirkning.</w:t>
      </w:r>
    </w:p>
    <w:p w14:paraId="3D3DE363" w14:textId="77777777" w:rsidR="00AD02F6" w:rsidRPr="00AD02F6" w:rsidRDefault="00AD02F6" w:rsidP="00AD02F6">
      <w:pPr>
        <w:tabs>
          <w:tab w:val="left" w:pos="851"/>
        </w:tabs>
        <w:ind w:left="851"/>
        <w:rPr>
          <w:sz w:val="24"/>
          <w:szCs w:val="24"/>
        </w:rPr>
      </w:pPr>
    </w:p>
    <w:p w14:paraId="0A492981" w14:textId="77777777" w:rsidR="00AD02F6" w:rsidRPr="00AD02F6" w:rsidRDefault="00AD02F6" w:rsidP="00AD02F6">
      <w:pPr>
        <w:tabs>
          <w:tab w:val="left" w:pos="851"/>
        </w:tabs>
        <w:ind w:left="851"/>
        <w:rPr>
          <w:sz w:val="24"/>
          <w:szCs w:val="24"/>
        </w:rPr>
      </w:pPr>
      <w:r w:rsidRPr="00AD02F6">
        <w:rPr>
          <w:sz w:val="24"/>
          <w:szCs w:val="24"/>
        </w:rPr>
        <w:t xml:space="preserve">Ved meget høje doser kan det </w:t>
      </w:r>
      <w:proofErr w:type="spellStart"/>
      <w:r w:rsidRPr="00AD02F6">
        <w:rPr>
          <w:sz w:val="24"/>
          <w:szCs w:val="24"/>
        </w:rPr>
        <w:t>intrakranielle</w:t>
      </w:r>
      <w:proofErr w:type="spellEnd"/>
      <w:r w:rsidRPr="00AD02F6">
        <w:rPr>
          <w:sz w:val="24"/>
          <w:szCs w:val="24"/>
        </w:rPr>
        <w:t xml:space="preserve"> tryk stige. Det kan føre til cerebrale symptomer. </w:t>
      </w:r>
    </w:p>
    <w:p w14:paraId="33C9F9DA" w14:textId="77777777" w:rsidR="00AD02F6" w:rsidRPr="00AD02F6" w:rsidRDefault="00AD02F6" w:rsidP="00AD02F6">
      <w:pPr>
        <w:tabs>
          <w:tab w:val="left" w:pos="851"/>
        </w:tabs>
        <w:ind w:left="851"/>
        <w:rPr>
          <w:sz w:val="24"/>
          <w:szCs w:val="24"/>
          <w:u w:val="single"/>
        </w:rPr>
      </w:pPr>
    </w:p>
    <w:p w14:paraId="6682FEAE" w14:textId="77777777" w:rsidR="00AD02F6" w:rsidRPr="00AD02F6" w:rsidRDefault="00AD02F6" w:rsidP="00AD02F6">
      <w:pPr>
        <w:tabs>
          <w:tab w:val="left" w:pos="851"/>
        </w:tabs>
        <w:ind w:left="851"/>
        <w:rPr>
          <w:i/>
          <w:sz w:val="24"/>
          <w:szCs w:val="24"/>
        </w:rPr>
      </w:pPr>
      <w:r w:rsidRPr="00AD02F6">
        <w:rPr>
          <w:i/>
          <w:sz w:val="24"/>
          <w:szCs w:val="24"/>
        </w:rPr>
        <w:t>Generel procedure</w:t>
      </w:r>
    </w:p>
    <w:p w14:paraId="4A7134EC"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Stop administrationen af lægemidlet</w:t>
      </w:r>
    </w:p>
    <w:p w14:paraId="74082829" w14:textId="77777777" w:rsidR="00AD02F6" w:rsidRPr="00AD02F6" w:rsidRDefault="00AD02F6" w:rsidP="00AD02F6">
      <w:pPr>
        <w:numPr>
          <w:ilvl w:val="0"/>
          <w:numId w:val="6"/>
        </w:numPr>
        <w:tabs>
          <w:tab w:val="clear" w:pos="720"/>
          <w:tab w:val="left" w:pos="851"/>
        </w:tabs>
        <w:ind w:left="1134" w:hanging="283"/>
        <w:rPr>
          <w:sz w:val="24"/>
          <w:szCs w:val="24"/>
        </w:rPr>
      </w:pPr>
      <w:r w:rsidRPr="00AD02F6">
        <w:rPr>
          <w:sz w:val="24"/>
          <w:szCs w:val="24"/>
        </w:rPr>
        <w:t>Generelle foranstaltninger i tilfælde af nitratrelateret hypotension:</w:t>
      </w:r>
    </w:p>
    <w:p w14:paraId="77F99258" w14:textId="77777777" w:rsidR="00AD02F6" w:rsidRPr="00AD02F6" w:rsidRDefault="00AD02F6" w:rsidP="001A0419">
      <w:pPr>
        <w:numPr>
          <w:ilvl w:val="1"/>
          <w:numId w:val="7"/>
        </w:numPr>
        <w:tabs>
          <w:tab w:val="left" w:pos="851"/>
          <w:tab w:val="left" w:pos="1418"/>
        </w:tabs>
        <w:ind w:left="1418" w:hanging="306"/>
        <w:rPr>
          <w:sz w:val="24"/>
          <w:szCs w:val="24"/>
        </w:rPr>
      </w:pPr>
      <w:r w:rsidRPr="00AD02F6">
        <w:rPr>
          <w:sz w:val="24"/>
          <w:szCs w:val="24"/>
        </w:rPr>
        <w:t>Placer patienten i liggende stilling med hovedet nedad og benene hævet. Læg om nødvendigt patientens ben i kompressionsbandage.</w:t>
      </w:r>
    </w:p>
    <w:p w14:paraId="3C703813" w14:textId="77777777" w:rsidR="00AD02F6" w:rsidRPr="00AD02F6" w:rsidRDefault="00AD02F6" w:rsidP="001A0419">
      <w:pPr>
        <w:numPr>
          <w:ilvl w:val="1"/>
          <w:numId w:val="7"/>
        </w:numPr>
        <w:tabs>
          <w:tab w:val="left" w:pos="851"/>
          <w:tab w:val="left" w:pos="1418"/>
        </w:tabs>
        <w:ind w:left="1418" w:hanging="306"/>
        <w:rPr>
          <w:sz w:val="24"/>
          <w:szCs w:val="24"/>
        </w:rPr>
      </w:pPr>
      <w:r w:rsidRPr="00AD02F6">
        <w:rPr>
          <w:sz w:val="24"/>
          <w:szCs w:val="24"/>
        </w:rPr>
        <w:t>Giv supplerende ilt.</w:t>
      </w:r>
    </w:p>
    <w:p w14:paraId="3823FF5A" w14:textId="77777777" w:rsidR="00AD02F6" w:rsidRPr="00AD02F6" w:rsidRDefault="00AD02F6" w:rsidP="001A0419">
      <w:pPr>
        <w:numPr>
          <w:ilvl w:val="1"/>
          <w:numId w:val="7"/>
        </w:numPr>
        <w:tabs>
          <w:tab w:val="left" w:pos="851"/>
          <w:tab w:val="left" w:pos="1418"/>
        </w:tabs>
        <w:ind w:left="1418" w:hanging="306"/>
        <w:rPr>
          <w:sz w:val="24"/>
          <w:szCs w:val="24"/>
        </w:rPr>
      </w:pPr>
      <w:r w:rsidRPr="00AD02F6">
        <w:rPr>
          <w:sz w:val="24"/>
          <w:szCs w:val="24"/>
        </w:rPr>
        <w:t>Øg plasmavolumen (</w:t>
      </w:r>
      <w:proofErr w:type="spellStart"/>
      <w:r w:rsidRPr="00AD02F6">
        <w:rPr>
          <w:sz w:val="24"/>
          <w:szCs w:val="24"/>
        </w:rPr>
        <w:t>i.v</w:t>
      </w:r>
      <w:proofErr w:type="spellEnd"/>
      <w:r w:rsidRPr="00AD02F6">
        <w:rPr>
          <w:sz w:val="24"/>
          <w:szCs w:val="24"/>
        </w:rPr>
        <w:t>. væsker).</w:t>
      </w:r>
    </w:p>
    <w:p w14:paraId="5808005A" w14:textId="77777777" w:rsidR="00AD02F6" w:rsidRPr="00AD02F6" w:rsidRDefault="00AD02F6" w:rsidP="001A0419">
      <w:pPr>
        <w:numPr>
          <w:ilvl w:val="1"/>
          <w:numId w:val="7"/>
        </w:numPr>
        <w:tabs>
          <w:tab w:val="left" w:pos="851"/>
          <w:tab w:val="left" w:pos="1418"/>
        </w:tabs>
        <w:ind w:left="1418" w:hanging="306"/>
        <w:rPr>
          <w:sz w:val="24"/>
          <w:szCs w:val="24"/>
        </w:rPr>
      </w:pPr>
      <w:r w:rsidRPr="00AD02F6">
        <w:rPr>
          <w:sz w:val="24"/>
          <w:szCs w:val="24"/>
        </w:rPr>
        <w:t xml:space="preserve">Giv relevant behandling af </w:t>
      </w:r>
      <w:proofErr w:type="spellStart"/>
      <w:r w:rsidRPr="00AD02F6">
        <w:rPr>
          <w:sz w:val="24"/>
          <w:szCs w:val="24"/>
        </w:rPr>
        <w:t>shocktilstanden</w:t>
      </w:r>
      <w:proofErr w:type="spellEnd"/>
      <w:r w:rsidRPr="00AD02F6">
        <w:rPr>
          <w:sz w:val="24"/>
          <w:szCs w:val="24"/>
        </w:rPr>
        <w:t xml:space="preserve"> (send patienten på intensivafdelingen).</w:t>
      </w:r>
    </w:p>
    <w:p w14:paraId="460262AC" w14:textId="77777777" w:rsidR="00AD02F6" w:rsidRPr="00AD02F6" w:rsidRDefault="00AD02F6" w:rsidP="00AD02F6">
      <w:pPr>
        <w:tabs>
          <w:tab w:val="left" w:pos="851"/>
        </w:tabs>
        <w:ind w:left="851"/>
        <w:rPr>
          <w:sz w:val="24"/>
          <w:szCs w:val="24"/>
        </w:rPr>
      </w:pPr>
    </w:p>
    <w:p w14:paraId="6490427D" w14:textId="77777777" w:rsidR="00AD02F6" w:rsidRPr="00AD02F6" w:rsidRDefault="00AD02F6" w:rsidP="00AD02F6">
      <w:pPr>
        <w:tabs>
          <w:tab w:val="left" w:pos="851"/>
        </w:tabs>
        <w:ind w:left="851"/>
        <w:rPr>
          <w:i/>
          <w:sz w:val="24"/>
          <w:szCs w:val="24"/>
        </w:rPr>
      </w:pPr>
      <w:r w:rsidRPr="00AD02F6">
        <w:rPr>
          <w:i/>
          <w:sz w:val="24"/>
          <w:szCs w:val="24"/>
        </w:rPr>
        <w:t>Særlige procedurer</w:t>
      </w:r>
    </w:p>
    <w:p w14:paraId="0D53A5BB" w14:textId="77777777" w:rsidR="00AD02F6" w:rsidRPr="00AD02F6" w:rsidRDefault="00AD02F6" w:rsidP="00F72402">
      <w:pPr>
        <w:numPr>
          <w:ilvl w:val="0"/>
          <w:numId w:val="6"/>
        </w:numPr>
        <w:tabs>
          <w:tab w:val="clear" w:pos="720"/>
          <w:tab w:val="left" w:pos="851"/>
        </w:tabs>
        <w:ind w:left="1134" w:hanging="283"/>
        <w:rPr>
          <w:sz w:val="24"/>
          <w:szCs w:val="24"/>
        </w:rPr>
      </w:pPr>
      <w:r w:rsidRPr="00AD02F6">
        <w:rPr>
          <w:sz w:val="24"/>
          <w:szCs w:val="24"/>
        </w:rPr>
        <w:t>øg blodtrykket, hvis det er meget lavt</w:t>
      </w:r>
    </w:p>
    <w:p w14:paraId="5D09B51F" w14:textId="77777777" w:rsidR="00AD02F6" w:rsidRPr="00AD02F6" w:rsidRDefault="00AD02F6" w:rsidP="00F72402">
      <w:pPr>
        <w:numPr>
          <w:ilvl w:val="0"/>
          <w:numId w:val="6"/>
        </w:numPr>
        <w:tabs>
          <w:tab w:val="clear" w:pos="720"/>
          <w:tab w:val="left" w:pos="851"/>
        </w:tabs>
        <w:ind w:left="1134" w:hanging="283"/>
        <w:rPr>
          <w:sz w:val="24"/>
          <w:szCs w:val="24"/>
        </w:rPr>
      </w:pPr>
      <w:r w:rsidRPr="00AD02F6">
        <w:rPr>
          <w:sz w:val="24"/>
          <w:szCs w:val="24"/>
        </w:rPr>
        <w:t xml:space="preserve">yderligere administration af </w:t>
      </w:r>
      <w:proofErr w:type="spellStart"/>
      <w:r w:rsidRPr="00AD02F6">
        <w:rPr>
          <w:sz w:val="24"/>
          <w:szCs w:val="24"/>
        </w:rPr>
        <w:t>vasokonstriktorer</w:t>
      </w:r>
      <w:proofErr w:type="spellEnd"/>
      <w:r w:rsidRPr="00AD02F6">
        <w:rPr>
          <w:sz w:val="24"/>
          <w:szCs w:val="24"/>
        </w:rPr>
        <w:t xml:space="preserve">, f.eks. </w:t>
      </w:r>
      <w:proofErr w:type="spellStart"/>
      <w:r w:rsidRPr="00AD02F6">
        <w:rPr>
          <w:sz w:val="24"/>
          <w:szCs w:val="24"/>
        </w:rPr>
        <w:t>noradrenalinhydrochlorid</w:t>
      </w:r>
      <w:proofErr w:type="spellEnd"/>
    </w:p>
    <w:p w14:paraId="58765D52" w14:textId="77777777" w:rsidR="00AD02F6" w:rsidRPr="00AD02F6" w:rsidRDefault="00AD02F6" w:rsidP="00F72402">
      <w:pPr>
        <w:numPr>
          <w:ilvl w:val="0"/>
          <w:numId w:val="6"/>
        </w:numPr>
        <w:tabs>
          <w:tab w:val="clear" w:pos="720"/>
          <w:tab w:val="left" w:pos="851"/>
        </w:tabs>
        <w:ind w:left="1134" w:hanging="283"/>
        <w:rPr>
          <w:sz w:val="24"/>
          <w:szCs w:val="24"/>
        </w:rPr>
      </w:pPr>
      <w:r w:rsidRPr="00AD02F6">
        <w:rPr>
          <w:sz w:val="24"/>
          <w:szCs w:val="24"/>
        </w:rPr>
        <w:t xml:space="preserve">behandling af </w:t>
      </w:r>
      <w:proofErr w:type="spellStart"/>
      <w:r w:rsidRPr="00AD02F6">
        <w:rPr>
          <w:sz w:val="24"/>
          <w:szCs w:val="24"/>
        </w:rPr>
        <w:t>methæmoglobinæmi</w:t>
      </w:r>
      <w:proofErr w:type="spellEnd"/>
    </w:p>
    <w:p w14:paraId="4FE704AE" w14:textId="77777777" w:rsidR="00AD02F6" w:rsidRPr="00AD02F6" w:rsidRDefault="00AD02F6" w:rsidP="00F72402">
      <w:pPr>
        <w:numPr>
          <w:ilvl w:val="1"/>
          <w:numId w:val="7"/>
        </w:numPr>
        <w:tabs>
          <w:tab w:val="left" w:pos="851"/>
        </w:tabs>
        <w:ind w:left="1418" w:hanging="284"/>
        <w:rPr>
          <w:sz w:val="24"/>
          <w:szCs w:val="24"/>
        </w:rPr>
      </w:pPr>
      <w:r w:rsidRPr="00AD02F6">
        <w:rPr>
          <w:sz w:val="24"/>
          <w:szCs w:val="24"/>
        </w:rPr>
        <w:t xml:space="preserve">valgt reduktionsbehandling med C-vitamin, metylenblåt eller </w:t>
      </w:r>
      <w:proofErr w:type="spellStart"/>
      <w:r w:rsidRPr="00AD02F6">
        <w:rPr>
          <w:sz w:val="24"/>
          <w:szCs w:val="24"/>
        </w:rPr>
        <w:t>toluidinblåt</w:t>
      </w:r>
      <w:proofErr w:type="spellEnd"/>
    </w:p>
    <w:p w14:paraId="6CAB64A5" w14:textId="77777777" w:rsidR="00AD02F6" w:rsidRPr="00AD02F6" w:rsidRDefault="00AD02F6" w:rsidP="00F72402">
      <w:pPr>
        <w:numPr>
          <w:ilvl w:val="1"/>
          <w:numId w:val="7"/>
        </w:numPr>
        <w:tabs>
          <w:tab w:val="left" w:pos="851"/>
        </w:tabs>
        <w:ind w:left="1418" w:hanging="284"/>
        <w:rPr>
          <w:sz w:val="24"/>
          <w:szCs w:val="24"/>
        </w:rPr>
      </w:pPr>
      <w:r w:rsidRPr="00AD02F6">
        <w:rPr>
          <w:sz w:val="24"/>
          <w:szCs w:val="24"/>
        </w:rPr>
        <w:t>giv ilt (hvis nødvendigt)</w:t>
      </w:r>
    </w:p>
    <w:p w14:paraId="0640FB31" w14:textId="77777777" w:rsidR="00AD02F6" w:rsidRPr="00AD02F6" w:rsidRDefault="00AD02F6" w:rsidP="00F72402">
      <w:pPr>
        <w:numPr>
          <w:ilvl w:val="1"/>
          <w:numId w:val="7"/>
        </w:numPr>
        <w:tabs>
          <w:tab w:val="left" w:pos="851"/>
        </w:tabs>
        <w:ind w:left="1418" w:hanging="284"/>
        <w:rPr>
          <w:sz w:val="24"/>
          <w:szCs w:val="24"/>
        </w:rPr>
      </w:pPr>
      <w:r w:rsidRPr="00AD02F6">
        <w:rPr>
          <w:sz w:val="24"/>
          <w:szCs w:val="24"/>
        </w:rPr>
        <w:t>igangsæt kunstig ventilation</w:t>
      </w:r>
    </w:p>
    <w:p w14:paraId="05F133FD" w14:textId="77777777" w:rsidR="00AD02F6" w:rsidRPr="00AD02F6" w:rsidRDefault="00AD02F6" w:rsidP="00F72402">
      <w:pPr>
        <w:numPr>
          <w:ilvl w:val="1"/>
          <w:numId w:val="7"/>
        </w:numPr>
        <w:tabs>
          <w:tab w:val="left" w:pos="851"/>
        </w:tabs>
        <w:ind w:left="1418" w:hanging="284"/>
        <w:rPr>
          <w:sz w:val="24"/>
          <w:szCs w:val="24"/>
        </w:rPr>
      </w:pPr>
      <w:r w:rsidRPr="00AD02F6">
        <w:rPr>
          <w:sz w:val="24"/>
          <w:szCs w:val="24"/>
        </w:rPr>
        <w:t>hæmodialyse (hvis nødvendigt)</w:t>
      </w:r>
    </w:p>
    <w:p w14:paraId="11641255" w14:textId="77777777" w:rsidR="00AD02F6" w:rsidRPr="00AD02F6" w:rsidRDefault="00AD02F6" w:rsidP="00F72402">
      <w:pPr>
        <w:ind w:left="1134"/>
        <w:rPr>
          <w:sz w:val="24"/>
          <w:szCs w:val="24"/>
        </w:rPr>
      </w:pPr>
      <w:proofErr w:type="spellStart"/>
      <w:r w:rsidRPr="00AD02F6">
        <w:rPr>
          <w:sz w:val="24"/>
          <w:szCs w:val="24"/>
        </w:rPr>
        <w:t>Methæmoglobinæmi</w:t>
      </w:r>
      <w:proofErr w:type="spellEnd"/>
      <w:r w:rsidRPr="00AD02F6">
        <w:rPr>
          <w:sz w:val="24"/>
          <w:szCs w:val="24"/>
        </w:rPr>
        <w:t xml:space="preserve"> må ikke behandles med metylenblåt, hvis patienten har glucose-6-fosfatmangel eller </w:t>
      </w:r>
      <w:proofErr w:type="spellStart"/>
      <w:r w:rsidRPr="00AD02F6">
        <w:rPr>
          <w:sz w:val="24"/>
          <w:szCs w:val="24"/>
        </w:rPr>
        <w:t>methæmoglobinreduktasemangel</w:t>
      </w:r>
      <w:proofErr w:type="spellEnd"/>
      <w:r w:rsidRPr="00AD02F6">
        <w:rPr>
          <w:sz w:val="24"/>
          <w:szCs w:val="24"/>
        </w:rPr>
        <w:t xml:space="preserve"> (se også pkt. 4.4). Når denne behandling er kontraindiceret eller uden virkning, anbefales udskiftningstransfusion og/eller transfusion med erytrocytkoncentrat.</w:t>
      </w:r>
    </w:p>
    <w:p w14:paraId="471FFACE" w14:textId="77777777" w:rsidR="00AD02F6" w:rsidRPr="00AD02F6" w:rsidRDefault="00AD02F6" w:rsidP="00F72402">
      <w:pPr>
        <w:numPr>
          <w:ilvl w:val="0"/>
          <w:numId w:val="6"/>
        </w:numPr>
        <w:tabs>
          <w:tab w:val="left" w:pos="851"/>
        </w:tabs>
        <w:ind w:left="1134" w:hanging="283"/>
        <w:rPr>
          <w:sz w:val="24"/>
          <w:szCs w:val="24"/>
        </w:rPr>
      </w:pPr>
      <w:r w:rsidRPr="00AD02F6">
        <w:rPr>
          <w:sz w:val="24"/>
          <w:szCs w:val="24"/>
        </w:rPr>
        <w:t>genoplivningsforanstaltninger</w:t>
      </w:r>
    </w:p>
    <w:p w14:paraId="30E585F5" w14:textId="77777777" w:rsidR="00AD02F6" w:rsidRPr="00AD02F6" w:rsidRDefault="00AD02F6" w:rsidP="00AD02F6">
      <w:pPr>
        <w:tabs>
          <w:tab w:val="left" w:pos="851"/>
        </w:tabs>
        <w:ind w:left="851"/>
        <w:rPr>
          <w:sz w:val="24"/>
          <w:szCs w:val="24"/>
        </w:rPr>
      </w:pPr>
      <w:r w:rsidRPr="00AD02F6">
        <w:rPr>
          <w:sz w:val="24"/>
          <w:szCs w:val="24"/>
        </w:rPr>
        <w:t>I tilfælde af tegn på respirations- og kredsløbsstop, initieres genoplivningsforanstaltninger omgående.</w:t>
      </w:r>
    </w:p>
    <w:p w14:paraId="159C6978" w14:textId="77777777" w:rsidR="009260DE" w:rsidRPr="00C84483" w:rsidRDefault="009260DE" w:rsidP="009260DE">
      <w:pPr>
        <w:tabs>
          <w:tab w:val="left" w:pos="851"/>
        </w:tabs>
        <w:ind w:left="851"/>
        <w:rPr>
          <w:sz w:val="24"/>
          <w:szCs w:val="24"/>
        </w:rPr>
      </w:pPr>
    </w:p>
    <w:p w14:paraId="2C86E14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4D7C7173" w14:textId="51553F09" w:rsidR="009260DE" w:rsidRPr="00C84483" w:rsidRDefault="00C6782C" w:rsidP="009260DE">
      <w:pPr>
        <w:tabs>
          <w:tab w:val="left" w:pos="851"/>
        </w:tabs>
        <w:ind w:left="851"/>
        <w:rPr>
          <w:sz w:val="24"/>
          <w:szCs w:val="24"/>
        </w:rPr>
      </w:pPr>
      <w:r>
        <w:rPr>
          <w:sz w:val="24"/>
          <w:szCs w:val="24"/>
        </w:rPr>
        <w:t>B</w:t>
      </w:r>
    </w:p>
    <w:p w14:paraId="3A1925C4" w14:textId="77777777" w:rsidR="009260DE" w:rsidRPr="00C84483" w:rsidRDefault="009260DE" w:rsidP="009260DE">
      <w:pPr>
        <w:tabs>
          <w:tab w:val="left" w:pos="851"/>
        </w:tabs>
        <w:ind w:left="851"/>
        <w:rPr>
          <w:sz w:val="24"/>
          <w:szCs w:val="24"/>
        </w:rPr>
      </w:pPr>
    </w:p>
    <w:p w14:paraId="71CA93A3" w14:textId="77777777" w:rsidR="009260DE" w:rsidRPr="00C84483" w:rsidRDefault="009260DE" w:rsidP="009260DE">
      <w:pPr>
        <w:tabs>
          <w:tab w:val="left" w:pos="851"/>
        </w:tabs>
        <w:ind w:left="851"/>
        <w:rPr>
          <w:sz w:val="24"/>
          <w:szCs w:val="24"/>
        </w:rPr>
      </w:pPr>
    </w:p>
    <w:p w14:paraId="038EC057"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6758148" w14:textId="77777777" w:rsidR="009260DE" w:rsidRPr="00C84483" w:rsidRDefault="009260DE" w:rsidP="009260DE">
      <w:pPr>
        <w:tabs>
          <w:tab w:val="left" w:pos="851"/>
        </w:tabs>
        <w:ind w:left="851"/>
        <w:rPr>
          <w:sz w:val="24"/>
          <w:szCs w:val="24"/>
        </w:rPr>
      </w:pPr>
    </w:p>
    <w:p w14:paraId="34ED590F"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11D3E2B0" w14:textId="77777777" w:rsidR="0083209B" w:rsidRPr="0083209B" w:rsidRDefault="0083209B" w:rsidP="0083209B">
      <w:pPr>
        <w:tabs>
          <w:tab w:val="left" w:pos="851"/>
        </w:tabs>
        <w:ind w:left="851"/>
        <w:rPr>
          <w:sz w:val="24"/>
          <w:szCs w:val="24"/>
        </w:rPr>
      </w:pPr>
      <w:proofErr w:type="spellStart"/>
      <w:r w:rsidRPr="0083209B">
        <w:rPr>
          <w:sz w:val="24"/>
          <w:szCs w:val="24"/>
        </w:rPr>
        <w:t>Farmakoterapeutisk</w:t>
      </w:r>
      <w:proofErr w:type="spellEnd"/>
      <w:r w:rsidRPr="0083209B">
        <w:rPr>
          <w:sz w:val="24"/>
          <w:szCs w:val="24"/>
        </w:rPr>
        <w:t xml:space="preserve"> gruppe: Organiske nitrater, ATC-kode: C01DA02.</w:t>
      </w:r>
    </w:p>
    <w:p w14:paraId="08AC3163" w14:textId="77777777" w:rsidR="0083209B" w:rsidRPr="0083209B" w:rsidRDefault="0083209B" w:rsidP="0083209B">
      <w:pPr>
        <w:tabs>
          <w:tab w:val="left" w:pos="851"/>
        </w:tabs>
        <w:ind w:left="851"/>
        <w:rPr>
          <w:sz w:val="24"/>
          <w:szCs w:val="24"/>
        </w:rPr>
      </w:pPr>
    </w:p>
    <w:p w14:paraId="50EF6653" w14:textId="77777777" w:rsidR="0083209B" w:rsidRPr="0083209B" w:rsidRDefault="0083209B" w:rsidP="0083209B">
      <w:pPr>
        <w:tabs>
          <w:tab w:val="left" w:pos="851"/>
        </w:tabs>
        <w:ind w:left="851"/>
        <w:rPr>
          <w:sz w:val="24"/>
          <w:szCs w:val="24"/>
        </w:rPr>
      </w:pPr>
      <w:proofErr w:type="spellStart"/>
      <w:r w:rsidRPr="0083209B">
        <w:rPr>
          <w:sz w:val="24"/>
          <w:szCs w:val="24"/>
        </w:rPr>
        <w:t>Glyceryltrinitrat</w:t>
      </w:r>
      <w:proofErr w:type="spellEnd"/>
      <w:r w:rsidRPr="0083209B">
        <w:rPr>
          <w:sz w:val="24"/>
          <w:szCs w:val="24"/>
        </w:rPr>
        <w:t xml:space="preserve"> har en direkte afslappende virkning på den glatte muskulatur i blodkarrene, hvilket fremkalder vasodilatation. Ved terapeutiske doser er virkningen mere signifikant i </w:t>
      </w:r>
      <w:proofErr w:type="spellStart"/>
      <w:r w:rsidRPr="0083209B">
        <w:rPr>
          <w:sz w:val="24"/>
          <w:szCs w:val="24"/>
        </w:rPr>
        <w:t>postkapillære</w:t>
      </w:r>
      <w:proofErr w:type="spellEnd"/>
      <w:r w:rsidRPr="0083209B">
        <w:rPr>
          <w:sz w:val="24"/>
          <w:szCs w:val="24"/>
        </w:rPr>
        <w:t xml:space="preserve"> </w:t>
      </w:r>
      <w:proofErr w:type="spellStart"/>
      <w:r w:rsidRPr="0083209B">
        <w:rPr>
          <w:sz w:val="24"/>
          <w:szCs w:val="24"/>
        </w:rPr>
        <w:t>venoler</w:t>
      </w:r>
      <w:proofErr w:type="spellEnd"/>
      <w:r w:rsidRPr="0083209B">
        <w:rPr>
          <w:sz w:val="24"/>
          <w:szCs w:val="24"/>
        </w:rPr>
        <w:t xml:space="preserve"> end i </w:t>
      </w:r>
      <w:proofErr w:type="spellStart"/>
      <w:r w:rsidRPr="0083209B">
        <w:rPr>
          <w:sz w:val="24"/>
          <w:szCs w:val="24"/>
        </w:rPr>
        <w:t>arterioler</w:t>
      </w:r>
      <w:proofErr w:type="spellEnd"/>
      <w:r w:rsidRPr="0083209B">
        <w:rPr>
          <w:sz w:val="24"/>
          <w:szCs w:val="24"/>
        </w:rPr>
        <w:t xml:space="preserve">. I koronararterierne er </w:t>
      </w:r>
      <w:proofErr w:type="spellStart"/>
      <w:r w:rsidRPr="0083209B">
        <w:rPr>
          <w:sz w:val="24"/>
          <w:szCs w:val="24"/>
        </w:rPr>
        <w:t>glyceryltrinitrats</w:t>
      </w:r>
      <w:proofErr w:type="spellEnd"/>
      <w:r w:rsidRPr="0083209B">
        <w:rPr>
          <w:sz w:val="24"/>
          <w:szCs w:val="24"/>
        </w:rPr>
        <w:t xml:space="preserve"> </w:t>
      </w:r>
      <w:proofErr w:type="spellStart"/>
      <w:r w:rsidRPr="0083209B">
        <w:rPr>
          <w:sz w:val="24"/>
          <w:szCs w:val="24"/>
        </w:rPr>
        <w:t>vasodilaterende</w:t>
      </w:r>
      <w:proofErr w:type="spellEnd"/>
      <w:r w:rsidRPr="0083209B">
        <w:rPr>
          <w:sz w:val="24"/>
          <w:szCs w:val="24"/>
        </w:rPr>
        <w:t xml:space="preserve"> virkning primært rettet mod de store </w:t>
      </w:r>
      <w:proofErr w:type="spellStart"/>
      <w:r w:rsidRPr="0083209B">
        <w:rPr>
          <w:sz w:val="24"/>
          <w:szCs w:val="24"/>
        </w:rPr>
        <w:t>epikardielle</w:t>
      </w:r>
      <w:proofErr w:type="spellEnd"/>
      <w:r w:rsidRPr="0083209B">
        <w:rPr>
          <w:sz w:val="24"/>
          <w:szCs w:val="24"/>
        </w:rPr>
        <w:t xml:space="preserve"> kar, mens virkningen på små </w:t>
      </w:r>
      <w:proofErr w:type="spellStart"/>
      <w:r w:rsidRPr="0083209B">
        <w:rPr>
          <w:sz w:val="24"/>
          <w:szCs w:val="24"/>
        </w:rPr>
        <w:t>arterioler</w:t>
      </w:r>
      <w:proofErr w:type="spellEnd"/>
      <w:r w:rsidRPr="0083209B">
        <w:rPr>
          <w:sz w:val="24"/>
          <w:szCs w:val="24"/>
        </w:rPr>
        <w:t xml:space="preserve"> er begrænset. Dette forhindrer udvikling af </w:t>
      </w:r>
      <w:proofErr w:type="spellStart"/>
      <w:r w:rsidRPr="0083209B">
        <w:rPr>
          <w:sz w:val="24"/>
          <w:szCs w:val="24"/>
        </w:rPr>
        <w:t>steal</w:t>
      </w:r>
      <w:proofErr w:type="spellEnd"/>
      <w:r w:rsidRPr="0083209B">
        <w:rPr>
          <w:sz w:val="24"/>
          <w:szCs w:val="24"/>
        </w:rPr>
        <w:t>-syndrom. Vasodilatationen medfører øget venekapacitet (“</w:t>
      </w:r>
      <w:proofErr w:type="spellStart"/>
      <w:r w:rsidRPr="0083209B">
        <w:rPr>
          <w:sz w:val="24"/>
          <w:szCs w:val="24"/>
        </w:rPr>
        <w:t>pooling</w:t>
      </w:r>
      <w:proofErr w:type="spellEnd"/>
      <w:r w:rsidRPr="0083209B">
        <w:rPr>
          <w:sz w:val="24"/>
          <w:szCs w:val="24"/>
        </w:rPr>
        <w:t>”). Det fører til reduceret venøst tilbageløb til hjertet (“</w:t>
      </w:r>
      <w:proofErr w:type="spellStart"/>
      <w:r w:rsidRPr="0083209B">
        <w:rPr>
          <w:sz w:val="24"/>
          <w:szCs w:val="24"/>
        </w:rPr>
        <w:t>preload</w:t>
      </w:r>
      <w:proofErr w:type="spellEnd"/>
      <w:r w:rsidRPr="0083209B">
        <w:rPr>
          <w:sz w:val="24"/>
          <w:szCs w:val="24"/>
        </w:rPr>
        <w:t xml:space="preserve">”) og et fald i ventrikelvolumen og fyldningstrykket. Mindsket ventrikeldiameter og mindsket belastning på venevæggene reducerer energiforbruget og iltbehovet i hjertet. Fald i det </w:t>
      </w:r>
      <w:proofErr w:type="spellStart"/>
      <w:r w:rsidRPr="0083209B">
        <w:rPr>
          <w:sz w:val="24"/>
          <w:szCs w:val="24"/>
        </w:rPr>
        <w:t>intraventrikulære</w:t>
      </w:r>
      <w:proofErr w:type="spellEnd"/>
      <w:r w:rsidRPr="0083209B">
        <w:rPr>
          <w:sz w:val="24"/>
          <w:szCs w:val="24"/>
        </w:rPr>
        <w:t xml:space="preserve"> tryk letter den </w:t>
      </w:r>
      <w:proofErr w:type="spellStart"/>
      <w:r w:rsidRPr="0083209B">
        <w:rPr>
          <w:sz w:val="24"/>
          <w:szCs w:val="24"/>
        </w:rPr>
        <w:t>subendokardielle</w:t>
      </w:r>
      <w:proofErr w:type="spellEnd"/>
      <w:r w:rsidRPr="0083209B">
        <w:rPr>
          <w:sz w:val="24"/>
          <w:szCs w:val="24"/>
        </w:rPr>
        <w:t xml:space="preserve"> blodcirkulation i hjertevæggen og forbedrer hjertevæggens </w:t>
      </w:r>
      <w:proofErr w:type="spellStart"/>
      <w:r w:rsidRPr="0083209B">
        <w:rPr>
          <w:sz w:val="24"/>
          <w:szCs w:val="24"/>
        </w:rPr>
        <w:t>kontraktilitet</w:t>
      </w:r>
      <w:proofErr w:type="spellEnd"/>
      <w:r w:rsidRPr="0083209B">
        <w:rPr>
          <w:sz w:val="24"/>
          <w:szCs w:val="24"/>
        </w:rPr>
        <w:t xml:space="preserve"> og slagvolumen.</w:t>
      </w:r>
    </w:p>
    <w:p w14:paraId="0B35634F" w14:textId="77777777" w:rsidR="0083209B" w:rsidRPr="0083209B" w:rsidRDefault="0083209B" w:rsidP="0083209B">
      <w:pPr>
        <w:tabs>
          <w:tab w:val="left" w:pos="851"/>
        </w:tabs>
        <w:ind w:left="851"/>
        <w:rPr>
          <w:sz w:val="24"/>
          <w:szCs w:val="24"/>
        </w:rPr>
      </w:pPr>
    </w:p>
    <w:p w14:paraId="1A2F896B" w14:textId="77777777" w:rsidR="0083209B" w:rsidRPr="0083209B" w:rsidRDefault="0083209B" w:rsidP="0083209B">
      <w:pPr>
        <w:tabs>
          <w:tab w:val="left" w:pos="851"/>
        </w:tabs>
        <w:ind w:left="851"/>
        <w:rPr>
          <w:sz w:val="24"/>
          <w:szCs w:val="24"/>
        </w:rPr>
      </w:pPr>
      <w:r w:rsidRPr="0083209B">
        <w:rPr>
          <w:sz w:val="24"/>
          <w:szCs w:val="24"/>
        </w:rPr>
        <w:t>Arteriedilatationen sænker både det systemiske tryk (“</w:t>
      </w:r>
      <w:proofErr w:type="spellStart"/>
      <w:r w:rsidRPr="0083209B">
        <w:rPr>
          <w:sz w:val="24"/>
          <w:szCs w:val="24"/>
        </w:rPr>
        <w:t>afterload</w:t>
      </w:r>
      <w:proofErr w:type="spellEnd"/>
      <w:r w:rsidRPr="0083209B">
        <w:rPr>
          <w:sz w:val="24"/>
          <w:szCs w:val="24"/>
        </w:rPr>
        <w:t>”) og trykket i lungekredsløbet.</w:t>
      </w:r>
    </w:p>
    <w:p w14:paraId="2CB79ECC" w14:textId="77777777" w:rsidR="0083209B" w:rsidRPr="0083209B" w:rsidRDefault="0083209B" w:rsidP="0083209B">
      <w:pPr>
        <w:tabs>
          <w:tab w:val="left" w:pos="851"/>
        </w:tabs>
        <w:ind w:left="851"/>
        <w:rPr>
          <w:sz w:val="24"/>
          <w:szCs w:val="24"/>
        </w:rPr>
      </w:pPr>
    </w:p>
    <w:p w14:paraId="1B53B22E" w14:textId="77777777" w:rsidR="0083209B" w:rsidRPr="0083209B" w:rsidRDefault="0083209B" w:rsidP="0083209B">
      <w:pPr>
        <w:tabs>
          <w:tab w:val="left" w:pos="851"/>
        </w:tabs>
        <w:ind w:left="851"/>
        <w:rPr>
          <w:sz w:val="24"/>
          <w:szCs w:val="24"/>
        </w:rPr>
      </w:pPr>
      <w:proofErr w:type="spellStart"/>
      <w:r w:rsidRPr="0083209B">
        <w:rPr>
          <w:sz w:val="24"/>
          <w:szCs w:val="24"/>
        </w:rPr>
        <w:t>Glyceryltrinitrat</w:t>
      </w:r>
      <w:proofErr w:type="spellEnd"/>
      <w:r w:rsidRPr="0083209B">
        <w:rPr>
          <w:sz w:val="24"/>
          <w:szCs w:val="24"/>
        </w:rPr>
        <w:t xml:space="preserve"> afslapper også den glatte muskulatur og </w:t>
      </w:r>
      <w:proofErr w:type="spellStart"/>
      <w:r w:rsidRPr="0083209B">
        <w:rPr>
          <w:sz w:val="24"/>
          <w:szCs w:val="24"/>
        </w:rPr>
        <w:t>sfinkterne</w:t>
      </w:r>
      <w:proofErr w:type="spellEnd"/>
      <w:r w:rsidRPr="0083209B">
        <w:rPr>
          <w:sz w:val="24"/>
          <w:szCs w:val="24"/>
        </w:rPr>
        <w:t xml:space="preserve"> i bronkiolerne, mave-tarm-kanalen, urinlederne, galdeblæren, galdegangen og spiserøret samt i tynd- og tyktarmen.</w:t>
      </w:r>
    </w:p>
    <w:p w14:paraId="74E75FC8" w14:textId="77777777" w:rsidR="0083209B" w:rsidRPr="0083209B" w:rsidRDefault="0083209B" w:rsidP="0083209B">
      <w:pPr>
        <w:tabs>
          <w:tab w:val="left" w:pos="851"/>
        </w:tabs>
        <w:ind w:left="851"/>
        <w:rPr>
          <w:sz w:val="24"/>
          <w:szCs w:val="24"/>
        </w:rPr>
      </w:pPr>
    </w:p>
    <w:p w14:paraId="6B526A06" w14:textId="77777777" w:rsidR="0083209B" w:rsidRPr="0083209B" w:rsidRDefault="0083209B" w:rsidP="0083209B">
      <w:pPr>
        <w:tabs>
          <w:tab w:val="left" w:pos="851"/>
        </w:tabs>
        <w:ind w:left="851"/>
        <w:rPr>
          <w:sz w:val="24"/>
          <w:szCs w:val="24"/>
        </w:rPr>
      </w:pPr>
      <w:r w:rsidRPr="0083209B">
        <w:rPr>
          <w:sz w:val="24"/>
          <w:szCs w:val="24"/>
        </w:rPr>
        <w:t xml:space="preserve">På molekylært niveau dannes der reaktiv nitrogenoxid (NO) af nitrater på virkningsstedet. Denne nitrogenoxid er identisk med den endogene </w:t>
      </w:r>
      <w:proofErr w:type="spellStart"/>
      <w:r w:rsidRPr="0083209B">
        <w:rPr>
          <w:sz w:val="24"/>
          <w:szCs w:val="24"/>
        </w:rPr>
        <w:t>vasodilatator</w:t>
      </w:r>
      <w:proofErr w:type="spellEnd"/>
      <w:r w:rsidRPr="0083209B">
        <w:rPr>
          <w:sz w:val="24"/>
          <w:szCs w:val="24"/>
        </w:rPr>
        <w:t xml:space="preserve"> EDRF (“</w:t>
      </w:r>
      <w:proofErr w:type="spellStart"/>
      <w:r w:rsidRPr="0083209B">
        <w:rPr>
          <w:sz w:val="24"/>
          <w:szCs w:val="24"/>
        </w:rPr>
        <w:t>endothelium</w:t>
      </w:r>
      <w:proofErr w:type="spellEnd"/>
      <w:r w:rsidRPr="0083209B">
        <w:rPr>
          <w:sz w:val="24"/>
          <w:szCs w:val="24"/>
        </w:rPr>
        <w:t xml:space="preserve"> </w:t>
      </w:r>
      <w:proofErr w:type="spellStart"/>
      <w:r w:rsidRPr="0083209B">
        <w:rPr>
          <w:sz w:val="24"/>
          <w:szCs w:val="24"/>
        </w:rPr>
        <w:t>derived</w:t>
      </w:r>
      <w:proofErr w:type="spellEnd"/>
      <w:r w:rsidRPr="0083209B">
        <w:rPr>
          <w:sz w:val="24"/>
          <w:szCs w:val="24"/>
        </w:rPr>
        <w:t xml:space="preserve"> </w:t>
      </w:r>
      <w:proofErr w:type="spellStart"/>
      <w:r w:rsidRPr="0083209B">
        <w:rPr>
          <w:sz w:val="24"/>
          <w:szCs w:val="24"/>
        </w:rPr>
        <w:t>relaxing</w:t>
      </w:r>
      <w:proofErr w:type="spellEnd"/>
      <w:r w:rsidRPr="0083209B">
        <w:rPr>
          <w:sz w:val="24"/>
          <w:szCs w:val="24"/>
        </w:rPr>
        <w:t xml:space="preserve"> factor”). NO aktiverer enzymet </w:t>
      </w:r>
      <w:proofErr w:type="spellStart"/>
      <w:r w:rsidRPr="0083209B">
        <w:rPr>
          <w:sz w:val="24"/>
          <w:szCs w:val="24"/>
        </w:rPr>
        <w:t>guanylatcycklase</w:t>
      </w:r>
      <w:proofErr w:type="spellEnd"/>
      <w:r w:rsidRPr="0083209B">
        <w:rPr>
          <w:sz w:val="24"/>
          <w:szCs w:val="24"/>
        </w:rPr>
        <w:t xml:space="preserve"> til at danne cyklisk GMP, som medierer den nitratinducerede afslapning af den glatte muskulatur.</w:t>
      </w:r>
    </w:p>
    <w:p w14:paraId="53BA5773" w14:textId="77777777" w:rsidR="0083209B" w:rsidRPr="0083209B" w:rsidRDefault="0083209B" w:rsidP="0083209B">
      <w:pPr>
        <w:tabs>
          <w:tab w:val="left" w:pos="851"/>
        </w:tabs>
        <w:ind w:left="851"/>
        <w:rPr>
          <w:sz w:val="24"/>
          <w:szCs w:val="24"/>
        </w:rPr>
      </w:pPr>
    </w:p>
    <w:p w14:paraId="2EB9A694" w14:textId="3FDAA4B2" w:rsidR="0083209B" w:rsidRPr="0083209B" w:rsidRDefault="0083209B" w:rsidP="0083209B">
      <w:pPr>
        <w:tabs>
          <w:tab w:val="left" w:pos="851"/>
        </w:tabs>
        <w:ind w:left="851"/>
        <w:rPr>
          <w:sz w:val="24"/>
          <w:szCs w:val="24"/>
        </w:rPr>
      </w:pPr>
      <w:r w:rsidRPr="0083209B">
        <w:rPr>
          <w:sz w:val="24"/>
          <w:szCs w:val="24"/>
        </w:rPr>
        <w:t>Under anvendelse af Nitroglycerin "</w:t>
      </w:r>
      <w:proofErr w:type="spellStart"/>
      <w:r w:rsidR="00BE4AB6">
        <w:rPr>
          <w:sz w:val="24"/>
          <w:szCs w:val="24"/>
        </w:rPr>
        <w:t>Macure</w:t>
      </w:r>
      <w:proofErr w:type="spellEnd"/>
      <w:r w:rsidRPr="0083209B">
        <w:rPr>
          <w:sz w:val="24"/>
          <w:szCs w:val="24"/>
        </w:rPr>
        <w:t>" kan der udvikles tolerans mod den lindrende virkning på brystsmerter og mod antiiskæmiske virkninger. Der udvikles sædvanligvis tolerans, hvis produktet anvendes kontinuerligt, og høje nitratdoser forårsager tolerans hurtigere end lave doser. Ikke alle patienter udvikler tolerans.</w:t>
      </w:r>
    </w:p>
    <w:p w14:paraId="5D31A05D" w14:textId="77777777" w:rsidR="009260DE" w:rsidRPr="00C84483" w:rsidRDefault="009260DE" w:rsidP="009260DE">
      <w:pPr>
        <w:tabs>
          <w:tab w:val="left" w:pos="851"/>
        </w:tabs>
        <w:ind w:left="851"/>
        <w:rPr>
          <w:sz w:val="24"/>
          <w:szCs w:val="24"/>
        </w:rPr>
      </w:pPr>
    </w:p>
    <w:p w14:paraId="53E1FC81"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4EF59CBE" w14:textId="77777777" w:rsidR="00561C87" w:rsidRPr="00561C87" w:rsidRDefault="00561C87" w:rsidP="00561C87">
      <w:pPr>
        <w:tabs>
          <w:tab w:val="left" w:pos="851"/>
        </w:tabs>
        <w:ind w:left="851"/>
        <w:rPr>
          <w:sz w:val="24"/>
          <w:szCs w:val="24"/>
          <w:u w:val="single"/>
        </w:rPr>
      </w:pPr>
    </w:p>
    <w:p w14:paraId="3F8B13FE" w14:textId="77777777" w:rsidR="00561C87" w:rsidRPr="00561C87" w:rsidRDefault="00561C87" w:rsidP="00561C87">
      <w:pPr>
        <w:tabs>
          <w:tab w:val="left" w:pos="851"/>
        </w:tabs>
        <w:ind w:left="851"/>
        <w:rPr>
          <w:sz w:val="24"/>
          <w:szCs w:val="24"/>
          <w:u w:val="single"/>
        </w:rPr>
      </w:pPr>
      <w:r w:rsidRPr="00561C87">
        <w:rPr>
          <w:sz w:val="24"/>
          <w:szCs w:val="24"/>
          <w:u w:val="single"/>
        </w:rPr>
        <w:t>Generelt</w:t>
      </w:r>
    </w:p>
    <w:p w14:paraId="558AD17C" w14:textId="77777777" w:rsidR="00561C87" w:rsidRPr="00561C87" w:rsidRDefault="00561C87" w:rsidP="00561C87">
      <w:pPr>
        <w:tabs>
          <w:tab w:val="left" w:pos="851"/>
        </w:tabs>
        <w:ind w:left="851"/>
        <w:rPr>
          <w:sz w:val="24"/>
          <w:szCs w:val="24"/>
        </w:rPr>
      </w:pPr>
      <w:r w:rsidRPr="00561C87">
        <w:rPr>
          <w:sz w:val="24"/>
          <w:szCs w:val="24"/>
        </w:rPr>
        <w:t>Virkningen af en infusion indtræder efter 1</w:t>
      </w:r>
      <w:r w:rsidRPr="00561C87">
        <w:rPr>
          <w:sz w:val="24"/>
          <w:szCs w:val="24"/>
        </w:rPr>
        <w:noBreakHyphen/>
        <w:t xml:space="preserve">2 minutter. </w:t>
      </w:r>
      <w:proofErr w:type="spellStart"/>
      <w:r w:rsidRPr="00561C87">
        <w:rPr>
          <w:sz w:val="24"/>
          <w:szCs w:val="24"/>
        </w:rPr>
        <w:t>Glyceryltrinitrats</w:t>
      </w:r>
      <w:proofErr w:type="spellEnd"/>
      <w:r w:rsidRPr="00561C87">
        <w:rPr>
          <w:sz w:val="24"/>
          <w:szCs w:val="24"/>
        </w:rPr>
        <w:t xml:space="preserve"> fordelingsvolumen er ca. 2,1</w:t>
      </w:r>
      <w:r w:rsidRPr="00561C87">
        <w:rPr>
          <w:sz w:val="24"/>
          <w:szCs w:val="24"/>
        </w:rPr>
        <w:noBreakHyphen/>
        <w:t>4,5 l/kg. 60 % af lægemidlet er bundet til plasmaproteiner. Halveringstiden er 2</w:t>
      </w:r>
      <w:r w:rsidRPr="00561C87">
        <w:rPr>
          <w:sz w:val="24"/>
          <w:szCs w:val="24"/>
        </w:rPr>
        <w:noBreakHyphen/>
        <w:t>3 minutter.</w:t>
      </w:r>
    </w:p>
    <w:p w14:paraId="4993768F" w14:textId="77777777" w:rsidR="00561C87" w:rsidRPr="00561C87" w:rsidRDefault="00561C87" w:rsidP="00561C87">
      <w:pPr>
        <w:tabs>
          <w:tab w:val="left" w:pos="851"/>
        </w:tabs>
        <w:ind w:left="851"/>
        <w:rPr>
          <w:sz w:val="24"/>
          <w:szCs w:val="24"/>
        </w:rPr>
      </w:pPr>
    </w:p>
    <w:p w14:paraId="39383719" w14:textId="77777777" w:rsidR="00561C87" w:rsidRPr="00561C87" w:rsidRDefault="00561C87" w:rsidP="00561C87">
      <w:pPr>
        <w:tabs>
          <w:tab w:val="left" w:pos="851"/>
        </w:tabs>
        <w:ind w:left="851"/>
        <w:rPr>
          <w:sz w:val="24"/>
          <w:szCs w:val="24"/>
        </w:rPr>
      </w:pPr>
      <w:proofErr w:type="spellStart"/>
      <w:r w:rsidRPr="00561C87">
        <w:rPr>
          <w:sz w:val="24"/>
          <w:szCs w:val="24"/>
        </w:rPr>
        <w:t>Glyceryltrinitrat</w:t>
      </w:r>
      <w:proofErr w:type="spellEnd"/>
      <w:r w:rsidRPr="00561C87">
        <w:rPr>
          <w:sz w:val="24"/>
          <w:szCs w:val="24"/>
        </w:rPr>
        <w:t xml:space="preserve"> </w:t>
      </w:r>
      <w:proofErr w:type="spellStart"/>
      <w:r w:rsidRPr="00561C87">
        <w:rPr>
          <w:sz w:val="24"/>
          <w:szCs w:val="24"/>
        </w:rPr>
        <w:t>metaboliseres</w:t>
      </w:r>
      <w:proofErr w:type="spellEnd"/>
      <w:r w:rsidRPr="00561C87">
        <w:rPr>
          <w:sz w:val="24"/>
          <w:szCs w:val="24"/>
        </w:rPr>
        <w:t xml:space="preserve"> hovedsageligt i leveren via </w:t>
      </w:r>
      <w:proofErr w:type="spellStart"/>
      <w:r w:rsidRPr="00561C87">
        <w:rPr>
          <w:sz w:val="24"/>
          <w:szCs w:val="24"/>
        </w:rPr>
        <w:t>glutation</w:t>
      </w:r>
      <w:proofErr w:type="spellEnd"/>
      <w:r w:rsidRPr="00561C87">
        <w:rPr>
          <w:sz w:val="24"/>
          <w:szCs w:val="24"/>
        </w:rPr>
        <w:t xml:space="preserve">-afhængig organisk </w:t>
      </w:r>
      <w:proofErr w:type="spellStart"/>
      <w:r w:rsidRPr="00561C87">
        <w:rPr>
          <w:sz w:val="24"/>
          <w:szCs w:val="24"/>
        </w:rPr>
        <w:t>nitratreduktase</w:t>
      </w:r>
      <w:proofErr w:type="spellEnd"/>
      <w:r w:rsidRPr="00561C87">
        <w:rPr>
          <w:sz w:val="24"/>
          <w:szCs w:val="24"/>
        </w:rPr>
        <w:t xml:space="preserve">. Desuden </w:t>
      </w:r>
      <w:proofErr w:type="spellStart"/>
      <w:r w:rsidRPr="00561C87">
        <w:rPr>
          <w:sz w:val="24"/>
          <w:szCs w:val="24"/>
        </w:rPr>
        <w:t>metaboliseres</w:t>
      </w:r>
      <w:proofErr w:type="spellEnd"/>
      <w:r w:rsidRPr="00561C87">
        <w:rPr>
          <w:sz w:val="24"/>
          <w:szCs w:val="24"/>
        </w:rPr>
        <w:t xml:space="preserve"> en del af lægemidlet i plasma via spontan hydrolyse og uorganisk nedbrydning. Flere vandopløselige, delvist eller fuldt </w:t>
      </w:r>
      <w:proofErr w:type="spellStart"/>
      <w:r w:rsidRPr="00561C87">
        <w:rPr>
          <w:sz w:val="24"/>
          <w:szCs w:val="24"/>
        </w:rPr>
        <w:t>denitrerede</w:t>
      </w:r>
      <w:proofErr w:type="spellEnd"/>
      <w:r w:rsidRPr="00561C87">
        <w:rPr>
          <w:sz w:val="24"/>
          <w:szCs w:val="24"/>
        </w:rPr>
        <w:t xml:space="preserve"> metabolitter dannes som metabolitprodukter, som kan </w:t>
      </w:r>
      <w:proofErr w:type="spellStart"/>
      <w:r w:rsidRPr="00561C87">
        <w:rPr>
          <w:sz w:val="24"/>
          <w:szCs w:val="24"/>
        </w:rPr>
        <w:t>metaboliseres</w:t>
      </w:r>
      <w:proofErr w:type="spellEnd"/>
      <w:r w:rsidRPr="00561C87">
        <w:rPr>
          <w:sz w:val="24"/>
          <w:szCs w:val="24"/>
        </w:rPr>
        <w:t xml:space="preserve"> yderligere til </w:t>
      </w:r>
      <w:proofErr w:type="spellStart"/>
      <w:r w:rsidRPr="00561C87">
        <w:rPr>
          <w:sz w:val="24"/>
          <w:szCs w:val="24"/>
        </w:rPr>
        <w:t>glukuronider</w:t>
      </w:r>
      <w:proofErr w:type="spellEnd"/>
      <w:r w:rsidRPr="00561C87">
        <w:rPr>
          <w:sz w:val="24"/>
          <w:szCs w:val="24"/>
        </w:rPr>
        <w:t>.</w:t>
      </w:r>
    </w:p>
    <w:p w14:paraId="3CA68A2E" w14:textId="77777777" w:rsidR="00561C87" w:rsidRPr="00561C87" w:rsidRDefault="00561C87" w:rsidP="00561C87">
      <w:pPr>
        <w:tabs>
          <w:tab w:val="left" w:pos="851"/>
        </w:tabs>
        <w:ind w:left="851"/>
        <w:rPr>
          <w:sz w:val="24"/>
          <w:szCs w:val="24"/>
        </w:rPr>
      </w:pPr>
      <w:r w:rsidRPr="00561C87">
        <w:rPr>
          <w:sz w:val="24"/>
          <w:szCs w:val="24"/>
        </w:rPr>
        <w:t xml:space="preserve">Ved </w:t>
      </w:r>
      <w:proofErr w:type="spellStart"/>
      <w:r w:rsidRPr="00561C87">
        <w:rPr>
          <w:sz w:val="24"/>
          <w:szCs w:val="24"/>
        </w:rPr>
        <w:t>denitreringen</w:t>
      </w:r>
      <w:proofErr w:type="spellEnd"/>
      <w:r w:rsidRPr="00561C87">
        <w:rPr>
          <w:sz w:val="24"/>
          <w:szCs w:val="24"/>
        </w:rPr>
        <w:t xml:space="preserve"> dannes der også uorganiske nitritter. Efter </w:t>
      </w:r>
      <w:proofErr w:type="spellStart"/>
      <w:r w:rsidRPr="00561C87">
        <w:rPr>
          <w:sz w:val="24"/>
          <w:szCs w:val="24"/>
        </w:rPr>
        <w:t>glukuronideringen</w:t>
      </w:r>
      <w:proofErr w:type="spellEnd"/>
      <w:r w:rsidRPr="00561C87">
        <w:rPr>
          <w:sz w:val="24"/>
          <w:szCs w:val="24"/>
        </w:rPr>
        <w:t xml:space="preserve"> udskilles produkterne i urin og galde. Der er ikke nogen </w:t>
      </w:r>
      <w:proofErr w:type="spellStart"/>
      <w:r w:rsidRPr="00561C87">
        <w:rPr>
          <w:sz w:val="24"/>
          <w:szCs w:val="24"/>
        </w:rPr>
        <w:t>enterohepatisk</w:t>
      </w:r>
      <w:proofErr w:type="spellEnd"/>
      <w:r w:rsidRPr="00561C87">
        <w:rPr>
          <w:sz w:val="24"/>
          <w:szCs w:val="24"/>
        </w:rPr>
        <w:t xml:space="preserve"> cirkulation. Da leverens kapacitet til at </w:t>
      </w:r>
      <w:proofErr w:type="spellStart"/>
      <w:r w:rsidRPr="00561C87">
        <w:rPr>
          <w:sz w:val="24"/>
          <w:szCs w:val="24"/>
        </w:rPr>
        <w:t>metabolisere</w:t>
      </w:r>
      <w:proofErr w:type="spellEnd"/>
      <w:r w:rsidRPr="00561C87">
        <w:rPr>
          <w:sz w:val="24"/>
          <w:szCs w:val="24"/>
        </w:rPr>
        <w:t xml:space="preserve"> organiske nitrater er ekstremt høj, bestemmer dette plasmakoncentrationen af nitrater og virkningens varighed.</w:t>
      </w:r>
    </w:p>
    <w:p w14:paraId="5C0FE738" w14:textId="77777777" w:rsidR="00561C87" w:rsidRPr="00561C87" w:rsidRDefault="00561C87" w:rsidP="00561C87">
      <w:pPr>
        <w:tabs>
          <w:tab w:val="left" w:pos="851"/>
        </w:tabs>
        <w:ind w:left="851"/>
        <w:rPr>
          <w:sz w:val="24"/>
          <w:szCs w:val="24"/>
        </w:rPr>
      </w:pPr>
    </w:p>
    <w:p w14:paraId="69262762" w14:textId="77777777" w:rsidR="00561C87" w:rsidRPr="00561C87" w:rsidRDefault="00561C87" w:rsidP="00561C87">
      <w:pPr>
        <w:tabs>
          <w:tab w:val="left" w:pos="851"/>
        </w:tabs>
        <w:ind w:left="851"/>
        <w:rPr>
          <w:sz w:val="24"/>
          <w:szCs w:val="24"/>
        </w:rPr>
      </w:pPr>
      <w:proofErr w:type="spellStart"/>
      <w:r w:rsidRPr="00561C87">
        <w:rPr>
          <w:sz w:val="24"/>
          <w:szCs w:val="24"/>
        </w:rPr>
        <w:t>Glyceryltrinitrat</w:t>
      </w:r>
      <w:proofErr w:type="spellEnd"/>
      <w:r w:rsidRPr="00561C87">
        <w:rPr>
          <w:sz w:val="24"/>
          <w:szCs w:val="24"/>
        </w:rPr>
        <w:t xml:space="preserve"> </w:t>
      </w:r>
      <w:proofErr w:type="spellStart"/>
      <w:r w:rsidRPr="00561C87">
        <w:rPr>
          <w:sz w:val="24"/>
          <w:szCs w:val="24"/>
        </w:rPr>
        <w:t>farmakokinetiske</w:t>
      </w:r>
      <w:proofErr w:type="spellEnd"/>
      <w:r w:rsidRPr="00561C87">
        <w:rPr>
          <w:sz w:val="24"/>
          <w:szCs w:val="24"/>
        </w:rPr>
        <w:t xml:space="preserve"> egenskaber er variable, og der er betydelig variation fra patient til patient. Variationen skyldes faktorer som stort fordelingsvolumen, koncentration i venevæggene, betydelige forskelle mellem arterielle og venøse koncentrationer, plasmahydrolyse og bølgelignende </w:t>
      </w:r>
      <w:proofErr w:type="spellStart"/>
      <w:r w:rsidRPr="00561C87">
        <w:rPr>
          <w:sz w:val="24"/>
          <w:szCs w:val="24"/>
        </w:rPr>
        <w:t>steady</w:t>
      </w:r>
      <w:proofErr w:type="spellEnd"/>
      <w:r w:rsidRPr="00561C87">
        <w:rPr>
          <w:sz w:val="24"/>
          <w:szCs w:val="24"/>
        </w:rPr>
        <w:t>-</w:t>
      </w:r>
      <w:proofErr w:type="spellStart"/>
      <w:r w:rsidRPr="00561C87">
        <w:rPr>
          <w:sz w:val="24"/>
          <w:szCs w:val="24"/>
        </w:rPr>
        <w:t>state</w:t>
      </w:r>
      <w:proofErr w:type="spellEnd"/>
      <w:r w:rsidRPr="00561C87">
        <w:rPr>
          <w:sz w:val="24"/>
          <w:szCs w:val="24"/>
        </w:rPr>
        <w:t>-plasmakoncentrationer. Halveringstiden på 1</w:t>
      </w:r>
      <w:r w:rsidRPr="00561C87">
        <w:rPr>
          <w:sz w:val="24"/>
          <w:szCs w:val="24"/>
        </w:rPr>
        <w:noBreakHyphen/>
        <w:t xml:space="preserve">3 minutter afspejler hovedsageligt </w:t>
      </w:r>
      <w:proofErr w:type="spellStart"/>
      <w:r w:rsidRPr="00561C87">
        <w:rPr>
          <w:sz w:val="24"/>
          <w:szCs w:val="24"/>
        </w:rPr>
        <w:t>alfafordelingsfasen</w:t>
      </w:r>
      <w:proofErr w:type="spellEnd"/>
      <w:r w:rsidRPr="00561C87">
        <w:rPr>
          <w:sz w:val="24"/>
          <w:szCs w:val="24"/>
        </w:rPr>
        <w:t xml:space="preserve"> og den hydrolyse, der sker i plasmaet, da </w:t>
      </w:r>
      <w:proofErr w:type="spellStart"/>
      <w:r w:rsidRPr="00561C87">
        <w:rPr>
          <w:sz w:val="24"/>
          <w:szCs w:val="24"/>
        </w:rPr>
        <w:t>steady</w:t>
      </w:r>
      <w:proofErr w:type="spellEnd"/>
      <w:r w:rsidRPr="00561C87">
        <w:rPr>
          <w:sz w:val="24"/>
          <w:szCs w:val="24"/>
        </w:rPr>
        <w:t>-state-koncentrationer eller elimination er vanskelige at monitorere.</w:t>
      </w:r>
    </w:p>
    <w:p w14:paraId="77C1C4D9" w14:textId="77777777" w:rsidR="00561C87" w:rsidRPr="00561C87" w:rsidRDefault="00561C87" w:rsidP="00561C87">
      <w:pPr>
        <w:tabs>
          <w:tab w:val="left" w:pos="851"/>
        </w:tabs>
        <w:ind w:left="851"/>
        <w:rPr>
          <w:sz w:val="24"/>
          <w:szCs w:val="24"/>
        </w:rPr>
      </w:pPr>
    </w:p>
    <w:p w14:paraId="5FA9A866" w14:textId="77777777" w:rsidR="00561C87" w:rsidRPr="00561C87" w:rsidRDefault="00561C87" w:rsidP="00561C87">
      <w:pPr>
        <w:tabs>
          <w:tab w:val="left" w:pos="851"/>
        </w:tabs>
        <w:ind w:left="851"/>
        <w:rPr>
          <w:sz w:val="24"/>
          <w:szCs w:val="24"/>
          <w:u w:val="single"/>
        </w:rPr>
      </w:pPr>
      <w:r w:rsidRPr="00561C87">
        <w:rPr>
          <w:sz w:val="24"/>
          <w:szCs w:val="24"/>
          <w:u w:val="single"/>
        </w:rPr>
        <w:t>Egenskaber hos patienten</w:t>
      </w:r>
    </w:p>
    <w:p w14:paraId="0AAE3CBB" w14:textId="77777777" w:rsidR="00561C87" w:rsidRPr="00561C87" w:rsidRDefault="00561C87" w:rsidP="00561C87">
      <w:pPr>
        <w:tabs>
          <w:tab w:val="left" w:pos="851"/>
        </w:tabs>
        <w:ind w:left="851"/>
        <w:rPr>
          <w:sz w:val="24"/>
          <w:szCs w:val="24"/>
        </w:rPr>
      </w:pPr>
      <w:r w:rsidRPr="00561C87">
        <w:rPr>
          <w:sz w:val="24"/>
          <w:szCs w:val="24"/>
        </w:rPr>
        <w:t xml:space="preserve">Cirka 1 % af den samlede mængde </w:t>
      </w:r>
      <w:proofErr w:type="spellStart"/>
      <w:r w:rsidRPr="00561C87">
        <w:rPr>
          <w:sz w:val="24"/>
          <w:szCs w:val="24"/>
        </w:rPr>
        <w:t>glyceryltrinitrat</w:t>
      </w:r>
      <w:proofErr w:type="spellEnd"/>
      <w:r w:rsidRPr="00561C87">
        <w:rPr>
          <w:sz w:val="24"/>
          <w:szCs w:val="24"/>
        </w:rPr>
        <w:t xml:space="preserve"> i patienten kan bestemmes i plasma. Dette, samt problemer med at måle </w:t>
      </w:r>
      <w:proofErr w:type="spellStart"/>
      <w:r w:rsidRPr="00561C87">
        <w:rPr>
          <w:sz w:val="24"/>
          <w:szCs w:val="24"/>
        </w:rPr>
        <w:t>steady</w:t>
      </w:r>
      <w:proofErr w:type="spellEnd"/>
      <w:r w:rsidRPr="00561C87">
        <w:rPr>
          <w:sz w:val="24"/>
          <w:szCs w:val="24"/>
        </w:rPr>
        <w:t>-state-koncentrationerne, gør det vanskeligere at bestemme forholdet mellem koncentration og virkning.</w:t>
      </w:r>
    </w:p>
    <w:p w14:paraId="595C8615" w14:textId="77777777" w:rsidR="00561C87" w:rsidRPr="00561C87" w:rsidRDefault="00561C87" w:rsidP="00561C87">
      <w:pPr>
        <w:tabs>
          <w:tab w:val="left" w:pos="851"/>
        </w:tabs>
        <w:ind w:left="851"/>
        <w:rPr>
          <w:sz w:val="24"/>
          <w:szCs w:val="24"/>
        </w:rPr>
      </w:pPr>
    </w:p>
    <w:p w14:paraId="4D90BDA7" w14:textId="77777777" w:rsidR="00561C87" w:rsidRPr="00561C87" w:rsidRDefault="00561C87" w:rsidP="00561C87">
      <w:pPr>
        <w:tabs>
          <w:tab w:val="left" w:pos="851"/>
        </w:tabs>
        <w:ind w:left="851"/>
        <w:rPr>
          <w:sz w:val="24"/>
          <w:szCs w:val="24"/>
        </w:rPr>
      </w:pPr>
      <w:r w:rsidRPr="00561C87">
        <w:rPr>
          <w:sz w:val="24"/>
          <w:szCs w:val="24"/>
        </w:rPr>
        <w:t xml:space="preserve">Ældre patienter er mere modtagelige over for </w:t>
      </w:r>
      <w:proofErr w:type="spellStart"/>
      <w:r w:rsidRPr="00561C87">
        <w:rPr>
          <w:sz w:val="24"/>
          <w:szCs w:val="24"/>
        </w:rPr>
        <w:t>hypotensive</w:t>
      </w:r>
      <w:proofErr w:type="spellEnd"/>
      <w:r w:rsidRPr="00561C87">
        <w:rPr>
          <w:sz w:val="24"/>
          <w:szCs w:val="24"/>
        </w:rPr>
        <w:t xml:space="preserve"> virkninger, især hvis de lider af </w:t>
      </w:r>
      <w:proofErr w:type="spellStart"/>
      <w:r w:rsidRPr="00561C87">
        <w:rPr>
          <w:sz w:val="24"/>
          <w:szCs w:val="24"/>
        </w:rPr>
        <w:t>ortostatisk</w:t>
      </w:r>
      <w:proofErr w:type="spellEnd"/>
      <w:r w:rsidRPr="00561C87">
        <w:rPr>
          <w:sz w:val="24"/>
          <w:szCs w:val="24"/>
        </w:rPr>
        <w:t xml:space="preserve"> svimmelhed eller stenose i </w:t>
      </w:r>
      <w:proofErr w:type="spellStart"/>
      <w:r w:rsidRPr="00561C87">
        <w:rPr>
          <w:sz w:val="24"/>
          <w:szCs w:val="24"/>
        </w:rPr>
        <w:t>karotidarterierne</w:t>
      </w:r>
      <w:proofErr w:type="spellEnd"/>
      <w:r w:rsidRPr="00561C87">
        <w:rPr>
          <w:sz w:val="24"/>
          <w:szCs w:val="24"/>
        </w:rPr>
        <w:t>.</w:t>
      </w:r>
    </w:p>
    <w:p w14:paraId="44C88A55" w14:textId="77777777" w:rsidR="00561C87" w:rsidRPr="00561C87" w:rsidRDefault="00561C87" w:rsidP="00561C87">
      <w:pPr>
        <w:tabs>
          <w:tab w:val="left" w:pos="851"/>
        </w:tabs>
        <w:ind w:left="851"/>
        <w:rPr>
          <w:sz w:val="24"/>
          <w:szCs w:val="24"/>
        </w:rPr>
      </w:pPr>
    </w:p>
    <w:p w14:paraId="5C6FB079" w14:textId="77777777" w:rsidR="00561C87" w:rsidRPr="00561C87" w:rsidRDefault="00561C87" w:rsidP="00561C87">
      <w:pPr>
        <w:tabs>
          <w:tab w:val="left" w:pos="851"/>
        </w:tabs>
        <w:ind w:left="851"/>
        <w:rPr>
          <w:sz w:val="24"/>
          <w:szCs w:val="24"/>
        </w:rPr>
      </w:pPr>
      <w:r w:rsidRPr="00561C87">
        <w:rPr>
          <w:sz w:val="24"/>
          <w:szCs w:val="24"/>
        </w:rPr>
        <w:t xml:space="preserve">Længerevarende hypotension under infusionen kan forårsage iskæmi i organer med </w:t>
      </w:r>
      <w:proofErr w:type="spellStart"/>
      <w:r w:rsidRPr="00561C87">
        <w:rPr>
          <w:sz w:val="24"/>
          <w:szCs w:val="24"/>
        </w:rPr>
        <w:t>angiostenose</w:t>
      </w:r>
      <w:proofErr w:type="spellEnd"/>
      <w:r w:rsidRPr="00561C87">
        <w:rPr>
          <w:sz w:val="24"/>
          <w:szCs w:val="24"/>
        </w:rPr>
        <w:t>.</w:t>
      </w:r>
    </w:p>
    <w:p w14:paraId="43D20ABE" w14:textId="77777777" w:rsidR="00561C87" w:rsidRPr="00561C87" w:rsidRDefault="00561C87" w:rsidP="00561C87">
      <w:pPr>
        <w:tabs>
          <w:tab w:val="left" w:pos="851"/>
        </w:tabs>
        <w:ind w:left="851"/>
        <w:rPr>
          <w:sz w:val="24"/>
          <w:szCs w:val="24"/>
        </w:rPr>
      </w:pPr>
      <w:r w:rsidRPr="00561C87">
        <w:rPr>
          <w:sz w:val="24"/>
          <w:szCs w:val="24"/>
        </w:rPr>
        <w:t xml:space="preserve">Patienter med lavt indkilingstryk kan være særligt følsomme over for </w:t>
      </w:r>
      <w:proofErr w:type="spellStart"/>
      <w:r w:rsidRPr="00561C87">
        <w:rPr>
          <w:sz w:val="24"/>
          <w:szCs w:val="24"/>
        </w:rPr>
        <w:t>hypotensive</w:t>
      </w:r>
      <w:proofErr w:type="spellEnd"/>
      <w:r w:rsidRPr="00561C87">
        <w:rPr>
          <w:sz w:val="24"/>
          <w:szCs w:val="24"/>
        </w:rPr>
        <w:t xml:space="preserve"> virkninger.</w:t>
      </w:r>
    </w:p>
    <w:p w14:paraId="6BF2ED5E" w14:textId="77777777" w:rsidR="00561C87" w:rsidRPr="00561C87" w:rsidRDefault="00561C87" w:rsidP="00561C87">
      <w:pPr>
        <w:tabs>
          <w:tab w:val="left" w:pos="851"/>
        </w:tabs>
        <w:ind w:left="851"/>
        <w:rPr>
          <w:sz w:val="24"/>
          <w:szCs w:val="24"/>
        </w:rPr>
      </w:pPr>
    </w:p>
    <w:p w14:paraId="461ABED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7CD4FFE3" w14:textId="77777777" w:rsidR="00561C87" w:rsidRPr="00561C87" w:rsidRDefault="00561C87" w:rsidP="00561C87">
      <w:pPr>
        <w:tabs>
          <w:tab w:val="left" w:pos="851"/>
        </w:tabs>
        <w:ind w:left="851"/>
        <w:rPr>
          <w:sz w:val="24"/>
          <w:szCs w:val="24"/>
        </w:rPr>
      </w:pPr>
    </w:p>
    <w:p w14:paraId="1269A9EB" w14:textId="77777777" w:rsidR="00561C87" w:rsidRPr="00561C87" w:rsidRDefault="00561C87" w:rsidP="00561C87">
      <w:pPr>
        <w:tabs>
          <w:tab w:val="left" w:pos="851"/>
        </w:tabs>
        <w:ind w:left="851"/>
        <w:rPr>
          <w:sz w:val="24"/>
          <w:szCs w:val="24"/>
          <w:u w:val="single"/>
        </w:rPr>
      </w:pPr>
      <w:r w:rsidRPr="00561C87">
        <w:rPr>
          <w:sz w:val="24"/>
          <w:szCs w:val="24"/>
          <w:u w:val="single"/>
        </w:rPr>
        <w:t>Akut toksicitet</w:t>
      </w:r>
    </w:p>
    <w:p w14:paraId="7AA858FC" w14:textId="77777777" w:rsidR="00561C87" w:rsidRPr="00561C87" w:rsidRDefault="00561C87" w:rsidP="00561C87">
      <w:pPr>
        <w:tabs>
          <w:tab w:val="left" w:pos="851"/>
        </w:tabs>
        <w:ind w:left="851"/>
        <w:rPr>
          <w:sz w:val="24"/>
          <w:szCs w:val="24"/>
        </w:rPr>
      </w:pPr>
      <w:r w:rsidRPr="00561C87">
        <w:rPr>
          <w:sz w:val="24"/>
          <w:szCs w:val="24"/>
        </w:rPr>
        <w:t>I henhold til RTECS* er LD</w:t>
      </w:r>
      <w:r w:rsidRPr="00561C87">
        <w:rPr>
          <w:sz w:val="24"/>
          <w:szCs w:val="24"/>
          <w:vertAlign w:val="subscript"/>
        </w:rPr>
        <w:t>50</w:t>
      </w:r>
      <w:r w:rsidRPr="00561C87">
        <w:rPr>
          <w:sz w:val="24"/>
          <w:szCs w:val="24"/>
        </w:rPr>
        <w:t xml:space="preserve">-værdierne for </w:t>
      </w:r>
      <w:proofErr w:type="spellStart"/>
      <w:r w:rsidRPr="00561C87">
        <w:rPr>
          <w:sz w:val="24"/>
          <w:szCs w:val="24"/>
        </w:rPr>
        <w:t>glyceryltrinitrat</w:t>
      </w:r>
      <w:proofErr w:type="spellEnd"/>
      <w:r w:rsidRPr="00561C87">
        <w:rPr>
          <w:sz w:val="24"/>
          <w:szCs w:val="24"/>
        </w:rPr>
        <w:t xml:space="preserve"> efter en enkelt dosis: </w:t>
      </w:r>
    </w:p>
    <w:p w14:paraId="276AB9BA" w14:textId="77777777" w:rsidR="00561C87" w:rsidRPr="00561C87" w:rsidRDefault="00561C87" w:rsidP="00561C87">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3041"/>
        <w:gridCol w:w="1867"/>
      </w:tblGrid>
      <w:tr w:rsidR="00561C87" w:rsidRPr="00561C87" w14:paraId="650B1F7C"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4463E9EA" w14:textId="77777777" w:rsidR="00561C87" w:rsidRPr="00561C87" w:rsidRDefault="00561C87" w:rsidP="0050418D">
            <w:pPr>
              <w:ind w:left="33"/>
              <w:rPr>
                <w:sz w:val="24"/>
                <w:szCs w:val="24"/>
              </w:rPr>
            </w:pPr>
            <w:r w:rsidRPr="00561C87">
              <w:rPr>
                <w:b/>
                <w:sz w:val="24"/>
                <w:szCs w:val="24"/>
              </w:rPr>
              <w:t>Dyreart</w:t>
            </w:r>
          </w:p>
        </w:tc>
        <w:tc>
          <w:tcPr>
            <w:tcW w:w="3041" w:type="dxa"/>
            <w:tcBorders>
              <w:top w:val="single" w:sz="4" w:space="0" w:color="auto"/>
              <w:left w:val="single" w:sz="4" w:space="0" w:color="auto"/>
              <w:bottom w:val="single" w:sz="4" w:space="0" w:color="auto"/>
              <w:right w:val="single" w:sz="4" w:space="0" w:color="auto"/>
            </w:tcBorders>
            <w:hideMark/>
          </w:tcPr>
          <w:p w14:paraId="48118B93" w14:textId="77777777" w:rsidR="00561C87" w:rsidRPr="00561C87" w:rsidRDefault="00561C87" w:rsidP="0050418D">
            <w:pPr>
              <w:ind w:left="137"/>
              <w:rPr>
                <w:sz w:val="24"/>
                <w:szCs w:val="24"/>
              </w:rPr>
            </w:pPr>
            <w:r w:rsidRPr="00561C87">
              <w:rPr>
                <w:b/>
                <w:sz w:val="24"/>
                <w:szCs w:val="24"/>
              </w:rPr>
              <w:t>Administrationsvej</w:t>
            </w:r>
          </w:p>
        </w:tc>
        <w:tc>
          <w:tcPr>
            <w:tcW w:w="1867" w:type="dxa"/>
            <w:tcBorders>
              <w:top w:val="single" w:sz="4" w:space="0" w:color="auto"/>
              <w:left w:val="single" w:sz="4" w:space="0" w:color="auto"/>
              <w:bottom w:val="single" w:sz="4" w:space="0" w:color="auto"/>
              <w:right w:val="single" w:sz="4" w:space="0" w:color="auto"/>
            </w:tcBorders>
            <w:hideMark/>
          </w:tcPr>
          <w:p w14:paraId="642470E0" w14:textId="77777777" w:rsidR="00561C87" w:rsidRPr="00561C87" w:rsidRDefault="00561C87" w:rsidP="0050418D">
            <w:pPr>
              <w:rPr>
                <w:sz w:val="24"/>
                <w:szCs w:val="24"/>
              </w:rPr>
            </w:pPr>
            <w:r w:rsidRPr="00561C87">
              <w:rPr>
                <w:b/>
                <w:sz w:val="24"/>
                <w:szCs w:val="24"/>
              </w:rPr>
              <w:t>LD</w:t>
            </w:r>
            <w:r w:rsidRPr="00561C87">
              <w:rPr>
                <w:b/>
                <w:sz w:val="24"/>
                <w:szCs w:val="24"/>
                <w:vertAlign w:val="subscript"/>
              </w:rPr>
              <w:t>50</w:t>
            </w:r>
            <w:r w:rsidRPr="00561C87">
              <w:rPr>
                <w:b/>
                <w:sz w:val="24"/>
                <w:szCs w:val="24"/>
              </w:rPr>
              <w:t xml:space="preserve"> (mg/kg)</w:t>
            </w:r>
          </w:p>
        </w:tc>
      </w:tr>
      <w:tr w:rsidR="00561C87" w:rsidRPr="00561C87" w14:paraId="3A8E5B60"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76C3B747" w14:textId="77777777" w:rsidR="00561C87" w:rsidRPr="00561C87" w:rsidRDefault="00561C87" w:rsidP="0050418D">
            <w:pPr>
              <w:ind w:left="33"/>
              <w:rPr>
                <w:sz w:val="24"/>
                <w:szCs w:val="24"/>
              </w:rPr>
            </w:pPr>
            <w:r w:rsidRPr="00561C87">
              <w:rPr>
                <w:sz w:val="24"/>
                <w:szCs w:val="24"/>
              </w:rPr>
              <w:t>Mus</w:t>
            </w:r>
          </w:p>
        </w:tc>
        <w:tc>
          <w:tcPr>
            <w:tcW w:w="3041" w:type="dxa"/>
            <w:tcBorders>
              <w:top w:val="single" w:sz="4" w:space="0" w:color="auto"/>
              <w:left w:val="single" w:sz="4" w:space="0" w:color="auto"/>
              <w:bottom w:val="single" w:sz="4" w:space="0" w:color="auto"/>
              <w:right w:val="single" w:sz="4" w:space="0" w:color="auto"/>
            </w:tcBorders>
            <w:hideMark/>
          </w:tcPr>
          <w:p w14:paraId="4D5B19D3" w14:textId="77777777" w:rsidR="00561C87" w:rsidRPr="00561C87" w:rsidRDefault="00561C87" w:rsidP="0050418D">
            <w:pPr>
              <w:ind w:left="137"/>
              <w:rPr>
                <w:sz w:val="24"/>
                <w:szCs w:val="24"/>
              </w:rPr>
            </w:pPr>
            <w:proofErr w:type="spellStart"/>
            <w:r w:rsidRPr="00561C87">
              <w:rPr>
                <w:sz w:val="24"/>
                <w:szCs w:val="24"/>
              </w:rPr>
              <w:t>i.v</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3AFA9762" w14:textId="77777777" w:rsidR="00561C87" w:rsidRPr="00561C87" w:rsidRDefault="00561C87" w:rsidP="0050418D">
            <w:pPr>
              <w:rPr>
                <w:sz w:val="24"/>
                <w:szCs w:val="24"/>
              </w:rPr>
            </w:pPr>
            <w:r w:rsidRPr="00561C87">
              <w:rPr>
                <w:sz w:val="24"/>
                <w:szCs w:val="24"/>
              </w:rPr>
              <w:t>10,6</w:t>
            </w:r>
          </w:p>
        </w:tc>
      </w:tr>
      <w:tr w:rsidR="00561C87" w:rsidRPr="00561C87" w14:paraId="7598114E"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02544460" w14:textId="77777777" w:rsidR="00561C87" w:rsidRPr="00561C87" w:rsidRDefault="00561C87" w:rsidP="0050418D">
            <w:pPr>
              <w:ind w:left="33"/>
              <w:rPr>
                <w:sz w:val="24"/>
                <w:szCs w:val="24"/>
              </w:rPr>
            </w:pPr>
            <w:r w:rsidRPr="00561C87">
              <w:rPr>
                <w:sz w:val="24"/>
                <w:szCs w:val="24"/>
              </w:rPr>
              <w:t>Rotte</w:t>
            </w:r>
          </w:p>
        </w:tc>
        <w:tc>
          <w:tcPr>
            <w:tcW w:w="3041" w:type="dxa"/>
            <w:tcBorders>
              <w:top w:val="single" w:sz="4" w:space="0" w:color="auto"/>
              <w:left w:val="single" w:sz="4" w:space="0" w:color="auto"/>
              <w:bottom w:val="single" w:sz="4" w:space="0" w:color="auto"/>
              <w:right w:val="single" w:sz="4" w:space="0" w:color="auto"/>
            </w:tcBorders>
            <w:hideMark/>
          </w:tcPr>
          <w:p w14:paraId="75CFC9D3" w14:textId="77777777" w:rsidR="00561C87" w:rsidRPr="00561C87" w:rsidRDefault="00561C87" w:rsidP="0050418D">
            <w:pPr>
              <w:ind w:left="137"/>
              <w:rPr>
                <w:sz w:val="24"/>
                <w:szCs w:val="24"/>
              </w:rPr>
            </w:pPr>
            <w:proofErr w:type="spellStart"/>
            <w:r w:rsidRPr="00561C87">
              <w:rPr>
                <w:sz w:val="24"/>
                <w:szCs w:val="24"/>
              </w:rPr>
              <w:t>i.v</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3F7E9146" w14:textId="77777777" w:rsidR="00561C87" w:rsidRPr="00561C87" w:rsidRDefault="00561C87" w:rsidP="0050418D">
            <w:pPr>
              <w:rPr>
                <w:sz w:val="24"/>
                <w:szCs w:val="24"/>
              </w:rPr>
            </w:pPr>
            <w:r w:rsidRPr="00561C87">
              <w:rPr>
                <w:sz w:val="24"/>
                <w:szCs w:val="24"/>
              </w:rPr>
              <w:t>23,2</w:t>
            </w:r>
          </w:p>
        </w:tc>
      </w:tr>
      <w:tr w:rsidR="00561C87" w:rsidRPr="00561C87" w14:paraId="6F99F03C"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65DCC63C" w14:textId="77777777" w:rsidR="00561C87" w:rsidRPr="00561C87" w:rsidRDefault="00561C87" w:rsidP="0050418D">
            <w:pPr>
              <w:ind w:left="33"/>
              <w:rPr>
                <w:sz w:val="24"/>
                <w:szCs w:val="24"/>
              </w:rPr>
            </w:pPr>
            <w:r w:rsidRPr="00561C87">
              <w:rPr>
                <w:sz w:val="24"/>
                <w:szCs w:val="24"/>
              </w:rPr>
              <w:t>Kanin</w:t>
            </w:r>
          </w:p>
        </w:tc>
        <w:tc>
          <w:tcPr>
            <w:tcW w:w="3041" w:type="dxa"/>
            <w:tcBorders>
              <w:top w:val="single" w:sz="4" w:space="0" w:color="auto"/>
              <w:left w:val="single" w:sz="4" w:space="0" w:color="auto"/>
              <w:bottom w:val="single" w:sz="4" w:space="0" w:color="auto"/>
              <w:right w:val="single" w:sz="4" w:space="0" w:color="auto"/>
            </w:tcBorders>
            <w:hideMark/>
          </w:tcPr>
          <w:p w14:paraId="61ADD106" w14:textId="77777777" w:rsidR="00561C87" w:rsidRPr="00561C87" w:rsidRDefault="00561C87" w:rsidP="0050418D">
            <w:pPr>
              <w:ind w:left="137"/>
              <w:rPr>
                <w:sz w:val="24"/>
                <w:szCs w:val="24"/>
              </w:rPr>
            </w:pPr>
            <w:proofErr w:type="spellStart"/>
            <w:r w:rsidRPr="00561C87">
              <w:rPr>
                <w:sz w:val="24"/>
                <w:szCs w:val="24"/>
              </w:rPr>
              <w:t>i.v</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6438BC3A" w14:textId="77777777" w:rsidR="00561C87" w:rsidRPr="00561C87" w:rsidRDefault="00561C87" w:rsidP="0050418D">
            <w:pPr>
              <w:rPr>
                <w:sz w:val="24"/>
                <w:szCs w:val="24"/>
              </w:rPr>
            </w:pPr>
            <w:r w:rsidRPr="00561C87">
              <w:rPr>
                <w:sz w:val="24"/>
                <w:szCs w:val="24"/>
              </w:rPr>
              <w:t>45</w:t>
            </w:r>
          </w:p>
        </w:tc>
      </w:tr>
      <w:tr w:rsidR="00561C87" w:rsidRPr="00561C87" w14:paraId="0C63BC84"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7FA20E9A" w14:textId="77777777" w:rsidR="00561C87" w:rsidRPr="00561C87" w:rsidRDefault="00561C87" w:rsidP="0050418D">
            <w:pPr>
              <w:ind w:left="33"/>
              <w:rPr>
                <w:sz w:val="24"/>
                <w:szCs w:val="24"/>
              </w:rPr>
            </w:pPr>
            <w:r w:rsidRPr="00561C87">
              <w:rPr>
                <w:sz w:val="24"/>
                <w:szCs w:val="24"/>
              </w:rPr>
              <w:t>Hund</w:t>
            </w:r>
          </w:p>
        </w:tc>
        <w:tc>
          <w:tcPr>
            <w:tcW w:w="3041" w:type="dxa"/>
            <w:tcBorders>
              <w:top w:val="single" w:sz="4" w:space="0" w:color="auto"/>
              <w:left w:val="single" w:sz="4" w:space="0" w:color="auto"/>
              <w:bottom w:val="single" w:sz="4" w:space="0" w:color="auto"/>
              <w:right w:val="single" w:sz="4" w:space="0" w:color="auto"/>
            </w:tcBorders>
            <w:hideMark/>
          </w:tcPr>
          <w:p w14:paraId="07171DDD" w14:textId="77777777" w:rsidR="00561C87" w:rsidRPr="00561C87" w:rsidRDefault="00561C87" w:rsidP="0050418D">
            <w:pPr>
              <w:ind w:left="137"/>
              <w:rPr>
                <w:sz w:val="24"/>
                <w:szCs w:val="24"/>
              </w:rPr>
            </w:pPr>
            <w:proofErr w:type="spellStart"/>
            <w:r w:rsidRPr="00561C87">
              <w:rPr>
                <w:sz w:val="24"/>
                <w:szCs w:val="24"/>
              </w:rPr>
              <w:t>i.v</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1CE15AC3" w14:textId="77777777" w:rsidR="00561C87" w:rsidRPr="00561C87" w:rsidRDefault="00561C87" w:rsidP="0050418D">
            <w:pPr>
              <w:rPr>
                <w:sz w:val="24"/>
                <w:szCs w:val="24"/>
              </w:rPr>
            </w:pPr>
            <w:r w:rsidRPr="00561C87">
              <w:rPr>
                <w:sz w:val="24"/>
                <w:szCs w:val="24"/>
              </w:rPr>
              <w:t>19</w:t>
            </w:r>
          </w:p>
        </w:tc>
      </w:tr>
      <w:tr w:rsidR="00561C87" w:rsidRPr="00561C87" w14:paraId="4C2E2F88"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6943C6FA" w14:textId="77777777" w:rsidR="00561C87" w:rsidRPr="00561C87" w:rsidRDefault="00561C87" w:rsidP="0050418D">
            <w:pPr>
              <w:ind w:left="33"/>
              <w:rPr>
                <w:sz w:val="24"/>
                <w:szCs w:val="24"/>
              </w:rPr>
            </w:pPr>
            <w:r w:rsidRPr="00561C87">
              <w:rPr>
                <w:sz w:val="24"/>
                <w:szCs w:val="24"/>
              </w:rPr>
              <w:t>Mus</w:t>
            </w:r>
          </w:p>
        </w:tc>
        <w:tc>
          <w:tcPr>
            <w:tcW w:w="3041" w:type="dxa"/>
            <w:tcBorders>
              <w:top w:val="single" w:sz="4" w:space="0" w:color="auto"/>
              <w:left w:val="single" w:sz="4" w:space="0" w:color="auto"/>
              <w:bottom w:val="single" w:sz="4" w:space="0" w:color="auto"/>
              <w:right w:val="single" w:sz="4" w:space="0" w:color="auto"/>
            </w:tcBorders>
            <w:hideMark/>
          </w:tcPr>
          <w:p w14:paraId="68355968" w14:textId="77777777" w:rsidR="00561C87" w:rsidRPr="00561C87" w:rsidRDefault="00561C87" w:rsidP="0050418D">
            <w:pPr>
              <w:ind w:left="137"/>
              <w:rPr>
                <w:sz w:val="24"/>
                <w:szCs w:val="24"/>
              </w:rPr>
            </w:pPr>
            <w:proofErr w:type="spellStart"/>
            <w:r w:rsidRPr="00561C87">
              <w:rPr>
                <w:sz w:val="24"/>
                <w:szCs w:val="24"/>
              </w:rPr>
              <w:t>s.c</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61B3DCE5" w14:textId="77777777" w:rsidR="00561C87" w:rsidRPr="00561C87" w:rsidRDefault="00561C87" w:rsidP="0050418D">
            <w:pPr>
              <w:rPr>
                <w:sz w:val="24"/>
                <w:szCs w:val="24"/>
              </w:rPr>
            </w:pPr>
            <w:r w:rsidRPr="00561C87">
              <w:rPr>
                <w:sz w:val="24"/>
                <w:szCs w:val="24"/>
              </w:rPr>
              <w:t>110,0</w:t>
            </w:r>
          </w:p>
        </w:tc>
      </w:tr>
      <w:tr w:rsidR="00561C87" w:rsidRPr="00561C87" w14:paraId="79AC6DE3" w14:textId="77777777" w:rsidTr="00561C87">
        <w:tc>
          <w:tcPr>
            <w:tcW w:w="1880" w:type="dxa"/>
            <w:tcBorders>
              <w:top w:val="single" w:sz="4" w:space="0" w:color="auto"/>
              <w:left w:val="single" w:sz="4" w:space="0" w:color="auto"/>
              <w:bottom w:val="single" w:sz="4" w:space="0" w:color="auto"/>
              <w:right w:val="single" w:sz="4" w:space="0" w:color="auto"/>
            </w:tcBorders>
            <w:hideMark/>
          </w:tcPr>
          <w:p w14:paraId="22E2554A" w14:textId="77777777" w:rsidR="00561C87" w:rsidRPr="00561C87" w:rsidRDefault="00561C87" w:rsidP="0050418D">
            <w:pPr>
              <w:ind w:left="33"/>
              <w:rPr>
                <w:sz w:val="24"/>
                <w:szCs w:val="24"/>
              </w:rPr>
            </w:pPr>
            <w:r w:rsidRPr="00561C87">
              <w:rPr>
                <w:sz w:val="24"/>
                <w:szCs w:val="24"/>
              </w:rPr>
              <w:t>Rotte</w:t>
            </w:r>
          </w:p>
        </w:tc>
        <w:tc>
          <w:tcPr>
            <w:tcW w:w="3041" w:type="dxa"/>
            <w:tcBorders>
              <w:top w:val="single" w:sz="4" w:space="0" w:color="auto"/>
              <w:left w:val="single" w:sz="4" w:space="0" w:color="auto"/>
              <w:bottom w:val="single" w:sz="4" w:space="0" w:color="auto"/>
              <w:right w:val="single" w:sz="4" w:space="0" w:color="auto"/>
            </w:tcBorders>
            <w:hideMark/>
          </w:tcPr>
          <w:p w14:paraId="5FEECC66" w14:textId="77777777" w:rsidR="00561C87" w:rsidRPr="00561C87" w:rsidRDefault="00561C87" w:rsidP="0050418D">
            <w:pPr>
              <w:ind w:left="137"/>
              <w:rPr>
                <w:sz w:val="24"/>
                <w:szCs w:val="24"/>
              </w:rPr>
            </w:pPr>
            <w:proofErr w:type="spellStart"/>
            <w:r w:rsidRPr="00561C87">
              <w:rPr>
                <w:sz w:val="24"/>
                <w:szCs w:val="24"/>
              </w:rPr>
              <w:t>s.c</w:t>
            </w:r>
            <w:proofErr w:type="spellEnd"/>
            <w:r w:rsidRPr="00561C87">
              <w:rPr>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6724610F" w14:textId="77777777" w:rsidR="00561C87" w:rsidRPr="00561C87" w:rsidRDefault="00561C87" w:rsidP="0050418D">
            <w:pPr>
              <w:rPr>
                <w:sz w:val="24"/>
                <w:szCs w:val="24"/>
              </w:rPr>
            </w:pPr>
            <w:r w:rsidRPr="00561C87">
              <w:rPr>
                <w:sz w:val="24"/>
                <w:szCs w:val="24"/>
              </w:rPr>
              <w:t>94,0</w:t>
            </w:r>
          </w:p>
        </w:tc>
      </w:tr>
    </w:tbl>
    <w:p w14:paraId="67009DD1" w14:textId="77777777" w:rsidR="00561C87" w:rsidRPr="00561C87" w:rsidRDefault="00561C87" w:rsidP="00561C87">
      <w:pPr>
        <w:tabs>
          <w:tab w:val="left" w:pos="851"/>
        </w:tabs>
        <w:ind w:left="851"/>
        <w:rPr>
          <w:sz w:val="24"/>
          <w:szCs w:val="24"/>
          <w:lang w:val="en-US"/>
        </w:rPr>
      </w:pPr>
      <w:r w:rsidRPr="00561C87">
        <w:rPr>
          <w:sz w:val="24"/>
          <w:szCs w:val="24"/>
          <w:lang w:val="en-US"/>
        </w:rPr>
        <w:t>*Registry of Toxic Effects of Chemical Substances</w:t>
      </w:r>
    </w:p>
    <w:p w14:paraId="1DB33A9D" w14:textId="77777777" w:rsidR="00561C87" w:rsidRPr="00561C87" w:rsidRDefault="00561C87" w:rsidP="00561C87">
      <w:pPr>
        <w:tabs>
          <w:tab w:val="left" w:pos="851"/>
        </w:tabs>
        <w:ind w:left="851"/>
        <w:rPr>
          <w:sz w:val="24"/>
          <w:szCs w:val="24"/>
          <w:u w:val="single"/>
          <w:lang w:val="en-GB"/>
        </w:rPr>
      </w:pPr>
    </w:p>
    <w:p w14:paraId="7FDC4AC9" w14:textId="77777777" w:rsidR="00561C87" w:rsidRPr="00561C87" w:rsidRDefault="00561C87" w:rsidP="00561C87">
      <w:pPr>
        <w:tabs>
          <w:tab w:val="left" w:pos="851"/>
        </w:tabs>
        <w:ind w:left="851"/>
        <w:rPr>
          <w:sz w:val="24"/>
          <w:szCs w:val="24"/>
        </w:rPr>
      </w:pPr>
      <w:r w:rsidRPr="00561C87">
        <w:rPr>
          <w:sz w:val="24"/>
          <w:szCs w:val="24"/>
          <w:u w:val="single"/>
        </w:rPr>
        <w:t>Toksicitet efter gentagne doser</w:t>
      </w:r>
    </w:p>
    <w:p w14:paraId="412DF23D" w14:textId="77777777" w:rsidR="00561C87" w:rsidRPr="00561C87" w:rsidRDefault="00561C87" w:rsidP="00561C87">
      <w:pPr>
        <w:tabs>
          <w:tab w:val="left" w:pos="851"/>
        </w:tabs>
        <w:ind w:left="851"/>
        <w:rPr>
          <w:sz w:val="24"/>
          <w:szCs w:val="24"/>
        </w:rPr>
      </w:pPr>
      <w:r w:rsidRPr="00561C87">
        <w:rPr>
          <w:sz w:val="24"/>
          <w:szCs w:val="24"/>
        </w:rPr>
        <w:t>13 ugers toksicitetsstudier med oral administration og forskellige doser viste ingen toksiske virkninger hos:</w:t>
      </w:r>
    </w:p>
    <w:p w14:paraId="1AB2D352" w14:textId="77777777" w:rsidR="00561C87" w:rsidRPr="00561C87" w:rsidRDefault="00561C87" w:rsidP="00561C87">
      <w:pPr>
        <w:tabs>
          <w:tab w:val="left" w:pos="851"/>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1"/>
        <w:gridCol w:w="2552"/>
      </w:tblGrid>
      <w:tr w:rsidR="00561C87" w:rsidRPr="00561C87" w14:paraId="4AA54BA3" w14:textId="77777777" w:rsidTr="0050418D">
        <w:tc>
          <w:tcPr>
            <w:tcW w:w="1601" w:type="dxa"/>
            <w:tcBorders>
              <w:top w:val="single" w:sz="4" w:space="0" w:color="auto"/>
              <w:left w:val="single" w:sz="4" w:space="0" w:color="auto"/>
              <w:bottom w:val="single" w:sz="4" w:space="0" w:color="auto"/>
              <w:right w:val="single" w:sz="4" w:space="0" w:color="auto"/>
            </w:tcBorders>
            <w:hideMark/>
          </w:tcPr>
          <w:p w14:paraId="5961BD5D" w14:textId="77777777" w:rsidR="00561C87" w:rsidRPr="00561C87" w:rsidRDefault="00561C87" w:rsidP="006B6158">
            <w:pPr>
              <w:ind w:left="33"/>
              <w:rPr>
                <w:sz w:val="24"/>
                <w:szCs w:val="24"/>
              </w:rPr>
            </w:pPr>
            <w:r w:rsidRPr="00561C87">
              <w:rPr>
                <w:sz w:val="24"/>
                <w:szCs w:val="24"/>
              </w:rPr>
              <w:t>Mus</w:t>
            </w:r>
          </w:p>
        </w:tc>
        <w:tc>
          <w:tcPr>
            <w:tcW w:w="2552" w:type="dxa"/>
            <w:tcBorders>
              <w:top w:val="single" w:sz="4" w:space="0" w:color="auto"/>
              <w:left w:val="single" w:sz="4" w:space="0" w:color="auto"/>
              <w:bottom w:val="single" w:sz="4" w:space="0" w:color="auto"/>
              <w:right w:val="single" w:sz="4" w:space="0" w:color="auto"/>
            </w:tcBorders>
            <w:hideMark/>
          </w:tcPr>
          <w:p w14:paraId="15AA8B0E" w14:textId="77777777" w:rsidR="00561C87" w:rsidRPr="00561C87" w:rsidRDefault="00561C87" w:rsidP="006B6158">
            <w:pPr>
              <w:rPr>
                <w:sz w:val="24"/>
                <w:szCs w:val="24"/>
              </w:rPr>
            </w:pPr>
            <w:r w:rsidRPr="00561C87">
              <w:rPr>
                <w:sz w:val="24"/>
                <w:szCs w:val="24"/>
              </w:rPr>
              <w:t>op til 561 mg/kg/dag</w:t>
            </w:r>
          </w:p>
        </w:tc>
      </w:tr>
      <w:tr w:rsidR="00561C87" w:rsidRPr="00561C87" w14:paraId="796C859D" w14:textId="77777777" w:rsidTr="0050418D">
        <w:tc>
          <w:tcPr>
            <w:tcW w:w="1601" w:type="dxa"/>
            <w:tcBorders>
              <w:top w:val="single" w:sz="4" w:space="0" w:color="auto"/>
              <w:left w:val="single" w:sz="4" w:space="0" w:color="auto"/>
              <w:bottom w:val="single" w:sz="4" w:space="0" w:color="auto"/>
              <w:right w:val="single" w:sz="4" w:space="0" w:color="auto"/>
            </w:tcBorders>
            <w:hideMark/>
          </w:tcPr>
          <w:p w14:paraId="425384DB" w14:textId="77777777" w:rsidR="00561C87" w:rsidRPr="00561C87" w:rsidRDefault="00561C87" w:rsidP="006B6158">
            <w:pPr>
              <w:ind w:left="33"/>
              <w:rPr>
                <w:sz w:val="24"/>
                <w:szCs w:val="24"/>
              </w:rPr>
            </w:pPr>
            <w:r w:rsidRPr="00561C87">
              <w:rPr>
                <w:sz w:val="24"/>
                <w:szCs w:val="24"/>
              </w:rPr>
              <w:t>Rotte</w:t>
            </w:r>
          </w:p>
        </w:tc>
        <w:tc>
          <w:tcPr>
            <w:tcW w:w="2552" w:type="dxa"/>
            <w:tcBorders>
              <w:top w:val="single" w:sz="4" w:space="0" w:color="auto"/>
              <w:left w:val="single" w:sz="4" w:space="0" w:color="auto"/>
              <w:bottom w:val="single" w:sz="4" w:space="0" w:color="auto"/>
              <w:right w:val="single" w:sz="4" w:space="0" w:color="auto"/>
            </w:tcBorders>
            <w:hideMark/>
          </w:tcPr>
          <w:p w14:paraId="191C9AD4" w14:textId="77777777" w:rsidR="00561C87" w:rsidRPr="00561C87" w:rsidRDefault="00561C87" w:rsidP="006B6158">
            <w:pPr>
              <w:rPr>
                <w:sz w:val="24"/>
                <w:szCs w:val="24"/>
              </w:rPr>
            </w:pPr>
            <w:r w:rsidRPr="00561C87">
              <w:rPr>
                <w:sz w:val="24"/>
                <w:szCs w:val="24"/>
              </w:rPr>
              <w:t>op til 230 mg/kg/dag</w:t>
            </w:r>
          </w:p>
        </w:tc>
      </w:tr>
      <w:tr w:rsidR="00561C87" w:rsidRPr="00561C87" w14:paraId="40412976" w14:textId="77777777" w:rsidTr="0050418D">
        <w:tc>
          <w:tcPr>
            <w:tcW w:w="1601" w:type="dxa"/>
            <w:tcBorders>
              <w:top w:val="single" w:sz="4" w:space="0" w:color="auto"/>
              <w:left w:val="single" w:sz="4" w:space="0" w:color="auto"/>
              <w:bottom w:val="single" w:sz="4" w:space="0" w:color="auto"/>
              <w:right w:val="single" w:sz="4" w:space="0" w:color="auto"/>
            </w:tcBorders>
            <w:hideMark/>
          </w:tcPr>
          <w:p w14:paraId="534EC6A1" w14:textId="77777777" w:rsidR="00561C87" w:rsidRPr="00561C87" w:rsidRDefault="00561C87" w:rsidP="006B6158">
            <w:pPr>
              <w:ind w:left="33"/>
              <w:rPr>
                <w:sz w:val="24"/>
                <w:szCs w:val="24"/>
              </w:rPr>
            </w:pPr>
            <w:r w:rsidRPr="00561C87">
              <w:rPr>
                <w:sz w:val="24"/>
                <w:szCs w:val="24"/>
              </w:rPr>
              <w:t>Hund</w:t>
            </w:r>
          </w:p>
        </w:tc>
        <w:tc>
          <w:tcPr>
            <w:tcW w:w="2552" w:type="dxa"/>
            <w:tcBorders>
              <w:top w:val="single" w:sz="4" w:space="0" w:color="auto"/>
              <w:left w:val="single" w:sz="4" w:space="0" w:color="auto"/>
              <w:bottom w:val="single" w:sz="4" w:space="0" w:color="auto"/>
              <w:right w:val="single" w:sz="4" w:space="0" w:color="auto"/>
            </w:tcBorders>
            <w:hideMark/>
          </w:tcPr>
          <w:p w14:paraId="1026EC3A" w14:textId="77777777" w:rsidR="00561C87" w:rsidRPr="00561C87" w:rsidRDefault="00561C87" w:rsidP="006B6158">
            <w:pPr>
              <w:rPr>
                <w:sz w:val="24"/>
                <w:szCs w:val="24"/>
              </w:rPr>
            </w:pPr>
            <w:r w:rsidRPr="00561C87">
              <w:rPr>
                <w:sz w:val="24"/>
                <w:szCs w:val="24"/>
              </w:rPr>
              <w:t>op til 5 mg/kg/dag</w:t>
            </w:r>
          </w:p>
        </w:tc>
      </w:tr>
    </w:tbl>
    <w:p w14:paraId="1EE07D25" w14:textId="77777777" w:rsidR="00561C87" w:rsidRPr="00561C87" w:rsidRDefault="00561C87" w:rsidP="00561C87">
      <w:pPr>
        <w:tabs>
          <w:tab w:val="left" w:pos="851"/>
        </w:tabs>
        <w:ind w:left="851"/>
        <w:rPr>
          <w:sz w:val="24"/>
          <w:szCs w:val="24"/>
        </w:rPr>
      </w:pPr>
    </w:p>
    <w:p w14:paraId="252DAFC9" w14:textId="77777777" w:rsidR="00561C87" w:rsidRPr="00561C87" w:rsidRDefault="00561C87" w:rsidP="00561C87">
      <w:pPr>
        <w:tabs>
          <w:tab w:val="left" w:pos="851"/>
        </w:tabs>
        <w:ind w:left="851"/>
        <w:rPr>
          <w:sz w:val="24"/>
          <w:szCs w:val="24"/>
        </w:rPr>
      </w:pPr>
      <w:proofErr w:type="spellStart"/>
      <w:r w:rsidRPr="00561C87">
        <w:rPr>
          <w:sz w:val="24"/>
          <w:szCs w:val="24"/>
        </w:rPr>
        <w:t>Methæmoglobinæmi</w:t>
      </w:r>
      <w:proofErr w:type="spellEnd"/>
      <w:r w:rsidRPr="00561C87">
        <w:rPr>
          <w:sz w:val="24"/>
          <w:szCs w:val="24"/>
        </w:rPr>
        <w:t>, som sædvanligvis forekommer, når der anvendes organiske nitrater, forekom lejlighedsvist hos hunde, som fik 1, 5 og 25 mg/kg oralt i 12 måneder. Toksiske virkninger forekom ikke ved intravenøs administration i to uger med en daglig dosis på 5 mg/kg hos rotter og 3 mg/kg hos hunde. Der forekom to uforklarlige dødsfald i rottegruppen, som fik en daglig dosis på 10 mg/kg.</w:t>
      </w:r>
    </w:p>
    <w:p w14:paraId="64BD8676" w14:textId="77777777" w:rsidR="00561C87" w:rsidRPr="00561C87" w:rsidRDefault="00561C87" w:rsidP="00561C87">
      <w:pPr>
        <w:tabs>
          <w:tab w:val="left" w:pos="851"/>
        </w:tabs>
        <w:ind w:left="851"/>
        <w:rPr>
          <w:sz w:val="24"/>
          <w:szCs w:val="24"/>
        </w:rPr>
      </w:pPr>
    </w:p>
    <w:p w14:paraId="55DC51E7" w14:textId="77777777" w:rsidR="00561C87" w:rsidRPr="00561C87" w:rsidRDefault="00561C87" w:rsidP="00561C87">
      <w:pPr>
        <w:tabs>
          <w:tab w:val="left" w:pos="851"/>
        </w:tabs>
        <w:ind w:left="851"/>
        <w:rPr>
          <w:sz w:val="24"/>
          <w:szCs w:val="24"/>
        </w:rPr>
      </w:pPr>
      <w:r w:rsidRPr="00561C87">
        <w:rPr>
          <w:sz w:val="24"/>
          <w:szCs w:val="24"/>
        </w:rPr>
        <w:t xml:space="preserve">I et 26 uger langt studie med daglig applicering af 10 procent </w:t>
      </w:r>
      <w:proofErr w:type="spellStart"/>
      <w:r w:rsidRPr="00561C87">
        <w:rPr>
          <w:sz w:val="24"/>
          <w:szCs w:val="24"/>
        </w:rPr>
        <w:t>glyceryltrinitrat</w:t>
      </w:r>
      <w:proofErr w:type="spellEnd"/>
      <w:r w:rsidRPr="00561C87">
        <w:rPr>
          <w:sz w:val="24"/>
          <w:szCs w:val="24"/>
        </w:rPr>
        <w:t xml:space="preserve"> på huden hos hankaniner blev der ikke observeret nogen toksiske virkninger, når dosen på huden var 15 mg/kg/dag og systemisk 60 mg/kg/dag.</w:t>
      </w:r>
    </w:p>
    <w:p w14:paraId="003F007C" w14:textId="77777777" w:rsidR="00561C87" w:rsidRPr="00561C87" w:rsidRDefault="00561C87" w:rsidP="00561C87">
      <w:pPr>
        <w:tabs>
          <w:tab w:val="left" w:pos="851"/>
        </w:tabs>
        <w:ind w:left="851"/>
        <w:rPr>
          <w:sz w:val="24"/>
          <w:szCs w:val="24"/>
        </w:rPr>
      </w:pPr>
    </w:p>
    <w:p w14:paraId="0C02484D" w14:textId="77777777" w:rsidR="00561C87" w:rsidRPr="00561C87" w:rsidRDefault="00561C87" w:rsidP="00561C87">
      <w:pPr>
        <w:tabs>
          <w:tab w:val="left" w:pos="851"/>
        </w:tabs>
        <w:ind w:left="851"/>
        <w:rPr>
          <w:sz w:val="24"/>
          <w:szCs w:val="24"/>
        </w:rPr>
      </w:pPr>
      <w:r w:rsidRPr="00561C87">
        <w:rPr>
          <w:sz w:val="24"/>
          <w:szCs w:val="24"/>
          <w:u w:val="single"/>
        </w:rPr>
        <w:t>Reproduktions- og udviklingstoksicitet</w:t>
      </w:r>
    </w:p>
    <w:p w14:paraId="4E9C6EBE" w14:textId="0CF68B6A" w:rsidR="00561C87" w:rsidRPr="00561C87" w:rsidRDefault="00561C87" w:rsidP="00561C87">
      <w:pPr>
        <w:tabs>
          <w:tab w:val="left" w:pos="851"/>
        </w:tabs>
        <w:ind w:left="851"/>
        <w:rPr>
          <w:sz w:val="24"/>
          <w:szCs w:val="24"/>
        </w:rPr>
      </w:pPr>
      <w:r w:rsidRPr="00561C87">
        <w:rPr>
          <w:sz w:val="24"/>
          <w:szCs w:val="24"/>
        </w:rPr>
        <w:t>Der blev udført studier i reproduktions- og udviklings</w:t>
      </w:r>
      <w:r w:rsidR="007F7A3A">
        <w:rPr>
          <w:sz w:val="24"/>
          <w:szCs w:val="24"/>
        </w:rPr>
        <w:t>t</w:t>
      </w:r>
      <w:r w:rsidRPr="00561C87">
        <w:rPr>
          <w:sz w:val="24"/>
          <w:szCs w:val="24"/>
        </w:rPr>
        <w:t xml:space="preserve">oksicitet hos rotter og kaniner med forskellige administrationsveje (intravenøst, </w:t>
      </w:r>
      <w:proofErr w:type="spellStart"/>
      <w:r w:rsidRPr="00561C87">
        <w:rPr>
          <w:sz w:val="24"/>
          <w:szCs w:val="24"/>
        </w:rPr>
        <w:t>intraperitonealt</w:t>
      </w:r>
      <w:proofErr w:type="spellEnd"/>
      <w:r w:rsidRPr="00561C87">
        <w:rPr>
          <w:sz w:val="24"/>
          <w:szCs w:val="24"/>
        </w:rPr>
        <w:t xml:space="preserve">, </w:t>
      </w:r>
      <w:proofErr w:type="spellStart"/>
      <w:r w:rsidRPr="00561C87">
        <w:rPr>
          <w:sz w:val="24"/>
          <w:szCs w:val="24"/>
        </w:rPr>
        <w:t>transdermalt</w:t>
      </w:r>
      <w:proofErr w:type="spellEnd"/>
      <w:r w:rsidRPr="00561C87">
        <w:rPr>
          <w:sz w:val="24"/>
          <w:szCs w:val="24"/>
        </w:rPr>
        <w:t xml:space="preserve">). I disse studier, som omfattede undersøgelser af fertilitet, reproduktionsevne, embryotoksicitet samt peri- og </w:t>
      </w:r>
      <w:proofErr w:type="spellStart"/>
      <w:r w:rsidRPr="00561C87">
        <w:rPr>
          <w:sz w:val="24"/>
          <w:szCs w:val="24"/>
        </w:rPr>
        <w:t>postnatal</w:t>
      </w:r>
      <w:proofErr w:type="spellEnd"/>
      <w:r w:rsidRPr="00561C87">
        <w:rPr>
          <w:sz w:val="24"/>
          <w:szCs w:val="24"/>
        </w:rPr>
        <w:t xml:space="preserve"> udvikling, blev der ikke observeret nogen virkning på embryoer, fostre eller ungdyr, selv ved doser, som var toksiske for moderdyret (5</w:t>
      </w:r>
      <w:r w:rsidRPr="00561C87">
        <w:rPr>
          <w:sz w:val="24"/>
          <w:szCs w:val="24"/>
        </w:rPr>
        <w:noBreakHyphen/>
        <w:t xml:space="preserve">20 mg/kg). Der var især ingen indikationer af </w:t>
      </w:r>
      <w:proofErr w:type="spellStart"/>
      <w:r w:rsidRPr="00561C87">
        <w:rPr>
          <w:sz w:val="24"/>
          <w:szCs w:val="24"/>
        </w:rPr>
        <w:t>teratogene</w:t>
      </w:r>
      <w:proofErr w:type="spellEnd"/>
      <w:r w:rsidRPr="00561C87">
        <w:rPr>
          <w:sz w:val="24"/>
          <w:szCs w:val="24"/>
        </w:rPr>
        <w:t xml:space="preserve"> egenskaber hos GTN.</w:t>
      </w:r>
    </w:p>
    <w:p w14:paraId="62513CCA" w14:textId="77777777" w:rsidR="00561C87" w:rsidRPr="00561C87" w:rsidRDefault="00561C87" w:rsidP="00561C87">
      <w:pPr>
        <w:tabs>
          <w:tab w:val="left" w:pos="851"/>
        </w:tabs>
        <w:ind w:left="851"/>
        <w:rPr>
          <w:sz w:val="24"/>
          <w:szCs w:val="24"/>
        </w:rPr>
      </w:pPr>
    </w:p>
    <w:p w14:paraId="6195F0C4" w14:textId="694F1B93" w:rsidR="00561C87" w:rsidRDefault="00561C87" w:rsidP="00561C87">
      <w:pPr>
        <w:tabs>
          <w:tab w:val="left" w:pos="851"/>
        </w:tabs>
        <w:ind w:left="851"/>
        <w:rPr>
          <w:sz w:val="24"/>
          <w:szCs w:val="24"/>
        </w:rPr>
      </w:pPr>
      <w:r w:rsidRPr="00561C87">
        <w:rPr>
          <w:sz w:val="24"/>
          <w:szCs w:val="24"/>
        </w:rPr>
        <w:t xml:space="preserve">I </w:t>
      </w:r>
      <w:proofErr w:type="spellStart"/>
      <w:r w:rsidRPr="00561C87">
        <w:rPr>
          <w:sz w:val="24"/>
          <w:szCs w:val="24"/>
        </w:rPr>
        <w:t>teratologistudier</w:t>
      </w:r>
      <w:proofErr w:type="spellEnd"/>
      <w:r w:rsidRPr="00561C87">
        <w:rPr>
          <w:sz w:val="24"/>
          <w:szCs w:val="24"/>
        </w:rPr>
        <w:t xml:space="preserve"> med rotter og kaniner med </w:t>
      </w:r>
      <w:proofErr w:type="spellStart"/>
      <w:r w:rsidRPr="00561C87">
        <w:rPr>
          <w:sz w:val="24"/>
          <w:szCs w:val="24"/>
        </w:rPr>
        <w:t>topikal</w:t>
      </w:r>
      <w:proofErr w:type="spellEnd"/>
      <w:r w:rsidRPr="00561C87">
        <w:rPr>
          <w:sz w:val="24"/>
          <w:szCs w:val="24"/>
        </w:rPr>
        <w:t xml:space="preserve"> </w:t>
      </w:r>
      <w:proofErr w:type="spellStart"/>
      <w:r w:rsidRPr="00561C87">
        <w:rPr>
          <w:sz w:val="24"/>
          <w:szCs w:val="24"/>
        </w:rPr>
        <w:t>glyceryltrinitratsalve</w:t>
      </w:r>
      <w:proofErr w:type="spellEnd"/>
      <w:r w:rsidRPr="00561C87">
        <w:rPr>
          <w:sz w:val="24"/>
          <w:szCs w:val="24"/>
        </w:rPr>
        <w:t xml:space="preserve"> ved doser på op til henholdsvis 80 mg/kg/dag og 240 mg/kg/dag blev der ikke observeret nogen toksiske virkninger på moderdyr og fostre ved nogen af de undersøgte doser. Der er ikke udført </w:t>
      </w:r>
      <w:proofErr w:type="spellStart"/>
      <w:r w:rsidRPr="00561C87">
        <w:rPr>
          <w:sz w:val="24"/>
          <w:szCs w:val="24"/>
        </w:rPr>
        <w:t>teratologiske</w:t>
      </w:r>
      <w:proofErr w:type="spellEnd"/>
      <w:r w:rsidRPr="00561C87">
        <w:rPr>
          <w:sz w:val="24"/>
          <w:szCs w:val="24"/>
        </w:rPr>
        <w:t xml:space="preserve"> studier med dyr med </w:t>
      </w:r>
      <w:proofErr w:type="spellStart"/>
      <w:r w:rsidRPr="00561C87">
        <w:rPr>
          <w:sz w:val="24"/>
          <w:szCs w:val="24"/>
        </w:rPr>
        <w:t>glyceryltrinitratplastre</w:t>
      </w:r>
      <w:proofErr w:type="spellEnd"/>
      <w:r w:rsidRPr="00561C87">
        <w:rPr>
          <w:sz w:val="24"/>
          <w:szCs w:val="24"/>
        </w:rPr>
        <w:t>.</w:t>
      </w:r>
    </w:p>
    <w:p w14:paraId="45A01955" w14:textId="77777777" w:rsidR="006B6158" w:rsidRPr="00561C87" w:rsidRDefault="006B6158" w:rsidP="00561C87">
      <w:pPr>
        <w:tabs>
          <w:tab w:val="left" w:pos="851"/>
        </w:tabs>
        <w:ind w:left="851"/>
        <w:rPr>
          <w:sz w:val="24"/>
          <w:szCs w:val="24"/>
        </w:rPr>
      </w:pPr>
    </w:p>
    <w:p w14:paraId="504271CF" w14:textId="77777777" w:rsidR="00561C87" w:rsidRPr="00561C87" w:rsidRDefault="00561C87" w:rsidP="00561C87">
      <w:pPr>
        <w:tabs>
          <w:tab w:val="left" w:pos="851"/>
        </w:tabs>
        <w:ind w:left="851"/>
        <w:rPr>
          <w:sz w:val="24"/>
          <w:szCs w:val="24"/>
        </w:rPr>
      </w:pPr>
      <w:proofErr w:type="spellStart"/>
      <w:r w:rsidRPr="00561C87">
        <w:rPr>
          <w:sz w:val="24"/>
          <w:szCs w:val="24"/>
          <w:u w:val="single"/>
        </w:rPr>
        <w:t>Mutagenicitet</w:t>
      </w:r>
      <w:proofErr w:type="spellEnd"/>
    </w:p>
    <w:p w14:paraId="2014ED8A" w14:textId="77777777" w:rsidR="00561C87" w:rsidRPr="00561C87" w:rsidRDefault="00561C87" w:rsidP="00561C87">
      <w:pPr>
        <w:tabs>
          <w:tab w:val="left" w:pos="851"/>
        </w:tabs>
        <w:ind w:left="851"/>
        <w:rPr>
          <w:sz w:val="24"/>
          <w:szCs w:val="24"/>
        </w:rPr>
      </w:pPr>
      <w:r w:rsidRPr="00561C87">
        <w:rPr>
          <w:sz w:val="24"/>
          <w:szCs w:val="24"/>
        </w:rPr>
        <w:t xml:space="preserve">Der er ikke udført omfattende studier af </w:t>
      </w:r>
      <w:proofErr w:type="spellStart"/>
      <w:r w:rsidRPr="00561C87">
        <w:rPr>
          <w:sz w:val="24"/>
          <w:szCs w:val="24"/>
        </w:rPr>
        <w:t>glyceryltrinitrats</w:t>
      </w:r>
      <w:proofErr w:type="spellEnd"/>
      <w:r w:rsidRPr="00561C87">
        <w:rPr>
          <w:sz w:val="24"/>
          <w:szCs w:val="24"/>
        </w:rPr>
        <w:t xml:space="preserve"> mutagene virkninger. Resultatet af en genmutationstest med </w:t>
      </w:r>
      <w:r w:rsidRPr="00561C87">
        <w:rPr>
          <w:i/>
          <w:sz w:val="24"/>
          <w:szCs w:val="24"/>
        </w:rPr>
        <w:t xml:space="preserve">S. </w:t>
      </w:r>
      <w:proofErr w:type="spellStart"/>
      <w:r w:rsidRPr="00561C87">
        <w:rPr>
          <w:i/>
          <w:sz w:val="24"/>
          <w:szCs w:val="24"/>
        </w:rPr>
        <w:t>typhimurium</w:t>
      </w:r>
      <w:proofErr w:type="spellEnd"/>
      <w:r w:rsidRPr="00561C87">
        <w:rPr>
          <w:sz w:val="24"/>
          <w:szCs w:val="24"/>
        </w:rPr>
        <w:t xml:space="preserve"> (</w:t>
      </w:r>
      <w:proofErr w:type="spellStart"/>
      <w:r w:rsidRPr="00561C87">
        <w:rPr>
          <w:sz w:val="24"/>
          <w:szCs w:val="24"/>
        </w:rPr>
        <w:t>Ames</w:t>
      </w:r>
      <w:proofErr w:type="spellEnd"/>
      <w:r w:rsidRPr="00561C87">
        <w:rPr>
          <w:sz w:val="24"/>
          <w:szCs w:val="24"/>
        </w:rPr>
        <w:t>-test) var negativt.</w:t>
      </w:r>
    </w:p>
    <w:p w14:paraId="5DE98AB7" w14:textId="77777777" w:rsidR="00561C87" w:rsidRPr="00561C87" w:rsidRDefault="00561C87" w:rsidP="00561C87">
      <w:pPr>
        <w:tabs>
          <w:tab w:val="left" w:pos="851"/>
        </w:tabs>
        <w:ind w:left="851"/>
        <w:rPr>
          <w:sz w:val="24"/>
          <w:szCs w:val="24"/>
          <w:u w:val="single"/>
        </w:rPr>
      </w:pPr>
    </w:p>
    <w:p w14:paraId="637B8889" w14:textId="77777777" w:rsidR="00561C87" w:rsidRPr="00561C87" w:rsidRDefault="00561C87" w:rsidP="00561C87">
      <w:pPr>
        <w:tabs>
          <w:tab w:val="left" w:pos="851"/>
        </w:tabs>
        <w:ind w:left="851"/>
        <w:rPr>
          <w:sz w:val="24"/>
          <w:szCs w:val="24"/>
          <w:u w:val="single"/>
        </w:rPr>
      </w:pPr>
      <w:proofErr w:type="spellStart"/>
      <w:r w:rsidRPr="00561C87">
        <w:rPr>
          <w:sz w:val="24"/>
          <w:szCs w:val="24"/>
          <w:u w:val="single"/>
        </w:rPr>
        <w:t>Karcinogenicitet</w:t>
      </w:r>
      <w:proofErr w:type="spellEnd"/>
    </w:p>
    <w:p w14:paraId="1531EBDB" w14:textId="77777777" w:rsidR="00561C87" w:rsidRPr="00561C87" w:rsidRDefault="00561C87" w:rsidP="00561C87">
      <w:pPr>
        <w:tabs>
          <w:tab w:val="left" w:pos="851"/>
        </w:tabs>
        <w:ind w:left="851"/>
        <w:rPr>
          <w:sz w:val="24"/>
          <w:szCs w:val="24"/>
        </w:rPr>
      </w:pPr>
      <w:r w:rsidRPr="00561C87">
        <w:rPr>
          <w:sz w:val="24"/>
          <w:szCs w:val="24"/>
        </w:rPr>
        <w:t xml:space="preserve">Der er ikke udført nogen </w:t>
      </w:r>
      <w:proofErr w:type="spellStart"/>
      <w:r w:rsidRPr="00561C87">
        <w:rPr>
          <w:sz w:val="24"/>
          <w:szCs w:val="24"/>
        </w:rPr>
        <w:t>karcinogenicitetsstudier</w:t>
      </w:r>
      <w:proofErr w:type="spellEnd"/>
      <w:r w:rsidRPr="00561C87">
        <w:rPr>
          <w:sz w:val="24"/>
          <w:szCs w:val="24"/>
        </w:rPr>
        <w:t xml:space="preserve"> efter de aktuelt højeste standarder på </w:t>
      </w:r>
      <w:proofErr w:type="spellStart"/>
      <w:r w:rsidRPr="00561C87">
        <w:rPr>
          <w:sz w:val="24"/>
          <w:szCs w:val="24"/>
        </w:rPr>
        <w:t>glyceryltrinitrat</w:t>
      </w:r>
      <w:proofErr w:type="spellEnd"/>
      <w:r w:rsidRPr="00561C87">
        <w:rPr>
          <w:sz w:val="24"/>
          <w:szCs w:val="24"/>
        </w:rPr>
        <w:t>.</w:t>
      </w:r>
    </w:p>
    <w:p w14:paraId="3731DC3E" w14:textId="3019EEBC" w:rsidR="00561C87" w:rsidRDefault="00561C87" w:rsidP="00561C87">
      <w:pPr>
        <w:tabs>
          <w:tab w:val="left" w:pos="851"/>
        </w:tabs>
        <w:ind w:left="851"/>
        <w:rPr>
          <w:sz w:val="24"/>
          <w:szCs w:val="24"/>
        </w:rPr>
      </w:pPr>
    </w:p>
    <w:p w14:paraId="6DE87F48" w14:textId="77777777" w:rsidR="00C20D07" w:rsidRPr="00561C87" w:rsidRDefault="00C20D07" w:rsidP="00561C87">
      <w:pPr>
        <w:tabs>
          <w:tab w:val="left" w:pos="851"/>
        </w:tabs>
        <w:ind w:left="851"/>
        <w:rPr>
          <w:sz w:val="24"/>
          <w:szCs w:val="24"/>
        </w:rPr>
      </w:pPr>
    </w:p>
    <w:p w14:paraId="45FEF027"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04FE71A" w14:textId="77777777" w:rsidR="009260DE" w:rsidRPr="00BA09F1" w:rsidRDefault="009260DE" w:rsidP="009260DE">
      <w:pPr>
        <w:tabs>
          <w:tab w:val="left" w:pos="851"/>
        </w:tabs>
        <w:ind w:left="851"/>
        <w:rPr>
          <w:sz w:val="24"/>
          <w:szCs w:val="24"/>
        </w:rPr>
      </w:pPr>
    </w:p>
    <w:p w14:paraId="7461AF9A"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3E598F3E" w14:textId="77777777" w:rsidR="006B6158" w:rsidRPr="006B6158" w:rsidRDefault="006B6158" w:rsidP="006B6158">
      <w:pPr>
        <w:tabs>
          <w:tab w:val="left" w:pos="851"/>
        </w:tabs>
        <w:ind w:left="851"/>
        <w:rPr>
          <w:sz w:val="24"/>
          <w:szCs w:val="24"/>
        </w:rPr>
      </w:pPr>
      <w:proofErr w:type="spellStart"/>
      <w:r w:rsidRPr="006B6158">
        <w:rPr>
          <w:sz w:val="24"/>
          <w:szCs w:val="24"/>
        </w:rPr>
        <w:t>Glucosemonohydrat</w:t>
      </w:r>
      <w:proofErr w:type="spellEnd"/>
    </w:p>
    <w:p w14:paraId="0CD92467" w14:textId="77777777" w:rsidR="006B6158" w:rsidRPr="006B6158" w:rsidRDefault="006B6158" w:rsidP="006B6158">
      <w:pPr>
        <w:tabs>
          <w:tab w:val="left" w:pos="851"/>
        </w:tabs>
        <w:ind w:left="851"/>
        <w:rPr>
          <w:sz w:val="24"/>
          <w:szCs w:val="24"/>
        </w:rPr>
      </w:pPr>
      <w:r w:rsidRPr="006B6158">
        <w:rPr>
          <w:sz w:val="24"/>
          <w:szCs w:val="24"/>
        </w:rPr>
        <w:t>Vand til injektionsvæske</w:t>
      </w:r>
    </w:p>
    <w:p w14:paraId="015645F5" w14:textId="15E2D632" w:rsidR="006B6158" w:rsidRDefault="006B6158" w:rsidP="006B6158">
      <w:pPr>
        <w:tabs>
          <w:tab w:val="left" w:pos="851"/>
        </w:tabs>
        <w:ind w:left="851"/>
        <w:rPr>
          <w:sz w:val="24"/>
          <w:szCs w:val="24"/>
        </w:rPr>
      </w:pPr>
      <w:r w:rsidRPr="006B6158">
        <w:rPr>
          <w:sz w:val="24"/>
          <w:szCs w:val="24"/>
        </w:rPr>
        <w:t>Saltsyre (for regulering af pH)</w:t>
      </w:r>
    </w:p>
    <w:p w14:paraId="3A3FECA5" w14:textId="77777777" w:rsidR="006B6158" w:rsidRPr="006B6158" w:rsidRDefault="006B6158" w:rsidP="006B6158">
      <w:pPr>
        <w:tabs>
          <w:tab w:val="left" w:pos="851"/>
        </w:tabs>
        <w:ind w:left="851"/>
        <w:rPr>
          <w:sz w:val="24"/>
          <w:szCs w:val="24"/>
        </w:rPr>
      </w:pPr>
    </w:p>
    <w:p w14:paraId="1976B54C"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3E3D1D46" w14:textId="77777777" w:rsidR="006B6158" w:rsidRPr="006B6158" w:rsidRDefault="006B6158" w:rsidP="006B6158">
      <w:pPr>
        <w:tabs>
          <w:tab w:val="left" w:pos="851"/>
        </w:tabs>
        <w:ind w:left="851"/>
        <w:rPr>
          <w:sz w:val="24"/>
          <w:szCs w:val="24"/>
        </w:rPr>
      </w:pPr>
      <w:r w:rsidRPr="006B6158">
        <w:rPr>
          <w:sz w:val="24"/>
          <w:szCs w:val="24"/>
        </w:rPr>
        <w:t>Dette lægemiddel må ikke blandes med andre lægemidler end dem, der er anført under pkt. 6.6.</w:t>
      </w:r>
    </w:p>
    <w:p w14:paraId="4998E836" w14:textId="77777777" w:rsidR="006B6158" w:rsidRPr="006B6158" w:rsidRDefault="006B6158" w:rsidP="006B6158">
      <w:pPr>
        <w:tabs>
          <w:tab w:val="left" w:pos="851"/>
        </w:tabs>
        <w:ind w:left="851"/>
        <w:rPr>
          <w:sz w:val="24"/>
          <w:szCs w:val="24"/>
        </w:rPr>
      </w:pPr>
    </w:p>
    <w:p w14:paraId="0A113B09" w14:textId="77777777" w:rsidR="006B6158" w:rsidRPr="006B6158" w:rsidRDefault="006B6158" w:rsidP="006B6158">
      <w:pPr>
        <w:tabs>
          <w:tab w:val="left" w:pos="851"/>
        </w:tabs>
        <w:ind w:left="851"/>
        <w:rPr>
          <w:sz w:val="24"/>
          <w:szCs w:val="24"/>
        </w:rPr>
      </w:pPr>
      <w:r w:rsidRPr="006B6158">
        <w:rPr>
          <w:sz w:val="24"/>
          <w:szCs w:val="24"/>
        </w:rPr>
        <w:t xml:space="preserve">Materialer af </w:t>
      </w:r>
      <w:proofErr w:type="spellStart"/>
      <w:r w:rsidRPr="006B6158">
        <w:rPr>
          <w:sz w:val="24"/>
          <w:szCs w:val="24"/>
        </w:rPr>
        <w:t>polyvinylchlorid</w:t>
      </w:r>
      <w:proofErr w:type="spellEnd"/>
      <w:r w:rsidRPr="006B6158">
        <w:rPr>
          <w:sz w:val="24"/>
          <w:szCs w:val="24"/>
        </w:rPr>
        <w:t xml:space="preserve"> (PVC) bør undgås, da </w:t>
      </w:r>
      <w:proofErr w:type="spellStart"/>
      <w:r w:rsidRPr="006B6158">
        <w:rPr>
          <w:sz w:val="24"/>
          <w:szCs w:val="24"/>
        </w:rPr>
        <w:t>glyceryltrinitrat</w:t>
      </w:r>
      <w:proofErr w:type="spellEnd"/>
      <w:r w:rsidRPr="006B6158">
        <w:rPr>
          <w:sz w:val="24"/>
          <w:szCs w:val="24"/>
        </w:rPr>
        <w:t xml:space="preserve"> binder sig til PVC.</w:t>
      </w:r>
    </w:p>
    <w:p w14:paraId="331B1526" w14:textId="77777777" w:rsidR="009260DE" w:rsidRPr="00C84483" w:rsidRDefault="009260DE" w:rsidP="009260DE">
      <w:pPr>
        <w:tabs>
          <w:tab w:val="left" w:pos="851"/>
        </w:tabs>
        <w:ind w:left="851"/>
        <w:rPr>
          <w:sz w:val="24"/>
          <w:szCs w:val="24"/>
        </w:rPr>
      </w:pPr>
    </w:p>
    <w:p w14:paraId="31071BD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384FA99" w14:textId="77777777" w:rsidR="006B6158" w:rsidRPr="006B6158" w:rsidRDefault="006B6158" w:rsidP="006B6158">
      <w:pPr>
        <w:tabs>
          <w:tab w:val="left" w:pos="851"/>
        </w:tabs>
        <w:ind w:left="851"/>
        <w:rPr>
          <w:sz w:val="24"/>
          <w:szCs w:val="24"/>
        </w:rPr>
      </w:pPr>
      <w:r w:rsidRPr="006B6158">
        <w:rPr>
          <w:sz w:val="24"/>
          <w:szCs w:val="24"/>
        </w:rPr>
        <w:t>3 år.</w:t>
      </w:r>
    </w:p>
    <w:p w14:paraId="0F8E8498" w14:textId="77777777" w:rsidR="006B6158" w:rsidRPr="006B6158" w:rsidRDefault="006B6158" w:rsidP="006B6158">
      <w:pPr>
        <w:tabs>
          <w:tab w:val="left" w:pos="851"/>
        </w:tabs>
        <w:ind w:left="851"/>
        <w:rPr>
          <w:sz w:val="24"/>
          <w:szCs w:val="24"/>
        </w:rPr>
      </w:pPr>
    </w:p>
    <w:p w14:paraId="698179DB" w14:textId="77777777" w:rsidR="006B6158" w:rsidRPr="006B6158" w:rsidRDefault="006B6158" w:rsidP="006B6158">
      <w:pPr>
        <w:tabs>
          <w:tab w:val="left" w:pos="851"/>
        </w:tabs>
        <w:ind w:left="851"/>
        <w:rPr>
          <w:sz w:val="24"/>
          <w:szCs w:val="24"/>
        </w:rPr>
      </w:pPr>
      <w:r w:rsidRPr="006B6158">
        <w:rPr>
          <w:sz w:val="24"/>
          <w:szCs w:val="24"/>
        </w:rPr>
        <w:t>Efter første anbrud og fortynding er den kemiske og fysiske stabilitet dokumenteret i 24 timer ved 5 °C og 25 °C. Ud fra et mikrobiologisk synspunkt skal produktet anvendes med det samme. Hvis det ikke anvendes med det samme, er opbevaringstiden og opbevaringsforholdene før anvendelse brugerens ansvar.</w:t>
      </w:r>
    </w:p>
    <w:p w14:paraId="2AEAC3EB" w14:textId="5F75B8DD" w:rsidR="00EC22A5" w:rsidRDefault="00EC22A5">
      <w:pPr>
        <w:rPr>
          <w:sz w:val="24"/>
          <w:szCs w:val="24"/>
        </w:rPr>
      </w:pPr>
      <w:r>
        <w:rPr>
          <w:sz w:val="24"/>
          <w:szCs w:val="24"/>
        </w:rPr>
        <w:br w:type="page"/>
      </w:r>
    </w:p>
    <w:p w14:paraId="4241D153" w14:textId="77777777" w:rsidR="009260DE" w:rsidRPr="00C84483" w:rsidRDefault="009260DE" w:rsidP="009260DE">
      <w:pPr>
        <w:tabs>
          <w:tab w:val="left" w:pos="851"/>
        </w:tabs>
        <w:ind w:left="851"/>
        <w:rPr>
          <w:sz w:val="24"/>
          <w:szCs w:val="24"/>
        </w:rPr>
      </w:pPr>
    </w:p>
    <w:p w14:paraId="0B6AD57B"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36FCB67" w14:textId="77777777" w:rsidR="00EC22A5" w:rsidRDefault="00EC22A5" w:rsidP="00EC22A5">
      <w:pPr>
        <w:tabs>
          <w:tab w:val="left" w:pos="851"/>
        </w:tabs>
        <w:ind w:left="851"/>
        <w:rPr>
          <w:sz w:val="24"/>
          <w:szCs w:val="24"/>
        </w:rPr>
      </w:pPr>
      <w:r w:rsidRPr="00EC22A5">
        <w:rPr>
          <w:sz w:val="24"/>
          <w:szCs w:val="24"/>
        </w:rPr>
        <w:t>Dette lægemiddel kræver ingen særlige forholdsregler vedrørende opbevaringen.</w:t>
      </w:r>
    </w:p>
    <w:p w14:paraId="2F4544DD" w14:textId="6D14D657" w:rsidR="00EC22A5" w:rsidRPr="00EC22A5" w:rsidRDefault="00EC22A5" w:rsidP="00EC22A5">
      <w:pPr>
        <w:tabs>
          <w:tab w:val="left" w:pos="851"/>
        </w:tabs>
        <w:ind w:left="851"/>
        <w:rPr>
          <w:sz w:val="24"/>
          <w:szCs w:val="24"/>
        </w:rPr>
      </w:pPr>
      <w:r w:rsidRPr="00EC22A5">
        <w:rPr>
          <w:sz w:val="24"/>
          <w:szCs w:val="24"/>
        </w:rPr>
        <w:t>Opbevar hætteglasset i den ydre karton for at beskytte mod lys.</w:t>
      </w:r>
    </w:p>
    <w:p w14:paraId="0F6F8C95" w14:textId="77777777" w:rsidR="00EC22A5" w:rsidRPr="00EC22A5" w:rsidRDefault="00EC22A5" w:rsidP="00EC22A5">
      <w:pPr>
        <w:tabs>
          <w:tab w:val="left" w:pos="851"/>
        </w:tabs>
        <w:ind w:left="851"/>
        <w:rPr>
          <w:sz w:val="24"/>
          <w:szCs w:val="24"/>
        </w:rPr>
      </w:pPr>
    </w:p>
    <w:p w14:paraId="4570EFBE" w14:textId="77777777" w:rsidR="00EC22A5" w:rsidRPr="00EC22A5" w:rsidRDefault="00EC22A5" w:rsidP="00EC22A5">
      <w:pPr>
        <w:tabs>
          <w:tab w:val="left" w:pos="851"/>
        </w:tabs>
        <w:ind w:left="851"/>
        <w:rPr>
          <w:sz w:val="24"/>
          <w:szCs w:val="24"/>
        </w:rPr>
      </w:pPr>
      <w:r w:rsidRPr="00EC22A5">
        <w:rPr>
          <w:sz w:val="24"/>
          <w:szCs w:val="24"/>
        </w:rPr>
        <w:t>Opbevaringsforhold efter fortynding af lægemidlet, se pkt. 6.3.</w:t>
      </w:r>
    </w:p>
    <w:p w14:paraId="57BB549B" w14:textId="77777777" w:rsidR="009260DE" w:rsidRPr="00C84483" w:rsidRDefault="009260DE" w:rsidP="009260DE">
      <w:pPr>
        <w:tabs>
          <w:tab w:val="left" w:pos="851"/>
        </w:tabs>
        <w:ind w:left="851"/>
        <w:rPr>
          <w:sz w:val="24"/>
          <w:szCs w:val="24"/>
        </w:rPr>
      </w:pPr>
    </w:p>
    <w:p w14:paraId="48A9A1F7"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429A73EF" w14:textId="35AE7D20" w:rsidR="00EC22A5" w:rsidRDefault="00EC22A5" w:rsidP="00EC22A5">
      <w:pPr>
        <w:tabs>
          <w:tab w:val="left" w:pos="851"/>
        </w:tabs>
        <w:ind w:left="851"/>
        <w:rPr>
          <w:sz w:val="24"/>
          <w:szCs w:val="24"/>
        </w:rPr>
      </w:pPr>
      <w:r w:rsidRPr="00EC22A5">
        <w:rPr>
          <w:sz w:val="24"/>
          <w:szCs w:val="24"/>
        </w:rPr>
        <w:t xml:space="preserve">Farveløst hætteglas i glas med </w:t>
      </w:r>
      <w:proofErr w:type="spellStart"/>
      <w:r w:rsidRPr="00EC22A5">
        <w:rPr>
          <w:sz w:val="24"/>
          <w:szCs w:val="24"/>
        </w:rPr>
        <w:t>bromobutylgummiprop</w:t>
      </w:r>
      <w:proofErr w:type="spellEnd"/>
      <w:r w:rsidRPr="00EC22A5">
        <w:rPr>
          <w:sz w:val="24"/>
          <w:szCs w:val="24"/>
        </w:rPr>
        <w:t xml:space="preserve"> og aluminiumslåg med polypropylenskive.</w:t>
      </w:r>
    </w:p>
    <w:p w14:paraId="020317AF" w14:textId="77777777" w:rsidR="00EC22A5" w:rsidRPr="00EC22A5" w:rsidRDefault="00EC22A5" w:rsidP="00EC22A5">
      <w:pPr>
        <w:tabs>
          <w:tab w:val="left" w:pos="851"/>
        </w:tabs>
        <w:ind w:left="851"/>
        <w:rPr>
          <w:sz w:val="24"/>
          <w:szCs w:val="24"/>
        </w:rPr>
      </w:pPr>
    </w:p>
    <w:p w14:paraId="3A5E8179" w14:textId="460DBAAD" w:rsidR="00EC22A5" w:rsidRPr="00EC22A5" w:rsidRDefault="00EC22A5" w:rsidP="00EC22A5">
      <w:pPr>
        <w:tabs>
          <w:tab w:val="left" w:pos="851"/>
        </w:tabs>
        <w:ind w:left="851"/>
        <w:rPr>
          <w:sz w:val="24"/>
          <w:szCs w:val="24"/>
        </w:rPr>
      </w:pPr>
      <w:r w:rsidRPr="00EC22A5">
        <w:rPr>
          <w:sz w:val="24"/>
          <w:szCs w:val="24"/>
        </w:rPr>
        <w:t>Pakningsstørrelse</w:t>
      </w:r>
      <w:r>
        <w:rPr>
          <w:sz w:val="24"/>
          <w:szCs w:val="24"/>
        </w:rPr>
        <w:t>r</w:t>
      </w:r>
      <w:r w:rsidRPr="00EC22A5">
        <w:rPr>
          <w:sz w:val="24"/>
          <w:szCs w:val="24"/>
        </w:rPr>
        <w:t>: 1</w:t>
      </w:r>
      <w:r>
        <w:rPr>
          <w:sz w:val="24"/>
          <w:szCs w:val="24"/>
        </w:rPr>
        <w:t>×</w:t>
      </w:r>
      <w:r w:rsidRPr="00EC22A5">
        <w:rPr>
          <w:sz w:val="24"/>
          <w:szCs w:val="24"/>
        </w:rPr>
        <w:t>50 ml og 10</w:t>
      </w:r>
      <w:r>
        <w:rPr>
          <w:sz w:val="24"/>
          <w:szCs w:val="24"/>
        </w:rPr>
        <w:t>×</w:t>
      </w:r>
      <w:r w:rsidRPr="00EC22A5">
        <w:rPr>
          <w:sz w:val="24"/>
          <w:szCs w:val="24"/>
        </w:rPr>
        <w:t>50 ml.</w:t>
      </w:r>
    </w:p>
    <w:p w14:paraId="5699DD24" w14:textId="77777777" w:rsidR="00EC22A5" w:rsidRPr="00EC22A5" w:rsidRDefault="00EC22A5" w:rsidP="00EC22A5">
      <w:pPr>
        <w:tabs>
          <w:tab w:val="left" w:pos="851"/>
        </w:tabs>
        <w:ind w:left="851"/>
        <w:rPr>
          <w:sz w:val="24"/>
          <w:szCs w:val="24"/>
        </w:rPr>
      </w:pPr>
      <w:bookmarkStart w:id="8" w:name="_Hlk125644397"/>
      <w:r w:rsidRPr="00EC22A5">
        <w:rPr>
          <w:sz w:val="24"/>
          <w:szCs w:val="24"/>
        </w:rPr>
        <w:t>Ikke alle pakningsstørrelser er nødvendigvis markedsført.</w:t>
      </w:r>
    </w:p>
    <w:bookmarkEnd w:id="8"/>
    <w:p w14:paraId="48B34063" w14:textId="77777777" w:rsidR="009260DE" w:rsidRPr="00C84483" w:rsidRDefault="009260DE" w:rsidP="009260DE">
      <w:pPr>
        <w:tabs>
          <w:tab w:val="left" w:pos="851"/>
        </w:tabs>
        <w:ind w:left="851"/>
        <w:rPr>
          <w:sz w:val="24"/>
          <w:szCs w:val="24"/>
        </w:rPr>
      </w:pPr>
    </w:p>
    <w:p w14:paraId="1FB9EEE8"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20172300" w14:textId="41778904" w:rsidR="008C73D5" w:rsidRPr="008C73D5" w:rsidRDefault="008C73D5" w:rsidP="008C73D5">
      <w:pPr>
        <w:tabs>
          <w:tab w:val="left" w:pos="851"/>
        </w:tabs>
        <w:ind w:left="851"/>
        <w:rPr>
          <w:sz w:val="24"/>
          <w:szCs w:val="24"/>
        </w:rPr>
      </w:pPr>
      <w:r w:rsidRPr="008C73D5">
        <w:rPr>
          <w:sz w:val="24"/>
          <w:szCs w:val="24"/>
        </w:rPr>
        <w:t>Infusionsvæsken er steril, men uden konserveringsmidler. Hætteglasset er ikke beregnet til flere anvendelser. Nitroglycerin "</w:t>
      </w:r>
      <w:proofErr w:type="spellStart"/>
      <w:r w:rsidR="00BE4AB6">
        <w:rPr>
          <w:sz w:val="24"/>
          <w:szCs w:val="24"/>
        </w:rPr>
        <w:t>Macure</w:t>
      </w:r>
      <w:proofErr w:type="spellEnd"/>
      <w:r w:rsidRPr="008C73D5">
        <w:rPr>
          <w:sz w:val="24"/>
          <w:szCs w:val="24"/>
        </w:rPr>
        <w:t>" skal anvendes aseptisk efter åbning.</w:t>
      </w:r>
    </w:p>
    <w:p w14:paraId="32A67557" w14:textId="77777777" w:rsidR="008C73D5" w:rsidRPr="008C73D5" w:rsidRDefault="008C73D5" w:rsidP="008C73D5">
      <w:pPr>
        <w:tabs>
          <w:tab w:val="left" w:pos="851"/>
        </w:tabs>
        <w:ind w:left="851"/>
        <w:rPr>
          <w:sz w:val="24"/>
          <w:szCs w:val="24"/>
        </w:rPr>
      </w:pPr>
    </w:p>
    <w:p w14:paraId="36F0693E" w14:textId="77777777" w:rsidR="008C73D5" w:rsidRPr="008C73D5" w:rsidRDefault="008C73D5" w:rsidP="008C73D5">
      <w:pPr>
        <w:tabs>
          <w:tab w:val="left" w:pos="851"/>
        </w:tabs>
        <w:ind w:left="851"/>
        <w:rPr>
          <w:sz w:val="24"/>
          <w:szCs w:val="24"/>
        </w:rPr>
      </w:pPr>
      <w:bookmarkStart w:id="9" w:name="_Hlk125644311"/>
      <w:r w:rsidRPr="008C73D5">
        <w:rPr>
          <w:sz w:val="24"/>
          <w:szCs w:val="24"/>
        </w:rPr>
        <w:t>Lægemidlet skal efterses før brug. Kun klare opløsninger uden partikler må anvendes.</w:t>
      </w:r>
    </w:p>
    <w:p w14:paraId="400232CF" w14:textId="77777777" w:rsidR="008C73D5" w:rsidRPr="008C73D5" w:rsidRDefault="008C73D5" w:rsidP="008C73D5">
      <w:pPr>
        <w:tabs>
          <w:tab w:val="left" w:pos="851"/>
        </w:tabs>
        <w:ind w:left="851"/>
        <w:rPr>
          <w:sz w:val="24"/>
          <w:szCs w:val="24"/>
        </w:rPr>
      </w:pPr>
      <w:r w:rsidRPr="008C73D5">
        <w:rPr>
          <w:sz w:val="24"/>
          <w:szCs w:val="24"/>
        </w:rPr>
        <w:t>Når lægemidlet er åbnet, skal det anvendes med det samme. Eventuelt resterende lægemiddel skal kasseres.</w:t>
      </w:r>
    </w:p>
    <w:bookmarkEnd w:id="9"/>
    <w:p w14:paraId="2F640D63" w14:textId="77777777" w:rsidR="008C73D5" w:rsidRPr="008C73D5" w:rsidRDefault="008C73D5" w:rsidP="008C73D5">
      <w:pPr>
        <w:tabs>
          <w:tab w:val="left" w:pos="851"/>
        </w:tabs>
        <w:ind w:left="851"/>
        <w:rPr>
          <w:sz w:val="24"/>
          <w:szCs w:val="24"/>
        </w:rPr>
      </w:pPr>
    </w:p>
    <w:p w14:paraId="2C624ECE" w14:textId="4C9C2074" w:rsidR="008C73D5" w:rsidRPr="008C73D5" w:rsidRDefault="008C73D5" w:rsidP="008C73D5">
      <w:pPr>
        <w:tabs>
          <w:tab w:val="left" w:pos="851"/>
        </w:tabs>
        <w:ind w:left="851"/>
        <w:rPr>
          <w:sz w:val="24"/>
          <w:szCs w:val="24"/>
        </w:rPr>
      </w:pPr>
      <w:r w:rsidRPr="008C73D5">
        <w:rPr>
          <w:sz w:val="24"/>
          <w:szCs w:val="24"/>
        </w:rPr>
        <w:t>Nitroglycerin "</w:t>
      </w:r>
      <w:proofErr w:type="spellStart"/>
      <w:r w:rsidR="00BE4AB6">
        <w:rPr>
          <w:sz w:val="24"/>
          <w:szCs w:val="24"/>
        </w:rPr>
        <w:t>Macure</w:t>
      </w:r>
      <w:proofErr w:type="spellEnd"/>
      <w:r w:rsidRPr="008C73D5">
        <w:rPr>
          <w:sz w:val="24"/>
          <w:szCs w:val="24"/>
        </w:rPr>
        <w:t>" kan blandes med fysiologisk saltvandsopløsning, 5</w:t>
      </w:r>
      <w:r w:rsidRPr="008C73D5">
        <w:rPr>
          <w:sz w:val="24"/>
          <w:szCs w:val="24"/>
        </w:rPr>
        <w:noBreakHyphen/>
        <w:t xml:space="preserve">30 % </w:t>
      </w:r>
      <w:proofErr w:type="spellStart"/>
      <w:r w:rsidRPr="008C73D5">
        <w:rPr>
          <w:sz w:val="24"/>
          <w:szCs w:val="24"/>
        </w:rPr>
        <w:t>glucoseopløsning</w:t>
      </w:r>
      <w:proofErr w:type="spellEnd"/>
      <w:r w:rsidRPr="008C73D5">
        <w:rPr>
          <w:sz w:val="24"/>
          <w:szCs w:val="24"/>
        </w:rPr>
        <w:t xml:space="preserve"> eller Ringer-</w:t>
      </w:r>
      <w:proofErr w:type="spellStart"/>
      <w:r w:rsidRPr="008C73D5">
        <w:rPr>
          <w:sz w:val="24"/>
          <w:szCs w:val="24"/>
        </w:rPr>
        <w:t>lactatopløsning</w:t>
      </w:r>
      <w:proofErr w:type="spellEnd"/>
      <w:r w:rsidRPr="008C73D5">
        <w:rPr>
          <w:sz w:val="24"/>
          <w:szCs w:val="24"/>
        </w:rPr>
        <w:t>.</w:t>
      </w:r>
    </w:p>
    <w:p w14:paraId="52760562" w14:textId="77777777" w:rsidR="008C73D5" w:rsidRPr="008C73D5" w:rsidRDefault="008C73D5" w:rsidP="008C73D5">
      <w:pPr>
        <w:tabs>
          <w:tab w:val="left" w:pos="851"/>
        </w:tabs>
        <w:ind w:left="851"/>
        <w:rPr>
          <w:sz w:val="24"/>
          <w:szCs w:val="24"/>
        </w:rPr>
      </w:pPr>
    </w:p>
    <w:p w14:paraId="14B9648F" w14:textId="1AE1CDD7" w:rsidR="008C73D5" w:rsidRPr="008C73D5" w:rsidRDefault="008C73D5" w:rsidP="008C73D5">
      <w:pPr>
        <w:tabs>
          <w:tab w:val="left" w:pos="851"/>
        </w:tabs>
        <w:ind w:left="851"/>
        <w:rPr>
          <w:sz w:val="24"/>
          <w:szCs w:val="24"/>
        </w:rPr>
      </w:pPr>
      <w:r w:rsidRPr="008C73D5">
        <w:rPr>
          <w:sz w:val="24"/>
          <w:szCs w:val="24"/>
        </w:rPr>
        <w:t xml:space="preserve">Sædvanligvis anbefales infusionsvæsker med en </w:t>
      </w:r>
      <w:proofErr w:type="spellStart"/>
      <w:r w:rsidRPr="008C73D5">
        <w:rPr>
          <w:sz w:val="24"/>
          <w:szCs w:val="24"/>
        </w:rPr>
        <w:t>glyceryltrinitratkoncentration</w:t>
      </w:r>
      <w:proofErr w:type="spellEnd"/>
      <w:r w:rsidRPr="008C73D5">
        <w:rPr>
          <w:sz w:val="24"/>
          <w:szCs w:val="24"/>
        </w:rPr>
        <w:t xml:space="preserve"> på 100 mikrogram/ml. Klargøring sker ved at trække 50 ml op af en infusionsflaske på 500 ml og tilsætte et hætteglas (50 ml) med Nitroglycerin "</w:t>
      </w:r>
      <w:proofErr w:type="spellStart"/>
      <w:r w:rsidR="00BE4AB6">
        <w:rPr>
          <w:sz w:val="24"/>
          <w:szCs w:val="24"/>
        </w:rPr>
        <w:t>Macure</w:t>
      </w:r>
      <w:proofErr w:type="spellEnd"/>
      <w:r w:rsidRPr="008C73D5">
        <w:rPr>
          <w:sz w:val="24"/>
          <w:szCs w:val="24"/>
        </w:rPr>
        <w:t>". Højere koncentrationer kan også anvendes i opløsningerne, men det anbefales, at en koncentration på 133 mikrogram/ml ikke overskrides.</w:t>
      </w:r>
    </w:p>
    <w:p w14:paraId="27538144" w14:textId="77777777" w:rsidR="008C73D5" w:rsidRPr="008C73D5" w:rsidRDefault="008C73D5" w:rsidP="008C73D5">
      <w:pPr>
        <w:tabs>
          <w:tab w:val="left" w:pos="851"/>
        </w:tabs>
        <w:ind w:left="851"/>
        <w:rPr>
          <w:sz w:val="24"/>
          <w:szCs w:val="24"/>
        </w:rPr>
      </w:pPr>
    </w:p>
    <w:p w14:paraId="4992D3D6" w14:textId="6F0F1364" w:rsidR="008C73D5" w:rsidRPr="008C73D5" w:rsidRDefault="008C73D5" w:rsidP="008C73D5">
      <w:pPr>
        <w:tabs>
          <w:tab w:val="left" w:pos="851"/>
        </w:tabs>
        <w:ind w:left="851"/>
        <w:rPr>
          <w:sz w:val="24"/>
          <w:szCs w:val="24"/>
        </w:rPr>
      </w:pPr>
      <w:r w:rsidRPr="008C73D5">
        <w:rPr>
          <w:sz w:val="24"/>
          <w:szCs w:val="24"/>
        </w:rPr>
        <w:t xml:space="preserve">Materialer af </w:t>
      </w:r>
      <w:proofErr w:type="spellStart"/>
      <w:r w:rsidRPr="008C73D5">
        <w:rPr>
          <w:sz w:val="24"/>
          <w:szCs w:val="24"/>
        </w:rPr>
        <w:t>polyethylen</w:t>
      </w:r>
      <w:proofErr w:type="spellEnd"/>
      <w:r w:rsidRPr="008C73D5">
        <w:rPr>
          <w:sz w:val="24"/>
          <w:szCs w:val="24"/>
        </w:rPr>
        <w:t xml:space="preserve"> (PE), </w:t>
      </w:r>
      <w:proofErr w:type="spellStart"/>
      <w:r w:rsidRPr="008C73D5">
        <w:rPr>
          <w:sz w:val="24"/>
          <w:szCs w:val="24"/>
        </w:rPr>
        <w:t>polytetrafluorethylen</w:t>
      </w:r>
      <w:proofErr w:type="spellEnd"/>
      <w:r w:rsidRPr="008C73D5">
        <w:rPr>
          <w:sz w:val="24"/>
          <w:szCs w:val="24"/>
        </w:rPr>
        <w:t xml:space="preserve"> (PTFE) eller glas er egnet til infusion af Nitroglycerin "</w:t>
      </w:r>
      <w:proofErr w:type="spellStart"/>
      <w:r w:rsidR="00BE4AB6">
        <w:rPr>
          <w:sz w:val="24"/>
          <w:szCs w:val="24"/>
        </w:rPr>
        <w:t>Macure</w:t>
      </w:r>
      <w:proofErr w:type="spellEnd"/>
      <w:r w:rsidRPr="008C73D5">
        <w:rPr>
          <w:sz w:val="24"/>
          <w:szCs w:val="24"/>
        </w:rPr>
        <w:t>". Se også pkt.</w:t>
      </w:r>
      <w:r w:rsidR="00F51623">
        <w:rPr>
          <w:sz w:val="24"/>
          <w:szCs w:val="24"/>
        </w:rPr>
        <w:t xml:space="preserve"> </w:t>
      </w:r>
      <w:r w:rsidRPr="008C73D5">
        <w:rPr>
          <w:sz w:val="24"/>
          <w:szCs w:val="24"/>
        </w:rPr>
        <w:t>4.2 og 6.2.</w:t>
      </w:r>
    </w:p>
    <w:p w14:paraId="20D5932F" w14:textId="77777777" w:rsidR="008C73D5" w:rsidRPr="008C73D5" w:rsidRDefault="008C73D5" w:rsidP="008C73D5">
      <w:pPr>
        <w:tabs>
          <w:tab w:val="left" w:pos="851"/>
        </w:tabs>
        <w:ind w:left="851"/>
        <w:rPr>
          <w:sz w:val="24"/>
          <w:szCs w:val="24"/>
        </w:rPr>
      </w:pPr>
    </w:p>
    <w:p w14:paraId="3C7C2EC4" w14:textId="77777777" w:rsidR="008C73D5" w:rsidRPr="008C73D5" w:rsidRDefault="008C73D5" w:rsidP="008C73D5">
      <w:pPr>
        <w:tabs>
          <w:tab w:val="left" w:pos="851"/>
        </w:tabs>
        <w:ind w:left="851"/>
        <w:rPr>
          <w:sz w:val="24"/>
          <w:szCs w:val="24"/>
        </w:rPr>
      </w:pPr>
      <w:r w:rsidRPr="008C73D5">
        <w:rPr>
          <w:sz w:val="24"/>
          <w:szCs w:val="24"/>
        </w:rPr>
        <w:t>Ikke anvendt lægemiddel samt affald heraf skal bortskaffes i henhold til lokale retningslinjer.</w:t>
      </w:r>
    </w:p>
    <w:p w14:paraId="4A41F4EE" w14:textId="77777777" w:rsidR="009260DE" w:rsidRPr="00C84483" w:rsidRDefault="009260DE" w:rsidP="000730CA">
      <w:pPr>
        <w:tabs>
          <w:tab w:val="left" w:pos="851"/>
        </w:tabs>
        <w:ind w:left="851"/>
        <w:rPr>
          <w:sz w:val="24"/>
          <w:szCs w:val="24"/>
        </w:rPr>
      </w:pPr>
    </w:p>
    <w:p w14:paraId="5F5E1830"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E6763D8" w14:textId="78CDC432" w:rsidR="00BE4AB6" w:rsidRPr="00C20D07" w:rsidRDefault="00BE4AB6" w:rsidP="00C20D07">
      <w:pPr>
        <w:ind w:left="851"/>
        <w:rPr>
          <w:sz w:val="24"/>
          <w:szCs w:val="24"/>
          <w:lang w:val="en-US"/>
        </w:rPr>
      </w:pPr>
      <w:proofErr w:type="spellStart"/>
      <w:r w:rsidRPr="00C20D07">
        <w:rPr>
          <w:sz w:val="24"/>
          <w:szCs w:val="24"/>
          <w:lang w:val="en-US"/>
        </w:rPr>
        <w:t>M</w:t>
      </w:r>
      <w:r w:rsidR="00C20D07" w:rsidRPr="00C20D07">
        <w:rPr>
          <w:sz w:val="24"/>
          <w:szCs w:val="24"/>
          <w:lang w:val="en-US"/>
        </w:rPr>
        <w:t>acure</w:t>
      </w:r>
      <w:proofErr w:type="spellEnd"/>
      <w:r w:rsidRPr="00C20D07">
        <w:rPr>
          <w:sz w:val="24"/>
          <w:szCs w:val="24"/>
          <w:lang w:val="en-US"/>
        </w:rPr>
        <w:t xml:space="preserve"> H</w:t>
      </w:r>
      <w:r w:rsidR="00C20D07" w:rsidRPr="00C20D07">
        <w:rPr>
          <w:sz w:val="24"/>
          <w:szCs w:val="24"/>
          <w:lang w:val="en-US"/>
        </w:rPr>
        <w:t>ealthcare</w:t>
      </w:r>
      <w:r w:rsidRPr="00C20D07">
        <w:rPr>
          <w:sz w:val="24"/>
          <w:szCs w:val="24"/>
          <w:lang w:val="en-US"/>
        </w:rPr>
        <w:t xml:space="preserve"> L</w:t>
      </w:r>
      <w:r w:rsidR="00C20D07" w:rsidRPr="00C20D07">
        <w:rPr>
          <w:sz w:val="24"/>
          <w:szCs w:val="24"/>
          <w:lang w:val="en-US"/>
        </w:rPr>
        <w:t>td</w:t>
      </w:r>
      <w:r w:rsidRPr="00C20D07">
        <w:rPr>
          <w:sz w:val="24"/>
          <w:szCs w:val="24"/>
          <w:lang w:val="en-US"/>
        </w:rPr>
        <w:t xml:space="preserve">. </w:t>
      </w:r>
    </w:p>
    <w:p w14:paraId="5F6E5AB1" w14:textId="77777777" w:rsidR="00BE4AB6" w:rsidRPr="00C20D07" w:rsidRDefault="00BE4AB6" w:rsidP="00C20D07">
      <w:pPr>
        <w:ind w:left="851"/>
        <w:rPr>
          <w:sz w:val="24"/>
          <w:szCs w:val="24"/>
          <w:lang w:val="en-US"/>
        </w:rPr>
      </w:pPr>
      <w:r w:rsidRPr="00C20D07">
        <w:rPr>
          <w:sz w:val="24"/>
          <w:szCs w:val="24"/>
          <w:lang w:val="en-US"/>
        </w:rPr>
        <w:t xml:space="preserve">62 Arclight Building </w:t>
      </w:r>
    </w:p>
    <w:p w14:paraId="279A10A5" w14:textId="77777777" w:rsidR="00BE4AB6" w:rsidRPr="00C20D07" w:rsidRDefault="00BE4AB6" w:rsidP="00C20D07">
      <w:pPr>
        <w:ind w:left="851"/>
        <w:rPr>
          <w:sz w:val="24"/>
          <w:szCs w:val="24"/>
          <w:lang w:val="en-US"/>
        </w:rPr>
      </w:pPr>
      <w:proofErr w:type="spellStart"/>
      <w:r w:rsidRPr="00C20D07">
        <w:rPr>
          <w:sz w:val="24"/>
          <w:szCs w:val="24"/>
          <w:lang w:val="en-US"/>
        </w:rPr>
        <w:t>Triq</w:t>
      </w:r>
      <w:proofErr w:type="spellEnd"/>
      <w:r w:rsidRPr="00C20D07">
        <w:rPr>
          <w:sz w:val="24"/>
          <w:szCs w:val="24"/>
          <w:lang w:val="en-US"/>
        </w:rPr>
        <w:t xml:space="preserve"> l-</w:t>
      </w:r>
      <w:proofErr w:type="spellStart"/>
      <w:r w:rsidRPr="00C20D07">
        <w:rPr>
          <w:sz w:val="24"/>
          <w:szCs w:val="24"/>
          <w:lang w:val="en-US"/>
        </w:rPr>
        <w:t>Gharbiel</w:t>
      </w:r>
      <w:proofErr w:type="spellEnd"/>
      <w:r w:rsidRPr="00C20D07">
        <w:rPr>
          <w:sz w:val="24"/>
          <w:szCs w:val="24"/>
          <w:lang w:val="en-US"/>
        </w:rPr>
        <w:t xml:space="preserve"> </w:t>
      </w:r>
    </w:p>
    <w:p w14:paraId="5C7D4356" w14:textId="77777777" w:rsidR="00BE4AB6" w:rsidRPr="00C20D07" w:rsidRDefault="00BE4AB6" w:rsidP="00C20D07">
      <w:pPr>
        <w:ind w:left="851"/>
        <w:rPr>
          <w:sz w:val="24"/>
          <w:szCs w:val="24"/>
        </w:rPr>
      </w:pPr>
      <w:r w:rsidRPr="00C20D07">
        <w:rPr>
          <w:sz w:val="24"/>
          <w:szCs w:val="24"/>
        </w:rPr>
        <w:t>Is-</w:t>
      </w:r>
      <w:proofErr w:type="spellStart"/>
      <w:r w:rsidRPr="00C20D07">
        <w:rPr>
          <w:sz w:val="24"/>
          <w:szCs w:val="24"/>
        </w:rPr>
        <w:t>Swieqi</w:t>
      </w:r>
      <w:proofErr w:type="spellEnd"/>
      <w:r w:rsidRPr="00C20D07">
        <w:rPr>
          <w:sz w:val="24"/>
          <w:szCs w:val="24"/>
        </w:rPr>
        <w:t>, SWQ 3251</w:t>
      </w:r>
    </w:p>
    <w:p w14:paraId="03668A5A" w14:textId="08ECBB10" w:rsidR="00EA503A" w:rsidRPr="00C20D07" w:rsidRDefault="00BE4AB6" w:rsidP="00C20D07">
      <w:pPr>
        <w:ind w:left="851"/>
        <w:rPr>
          <w:sz w:val="24"/>
          <w:szCs w:val="24"/>
        </w:rPr>
      </w:pPr>
      <w:r w:rsidRPr="00C20D07">
        <w:rPr>
          <w:sz w:val="24"/>
          <w:szCs w:val="24"/>
        </w:rPr>
        <w:t>Malta</w:t>
      </w:r>
    </w:p>
    <w:p w14:paraId="7CD102E4" w14:textId="77777777" w:rsidR="00C20D07" w:rsidRPr="00641C65" w:rsidRDefault="00C20D07" w:rsidP="00C20D07">
      <w:pPr>
        <w:tabs>
          <w:tab w:val="left" w:pos="851"/>
        </w:tabs>
        <w:ind w:left="851"/>
        <w:rPr>
          <w:sz w:val="24"/>
          <w:szCs w:val="24"/>
        </w:rPr>
      </w:pPr>
    </w:p>
    <w:p w14:paraId="6A57268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2C6F0468" w14:textId="7958CBEC" w:rsidR="009260DE" w:rsidRPr="00C84483" w:rsidRDefault="00532BDC" w:rsidP="009260DE">
      <w:pPr>
        <w:tabs>
          <w:tab w:val="left" w:pos="851"/>
        </w:tabs>
        <w:ind w:left="851"/>
        <w:rPr>
          <w:sz w:val="24"/>
          <w:szCs w:val="24"/>
        </w:rPr>
      </w:pPr>
      <w:r>
        <w:rPr>
          <w:sz w:val="24"/>
          <w:szCs w:val="24"/>
        </w:rPr>
        <w:t>67931</w:t>
      </w:r>
    </w:p>
    <w:p w14:paraId="3A08D60F" w14:textId="77777777" w:rsidR="009260DE" w:rsidRPr="00C84483" w:rsidRDefault="009260DE" w:rsidP="009260DE">
      <w:pPr>
        <w:tabs>
          <w:tab w:val="left" w:pos="851"/>
        </w:tabs>
        <w:ind w:left="851"/>
        <w:jc w:val="both"/>
        <w:rPr>
          <w:sz w:val="24"/>
          <w:szCs w:val="24"/>
        </w:rPr>
      </w:pPr>
    </w:p>
    <w:p w14:paraId="0008D3D9" w14:textId="5ED8B9D9"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6DB3C980" w14:textId="63C32EDB" w:rsidR="009260DE" w:rsidRPr="00C84483" w:rsidRDefault="00CD6ECC" w:rsidP="009260DE">
      <w:pPr>
        <w:tabs>
          <w:tab w:val="left" w:pos="851"/>
        </w:tabs>
        <w:ind w:left="851"/>
        <w:rPr>
          <w:sz w:val="24"/>
          <w:szCs w:val="24"/>
        </w:rPr>
      </w:pPr>
      <w:r>
        <w:rPr>
          <w:sz w:val="24"/>
          <w:szCs w:val="24"/>
        </w:rPr>
        <w:t>6. december 2023</w:t>
      </w:r>
    </w:p>
    <w:p w14:paraId="56C26554" w14:textId="3067DF43" w:rsidR="00F51623" w:rsidRDefault="00F51623">
      <w:pPr>
        <w:rPr>
          <w:sz w:val="24"/>
          <w:szCs w:val="24"/>
        </w:rPr>
      </w:pPr>
      <w:r>
        <w:rPr>
          <w:sz w:val="24"/>
          <w:szCs w:val="24"/>
        </w:rPr>
        <w:br w:type="page"/>
      </w:r>
    </w:p>
    <w:p w14:paraId="1BECD19A" w14:textId="77777777" w:rsidR="009260DE" w:rsidRPr="00C84483" w:rsidRDefault="009260DE" w:rsidP="009260DE">
      <w:pPr>
        <w:tabs>
          <w:tab w:val="left" w:pos="851"/>
        </w:tabs>
        <w:ind w:left="851"/>
        <w:rPr>
          <w:sz w:val="24"/>
          <w:szCs w:val="24"/>
        </w:rPr>
      </w:pPr>
    </w:p>
    <w:p w14:paraId="10D2E46F"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05922D7A" w14:textId="043B9FA0" w:rsidR="009260DE" w:rsidRPr="00C84483" w:rsidRDefault="00C20D07" w:rsidP="009260DE">
      <w:pPr>
        <w:tabs>
          <w:tab w:val="left" w:pos="851"/>
        </w:tabs>
        <w:ind w:left="851"/>
        <w:rPr>
          <w:sz w:val="24"/>
          <w:szCs w:val="24"/>
        </w:rPr>
      </w:pPr>
      <w:r>
        <w:rPr>
          <w:sz w:val="24"/>
          <w:szCs w:val="24"/>
        </w:rPr>
        <w:t>27. februar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A04764" w14:textId="77777777" w:rsidR="009B4C0A" w:rsidRDefault="009B4C0A">
      <w:r>
        <w:separator/>
      </w:r>
    </w:p>
  </w:endnote>
  <w:endnote w:type="continuationSeparator" w:id="0">
    <w:p w14:paraId="452CF030" w14:textId="77777777" w:rsidR="009B4C0A" w:rsidRDefault="009B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EA10B" w14:textId="77777777" w:rsidR="000259B9" w:rsidRDefault="000259B9">
    <w:pPr>
      <w:pStyle w:val="Sidefod"/>
      <w:pBdr>
        <w:bottom w:val="single" w:sz="6" w:space="1" w:color="auto"/>
      </w:pBdr>
    </w:pPr>
  </w:p>
  <w:p w14:paraId="447518C9" w14:textId="77777777" w:rsidR="000259B9" w:rsidRDefault="000259B9" w:rsidP="00C42586">
    <w:pPr>
      <w:pStyle w:val="Sidefod"/>
      <w:tabs>
        <w:tab w:val="clear" w:pos="4819"/>
        <w:tab w:val="left" w:pos="8505"/>
      </w:tabs>
      <w:rPr>
        <w:i/>
        <w:sz w:val="18"/>
        <w:szCs w:val="18"/>
      </w:rPr>
    </w:pPr>
  </w:p>
  <w:p w14:paraId="5B449F2D" w14:textId="3F9A4D8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E4AE3">
      <w:rPr>
        <w:i/>
        <w:noProof/>
        <w:sz w:val="18"/>
        <w:szCs w:val="18"/>
      </w:rPr>
      <w:t xml:space="preserve">Nitroglycerin </w:t>
    </w:r>
    <w:r w:rsidR="00BE4AB6">
      <w:rPr>
        <w:i/>
        <w:noProof/>
        <w:sz w:val="18"/>
        <w:szCs w:val="18"/>
      </w:rPr>
      <w:t>Macure</w:t>
    </w:r>
    <w:r w:rsidR="00EE4AE3">
      <w:rPr>
        <w:i/>
        <w:noProof/>
        <w:sz w:val="18"/>
        <w:szCs w:val="18"/>
      </w:rPr>
      <w:t>, infusionsvæske,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4D060" w14:textId="77777777" w:rsidR="009B4C0A" w:rsidRDefault="009B4C0A">
      <w:r>
        <w:separator/>
      </w:r>
    </w:p>
  </w:footnote>
  <w:footnote w:type="continuationSeparator" w:id="0">
    <w:p w14:paraId="21A28BDF" w14:textId="77777777" w:rsidR="009B4C0A" w:rsidRDefault="009B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1B4325"/>
    <w:multiLevelType w:val="hybridMultilevel"/>
    <w:tmpl w:val="47DAF562"/>
    <w:lvl w:ilvl="0" w:tplc="04090001">
      <w:start w:val="1"/>
      <w:numFmt w:val="bullet"/>
      <w:lvlText w:val=""/>
      <w:lvlJc w:val="left"/>
      <w:pPr>
        <w:ind w:left="1287" w:hanging="360"/>
      </w:pPr>
      <w:rPr>
        <w:rFonts w:ascii="Symbol" w:hAnsi="Symbol" w:hint="default"/>
      </w:rPr>
    </w:lvl>
    <w:lvl w:ilvl="1" w:tplc="04090001">
      <w:start w:val="1"/>
      <w:numFmt w:val="bullet"/>
      <w:lvlText w:val=""/>
      <w:lvlJc w:val="left"/>
      <w:pPr>
        <w:ind w:left="2007" w:hanging="360"/>
      </w:pPr>
      <w:rPr>
        <w:rFonts w:ascii="Symbol" w:hAnsi="Symbol" w:hint="default"/>
      </w:rPr>
    </w:lvl>
    <w:lvl w:ilvl="2" w:tplc="040B0005">
      <w:start w:val="1"/>
      <w:numFmt w:val="bullet"/>
      <w:lvlText w:val=""/>
      <w:lvlJc w:val="left"/>
      <w:pPr>
        <w:ind w:left="2727" w:hanging="360"/>
      </w:pPr>
      <w:rPr>
        <w:rFonts w:ascii="Wingdings" w:hAnsi="Wingdings" w:hint="default"/>
      </w:rPr>
    </w:lvl>
    <w:lvl w:ilvl="3" w:tplc="040B0001">
      <w:start w:val="1"/>
      <w:numFmt w:val="bullet"/>
      <w:lvlText w:val=""/>
      <w:lvlJc w:val="left"/>
      <w:pPr>
        <w:ind w:left="3447" w:hanging="360"/>
      </w:pPr>
      <w:rPr>
        <w:rFonts w:ascii="Symbol" w:hAnsi="Symbol" w:hint="default"/>
      </w:rPr>
    </w:lvl>
    <w:lvl w:ilvl="4" w:tplc="040B0003">
      <w:start w:val="1"/>
      <w:numFmt w:val="bullet"/>
      <w:lvlText w:val="o"/>
      <w:lvlJc w:val="left"/>
      <w:pPr>
        <w:ind w:left="4167" w:hanging="360"/>
      </w:pPr>
      <w:rPr>
        <w:rFonts w:ascii="Courier New" w:hAnsi="Courier New" w:cs="Courier New" w:hint="default"/>
      </w:rPr>
    </w:lvl>
    <w:lvl w:ilvl="5" w:tplc="040B0005">
      <w:start w:val="1"/>
      <w:numFmt w:val="bullet"/>
      <w:lvlText w:val=""/>
      <w:lvlJc w:val="left"/>
      <w:pPr>
        <w:ind w:left="4887" w:hanging="360"/>
      </w:pPr>
      <w:rPr>
        <w:rFonts w:ascii="Wingdings" w:hAnsi="Wingdings" w:hint="default"/>
      </w:rPr>
    </w:lvl>
    <w:lvl w:ilvl="6" w:tplc="040B0001">
      <w:start w:val="1"/>
      <w:numFmt w:val="bullet"/>
      <w:lvlText w:val=""/>
      <w:lvlJc w:val="left"/>
      <w:pPr>
        <w:ind w:left="5607" w:hanging="360"/>
      </w:pPr>
      <w:rPr>
        <w:rFonts w:ascii="Symbol" w:hAnsi="Symbol" w:hint="default"/>
      </w:rPr>
    </w:lvl>
    <w:lvl w:ilvl="7" w:tplc="040B0003">
      <w:start w:val="1"/>
      <w:numFmt w:val="bullet"/>
      <w:lvlText w:val="o"/>
      <w:lvlJc w:val="left"/>
      <w:pPr>
        <w:ind w:left="6327" w:hanging="360"/>
      </w:pPr>
      <w:rPr>
        <w:rFonts w:ascii="Courier New" w:hAnsi="Courier New" w:cs="Courier New" w:hint="default"/>
      </w:rPr>
    </w:lvl>
    <w:lvl w:ilvl="8" w:tplc="040B0005">
      <w:start w:val="1"/>
      <w:numFmt w:val="bullet"/>
      <w:lvlText w:val=""/>
      <w:lvlJc w:val="left"/>
      <w:pPr>
        <w:ind w:left="7047"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0015E3B"/>
    <w:multiLevelType w:val="hybridMultilevel"/>
    <w:tmpl w:val="1424FC26"/>
    <w:lvl w:ilvl="0" w:tplc="CA385770">
      <w:start w:val="1"/>
      <w:numFmt w:val="bullet"/>
      <w:lvlText w:val=""/>
      <w:lvlJc w:val="left"/>
      <w:pPr>
        <w:tabs>
          <w:tab w:val="num" w:pos="720"/>
        </w:tabs>
        <w:ind w:left="720" w:hanging="360"/>
      </w:pPr>
      <w:rPr>
        <w:rFonts w:ascii="Symbol" w:hAnsi="Symbol" w:hint="default"/>
      </w:rPr>
    </w:lvl>
    <w:lvl w:ilvl="1" w:tplc="03D2E2E8">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C0A"/>
    <w:rsid w:val="000259B9"/>
    <w:rsid w:val="00041491"/>
    <w:rsid w:val="00050D16"/>
    <w:rsid w:val="000730CA"/>
    <w:rsid w:val="00074F2A"/>
    <w:rsid w:val="000950E0"/>
    <w:rsid w:val="000A1CA8"/>
    <w:rsid w:val="000A466B"/>
    <w:rsid w:val="000B058C"/>
    <w:rsid w:val="000C05E3"/>
    <w:rsid w:val="000D68B0"/>
    <w:rsid w:val="000E4EE6"/>
    <w:rsid w:val="001454E2"/>
    <w:rsid w:val="001976FB"/>
    <w:rsid w:val="001A0419"/>
    <w:rsid w:val="00206CE8"/>
    <w:rsid w:val="0021526C"/>
    <w:rsid w:val="00283A2B"/>
    <w:rsid w:val="002B30AD"/>
    <w:rsid w:val="002C1EC0"/>
    <w:rsid w:val="002C2C01"/>
    <w:rsid w:val="002F4871"/>
    <w:rsid w:val="003A29AE"/>
    <w:rsid w:val="003A32D7"/>
    <w:rsid w:val="003B4074"/>
    <w:rsid w:val="003C769A"/>
    <w:rsid w:val="003D3A90"/>
    <w:rsid w:val="003F1838"/>
    <w:rsid w:val="004251C1"/>
    <w:rsid w:val="0045746C"/>
    <w:rsid w:val="0049104B"/>
    <w:rsid w:val="004A04A6"/>
    <w:rsid w:val="004E3B12"/>
    <w:rsid w:val="0050418D"/>
    <w:rsid w:val="00532310"/>
    <w:rsid w:val="00532BDC"/>
    <w:rsid w:val="00545059"/>
    <w:rsid w:val="00561C87"/>
    <w:rsid w:val="00565F0F"/>
    <w:rsid w:val="00594A86"/>
    <w:rsid w:val="00596D86"/>
    <w:rsid w:val="00637F5A"/>
    <w:rsid w:val="00641C65"/>
    <w:rsid w:val="006560B1"/>
    <w:rsid w:val="006756DD"/>
    <w:rsid w:val="006B6158"/>
    <w:rsid w:val="0071241E"/>
    <w:rsid w:val="00737275"/>
    <w:rsid w:val="00740EEC"/>
    <w:rsid w:val="0076768D"/>
    <w:rsid w:val="0078011A"/>
    <w:rsid w:val="0078158E"/>
    <w:rsid w:val="00782AF4"/>
    <w:rsid w:val="00790EE7"/>
    <w:rsid w:val="007B6649"/>
    <w:rsid w:val="007E75D0"/>
    <w:rsid w:val="007F7A3A"/>
    <w:rsid w:val="0082576E"/>
    <w:rsid w:val="0083209B"/>
    <w:rsid w:val="00842031"/>
    <w:rsid w:val="0089346F"/>
    <w:rsid w:val="008C73D5"/>
    <w:rsid w:val="008D2DBF"/>
    <w:rsid w:val="00907F75"/>
    <w:rsid w:val="009260DE"/>
    <w:rsid w:val="0093258A"/>
    <w:rsid w:val="009B4C0A"/>
    <w:rsid w:val="009C7BA3"/>
    <w:rsid w:val="009D1F5A"/>
    <w:rsid w:val="009E2612"/>
    <w:rsid w:val="00A10294"/>
    <w:rsid w:val="00A440FC"/>
    <w:rsid w:val="00AD02F6"/>
    <w:rsid w:val="00B003BF"/>
    <w:rsid w:val="00B335A9"/>
    <w:rsid w:val="00B373D7"/>
    <w:rsid w:val="00B55271"/>
    <w:rsid w:val="00B81505"/>
    <w:rsid w:val="00BD4552"/>
    <w:rsid w:val="00BD7931"/>
    <w:rsid w:val="00BE4AB6"/>
    <w:rsid w:val="00BF6243"/>
    <w:rsid w:val="00C20D07"/>
    <w:rsid w:val="00C36276"/>
    <w:rsid w:val="00C42586"/>
    <w:rsid w:val="00C45F6B"/>
    <w:rsid w:val="00C60CCD"/>
    <w:rsid w:val="00C6782C"/>
    <w:rsid w:val="00C84483"/>
    <w:rsid w:val="00C95551"/>
    <w:rsid w:val="00CB20D7"/>
    <w:rsid w:val="00CD6ECC"/>
    <w:rsid w:val="00D020B0"/>
    <w:rsid w:val="00D11748"/>
    <w:rsid w:val="00D14DB2"/>
    <w:rsid w:val="00D237F6"/>
    <w:rsid w:val="00D34D98"/>
    <w:rsid w:val="00D366CF"/>
    <w:rsid w:val="00D93992"/>
    <w:rsid w:val="00E108AA"/>
    <w:rsid w:val="00E3749A"/>
    <w:rsid w:val="00E4780B"/>
    <w:rsid w:val="00E7437F"/>
    <w:rsid w:val="00E865B8"/>
    <w:rsid w:val="00EA503A"/>
    <w:rsid w:val="00EC0B9B"/>
    <w:rsid w:val="00EC22A5"/>
    <w:rsid w:val="00ED5E9F"/>
    <w:rsid w:val="00EE4AE3"/>
    <w:rsid w:val="00F33077"/>
    <w:rsid w:val="00F51623"/>
    <w:rsid w:val="00F66D4F"/>
    <w:rsid w:val="00F72402"/>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B60967"/>
  <w15:chartTrackingRefBased/>
  <w15:docId w15:val="{9A3DCD63-B0E4-48DC-BA9B-A54B547A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078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131744">
      <w:bodyDiv w:val="1"/>
      <w:marLeft w:val="0"/>
      <w:marRight w:val="0"/>
      <w:marTop w:val="0"/>
      <w:marBottom w:val="0"/>
      <w:divBdr>
        <w:top w:val="none" w:sz="0" w:space="0" w:color="auto"/>
        <w:left w:val="none" w:sz="0" w:space="0" w:color="auto"/>
        <w:bottom w:val="none" w:sz="0" w:space="0" w:color="auto"/>
        <w:right w:val="none" w:sz="0" w:space="0" w:color="auto"/>
      </w:divBdr>
    </w:div>
    <w:div w:id="227497381">
      <w:bodyDiv w:val="1"/>
      <w:marLeft w:val="0"/>
      <w:marRight w:val="0"/>
      <w:marTop w:val="0"/>
      <w:marBottom w:val="0"/>
      <w:divBdr>
        <w:top w:val="none" w:sz="0" w:space="0" w:color="auto"/>
        <w:left w:val="none" w:sz="0" w:space="0" w:color="auto"/>
        <w:bottom w:val="none" w:sz="0" w:space="0" w:color="auto"/>
        <w:right w:val="none" w:sz="0" w:space="0" w:color="auto"/>
      </w:divBdr>
    </w:div>
    <w:div w:id="234243790">
      <w:bodyDiv w:val="1"/>
      <w:marLeft w:val="0"/>
      <w:marRight w:val="0"/>
      <w:marTop w:val="0"/>
      <w:marBottom w:val="0"/>
      <w:divBdr>
        <w:top w:val="none" w:sz="0" w:space="0" w:color="auto"/>
        <w:left w:val="none" w:sz="0" w:space="0" w:color="auto"/>
        <w:bottom w:val="none" w:sz="0" w:space="0" w:color="auto"/>
        <w:right w:val="none" w:sz="0" w:space="0" w:color="auto"/>
      </w:divBdr>
    </w:div>
    <w:div w:id="249701759">
      <w:bodyDiv w:val="1"/>
      <w:marLeft w:val="0"/>
      <w:marRight w:val="0"/>
      <w:marTop w:val="0"/>
      <w:marBottom w:val="0"/>
      <w:divBdr>
        <w:top w:val="none" w:sz="0" w:space="0" w:color="auto"/>
        <w:left w:val="none" w:sz="0" w:space="0" w:color="auto"/>
        <w:bottom w:val="none" w:sz="0" w:space="0" w:color="auto"/>
        <w:right w:val="none" w:sz="0" w:space="0" w:color="auto"/>
      </w:divBdr>
    </w:div>
    <w:div w:id="319500259">
      <w:bodyDiv w:val="1"/>
      <w:marLeft w:val="0"/>
      <w:marRight w:val="0"/>
      <w:marTop w:val="0"/>
      <w:marBottom w:val="0"/>
      <w:divBdr>
        <w:top w:val="none" w:sz="0" w:space="0" w:color="auto"/>
        <w:left w:val="none" w:sz="0" w:space="0" w:color="auto"/>
        <w:bottom w:val="none" w:sz="0" w:space="0" w:color="auto"/>
        <w:right w:val="none" w:sz="0" w:space="0" w:color="auto"/>
      </w:divBdr>
    </w:div>
    <w:div w:id="413740722">
      <w:bodyDiv w:val="1"/>
      <w:marLeft w:val="0"/>
      <w:marRight w:val="0"/>
      <w:marTop w:val="0"/>
      <w:marBottom w:val="0"/>
      <w:divBdr>
        <w:top w:val="none" w:sz="0" w:space="0" w:color="auto"/>
        <w:left w:val="none" w:sz="0" w:space="0" w:color="auto"/>
        <w:bottom w:val="none" w:sz="0" w:space="0" w:color="auto"/>
        <w:right w:val="none" w:sz="0" w:space="0" w:color="auto"/>
      </w:divBdr>
    </w:div>
    <w:div w:id="423452670">
      <w:bodyDiv w:val="1"/>
      <w:marLeft w:val="0"/>
      <w:marRight w:val="0"/>
      <w:marTop w:val="0"/>
      <w:marBottom w:val="0"/>
      <w:divBdr>
        <w:top w:val="none" w:sz="0" w:space="0" w:color="auto"/>
        <w:left w:val="none" w:sz="0" w:space="0" w:color="auto"/>
        <w:bottom w:val="none" w:sz="0" w:space="0" w:color="auto"/>
        <w:right w:val="none" w:sz="0" w:space="0" w:color="auto"/>
      </w:divBdr>
    </w:div>
    <w:div w:id="470829819">
      <w:bodyDiv w:val="1"/>
      <w:marLeft w:val="0"/>
      <w:marRight w:val="0"/>
      <w:marTop w:val="0"/>
      <w:marBottom w:val="0"/>
      <w:divBdr>
        <w:top w:val="none" w:sz="0" w:space="0" w:color="auto"/>
        <w:left w:val="none" w:sz="0" w:space="0" w:color="auto"/>
        <w:bottom w:val="none" w:sz="0" w:space="0" w:color="auto"/>
        <w:right w:val="none" w:sz="0" w:space="0" w:color="auto"/>
      </w:divBdr>
    </w:div>
    <w:div w:id="484705617">
      <w:bodyDiv w:val="1"/>
      <w:marLeft w:val="0"/>
      <w:marRight w:val="0"/>
      <w:marTop w:val="0"/>
      <w:marBottom w:val="0"/>
      <w:divBdr>
        <w:top w:val="none" w:sz="0" w:space="0" w:color="auto"/>
        <w:left w:val="none" w:sz="0" w:space="0" w:color="auto"/>
        <w:bottom w:val="none" w:sz="0" w:space="0" w:color="auto"/>
        <w:right w:val="none" w:sz="0" w:space="0" w:color="auto"/>
      </w:divBdr>
    </w:div>
    <w:div w:id="499203869">
      <w:bodyDiv w:val="1"/>
      <w:marLeft w:val="0"/>
      <w:marRight w:val="0"/>
      <w:marTop w:val="0"/>
      <w:marBottom w:val="0"/>
      <w:divBdr>
        <w:top w:val="none" w:sz="0" w:space="0" w:color="auto"/>
        <w:left w:val="none" w:sz="0" w:space="0" w:color="auto"/>
        <w:bottom w:val="none" w:sz="0" w:space="0" w:color="auto"/>
        <w:right w:val="none" w:sz="0" w:space="0" w:color="auto"/>
      </w:divBdr>
    </w:div>
    <w:div w:id="525678673">
      <w:bodyDiv w:val="1"/>
      <w:marLeft w:val="0"/>
      <w:marRight w:val="0"/>
      <w:marTop w:val="0"/>
      <w:marBottom w:val="0"/>
      <w:divBdr>
        <w:top w:val="none" w:sz="0" w:space="0" w:color="auto"/>
        <w:left w:val="none" w:sz="0" w:space="0" w:color="auto"/>
        <w:bottom w:val="none" w:sz="0" w:space="0" w:color="auto"/>
        <w:right w:val="none" w:sz="0" w:space="0" w:color="auto"/>
      </w:divBdr>
    </w:div>
    <w:div w:id="563374222">
      <w:bodyDiv w:val="1"/>
      <w:marLeft w:val="0"/>
      <w:marRight w:val="0"/>
      <w:marTop w:val="0"/>
      <w:marBottom w:val="0"/>
      <w:divBdr>
        <w:top w:val="none" w:sz="0" w:space="0" w:color="auto"/>
        <w:left w:val="none" w:sz="0" w:space="0" w:color="auto"/>
        <w:bottom w:val="none" w:sz="0" w:space="0" w:color="auto"/>
        <w:right w:val="none" w:sz="0" w:space="0" w:color="auto"/>
      </w:divBdr>
    </w:div>
    <w:div w:id="578558256">
      <w:bodyDiv w:val="1"/>
      <w:marLeft w:val="0"/>
      <w:marRight w:val="0"/>
      <w:marTop w:val="0"/>
      <w:marBottom w:val="0"/>
      <w:divBdr>
        <w:top w:val="none" w:sz="0" w:space="0" w:color="auto"/>
        <w:left w:val="none" w:sz="0" w:space="0" w:color="auto"/>
        <w:bottom w:val="none" w:sz="0" w:space="0" w:color="auto"/>
        <w:right w:val="none" w:sz="0" w:space="0" w:color="auto"/>
      </w:divBdr>
    </w:div>
    <w:div w:id="596134669">
      <w:bodyDiv w:val="1"/>
      <w:marLeft w:val="0"/>
      <w:marRight w:val="0"/>
      <w:marTop w:val="0"/>
      <w:marBottom w:val="0"/>
      <w:divBdr>
        <w:top w:val="none" w:sz="0" w:space="0" w:color="auto"/>
        <w:left w:val="none" w:sz="0" w:space="0" w:color="auto"/>
        <w:bottom w:val="none" w:sz="0" w:space="0" w:color="auto"/>
        <w:right w:val="none" w:sz="0" w:space="0" w:color="auto"/>
      </w:divBdr>
    </w:div>
    <w:div w:id="599067140">
      <w:bodyDiv w:val="1"/>
      <w:marLeft w:val="0"/>
      <w:marRight w:val="0"/>
      <w:marTop w:val="0"/>
      <w:marBottom w:val="0"/>
      <w:divBdr>
        <w:top w:val="none" w:sz="0" w:space="0" w:color="auto"/>
        <w:left w:val="none" w:sz="0" w:space="0" w:color="auto"/>
        <w:bottom w:val="none" w:sz="0" w:space="0" w:color="auto"/>
        <w:right w:val="none" w:sz="0" w:space="0" w:color="auto"/>
      </w:divBdr>
    </w:div>
    <w:div w:id="619071615">
      <w:bodyDiv w:val="1"/>
      <w:marLeft w:val="0"/>
      <w:marRight w:val="0"/>
      <w:marTop w:val="0"/>
      <w:marBottom w:val="0"/>
      <w:divBdr>
        <w:top w:val="none" w:sz="0" w:space="0" w:color="auto"/>
        <w:left w:val="none" w:sz="0" w:space="0" w:color="auto"/>
        <w:bottom w:val="none" w:sz="0" w:space="0" w:color="auto"/>
        <w:right w:val="none" w:sz="0" w:space="0" w:color="auto"/>
      </w:divBdr>
    </w:div>
    <w:div w:id="699088283">
      <w:bodyDiv w:val="1"/>
      <w:marLeft w:val="0"/>
      <w:marRight w:val="0"/>
      <w:marTop w:val="0"/>
      <w:marBottom w:val="0"/>
      <w:divBdr>
        <w:top w:val="none" w:sz="0" w:space="0" w:color="auto"/>
        <w:left w:val="none" w:sz="0" w:space="0" w:color="auto"/>
        <w:bottom w:val="none" w:sz="0" w:space="0" w:color="auto"/>
        <w:right w:val="none" w:sz="0" w:space="0" w:color="auto"/>
      </w:divBdr>
    </w:div>
    <w:div w:id="708140659">
      <w:bodyDiv w:val="1"/>
      <w:marLeft w:val="0"/>
      <w:marRight w:val="0"/>
      <w:marTop w:val="0"/>
      <w:marBottom w:val="0"/>
      <w:divBdr>
        <w:top w:val="none" w:sz="0" w:space="0" w:color="auto"/>
        <w:left w:val="none" w:sz="0" w:space="0" w:color="auto"/>
        <w:bottom w:val="none" w:sz="0" w:space="0" w:color="auto"/>
        <w:right w:val="none" w:sz="0" w:space="0" w:color="auto"/>
      </w:divBdr>
    </w:div>
    <w:div w:id="741759261">
      <w:bodyDiv w:val="1"/>
      <w:marLeft w:val="0"/>
      <w:marRight w:val="0"/>
      <w:marTop w:val="0"/>
      <w:marBottom w:val="0"/>
      <w:divBdr>
        <w:top w:val="none" w:sz="0" w:space="0" w:color="auto"/>
        <w:left w:val="none" w:sz="0" w:space="0" w:color="auto"/>
        <w:bottom w:val="none" w:sz="0" w:space="0" w:color="auto"/>
        <w:right w:val="none" w:sz="0" w:space="0" w:color="auto"/>
      </w:divBdr>
    </w:div>
    <w:div w:id="822160067">
      <w:bodyDiv w:val="1"/>
      <w:marLeft w:val="0"/>
      <w:marRight w:val="0"/>
      <w:marTop w:val="0"/>
      <w:marBottom w:val="0"/>
      <w:divBdr>
        <w:top w:val="none" w:sz="0" w:space="0" w:color="auto"/>
        <w:left w:val="none" w:sz="0" w:space="0" w:color="auto"/>
        <w:bottom w:val="none" w:sz="0" w:space="0" w:color="auto"/>
        <w:right w:val="none" w:sz="0" w:space="0" w:color="auto"/>
      </w:divBdr>
    </w:div>
    <w:div w:id="920218820">
      <w:bodyDiv w:val="1"/>
      <w:marLeft w:val="0"/>
      <w:marRight w:val="0"/>
      <w:marTop w:val="0"/>
      <w:marBottom w:val="0"/>
      <w:divBdr>
        <w:top w:val="none" w:sz="0" w:space="0" w:color="auto"/>
        <w:left w:val="none" w:sz="0" w:space="0" w:color="auto"/>
        <w:bottom w:val="none" w:sz="0" w:space="0" w:color="auto"/>
        <w:right w:val="none" w:sz="0" w:space="0" w:color="auto"/>
      </w:divBdr>
    </w:div>
    <w:div w:id="940144933">
      <w:bodyDiv w:val="1"/>
      <w:marLeft w:val="0"/>
      <w:marRight w:val="0"/>
      <w:marTop w:val="0"/>
      <w:marBottom w:val="0"/>
      <w:divBdr>
        <w:top w:val="none" w:sz="0" w:space="0" w:color="auto"/>
        <w:left w:val="none" w:sz="0" w:space="0" w:color="auto"/>
        <w:bottom w:val="none" w:sz="0" w:space="0" w:color="auto"/>
        <w:right w:val="none" w:sz="0" w:space="0" w:color="auto"/>
      </w:divBdr>
    </w:div>
    <w:div w:id="966082914">
      <w:bodyDiv w:val="1"/>
      <w:marLeft w:val="0"/>
      <w:marRight w:val="0"/>
      <w:marTop w:val="0"/>
      <w:marBottom w:val="0"/>
      <w:divBdr>
        <w:top w:val="none" w:sz="0" w:space="0" w:color="auto"/>
        <w:left w:val="none" w:sz="0" w:space="0" w:color="auto"/>
        <w:bottom w:val="none" w:sz="0" w:space="0" w:color="auto"/>
        <w:right w:val="none" w:sz="0" w:space="0" w:color="auto"/>
      </w:divBdr>
    </w:div>
    <w:div w:id="1000817359">
      <w:bodyDiv w:val="1"/>
      <w:marLeft w:val="0"/>
      <w:marRight w:val="0"/>
      <w:marTop w:val="0"/>
      <w:marBottom w:val="0"/>
      <w:divBdr>
        <w:top w:val="none" w:sz="0" w:space="0" w:color="auto"/>
        <w:left w:val="none" w:sz="0" w:space="0" w:color="auto"/>
        <w:bottom w:val="none" w:sz="0" w:space="0" w:color="auto"/>
        <w:right w:val="none" w:sz="0" w:space="0" w:color="auto"/>
      </w:divBdr>
    </w:div>
    <w:div w:id="1120609325">
      <w:bodyDiv w:val="1"/>
      <w:marLeft w:val="0"/>
      <w:marRight w:val="0"/>
      <w:marTop w:val="0"/>
      <w:marBottom w:val="0"/>
      <w:divBdr>
        <w:top w:val="none" w:sz="0" w:space="0" w:color="auto"/>
        <w:left w:val="none" w:sz="0" w:space="0" w:color="auto"/>
        <w:bottom w:val="none" w:sz="0" w:space="0" w:color="auto"/>
        <w:right w:val="none" w:sz="0" w:space="0" w:color="auto"/>
      </w:divBdr>
    </w:div>
    <w:div w:id="1197692831">
      <w:bodyDiv w:val="1"/>
      <w:marLeft w:val="0"/>
      <w:marRight w:val="0"/>
      <w:marTop w:val="0"/>
      <w:marBottom w:val="0"/>
      <w:divBdr>
        <w:top w:val="none" w:sz="0" w:space="0" w:color="auto"/>
        <w:left w:val="none" w:sz="0" w:space="0" w:color="auto"/>
        <w:bottom w:val="none" w:sz="0" w:space="0" w:color="auto"/>
        <w:right w:val="none" w:sz="0" w:space="0" w:color="auto"/>
      </w:divBdr>
    </w:div>
    <w:div w:id="1208840384">
      <w:bodyDiv w:val="1"/>
      <w:marLeft w:val="0"/>
      <w:marRight w:val="0"/>
      <w:marTop w:val="0"/>
      <w:marBottom w:val="0"/>
      <w:divBdr>
        <w:top w:val="none" w:sz="0" w:space="0" w:color="auto"/>
        <w:left w:val="none" w:sz="0" w:space="0" w:color="auto"/>
        <w:bottom w:val="none" w:sz="0" w:space="0" w:color="auto"/>
        <w:right w:val="none" w:sz="0" w:space="0" w:color="auto"/>
      </w:divBdr>
    </w:div>
    <w:div w:id="1261646045">
      <w:bodyDiv w:val="1"/>
      <w:marLeft w:val="0"/>
      <w:marRight w:val="0"/>
      <w:marTop w:val="0"/>
      <w:marBottom w:val="0"/>
      <w:divBdr>
        <w:top w:val="none" w:sz="0" w:space="0" w:color="auto"/>
        <w:left w:val="none" w:sz="0" w:space="0" w:color="auto"/>
        <w:bottom w:val="none" w:sz="0" w:space="0" w:color="auto"/>
        <w:right w:val="none" w:sz="0" w:space="0" w:color="auto"/>
      </w:divBdr>
    </w:div>
    <w:div w:id="1305739626">
      <w:bodyDiv w:val="1"/>
      <w:marLeft w:val="0"/>
      <w:marRight w:val="0"/>
      <w:marTop w:val="0"/>
      <w:marBottom w:val="0"/>
      <w:divBdr>
        <w:top w:val="none" w:sz="0" w:space="0" w:color="auto"/>
        <w:left w:val="none" w:sz="0" w:space="0" w:color="auto"/>
        <w:bottom w:val="none" w:sz="0" w:space="0" w:color="auto"/>
        <w:right w:val="none" w:sz="0" w:space="0" w:color="auto"/>
      </w:divBdr>
    </w:div>
    <w:div w:id="1312100121">
      <w:bodyDiv w:val="1"/>
      <w:marLeft w:val="0"/>
      <w:marRight w:val="0"/>
      <w:marTop w:val="0"/>
      <w:marBottom w:val="0"/>
      <w:divBdr>
        <w:top w:val="none" w:sz="0" w:space="0" w:color="auto"/>
        <w:left w:val="none" w:sz="0" w:space="0" w:color="auto"/>
        <w:bottom w:val="none" w:sz="0" w:space="0" w:color="auto"/>
        <w:right w:val="none" w:sz="0" w:space="0" w:color="auto"/>
      </w:divBdr>
    </w:div>
    <w:div w:id="1346862783">
      <w:bodyDiv w:val="1"/>
      <w:marLeft w:val="0"/>
      <w:marRight w:val="0"/>
      <w:marTop w:val="0"/>
      <w:marBottom w:val="0"/>
      <w:divBdr>
        <w:top w:val="none" w:sz="0" w:space="0" w:color="auto"/>
        <w:left w:val="none" w:sz="0" w:space="0" w:color="auto"/>
        <w:bottom w:val="none" w:sz="0" w:space="0" w:color="auto"/>
        <w:right w:val="none" w:sz="0" w:space="0" w:color="auto"/>
      </w:divBdr>
    </w:div>
    <w:div w:id="1370913356">
      <w:bodyDiv w:val="1"/>
      <w:marLeft w:val="0"/>
      <w:marRight w:val="0"/>
      <w:marTop w:val="0"/>
      <w:marBottom w:val="0"/>
      <w:divBdr>
        <w:top w:val="none" w:sz="0" w:space="0" w:color="auto"/>
        <w:left w:val="none" w:sz="0" w:space="0" w:color="auto"/>
        <w:bottom w:val="none" w:sz="0" w:space="0" w:color="auto"/>
        <w:right w:val="none" w:sz="0" w:space="0" w:color="auto"/>
      </w:divBdr>
    </w:div>
    <w:div w:id="1420565982">
      <w:bodyDiv w:val="1"/>
      <w:marLeft w:val="0"/>
      <w:marRight w:val="0"/>
      <w:marTop w:val="0"/>
      <w:marBottom w:val="0"/>
      <w:divBdr>
        <w:top w:val="none" w:sz="0" w:space="0" w:color="auto"/>
        <w:left w:val="none" w:sz="0" w:space="0" w:color="auto"/>
        <w:bottom w:val="none" w:sz="0" w:space="0" w:color="auto"/>
        <w:right w:val="none" w:sz="0" w:space="0" w:color="auto"/>
      </w:divBdr>
    </w:div>
    <w:div w:id="1435051241">
      <w:bodyDiv w:val="1"/>
      <w:marLeft w:val="0"/>
      <w:marRight w:val="0"/>
      <w:marTop w:val="0"/>
      <w:marBottom w:val="0"/>
      <w:divBdr>
        <w:top w:val="none" w:sz="0" w:space="0" w:color="auto"/>
        <w:left w:val="none" w:sz="0" w:space="0" w:color="auto"/>
        <w:bottom w:val="none" w:sz="0" w:space="0" w:color="auto"/>
        <w:right w:val="none" w:sz="0" w:space="0" w:color="auto"/>
      </w:divBdr>
    </w:div>
    <w:div w:id="1513567641">
      <w:bodyDiv w:val="1"/>
      <w:marLeft w:val="0"/>
      <w:marRight w:val="0"/>
      <w:marTop w:val="0"/>
      <w:marBottom w:val="0"/>
      <w:divBdr>
        <w:top w:val="none" w:sz="0" w:space="0" w:color="auto"/>
        <w:left w:val="none" w:sz="0" w:space="0" w:color="auto"/>
        <w:bottom w:val="none" w:sz="0" w:space="0" w:color="auto"/>
        <w:right w:val="none" w:sz="0" w:space="0" w:color="auto"/>
      </w:divBdr>
    </w:div>
    <w:div w:id="1536967151">
      <w:bodyDiv w:val="1"/>
      <w:marLeft w:val="0"/>
      <w:marRight w:val="0"/>
      <w:marTop w:val="0"/>
      <w:marBottom w:val="0"/>
      <w:divBdr>
        <w:top w:val="none" w:sz="0" w:space="0" w:color="auto"/>
        <w:left w:val="none" w:sz="0" w:space="0" w:color="auto"/>
        <w:bottom w:val="none" w:sz="0" w:space="0" w:color="auto"/>
        <w:right w:val="none" w:sz="0" w:space="0" w:color="auto"/>
      </w:divBdr>
    </w:div>
    <w:div w:id="1589272489">
      <w:bodyDiv w:val="1"/>
      <w:marLeft w:val="0"/>
      <w:marRight w:val="0"/>
      <w:marTop w:val="0"/>
      <w:marBottom w:val="0"/>
      <w:divBdr>
        <w:top w:val="none" w:sz="0" w:space="0" w:color="auto"/>
        <w:left w:val="none" w:sz="0" w:space="0" w:color="auto"/>
        <w:bottom w:val="none" w:sz="0" w:space="0" w:color="auto"/>
        <w:right w:val="none" w:sz="0" w:space="0" w:color="auto"/>
      </w:divBdr>
    </w:div>
    <w:div w:id="1601984854">
      <w:bodyDiv w:val="1"/>
      <w:marLeft w:val="0"/>
      <w:marRight w:val="0"/>
      <w:marTop w:val="0"/>
      <w:marBottom w:val="0"/>
      <w:divBdr>
        <w:top w:val="none" w:sz="0" w:space="0" w:color="auto"/>
        <w:left w:val="none" w:sz="0" w:space="0" w:color="auto"/>
        <w:bottom w:val="none" w:sz="0" w:space="0" w:color="auto"/>
        <w:right w:val="none" w:sz="0" w:space="0" w:color="auto"/>
      </w:divBdr>
    </w:div>
    <w:div w:id="1645811109">
      <w:bodyDiv w:val="1"/>
      <w:marLeft w:val="0"/>
      <w:marRight w:val="0"/>
      <w:marTop w:val="0"/>
      <w:marBottom w:val="0"/>
      <w:divBdr>
        <w:top w:val="none" w:sz="0" w:space="0" w:color="auto"/>
        <w:left w:val="none" w:sz="0" w:space="0" w:color="auto"/>
        <w:bottom w:val="none" w:sz="0" w:space="0" w:color="auto"/>
        <w:right w:val="none" w:sz="0" w:space="0" w:color="auto"/>
      </w:divBdr>
    </w:div>
    <w:div w:id="1739009876">
      <w:bodyDiv w:val="1"/>
      <w:marLeft w:val="0"/>
      <w:marRight w:val="0"/>
      <w:marTop w:val="0"/>
      <w:marBottom w:val="0"/>
      <w:divBdr>
        <w:top w:val="none" w:sz="0" w:space="0" w:color="auto"/>
        <w:left w:val="none" w:sz="0" w:space="0" w:color="auto"/>
        <w:bottom w:val="none" w:sz="0" w:space="0" w:color="auto"/>
        <w:right w:val="none" w:sz="0" w:space="0" w:color="auto"/>
      </w:divBdr>
    </w:div>
    <w:div w:id="1802311192">
      <w:bodyDiv w:val="1"/>
      <w:marLeft w:val="0"/>
      <w:marRight w:val="0"/>
      <w:marTop w:val="0"/>
      <w:marBottom w:val="0"/>
      <w:divBdr>
        <w:top w:val="none" w:sz="0" w:space="0" w:color="auto"/>
        <w:left w:val="none" w:sz="0" w:space="0" w:color="auto"/>
        <w:bottom w:val="none" w:sz="0" w:space="0" w:color="auto"/>
        <w:right w:val="none" w:sz="0" w:space="0" w:color="auto"/>
      </w:divBdr>
    </w:div>
    <w:div w:id="1807621216">
      <w:bodyDiv w:val="1"/>
      <w:marLeft w:val="0"/>
      <w:marRight w:val="0"/>
      <w:marTop w:val="0"/>
      <w:marBottom w:val="0"/>
      <w:divBdr>
        <w:top w:val="none" w:sz="0" w:space="0" w:color="auto"/>
        <w:left w:val="none" w:sz="0" w:space="0" w:color="auto"/>
        <w:bottom w:val="none" w:sz="0" w:space="0" w:color="auto"/>
        <w:right w:val="none" w:sz="0" w:space="0" w:color="auto"/>
      </w:divBdr>
    </w:div>
    <w:div w:id="1818305124">
      <w:bodyDiv w:val="1"/>
      <w:marLeft w:val="0"/>
      <w:marRight w:val="0"/>
      <w:marTop w:val="0"/>
      <w:marBottom w:val="0"/>
      <w:divBdr>
        <w:top w:val="none" w:sz="0" w:space="0" w:color="auto"/>
        <w:left w:val="none" w:sz="0" w:space="0" w:color="auto"/>
        <w:bottom w:val="none" w:sz="0" w:space="0" w:color="auto"/>
        <w:right w:val="none" w:sz="0" w:space="0" w:color="auto"/>
      </w:divBdr>
    </w:div>
    <w:div w:id="1942226674">
      <w:bodyDiv w:val="1"/>
      <w:marLeft w:val="0"/>
      <w:marRight w:val="0"/>
      <w:marTop w:val="0"/>
      <w:marBottom w:val="0"/>
      <w:divBdr>
        <w:top w:val="none" w:sz="0" w:space="0" w:color="auto"/>
        <w:left w:val="none" w:sz="0" w:space="0" w:color="auto"/>
        <w:bottom w:val="none" w:sz="0" w:space="0" w:color="auto"/>
        <w:right w:val="none" w:sz="0" w:space="0" w:color="auto"/>
      </w:divBdr>
    </w:div>
    <w:div w:id="2068071263">
      <w:bodyDiv w:val="1"/>
      <w:marLeft w:val="0"/>
      <w:marRight w:val="0"/>
      <w:marTop w:val="0"/>
      <w:marBottom w:val="0"/>
      <w:divBdr>
        <w:top w:val="none" w:sz="0" w:space="0" w:color="auto"/>
        <w:left w:val="none" w:sz="0" w:space="0" w:color="auto"/>
        <w:bottom w:val="none" w:sz="0" w:space="0" w:color="auto"/>
        <w:right w:val="none" w:sz="0" w:space="0" w:color="auto"/>
      </w:divBdr>
    </w:div>
    <w:div w:id="2122334353">
      <w:bodyDiv w:val="1"/>
      <w:marLeft w:val="0"/>
      <w:marRight w:val="0"/>
      <w:marTop w:val="0"/>
      <w:marBottom w:val="0"/>
      <w:divBdr>
        <w:top w:val="none" w:sz="0" w:space="0" w:color="auto"/>
        <w:left w:val="none" w:sz="0" w:space="0" w:color="auto"/>
        <w:bottom w:val="none" w:sz="0" w:space="0" w:color="auto"/>
        <w:right w:val="none" w:sz="0" w:space="0" w:color="auto"/>
      </w:divBdr>
    </w:div>
    <w:div w:id="212804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13</TotalTime>
  <Pages>12</Pages>
  <Words>2990</Words>
  <Characters>20719</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2024012071+2023114493, var. 2G, ændring af navn + MAH fra Pharmexon</dc:description>
  <cp:lastModifiedBy>Gitte Jørgensen</cp:lastModifiedBy>
  <cp:revision>6</cp:revision>
  <cp:lastPrinted>2012-08-22T08:53:00Z</cp:lastPrinted>
  <dcterms:created xsi:type="dcterms:W3CDTF">2024-02-27T12:22:00Z</dcterms:created>
  <dcterms:modified xsi:type="dcterms:W3CDTF">2024-02-27T12:40:00Z</dcterms:modified>
</cp:coreProperties>
</file>