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2663" w:rsidRPr="008F49E1" w:rsidRDefault="00A02663" w:rsidP="00A02663">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567FFF09" wp14:editId="0767EAA5">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A02663" w:rsidRPr="00C84483" w:rsidRDefault="00A02663" w:rsidP="00A02663">
      <w:pPr>
        <w:pStyle w:val="Titel"/>
        <w:tabs>
          <w:tab w:val="right" w:pos="9356"/>
        </w:tabs>
        <w:jc w:val="left"/>
        <w:rPr>
          <w:b w:val="0"/>
          <w:szCs w:val="24"/>
          <w:lang w:eastAsia="en-US"/>
        </w:rPr>
      </w:pPr>
    </w:p>
    <w:p w:rsidR="00A02663" w:rsidRPr="00C84483" w:rsidRDefault="00A02663" w:rsidP="00A02663">
      <w:pPr>
        <w:pStyle w:val="Titel"/>
        <w:tabs>
          <w:tab w:val="right" w:pos="9356"/>
        </w:tabs>
        <w:jc w:val="left"/>
        <w:rPr>
          <w:b w:val="0"/>
          <w:szCs w:val="24"/>
          <w:lang w:eastAsia="en-US"/>
        </w:rPr>
      </w:pPr>
      <w:r w:rsidRPr="00C84483">
        <w:rPr>
          <w:b w:val="0"/>
          <w:szCs w:val="24"/>
          <w:lang w:eastAsia="en-US"/>
        </w:rPr>
        <w:tab/>
      </w:r>
      <w:r w:rsidR="007215EE">
        <w:rPr>
          <w:szCs w:val="24"/>
        </w:rPr>
        <w:t>30</w:t>
      </w:r>
      <w:r>
        <w:rPr>
          <w:szCs w:val="24"/>
        </w:rPr>
        <w:t>. maj 20</w:t>
      </w:r>
      <w:r w:rsidR="007215EE">
        <w:rPr>
          <w:szCs w:val="24"/>
        </w:rPr>
        <w:t>22</w:t>
      </w:r>
    </w:p>
    <w:p w:rsidR="00A02663" w:rsidRPr="00C84483" w:rsidRDefault="00A02663" w:rsidP="00A02663">
      <w:pPr>
        <w:pStyle w:val="Titel"/>
        <w:tabs>
          <w:tab w:val="left" w:pos="8222"/>
        </w:tabs>
        <w:jc w:val="left"/>
        <w:rPr>
          <w:b w:val="0"/>
          <w:szCs w:val="24"/>
        </w:rPr>
      </w:pPr>
    </w:p>
    <w:p w:rsidR="00A02663" w:rsidRPr="00C84483" w:rsidRDefault="00A02663" w:rsidP="00A02663">
      <w:pPr>
        <w:pStyle w:val="Titel"/>
        <w:jc w:val="left"/>
        <w:rPr>
          <w:b w:val="0"/>
          <w:szCs w:val="24"/>
        </w:rPr>
      </w:pPr>
    </w:p>
    <w:p w:rsidR="00A02663" w:rsidRPr="00C84483" w:rsidRDefault="00A02663" w:rsidP="00A02663">
      <w:pPr>
        <w:pStyle w:val="Titel"/>
        <w:jc w:val="left"/>
        <w:rPr>
          <w:b w:val="0"/>
          <w:szCs w:val="24"/>
        </w:rPr>
      </w:pPr>
    </w:p>
    <w:p w:rsidR="00A02663" w:rsidRPr="00C84483" w:rsidRDefault="00A02663" w:rsidP="00A02663">
      <w:pPr>
        <w:jc w:val="center"/>
        <w:rPr>
          <w:b/>
          <w:sz w:val="24"/>
          <w:szCs w:val="24"/>
        </w:rPr>
      </w:pPr>
      <w:r w:rsidRPr="00C84483">
        <w:rPr>
          <w:b/>
          <w:sz w:val="24"/>
          <w:szCs w:val="24"/>
        </w:rPr>
        <w:t>PRODUKTRESUMÉ</w:t>
      </w:r>
    </w:p>
    <w:p w:rsidR="00A02663" w:rsidRPr="00C84483" w:rsidRDefault="00A02663" w:rsidP="00A02663">
      <w:pPr>
        <w:jc w:val="center"/>
        <w:rPr>
          <w:b/>
          <w:sz w:val="24"/>
          <w:szCs w:val="24"/>
        </w:rPr>
      </w:pPr>
    </w:p>
    <w:p w:rsidR="00A02663" w:rsidRDefault="00A02663" w:rsidP="00A02663">
      <w:pPr>
        <w:jc w:val="center"/>
        <w:rPr>
          <w:b/>
          <w:sz w:val="24"/>
          <w:szCs w:val="24"/>
        </w:rPr>
      </w:pPr>
      <w:r w:rsidRPr="00C84483">
        <w:rPr>
          <w:b/>
          <w:sz w:val="24"/>
          <w:szCs w:val="24"/>
        </w:rPr>
        <w:t>for</w:t>
      </w:r>
    </w:p>
    <w:p w:rsidR="00A02663" w:rsidRPr="00C84483" w:rsidRDefault="00A02663" w:rsidP="00A02663">
      <w:pPr>
        <w:jc w:val="center"/>
        <w:rPr>
          <w:b/>
          <w:sz w:val="24"/>
          <w:szCs w:val="24"/>
        </w:rPr>
      </w:pPr>
    </w:p>
    <w:p w:rsidR="00A02663" w:rsidRPr="00C84483" w:rsidRDefault="00A02663" w:rsidP="00A02663">
      <w:pPr>
        <w:jc w:val="center"/>
        <w:rPr>
          <w:b/>
          <w:sz w:val="24"/>
          <w:szCs w:val="24"/>
        </w:rPr>
      </w:pPr>
      <w:proofErr w:type="spellStart"/>
      <w:r>
        <w:rPr>
          <w:b/>
          <w:sz w:val="24"/>
          <w:szCs w:val="24"/>
        </w:rPr>
        <w:t>Nocdurna</w:t>
      </w:r>
      <w:proofErr w:type="spellEnd"/>
      <w:r>
        <w:rPr>
          <w:b/>
          <w:sz w:val="24"/>
          <w:szCs w:val="24"/>
        </w:rPr>
        <w:t>, frysetørrede tabletter</w:t>
      </w:r>
    </w:p>
    <w:p w:rsidR="00A02663" w:rsidRPr="00C84483" w:rsidRDefault="00A02663" w:rsidP="00A02663">
      <w:pPr>
        <w:jc w:val="both"/>
        <w:rPr>
          <w:sz w:val="24"/>
          <w:szCs w:val="24"/>
        </w:rPr>
      </w:pPr>
    </w:p>
    <w:p w:rsidR="00A02663" w:rsidRPr="00414820" w:rsidRDefault="00A02663" w:rsidP="00A02663">
      <w:pPr>
        <w:ind w:left="851" w:hanging="851"/>
        <w:jc w:val="both"/>
        <w:rPr>
          <w:sz w:val="24"/>
          <w:szCs w:val="24"/>
        </w:rPr>
      </w:pPr>
    </w:p>
    <w:p w:rsidR="00A02663" w:rsidRPr="00414820" w:rsidRDefault="00A02663" w:rsidP="00A02663">
      <w:pPr>
        <w:tabs>
          <w:tab w:val="left" w:pos="851"/>
        </w:tabs>
        <w:ind w:left="851" w:hanging="851"/>
        <w:rPr>
          <w:b/>
          <w:sz w:val="24"/>
          <w:szCs w:val="24"/>
        </w:rPr>
      </w:pPr>
      <w:r w:rsidRPr="00414820">
        <w:rPr>
          <w:b/>
          <w:sz w:val="24"/>
          <w:szCs w:val="24"/>
        </w:rPr>
        <w:t>0.</w:t>
      </w:r>
      <w:r w:rsidRPr="00414820">
        <w:rPr>
          <w:b/>
          <w:sz w:val="24"/>
          <w:szCs w:val="24"/>
        </w:rPr>
        <w:tab/>
        <w:t>D.SP.NR.</w:t>
      </w:r>
    </w:p>
    <w:p w:rsidR="00A02663" w:rsidRPr="00414820" w:rsidRDefault="00A02663" w:rsidP="00A02663">
      <w:pPr>
        <w:tabs>
          <w:tab w:val="left" w:pos="851"/>
        </w:tabs>
        <w:ind w:left="851" w:hanging="851"/>
        <w:rPr>
          <w:sz w:val="24"/>
          <w:szCs w:val="24"/>
        </w:rPr>
      </w:pPr>
      <w:r>
        <w:rPr>
          <w:sz w:val="24"/>
          <w:szCs w:val="24"/>
        </w:rPr>
        <w:tab/>
      </w:r>
      <w:r w:rsidRPr="00414820">
        <w:rPr>
          <w:sz w:val="24"/>
          <w:szCs w:val="24"/>
        </w:rPr>
        <w:t>29761</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b/>
          <w:sz w:val="24"/>
          <w:szCs w:val="24"/>
        </w:rPr>
      </w:pPr>
      <w:r w:rsidRPr="00414820">
        <w:rPr>
          <w:b/>
          <w:sz w:val="24"/>
          <w:szCs w:val="24"/>
        </w:rPr>
        <w:t>1.</w:t>
      </w:r>
      <w:r w:rsidRPr="00414820">
        <w:rPr>
          <w:b/>
          <w:sz w:val="24"/>
          <w:szCs w:val="24"/>
        </w:rPr>
        <w:tab/>
        <w:t>LÆGEMIDLETS NAVN</w:t>
      </w:r>
    </w:p>
    <w:p w:rsidR="00A02663" w:rsidRPr="00414820" w:rsidRDefault="00A02663" w:rsidP="00A02663">
      <w:pPr>
        <w:tabs>
          <w:tab w:val="left" w:pos="851"/>
        </w:tabs>
        <w:ind w:left="851" w:hanging="851"/>
        <w:rPr>
          <w:sz w:val="24"/>
          <w:szCs w:val="24"/>
        </w:rPr>
      </w:pPr>
      <w:r>
        <w:rPr>
          <w:sz w:val="24"/>
          <w:szCs w:val="24"/>
        </w:rPr>
        <w:tab/>
      </w:r>
      <w:proofErr w:type="spellStart"/>
      <w:r w:rsidRPr="00414820">
        <w:rPr>
          <w:sz w:val="24"/>
          <w:szCs w:val="24"/>
        </w:rPr>
        <w:t>Nocdurna</w:t>
      </w:r>
      <w:proofErr w:type="spellEnd"/>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b/>
          <w:sz w:val="24"/>
          <w:szCs w:val="24"/>
        </w:rPr>
      </w:pPr>
      <w:r w:rsidRPr="00414820">
        <w:rPr>
          <w:b/>
          <w:sz w:val="24"/>
          <w:szCs w:val="24"/>
        </w:rPr>
        <w:t>2.</w:t>
      </w:r>
      <w:r w:rsidRPr="00414820">
        <w:rPr>
          <w:b/>
          <w:sz w:val="24"/>
          <w:szCs w:val="24"/>
        </w:rPr>
        <w:tab/>
        <w:t>KVALITATIV OG KVANTITATIV SAMMENSÆTNING</w:t>
      </w:r>
    </w:p>
    <w:p w:rsidR="00A02663" w:rsidRPr="00414820" w:rsidRDefault="00A02663" w:rsidP="00A02663">
      <w:pPr>
        <w:tabs>
          <w:tab w:val="left" w:pos="851"/>
        </w:tabs>
        <w:ind w:left="851" w:hanging="851"/>
        <w:rPr>
          <w:sz w:val="24"/>
          <w:szCs w:val="24"/>
          <w:lang w:eastAsia="da-DK"/>
        </w:rPr>
      </w:pPr>
      <w:r>
        <w:rPr>
          <w:sz w:val="24"/>
          <w:szCs w:val="24"/>
        </w:rPr>
        <w:tab/>
      </w:r>
      <w:r w:rsidRPr="00414820">
        <w:rPr>
          <w:sz w:val="24"/>
          <w:szCs w:val="24"/>
        </w:rPr>
        <w:t>Én frysetørret</w:t>
      </w:r>
      <w:r>
        <w:rPr>
          <w:sz w:val="24"/>
          <w:szCs w:val="24"/>
        </w:rPr>
        <w:t xml:space="preserve"> tablet indeholder </w:t>
      </w:r>
      <w:proofErr w:type="spellStart"/>
      <w:r>
        <w:rPr>
          <w:sz w:val="24"/>
          <w:szCs w:val="24"/>
        </w:rPr>
        <w:t>desmopressin</w:t>
      </w:r>
      <w:r w:rsidRPr="00414820">
        <w:rPr>
          <w:sz w:val="24"/>
          <w:szCs w:val="24"/>
        </w:rPr>
        <w:t>acetat</w:t>
      </w:r>
      <w:proofErr w:type="spellEnd"/>
      <w:r w:rsidRPr="00414820">
        <w:rPr>
          <w:sz w:val="24"/>
          <w:szCs w:val="24"/>
        </w:rPr>
        <w:t xml:space="preserve"> svarende til 25 eller 50 mikrogram </w:t>
      </w:r>
      <w:proofErr w:type="spellStart"/>
      <w:r w:rsidRPr="00414820">
        <w:rPr>
          <w:sz w:val="24"/>
          <w:szCs w:val="24"/>
        </w:rPr>
        <w:t>desmopressin</w:t>
      </w:r>
      <w:proofErr w:type="spellEnd"/>
      <w:r w:rsidRPr="00414820">
        <w:rPr>
          <w:sz w:val="24"/>
          <w:szCs w:val="24"/>
        </w:rPr>
        <w:t>.</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sz w:val="24"/>
          <w:szCs w:val="24"/>
        </w:rPr>
      </w:pPr>
      <w:r>
        <w:rPr>
          <w:sz w:val="24"/>
          <w:szCs w:val="24"/>
        </w:rPr>
        <w:tab/>
      </w:r>
      <w:r w:rsidRPr="00414820">
        <w:rPr>
          <w:sz w:val="24"/>
          <w:szCs w:val="24"/>
        </w:rPr>
        <w:t>Alle hjælpestoffer er anført under pkt. 6.1</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b/>
          <w:sz w:val="24"/>
          <w:szCs w:val="24"/>
        </w:rPr>
      </w:pPr>
      <w:r w:rsidRPr="00414820">
        <w:rPr>
          <w:b/>
          <w:sz w:val="24"/>
          <w:szCs w:val="24"/>
        </w:rPr>
        <w:t>3.</w:t>
      </w:r>
      <w:r w:rsidRPr="00414820">
        <w:rPr>
          <w:b/>
          <w:sz w:val="24"/>
          <w:szCs w:val="24"/>
        </w:rPr>
        <w:tab/>
        <w:t>LÆGEMIDDELFORM</w:t>
      </w:r>
    </w:p>
    <w:p w:rsidR="00A02663" w:rsidRPr="00414820" w:rsidRDefault="00A02663" w:rsidP="00A02663">
      <w:pPr>
        <w:tabs>
          <w:tab w:val="left" w:pos="851"/>
        </w:tabs>
        <w:ind w:left="851" w:hanging="851"/>
        <w:rPr>
          <w:sz w:val="24"/>
          <w:szCs w:val="24"/>
          <w:lang w:eastAsia="da-DK"/>
        </w:rPr>
      </w:pPr>
      <w:r>
        <w:rPr>
          <w:sz w:val="24"/>
          <w:szCs w:val="24"/>
        </w:rPr>
        <w:tab/>
      </w:r>
      <w:r w:rsidRPr="00414820">
        <w:rPr>
          <w:sz w:val="24"/>
          <w:szCs w:val="24"/>
        </w:rPr>
        <w:t>Frysetørrede tabletter.</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sz w:val="24"/>
          <w:szCs w:val="24"/>
        </w:rPr>
      </w:pPr>
      <w:r>
        <w:rPr>
          <w:sz w:val="24"/>
          <w:szCs w:val="24"/>
        </w:rPr>
        <w:tab/>
      </w:r>
      <w:proofErr w:type="spellStart"/>
      <w:r w:rsidRPr="00414820">
        <w:rPr>
          <w:sz w:val="24"/>
          <w:szCs w:val="24"/>
        </w:rPr>
        <w:t>Nocdurna</w:t>
      </w:r>
      <w:proofErr w:type="spellEnd"/>
      <w:r w:rsidRPr="00414820">
        <w:rPr>
          <w:sz w:val="24"/>
          <w:szCs w:val="24"/>
        </w:rPr>
        <w:t xml:space="preserve"> 25 mikrogram: </w:t>
      </w:r>
    </w:p>
    <w:p w:rsidR="00A02663" w:rsidRPr="00414820" w:rsidRDefault="00A02663" w:rsidP="00A02663">
      <w:pPr>
        <w:tabs>
          <w:tab w:val="left" w:pos="851"/>
        </w:tabs>
        <w:ind w:left="851" w:hanging="851"/>
        <w:rPr>
          <w:sz w:val="24"/>
          <w:szCs w:val="24"/>
        </w:rPr>
      </w:pPr>
      <w:r>
        <w:rPr>
          <w:sz w:val="24"/>
          <w:szCs w:val="24"/>
        </w:rPr>
        <w:tab/>
      </w:r>
      <w:r w:rsidRPr="00414820">
        <w:rPr>
          <w:sz w:val="24"/>
          <w:szCs w:val="24"/>
        </w:rPr>
        <w:t>Hvid, rund, frysetørret tablet på ca. 12 mm præget med 25 på den ene side.</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sz w:val="24"/>
          <w:szCs w:val="24"/>
        </w:rPr>
      </w:pPr>
      <w:r>
        <w:rPr>
          <w:sz w:val="24"/>
          <w:szCs w:val="24"/>
        </w:rPr>
        <w:tab/>
      </w:r>
      <w:proofErr w:type="spellStart"/>
      <w:r w:rsidRPr="00414820">
        <w:rPr>
          <w:sz w:val="24"/>
          <w:szCs w:val="24"/>
        </w:rPr>
        <w:t>Nocdurna</w:t>
      </w:r>
      <w:proofErr w:type="spellEnd"/>
      <w:r w:rsidRPr="00414820">
        <w:rPr>
          <w:sz w:val="24"/>
          <w:szCs w:val="24"/>
        </w:rPr>
        <w:t xml:space="preserve"> 50 mikrogram: </w:t>
      </w:r>
    </w:p>
    <w:p w:rsidR="00A02663" w:rsidRPr="00414820" w:rsidRDefault="00A02663" w:rsidP="00A02663">
      <w:pPr>
        <w:tabs>
          <w:tab w:val="left" w:pos="851"/>
        </w:tabs>
        <w:ind w:left="851" w:hanging="851"/>
        <w:rPr>
          <w:sz w:val="24"/>
          <w:szCs w:val="24"/>
        </w:rPr>
      </w:pPr>
      <w:r>
        <w:rPr>
          <w:sz w:val="24"/>
          <w:szCs w:val="24"/>
        </w:rPr>
        <w:tab/>
      </w:r>
      <w:r w:rsidRPr="00414820">
        <w:rPr>
          <w:sz w:val="24"/>
          <w:szCs w:val="24"/>
        </w:rPr>
        <w:t>Hvid, rund, frysetørret tablet på ca. 12 mm præget med 50 på den ene side.</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b/>
          <w:sz w:val="24"/>
          <w:szCs w:val="24"/>
        </w:rPr>
      </w:pPr>
      <w:r w:rsidRPr="00414820">
        <w:rPr>
          <w:b/>
          <w:sz w:val="24"/>
          <w:szCs w:val="24"/>
        </w:rPr>
        <w:t>4.</w:t>
      </w:r>
      <w:r w:rsidRPr="00414820">
        <w:rPr>
          <w:b/>
          <w:sz w:val="24"/>
          <w:szCs w:val="24"/>
        </w:rPr>
        <w:tab/>
        <w:t>KLINISKE OPLYSNINGER</w:t>
      </w:r>
    </w:p>
    <w:p w:rsidR="00A02663" w:rsidRPr="00414820" w:rsidRDefault="00A02663" w:rsidP="00A02663">
      <w:pPr>
        <w:tabs>
          <w:tab w:val="left" w:pos="851"/>
        </w:tabs>
        <w:ind w:left="851" w:hanging="851"/>
        <w:rPr>
          <w:b/>
          <w:sz w:val="24"/>
          <w:szCs w:val="24"/>
        </w:rPr>
      </w:pPr>
    </w:p>
    <w:p w:rsidR="00A02663" w:rsidRPr="00414820" w:rsidRDefault="00A02663" w:rsidP="00A02663">
      <w:pPr>
        <w:tabs>
          <w:tab w:val="left" w:pos="851"/>
        </w:tabs>
        <w:ind w:left="851" w:hanging="851"/>
        <w:rPr>
          <w:b/>
          <w:sz w:val="24"/>
          <w:szCs w:val="24"/>
          <w:u w:val="single"/>
        </w:rPr>
      </w:pPr>
      <w:r w:rsidRPr="00414820">
        <w:rPr>
          <w:b/>
          <w:sz w:val="24"/>
          <w:szCs w:val="24"/>
        </w:rPr>
        <w:t>4.1</w:t>
      </w:r>
      <w:r w:rsidRPr="00414820">
        <w:rPr>
          <w:b/>
          <w:sz w:val="24"/>
          <w:szCs w:val="24"/>
        </w:rPr>
        <w:tab/>
        <w:t>Terapeutiske indikationer</w:t>
      </w:r>
    </w:p>
    <w:p w:rsidR="00A02663" w:rsidRPr="00414820" w:rsidRDefault="00A02663" w:rsidP="00A02663">
      <w:pPr>
        <w:tabs>
          <w:tab w:val="left" w:pos="851"/>
        </w:tabs>
        <w:ind w:left="851" w:hanging="851"/>
        <w:rPr>
          <w:sz w:val="24"/>
          <w:szCs w:val="24"/>
          <w:lang w:eastAsia="da-DK"/>
        </w:rPr>
      </w:pPr>
      <w:r>
        <w:rPr>
          <w:sz w:val="24"/>
          <w:szCs w:val="24"/>
        </w:rPr>
        <w:tab/>
      </w:r>
      <w:proofErr w:type="spellStart"/>
      <w:r w:rsidRPr="00414820">
        <w:rPr>
          <w:sz w:val="24"/>
          <w:szCs w:val="24"/>
        </w:rPr>
        <w:t>Nocdurna</w:t>
      </w:r>
      <w:proofErr w:type="spellEnd"/>
      <w:r w:rsidRPr="00414820">
        <w:rPr>
          <w:sz w:val="24"/>
          <w:szCs w:val="24"/>
        </w:rPr>
        <w:t xml:space="preserve"> er indiceret til symptomatisk behandling af </w:t>
      </w:r>
      <w:proofErr w:type="spellStart"/>
      <w:r w:rsidRPr="00414820">
        <w:rPr>
          <w:sz w:val="24"/>
          <w:szCs w:val="24"/>
        </w:rPr>
        <w:t>nykturi</w:t>
      </w:r>
      <w:proofErr w:type="spellEnd"/>
      <w:r w:rsidRPr="00414820">
        <w:rPr>
          <w:sz w:val="24"/>
          <w:szCs w:val="24"/>
        </w:rPr>
        <w:t xml:space="preserve">, hos voksne, grundet idiopatisk natlig </w:t>
      </w:r>
      <w:proofErr w:type="spellStart"/>
      <w:r w:rsidRPr="00414820">
        <w:rPr>
          <w:sz w:val="24"/>
          <w:szCs w:val="24"/>
        </w:rPr>
        <w:t>polyuri</w:t>
      </w:r>
      <w:proofErr w:type="spellEnd"/>
      <w:r w:rsidRPr="00414820">
        <w:rPr>
          <w:sz w:val="24"/>
          <w:szCs w:val="24"/>
        </w:rPr>
        <w:t xml:space="preserve"> (se </w:t>
      </w:r>
      <w:r>
        <w:rPr>
          <w:sz w:val="24"/>
          <w:szCs w:val="24"/>
        </w:rPr>
        <w:t>pkt.</w:t>
      </w:r>
      <w:r w:rsidRPr="00414820">
        <w:rPr>
          <w:sz w:val="24"/>
          <w:szCs w:val="24"/>
        </w:rPr>
        <w:t xml:space="preserve"> 5.1).</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b/>
          <w:sz w:val="24"/>
          <w:szCs w:val="24"/>
        </w:rPr>
      </w:pPr>
      <w:r w:rsidRPr="00414820">
        <w:rPr>
          <w:b/>
          <w:sz w:val="24"/>
          <w:szCs w:val="24"/>
        </w:rPr>
        <w:t>4.2</w:t>
      </w:r>
      <w:r w:rsidRPr="00414820">
        <w:rPr>
          <w:b/>
          <w:sz w:val="24"/>
          <w:szCs w:val="24"/>
        </w:rPr>
        <w:tab/>
        <w:t>Dosering og indgivelsesmåde</w:t>
      </w:r>
    </w:p>
    <w:p w:rsidR="00A02663" w:rsidRPr="00414820" w:rsidRDefault="00A02663" w:rsidP="00A02663">
      <w:pPr>
        <w:tabs>
          <w:tab w:val="left" w:pos="851"/>
        </w:tabs>
        <w:ind w:left="851" w:hanging="851"/>
        <w:rPr>
          <w:sz w:val="24"/>
          <w:szCs w:val="24"/>
          <w:lang w:eastAsia="da-DK"/>
        </w:rPr>
      </w:pPr>
      <w:r>
        <w:rPr>
          <w:sz w:val="24"/>
          <w:szCs w:val="24"/>
        </w:rPr>
        <w:tab/>
      </w:r>
      <w:r w:rsidRPr="00414820">
        <w:rPr>
          <w:sz w:val="24"/>
          <w:szCs w:val="24"/>
        </w:rPr>
        <w:t>Dosering</w:t>
      </w:r>
    </w:p>
    <w:p w:rsidR="00A02663" w:rsidRPr="00414820" w:rsidRDefault="00A02663" w:rsidP="00A02663">
      <w:pPr>
        <w:numPr>
          <w:ilvl w:val="0"/>
          <w:numId w:val="6"/>
        </w:numPr>
        <w:ind w:left="1276" w:hanging="425"/>
        <w:rPr>
          <w:sz w:val="24"/>
          <w:szCs w:val="24"/>
        </w:rPr>
      </w:pPr>
      <w:r w:rsidRPr="00414820">
        <w:rPr>
          <w:sz w:val="24"/>
          <w:szCs w:val="24"/>
        </w:rPr>
        <w:t xml:space="preserve">Kvinder: 25 mikrogram </w:t>
      </w:r>
      <w:r>
        <w:rPr>
          <w:sz w:val="24"/>
          <w:szCs w:val="24"/>
        </w:rPr>
        <w:t>daglig</w:t>
      </w:r>
      <w:r w:rsidRPr="00414820">
        <w:rPr>
          <w:sz w:val="24"/>
          <w:szCs w:val="24"/>
        </w:rPr>
        <w:t xml:space="preserve">, én time før sengetid, administreret </w:t>
      </w:r>
      <w:proofErr w:type="spellStart"/>
      <w:r w:rsidRPr="00414820">
        <w:rPr>
          <w:sz w:val="24"/>
          <w:szCs w:val="24"/>
        </w:rPr>
        <w:t>sublingualt</w:t>
      </w:r>
      <w:proofErr w:type="spellEnd"/>
      <w:r w:rsidRPr="00414820">
        <w:rPr>
          <w:sz w:val="24"/>
          <w:szCs w:val="24"/>
        </w:rPr>
        <w:t xml:space="preserve"> uden vand.</w:t>
      </w:r>
    </w:p>
    <w:p w:rsidR="00A02663" w:rsidRPr="00414820" w:rsidRDefault="00A02663" w:rsidP="00A02663">
      <w:pPr>
        <w:numPr>
          <w:ilvl w:val="0"/>
          <w:numId w:val="6"/>
        </w:numPr>
        <w:ind w:left="1276" w:hanging="425"/>
        <w:rPr>
          <w:sz w:val="24"/>
          <w:szCs w:val="24"/>
        </w:rPr>
      </w:pPr>
      <w:r w:rsidRPr="00414820">
        <w:rPr>
          <w:sz w:val="24"/>
          <w:szCs w:val="24"/>
        </w:rPr>
        <w:t xml:space="preserve">Mænd: 50 mikrogram </w:t>
      </w:r>
      <w:r>
        <w:rPr>
          <w:sz w:val="24"/>
          <w:szCs w:val="24"/>
        </w:rPr>
        <w:t>daglig</w:t>
      </w:r>
      <w:r w:rsidRPr="00414820">
        <w:rPr>
          <w:sz w:val="24"/>
          <w:szCs w:val="24"/>
        </w:rPr>
        <w:t xml:space="preserve">, én time før sengetid, administreret </w:t>
      </w:r>
      <w:proofErr w:type="spellStart"/>
      <w:r w:rsidRPr="00414820">
        <w:rPr>
          <w:sz w:val="24"/>
          <w:szCs w:val="24"/>
        </w:rPr>
        <w:t>sublingualt</w:t>
      </w:r>
      <w:proofErr w:type="spellEnd"/>
      <w:r w:rsidRPr="00414820">
        <w:rPr>
          <w:sz w:val="24"/>
          <w:szCs w:val="24"/>
        </w:rPr>
        <w:t xml:space="preserve"> uden vand.</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sz w:val="24"/>
          <w:szCs w:val="24"/>
        </w:rPr>
      </w:pPr>
      <w:r>
        <w:rPr>
          <w:sz w:val="24"/>
          <w:szCs w:val="24"/>
        </w:rPr>
        <w:tab/>
      </w:r>
      <w:r w:rsidRPr="00414820">
        <w:rPr>
          <w:sz w:val="24"/>
          <w:szCs w:val="24"/>
        </w:rPr>
        <w:t>En dosisøgning af dette produkt anbefales ikke til ældre patienter ≥ 65 år.</w:t>
      </w:r>
    </w:p>
    <w:p w:rsidR="00A02663" w:rsidRPr="00414820" w:rsidRDefault="00A02663" w:rsidP="00A02663">
      <w:pPr>
        <w:tabs>
          <w:tab w:val="left" w:pos="851"/>
        </w:tabs>
        <w:ind w:left="851" w:hanging="851"/>
        <w:rPr>
          <w:sz w:val="24"/>
          <w:szCs w:val="24"/>
        </w:rPr>
      </w:pPr>
      <w:r>
        <w:rPr>
          <w:sz w:val="24"/>
          <w:szCs w:val="24"/>
        </w:rPr>
        <w:tab/>
      </w:r>
      <w:r w:rsidRPr="00414820">
        <w:rPr>
          <w:sz w:val="24"/>
          <w:szCs w:val="24"/>
        </w:rPr>
        <w:t xml:space="preserve">Hvis en højere dosis overvejes for patienter under 65 år, ved tilfælde af utilstrækkelig effekt af </w:t>
      </w:r>
      <w:proofErr w:type="spellStart"/>
      <w:r w:rsidRPr="00414820">
        <w:rPr>
          <w:sz w:val="24"/>
          <w:szCs w:val="24"/>
        </w:rPr>
        <w:t>Nocdurna</w:t>
      </w:r>
      <w:proofErr w:type="spellEnd"/>
      <w:r w:rsidRPr="00414820">
        <w:rPr>
          <w:sz w:val="24"/>
          <w:szCs w:val="24"/>
        </w:rPr>
        <w:t xml:space="preserve">, bør et andet </w:t>
      </w:r>
      <w:proofErr w:type="spellStart"/>
      <w:r w:rsidRPr="00414820">
        <w:rPr>
          <w:sz w:val="24"/>
          <w:szCs w:val="24"/>
        </w:rPr>
        <w:t>desmopressin</w:t>
      </w:r>
      <w:proofErr w:type="spellEnd"/>
      <w:r w:rsidRPr="00414820">
        <w:rPr>
          <w:sz w:val="24"/>
          <w:szCs w:val="24"/>
        </w:rPr>
        <w:t xml:space="preserve"> frysetørret tablet produkt anvendes (Se </w:t>
      </w:r>
      <w:r>
        <w:rPr>
          <w:sz w:val="24"/>
          <w:szCs w:val="24"/>
        </w:rPr>
        <w:t>pkt.</w:t>
      </w:r>
      <w:r w:rsidRPr="00414820">
        <w:rPr>
          <w:sz w:val="24"/>
          <w:szCs w:val="24"/>
        </w:rPr>
        <w:t xml:space="preserve"> 4.4, 4.8 og 5.1).</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sz w:val="24"/>
          <w:szCs w:val="24"/>
        </w:rPr>
      </w:pPr>
      <w:r>
        <w:rPr>
          <w:sz w:val="24"/>
          <w:szCs w:val="24"/>
        </w:rPr>
        <w:tab/>
      </w:r>
      <w:r w:rsidRPr="00414820">
        <w:rPr>
          <w:sz w:val="24"/>
          <w:szCs w:val="24"/>
        </w:rPr>
        <w:t xml:space="preserve">Såfremt der optræder tegn eller symptomer på væskeretention og/eller </w:t>
      </w:r>
      <w:proofErr w:type="spellStart"/>
      <w:r w:rsidRPr="00414820">
        <w:rPr>
          <w:sz w:val="24"/>
          <w:szCs w:val="24"/>
        </w:rPr>
        <w:t>hyponatriæmi</w:t>
      </w:r>
      <w:proofErr w:type="spellEnd"/>
      <w:r w:rsidRPr="00414820">
        <w:rPr>
          <w:sz w:val="24"/>
          <w:szCs w:val="24"/>
        </w:rPr>
        <w:t xml:space="preserve"> (hovedpine, kvalme/opkastning, vægtøgning og i alvorlige tilfælde kramper), bør behandlingen afbrydes og genovervejes. Når behandlingen genstartes, skal et begrænset væskeindtag overholdes og serum </w:t>
      </w:r>
      <w:proofErr w:type="gramStart"/>
      <w:r w:rsidRPr="00414820">
        <w:rPr>
          <w:sz w:val="24"/>
          <w:szCs w:val="24"/>
        </w:rPr>
        <w:t>natrium niveauet</w:t>
      </w:r>
      <w:proofErr w:type="gramEnd"/>
      <w:r w:rsidRPr="00414820">
        <w:rPr>
          <w:sz w:val="24"/>
          <w:szCs w:val="24"/>
        </w:rPr>
        <w:t xml:space="preserve"> monitoreres (se </w:t>
      </w:r>
      <w:r>
        <w:rPr>
          <w:sz w:val="24"/>
          <w:szCs w:val="24"/>
        </w:rPr>
        <w:t>pkt.</w:t>
      </w:r>
      <w:r w:rsidRPr="00414820">
        <w:rPr>
          <w:sz w:val="24"/>
          <w:szCs w:val="24"/>
        </w:rPr>
        <w:t xml:space="preserve"> 4.4).</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sz w:val="24"/>
          <w:szCs w:val="24"/>
        </w:rPr>
      </w:pPr>
      <w:r>
        <w:rPr>
          <w:sz w:val="24"/>
          <w:szCs w:val="24"/>
        </w:rPr>
        <w:tab/>
      </w:r>
      <w:proofErr w:type="spellStart"/>
      <w:r w:rsidRPr="00414820">
        <w:rPr>
          <w:sz w:val="24"/>
          <w:szCs w:val="24"/>
        </w:rPr>
        <w:t>Nocdurna</w:t>
      </w:r>
      <w:proofErr w:type="spellEnd"/>
      <w:r w:rsidRPr="00414820">
        <w:rPr>
          <w:sz w:val="24"/>
          <w:szCs w:val="24"/>
        </w:rPr>
        <w:t xml:space="preserve"> bør seponeres, hvis serum natrium niveauet falder til under den nedre grænse for normalområdet (135 mmol/l).</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i/>
          <w:sz w:val="24"/>
          <w:szCs w:val="24"/>
          <w:u w:val="single"/>
        </w:rPr>
      </w:pPr>
      <w:r w:rsidRPr="00414820">
        <w:rPr>
          <w:sz w:val="24"/>
          <w:szCs w:val="24"/>
        </w:rPr>
        <w:tab/>
      </w:r>
      <w:r w:rsidRPr="00414820">
        <w:rPr>
          <w:i/>
          <w:sz w:val="24"/>
          <w:szCs w:val="24"/>
          <w:u w:val="single"/>
        </w:rPr>
        <w:t>Særlige populationer</w:t>
      </w:r>
    </w:p>
    <w:p w:rsidR="00A02663" w:rsidRPr="00414820" w:rsidRDefault="00A02663" w:rsidP="00A02663">
      <w:pPr>
        <w:tabs>
          <w:tab w:val="left" w:pos="851"/>
        </w:tabs>
        <w:ind w:left="851" w:hanging="851"/>
        <w:rPr>
          <w:i/>
          <w:sz w:val="24"/>
          <w:szCs w:val="24"/>
        </w:rPr>
      </w:pPr>
      <w:r>
        <w:rPr>
          <w:i/>
          <w:sz w:val="24"/>
          <w:szCs w:val="24"/>
        </w:rPr>
        <w:tab/>
      </w:r>
      <w:r w:rsidRPr="00414820">
        <w:rPr>
          <w:i/>
          <w:sz w:val="24"/>
          <w:szCs w:val="24"/>
        </w:rPr>
        <w:t>Ældre patienter (65 år og ældre)</w:t>
      </w:r>
    </w:p>
    <w:p w:rsidR="00A02663" w:rsidRPr="00414820" w:rsidRDefault="00A02663" w:rsidP="00A02663">
      <w:pPr>
        <w:tabs>
          <w:tab w:val="left" w:pos="851"/>
        </w:tabs>
        <w:ind w:left="851" w:hanging="851"/>
        <w:rPr>
          <w:sz w:val="24"/>
          <w:szCs w:val="24"/>
        </w:rPr>
      </w:pPr>
      <w:r>
        <w:rPr>
          <w:sz w:val="24"/>
          <w:szCs w:val="24"/>
        </w:rPr>
        <w:tab/>
      </w:r>
      <w:r w:rsidRPr="00414820">
        <w:rPr>
          <w:sz w:val="24"/>
          <w:szCs w:val="24"/>
        </w:rPr>
        <w:t xml:space="preserve">Ældre patienter har en øget risiko for at udvikle </w:t>
      </w:r>
      <w:proofErr w:type="spellStart"/>
      <w:r w:rsidRPr="00414820">
        <w:rPr>
          <w:sz w:val="24"/>
          <w:szCs w:val="24"/>
        </w:rPr>
        <w:t>hyponatriæmi</w:t>
      </w:r>
      <w:proofErr w:type="spellEnd"/>
      <w:r w:rsidRPr="00414820">
        <w:rPr>
          <w:sz w:val="24"/>
          <w:szCs w:val="24"/>
        </w:rPr>
        <w:t xml:space="preserve"> med </w:t>
      </w:r>
      <w:proofErr w:type="spellStart"/>
      <w:r w:rsidRPr="00414820">
        <w:rPr>
          <w:sz w:val="24"/>
          <w:szCs w:val="24"/>
        </w:rPr>
        <w:t>desmopressin</w:t>
      </w:r>
      <w:proofErr w:type="spellEnd"/>
      <w:r w:rsidRPr="00414820">
        <w:rPr>
          <w:sz w:val="24"/>
          <w:szCs w:val="24"/>
        </w:rPr>
        <w:t xml:space="preserve"> behandlingen og kan også have nedsat nyrefunktion.  Der bør derfor udvises forsigtighed i denne aldersgruppe og daglige doser over 25 mikrogram for kvinder og 50 mikrogram for mænd bør ikke anvendes. Før initiering af behandlingen hos ældre patienter skal serum natrium være inden for normalområdet i den første uge (4-8 dage efter initiering) og igen efter en måned. </w:t>
      </w:r>
      <w:proofErr w:type="spellStart"/>
      <w:r w:rsidRPr="00414820">
        <w:rPr>
          <w:sz w:val="24"/>
          <w:szCs w:val="24"/>
        </w:rPr>
        <w:t>Nocdurna</w:t>
      </w:r>
      <w:proofErr w:type="spellEnd"/>
      <w:r w:rsidRPr="00414820">
        <w:rPr>
          <w:sz w:val="24"/>
          <w:szCs w:val="24"/>
        </w:rPr>
        <w:t xml:space="preserve"> bør seponeres, hvis serum natrium niveauet falder under den nedre grænse for normalområdet (se </w:t>
      </w:r>
      <w:r>
        <w:rPr>
          <w:sz w:val="24"/>
          <w:szCs w:val="24"/>
        </w:rPr>
        <w:t>pkt.</w:t>
      </w:r>
      <w:r w:rsidRPr="00414820">
        <w:rPr>
          <w:sz w:val="24"/>
          <w:szCs w:val="24"/>
        </w:rPr>
        <w:t xml:space="preserve"> 4.4). Fortsat behandling bør nøje overvejes hos ældre patienter, som ikke viser tegn på terapeutisk effekt efter 3 måneder.</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i/>
          <w:sz w:val="24"/>
          <w:szCs w:val="24"/>
        </w:rPr>
      </w:pPr>
      <w:r>
        <w:rPr>
          <w:i/>
          <w:sz w:val="24"/>
          <w:szCs w:val="24"/>
        </w:rPr>
        <w:tab/>
      </w:r>
      <w:r w:rsidRPr="00414820">
        <w:rPr>
          <w:i/>
          <w:sz w:val="24"/>
          <w:szCs w:val="24"/>
        </w:rPr>
        <w:t>Patienter med nedsat nyrefunktion</w:t>
      </w:r>
    </w:p>
    <w:p w:rsidR="00A02663" w:rsidRPr="00414820" w:rsidRDefault="00A02663" w:rsidP="00A02663">
      <w:pPr>
        <w:tabs>
          <w:tab w:val="left" w:pos="851"/>
        </w:tabs>
        <w:ind w:left="851" w:hanging="851"/>
        <w:rPr>
          <w:sz w:val="24"/>
          <w:szCs w:val="24"/>
        </w:rPr>
      </w:pPr>
      <w:r>
        <w:rPr>
          <w:sz w:val="24"/>
          <w:szCs w:val="24"/>
        </w:rPr>
        <w:tab/>
      </w:r>
      <w:proofErr w:type="spellStart"/>
      <w:r w:rsidRPr="00414820">
        <w:rPr>
          <w:sz w:val="24"/>
          <w:szCs w:val="24"/>
        </w:rPr>
        <w:t>Nocdurna</w:t>
      </w:r>
      <w:proofErr w:type="spellEnd"/>
      <w:r w:rsidRPr="00414820">
        <w:rPr>
          <w:sz w:val="24"/>
          <w:szCs w:val="24"/>
        </w:rPr>
        <w:t xml:space="preserve"> er kontraindiceret hos patienter med moderat og svært nedsat nyrefunktion (se </w:t>
      </w:r>
      <w:r>
        <w:rPr>
          <w:sz w:val="24"/>
          <w:szCs w:val="24"/>
        </w:rPr>
        <w:t>pkt.</w:t>
      </w:r>
      <w:r w:rsidRPr="00414820">
        <w:rPr>
          <w:sz w:val="24"/>
          <w:szCs w:val="24"/>
        </w:rPr>
        <w:t xml:space="preserve"> 4.3).</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i/>
          <w:sz w:val="24"/>
          <w:szCs w:val="24"/>
        </w:rPr>
      </w:pPr>
      <w:r>
        <w:rPr>
          <w:i/>
          <w:sz w:val="24"/>
          <w:szCs w:val="24"/>
        </w:rPr>
        <w:tab/>
      </w:r>
      <w:r w:rsidRPr="00414820">
        <w:rPr>
          <w:i/>
          <w:sz w:val="24"/>
          <w:szCs w:val="24"/>
        </w:rPr>
        <w:t>Patienter med nedsat leverfunktion</w:t>
      </w:r>
    </w:p>
    <w:p w:rsidR="00A02663" w:rsidRPr="00414820" w:rsidRDefault="00A02663" w:rsidP="00A02663">
      <w:pPr>
        <w:tabs>
          <w:tab w:val="left" w:pos="851"/>
        </w:tabs>
        <w:ind w:left="851" w:hanging="851"/>
        <w:rPr>
          <w:sz w:val="24"/>
          <w:szCs w:val="24"/>
        </w:rPr>
      </w:pPr>
      <w:r>
        <w:rPr>
          <w:sz w:val="24"/>
          <w:szCs w:val="24"/>
        </w:rPr>
        <w:tab/>
      </w:r>
      <w:r w:rsidRPr="00414820">
        <w:rPr>
          <w:sz w:val="24"/>
          <w:szCs w:val="24"/>
        </w:rPr>
        <w:t xml:space="preserve">Der kræves ingen dosisjustering hos patienter med nedsat leverfunktion (se </w:t>
      </w:r>
      <w:r>
        <w:rPr>
          <w:sz w:val="24"/>
          <w:szCs w:val="24"/>
        </w:rPr>
        <w:t>pkt.</w:t>
      </w:r>
      <w:r w:rsidRPr="00414820">
        <w:rPr>
          <w:sz w:val="24"/>
          <w:szCs w:val="24"/>
        </w:rPr>
        <w:t xml:space="preserve"> 5.2).</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i/>
          <w:sz w:val="24"/>
          <w:szCs w:val="24"/>
        </w:rPr>
      </w:pPr>
      <w:r>
        <w:rPr>
          <w:i/>
          <w:sz w:val="24"/>
          <w:szCs w:val="24"/>
        </w:rPr>
        <w:tab/>
      </w:r>
      <w:r w:rsidRPr="00414820">
        <w:rPr>
          <w:i/>
          <w:sz w:val="24"/>
          <w:szCs w:val="24"/>
        </w:rPr>
        <w:t>Pædiatrisk population</w:t>
      </w:r>
    </w:p>
    <w:p w:rsidR="00A02663" w:rsidRPr="00414820" w:rsidRDefault="00A02663" w:rsidP="00A02663">
      <w:pPr>
        <w:tabs>
          <w:tab w:val="left" w:pos="851"/>
        </w:tabs>
        <w:ind w:left="851" w:hanging="851"/>
        <w:rPr>
          <w:sz w:val="24"/>
          <w:szCs w:val="24"/>
        </w:rPr>
      </w:pPr>
      <w:r>
        <w:rPr>
          <w:sz w:val="24"/>
          <w:szCs w:val="24"/>
        </w:rPr>
        <w:tab/>
      </w:r>
      <w:r w:rsidRPr="00414820">
        <w:rPr>
          <w:sz w:val="24"/>
          <w:szCs w:val="24"/>
        </w:rPr>
        <w:t xml:space="preserve">Det er ikke relevant at anvende </w:t>
      </w:r>
      <w:proofErr w:type="spellStart"/>
      <w:r w:rsidRPr="00414820">
        <w:rPr>
          <w:sz w:val="24"/>
          <w:szCs w:val="24"/>
        </w:rPr>
        <w:t>Nocdurna</w:t>
      </w:r>
      <w:proofErr w:type="spellEnd"/>
      <w:r w:rsidRPr="00414820">
        <w:rPr>
          <w:sz w:val="24"/>
          <w:szCs w:val="24"/>
        </w:rPr>
        <w:t xml:space="preserve"> hos den pædiatriske population til indikationen symptomatisk behandling af </w:t>
      </w:r>
      <w:proofErr w:type="spellStart"/>
      <w:r w:rsidRPr="00414820">
        <w:rPr>
          <w:sz w:val="24"/>
          <w:szCs w:val="24"/>
        </w:rPr>
        <w:t>nykturi</w:t>
      </w:r>
      <w:proofErr w:type="spellEnd"/>
      <w:r w:rsidRPr="00414820">
        <w:rPr>
          <w:sz w:val="24"/>
          <w:szCs w:val="24"/>
        </w:rPr>
        <w:t xml:space="preserve"> grundet idiopatisk natlig </w:t>
      </w:r>
      <w:proofErr w:type="spellStart"/>
      <w:r w:rsidRPr="00414820">
        <w:rPr>
          <w:sz w:val="24"/>
          <w:szCs w:val="24"/>
        </w:rPr>
        <w:t>polyuri</w:t>
      </w:r>
      <w:proofErr w:type="spellEnd"/>
      <w:r w:rsidRPr="00414820">
        <w:rPr>
          <w:sz w:val="24"/>
          <w:szCs w:val="24"/>
        </w:rPr>
        <w:t>.</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sz w:val="24"/>
          <w:szCs w:val="24"/>
          <w:u w:val="single"/>
        </w:rPr>
      </w:pPr>
      <w:r w:rsidRPr="00414820">
        <w:rPr>
          <w:sz w:val="24"/>
          <w:szCs w:val="24"/>
        </w:rPr>
        <w:tab/>
      </w:r>
      <w:r w:rsidRPr="00414820">
        <w:rPr>
          <w:sz w:val="24"/>
          <w:szCs w:val="24"/>
          <w:u w:val="single"/>
        </w:rPr>
        <w:t>Administration</w:t>
      </w:r>
    </w:p>
    <w:p w:rsidR="00A02663" w:rsidRPr="00414820" w:rsidRDefault="00A02663" w:rsidP="00A02663">
      <w:pPr>
        <w:tabs>
          <w:tab w:val="left" w:pos="851"/>
        </w:tabs>
        <w:ind w:left="851" w:hanging="851"/>
        <w:rPr>
          <w:sz w:val="24"/>
          <w:szCs w:val="24"/>
        </w:rPr>
      </w:pPr>
      <w:r>
        <w:rPr>
          <w:sz w:val="24"/>
          <w:szCs w:val="24"/>
        </w:rPr>
        <w:tab/>
      </w:r>
      <w:proofErr w:type="spellStart"/>
      <w:r w:rsidRPr="00414820">
        <w:rPr>
          <w:sz w:val="24"/>
          <w:szCs w:val="24"/>
        </w:rPr>
        <w:t>Nocdurna</w:t>
      </w:r>
      <w:proofErr w:type="spellEnd"/>
      <w:r w:rsidRPr="00414820">
        <w:rPr>
          <w:sz w:val="24"/>
          <w:szCs w:val="24"/>
        </w:rPr>
        <w:t xml:space="preserve"> placeres under tungen, hvor den opløses, indtagelse af vand er unødvendig.</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sz w:val="24"/>
          <w:szCs w:val="24"/>
        </w:rPr>
      </w:pPr>
      <w:r>
        <w:rPr>
          <w:sz w:val="24"/>
          <w:szCs w:val="24"/>
        </w:rPr>
        <w:tab/>
      </w:r>
      <w:r w:rsidRPr="00414820">
        <w:rPr>
          <w:sz w:val="24"/>
          <w:szCs w:val="24"/>
        </w:rPr>
        <w:t xml:space="preserve">Samtidig indtagelse af føde kan reducere styrken og varigheden af den antidiuretiske effekt ved lave doser af </w:t>
      </w:r>
      <w:proofErr w:type="spellStart"/>
      <w:r w:rsidRPr="00414820">
        <w:rPr>
          <w:sz w:val="24"/>
          <w:szCs w:val="24"/>
        </w:rPr>
        <w:t>desmopressin</w:t>
      </w:r>
      <w:proofErr w:type="spellEnd"/>
      <w:r w:rsidRPr="00414820">
        <w:rPr>
          <w:sz w:val="24"/>
          <w:szCs w:val="24"/>
        </w:rPr>
        <w:t xml:space="preserve"> (se </w:t>
      </w:r>
      <w:r>
        <w:rPr>
          <w:sz w:val="24"/>
          <w:szCs w:val="24"/>
        </w:rPr>
        <w:t>pkt.</w:t>
      </w:r>
      <w:r w:rsidRPr="00414820">
        <w:rPr>
          <w:sz w:val="24"/>
          <w:szCs w:val="24"/>
        </w:rPr>
        <w:t xml:space="preserve"> 5.2).</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b/>
          <w:sz w:val="24"/>
          <w:szCs w:val="24"/>
        </w:rPr>
      </w:pPr>
      <w:r w:rsidRPr="00414820">
        <w:rPr>
          <w:b/>
          <w:sz w:val="24"/>
          <w:szCs w:val="24"/>
        </w:rPr>
        <w:t>4.3</w:t>
      </w:r>
      <w:r w:rsidRPr="00414820">
        <w:rPr>
          <w:b/>
          <w:sz w:val="24"/>
          <w:szCs w:val="24"/>
        </w:rPr>
        <w:tab/>
        <w:t>Kontraindikationer</w:t>
      </w:r>
    </w:p>
    <w:p w:rsidR="00A02663" w:rsidRPr="00414820" w:rsidRDefault="00A02663" w:rsidP="00A02663">
      <w:pPr>
        <w:pStyle w:val="Listeafsnit"/>
        <w:numPr>
          <w:ilvl w:val="0"/>
          <w:numId w:val="7"/>
        </w:numPr>
        <w:tabs>
          <w:tab w:val="left" w:pos="851"/>
        </w:tabs>
        <w:ind w:left="1276" w:hanging="425"/>
        <w:rPr>
          <w:sz w:val="24"/>
          <w:szCs w:val="24"/>
          <w:lang w:eastAsia="da-DK"/>
        </w:rPr>
      </w:pPr>
      <w:r w:rsidRPr="00414820">
        <w:rPr>
          <w:sz w:val="24"/>
          <w:szCs w:val="24"/>
        </w:rPr>
        <w:t xml:space="preserve">Overfølsomhed over for det aktive stof eller over for et eller flere af hjælpestofferne anført i </w:t>
      </w:r>
      <w:r>
        <w:rPr>
          <w:sz w:val="24"/>
          <w:szCs w:val="24"/>
        </w:rPr>
        <w:t>pkt.</w:t>
      </w:r>
      <w:r w:rsidRPr="00414820">
        <w:rPr>
          <w:sz w:val="24"/>
          <w:szCs w:val="24"/>
        </w:rPr>
        <w:t xml:space="preserve"> 6.1.</w:t>
      </w:r>
    </w:p>
    <w:p w:rsidR="00A02663" w:rsidRPr="00414820" w:rsidRDefault="00A02663" w:rsidP="00A02663">
      <w:pPr>
        <w:pStyle w:val="Listeafsnit"/>
        <w:numPr>
          <w:ilvl w:val="0"/>
          <w:numId w:val="7"/>
        </w:numPr>
        <w:tabs>
          <w:tab w:val="left" w:pos="851"/>
        </w:tabs>
        <w:ind w:left="1276" w:hanging="425"/>
        <w:rPr>
          <w:sz w:val="24"/>
          <w:szCs w:val="24"/>
        </w:rPr>
      </w:pPr>
      <w:r w:rsidRPr="00414820">
        <w:rPr>
          <w:sz w:val="24"/>
          <w:szCs w:val="24"/>
        </w:rPr>
        <w:t>Habituel og psykogenetisk polydipsi (resulterende i en urinproduktion på over 40 ml/kg/24 timer).</w:t>
      </w:r>
    </w:p>
    <w:p w:rsidR="00A02663" w:rsidRPr="00414820" w:rsidRDefault="00A02663" w:rsidP="00A02663">
      <w:pPr>
        <w:pStyle w:val="Listeafsnit"/>
        <w:numPr>
          <w:ilvl w:val="0"/>
          <w:numId w:val="7"/>
        </w:numPr>
        <w:tabs>
          <w:tab w:val="left" w:pos="851"/>
        </w:tabs>
        <w:ind w:left="1276" w:hanging="425"/>
        <w:rPr>
          <w:sz w:val="24"/>
          <w:szCs w:val="24"/>
        </w:rPr>
      </w:pPr>
      <w:r w:rsidRPr="00414820">
        <w:rPr>
          <w:sz w:val="24"/>
          <w:szCs w:val="24"/>
        </w:rPr>
        <w:t xml:space="preserve">Aktuel eller tidligere kendt eller mistanke om hjerteinsufficiens eller andre tilstande forbundet med væskeretention, </w:t>
      </w:r>
      <w:r w:rsidRPr="00414820">
        <w:rPr>
          <w:spacing w:val="-3"/>
          <w:sz w:val="24"/>
          <w:szCs w:val="24"/>
        </w:rPr>
        <w:t xml:space="preserve">der kræver behandling med </w:t>
      </w:r>
      <w:proofErr w:type="spellStart"/>
      <w:r w:rsidRPr="00414820">
        <w:rPr>
          <w:spacing w:val="-3"/>
          <w:sz w:val="24"/>
          <w:szCs w:val="24"/>
        </w:rPr>
        <w:t>diuretika</w:t>
      </w:r>
      <w:proofErr w:type="spellEnd"/>
      <w:r w:rsidRPr="00414820">
        <w:rPr>
          <w:spacing w:val="-3"/>
          <w:sz w:val="24"/>
          <w:szCs w:val="24"/>
        </w:rPr>
        <w:t>.</w:t>
      </w:r>
    </w:p>
    <w:p w:rsidR="00A02663" w:rsidRPr="00414820" w:rsidRDefault="00A02663" w:rsidP="00A02663">
      <w:pPr>
        <w:pStyle w:val="Listeafsnit"/>
        <w:numPr>
          <w:ilvl w:val="0"/>
          <w:numId w:val="7"/>
        </w:numPr>
        <w:tabs>
          <w:tab w:val="left" w:pos="851"/>
        </w:tabs>
        <w:ind w:left="1276" w:hanging="425"/>
        <w:rPr>
          <w:sz w:val="24"/>
          <w:szCs w:val="24"/>
        </w:rPr>
      </w:pPr>
      <w:r w:rsidRPr="00414820">
        <w:rPr>
          <w:sz w:val="24"/>
          <w:szCs w:val="24"/>
        </w:rPr>
        <w:t xml:space="preserve">Moderat og alvorlig </w:t>
      </w:r>
      <w:proofErr w:type="spellStart"/>
      <w:r w:rsidRPr="00414820">
        <w:rPr>
          <w:sz w:val="24"/>
          <w:szCs w:val="24"/>
        </w:rPr>
        <w:t>renal</w:t>
      </w:r>
      <w:proofErr w:type="spellEnd"/>
      <w:r w:rsidRPr="00414820">
        <w:rPr>
          <w:sz w:val="24"/>
          <w:szCs w:val="24"/>
        </w:rPr>
        <w:t xml:space="preserve"> insufficiens (</w:t>
      </w:r>
      <w:proofErr w:type="spellStart"/>
      <w:r w:rsidRPr="00414820">
        <w:rPr>
          <w:sz w:val="24"/>
          <w:szCs w:val="24"/>
        </w:rPr>
        <w:t>kreatininclearance</w:t>
      </w:r>
      <w:proofErr w:type="spellEnd"/>
      <w:r w:rsidRPr="00414820">
        <w:rPr>
          <w:sz w:val="24"/>
          <w:szCs w:val="24"/>
        </w:rPr>
        <w:t xml:space="preserve"> &lt; 50 ml/min)</w:t>
      </w:r>
    </w:p>
    <w:p w:rsidR="00A02663" w:rsidRPr="00414820" w:rsidRDefault="00A02663" w:rsidP="00A02663">
      <w:pPr>
        <w:pStyle w:val="Listeafsnit"/>
        <w:numPr>
          <w:ilvl w:val="0"/>
          <w:numId w:val="7"/>
        </w:numPr>
        <w:tabs>
          <w:tab w:val="left" w:pos="851"/>
        </w:tabs>
        <w:ind w:left="1276" w:hanging="425"/>
        <w:rPr>
          <w:sz w:val="24"/>
          <w:szCs w:val="24"/>
        </w:rPr>
      </w:pPr>
      <w:r w:rsidRPr="00414820">
        <w:rPr>
          <w:sz w:val="24"/>
          <w:szCs w:val="24"/>
        </w:rPr>
        <w:t xml:space="preserve">Kendt </w:t>
      </w:r>
      <w:proofErr w:type="spellStart"/>
      <w:r w:rsidRPr="00414820">
        <w:rPr>
          <w:sz w:val="24"/>
          <w:szCs w:val="24"/>
        </w:rPr>
        <w:t>hyponatriæmi</w:t>
      </w:r>
      <w:proofErr w:type="spellEnd"/>
    </w:p>
    <w:p w:rsidR="00A02663" w:rsidRPr="00414820" w:rsidRDefault="00A02663" w:rsidP="00A02663">
      <w:pPr>
        <w:pStyle w:val="Listeafsnit"/>
        <w:numPr>
          <w:ilvl w:val="0"/>
          <w:numId w:val="7"/>
        </w:numPr>
        <w:tabs>
          <w:tab w:val="left" w:pos="851"/>
        </w:tabs>
        <w:ind w:left="1276" w:hanging="425"/>
        <w:rPr>
          <w:sz w:val="24"/>
          <w:szCs w:val="24"/>
        </w:rPr>
      </w:pPr>
      <w:r w:rsidRPr="00414820">
        <w:rPr>
          <w:sz w:val="24"/>
          <w:szCs w:val="24"/>
        </w:rPr>
        <w:lastRenderedPageBreak/>
        <w:t xml:space="preserve">SIADH - en tilstand med uhensigtsmæssig høj </w:t>
      </w:r>
      <w:proofErr w:type="gramStart"/>
      <w:r w:rsidRPr="00414820">
        <w:rPr>
          <w:sz w:val="24"/>
          <w:szCs w:val="24"/>
        </w:rPr>
        <w:t>ADH produktion</w:t>
      </w:r>
      <w:proofErr w:type="gramEnd"/>
      <w:r w:rsidRPr="00414820">
        <w:rPr>
          <w:sz w:val="24"/>
          <w:szCs w:val="24"/>
        </w:rPr>
        <w:t>.</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b/>
          <w:sz w:val="24"/>
          <w:szCs w:val="24"/>
        </w:rPr>
      </w:pPr>
      <w:r w:rsidRPr="00414820">
        <w:rPr>
          <w:b/>
          <w:sz w:val="24"/>
          <w:szCs w:val="24"/>
        </w:rPr>
        <w:t>4.4</w:t>
      </w:r>
      <w:r w:rsidRPr="00414820">
        <w:rPr>
          <w:b/>
          <w:sz w:val="24"/>
          <w:szCs w:val="24"/>
        </w:rPr>
        <w:tab/>
        <w:t>Særlige advarsler og forsigtighedsregler vedrørende brugen</w:t>
      </w:r>
    </w:p>
    <w:p w:rsidR="00A02663" w:rsidRPr="00414820" w:rsidRDefault="00A02663" w:rsidP="00A02663">
      <w:pPr>
        <w:tabs>
          <w:tab w:val="left" w:pos="851"/>
        </w:tabs>
        <w:ind w:left="851" w:hanging="851"/>
        <w:rPr>
          <w:sz w:val="24"/>
          <w:szCs w:val="24"/>
          <w:lang w:eastAsia="da-DK"/>
        </w:rPr>
      </w:pPr>
      <w:r>
        <w:rPr>
          <w:sz w:val="24"/>
          <w:szCs w:val="24"/>
        </w:rPr>
        <w:tab/>
      </w:r>
      <w:r w:rsidRPr="00414820">
        <w:rPr>
          <w:sz w:val="24"/>
          <w:szCs w:val="24"/>
        </w:rPr>
        <w:t xml:space="preserve">Patienter, især ældre, bør få foretaget en klinisk undersøgelse og konsultation, inden behandlingen med </w:t>
      </w:r>
      <w:proofErr w:type="spellStart"/>
      <w:r w:rsidRPr="00414820">
        <w:rPr>
          <w:sz w:val="24"/>
          <w:szCs w:val="24"/>
        </w:rPr>
        <w:t>Nocdurna</w:t>
      </w:r>
      <w:proofErr w:type="spellEnd"/>
      <w:r w:rsidRPr="00414820">
        <w:rPr>
          <w:sz w:val="24"/>
          <w:szCs w:val="24"/>
        </w:rPr>
        <w:t xml:space="preserve"> påbegyndes, da natlige </w:t>
      </w:r>
      <w:proofErr w:type="spellStart"/>
      <w:r w:rsidRPr="00414820">
        <w:rPr>
          <w:sz w:val="24"/>
          <w:szCs w:val="24"/>
        </w:rPr>
        <w:t>polyuri</w:t>
      </w:r>
      <w:proofErr w:type="spellEnd"/>
      <w:r w:rsidRPr="00414820">
        <w:rPr>
          <w:sz w:val="24"/>
          <w:szCs w:val="24"/>
        </w:rPr>
        <w:t xml:space="preserve"> kan være et symptom på </w:t>
      </w:r>
      <w:proofErr w:type="spellStart"/>
      <w:r w:rsidRPr="00414820">
        <w:rPr>
          <w:sz w:val="24"/>
          <w:szCs w:val="24"/>
        </w:rPr>
        <w:t>kardiovaskulære</w:t>
      </w:r>
      <w:proofErr w:type="spellEnd"/>
      <w:r w:rsidRPr="00414820">
        <w:rPr>
          <w:sz w:val="24"/>
          <w:szCs w:val="24"/>
        </w:rPr>
        <w:t xml:space="preserve"> eller andre medicinske tilstande, der er forbundet med væskeretention. Hvis der er mistanke om sådanne samtidige tilstande, anbefales behandlingen med </w:t>
      </w:r>
      <w:proofErr w:type="spellStart"/>
      <w:r w:rsidRPr="00414820">
        <w:rPr>
          <w:sz w:val="24"/>
          <w:szCs w:val="24"/>
        </w:rPr>
        <w:t>desmopressin</w:t>
      </w:r>
      <w:proofErr w:type="spellEnd"/>
      <w:r w:rsidRPr="00414820">
        <w:rPr>
          <w:sz w:val="24"/>
          <w:szCs w:val="24"/>
        </w:rPr>
        <w:t xml:space="preserve"> ikke (se også </w:t>
      </w:r>
      <w:r>
        <w:rPr>
          <w:sz w:val="24"/>
          <w:szCs w:val="24"/>
        </w:rPr>
        <w:t>pkt.</w:t>
      </w:r>
      <w:r w:rsidRPr="00414820">
        <w:rPr>
          <w:sz w:val="24"/>
          <w:szCs w:val="24"/>
        </w:rPr>
        <w:t xml:space="preserve"> 4.3).</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sz w:val="24"/>
          <w:szCs w:val="24"/>
        </w:rPr>
      </w:pPr>
      <w:r>
        <w:rPr>
          <w:sz w:val="24"/>
          <w:szCs w:val="24"/>
        </w:rPr>
        <w:tab/>
      </w:r>
      <w:r w:rsidRPr="00414820">
        <w:rPr>
          <w:sz w:val="24"/>
          <w:szCs w:val="24"/>
        </w:rPr>
        <w:t xml:space="preserve">Væskeindtaget skal begrænses til mindst muligt i perioden fra 1 time før til mindst 8 timer efter administration. Behandling uden samtidig begrænset væskeindtag kan føre til forlænget væskeretention og/eller </w:t>
      </w:r>
      <w:proofErr w:type="spellStart"/>
      <w:r w:rsidRPr="00414820">
        <w:rPr>
          <w:sz w:val="24"/>
          <w:szCs w:val="24"/>
        </w:rPr>
        <w:t>hyponatriæmi</w:t>
      </w:r>
      <w:proofErr w:type="spellEnd"/>
      <w:r w:rsidRPr="00414820">
        <w:rPr>
          <w:sz w:val="24"/>
          <w:szCs w:val="24"/>
        </w:rPr>
        <w:t xml:space="preserve"> med eller uden samtidige advarselstegn og symptomer (hovedpine, kvalme/opkastning, vægtøgning og i alvorlige tilfælde kramper).</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sz w:val="24"/>
          <w:szCs w:val="24"/>
        </w:rPr>
      </w:pPr>
      <w:r>
        <w:rPr>
          <w:sz w:val="24"/>
          <w:szCs w:val="24"/>
        </w:rPr>
        <w:tab/>
      </w:r>
      <w:r w:rsidRPr="00414820">
        <w:rPr>
          <w:sz w:val="24"/>
          <w:szCs w:val="24"/>
        </w:rPr>
        <w:t xml:space="preserve">Ældre patienter med serum natrium i den lave ende af normalområdet kan have en øget risiko for </w:t>
      </w:r>
      <w:proofErr w:type="spellStart"/>
      <w:r w:rsidRPr="00414820">
        <w:rPr>
          <w:sz w:val="24"/>
          <w:szCs w:val="24"/>
        </w:rPr>
        <w:t>hyponatriæmi</w:t>
      </w:r>
      <w:proofErr w:type="spellEnd"/>
      <w:r w:rsidRPr="00414820">
        <w:rPr>
          <w:sz w:val="24"/>
          <w:szCs w:val="24"/>
        </w:rPr>
        <w:t xml:space="preserve">. Patienter på 65 år og ældre skal monitoreres for deres serum natrium før initiering af behandlingen, i den første uge af behandlingen (4-8 dage) og igen en måned efter behandlingens start (se </w:t>
      </w:r>
      <w:r>
        <w:rPr>
          <w:sz w:val="24"/>
          <w:szCs w:val="24"/>
        </w:rPr>
        <w:t>pkt.</w:t>
      </w:r>
      <w:r w:rsidRPr="00414820">
        <w:rPr>
          <w:sz w:val="24"/>
          <w:szCs w:val="24"/>
        </w:rPr>
        <w:t xml:space="preserve"> 4.2).</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sz w:val="24"/>
          <w:szCs w:val="24"/>
        </w:rPr>
      </w:pPr>
      <w:r>
        <w:rPr>
          <w:sz w:val="24"/>
          <w:szCs w:val="24"/>
        </w:rPr>
        <w:tab/>
      </w:r>
      <w:r w:rsidRPr="00414820">
        <w:rPr>
          <w:sz w:val="24"/>
          <w:szCs w:val="24"/>
        </w:rPr>
        <w:t xml:space="preserve">Ved en dosis på 50 mikrogram kan kvinder have en øget risiko for </w:t>
      </w:r>
      <w:proofErr w:type="spellStart"/>
      <w:r w:rsidRPr="00414820">
        <w:rPr>
          <w:sz w:val="24"/>
          <w:szCs w:val="24"/>
        </w:rPr>
        <w:t>hyponatriæmi</w:t>
      </w:r>
      <w:proofErr w:type="spellEnd"/>
      <w:r w:rsidRPr="00414820">
        <w:rPr>
          <w:sz w:val="24"/>
          <w:szCs w:val="24"/>
        </w:rPr>
        <w:t xml:space="preserve"> sammenlignet med mænd (se </w:t>
      </w:r>
      <w:r>
        <w:rPr>
          <w:sz w:val="24"/>
          <w:szCs w:val="24"/>
        </w:rPr>
        <w:t>pkt.</w:t>
      </w:r>
      <w:r w:rsidRPr="00414820">
        <w:rPr>
          <w:sz w:val="24"/>
          <w:szCs w:val="24"/>
        </w:rPr>
        <w:t xml:space="preserve"> 5.1). Det er derfor vigtigt, at de kønsspecifikke dosisanbefalinger overholdes.</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sz w:val="24"/>
          <w:szCs w:val="24"/>
        </w:rPr>
      </w:pPr>
      <w:r>
        <w:rPr>
          <w:sz w:val="24"/>
          <w:szCs w:val="24"/>
        </w:rPr>
        <w:tab/>
      </w:r>
      <w:proofErr w:type="spellStart"/>
      <w:r w:rsidRPr="00414820">
        <w:rPr>
          <w:sz w:val="24"/>
          <w:szCs w:val="24"/>
        </w:rPr>
        <w:t>Nocdurna</w:t>
      </w:r>
      <w:proofErr w:type="spellEnd"/>
      <w:r w:rsidRPr="00414820">
        <w:rPr>
          <w:sz w:val="24"/>
          <w:szCs w:val="24"/>
        </w:rPr>
        <w:t xml:space="preserve"> bør seponeres, hvis serum natrium niveauet falder til under den nedre grænse af normalområdet.</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sz w:val="24"/>
          <w:szCs w:val="24"/>
        </w:rPr>
      </w:pPr>
      <w:r>
        <w:rPr>
          <w:sz w:val="24"/>
          <w:szCs w:val="24"/>
        </w:rPr>
        <w:tab/>
      </w:r>
      <w:proofErr w:type="spellStart"/>
      <w:r w:rsidRPr="00414820">
        <w:rPr>
          <w:sz w:val="24"/>
          <w:szCs w:val="24"/>
        </w:rPr>
        <w:t>Desmopressin</w:t>
      </w:r>
      <w:proofErr w:type="spellEnd"/>
      <w:r w:rsidRPr="00414820">
        <w:rPr>
          <w:sz w:val="24"/>
          <w:szCs w:val="24"/>
        </w:rPr>
        <w:t xml:space="preserve"> bør anvendes med forsigtighed til patienter med tilstande karakteriseret ved væske- og/eller elektrolyt-ubalance.</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sz w:val="24"/>
          <w:szCs w:val="24"/>
        </w:rPr>
      </w:pPr>
      <w:r>
        <w:rPr>
          <w:sz w:val="24"/>
          <w:szCs w:val="24"/>
        </w:rPr>
        <w:tab/>
      </w:r>
      <w:r w:rsidRPr="00414820">
        <w:rPr>
          <w:sz w:val="24"/>
          <w:szCs w:val="24"/>
        </w:rPr>
        <w:t xml:space="preserve">Ved akut opstået sygdom, karakteriseret ved væske- og/eller elektrolyt-ubalance bør behandling med </w:t>
      </w:r>
      <w:proofErr w:type="spellStart"/>
      <w:r w:rsidRPr="00414820">
        <w:rPr>
          <w:sz w:val="24"/>
          <w:szCs w:val="24"/>
        </w:rPr>
        <w:t>desmopressin</w:t>
      </w:r>
      <w:proofErr w:type="spellEnd"/>
      <w:r w:rsidRPr="00414820">
        <w:rPr>
          <w:sz w:val="24"/>
          <w:szCs w:val="24"/>
        </w:rPr>
        <w:t xml:space="preserve"> seponeres (f.eks. ved systemiske infektioner, feber eller </w:t>
      </w:r>
      <w:proofErr w:type="spellStart"/>
      <w:r w:rsidRPr="00414820">
        <w:rPr>
          <w:sz w:val="24"/>
          <w:szCs w:val="24"/>
        </w:rPr>
        <w:t>gastroenteritis</w:t>
      </w:r>
      <w:proofErr w:type="spellEnd"/>
      <w:r w:rsidRPr="00414820">
        <w:rPr>
          <w:sz w:val="24"/>
          <w:szCs w:val="24"/>
        </w:rPr>
        <w:t>).</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sz w:val="24"/>
          <w:szCs w:val="24"/>
        </w:rPr>
      </w:pPr>
      <w:r>
        <w:rPr>
          <w:sz w:val="24"/>
          <w:szCs w:val="24"/>
        </w:rPr>
        <w:tab/>
      </w:r>
      <w:r w:rsidRPr="00414820">
        <w:rPr>
          <w:sz w:val="24"/>
          <w:szCs w:val="24"/>
        </w:rPr>
        <w:t xml:space="preserve">Hvis der samtidig indtages lægemidler, der kan inducere SIADH, f.eks. tricykliske </w:t>
      </w:r>
      <w:proofErr w:type="spellStart"/>
      <w:r w:rsidRPr="00414820">
        <w:rPr>
          <w:sz w:val="24"/>
          <w:szCs w:val="24"/>
        </w:rPr>
        <w:t>antidepressiva</w:t>
      </w:r>
      <w:proofErr w:type="spellEnd"/>
      <w:r w:rsidRPr="00414820">
        <w:rPr>
          <w:sz w:val="24"/>
          <w:szCs w:val="24"/>
        </w:rPr>
        <w:t xml:space="preserve">, selektive </w:t>
      </w:r>
      <w:proofErr w:type="spellStart"/>
      <w:r w:rsidRPr="00414820">
        <w:rPr>
          <w:sz w:val="24"/>
          <w:szCs w:val="24"/>
        </w:rPr>
        <w:t>serotoningenoptagshæmmere</w:t>
      </w:r>
      <w:proofErr w:type="spellEnd"/>
      <w:r w:rsidRPr="00414820">
        <w:rPr>
          <w:sz w:val="24"/>
          <w:szCs w:val="24"/>
        </w:rPr>
        <w:t xml:space="preserve">, </w:t>
      </w:r>
      <w:proofErr w:type="spellStart"/>
      <w:r w:rsidRPr="00414820">
        <w:rPr>
          <w:sz w:val="24"/>
          <w:szCs w:val="24"/>
        </w:rPr>
        <w:t>chlorpromazin</w:t>
      </w:r>
      <w:proofErr w:type="spellEnd"/>
      <w:r w:rsidRPr="00414820">
        <w:rPr>
          <w:sz w:val="24"/>
          <w:szCs w:val="24"/>
        </w:rPr>
        <w:t xml:space="preserve">, </w:t>
      </w:r>
      <w:proofErr w:type="spellStart"/>
      <w:r w:rsidRPr="00414820">
        <w:rPr>
          <w:sz w:val="24"/>
          <w:szCs w:val="24"/>
        </w:rPr>
        <w:t>diuretika</w:t>
      </w:r>
      <w:proofErr w:type="spellEnd"/>
      <w:r w:rsidRPr="00414820">
        <w:rPr>
          <w:sz w:val="24"/>
          <w:szCs w:val="24"/>
        </w:rPr>
        <w:t xml:space="preserve">, </w:t>
      </w:r>
      <w:proofErr w:type="spellStart"/>
      <w:r w:rsidRPr="00414820">
        <w:rPr>
          <w:sz w:val="24"/>
          <w:szCs w:val="24"/>
        </w:rPr>
        <w:t>carbamazepin</w:t>
      </w:r>
      <w:proofErr w:type="spellEnd"/>
      <w:r w:rsidRPr="00414820">
        <w:rPr>
          <w:sz w:val="24"/>
          <w:szCs w:val="24"/>
        </w:rPr>
        <w:t xml:space="preserve"> og nogle </w:t>
      </w:r>
      <w:proofErr w:type="spellStart"/>
      <w:r w:rsidRPr="00414820">
        <w:rPr>
          <w:sz w:val="24"/>
          <w:szCs w:val="24"/>
        </w:rPr>
        <w:t>antidiabetika</w:t>
      </w:r>
      <w:proofErr w:type="spellEnd"/>
      <w:r w:rsidRPr="00414820">
        <w:rPr>
          <w:sz w:val="24"/>
          <w:szCs w:val="24"/>
        </w:rPr>
        <w:t xml:space="preserve"> af </w:t>
      </w:r>
      <w:proofErr w:type="spellStart"/>
      <w:r w:rsidRPr="00414820">
        <w:rPr>
          <w:sz w:val="24"/>
          <w:szCs w:val="24"/>
        </w:rPr>
        <w:t>sulfonylurea</w:t>
      </w:r>
      <w:proofErr w:type="spellEnd"/>
      <w:r w:rsidRPr="00414820">
        <w:rPr>
          <w:sz w:val="24"/>
          <w:szCs w:val="24"/>
        </w:rPr>
        <w:t xml:space="preserve">-gruppen, især </w:t>
      </w:r>
      <w:proofErr w:type="spellStart"/>
      <w:r w:rsidRPr="00414820">
        <w:rPr>
          <w:sz w:val="24"/>
          <w:szCs w:val="24"/>
        </w:rPr>
        <w:t>chlorpropamid</w:t>
      </w:r>
      <w:proofErr w:type="spellEnd"/>
      <w:r w:rsidRPr="00414820">
        <w:rPr>
          <w:sz w:val="24"/>
          <w:szCs w:val="24"/>
        </w:rPr>
        <w:t>, og i tilfælde af samtidig behandling med non-</w:t>
      </w:r>
      <w:proofErr w:type="spellStart"/>
      <w:r w:rsidRPr="00414820">
        <w:rPr>
          <w:sz w:val="24"/>
          <w:szCs w:val="24"/>
        </w:rPr>
        <w:t>steroide</w:t>
      </w:r>
      <w:proofErr w:type="spellEnd"/>
      <w:r w:rsidRPr="00414820">
        <w:rPr>
          <w:sz w:val="24"/>
          <w:szCs w:val="24"/>
        </w:rPr>
        <w:t xml:space="preserve"> anti-inflammatoriske lægemidler (NSAID), bør der tages forholdsregler for at undgå </w:t>
      </w:r>
      <w:proofErr w:type="spellStart"/>
      <w:r w:rsidRPr="00414820">
        <w:rPr>
          <w:sz w:val="24"/>
          <w:szCs w:val="24"/>
        </w:rPr>
        <w:t>hyponatriæmi</w:t>
      </w:r>
      <w:proofErr w:type="spellEnd"/>
      <w:r w:rsidRPr="00414820">
        <w:rPr>
          <w:sz w:val="24"/>
          <w:szCs w:val="24"/>
        </w:rPr>
        <w:t>. Det kan f.eks. være øget fokus på restriktioner af væskeindtag og hyppigere måling af serum natrium.</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sz w:val="24"/>
          <w:szCs w:val="24"/>
        </w:rPr>
      </w:pPr>
      <w:r>
        <w:rPr>
          <w:sz w:val="24"/>
          <w:szCs w:val="24"/>
        </w:rPr>
        <w:tab/>
      </w:r>
      <w:r w:rsidRPr="00414820">
        <w:rPr>
          <w:sz w:val="24"/>
          <w:szCs w:val="24"/>
        </w:rPr>
        <w:t xml:space="preserve">Desuden bør der udvises særlig forsigtighed hos patienter, der tager </w:t>
      </w:r>
      <w:proofErr w:type="spellStart"/>
      <w:r w:rsidRPr="00414820">
        <w:rPr>
          <w:sz w:val="24"/>
          <w:szCs w:val="24"/>
        </w:rPr>
        <w:t>thiazid</w:t>
      </w:r>
      <w:proofErr w:type="spellEnd"/>
      <w:r w:rsidRPr="00414820">
        <w:rPr>
          <w:sz w:val="24"/>
          <w:szCs w:val="24"/>
        </w:rPr>
        <w:t>- eller loop-</w:t>
      </w:r>
      <w:proofErr w:type="spellStart"/>
      <w:r w:rsidRPr="00414820">
        <w:rPr>
          <w:sz w:val="24"/>
          <w:szCs w:val="24"/>
        </w:rPr>
        <w:t>diuretika</w:t>
      </w:r>
      <w:proofErr w:type="spellEnd"/>
      <w:r w:rsidRPr="00414820">
        <w:rPr>
          <w:sz w:val="24"/>
          <w:szCs w:val="24"/>
        </w:rPr>
        <w:t xml:space="preserve"> for hypertension eller andre medicinske betingelser som ikke er forbundet med væskeophobning. Natrium monitorering hos disse patienter er påkrævet.</w:t>
      </w:r>
    </w:p>
    <w:p w:rsidR="00A02663" w:rsidRPr="00414820" w:rsidRDefault="00A02663" w:rsidP="00A02663">
      <w:pPr>
        <w:tabs>
          <w:tab w:val="left" w:pos="851"/>
        </w:tabs>
        <w:ind w:left="851" w:hanging="851"/>
        <w:rPr>
          <w:sz w:val="24"/>
          <w:szCs w:val="24"/>
        </w:rPr>
      </w:pPr>
      <w:r>
        <w:rPr>
          <w:sz w:val="24"/>
          <w:szCs w:val="24"/>
        </w:rPr>
        <w:tab/>
      </w:r>
      <w:r w:rsidRPr="00414820">
        <w:rPr>
          <w:sz w:val="24"/>
          <w:szCs w:val="24"/>
        </w:rPr>
        <w:t>Alvorlig dysfunktion af blære og afløbshindring bør overvejes før igangsættelse af behandling.</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sz w:val="24"/>
          <w:szCs w:val="24"/>
        </w:rPr>
      </w:pPr>
      <w:r>
        <w:rPr>
          <w:sz w:val="24"/>
          <w:szCs w:val="24"/>
        </w:rPr>
        <w:tab/>
      </w:r>
      <w:r w:rsidRPr="00414820">
        <w:rPr>
          <w:sz w:val="24"/>
          <w:szCs w:val="24"/>
        </w:rPr>
        <w:t>Forsigtighed påkræves i tilfælde af cystisk fibrose, hjertekarsygdom, hypertension, kronisk nyresygdom og svangerskabsforgiftning.</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sz w:val="24"/>
          <w:szCs w:val="24"/>
        </w:rPr>
      </w:pPr>
      <w:r>
        <w:rPr>
          <w:sz w:val="24"/>
          <w:szCs w:val="24"/>
        </w:rPr>
        <w:tab/>
      </w:r>
      <w:r w:rsidRPr="00414820">
        <w:rPr>
          <w:sz w:val="24"/>
          <w:szCs w:val="24"/>
        </w:rPr>
        <w:t xml:space="preserve">En diagnose af </w:t>
      </w:r>
      <w:proofErr w:type="spellStart"/>
      <w:r w:rsidRPr="00414820">
        <w:rPr>
          <w:sz w:val="24"/>
          <w:szCs w:val="24"/>
        </w:rPr>
        <w:t>nefrogen</w:t>
      </w:r>
      <w:proofErr w:type="spellEnd"/>
      <w:r w:rsidRPr="00414820">
        <w:rPr>
          <w:sz w:val="24"/>
          <w:szCs w:val="24"/>
        </w:rPr>
        <w:t xml:space="preserve"> diabetes </w:t>
      </w:r>
      <w:proofErr w:type="spellStart"/>
      <w:r w:rsidRPr="00414820">
        <w:rPr>
          <w:sz w:val="24"/>
          <w:szCs w:val="24"/>
        </w:rPr>
        <w:t>insipidus</w:t>
      </w:r>
      <w:proofErr w:type="spellEnd"/>
      <w:r w:rsidRPr="00414820">
        <w:rPr>
          <w:sz w:val="24"/>
          <w:szCs w:val="24"/>
        </w:rPr>
        <w:t xml:space="preserve"> - skal overvejes, hvis der ikke er nogen reduktion i den natlige urinproduktion efter påbegyndelse af </w:t>
      </w:r>
      <w:proofErr w:type="spellStart"/>
      <w:r w:rsidRPr="00414820">
        <w:rPr>
          <w:sz w:val="24"/>
          <w:szCs w:val="24"/>
        </w:rPr>
        <w:t>desmopressin</w:t>
      </w:r>
      <w:proofErr w:type="spellEnd"/>
      <w:r w:rsidRPr="00414820">
        <w:rPr>
          <w:sz w:val="24"/>
          <w:szCs w:val="24"/>
        </w:rPr>
        <w:t>.</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sz w:val="24"/>
          <w:szCs w:val="24"/>
        </w:rPr>
      </w:pPr>
      <w:r>
        <w:rPr>
          <w:sz w:val="24"/>
          <w:szCs w:val="24"/>
        </w:rPr>
        <w:tab/>
      </w:r>
      <w:r w:rsidRPr="00414820">
        <w:rPr>
          <w:sz w:val="24"/>
          <w:szCs w:val="24"/>
        </w:rPr>
        <w:t xml:space="preserve">Der bør udvises særlig forsigtighed hos patienter der tager </w:t>
      </w:r>
      <w:proofErr w:type="spellStart"/>
      <w:r w:rsidRPr="00414820">
        <w:rPr>
          <w:sz w:val="24"/>
          <w:szCs w:val="24"/>
        </w:rPr>
        <w:t>lithium</w:t>
      </w:r>
      <w:proofErr w:type="spellEnd"/>
      <w:r w:rsidRPr="00414820">
        <w:rPr>
          <w:sz w:val="24"/>
          <w:szCs w:val="24"/>
        </w:rPr>
        <w:t xml:space="preserve">, grundet risiko for maskering af den begyndende fase af </w:t>
      </w:r>
      <w:proofErr w:type="spellStart"/>
      <w:r w:rsidRPr="00414820">
        <w:rPr>
          <w:sz w:val="24"/>
          <w:szCs w:val="24"/>
        </w:rPr>
        <w:t>lithium</w:t>
      </w:r>
      <w:proofErr w:type="spellEnd"/>
      <w:r w:rsidRPr="00414820">
        <w:rPr>
          <w:sz w:val="24"/>
          <w:szCs w:val="24"/>
        </w:rPr>
        <w:t xml:space="preserve">-induceret </w:t>
      </w:r>
      <w:proofErr w:type="spellStart"/>
      <w:r w:rsidRPr="00414820">
        <w:rPr>
          <w:sz w:val="24"/>
          <w:szCs w:val="24"/>
        </w:rPr>
        <w:t>nefrogen</w:t>
      </w:r>
      <w:proofErr w:type="spellEnd"/>
      <w:r w:rsidRPr="00414820">
        <w:rPr>
          <w:sz w:val="24"/>
          <w:szCs w:val="24"/>
        </w:rPr>
        <w:t xml:space="preserve"> diabetes </w:t>
      </w:r>
      <w:proofErr w:type="spellStart"/>
      <w:r w:rsidRPr="00414820">
        <w:rPr>
          <w:sz w:val="24"/>
          <w:szCs w:val="24"/>
        </w:rPr>
        <w:t>insipidus</w:t>
      </w:r>
      <w:proofErr w:type="spellEnd"/>
      <w:r w:rsidRPr="00414820">
        <w:rPr>
          <w:sz w:val="24"/>
          <w:szCs w:val="24"/>
        </w:rPr>
        <w:t xml:space="preserve">, ved administration af </w:t>
      </w:r>
      <w:proofErr w:type="spellStart"/>
      <w:r w:rsidRPr="00414820">
        <w:rPr>
          <w:sz w:val="24"/>
          <w:szCs w:val="24"/>
        </w:rPr>
        <w:t>desmopressin</w:t>
      </w:r>
      <w:proofErr w:type="spellEnd"/>
      <w:r w:rsidRPr="00414820">
        <w:rPr>
          <w:sz w:val="24"/>
          <w:szCs w:val="24"/>
        </w:rPr>
        <w:t xml:space="preserve"> for indikationen </w:t>
      </w:r>
      <w:proofErr w:type="spellStart"/>
      <w:r w:rsidRPr="00414820">
        <w:rPr>
          <w:sz w:val="24"/>
          <w:szCs w:val="24"/>
        </w:rPr>
        <w:t>nykturi</w:t>
      </w:r>
      <w:proofErr w:type="spellEnd"/>
      <w:r w:rsidRPr="00414820">
        <w:rPr>
          <w:sz w:val="24"/>
          <w:szCs w:val="24"/>
        </w:rPr>
        <w:t xml:space="preserve">. </w:t>
      </w:r>
      <w:proofErr w:type="spellStart"/>
      <w:r w:rsidRPr="00414820">
        <w:rPr>
          <w:sz w:val="24"/>
          <w:szCs w:val="24"/>
        </w:rPr>
        <w:t>Desmopressin</w:t>
      </w:r>
      <w:proofErr w:type="spellEnd"/>
      <w:r w:rsidRPr="00414820">
        <w:rPr>
          <w:sz w:val="24"/>
          <w:szCs w:val="24"/>
        </w:rPr>
        <w:t xml:space="preserve"> anbefales ikke til patienter, der mistænkes for at have </w:t>
      </w:r>
      <w:proofErr w:type="spellStart"/>
      <w:r w:rsidRPr="00414820">
        <w:rPr>
          <w:sz w:val="24"/>
          <w:szCs w:val="24"/>
        </w:rPr>
        <w:t>lithium</w:t>
      </w:r>
      <w:proofErr w:type="spellEnd"/>
      <w:r w:rsidRPr="00414820">
        <w:rPr>
          <w:sz w:val="24"/>
          <w:szCs w:val="24"/>
        </w:rPr>
        <w:t xml:space="preserve">-induceret </w:t>
      </w:r>
      <w:proofErr w:type="spellStart"/>
      <w:r w:rsidRPr="00414820">
        <w:rPr>
          <w:sz w:val="24"/>
          <w:szCs w:val="24"/>
        </w:rPr>
        <w:t>nefrogen</w:t>
      </w:r>
      <w:proofErr w:type="spellEnd"/>
      <w:r w:rsidRPr="00414820">
        <w:rPr>
          <w:sz w:val="24"/>
          <w:szCs w:val="24"/>
        </w:rPr>
        <w:t xml:space="preserve"> diabetes </w:t>
      </w:r>
      <w:proofErr w:type="spellStart"/>
      <w:r w:rsidRPr="00414820">
        <w:rPr>
          <w:sz w:val="24"/>
          <w:szCs w:val="24"/>
        </w:rPr>
        <w:t>insipidus</w:t>
      </w:r>
      <w:proofErr w:type="spellEnd"/>
      <w:r w:rsidRPr="00414820">
        <w:rPr>
          <w:sz w:val="24"/>
          <w:szCs w:val="24"/>
        </w:rPr>
        <w:t>.</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b/>
          <w:sz w:val="24"/>
          <w:szCs w:val="24"/>
        </w:rPr>
      </w:pPr>
      <w:r w:rsidRPr="00414820">
        <w:rPr>
          <w:b/>
          <w:sz w:val="24"/>
          <w:szCs w:val="24"/>
        </w:rPr>
        <w:t>4.5</w:t>
      </w:r>
      <w:r w:rsidRPr="00414820">
        <w:rPr>
          <w:b/>
          <w:sz w:val="24"/>
          <w:szCs w:val="24"/>
        </w:rPr>
        <w:tab/>
        <w:t>Interaktion med andre lægemidler og andre former for interaktion</w:t>
      </w:r>
    </w:p>
    <w:p w:rsidR="00A02663" w:rsidRDefault="00A02663" w:rsidP="00A02663">
      <w:pPr>
        <w:tabs>
          <w:tab w:val="left" w:pos="851"/>
        </w:tabs>
        <w:ind w:left="851" w:hanging="851"/>
        <w:rPr>
          <w:sz w:val="24"/>
          <w:szCs w:val="24"/>
        </w:rPr>
      </w:pPr>
      <w:r w:rsidRPr="00414820">
        <w:rPr>
          <w:sz w:val="24"/>
          <w:szCs w:val="24"/>
        </w:rPr>
        <w:tab/>
      </w:r>
    </w:p>
    <w:p w:rsidR="00A02663" w:rsidRPr="00916452" w:rsidRDefault="00A02663" w:rsidP="00A02663">
      <w:pPr>
        <w:tabs>
          <w:tab w:val="left" w:pos="851"/>
        </w:tabs>
        <w:ind w:left="851" w:hanging="851"/>
        <w:rPr>
          <w:sz w:val="24"/>
          <w:szCs w:val="24"/>
          <w:u w:val="single"/>
          <w:lang w:eastAsia="da-DK"/>
        </w:rPr>
      </w:pPr>
      <w:r>
        <w:rPr>
          <w:sz w:val="24"/>
          <w:szCs w:val="24"/>
        </w:rPr>
        <w:tab/>
      </w:r>
      <w:proofErr w:type="spellStart"/>
      <w:r w:rsidRPr="00916452">
        <w:rPr>
          <w:sz w:val="24"/>
          <w:szCs w:val="24"/>
          <w:u w:val="single"/>
        </w:rPr>
        <w:t>Farmakodynamiske</w:t>
      </w:r>
      <w:proofErr w:type="spellEnd"/>
      <w:r w:rsidRPr="00916452">
        <w:rPr>
          <w:sz w:val="24"/>
          <w:szCs w:val="24"/>
          <w:u w:val="single"/>
        </w:rPr>
        <w:t xml:space="preserve"> interaktioner</w:t>
      </w:r>
    </w:p>
    <w:p w:rsidR="00A02663" w:rsidRPr="00414820" w:rsidRDefault="00A02663" w:rsidP="00A02663">
      <w:pPr>
        <w:tabs>
          <w:tab w:val="left" w:pos="851"/>
        </w:tabs>
        <w:ind w:left="851" w:hanging="851"/>
        <w:rPr>
          <w:sz w:val="24"/>
          <w:szCs w:val="24"/>
        </w:rPr>
      </w:pPr>
      <w:r>
        <w:rPr>
          <w:sz w:val="24"/>
          <w:szCs w:val="24"/>
        </w:rPr>
        <w:tab/>
      </w:r>
      <w:r w:rsidRPr="00414820">
        <w:rPr>
          <w:sz w:val="24"/>
          <w:szCs w:val="24"/>
        </w:rPr>
        <w:t>Lægemidler, der vides at inducere SIADH, kan øge risikoen for væskeretention/</w:t>
      </w:r>
      <w:proofErr w:type="spellStart"/>
      <w:r w:rsidRPr="00414820">
        <w:rPr>
          <w:sz w:val="24"/>
          <w:szCs w:val="24"/>
        </w:rPr>
        <w:t>hypo</w:t>
      </w:r>
      <w:r>
        <w:rPr>
          <w:sz w:val="24"/>
          <w:szCs w:val="24"/>
        </w:rPr>
        <w:softHyphen/>
      </w:r>
      <w:r w:rsidRPr="00414820">
        <w:rPr>
          <w:sz w:val="24"/>
          <w:szCs w:val="24"/>
        </w:rPr>
        <w:t>natriæmi</w:t>
      </w:r>
      <w:proofErr w:type="spellEnd"/>
      <w:r w:rsidRPr="00414820">
        <w:rPr>
          <w:sz w:val="24"/>
          <w:szCs w:val="24"/>
        </w:rPr>
        <w:t xml:space="preserve"> (</w:t>
      </w:r>
      <w:r>
        <w:rPr>
          <w:sz w:val="24"/>
          <w:szCs w:val="24"/>
        </w:rPr>
        <w:t>f.eks.</w:t>
      </w:r>
      <w:r w:rsidRPr="00414820">
        <w:rPr>
          <w:sz w:val="24"/>
          <w:szCs w:val="24"/>
        </w:rPr>
        <w:t xml:space="preserve"> tricykliske </w:t>
      </w:r>
      <w:proofErr w:type="spellStart"/>
      <w:r w:rsidRPr="00414820">
        <w:rPr>
          <w:sz w:val="24"/>
          <w:szCs w:val="24"/>
        </w:rPr>
        <w:t>antidepressiva</w:t>
      </w:r>
      <w:proofErr w:type="spellEnd"/>
      <w:r w:rsidRPr="00414820">
        <w:rPr>
          <w:sz w:val="24"/>
          <w:szCs w:val="24"/>
        </w:rPr>
        <w:t xml:space="preserve">, selektive </w:t>
      </w:r>
      <w:proofErr w:type="spellStart"/>
      <w:r w:rsidRPr="00414820">
        <w:rPr>
          <w:sz w:val="24"/>
          <w:szCs w:val="24"/>
        </w:rPr>
        <w:t>serotoningenoptagshæmmere</w:t>
      </w:r>
      <w:proofErr w:type="spellEnd"/>
      <w:r w:rsidRPr="00414820">
        <w:rPr>
          <w:sz w:val="24"/>
          <w:szCs w:val="24"/>
        </w:rPr>
        <w:t xml:space="preserve">, </w:t>
      </w:r>
      <w:proofErr w:type="spellStart"/>
      <w:r w:rsidRPr="00414820">
        <w:rPr>
          <w:sz w:val="24"/>
          <w:szCs w:val="24"/>
        </w:rPr>
        <w:t>chlorpromazin</w:t>
      </w:r>
      <w:proofErr w:type="spellEnd"/>
      <w:r w:rsidRPr="00414820">
        <w:rPr>
          <w:sz w:val="24"/>
          <w:szCs w:val="24"/>
        </w:rPr>
        <w:t xml:space="preserve">, </w:t>
      </w:r>
      <w:proofErr w:type="spellStart"/>
      <w:r w:rsidRPr="00414820">
        <w:rPr>
          <w:sz w:val="24"/>
          <w:szCs w:val="24"/>
        </w:rPr>
        <w:t>diuretika</w:t>
      </w:r>
      <w:proofErr w:type="spellEnd"/>
      <w:r w:rsidRPr="00414820">
        <w:rPr>
          <w:sz w:val="24"/>
          <w:szCs w:val="24"/>
        </w:rPr>
        <w:t xml:space="preserve"> og </w:t>
      </w:r>
      <w:proofErr w:type="spellStart"/>
      <w:r w:rsidRPr="00414820">
        <w:rPr>
          <w:sz w:val="24"/>
          <w:szCs w:val="24"/>
        </w:rPr>
        <w:t>carbamazepin</w:t>
      </w:r>
      <w:proofErr w:type="spellEnd"/>
      <w:r w:rsidRPr="00414820">
        <w:rPr>
          <w:sz w:val="24"/>
          <w:szCs w:val="24"/>
        </w:rPr>
        <w:t xml:space="preserve">, samt visse former for diabetesmedicin i </w:t>
      </w:r>
      <w:proofErr w:type="spellStart"/>
      <w:r w:rsidRPr="00414820">
        <w:rPr>
          <w:sz w:val="24"/>
          <w:szCs w:val="24"/>
        </w:rPr>
        <w:t>sulfonyluringruppen</w:t>
      </w:r>
      <w:proofErr w:type="spellEnd"/>
      <w:r w:rsidRPr="00414820">
        <w:rPr>
          <w:sz w:val="24"/>
          <w:szCs w:val="24"/>
        </w:rPr>
        <w:t xml:space="preserve">, især </w:t>
      </w:r>
      <w:proofErr w:type="spellStart"/>
      <w:r w:rsidRPr="00414820">
        <w:rPr>
          <w:sz w:val="24"/>
          <w:szCs w:val="24"/>
        </w:rPr>
        <w:t>chlorpropamid</w:t>
      </w:r>
      <w:proofErr w:type="spellEnd"/>
      <w:r w:rsidRPr="00414820">
        <w:rPr>
          <w:sz w:val="24"/>
          <w:szCs w:val="24"/>
        </w:rPr>
        <w:t>) (se pkt. 4.4).</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sz w:val="24"/>
          <w:szCs w:val="24"/>
        </w:rPr>
      </w:pPr>
      <w:r>
        <w:rPr>
          <w:sz w:val="24"/>
          <w:szCs w:val="24"/>
        </w:rPr>
        <w:tab/>
      </w:r>
      <w:proofErr w:type="spellStart"/>
      <w:r w:rsidRPr="00414820">
        <w:rPr>
          <w:sz w:val="24"/>
          <w:szCs w:val="24"/>
        </w:rPr>
        <w:t>NSAID’er</w:t>
      </w:r>
      <w:proofErr w:type="spellEnd"/>
      <w:r w:rsidRPr="00414820">
        <w:rPr>
          <w:sz w:val="24"/>
          <w:szCs w:val="24"/>
        </w:rPr>
        <w:t xml:space="preserve"> og </w:t>
      </w:r>
      <w:proofErr w:type="spellStart"/>
      <w:r w:rsidRPr="00414820">
        <w:rPr>
          <w:sz w:val="24"/>
          <w:szCs w:val="24"/>
        </w:rPr>
        <w:t>oxytocin</w:t>
      </w:r>
      <w:proofErr w:type="spellEnd"/>
      <w:r w:rsidRPr="00414820">
        <w:rPr>
          <w:sz w:val="24"/>
          <w:szCs w:val="24"/>
        </w:rPr>
        <w:t xml:space="preserve"> kan give en additiv antidiuretisk effekt af </w:t>
      </w:r>
      <w:proofErr w:type="spellStart"/>
      <w:r w:rsidRPr="00414820">
        <w:rPr>
          <w:sz w:val="24"/>
          <w:szCs w:val="24"/>
        </w:rPr>
        <w:t>desmopressin</w:t>
      </w:r>
      <w:proofErr w:type="spellEnd"/>
      <w:r w:rsidRPr="00414820">
        <w:rPr>
          <w:sz w:val="24"/>
          <w:szCs w:val="24"/>
        </w:rPr>
        <w:t xml:space="preserve"> og derved inducere væskeretention/</w:t>
      </w:r>
      <w:proofErr w:type="spellStart"/>
      <w:r w:rsidRPr="00414820">
        <w:rPr>
          <w:sz w:val="24"/>
          <w:szCs w:val="24"/>
        </w:rPr>
        <w:t>hyponatriæmi</w:t>
      </w:r>
      <w:proofErr w:type="spellEnd"/>
      <w:r w:rsidRPr="00414820">
        <w:rPr>
          <w:sz w:val="24"/>
          <w:szCs w:val="24"/>
        </w:rPr>
        <w:t xml:space="preserve"> (se pkt. 4.4).</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sz w:val="24"/>
          <w:szCs w:val="24"/>
        </w:rPr>
      </w:pPr>
      <w:r>
        <w:rPr>
          <w:sz w:val="24"/>
          <w:szCs w:val="24"/>
        </w:rPr>
        <w:tab/>
      </w:r>
      <w:proofErr w:type="spellStart"/>
      <w:r w:rsidRPr="00414820">
        <w:rPr>
          <w:sz w:val="24"/>
          <w:szCs w:val="24"/>
        </w:rPr>
        <w:t>Lithium</w:t>
      </w:r>
      <w:proofErr w:type="spellEnd"/>
      <w:r w:rsidRPr="00414820">
        <w:rPr>
          <w:sz w:val="24"/>
          <w:szCs w:val="24"/>
        </w:rPr>
        <w:t xml:space="preserve"> kan mindske den antidiuretiske effekt.</w:t>
      </w:r>
    </w:p>
    <w:p w:rsidR="00A02663" w:rsidRPr="00414820" w:rsidRDefault="00A02663" w:rsidP="00A02663">
      <w:pPr>
        <w:tabs>
          <w:tab w:val="left" w:pos="851"/>
        </w:tabs>
        <w:ind w:left="851" w:hanging="851"/>
        <w:rPr>
          <w:sz w:val="24"/>
          <w:szCs w:val="24"/>
        </w:rPr>
      </w:pPr>
    </w:p>
    <w:p w:rsidR="00A02663" w:rsidRPr="00916452" w:rsidRDefault="00A02663" w:rsidP="00A02663">
      <w:pPr>
        <w:tabs>
          <w:tab w:val="left" w:pos="851"/>
        </w:tabs>
        <w:ind w:left="851" w:hanging="851"/>
        <w:rPr>
          <w:sz w:val="24"/>
          <w:szCs w:val="24"/>
          <w:u w:val="single"/>
        </w:rPr>
      </w:pPr>
      <w:r w:rsidRPr="00414820">
        <w:rPr>
          <w:sz w:val="24"/>
          <w:szCs w:val="24"/>
        </w:rPr>
        <w:tab/>
      </w:r>
      <w:proofErr w:type="spellStart"/>
      <w:r w:rsidRPr="00916452">
        <w:rPr>
          <w:sz w:val="24"/>
          <w:szCs w:val="24"/>
          <w:u w:val="single"/>
        </w:rPr>
        <w:t>Farmakokinetiske</w:t>
      </w:r>
      <w:proofErr w:type="spellEnd"/>
      <w:r w:rsidRPr="00916452">
        <w:rPr>
          <w:sz w:val="24"/>
          <w:szCs w:val="24"/>
          <w:u w:val="single"/>
        </w:rPr>
        <w:t xml:space="preserve"> interaktioner</w:t>
      </w:r>
    </w:p>
    <w:p w:rsidR="00A02663" w:rsidRPr="00414820" w:rsidRDefault="00A02663" w:rsidP="00A02663">
      <w:pPr>
        <w:tabs>
          <w:tab w:val="left" w:pos="851"/>
        </w:tabs>
        <w:ind w:left="851" w:hanging="851"/>
        <w:rPr>
          <w:sz w:val="24"/>
          <w:szCs w:val="24"/>
        </w:rPr>
      </w:pPr>
      <w:r>
        <w:rPr>
          <w:sz w:val="24"/>
          <w:szCs w:val="24"/>
        </w:rPr>
        <w:tab/>
      </w:r>
      <w:r w:rsidRPr="00414820">
        <w:rPr>
          <w:sz w:val="24"/>
          <w:szCs w:val="24"/>
        </w:rPr>
        <w:t xml:space="preserve">Samtidig behandling med </w:t>
      </w:r>
      <w:proofErr w:type="spellStart"/>
      <w:r w:rsidRPr="00414820">
        <w:rPr>
          <w:sz w:val="24"/>
          <w:szCs w:val="24"/>
        </w:rPr>
        <w:t>loperamid</w:t>
      </w:r>
      <w:proofErr w:type="spellEnd"/>
      <w:r w:rsidRPr="00414820">
        <w:rPr>
          <w:sz w:val="24"/>
          <w:szCs w:val="24"/>
        </w:rPr>
        <w:t xml:space="preserve"> kan føre til en </w:t>
      </w:r>
      <w:proofErr w:type="spellStart"/>
      <w:r w:rsidRPr="00414820">
        <w:rPr>
          <w:sz w:val="24"/>
          <w:szCs w:val="24"/>
        </w:rPr>
        <w:t>tre-dobling</w:t>
      </w:r>
      <w:proofErr w:type="spellEnd"/>
      <w:r w:rsidRPr="00414820">
        <w:rPr>
          <w:sz w:val="24"/>
          <w:szCs w:val="24"/>
        </w:rPr>
        <w:t xml:space="preserve"> af plasmakoncentrationen af </w:t>
      </w:r>
      <w:proofErr w:type="spellStart"/>
      <w:r w:rsidRPr="00414820">
        <w:rPr>
          <w:sz w:val="24"/>
          <w:szCs w:val="24"/>
        </w:rPr>
        <w:t>desmopressin</w:t>
      </w:r>
      <w:proofErr w:type="spellEnd"/>
      <w:r w:rsidRPr="00414820">
        <w:rPr>
          <w:sz w:val="24"/>
          <w:szCs w:val="24"/>
        </w:rPr>
        <w:t>, hvilket kan føre til en øget risiko for væskeretention/</w:t>
      </w:r>
      <w:proofErr w:type="spellStart"/>
      <w:r w:rsidRPr="00414820">
        <w:rPr>
          <w:sz w:val="24"/>
          <w:szCs w:val="24"/>
        </w:rPr>
        <w:t>hyponatriæmi</w:t>
      </w:r>
      <w:proofErr w:type="spellEnd"/>
      <w:r w:rsidRPr="00414820">
        <w:rPr>
          <w:sz w:val="24"/>
          <w:szCs w:val="24"/>
        </w:rPr>
        <w:t>. Andre lægemidler, der forsinker tarmpassagen, kan have samme effekt. Dette er dog ikke undersøgt.</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sz w:val="24"/>
          <w:szCs w:val="24"/>
        </w:rPr>
      </w:pPr>
      <w:r>
        <w:rPr>
          <w:sz w:val="24"/>
          <w:szCs w:val="24"/>
        </w:rPr>
        <w:tab/>
      </w:r>
      <w:r w:rsidRPr="00414820">
        <w:rPr>
          <w:sz w:val="24"/>
          <w:szCs w:val="24"/>
        </w:rPr>
        <w:t xml:space="preserve">Et standardiseret måltid med 27 % fedt, nedsatte absorptionen signifikant (hastighed og mængde) af oralt administreret </w:t>
      </w:r>
      <w:proofErr w:type="spellStart"/>
      <w:r w:rsidRPr="00414820">
        <w:rPr>
          <w:sz w:val="24"/>
          <w:szCs w:val="24"/>
        </w:rPr>
        <w:t>desmopressin</w:t>
      </w:r>
      <w:proofErr w:type="spellEnd"/>
      <w:r w:rsidRPr="00414820">
        <w:rPr>
          <w:sz w:val="24"/>
          <w:szCs w:val="24"/>
        </w:rPr>
        <w:t xml:space="preserve">. Der blev ikke observeret signifikant påvirkning af </w:t>
      </w:r>
      <w:proofErr w:type="spellStart"/>
      <w:r w:rsidRPr="00414820">
        <w:rPr>
          <w:sz w:val="24"/>
          <w:szCs w:val="24"/>
        </w:rPr>
        <w:t>farmakodynamik</w:t>
      </w:r>
      <w:proofErr w:type="spellEnd"/>
      <w:r w:rsidRPr="00414820">
        <w:rPr>
          <w:sz w:val="24"/>
          <w:szCs w:val="24"/>
        </w:rPr>
        <w:t xml:space="preserve"> (urinproduktion eller </w:t>
      </w:r>
      <w:proofErr w:type="spellStart"/>
      <w:r w:rsidRPr="00414820">
        <w:rPr>
          <w:sz w:val="24"/>
          <w:szCs w:val="24"/>
        </w:rPr>
        <w:t>osmolalitet</w:t>
      </w:r>
      <w:proofErr w:type="spellEnd"/>
      <w:r w:rsidRPr="00414820">
        <w:rPr>
          <w:sz w:val="24"/>
          <w:szCs w:val="24"/>
        </w:rPr>
        <w:t>).</w:t>
      </w:r>
    </w:p>
    <w:p w:rsidR="00A02663" w:rsidRPr="00414820" w:rsidRDefault="00A02663" w:rsidP="00A02663">
      <w:pPr>
        <w:tabs>
          <w:tab w:val="left" w:pos="851"/>
        </w:tabs>
        <w:ind w:left="851" w:hanging="851"/>
        <w:rPr>
          <w:sz w:val="24"/>
          <w:szCs w:val="24"/>
        </w:rPr>
      </w:pPr>
      <w:r>
        <w:rPr>
          <w:sz w:val="24"/>
          <w:szCs w:val="24"/>
        </w:rPr>
        <w:tab/>
      </w:r>
      <w:r w:rsidRPr="00414820">
        <w:rPr>
          <w:sz w:val="24"/>
          <w:szCs w:val="24"/>
        </w:rPr>
        <w:t xml:space="preserve">Ved lave doser kan indtagelse af mad reducere styrken og varigheden af den antidiuretiske effekt af oralt administreret </w:t>
      </w:r>
      <w:proofErr w:type="spellStart"/>
      <w:r w:rsidRPr="00414820">
        <w:rPr>
          <w:sz w:val="24"/>
          <w:szCs w:val="24"/>
        </w:rPr>
        <w:t>desmopressin</w:t>
      </w:r>
      <w:proofErr w:type="spellEnd"/>
      <w:r w:rsidRPr="00414820">
        <w:rPr>
          <w:sz w:val="24"/>
          <w:szCs w:val="24"/>
        </w:rPr>
        <w:t>.</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b/>
          <w:sz w:val="24"/>
          <w:szCs w:val="24"/>
        </w:rPr>
      </w:pPr>
      <w:r w:rsidRPr="00414820">
        <w:rPr>
          <w:b/>
          <w:sz w:val="24"/>
          <w:szCs w:val="24"/>
        </w:rPr>
        <w:t>4.6</w:t>
      </w:r>
      <w:r w:rsidRPr="00414820">
        <w:rPr>
          <w:b/>
          <w:sz w:val="24"/>
          <w:szCs w:val="24"/>
        </w:rPr>
        <w:tab/>
        <w:t>Graviditet og amning</w:t>
      </w:r>
    </w:p>
    <w:p w:rsidR="00A02663" w:rsidRDefault="00A02663" w:rsidP="00A02663">
      <w:pPr>
        <w:tabs>
          <w:tab w:val="left" w:pos="851"/>
        </w:tabs>
        <w:ind w:left="851" w:hanging="851"/>
        <w:rPr>
          <w:sz w:val="24"/>
          <w:szCs w:val="24"/>
          <w:u w:val="single"/>
        </w:rPr>
      </w:pPr>
    </w:p>
    <w:p w:rsidR="00A02663" w:rsidRPr="00414820" w:rsidRDefault="00A02663" w:rsidP="00A02663">
      <w:pPr>
        <w:tabs>
          <w:tab w:val="left" w:pos="851"/>
        </w:tabs>
        <w:ind w:left="851"/>
        <w:rPr>
          <w:sz w:val="24"/>
          <w:szCs w:val="24"/>
          <w:u w:val="single"/>
        </w:rPr>
      </w:pPr>
      <w:r w:rsidRPr="00414820">
        <w:rPr>
          <w:sz w:val="24"/>
          <w:szCs w:val="24"/>
          <w:u w:val="single"/>
        </w:rPr>
        <w:t>Fertilitet</w:t>
      </w:r>
    </w:p>
    <w:p w:rsidR="00A02663" w:rsidRPr="00414820" w:rsidRDefault="00A02663" w:rsidP="00A02663">
      <w:pPr>
        <w:tabs>
          <w:tab w:val="left" w:pos="851"/>
        </w:tabs>
        <w:ind w:left="851" w:hanging="851"/>
        <w:rPr>
          <w:sz w:val="24"/>
          <w:szCs w:val="24"/>
        </w:rPr>
      </w:pPr>
      <w:r>
        <w:rPr>
          <w:sz w:val="24"/>
          <w:szCs w:val="24"/>
        </w:rPr>
        <w:tab/>
      </w:r>
      <w:r w:rsidRPr="00414820">
        <w:rPr>
          <w:sz w:val="24"/>
          <w:szCs w:val="24"/>
        </w:rPr>
        <w:t xml:space="preserve">Studier med </w:t>
      </w:r>
      <w:proofErr w:type="spellStart"/>
      <w:r w:rsidRPr="00414820">
        <w:rPr>
          <w:sz w:val="24"/>
          <w:szCs w:val="24"/>
        </w:rPr>
        <w:t>desmopressin</w:t>
      </w:r>
      <w:proofErr w:type="spellEnd"/>
      <w:r w:rsidRPr="00414820">
        <w:rPr>
          <w:sz w:val="24"/>
          <w:szCs w:val="24"/>
        </w:rPr>
        <w:t xml:space="preserve"> i dyr har ikke vist nogen forringelse af fertiliteten hos han- og hunrotter.</w:t>
      </w:r>
    </w:p>
    <w:p w:rsidR="00A02663" w:rsidRDefault="00A02663" w:rsidP="00A02663">
      <w:pPr>
        <w:tabs>
          <w:tab w:val="left" w:pos="851"/>
        </w:tabs>
        <w:ind w:left="851" w:hanging="851"/>
        <w:rPr>
          <w:sz w:val="24"/>
          <w:szCs w:val="24"/>
          <w:u w:val="single"/>
        </w:rPr>
      </w:pPr>
    </w:p>
    <w:p w:rsidR="00A02663" w:rsidRPr="00414820" w:rsidRDefault="00A02663" w:rsidP="00A02663">
      <w:pPr>
        <w:tabs>
          <w:tab w:val="left" w:pos="851"/>
        </w:tabs>
        <w:ind w:left="851" w:hanging="851"/>
        <w:rPr>
          <w:sz w:val="24"/>
          <w:szCs w:val="24"/>
          <w:u w:val="single"/>
          <w:lang w:eastAsia="da-DK"/>
        </w:rPr>
      </w:pPr>
      <w:r w:rsidRPr="00916452">
        <w:rPr>
          <w:sz w:val="24"/>
          <w:szCs w:val="24"/>
        </w:rPr>
        <w:tab/>
      </w:r>
      <w:r w:rsidRPr="00414820">
        <w:rPr>
          <w:sz w:val="24"/>
          <w:szCs w:val="24"/>
          <w:u w:val="single"/>
        </w:rPr>
        <w:t>Graviditet</w:t>
      </w:r>
    </w:p>
    <w:p w:rsidR="00A02663" w:rsidRPr="00414820" w:rsidRDefault="00A02663" w:rsidP="00A02663">
      <w:pPr>
        <w:tabs>
          <w:tab w:val="left" w:pos="851"/>
        </w:tabs>
        <w:ind w:left="851" w:hanging="851"/>
        <w:rPr>
          <w:sz w:val="24"/>
          <w:szCs w:val="24"/>
        </w:rPr>
      </w:pPr>
      <w:r>
        <w:rPr>
          <w:sz w:val="24"/>
          <w:szCs w:val="24"/>
        </w:rPr>
        <w:tab/>
      </w:r>
      <w:r w:rsidRPr="00414820">
        <w:rPr>
          <w:sz w:val="24"/>
          <w:szCs w:val="24"/>
        </w:rPr>
        <w:t>Der bør udvises forsigtighed ved ordination til gravide kvinder.</w:t>
      </w:r>
    </w:p>
    <w:p w:rsidR="00A02663" w:rsidRPr="00414820" w:rsidRDefault="00A02663" w:rsidP="00A02663">
      <w:pPr>
        <w:tabs>
          <w:tab w:val="left" w:pos="851"/>
        </w:tabs>
        <w:ind w:left="851" w:hanging="851"/>
        <w:rPr>
          <w:sz w:val="24"/>
          <w:szCs w:val="24"/>
        </w:rPr>
      </w:pPr>
      <w:r>
        <w:rPr>
          <w:sz w:val="24"/>
          <w:szCs w:val="24"/>
        </w:rPr>
        <w:tab/>
      </w:r>
      <w:r w:rsidRPr="00414820">
        <w:rPr>
          <w:sz w:val="24"/>
          <w:szCs w:val="24"/>
        </w:rPr>
        <w:t xml:space="preserve">Data fra begrænset antal (n = 53) eksponerede graviditeter hos kvinder med diabetes </w:t>
      </w:r>
      <w:proofErr w:type="spellStart"/>
      <w:r w:rsidRPr="00414820">
        <w:rPr>
          <w:sz w:val="24"/>
          <w:szCs w:val="24"/>
        </w:rPr>
        <w:t>insipidus</w:t>
      </w:r>
      <w:proofErr w:type="spellEnd"/>
      <w:r w:rsidRPr="00414820">
        <w:rPr>
          <w:sz w:val="24"/>
          <w:szCs w:val="24"/>
        </w:rPr>
        <w:t xml:space="preserve"> samt fra begrænset antal eksponerede graviditeter hos kvinder med blødningsforstyrrelser (n=216), viser ingen bivirkninger fra </w:t>
      </w:r>
      <w:proofErr w:type="spellStart"/>
      <w:r w:rsidRPr="00414820">
        <w:rPr>
          <w:sz w:val="24"/>
          <w:szCs w:val="24"/>
        </w:rPr>
        <w:t>desmopressin</w:t>
      </w:r>
      <w:proofErr w:type="spellEnd"/>
      <w:r w:rsidRPr="00414820">
        <w:rPr>
          <w:sz w:val="24"/>
          <w:szCs w:val="24"/>
        </w:rPr>
        <w:t xml:space="preserve"> på graviditeten eller fostrets/det nyfødte barns helbred. Til dato er ingen yderligere relevante epidemiologiske data tilgængelige. Studier udført på dyr viser ingen direkte eller indirekte skadelige virkninger på graviditet, fosterdannelse og – udvikling, fødsel eller </w:t>
      </w:r>
      <w:proofErr w:type="spellStart"/>
      <w:r w:rsidRPr="00414820">
        <w:rPr>
          <w:sz w:val="24"/>
          <w:szCs w:val="24"/>
        </w:rPr>
        <w:t>postnatal</w:t>
      </w:r>
      <w:proofErr w:type="spellEnd"/>
      <w:r w:rsidRPr="00414820">
        <w:rPr>
          <w:sz w:val="24"/>
          <w:szCs w:val="24"/>
        </w:rPr>
        <w:t xml:space="preserve"> udvikling.</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sz w:val="24"/>
          <w:szCs w:val="24"/>
        </w:rPr>
      </w:pPr>
      <w:r>
        <w:rPr>
          <w:sz w:val="24"/>
          <w:szCs w:val="24"/>
        </w:rPr>
        <w:tab/>
      </w:r>
      <w:r w:rsidRPr="00414820">
        <w:rPr>
          <w:sz w:val="24"/>
          <w:szCs w:val="24"/>
        </w:rPr>
        <w:t xml:space="preserve">Reproduktionsstudier i dyr har ikke vist nogen klinisk relevant effekt på forældre og afkom. In </w:t>
      </w:r>
      <w:proofErr w:type="spellStart"/>
      <w:r w:rsidRPr="00414820">
        <w:rPr>
          <w:sz w:val="24"/>
          <w:szCs w:val="24"/>
        </w:rPr>
        <w:t>vitro</w:t>
      </w:r>
      <w:proofErr w:type="spellEnd"/>
      <w:r w:rsidRPr="00414820">
        <w:rPr>
          <w:sz w:val="24"/>
          <w:szCs w:val="24"/>
        </w:rPr>
        <w:t xml:space="preserve"> analyser af humane </w:t>
      </w:r>
      <w:proofErr w:type="spellStart"/>
      <w:r w:rsidRPr="00414820">
        <w:rPr>
          <w:sz w:val="24"/>
          <w:szCs w:val="24"/>
        </w:rPr>
        <w:t>cotyledonmodeller</w:t>
      </w:r>
      <w:proofErr w:type="spellEnd"/>
      <w:r w:rsidRPr="00414820">
        <w:rPr>
          <w:sz w:val="24"/>
          <w:szCs w:val="24"/>
        </w:rPr>
        <w:t xml:space="preserve"> har vist, at der ikke sker </w:t>
      </w:r>
      <w:proofErr w:type="spellStart"/>
      <w:r w:rsidRPr="00414820">
        <w:rPr>
          <w:sz w:val="24"/>
          <w:szCs w:val="24"/>
        </w:rPr>
        <w:t>transplacental</w:t>
      </w:r>
      <w:proofErr w:type="spellEnd"/>
      <w:r w:rsidRPr="00414820">
        <w:rPr>
          <w:sz w:val="24"/>
          <w:szCs w:val="24"/>
        </w:rPr>
        <w:t xml:space="preserve"> transport af </w:t>
      </w:r>
      <w:proofErr w:type="spellStart"/>
      <w:r w:rsidRPr="00414820">
        <w:rPr>
          <w:sz w:val="24"/>
          <w:szCs w:val="24"/>
        </w:rPr>
        <w:t>desmopressin</w:t>
      </w:r>
      <w:proofErr w:type="spellEnd"/>
      <w:r w:rsidRPr="00414820">
        <w:rPr>
          <w:sz w:val="24"/>
          <w:szCs w:val="24"/>
        </w:rPr>
        <w:t>, når det gives i terapeutiske koncentration, der svarer til den rekommanderede dosis.</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sz w:val="24"/>
          <w:szCs w:val="24"/>
          <w:u w:val="single"/>
        </w:rPr>
      </w:pPr>
      <w:r w:rsidRPr="00916452">
        <w:rPr>
          <w:sz w:val="24"/>
          <w:szCs w:val="24"/>
        </w:rPr>
        <w:tab/>
      </w:r>
      <w:r w:rsidRPr="00414820">
        <w:rPr>
          <w:sz w:val="24"/>
          <w:szCs w:val="24"/>
          <w:u w:val="single"/>
        </w:rPr>
        <w:t>Amning</w:t>
      </w:r>
    </w:p>
    <w:p w:rsidR="00A02663" w:rsidRPr="00414820" w:rsidRDefault="00A02663" w:rsidP="00A02663">
      <w:pPr>
        <w:tabs>
          <w:tab w:val="left" w:pos="851"/>
        </w:tabs>
        <w:ind w:left="851" w:hanging="851"/>
        <w:rPr>
          <w:sz w:val="24"/>
          <w:szCs w:val="24"/>
        </w:rPr>
      </w:pPr>
      <w:r>
        <w:rPr>
          <w:sz w:val="24"/>
          <w:szCs w:val="24"/>
        </w:rPr>
        <w:tab/>
      </w:r>
      <w:r w:rsidRPr="00414820">
        <w:rPr>
          <w:sz w:val="24"/>
          <w:szCs w:val="24"/>
        </w:rPr>
        <w:t xml:space="preserve">Resultater fra analyser udført på mælk fra ammende mødre behandlet med høj dosis </w:t>
      </w:r>
      <w:proofErr w:type="spellStart"/>
      <w:r w:rsidRPr="00414820">
        <w:rPr>
          <w:sz w:val="24"/>
          <w:szCs w:val="24"/>
        </w:rPr>
        <w:t>desmopressin</w:t>
      </w:r>
      <w:proofErr w:type="spellEnd"/>
      <w:r w:rsidRPr="00414820">
        <w:rPr>
          <w:sz w:val="24"/>
          <w:szCs w:val="24"/>
        </w:rPr>
        <w:t xml:space="preserve"> (300 mikrogram intranasal) viser, at mængden af </w:t>
      </w:r>
      <w:proofErr w:type="spellStart"/>
      <w:r w:rsidRPr="00414820">
        <w:rPr>
          <w:sz w:val="24"/>
          <w:szCs w:val="24"/>
        </w:rPr>
        <w:t>desmopressin</w:t>
      </w:r>
      <w:proofErr w:type="spellEnd"/>
      <w:r w:rsidRPr="00414820">
        <w:rPr>
          <w:sz w:val="24"/>
          <w:szCs w:val="24"/>
        </w:rPr>
        <w:t>, der kan overføres til barnet, er væsentligt mindre end den mængde, der skal til for at påvirke diuresen.</w:t>
      </w:r>
    </w:p>
    <w:p w:rsidR="00A02663" w:rsidRPr="00414820" w:rsidRDefault="00A02663" w:rsidP="00A02663">
      <w:pPr>
        <w:tabs>
          <w:tab w:val="left" w:pos="851"/>
        </w:tabs>
        <w:ind w:left="851" w:hanging="851"/>
        <w:rPr>
          <w:sz w:val="24"/>
          <w:szCs w:val="24"/>
        </w:rPr>
      </w:pPr>
      <w:r>
        <w:rPr>
          <w:sz w:val="24"/>
          <w:szCs w:val="24"/>
        </w:rPr>
        <w:tab/>
      </w:r>
      <w:proofErr w:type="spellStart"/>
      <w:r w:rsidRPr="00414820">
        <w:rPr>
          <w:sz w:val="24"/>
          <w:szCs w:val="24"/>
        </w:rPr>
        <w:t>Desmopressin</w:t>
      </w:r>
      <w:proofErr w:type="spellEnd"/>
      <w:r w:rsidRPr="00414820">
        <w:rPr>
          <w:sz w:val="24"/>
          <w:szCs w:val="24"/>
        </w:rPr>
        <w:t xml:space="preserve"> kan anvendes i </w:t>
      </w:r>
      <w:proofErr w:type="spellStart"/>
      <w:r w:rsidRPr="00414820">
        <w:rPr>
          <w:sz w:val="24"/>
          <w:szCs w:val="24"/>
        </w:rPr>
        <w:t>ammeperioden</w:t>
      </w:r>
      <w:proofErr w:type="spellEnd"/>
      <w:r w:rsidRPr="00414820">
        <w:rPr>
          <w:sz w:val="24"/>
          <w:szCs w:val="24"/>
        </w:rPr>
        <w:t>.</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b/>
          <w:sz w:val="24"/>
          <w:szCs w:val="24"/>
        </w:rPr>
      </w:pPr>
      <w:r w:rsidRPr="00414820">
        <w:rPr>
          <w:b/>
          <w:sz w:val="24"/>
          <w:szCs w:val="24"/>
        </w:rPr>
        <w:t>4.7</w:t>
      </w:r>
      <w:r w:rsidRPr="00414820">
        <w:rPr>
          <w:b/>
          <w:sz w:val="24"/>
          <w:szCs w:val="24"/>
        </w:rPr>
        <w:tab/>
        <w:t>Virkninger på evnen til at føre motorkøretøj eller betjene maskiner</w:t>
      </w:r>
    </w:p>
    <w:p w:rsidR="00A02663" w:rsidRDefault="00A02663" w:rsidP="00A02663">
      <w:pPr>
        <w:tabs>
          <w:tab w:val="left" w:pos="851"/>
        </w:tabs>
        <w:ind w:left="851" w:hanging="851"/>
        <w:rPr>
          <w:sz w:val="24"/>
          <w:szCs w:val="24"/>
        </w:rPr>
      </w:pPr>
      <w:r>
        <w:rPr>
          <w:sz w:val="24"/>
          <w:szCs w:val="24"/>
        </w:rPr>
        <w:tab/>
        <w:t>Ikke mærkning.</w:t>
      </w:r>
    </w:p>
    <w:p w:rsidR="00A02663" w:rsidRPr="00414820" w:rsidRDefault="00A02663" w:rsidP="00A02663">
      <w:pPr>
        <w:tabs>
          <w:tab w:val="left" w:pos="851"/>
        </w:tabs>
        <w:ind w:left="851" w:hanging="851"/>
        <w:rPr>
          <w:sz w:val="24"/>
          <w:szCs w:val="24"/>
          <w:lang w:eastAsia="da-DK"/>
        </w:rPr>
      </w:pPr>
      <w:r>
        <w:rPr>
          <w:sz w:val="24"/>
          <w:szCs w:val="24"/>
        </w:rPr>
        <w:tab/>
      </w:r>
      <w:proofErr w:type="spellStart"/>
      <w:r w:rsidRPr="00414820">
        <w:rPr>
          <w:sz w:val="24"/>
          <w:szCs w:val="24"/>
        </w:rPr>
        <w:t>Nocdurna</w:t>
      </w:r>
      <w:proofErr w:type="spellEnd"/>
      <w:r w:rsidRPr="00414820">
        <w:rPr>
          <w:sz w:val="24"/>
          <w:szCs w:val="24"/>
        </w:rPr>
        <w:t xml:space="preserve"> har ingen kendt påvirkning på evnen til at føre motorkøretøj eller betjene maskiner.</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b/>
          <w:sz w:val="24"/>
          <w:szCs w:val="24"/>
        </w:rPr>
      </w:pPr>
      <w:r w:rsidRPr="00414820">
        <w:rPr>
          <w:b/>
          <w:sz w:val="24"/>
          <w:szCs w:val="24"/>
        </w:rPr>
        <w:t>4.8</w:t>
      </w:r>
      <w:r w:rsidRPr="00414820">
        <w:rPr>
          <w:b/>
          <w:sz w:val="24"/>
          <w:szCs w:val="24"/>
        </w:rPr>
        <w:tab/>
        <w:t>Bivirkninger</w:t>
      </w:r>
    </w:p>
    <w:p w:rsidR="00A02663" w:rsidRDefault="00A02663" w:rsidP="00A02663">
      <w:pPr>
        <w:tabs>
          <w:tab w:val="left" w:pos="851"/>
        </w:tabs>
        <w:ind w:left="851" w:hanging="851"/>
        <w:rPr>
          <w:sz w:val="24"/>
          <w:szCs w:val="24"/>
          <w:u w:val="single"/>
        </w:rPr>
      </w:pPr>
    </w:p>
    <w:p w:rsidR="00A02663" w:rsidRPr="00414820" w:rsidRDefault="00A02663" w:rsidP="00A02663">
      <w:pPr>
        <w:tabs>
          <w:tab w:val="left" w:pos="851"/>
        </w:tabs>
        <w:ind w:left="851" w:hanging="851"/>
        <w:rPr>
          <w:sz w:val="24"/>
          <w:szCs w:val="24"/>
          <w:u w:val="single"/>
          <w:lang w:eastAsia="da-DK"/>
        </w:rPr>
      </w:pPr>
      <w:r w:rsidRPr="00916452">
        <w:rPr>
          <w:sz w:val="24"/>
          <w:szCs w:val="24"/>
        </w:rPr>
        <w:tab/>
      </w:r>
      <w:r w:rsidRPr="00414820">
        <w:rPr>
          <w:sz w:val="24"/>
          <w:szCs w:val="24"/>
          <w:u w:val="single"/>
        </w:rPr>
        <w:t>Resumé af sikkerhedsprofilen</w:t>
      </w:r>
    </w:p>
    <w:p w:rsidR="00A02663" w:rsidRPr="00414820" w:rsidRDefault="00A02663" w:rsidP="00A02663">
      <w:pPr>
        <w:tabs>
          <w:tab w:val="left" w:pos="851"/>
        </w:tabs>
        <w:ind w:left="851" w:hanging="851"/>
        <w:rPr>
          <w:sz w:val="24"/>
          <w:szCs w:val="24"/>
        </w:rPr>
      </w:pPr>
      <w:r>
        <w:rPr>
          <w:sz w:val="24"/>
          <w:szCs w:val="24"/>
        </w:rPr>
        <w:tab/>
      </w:r>
      <w:r w:rsidRPr="00414820">
        <w:rPr>
          <w:sz w:val="24"/>
          <w:szCs w:val="24"/>
        </w:rPr>
        <w:t xml:space="preserve">Baseret på hyppigheden af bivirkninger rapporteret i kliniske studier med </w:t>
      </w:r>
      <w:proofErr w:type="spellStart"/>
      <w:r w:rsidRPr="00414820">
        <w:rPr>
          <w:sz w:val="24"/>
          <w:szCs w:val="24"/>
        </w:rPr>
        <w:t>Nocdurna</w:t>
      </w:r>
      <w:proofErr w:type="spellEnd"/>
      <w:r w:rsidRPr="00414820">
        <w:rPr>
          <w:sz w:val="24"/>
          <w:szCs w:val="24"/>
        </w:rPr>
        <w:t xml:space="preserve"> for indikationen </w:t>
      </w:r>
      <w:proofErr w:type="spellStart"/>
      <w:r w:rsidRPr="00414820">
        <w:rPr>
          <w:sz w:val="24"/>
          <w:szCs w:val="24"/>
        </w:rPr>
        <w:t>nykturi</w:t>
      </w:r>
      <w:proofErr w:type="spellEnd"/>
      <w:r w:rsidRPr="00414820">
        <w:rPr>
          <w:sz w:val="24"/>
          <w:szCs w:val="24"/>
        </w:rPr>
        <w:t xml:space="preserve"> gennemført i mandlige patienter (50 mikrogram; N = 222) og i kvindelige patienter (25 mikrogram, N = 219) den hyppigst rapporterede bivirkning i forbindelse med behandlingen var mundtørhed (13%), hovedpine (3%), </w:t>
      </w:r>
      <w:proofErr w:type="spellStart"/>
      <w:r w:rsidRPr="00414820">
        <w:rPr>
          <w:sz w:val="24"/>
          <w:szCs w:val="24"/>
        </w:rPr>
        <w:t>hyponatriæmi</w:t>
      </w:r>
      <w:proofErr w:type="spellEnd"/>
      <w:r w:rsidRPr="00414820">
        <w:rPr>
          <w:sz w:val="24"/>
          <w:szCs w:val="24"/>
        </w:rPr>
        <w:t xml:space="preserve"> (3%), og svimmelhed (2%).</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sz w:val="24"/>
          <w:szCs w:val="24"/>
          <w:u w:val="single"/>
        </w:rPr>
      </w:pPr>
      <w:r w:rsidRPr="00916452">
        <w:rPr>
          <w:sz w:val="24"/>
          <w:szCs w:val="24"/>
        </w:rPr>
        <w:tab/>
      </w:r>
      <w:r w:rsidRPr="00414820">
        <w:rPr>
          <w:sz w:val="24"/>
          <w:szCs w:val="24"/>
          <w:u w:val="single"/>
        </w:rPr>
        <w:t>Beskrivelse af udvalgte bivirkninger:</w:t>
      </w:r>
    </w:p>
    <w:p w:rsidR="00A02663" w:rsidRPr="00414820" w:rsidRDefault="00A02663" w:rsidP="00A02663">
      <w:pPr>
        <w:tabs>
          <w:tab w:val="left" w:pos="851"/>
        </w:tabs>
        <w:ind w:left="851" w:hanging="851"/>
        <w:rPr>
          <w:sz w:val="24"/>
          <w:szCs w:val="24"/>
        </w:rPr>
      </w:pPr>
      <w:r>
        <w:rPr>
          <w:sz w:val="24"/>
          <w:szCs w:val="24"/>
        </w:rPr>
        <w:tab/>
      </w:r>
      <w:proofErr w:type="spellStart"/>
      <w:r w:rsidRPr="00414820">
        <w:rPr>
          <w:sz w:val="24"/>
          <w:szCs w:val="24"/>
        </w:rPr>
        <w:t>Desmopressins</w:t>
      </w:r>
      <w:proofErr w:type="spellEnd"/>
      <w:r w:rsidRPr="00414820">
        <w:rPr>
          <w:sz w:val="24"/>
          <w:szCs w:val="24"/>
        </w:rPr>
        <w:t xml:space="preserve"> mest alvorlige bivirkning er </w:t>
      </w:r>
      <w:proofErr w:type="spellStart"/>
      <w:r w:rsidRPr="00414820">
        <w:rPr>
          <w:sz w:val="24"/>
          <w:szCs w:val="24"/>
        </w:rPr>
        <w:t>hyponatriæmi</w:t>
      </w:r>
      <w:proofErr w:type="spellEnd"/>
      <w:r w:rsidRPr="00414820">
        <w:rPr>
          <w:sz w:val="24"/>
          <w:szCs w:val="24"/>
        </w:rPr>
        <w:t xml:space="preserve">. Den kan forårsage hovedpine, kvalme, opkastning, nedsat serum natrium, vægtøgning, utilpashed, mavesmerter, muskelkramper, svimmelhed, forvirring, nedsat bevidsthed og i alvorlige tilfælde kramper og koma. Årsagen til den potentielle </w:t>
      </w:r>
      <w:proofErr w:type="spellStart"/>
      <w:r w:rsidRPr="00414820">
        <w:rPr>
          <w:sz w:val="24"/>
          <w:szCs w:val="24"/>
        </w:rPr>
        <w:t>hyponatriæmi</w:t>
      </w:r>
      <w:proofErr w:type="spellEnd"/>
      <w:r w:rsidRPr="00414820">
        <w:rPr>
          <w:sz w:val="24"/>
          <w:szCs w:val="24"/>
        </w:rPr>
        <w:t xml:space="preserve"> er den forventede antidiuretiske effekt, som skyldes en øget vand </w:t>
      </w:r>
      <w:proofErr w:type="spellStart"/>
      <w:r w:rsidRPr="00414820">
        <w:rPr>
          <w:sz w:val="24"/>
          <w:szCs w:val="24"/>
        </w:rPr>
        <w:t>reabsorption</w:t>
      </w:r>
      <w:proofErr w:type="spellEnd"/>
      <w:r w:rsidRPr="00414820">
        <w:rPr>
          <w:sz w:val="24"/>
          <w:szCs w:val="24"/>
        </w:rPr>
        <w:t xml:space="preserve"> fra de </w:t>
      </w:r>
      <w:proofErr w:type="spellStart"/>
      <w:r w:rsidRPr="00414820">
        <w:rPr>
          <w:sz w:val="24"/>
          <w:szCs w:val="24"/>
        </w:rPr>
        <w:t>renale</w:t>
      </w:r>
      <w:proofErr w:type="spellEnd"/>
      <w:r w:rsidRPr="00414820">
        <w:rPr>
          <w:sz w:val="24"/>
          <w:szCs w:val="24"/>
        </w:rPr>
        <w:t xml:space="preserve"> </w:t>
      </w:r>
      <w:proofErr w:type="spellStart"/>
      <w:r w:rsidRPr="00414820">
        <w:rPr>
          <w:sz w:val="24"/>
          <w:szCs w:val="24"/>
        </w:rPr>
        <w:t>tubuli</w:t>
      </w:r>
      <w:proofErr w:type="spellEnd"/>
      <w:r w:rsidRPr="00414820">
        <w:rPr>
          <w:sz w:val="24"/>
          <w:szCs w:val="24"/>
        </w:rPr>
        <w:t xml:space="preserve"> og en osmotisk fortynding af plasma. I studier med voksne forsøgspersoner behandlet for </w:t>
      </w:r>
      <w:proofErr w:type="spellStart"/>
      <w:r w:rsidRPr="00414820">
        <w:rPr>
          <w:sz w:val="24"/>
          <w:szCs w:val="24"/>
        </w:rPr>
        <w:t>nykturi</w:t>
      </w:r>
      <w:proofErr w:type="spellEnd"/>
      <w:r w:rsidRPr="00414820">
        <w:rPr>
          <w:sz w:val="24"/>
          <w:szCs w:val="24"/>
        </w:rPr>
        <w:t xml:space="preserve">, udviklede størstedelen af de patienter, som fik lavt serum natrium dette, i løbet af de første dage af behandlingen eller i forbindelse med en dosisøgning. Der bør udvises særlig forsigtighed, som beskrevet i pkt. 4.4. Kvinder har en højere risiko for </w:t>
      </w:r>
      <w:proofErr w:type="spellStart"/>
      <w:r w:rsidRPr="00414820">
        <w:rPr>
          <w:sz w:val="24"/>
          <w:szCs w:val="24"/>
        </w:rPr>
        <w:t>hyponatriæmi</w:t>
      </w:r>
      <w:proofErr w:type="spellEnd"/>
      <w:r w:rsidRPr="00414820">
        <w:rPr>
          <w:sz w:val="24"/>
          <w:szCs w:val="24"/>
        </w:rPr>
        <w:t xml:space="preserve">, som kan skyldes en øget følsomhed af </w:t>
      </w:r>
      <w:proofErr w:type="spellStart"/>
      <w:r w:rsidRPr="00414820">
        <w:rPr>
          <w:sz w:val="24"/>
          <w:szCs w:val="24"/>
        </w:rPr>
        <w:t>vasopressin</w:t>
      </w:r>
      <w:proofErr w:type="spellEnd"/>
      <w:r w:rsidRPr="00414820">
        <w:rPr>
          <w:sz w:val="24"/>
          <w:szCs w:val="24"/>
        </w:rPr>
        <w:t xml:space="preserve"> og dets </w:t>
      </w:r>
      <w:proofErr w:type="spellStart"/>
      <w:r w:rsidRPr="00414820">
        <w:rPr>
          <w:sz w:val="24"/>
          <w:szCs w:val="24"/>
        </w:rPr>
        <w:t>analoger</w:t>
      </w:r>
      <w:proofErr w:type="spellEnd"/>
      <w:r w:rsidRPr="00414820">
        <w:rPr>
          <w:sz w:val="24"/>
          <w:szCs w:val="24"/>
        </w:rPr>
        <w:t xml:space="preserve"> i de </w:t>
      </w:r>
      <w:proofErr w:type="spellStart"/>
      <w:r w:rsidRPr="00414820">
        <w:rPr>
          <w:sz w:val="24"/>
          <w:szCs w:val="24"/>
        </w:rPr>
        <w:t>renale</w:t>
      </w:r>
      <w:proofErr w:type="spellEnd"/>
      <w:r w:rsidRPr="00414820">
        <w:rPr>
          <w:sz w:val="24"/>
          <w:szCs w:val="24"/>
        </w:rPr>
        <w:t xml:space="preserve"> </w:t>
      </w:r>
      <w:proofErr w:type="spellStart"/>
      <w:r w:rsidRPr="00414820">
        <w:rPr>
          <w:sz w:val="24"/>
          <w:szCs w:val="24"/>
        </w:rPr>
        <w:t>tubuli</w:t>
      </w:r>
      <w:proofErr w:type="spellEnd"/>
      <w:r w:rsidRPr="00414820">
        <w:rPr>
          <w:sz w:val="24"/>
          <w:szCs w:val="24"/>
        </w:rPr>
        <w:t xml:space="preserve"> hos kvinder sammenlignet med mænd. Risikoen for dette minimeres ved anbefaling af en lavere dosis hos kvinder. Risikoen for </w:t>
      </w:r>
      <w:proofErr w:type="spellStart"/>
      <w:r w:rsidRPr="00414820">
        <w:rPr>
          <w:sz w:val="24"/>
          <w:szCs w:val="24"/>
        </w:rPr>
        <w:t>hyponatriæmi</w:t>
      </w:r>
      <w:proofErr w:type="spellEnd"/>
      <w:r w:rsidRPr="00414820">
        <w:rPr>
          <w:sz w:val="24"/>
          <w:szCs w:val="24"/>
        </w:rPr>
        <w:t xml:space="preserve"> hos patienter over 65 år reduceres yderligere ved kontrol af serum natrium i denne aldersgruppe (se pkt</w:t>
      </w:r>
      <w:r>
        <w:rPr>
          <w:sz w:val="24"/>
          <w:szCs w:val="24"/>
        </w:rPr>
        <w:t>.</w:t>
      </w:r>
      <w:r w:rsidRPr="00414820">
        <w:rPr>
          <w:sz w:val="24"/>
          <w:szCs w:val="24"/>
        </w:rPr>
        <w:t xml:space="preserve"> 4.2 og 4.4).</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sz w:val="24"/>
          <w:szCs w:val="24"/>
          <w:u w:val="single"/>
        </w:rPr>
      </w:pPr>
      <w:r w:rsidRPr="001B6C6F">
        <w:rPr>
          <w:sz w:val="24"/>
          <w:szCs w:val="24"/>
        </w:rPr>
        <w:tab/>
      </w:r>
      <w:r w:rsidRPr="00414820">
        <w:rPr>
          <w:sz w:val="24"/>
          <w:szCs w:val="24"/>
          <w:u w:val="single"/>
        </w:rPr>
        <w:t>Tabel over bivirkninger</w:t>
      </w:r>
    </w:p>
    <w:p w:rsidR="00A02663" w:rsidRPr="00414820" w:rsidRDefault="00A02663" w:rsidP="00A02663">
      <w:pPr>
        <w:tabs>
          <w:tab w:val="left" w:pos="851"/>
        </w:tabs>
        <w:ind w:left="851" w:hanging="851"/>
        <w:rPr>
          <w:sz w:val="24"/>
          <w:szCs w:val="24"/>
        </w:rPr>
      </w:pPr>
      <w:r>
        <w:rPr>
          <w:sz w:val="24"/>
          <w:szCs w:val="24"/>
        </w:rPr>
        <w:tab/>
      </w:r>
      <w:r w:rsidRPr="00414820">
        <w:rPr>
          <w:sz w:val="24"/>
          <w:szCs w:val="24"/>
        </w:rPr>
        <w:t>Nedenstående tabel 1 viser hyppigheden af bivirkninger rapporteret. Hyppigheden er defineret som følger: meget almindelig (≥1/10), almindelig (≥1/100 til &lt;1/10) og ikke almindelig (≥1/1.000 til &lt;1/100).</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sz w:val="24"/>
          <w:szCs w:val="24"/>
          <w:lang w:eastAsia="da-DK"/>
        </w:rPr>
      </w:pPr>
      <w:r w:rsidRPr="00414820">
        <w:rPr>
          <w:sz w:val="24"/>
          <w:szCs w:val="24"/>
        </w:rPr>
        <w:t>Tabel 1: Hyppigheden af bivirkninger rapporteret (fase III studier og Post-marketing rapporter)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3"/>
        <w:gridCol w:w="2139"/>
        <w:gridCol w:w="2446"/>
        <w:gridCol w:w="2600"/>
      </w:tblGrid>
      <w:tr w:rsidR="00A02663" w:rsidRPr="00414820" w:rsidTr="003B4BCE">
        <w:tc>
          <w:tcPr>
            <w:tcW w:w="1269" w:type="pct"/>
            <w:tcBorders>
              <w:top w:val="single" w:sz="4" w:space="0" w:color="auto"/>
              <w:left w:val="single" w:sz="4" w:space="0" w:color="auto"/>
              <w:bottom w:val="single" w:sz="4" w:space="0" w:color="auto"/>
              <w:right w:val="single" w:sz="4" w:space="0" w:color="auto"/>
            </w:tcBorders>
            <w:hideMark/>
          </w:tcPr>
          <w:p w:rsidR="00A02663" w:rsidRPr="00414820" w:rsidRDefault="00A02663" w:rsidP="003B4BCE">
            <w:pPr>
              <w:ind w:left="62"/>
              <w:rPr>
                <w:b/>
                <w:sz w:val="24"/>
                <w:szCs w:val="24"/>
              </w:rPr>
            </w:pPr>
            <w:proofErr w:type="spellStart"/>
            <w:r w:rsidRPr="00414820">
              <w:rPr>
                <w:b/>
                <w:bCs/>
                <w:sz w:val="24"/>
                <w:szCs w:val="24"/>
              </w:rPr>
              <w:t>MedDRA</w:t>
            </w:r>
            <w:proofErr w:type="spellEnd"/>
            <w:r w:rsidRPr="00414820">
              <w:rPr>
                <w:b/>
                <w:bCs/>
                <w:sz w:val="24"/>
                <w:szCs w:val="24"/>
              </w:rPr>
              <w:t xml:space="preserve"> System-organklasser</w:t>
            </w:r>
          </w:p>
        </w:tc>
        <w:tc>
          <w:tcPr>
            <w:tcW w:w="1111" w:type="pct"/>
            <w:tcBorders>
              <w:top w:val="single" w:sz="4" w:space="0" w:color="auto"/>
              <w:left w:val="single" w:sz="4" w:space="0" w:color="auto"/>
              <w:bottom w:val="single" w:sz="4" w:space="0" w:color="auto"/>
              <w:right w:val="single" w:sz="4" w:space="0" w:color="auto"/>
            </w:tcBorders>
            <w:hideMark/>
          </w:tcPr>
          <w:p w:rsidR="00A02663" w:rsidRPr="00414820" w:rsidRDefault="00A02663" w:rsidP="003B4BCE">
            <w:pPr>
              <w:ind w:left="62"/>
              <w:jc w:val="center"/>
              <w:rPr>
                <w:b/>
                <w:sz w:val="24"/>
                <w:szCs w:val="24"/>
              </w:rPr>
            </w:pPr>
            <w:r w:rsidRPr="00414820">
              <w:rPr>
                <w:b/>
                <w:sz w:val="24"/>
                <w:szCs w:val="24"/>
              </w:rPr>
              <w:t>Meget almindelig</w:t>
            </w:r>
          </w:p>
          <w:p w:rsidR="00A02663" w:rsidRPr="00414820" w:rsidRDefault="00A02663" w:rsidP="003B4BCE">
            <w:pPr>
              <w:ind w:left="62"/>
              <w:jc w:val="center"/>
              <w:rPr>
                <w:b/>
                <w:sz w:val="24"/>
                <w:szCs w:val="24"/>
              </w:rPr>
            </w:pPr>
            <w:r w:rsidRPr="00414820">
              <w:rPr>
                <w:sz w:val="24"/>
                <w:szCs w:val="24"/>
              </w:rPr>
              <w:t>(≥ 1/10)</w:t>
            </w:r>
          </w:p>
        </w:tc>
        <w:tc>
          <w:tcPr>
            <w:tcW w:w="1270" w:type="pct"/>
            <w:tcBorders>
              <w:top w:val="single" w:sz="4" w:space="0" w:color="auto"/>
              <w:left w:val="single" w:sz="4" w:space="0" w:color="auto"/>
              <w:bottom w:val="single" w:sz="4" w:space="0" w:color="auto"/>
              <w:right w:val="single" w:sz="4" w:space="0" w:color="auto"/>
            </w:tcBorders>
            <w:hideMark/>
          </w:tcPr>
          <w:p w:rsidR="00A02663" w:rsidRPr="00414820" w:rsidRDefault="00A02663" w:rsidP="003B4BCE">
            <w:pPr>
              <w:ind w:left="62"/>
              <w:rPr>
                <w:b/>
                <w:sz w:val="24"/>
                <w:szCs w:val="24"/>
              </w:rPr>
            </w:pPr>
            <w:r w:rsidRPr="00414820">
              <w:rPr>
                <w:b/>
                <w:sz w:val="24"/>
                <w:szCs w:val="24"/>
              </w:rPr>
              <w:t>Almindelig</w:t>
            </w:r>
          </w:p>
          <w:p w:rsidR="00A02663" w:rsidRPr="00414820" w:rsidRDefault="00A02663" w:rsidP="003B4BCE">
            <w:pPr>
              <w:ind w:left="62"/>
              <w:rPr>
                <w:b/>
                <w:sz w:val="24"/>
                <w:szCs w:val="24"/>
              </w:rPr>
            </w:pPr>
            <w:r w:rsidRPr="00414820">
              <w:rPr>
                <w:sz w:val="24"/>
                <w:szCs w:val="24"/>
              </w:rPr>
              <w:t>(≥ 1/100 to&lt; 1/10)</w:t>
            </w:r>
          </w:p>
        </w:tc>
        <w:tc>
          <w:tcPr>
            <w:tcW w:w="1350" w:type="pct"/>
            <w:tcBorders>
              <w:top w:val="single" w:sz="4" w:space="0" w:color="auto"/>
              <w:left w:val="single" w:sz="4" w:space="0" w:color="auto"/>
              <w:bottom w:val="single" w:sz="4" w:space="0" w:color="auto"/>
              <w:right w:val="single" w:sz="4" w:space="0" w:color="auto"/>
            </w:tcBorders>
          </w:tcPr>
          <w:p w:rsidR="00A02663" w:rsidRPr="00414820" w:rsidRDefault="00A02663" w:rsidP="003B4BCE">
            <w:pPr>
              <w:ind w:left="62"/>
              <w:jc w:val="center"/>
              <w:rPr>
                <w:b/>
                <w:sz w:val="24"/>
                <w:szCs w:val="24"/>
              </w:rPr>
            </w:pPr>
            <w:r w:rsidRPr="00414820">
              <w:rPr>
                <w:b/>
                <w:sz w:val="24"/>
                <w:szCs w:val="24"/>
              </w:rPr>
              <w:t>Ikke almindelig</w:t>
            </w:r>
          </w:p>
          <w:p w:rsidR="00A02663" w:rsidRPr="00414820" w:rsidRDefault="00A02663" w:rsidP="003B4BCE">
            <w:pPr>
              <w:ind w:left="62"/>
              <w:jc w:val="center"/>
              <w:rPr>
                <w:b/>
                <w:sz w:val="24"/>
                <w:szCs w:val="24"/>
              </w:rPr>
            </w:pPr>
            <w:r w:rsidRPr="00414820">
              <w:rPr>
                <w:sz w:val="24"/>
                <w:szCs w:val="24"/>
              </w:rPr>
              <w:t>(≥ 1/1,000 to &lt; 1/100)</w:t>
            </w:r>
          </w:p>
        </w:tc>
      </w:tr>
      <w:tr w:rsidR="00A02663" w:rsidRPr="00414820" w:rsidTr="003B4BCE">
        <w:tc>
          <w:tcPr>
            <w:tcW w:w="1269" w:type="pct"/>
            <w:tcBorders>
              <w:top w:val="single" w:sz="4" w:space="0" w:color="auto"/>
              <w:left w:val="single" w:sz="4" w:space="0" w:color="auto"/>
              <w:bottom w:val="single" w:sz="4" w:space="0" w:color="auto"/>
              <w:right w:val="single" w:sz="4" w:space="0" w:color="auto"/>
            </w:tcBorders>
            <w:hideMark/>
          </w:tcPr>
          <w:p w:rsidR="00A02663" w:rsidRPr="00414820" w:rsidRDefault="00A02663" w:rsidP="003B4BCE">
            <w:pPr>
              <w:ind w:left="62"/>
              <w:rPr>
                <w:sz w:val="24"/>
                <w:szCs w:val="24"/>
              </w:rPr>
            </w:pPr>
            <w:r w:rsidRPr="00414820">
              <w:rPr>
                <w:sz w:val="24"/>
                <w:szCs w:val="24"/>
              </w:rPr>
              <w:t xml:space="preserve">Metabolisme og ernæring </w:t>
            </w:r>
          </w:p>
        </w:tc>
        <w:tc>
          <w:tcPr>
            <w:tcW w:w="1111" w:type="pct"/>
            <w:tcBorders>
              <w:top w:val="single" w:sz="4" w:space="0" w:color="auto"/>
              <w:left w:val="single" w:sz="4" w:space="0" w:color="auto"/>
              <w:bottom w:val="single" w:sz="4" w:space="0" w:color="auto"/>
              <w:right w:val="single" w:sz="4" w:space="0" w:color="auto"/>
            </w:tcBorders>
          </w:tcPr>
          <w:p w:rsidR="00A02663" w:rsidRPr="00414820" w:rsidRDefault="00A02663" w:rsidP="003B4BCE">
            <w:pPr>
              <w:ind w:left="62"/>
              <w:jc w:val="center"/>
              <w:rPr>
                <w:sz w:val="24"/>
                <w:szCs w:val="24"/>
              </w:rPr>
            </w:pPr>
          </w:p>
        </w:tc>
        <w:tc>
          <w:tcPr>
            <w:tcW w:w="1270" w:type="pct"/>
            <w:tcBorders>
              <w:top w:val="single" w:sz="4" w:space="0" w:color="auto"/>
              <w:left w:val="single" w:sz="4" w:space="0" w:color="auto"/>
              <w:bottom w:val="single" w:sz="4" w:space="0" w:color="auto"/>
              <w:right w:val="single" w:sz="4" w:space="0" w:color="auto"/>
            </w:tcBorders>
            <w:hideMark/>
          </w:tcPr>
          <w:p w:rsidR="00A02663" w:rsidRPr="00414820" w:rsidRDefault="00A02663" w:rsidP="003B4BCE">
            <w:pPr>
              <w:ind w:left="62"/>
              <w:rPr>
                <w:sz w:val="24"/>
                <w:szCs w:val="24"/>
              </w:rPr>
            </w:pPr>
            <w:proofErr w:type="spellStart"/>
            <w:r w:rsidRPr="00414820">
              <w:rPr>
                <w:sz w:val="24"/>
                <w:szCs w:val="24"/>
              </w:rPr>
              <w:t>Hyponatriæmi</w:t>
            </w:r>
            <w:proofErr w:type="spellEnd"/>
          </w:p>
        </w:tc>
        <w:tc>
          <w:tcPr>
            <w:tcW w:w="1350" w:type="pct"/>
            <w:tcBorders>
              <w:top w:val="single" w:sz="4" w:space="0" w:color="auto"/>
              <w:left w:val="single" w:sz="4" w:space="0" w:color="auto"/>
              <w:bottom w:val="single" w:sz="4" w:space="0" w:color="auto"/>
              <w:right w:val="single" w:sz="4" w:space="0" w:color="auto"/>
            </w:tcBorders>
          </w:tcPr>
          <w:p w:rsidR="00A02663" w:rsidRPr="00414820" w:rsidRDefault="00A02663" w:rsidP="003B4BCE">
            <w:pPr>
              <w:ind w:left="62"/>
              <w:rPr>
                <w:sz w:val="24"/>
                <w:szCs w:val="24"/>
              </w:rPr>
            </w:pPr>
          </w:p>
        </w:tc>
      </w:tr>
      <w:tr w:rsidR="00A02663" w:rsidRPr="00414820" w:rsidTr="003B4BCE">
        <w:tc>
          <w:tcPr>
            <w:tcW w:w="1269" w:type="pct"/>
            <w:tcBorders>
              <w:top w:val="single" w:sz="4" w:space="0" w:color="auto"/>
              <w:left w:val="single" w:sz="4" w:space="0" w:color="auto"/>
              <w:bottom w:val="single" w:sz="4" w:space="0" w:color="auto"/>
              <w:right w:val="single" w:sz="4" w:space="0" w:color="auto"/>
            </w:tcBorders>
            <w:hideMark/>
          </w:tcPr>
          <w:p w:rsidR="00A02663" w:rsidRPr="00414820" w:rsidRDefault="00A02663" w:rsidP="003B4BCE">
            <w:pPr>
              <w:ind w:left="62"/>
              <w:rPr>
                <w:sz w:val="24"/>
                <w:szCs w:val="24"/>
              </w:rPr>
            </w:pPr>
            <w:r w:rsidRPr="00414820">
              <w:rPr>
                <w:sz w:val="24"/>
                <w:szCs w:val="24"/>
              </w:rPr>
              <w:t xml:space="preserve">Nervesystemet </w:t>
            </w:r>
          </w:p>
        </w:tc>
        <w:tc>
          <w:tcPr>
            <w:tcW w:w="1111" w:type="pct"/>
            <w:tcBorders>
              <w:top w:val="single" w:sz="4" w:space="0" w:color="auto"/>
              <w:left w:val="single" w:sz="4" w:space="0" w:color="auto"/>
              <w:bottom w:val="single" w:sz="4" w:space="0" w:color="auto"/>
              <w:right w:val="single" w:sz="4" w:space="0" w:color="auto"/>
            </w:tcBorders>
          </w:tcPr>
          <w:p w:rsidR="00A02663" w:rsidRPr="00414820" w:rsidRDefault="00A02663" w:rsidP="003B4BCE">
            <w:pPr>
              <w:ind w:left="62"/>
              <w:jc w:val="center"/>
              <w:rPr>
                <w:sz w:val="24"/>
                <w:szCs w:val="24"/>
              </w:rPr>
            </w:pPr>
          </w:p>
        </w:tc>
        <w:tc>
          <w:tcPr>
            <w:tcW w:w="1270" w:type="pct"/>
            <w:tcBorders>
              <w:top w:val="single" w:sz="4" w:space="0" w:color="auto"/>
              <w:left w:val="single" w:sz="4" w:space="0" w:color="auto"/>
              <w:bottom w:val="single" w:sz="4" w:space="0" w:color="auto"/>
              <w:right w:val="single" w:sz="4" w:space="0" w:color="auto"/>
            </w:tcBorders>
            <w:hideMark/>
          </w:tcPr>
          <w:p w:rsidR="00A02663" w:rsidRPr="00414820" w:rsidRDefault="00A02663" w:rsidP="003B4BCE">
            <w:pPr>
              <w:ind w:left="62"/>
              <w:rPr>
                <w:sz w:val="24"/>
                <w:szCs w:val="24"/>
              </w:rPr>
            </w:pPr>
            <w:r w:rsidRPr="00414820">
              <w:rPr>
                <w:sz w:val="24"/>
                <w:szCs w:val="24"/>
              </w:rPr>
              <w:t>Hovedpine</w:t>
            </w:r>
          </w:p>
          <w:p w:rsidR="00A02663" w:rsidRPr="00414820" w:rsidRDefault="00A02663" w:rsidP="003B4BCE">
            <w:pPr>
              <w:ind w:left="62"/>
              <w:rPr>
                <w:sz w:val="24"/>
                <w:szCs w:val="24"/>
              </w:rPr>
            </w:pPr>
            <w:r w:rsidRPr="00414820">
              <w:rPr>
                <w:sz w:val="24"/>
                <w:szCs w:val="24"/>
              </w:rPr>
              <w:t>Svimmelhed</w:t>
            </w:r>
          </w:p>
        </w:tc>
        <w:tc>
          <w:tcPr>
            <w:tcW w:w="1350" w:type="pct"/>
            <w:tcBorders>
              <w:top w:val="single" w:sz="4" w:space="0" w:color="auto"/>
              <w:left w:val="single" w:sz="4" w:space="0" w:color="auto"/>
              <w:bottom w:val="single" w:sz="4" w:space="0" w:color="auto"/>
              <w:right w:val="single" w:sz="4" w:space="0" w:color="auto"/>
            </w:tcBorders>
          </w:tcPr>
          <w:p w:rsidR="00A02663" w:rsidRPr="00414820" w:rsidRDefault="00A02663" w:rsidP="003B4BCE">
            <w:pPr>
              <w:ind w:left="62"/>
              <w:rPr>
                <w:sz w:val="24"/>
                <w:szCs w:val="24"/>
              </w:rPr>
            </w:pPr>
          </w:p>
          <w:p w:rsidR="00A02663" w:rsidRPr="00414820" w:rsidRDefault="00A02663" w:rsidP="003B4BCE">
            <w:pPr>
              <w:ind w:left="62"/>
              <w:rPr>
                <w:sz w:val="24"/>
                <w:szCs w:val="24"/>
              </w:rPr>
            </w:pPr>
          </w:p>
        </w:tc>
      </w:tr>
      <w:tr w:rsidR="00A02663" w:rsidRPr="00414820" w:rsidTr="003B4BCE">
        <w:tc>
          <w:tcPr>
            <w:tcW w:w="1269" w:type="pct"/>
            <w:tcBorders>
              <w:top w:val="single" w:sz="4" w:space="0" w:color="auto"/>
              <w:left w:val="single" w:sz="4" w:space="0" w:color="auto"/>
              <w:bottom w:val="single" w:sz="4" w:space="0" w:color="auto"/>
              <w:right w:val="single" w:sz="4" w:space="0" w:color="auto"/>
            </w:tcBorders>
            <w:hideMark/>
          </w:tcPr>
          <w:p w:rsidR="00A02663" w:rsidRPr="00414820" w:rsidRDefault="00A02663" w:rsidP="003B4BCE">
            <w:pPr>
              <w:ind w:left="62"/>
              <w:rPr>
                <w:sz w:val="24"/>
                <w:szCs w:val="24"/>
              </w:rPr>
            </w:pPr>
            <w:r w:rsidRPr="00414820">
              <w:rPr>
                <w:sz w:val="24"/>
                <w:szCs w:val="24"/>
              </w:rPr>
              <w:t xml:space="preserve">Mave-tarm-kanalen </w:t>
            </w:r>
          </w:p>
        </w:tc>
        <w:tc>
          <w:tcPr>
            <w:tcW w:w="1111" w:type="pct"/>
            <w:tcBorders>
              <w:top w:val="single" w:sz="4" w:space="0" w:color="auto"/>
              <w:left w:val="single" w:sz="4" w:space="0" w:color="auto"/>
              <w:bottom w:val="single" w:sz="4" w:space="0" w:color="auto"/>
              <w:right w:val="single" w:sz="4" w:space="0" w:color="auto"/>
            </w:tcBorders>
            <w:hideMark/>
          </w:tcPr>
          <w:p w:rsidR="00A02663" w:rsidRPr="00414820" w:rsidRDefault="00A02663" w:rsidP="003B4BCE">
            <w:pPr>
              <w:ind w:left="62"/>
              <w:jc w:val="center"/>
              <w:rPr>
                <w:sz w:val="24"/>
                <w:szCs w:val="24"/>
              </w:rPr>
            </w:pPr>
            <w:r w:rsidRPr="00414820">
              <w:rPr>
                <w:sz w:val="24"/>
                <w:szCs w:val="24"/>
              </w:rPr>
              <w:t>Tør mund*</w:t>
            </w:r>
          </w:p>
        </w:tc>
        <w:tc>
          <w:tcPr>
            <w:tcW w:w="1270" w:type="pct"/>
            <w:tcBorders>
              <w:top w:val="single" w:sz="4" w:space="0" w:color="auto"/>
              <w:left w:val="single" w:sz="4" w:space="0" w:color="auto"/>
              <w:bottom w:val="single" w:sz="4" w:space="0" w:color="auto"/>
              <w:right w:val="single" w:sz="4" w:space="0" w:color="auto"/>
            </w:tcBorders>
            <w:hideMark/>
          </w:tcPr>
          <w:p w:rsidR="00A02663" w:rsidRPr="00414820" w:rsidRDefault="00A02663" w:rsidP="003B4BCE">
            <w:pPr>
              <w:ind w:left="62"/>
              <w:rPr>
                <w:sz w:val="24"/>
                <w:szCs w:val="24"/>
              </w:rPr>
            </w:pPr>
            <w:r w:rsidRPr="00414820">
              <w:rPr>
                <w:sz w:val="24"/>
                <w:szCs w:val="24"/>
              </w:rPr>
              <w:t>Kvalme</w:t>
            </w:r>
          </w:p>
          <w:p w:rsidR="00A02663" w:rsidRPr="00414820" w:rsidRDefault="00A02663" w:rsidP="003B4BCE">
            <w:pPr>
              <w:ind w:left="62"/>
              <w:rPr>
                <w:sz w:val="24"/>
                <w:szCs w:val="24"/>
              </w:rPr>
            </w:pPr>
            <w:r w:rsidRPr="00414820">
              <w:rPr>
                <w:sz w:val="24"/>
                <w:szCs w:val="24"/>
              </w:rPr>
              <w:t>Diarre</w:t>
            </w:r>
          </w:p>
        </w:tc>
        <w:tc>
          <w:tcPr>
            <w:tcW w:w="1350" w:type="pct"/>
            <w:tcBorders>
              <w:top w:val="single" w:sz="4" w:space="0" w:color="auto"/>
              <w:left w:val="single" w:sz="4" w:space="0" w:color="auto"/>
              <w:bottom w:val="single" w:sz="4" w:space="0" w:color="auto"/>
              <w:right w:val="single" w:sz="4" w:space="0" w:color="auto"/>
            </w:tcBorders>
            <w:hideMark/>
          </w:tcPr>
          <w:p w:rsidR="00A02663" w:rsidRPr="00414820" w:rsidRDefault="00A02663" w:rsidP="003B4BCE">
            <w:pPr>
              <w:ind w:left="62"/>
              <w:rPr>
                <w:sz w:val="24"/>
                <w:szCs w:val="24"/>
              </w:rPr>
            </w:pPr>
            <w:r w:rsidRPr="00414820">
              <w:rPr>
                <w:sz w:val="24"/>
                <w:szCs w:val="24"/>
              </w:rPr>
              <w:t>Forstoppelse</w:t>
            </w:r>
          </w:p>
          <w:p w:rsidR="00A02663" w:rsidRPr="00414820" w:rsidRDefault="00A02663" w:rsidP="003B4BCE">
            <w:pPr>
              <w:ind w:left="62"/>
              <w:rPr>
                <w:sz w:val="24"/>
                <w:szCs w:val="24"/>
              </w:rPr>
            </w:pPr>
            <w:r w:rsidRPr="00414820">
              <w:rPr>
                <w:sz w:val="24"/>
                <w:szCs w:val="24"/>
              </w:rPr>
              <w:t>Mavesmerter</w:t>
            </w:r>
          </w:p>
        </w:tc>
      </w:tr>
      <w:tr w:rsidR="00A02663" w:rsidRPr="00414820" w:rsidTr="003B4BCE">
        <w:tc>
          <w:tcPr>
            <w:tcW w:w="1269" w:type="pct"/>
            <w:tcBorders>
              <w:top w:val="single" w:sz="4" w:space="0" w:color="auto"/>
              <w:left w:val="single" w:sz="4" w:space="0" w:color="auto"/>
              <w:bottom w:val="single" w:sz="4" w:space="0" w:color="auto"/>
              <w:right w:val="single" w:sz="4" w:space="0" w:color="auto"/>
            </w:tcBorders>
            <w:hideMark/>
          </w:tcPr>
          <w:p w:rsidR="00A02663" w:rsidRPr="00414820" w:rsidRDefault="00A02663" w:rsidP="003B4BCE">
            <w:pPr>
              <w:ind w:left="62"/>
              <w:rPr>
                <w:sz w:val="24"/>
                <w:szCs w:val="24"/>
              </w:rPr>
            </w:pPr>
            <w:r w:rsidRPr="00414820">
              <w:rPr>
                <w:sz w:val="24"/>
                <w:szCs w:val="24"/>
              </w:rPr>
              <w:lastRenderedPageBreak/>
              <w:t xml:space="preserve">Almene symptomer og reaktioner på administrationsstedet </w:t>
            </w:r>
          </w:p>
        </w:tc>
        <w:tc>
          <w:tcPr>
            <w:tcW w:w="1111" w:type="pct"/>
            <w:tcBorders>
              <w:top w:val="single" w:sz="4" w:space="0" w:color="auto"/>
              <w:left w:val="single" w:sz="4" w:space="0" w:color="auto"/>
              <w:bottom w:val="single" w:sz="4" w:space="0" w:color="auto"/>
              <w:right w:val="single" w:sz="4" w:space="0" w:color="auto"/>
            </w:tcBorders>
          </w:tcPr>
          <w:p w:rsidR="00A02663" w:rsidRPr="00414820" w:rsidRDefault="00A02663" w:rsidP="003B4BCE">
            <w:pPr>
              <w:ind w:left="62"/>
              <w:jc w:val="center"/>
              <w:rPr>
                <w:sz w:val="24"/>
                <w:szCs w:val="24"/>
              </w:rPr>
            </w:pPr>
          </w:p>
        </w:tc>
        <w:tc>
          <w:tcPr>
            <w:tcW w:w="1270" w:type="pct"/>
            <w:tcBorders>
              <w:top w:val="single" w:sz="4" w:space="0" w:color="auto"/>
              <w:left w:val="single" w:sz="4" w:space="0" w:color="auto"/>
              <w:bottom w:val="single" w:sz="4" w:space="0" w:color="auto"/>
              <w:right w:val="single" w:sz="4" w:space="0" w:color="auto"/>
            </w:tcBorders>
          </w:tcPr>
          <w:p w:rsidR="00A02663" w:rsidRPr="00414820" w:rsidRDefault="00A02663" w:rsidP="003B4BCE">
            <w:pPr>
              <w:ind w:left="62"/>
              <w:rPr>
                <w:sz w:val="24"/>
                <w:szCs w:val="24"/>
              </w:rPr>
            </w:pPr>
          </w:p>
        </w:tc>
        <w:tc>
          <w:tcPr>
            <w:tcW w:w="1350" w:type="pct"/>
            <w:tcBorders>
              <w:top w:val="single" w:sz="4" w:space="0" w:color="auto"/>
              <w:left w:val="single" w:sz="4" w:space="0" w:color="auto"/>
              <w:bottom w:val="single" w:sz="4" w:space="0" w:color="auto"/>
              <w:right w:val="single" w:sz="4" w:space="0" w:color="auto"/>
            </w:tcBorders>
            <w:hideMark/>
          </w:tcPr>
          <w:p w:rsidR="00A02663" w:rsidRPr="00414820" w:rsidRDefault="00A02663" w:rsidP="003B4BCE">
            <w:pPr>
              <w:ind w:left="62"/>
              <w:rPr>
                <w:sz w:val="24"/>
                <w:szCs w:val="24"/>
              </w:rPr>
            </w:pPr>
            <w:r w:rsidRPr="00414820">
              <w:rPr>
                <w:sz w:val="24"/>
                <w:szCs w:val="24"/>
              </w:rPr>
              <w:t>Træthed</w:t>
            </w:r>
            <w:r w:rsidRPr="00414820">
              <w:rPr>
                <w:sz w:val="24"/>
                <w:szCs w:val="24"/>
              </w:rPr>
              <w:br/>
              <w:t>Perifert ødem</w:t>
            </w:r>
          </w:p>
        </w:tc>
      </w:tr>
    </w:tbl>
    <w:p w:rsidR="00A02663" w:rsidRPr="00414820" w:rsidRDefault="00A02663" w:rsidP="00A02663">
      <w:pPr>
        <w:rPr>
          <w:sz w:val="24"/>
          <w:szCs w:val="24"/>
        </w:rPr>
      </w:pPr>
      <w:r w:rsidRPr="00414820">
        <w:rPr>
          <w:i/>
          <w:sz w:val="24"/>
          <w:szCs w:val="24"/>
        </w:rPr>
        <w:t>* Det skal bemærkes, at forsøgspersonerne specifikt blev spurgt om mundtørhed i nogle af de kliniske studier</w:t>
      </w:r>
      <w:r w:rsidRPr="00414820">
        <w:rPr>
          <w:sz w:val="24"/>
          <w:szCs w:val="24"/>
        </w:rPr>
        <w:t>.</w:t>
      </w:r>
    </w:p>
    <w:p w:rsidR="00A02663" w:rsidRPr="00414820" w:rsidRDefault="00A02663" w:rsidP="00A02663">
      <w:pPr>
        <w:tabs>
          <w:tab w:val="left" w:pos="851"/>
        </w:tabs>
        <w:ind w:left="851" w:hanging="851"/>
        <w:rPr>
          <w:i/>
          <w:sz w:val="24"/>
          <w:szCs w:val="24"/>
        </w:rPr>
      </w:pPr>
    </w:p>
    <w:p w:rsidR="00A02663" w:rsidRPr="00414820" w:rsidRDefault="00A02663" w:rsidP="00A02663">
      <w:pPr>
        <w:tabs>
          <w:tab w:val="left" w:pos="851"/>
        </w:tabs>
        <w:ind w:left="851"/>
        <w:rPr>
          <w:sz w:val="24"/>
          <w:szCs w:val="24"/>
          <w:u w:val="single"/>
        </w:rPr>
      </w:pPr>
      <w:r w:rsidRPr="00414820">
        <w:rPr>
          <w:sz w:val="24"/>
          <w:szCs w:val="24"/>
          <w:u w:val="single"/>
        </w:rPr>
        <w:t>Indberetning af formodede bivirkninger</w:t>
      </w:r>
    </w:p>
    <w:p w:rsidR="00A02663" w:rsidRPr="00414820" w:rsidRDefault="00A02663" w:rsidP="00A02663">
      <w:pPr>
        <w:tabs>
          <w:tab w:val="left" w:pos="851"/>
        </w:tabs>
        <w:ind w:left="851"/>
        <w:rPr>
          <w:sz w:val="24"/>
          <w:szCs w:val="24"/>
        </w:rPr>
      </w:pPr>
      <w:r w:rsidRPr="00414820">
        <w:rPr>
          <w:sz w:val="24"/>
          <w:szCs w:val="24"/>
        </w:rPr>
        <w:t>Når lægemidlet er godkendt, er indberetning af formodede bivirkninger vigtig. Det muliggør løbende overvågning af benefit/</w:t>
      </w:r>
      <w:proofErr w:type="spellStart"/>
      <w:r w:rsidRPr="00414820">
        <w:rPr>
          <w:sz w:val="24"/>
          <w:szCs w:val="24"/>
        </w:rPr>
        <w:t>risk</w:t>
      </w:r>
      <w:proofErr w:type="spellEnd"/>
      <w:r w:rsidRPr="00414820">
        <w:rPr>
          <w:sz w:val="24"/>
          <w:szCs w:val="24"/>
        </w:rPr>
        <w:t xml:space="preserve">-forholdet for lægemidlet. </w:t>
      </w:r>
      <w:r w:rsidR="007215EE">
        <w:rPr>
          <w:sz w:val="24"/>
          <w:szCs w:val="24"/>
        </w:rPr>
        <w:t>S</w:t>
      </w:r>
      <w:r w:rsidRPr="00414820">
        <w:rPr>
          <w:sz w:val="24"/>
          <w:szCs w:val="24"/>
        </w:rPr>
        <w:t>undhedsperson</w:t>
      </w:r>
      <w:r w:rsidR="007215EE">
        <w:rPr>
          <w:sz w:val="24"/>
          <w:szCs w:val="24"/>
        </w:rPr>
        <w:t>er</w:t>
      </w:r>
      <w:r w:rsidRPr="00414820">
        <w:rPr>
          <w:sz w:val="24"/>
          <w:szCs w:val="24"/>
        </w:rPr>
        <w:t xml:space="preserve"> anmodes om at indberette alle formodede bivirkninger via:</w:t>
      </w:r>
    </w:p>
    <w:p w:rsidR="00A02663" w:rsidRPr="00414820" w:rsidRDefault="00A02663" w:rsidP="00A02663">
      <w:pPr>
        <w:tabs>
          <w:tab w:val="left" w:pos="851"/>
        </w:tabs>
        <w:ind w:left="851"/>
        <w:rPr>
          <w:sz w:val="24"/>
          <w:szCs w:val="24"/>
        </w:rPr>
      </w:pPr>
    </w:p>
    <w:p w:rsidR="00A02663" w:rsidRPr="00414820" w:rsidRDefault="00A02663" w:rsidP="00A02663">
      <w:pPr>
        <w:tabs>
          <w:tab w:val="left" w:pos="851"/>
        </w:tabs>
        <w:ind w:left="851"/>
        <w:rPr>
          <w:sz w:val="24"/>
          <w:szCs w:val="24"/>
        </w:rPr>
      </w:pPr>
      <w:r w:rsidRPr="00414820">
        <w:rPr>
          <w:sz w:val="24"/>
          <w:szCs w:val="24"/>
        </w:rPr>
        <w:t>Lægemiddelstyrelsen</w:t>
      </w:r>
    </w:p>
    <w:p w:rsidR="00A02663" w:rsidRPr="00414820" w:rsidRDefault="00A02663" w:rsidP="00A02663">
      <w:pPr>
        <w:tabs>
          <w:tab w:val="left" w:pos="851"/>
        </w:tabs>
        <w:ind w:left="851"/>
        <w:rPr>
          <w:sz w:val="24"/>
          <w:szCs w:val="24"/>
        </w:rPr>
      </w:pPr>
      <w:r w:rsidRPr="00414820">
        <w:rPr>
          <w:sz w:val="24"/>
          <w:szCs w:val="24"/>
        </w:rPr>
        <w:t>Axel Heides Gade 1</w:t>
      </w:r>
    </w:p>
    <w:p w:rsidR="00A02663" w:rsidRPr="00414820" w:rsidRDefault="00A02663" w:rsidP="00A02663">
      <w:pPr>
        <w:tabs>
          <w:tab w:val="left" w:pos="851"/>
        </w:tabs>
        <w:ind w:left="851"/>
        <w:rPr>
          <w:sz w:val="24"/>
          <w:szCs w:val="24"/>
        </w:rPr>
      </w:pPr>
      <w:r w:rsidRPr="00414820">
        <w:rPr>
          <w:sz w:val="24"/>
          <w:szCs w:val="24"/>
        </w:rPr>
        <w:t>DK-2300 København S</w:t>
      </w:r>
    </w:p>
    <w:p w:rsidR="00A02663" w:rsidRPr="00414820" w:rsidRDefault="00A02663" w:rsidP="007215EE">
      <w:pPr>
        <w:tabs>
          <w:tab w:val="left" w:pos="851"/>
        </w:tabs>
        <w:ind w:left="851"/>
        <w:rPr>
          <w:sz w:val="24"/>
          <w:szCs w:val="24"/>
          <w:lang w:val="en-US"/>
        </w:rPr>
      </w:pPr>
      <w:proofErr w:type="spellStart"/>
      <w:r w:rsidRPr="00414820">
        <w:rPr>
          <w:sz w:val="24"/>
          <w:szCs w:val="24"/>
          <w:lang w:val="en-US"/>
        </w:rPr>
        <w:t>Websted</w:t>
      </w:r>
      <w:proofErr w:type="spellEnd"/>
      <w:r w:rsidRPr="00414820">
        <w:rPr>
          <w:sz w:val="24"/>
          <w:szCs w:val="24"/>
          <w:lang w:val="en-US"/>
        </w:rPr>
        <w:t xml:space="preserve">: </w:t>
      </w:r>
      <w:hyperlink r:id="rId8" w:history="1">
        <w:r w:rsidRPr="00414820">
          <w:rPr>
            <w:rStyle w:val="Hyperlink"/>
            <w:sz w:val="24"/>
            <w:szCs w:val="24"/>
            <w:lang w:val="en-US"/>
          </w:rPr>
          <w:t>www.meldenbivirkning.dk</w:t>
        </w:r>
      </w:hyperlink>
    </w:p>
    <w:p w:rsidR="00A02663" w:rsidRPr="00414820" w:rsidRDefault="00A02663" w:rsidP="00A02663">
      <w:pPr>
        <w:pStyle w:val="Sidehoved"/>
        <w:tabs>
          <w:tab w:val="left" w:pos="851"/>
        </w:tabs>
        <w:ind w:left="851" w:hanging="851"/>
        <w:rPr>
          <w:szCs w:val="24"/>
          <w:lang w:val="en-US"/>
        </w:rPr>
      </w:pPr>
    </w:p>
    <w:p w:rsidR="00A02663" w:rsidRPr="00414820" w:rsidRDefault="00A02663" w:rsidP="00A02663">
      <w:pPr>
        <w:tabs>
          <w:tab w:val="left" w:pos="851"/>
        </w:tabs>
        <w:ind w:left="851" w:hanging="851"/>
        <w:rPr>
          <w:b/>
          <w:sz w:val="24"/>
          <w:szCs w:val="24"/>
        </w:rPr>
      </w:pPr>
      <w:r w:rsidRPr="00414820">
        <w:rPr>
          <w:b/>
          <w:sz w:val="24"/>
          <w:szCs w:val="24"/>
        </w:rPr>
        <w:t>4.9</w:t>
      </w:r>
      <w:r w:rsidRPr="00414820">
        <w:rPr>
          <w:b/>
          <w:sz w:val="24"/>
          <w:szCs w:val="24"/>
        </w:rPr>
        <w:tab/>
        <w:t>Overdosering</w:t>
      </w:r>
    </w:p>
    <w:p w:rsidR="00A02663" w:rsidRDefault="00A02663" w:rsidP="00A02663">
      <w:pPr>
        <w:tabs>
          <w:tab w:val="left" w:pos="851"/>
        </w:tabs>
        <w:ind w:left="851" w:hanging="851"/>
        <w:rPr>
          <w:sz w:val="24"/>
          <w:szCs w:val="24"/>
        </w:rPr>
      </w:pPr>
      <w:r w:rsidRPr="001B6C6F">
        <w:rPr>
          <w:sz w:val="24"/>
          <w:szCs w:val="24"/>
        </w:rPr>
        <w:tab/>
      </w:r>
    </w:p>
    <w:p w:rsidR="00A02663" w:rsidRPr="00414820" w:rsidRDefault="00A02663" w:rsidP="00A02663">
      <w:pPr>
        <w:tabs>
          <w:tab w:val="left" w:pos="851"/>
        </w:tabs>
        <w:ind w:left="851" w:hanging="851"/>
        <w:rPr>
          <w:sz w:val="24"/>
          <w:szCs w:val="24"/>
          <w:u w:val="single"/>
          <w:lang w:eastAsia="da-DK"/>
        </w:rPr>
      </w:pPr>
      <w:r>
        <w:rPr>
          <w:sz w:val="24"/>
          <w:szCs w:val="24"/>
        </w:rPr>
        <w:tab/>
      </w:r>
      <w:r w:rsidRPr="00414820">
        <w:rPr>
          <w:sz w:val="24"/>
          <w:szCs w:val="24"/>
          <w:u w:val="single"/>
        </w:rPr>
        <w:t>Symptomer:</w:t>
      </w:r>
    </w:p>
    <w:p w:rsidR="00A02663" w:rsidRPr="00414820" w:rsidRDefault="00A02663" w:rsidP="00A02663">
      <w:pPr>
        <w:tabs>
          <w:tab w:val="left" w:pos="851"/>
        </w:tabs>
        <w:ind w:left="851" w:hanging="851"/>
        <w:rPr>
          <w:sz w:val="24"/>
          <w:szCs w:val="24"/>
        </w:rPr>
      </w:pPr>
      <w:r>
        <w:rPr>
          <w:sz w:val="24"/>
          <w:szCs w:val="24"/>
        </w:rPr>
        <w:tab/>
      </w:r>
      <w:r w:rsidRPr="00414820">
        <w:rPr>
          <w:sz w:val="24"/>
          <w:szCs w:val="24"/>
        </w:rPr>
        <w:t xml:space="preserve">Overdosis af </w:t>
      </w:r>
      <w:proofErr w:type="spellStart"/>
      <w:r w:rsidRPr="00414820">
        <w:rPr>
          <w:sz w:val="24"/>
          <w:szCs w:val="24"/>
        </w:rPr>
        <w:t>Nocdurna</w:t>
      </w:r>
      <w:proofErr w:type="spellEnd"/>
      <w:r w:rsidRPr="00414820">
        <w:rPr>
          <w:sz w:val="24"/>
          <w:szCs w:val="24"/>
        </w:rPr>
        <w:t xml:space="preserve"> fører til en forlænget virkning og øger risikoen for væskeretention og </w:t>
      </w:r>
      <w:proofErr w:type="spellStart"/>
      <w:r w:rsidRPr="00414820">
        <w:rPr>
          <w:sz w:val="24"/>
          <w:szCs w:val="24"/>
        </w:rPr>
        <w:t>hyponatriæmi</w:t>
      </w:r>
      <w:proofErr w:type="spellEnd"/>
      <w:r w:rsidRPr="00414820">
        <w:rPr>
          <w:sz w:val="24"/>
          <w:szCs w:val="24"/>
        </w:rPr>
        <w:t>.</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sz w:val="24"/>
          <w:szCs w:val="24"/>
          <w:u w:val="single"/>
        </w:rPr>
      </w:pPr>
      <w:r w:rsidRPr="001B6C6F">
        <w:rPr>
          <w:sz w:val="24"/>
          <w:szCs w:val="24"/>
        </w:rPr>
        <w:tab/>
      </w:r>
      <w:r w:rsidRPr="00414820">
        <w:rPr>
          <w:sz w:val="24"/>
          <w:szCs w:val="24"/>
          <w:u w:val="single"/>
        </w:rPr>
        <w:t>Behandling:</w:t>
      </w:r>
    </w:p>
    <w:p w:rsidR="00A02663" w:rsidRPr="00414820" w:rsidRDefault="00A02663" w:rsidP="00A02663">
      <w:pPr>
        <w:tabs>
          <w:tab w:val="left" w:pos="851"/>
        </w:tabs>
        <w:ind w:left="851" w:hanging="851"/>
        <w:rPr>
          <w:sz w:val="24"/>
          <w:szCs w:val="24"/>
        </w:rPr>
      </w:pPr>
      <w:r>
        <w:rPr>
          <w:sz w:val="24"/>
          <w:szCs w:val="24"/>
        </w:rPr>
        <w:tab/>
      </w:r>
      <w:r w:rsidRPr="00414820">
        <w:rPr>
          <w:sz w:val="24"/>
          <w:szCs w:val="24"/>
        </w:rPr>
        <w:t xml:space="preserve">Behandling af </w:t>
      </w:r>
      <w:proofErr w:type="spellStart"/>
      <w:r w:rsidRPr="00414820">
        <w:rPr>
          <w:sz w:val="24"/>
          <w:szCs w:val="24"/>
        </w:rPr>
        <w:t>hyponatriæmi</w:t>
      </w:r>
      <w:proofErr w:type="spellEnd"/>
      <w:r w:rsidRPr="00414820">
        <w:rPr>
          <w:sz w:val="24"/>
          <w:szCs w:val="24"/>
        </w:rPr>
        <w:t xml:space="preserve"> bør individualiseres, men følgende generelle </w:t>
      </w:r>
      <w:proofErr w:type="spellStart"/>
      <w:r w:rsidRPr="00414820">
        <w:rPr>
          <w:sz w:val="24"/>
          <w:szCs w:val="24"/>
        </w:rPr>
        <w:t>retningslinier</w:t>
      </w:r>
      <w:proofErr w:type="spellEnd"/>
      <w:r w:rsidRPr="00414820">
        <w:rPr>
          <w:sz w:val="24"/>
          <w:szCs w:val="24"/>
        </w:rPr>
        <w:t xml:space="preserve"> kan gives: </w:t>
      </w:r>
      <w:proofErr w:type="spellStart"/>
      <w:r w:rsidRPr="00414820">
        <w:rPr>
          <w:sz w:val="24"/>
          <w:szCs w:val="24"/>
        </w:rPr>
        <w:t>Hyponatriæmi</w:t>
      </w:r>
      <w:proofErr w:type="spellEnd"/>
      <w:r w:rsidRPr="00414820">
        <w:rPr>
          <w:sz w:val="24"/>
          <w:szCs w:val="24"/>
        </w:rPr>
        <w:t xml:space="preserve"> behandles ved at seponere </w:t>
      </w:r>
      <w:proofErr w:type="spellStart"/>
      <w:r w:rsidRPr="00414820">
        <w:rPr>
          <w:sz w:val="24"/>
          <w:szCs w:val="24"/>
        </w:rPr>
        <w:t>desmopressin</w:t>
      </w:r>
      <w:proofErr w:type="spellEnd"/>
      <w:r>
        <w:rPr>
          <w:sz w:val="24"/>
          <w:szCs w:val="24"/>
        </w:rPr>
        <w:t>-</w:t>
      </w:r>
      <w:r w:rsidRPr="00414820">
        <w:rPr>
          <w:sz w:val="24"/>
          <w:szCs w:val="24"/>
        </w:rPr>
        <w:t>behandlingen, begrænse væskeindtaget, samt symptomatisk behandling såfremt dette er nødvendigt.</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b/>
          <w:sz w:val="24"/>
          <w:szCs w:val="24"/>
        </w:rPr>
      </w:pPr>
      <w:r w:rsidRPr="00414820">
        <w:rPr>
          <w:b/>
          <w:sz w:val="24"/>
          <w:szCs w:val="24"/>
        </w:rPr>
        <w:t>4.10</w:t>
      </w:r>
      <w:r w:rsidRPr="00414820">
        <w:rPr>
          <w:b/>
          <w:sz w:val="24"/>
          <w:szCs w:val="24"/>
        </w:rPr>
        <w:tab/>
        <w:t>Udlevering</w:t>
      </w:r>
    </w:p>
    <w:p w:rsidR="00A02663" w:rsidRPr="00414820" w:rsidRDefault="00A02663" w:rsidP="00A02663">
      <w:pPr>
        <w:tabs>
          <w:tab w:val="left" w:pos="851"/>
        </w:tabs>
        <w:ind w:left="851" w:hanging="851"/>
        <w:rPr>
          <w:sz w:val="24"/>
          <w:szCs w:val="24"/>
        </w:rPr>
      </w:pPr>
      <w:r>
        <w:rPr>
          <w:sz w:val="24"/>
          <w:szCs w:val="24"/>
        </w:rPr>
        <w:tab/>
        <w:t>B</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b/>
          <w:sz w:val="24"/>
          <w:szCs w:val="24"/>
        </w:rPr>
      </w:pPr>
      <w:r w:rsidRPr="00414820">
        <w:rPr>
          <w:b/>
          <w:sz w:val="24"/>
          <w:szCs w:val="24"/>
        </w:rPr>
        <w:t>5.</w:t>
      </w:r>
      <w:r w:rsidRPr="00414820">
        <w:rPr>
          <w:b/>
          <w:sz w:val="24"/>
          <w:szCs w:val="24"/>
        </w:rPr>
        <w:tab/>
        <w:t>FARMAKOLOGISKE EGENSKABER</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b/>
          <w:sz w:val="24"/>
          <w:szCs w:val="24"/>
        </w:rPr>
      </w:pPr>
      <w:r w:rsidRPr="00414820">
        <w:rPr>
          <w:b/>
          <w:sz w:val="24"/>
          <w:szCs w:val="24"/>
        </w:rPr>
        <w:t>5.0</w:t>
      </w:r>
      <w:r w:rsidRPr="00414820">
        <w:rPr>
          <w:b/>
          <w:sz w:val="24"/>
          <w:szCs w:val="24"/>
        </w:rPr>
        <w:tab/>
        <w:t>Terapeutisk klassifikation</w:t>
      </w:r>
    </w:p>
    <w:p w:rsidR="00A02663" w:rsidRPr="00414820" w:rsidRDefault="00A02663" w:rsidP="00A02663">
      <w:pPr>
        <w:tabs>
          <w:tab w:val="left" w:pos="851"/>
        </w:tabs>
        <w:ind w:left="851" w:hanging="851"/>
        <w:rPr>
          <w:sz w:val="24"/>
          <w:szCs w:val="24"/>
          <w:lang w:eastAsia="da-DK"/>
        </w:rPr>
      </w:pPr>
      <w:r>
        <w:rPr>
          <w:sz w:val="24"/>
          <w:szCs w:val="24"/>
        </w:rPr>
        <w:tab/>
      </w:r>
      <w:r w:rsidRPr="00414820">
        <w:rPr>
          <w:sz w:val="24"/>
          <w:szCs w:val="24"/>
        </w:rPr>
        <w:t>ATC-kode: H</w:t>
      </w:r>
      <w:r>
        <w:rPr>
          <w:sz w:val="24"/>
          <w:szCs w:val="24"/>
        </w:rPr>
        <w:t xml:space="preserve"> </w:t>
      </w:r>
      <w:r w:rsidRPr="00414820">
        <w:rPr>
          <w:sz w:val="24"/>
          <w:szCs w:val="24"/>
        </w:rPr>
        <w:t>01</w:t>
      </w:r>
      <w:r>
        <w:rPr>
          <w:sz w:val="24"/>
          <w:szCs w:val="24"/>
        </w:rPr>
        <w:t xml:space="preserve"> </w:t>
      </w:r>
      <w:r w:rsidRPr="00414820">
        <w:rPr>
          <w:sz w:val="24"/>
          <w:szCs w:val="24"/>
        </w:rPr>
        <w:t>BA</w:t>
      </w:r>
      <w:r>
        <w:rPr>
          <w:sz w:val="24"/>
          <w:szCs w:val="24"/>
        </w:rPr>
        <w:t xml:space="preserve"> </w:t>
      </w:r>
      <w:r w:rsidRPr="00414820">
        <w:rPr>
          <w:sz w:val="24"/>
          <w:szCs w:val="24"/>
        </w:rPr>
        <w:t>02</w:t>
      </w:r>
      <w:r>
        <w:rPr>
          <w:sz w:val="24"/>
          <w:szCs w:val="24"/>
        </w:rPr>
        <w:t xml:space="preserve">. </w:t>
      </w:r>
      <w:proofErr w:type="spellStart"/>
      <w:r w:rsidRPr="00414820">
        <w:rPr>
          <w:sz w:val="24"/>
          <w:szCs w:val="24"/>
        </w:rPr>
        <w:t>Vasopressin</w:t>
      </w:r>
      <w:proofErr w:type="spellEnd"/>
      <w:r w:rsidRPr="00414820">
        <w:rPr>
          <w:sz w:val="24"/>
          <w:szCs w:val="24"/>
        </w:rPr>
        <w:t xml:space="preserve"> og </w:t>
      </w:r>
      <w:proofErr w:type="spellStart"/>
      <w:r w:rsidRPr="00414820">
        <w:rPr>
          <w:sz w:val="24"/>
          <w:szCs w:val="24"/>
        </w:rPr>
        <w:t>analoger</w:t>
      </w:r>
      <w:proofErr w:type="spellEnd"/>
      <w:r w:rsidRPr="00414820">
        <w:rPr>
          <w:sz w:val="24"/>
          <w:szCs w:val="24"/>
        </w:rPr>
        <w:t>.</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num" w:pos="851"/>
        </w:tabs>
        <w:ind w:left="851" w:hanging="851"/>
        <w:rPr>
          <w:b/>
          <w:sz w:val="24"/>
          <w:szCs w:val="24"/>
        </w:rPr>
      </w:pPr>
      <w:r w:rsidRPr="00414820">
        <w:rPr>
          <w:b/>
          <w:sz w:val="24"/>
          <w:szCs w:val="24"/>
        </w:rPr>
        <w:t>5.1</w:t>
      </w:r>
      <w:r w:rsidRPr="00414820">
        <w:rPr>
          <w:b/>
          <w:sz w:val="24"/>
          <w:szCs w:val="24"/>
        </w:rPr>
        <w:tab/>
      </w:r>
      <w:proofErr w:type="spellStart"/>
      <w:r w:rsidRPr="00414820">
        <w:rPr>
          <w:b/>
          <w:sz w:val="24"/>
          <w:szCs w:val="24"/>
        </w:rPr>
        <w:t>Farmakodynamiske</w:t>
      </w:r>
      <w:proofErr w:type="spellEnd"/>
      <w:r w:rsidRPr="00414820">
        <w:rPr>
          <w:b/>
          <w:sz w:val="24"/>
          <w:szCs w:val="24"/>
        </w:rPr>
        <w:t xml:space="preserve"> egenskaber</w:t>
      </w:r>
    </w:p>
    <w:p w:rsidR="00A02663" w:rsidRDefault="00A02663" w:rsidP="00A02663">
      <w:pPr>
        <w:tabs>
          <w:tab w:val="left" w:pos="851"/>
        </w:tabs>
        <w:ind w:left="851" w:hanging="851"/>
        <w:rPr>
          <w:sz w:val="24"/>
          <w:szCs w:val="24"/>
        </w:rPr>
      </w:pPr>
      <w:r>
        <w:rPr>
          <w:sz w:val="24"/>
          <w:szCs w:val="24"/>
        </w:rPr>
        <w:tab/>
      </w:r>
    </w:p>
    <w:p w:rsidR="00A02663" w:rsidRPr="001B6C6F" w:rsidRDefault="00A02663" w:rsidP="00A02663">
      <w:pPr>
        <w:tabs>
          <w:tab w:val="left" w:pos="851"/>
        </w:tabs>
        <w:ind w:left="851" w:hanging="851"/>
        <w:rPr>
          <w:sz w:val="24"/>
          <w:szCs w:val="24"/>
          <w:u w:val="single"/>
          <w:lang w:eastAsia="da-DK"/>
        </w:rPr>
      </w:pPr>
      <w:r>
        <w:rPr>
          <w:sz w:val="24"/>
          <w:szCs w:val="24"/>
        </w:rPr>
        <w:tab/>
      </w:r>
      <w:r w:rsidRPr="001B6C6F">
        <w:rPr>
          <w:sz w:val="24"/>
          <w:szCs w:val="24"/>
          <w:u w:val="single"/>
        </w:rPr>
        <w:t>Virkningsmekanisme</w:t>
      </w:r>
    </w:p>
    <w:p w:rsidR="00A02663" w:rsidRPr="00414820" w:rsidRDefault="00A02663" w:rsidP="00A02663">
      <w:pPr>
        <w:tabs>
          <w:tab w:val="left" w:pos="851"/>
        </w:tabs>
        <w:ind w:left="851" w:hanging="851"/>
        <w:rPr>
          <w:sz w:val="24"/>
          <w:szCs w:val="24"/>
        </w:rPr>
      </w:pPr>
      <w:r>
        <w:rPr>
          <w:sz w:val="24"/>
          <w:szCs w:val="24"/>
        </w:rPr>
        <w:tab/>
      </w:r>
      <w:proofErr w:type="spellStart"/>
      <w:r w:rsidRPr="00414820">
        <w:rPr>
          <w:sz w:val="24"/>
          <w:szCs w:val="24"/>
        </w:rPr>
        <w:t>Nocdurna</w:t>
      </w:r>
      <w:proofErr w:type="spellEnd"/>
      <w:r w:rsidRPr="00414820">
        <w:rPr>
          <w:sz w:val="24"/>
          <w:szCs w:val="24"/>
        </w:rPr>
        <w:t xml:space="preserve"> indeholder </w:t>
      </w:r>
      <w:proofErr w:type="spellStart"/>
      <w:r w:rsidRPr="00414820">
        <w:rPr>
          <w:sz w:val="24"/>
          <w:szCs w:val="24"/>
        </w:rPr>
        <w:t>desmopressin</w:t>
      </w:r>
      <w:proofErr w:type="spellEnd"/>
      <w:r w:rsidRPr="00414820">
        <w:rPr>
          <w:sz w:val="24"/>
          <w:szCs w:val="24"/>
        </w:rPr>
        <w:t xml:space="preserve"> der er en syntetisk analog til det naturligt forekommende anti-diuretiske hormon </w:t>
      </w:r>
      <w:proofErr w:type="spellStart"/>
      <w:r w:rsidRPr="00414820">
        <w:rPr>
          <w:sz w:val="24"/>
          <w:szCs w:val="24"/>
        </w:rPr>
        <w:t>arginin-vasopressin</w:t>
      </w:r>
      <w:proofErr w:type="spellEnd"/>
      <w:r w:rsidRPr="00414820">
        <w:rPr>
          <w:sz w:val="24"/>
          <w:szCs w:val="24"/>
        </w:rPr>
        <w:t xml:space="preserve"> (AVP). </w:t>
      </w:r>
      <w:proofErr w:type="spellStart"/>
      <w:r w:rsidRPr="00414820">
        <w:rPr>
          <w:sz w:val="24"/>
          <w:szCs w:val="24"/>
        </w:rPr>
        <w:t>Desmopressin</w:t>
      </w:r>
      <w:proofErr w:type="spellEnd"/>
      <w:r w:rsidRPr="00414820">
        <w:rPr>
          <w:sz w:val="24"/>
          <w:szCs w:val="24"/>
        </w:rPr>
        <w:t xml:space="preserve"> efterligner </w:t>
      </w:r>
      <w:proofErr w:type="spellStart"/>
      <w:r w:rsidRPr="00414820">
        <w:rPr>
          <w:sz w:val="24"/>
          <w:szCs w:val="24"/>
        </w:rPr>
        <w:t>vasopressins</w:t>
      </w:r>
      <w:proofErr w:type="spellEnd"/>
      <w:r w:rsidRPr="00414820">
        <w:rPr>
          <w:sz w:val="24"/>
          <w:szCs w:val="24"/>
        </w:rPr>
        <w:t xml:space="preserve"> antidiuretiske effekt, ved at binde til V2-receptorer i de </w:t>
      </w:r>
      <w:proofErr w:type="spellStart"/>
      <w:r w:rsidRPr="00414820">
        <w:rPr>
          <w:sz w:val="24"/>
          <w:szCs w:val="24"/>
        </w:rPr>
        <w:t>renale</w:t>
      </w:r>
      <w:proofErr w:type="spellEnd"/>
      <w:r w:rsidRPr="00414820">
        <w:rPr>
          <w:sz w:val="24"/>
          <w:szCs w:val="24"/>
        </w:rPr>
        <w:t xml:space="preserve"> samlerør i nyrerne, der forårsager </w:t>
      </w:r>
      <w:proofErr w:type="spellStart"/>
      <w:r w:rsidRPr="00414820">
        <w:rPr>
          <w:sz w:val="24"/>
          <w:szCs w:val="24"/>
        </w:rPr>
        <w:t>reabsorption</w:t>
      </w:r>
      <w:proofErr w:type="spellEnd"/>
      <w:r w:rsidRPr="00414820">
        <w:rPr>
          <w:sz w:val="24"/>
          <w:szCs w:val="24"/>
        </w:rPr>
        <w:t xml:space="preserve"> af vand i kroppen. Denne </w:t>
      </w:r>
      <w:proofErr w:type="spellStart"/>
      <w:r w:rsidRPr="00414820">
        <w:rPr>
          <w:sz w:val="24"/>
          <w:szCs w:val="24"/>
        </w:rPr>
        <w:t>reabsorption</w:t>
      </w:r>
      <w:proofErr w:type="spellEnd"/>
      <w:r w:rsidRPr="00414820">
        <w:rPr>
          <w:sz w:val="24"/>
          <w:szCs w:val="24"/>
        </w:rPr>
        <w:t xml:space="preserve"> nedsætter den natlig urinproduktion. På grund af de anbefalede kønsspecifikke lave doser (25 mikrogram for kvinder og 50 mikrogram for mænd), og den begrænsede varighed af virkningen af </w:t>
      </w:r>
      <w:proofErr w:type="spellStart"/>
      <w:r w:rsidRPr="00414820">
        <w:rPr>
          <w:sz w:val="24"/>
          <w:szCs w:val="24"/>
        </w:rPr>
        <w:t>Nocdurna</w:t>
      </w:r>
      <w:proofErr w:type="spellEnd"/>
      <w:r w:rsidRPr="00414820">
        <w:rPr>
          <w:sz w:val="24"/>
          <w:szCs w:val="24"/>
        </w:rPr>
        <w:t>, er den antidiuretiske aktivitet begrænset til nattesøvn</w:t>
      </w:r>
      <w:r>
        <w:rPr>
          <w:sz w:val="24"/>
          <w:szCs w:val="24"/>
        </w:rPr>
        <w:t>s</w:t>
      </w:r>
      <w:r w:rsidRPr="00414820">
        <w:rPr>
          <w:sz w:val="24"/>
          <w:szCs w:val="24"/>
        </w:rPr>
        <w:t>perioden.</w:t>
      </w:r>
    </w:p>
    <w:p w:rsidR="00A02663" w:rsidRPr="00414820" w:rsidRDefault="00A02663" w:rsidP="00A02663">
      <w:pPr>
        <w:tabs>
          <w:tab w:val="left" w:pos="851"/>
        </w:tabs>
        <w:ind w:left="851" w:hanging="851"/>
        <w:rPr>
          <w:sz w:val="24"/>
          <w:szCs w:val="24"/>
        </w:rPr>
      </w:pPr>
    </w:p>
    <w:p w:rsidR="00A02663" w:rsidRPr="001B6C6F" w:rsidRDefault="00A02663" w:rsidP="00A02663">
      <w:pPr>
        <w:tabs>
          <w:tab w:val="left" w:pos="851"/>
        </w:tabs>
        <w:ind w:left="851" w:hanging="851"/>
        <w:rPr>
          <w:sz w:val="24"/>
          <w:szCs w:val="24"/>
          <w:u w:val="single"/>
        </w:rPr>
      </w:pPr>
      <w:r>
        <w:rPr>
          <w:sz w:val="24"/>
          <w:szCs w:val="24"/>
        </w:rPr>
        <w:tab/>
      </w:r>
      <w:proofErr w:type="spellStart"/>
      <w:r w:rsidRPr="001B6C6F">
        <w:rPr>
          <w:sz w:val="24"/>
          <w:szCs w:val="24"/>
          <w:u w:val="single"/>
        </w:rPr>
        <w:t>Farmakodynamisk</w:t>
      </w:r>
      <w:proofErr w:type="spellEnd"/>
      <w:r w:rsidRPr="001B6C6F">
        <w:rPr>
          <w:sz w:val="24"/>
          <w:szCs w:val="24"/>
          <w:u w:val="single"/>
        </w:rPr>
        <w:t xml:space="preserve"> virkning</w:t>
      </w:r>
    </w:p>
    <w:p w:rsidR="00A02663" w:rsidRPr="00414820" w:rsidRDefault="00A02663" w:rsidP="00A02663">
      <w:pPr>
        <w:tabs>
          <w:tab w:val="left" w:pos="851"/>
        </w:tabs>
        <w:ind w:left="851" w:hanging="851"/>
        <w:rPr>
          <w:sz w:val="24"/>
          <w:szCs w:val="24"/>
        </w:rPr>
      </w:pPr>
      <w:r>
        <w:rPr>
          <w:sz w:val="24"/>
          <w:szCs w:val="24"/>
        </w:rPr>
        <w:tab/>
      </w:r>
      <w:r w:rsidRPr="00414820">
        <w:rPr>
          <w:sz w:val="24"/>
          <w:szCs w:val="24"/>
        </w:rPr>
        <w:t xml:space="preserve">Den vægt-korrigerede </w:t>
      </w:r>
      <w:proofErr w:type="spellStart"/>
      <w:r w:rsidRPr="00414820">
        <w:rPr>
          <w:sz w:val="24"/>
          <w:szCs w:val="24"/>
        </w:rPr>
        <w:t>Nocdurna</w:t>
      </w:r>
      <w:proofErr w:type="spellEnd"/>
      <w:r>
        <w:rPr>
          <w:sz w:val="24"/>
          <w:szCs w:val="24"/>
        </w:rPr>
        <w:t>-</w:t>
      </w:r>
      <w:r w:rsidRPr="00414820">
        <w:rPr>
          <w:sz w:val="24"/>
          <w:szCs w:val="24"/>
        </w:rPr>
        <w:t>dosis</w:t>
      </w:r>
      <w:r>
        <w:rPr>
          <w:sz w:val="24"/>
          <w:szCs w:val="24"/>
        </w:rPr>
        <w:t>,</w:t>
      </w:r>
      <w:r w:rsidRPr="00414820">
        <w:rPr>
          <w:sz w:val="24"/>
          <w:szCs w:val="24"/>
        </w:rPr>
        <w:t xml:space="preserve"> der inducerede 50% maksimal opnåelig lægemiddeleffekt på natlig urinvolumen var signifikant forskellig mellem kvinder og mænd i studie CS29. Den anslåede eksponeringsværdi for mænd var 2,7 gange (95% CI: </w:t>
      </w:r>
      <w:r w:rsidRPr="00414820">
        <w:rPr>
          <w:sz w:val="24"/>
          <w:szCs w:val="24"/>
        </w:rPr>
        <w:lastRenderedPageBreak/>
        <w:t xml:space="preserve">1,3-8,1) højere end værdien for kvinder, for at opnå en identisk dynamisk effekt, hvilket svarer til højere </w:t>
      </w:r>
      <w:proofErr w:type="spellStart"/>
      <w:r w:rsidRPr="00414820">
        <w:rPr>
          <w:sz w:val="24"/>
          <w:szCs w:val="24"/>
        </w:rPr>
        <w:t>desmopressinfølsomhed</w:t>
      </w:r>
      <w:proofErr w:type="spellEnd"/>
      <w:r w:rsidRPr="00414820">
        <w:rPr>
          <w:sz w:val="24"/>
          <w:szCs w:val="24"/>
        </w:rPr>
        <w:t xml:space="preserve"> blandt kvinder. Udviklingen af </w:t>
      </w:r>
      <w:proofErr w:type="spellStart"/>
      <w:r w:rsidRPr="00414820">
        <w:rPr>
          <w:sz w:val="24"/>
          <w:szCs w:val="24"/>
        </w:rPr>
        <w:t>hyponatriæmi</w:t>
      </w:r>
      <w:proofErr w:type="spellEnd"/>
      <w:r w:rsidRPr="00414820">
        <w:rPr>
          <w:sz w:val="24"/>
          <w:szCs w:val="24"/>
        </w:rPr>
        <w:t xml:space="preserve"> er dosisafhængig. Kvinder har større risiko for at udvikle </w:t>
      </w:r>
      <w:proofErr w:type="spellStart"/>
      <w:r w:rsidRPr="00414820">
        <w:rPr>
          <w:sz w:val="24"/>
          <w:szCs w:val="24"/>
        </w:rPr>
        <w:t>hyponatriæmi</w:t>
      </w:r>
      <w:proofErr w:type="spellEnd"/>
      <w:r w:rsidRPr="00414820">
        <w:rPr>
          <w:sz w:val="24"/>
          <w:szCs w:val="24"/>
        </w:rPr>
        <w:t xml:space="preserve"> end mænd. Forekomsten for </w:t>
      </w:r>
      <w:proofErr w:type="spellStart"/>
      <w:r w:rsidRPr="00414820">
        <w:rPr>
          <w:sz w:val="24"/>
          <w:szCs w:val="24"/>
        </w:rPr>
        <w:t>hyponatriæmi</w:t>
      </w:r>
      <w:proofErr w:type="spellEnd"/>
      <w:r w:rsidRPr="00414820">
        <w:rPr>
          <w:sz w:val="24"/>
          <w:szCs w:val="24"/>
        </w:rPr>
        <w:t xml:space="preserve"> stiger med alderen (se pkt. 4.2 og 4.4).</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sz w:val="24"/>
          <w:szCs w:val="24"/>
        </w:rPr>
      </w:pPr>
      <w:r>
        <w:rPr>
          <w:sz w:val="24"/>
          <w:szCs w:val="24"/>
        </w:rPr>
        <w:tab/>
      </w:r>
      <w:r w:rsidRPr="00414820">
        <w:rPr>
          <w:sz w:val="24"/>
          <w:szCs w:val="24"/>
        </w:rPr>
        <w:t>Klinisk virkning og sikkerhed</w:t>
      </w:r>
    </w:p>
    <w:p w:rsidR="00A02663" w:rsidRPr="00414820" w:rsidRDefault="00A02663" w:rsidP="00A02663">
      <w:pPr>
        <w:tabs>
          <w:tab w:val="left" w:pos="851"/>
        </w:tabs>
        <w:ind w:left="851" w:hanging="851"/>
        <w:rPr>
          <w:sz w:val="24"/>
          <w:szCs w:val="24"/>
        </w:rPr>
      </w:pPr>
      <w:r>
        <w:rPr>
          <w:sz w:val="24"/>
          <w:szCs w:val="24"/>
        </w:rPr>
        <w:tab/>
      </w:r>
      <w:r w:rsidRPr="00414820">
        <w:rPr>
          <w:sz w:val="24"/>
          <w:szCs w:val="24"/>
        </w:rPr>
        <w:t xml:space="preserve">Virkningen af </w:t>
      </w:r>
      <w:proofErr w:type="spellStart"/>
      <w:r w:rsidRPr="00414820">
        <w:rPr>
          <w:sz w:val="24"/>
          <w:szCs w:val="24"/>
        </w:rPr>
        <w:t>Nocdurna</w:t>
      </w:r>
      <w:proofErr w:type="spellEnd"/>
      <w:r w:rsidRPr="00414820">
        <w:rPr>
          <w:sz w:val="24"/>
          <w:szCs w:val="24"/>
        </w:rPr>
        <w:t xml:space="preserve"> er blevet påvist i to randomiserede dobbelt-blinde placebokontrollerede studier i henholdsvis 268 kvinder (studie CS40, </w:t>
      </w:r>
      <w:proofErr w:type="spellStart"/>
      <w:r w:rsidRPr="00414820">
        <w:rPr>
          <w:sz w:val="24"/>
          <w:szCs w:val="24"/>
        </w:rPr>
        <w:t>desmopressin</w:t>
      </w:r>
      <w:proofErr w:type="spellEnd"/>
      <w:r w:rsidRPr="00414820">
        <w:rPr>
          <w:sz w:val="24"/>
          <w:szCs w:val="24"/>
        </w:rPr>
        <w:t xml:space="preserve"> frysetørret tablet 25 mikrogram versus placebo) og 395 mænd (studie CS41, </w:t>
      </w:r>
      <w:proofErr w:type="spellStart"/>
      <w:r w:rsidRPr="00414820">
        <w:rPr>
          <w:sz w:val="24"/>
          <w:szCs w:val="24"/>
        </w:rPr>
        <w:t>desmopressin</w:t>
      </w:r>
      <w:proofErr w:type="spellEnd"/>
      <w:r w:rsidRPr="00414820">
        <w:rPr>
          <w:sz w:val="24"/>
          <w:szCs w:val="24"/>
        </w:rPr>
        <w:t xml:space="preserve"> frysetørret tablet 50 mikrogram og 75 mikrogram versus placebo) med </w:t>
      </w:r>
      <w:proofErr w:type="spellStart"/>
      <w:r w:rsidRPr="00414820">
        <w:rPr>
          <w:sz w:val="24"/>
          <w:szCs w:val="24"/>
        </w:rPr>
        <w:t>nykturi</w:t>
      </w:r>
      <w:proofErr w:type="spellEnd"/>
      <w:r w:rsidRPr="00414820">
        <w:rPr>
          <w:sz w:val="24"/>
          <w:szCs w:val="24"/>
        </w:rPr>
        <w:t xml:space="preserve"> defineret som et gennemsnit af ≥2 natlige vandladninger per nat og </w:t>
      </w:r>
      <w:proofErr w:type="spellStart"/>
      <w:r w:rsidRPr="00414820">
        <w:rPr>
          <w:sz w:val="24"/>
          <w:szCs w:val="24"/>
        </w:rPr>
        <w:t>polyuri</w:t>
      </w:r>
      <w:proofErr w:type="spellEnd"/>
      <w:r w:rsidRPr="00414820">
        <w:rPr>
          <w:sz w:val="24"/>
          <w:szCs w:val="24"/>
        </w:rPr>
        <w:t xml:space="preserve"> i 90% af kvinderne og 87% af mændene.</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sz w:val="24"/>
          <w:szCs w:val="24"/>
        </w:rPr>
      </w:pPr>
      <w:r>
        <w:rPr>
          <w:sz w:val="24"/>
          <w:szCs w:val="24"/>
        </w:rPr>
        <w:tab/>
      </w:r>
      <w:r w:rsidRPr="00414820">
        <w:rPr>
          <w:sz w:val="24"/>
          <w:szCs w:val="24"/>
        </w:rPr>
        <w:t xml:space="preserve">Begge studier imødekom de to </w:t>
      </w:r>
      <w:proofErr w:type="spellStart"/>
      <w:r w:rsidRPr="00414820">
        <w:rPr>
          <w:sz w:val="24"/>
          <w:szCs w:val="24"/>
        </w:rPr>
        <w:t>co</w:t>
      </w:r>
      <w:proofErr w:type="spellEnd"/>
      <w:r w:rsidRPr="00414820">
        <w:rPr>
          <w:sz w:val="24"/>
          <w:szCs w:val="24"/>
        </w:rPr>
        <w:t xml:space="preserve">-primære endepunkter med statistisk signifikante forskelle, til fordel for </w:t>
      </w:r>
      <w:proofErr w:type="spellStart"/>
      <w:r w:rsidRPr="00414820">
        <w:rPr>
          <w:sz w:val="24"/>
          <w:szCs w:val="24"/>
        </w:rPr>
        <w:t>desmopressin</w:t>
      </w:r>
      <w:proofErr w:type="spellEnd"/>
      <w:r w:rsidRPr="00414820">
        <w:rPr>
          <w:sz w:val="24"/>
          <w:szCs w:val="24"/>
        </w:rPr>
        <w:t xml:space="preserve"> frysetørret tablet over den 3 måneders periode. Der var et statistisk signifikant fald i de justerede gennemsnitlige antal natlige vandladninger fra baseline på </w:t>
      </w:r>
      <w:proofErr w:type="spellStart"/>
      <w:r w:rsidRPr="00414820">
        <w:rPr>
          <w:sz w:val="24"/>
          <w:szCs w:val="24"/>
        </w:rPr>
        <w:t>desmopressin</w:t>
      </w:r>
      <w:proofErr w:type="spellEnd"/>
      <w:r w:rsidRPr="00414820">
        <w:rPr>
          <w:sz w:val="24"/>
          <w:szCs w:val="24"/>
        </w:rPr>
        <w:t xml:space="preserve"> frysetørret tablet 25 mikrogram (-1,46) sammenlignet med placebo (-1,24) i det kvindelige studie (p = 0,028) (fig. 1) og </w:t>
      </w:r>
      <w:proofErr w:type="spellStart"/>
      <w:r w:rsidRPr="00414820">
        <w:rPr>
          <w:sz w:val="24"/>
          <w:szCs w:val="24"/>
        </w:rPr>
        <w:t>desmopressin</w:t>
      </w:r>
      <w:proofErr w:type="spellEnd"/>
      <w:r w:rsidRPr="00414820">
        <w:rPr>
          <w:sz w:val="24"/>
          <w:szCs w:val="24"/>
        </w:rPr>
        <w:t xml:space="preserve"> frysetørret tablet 50 mikrogram (-1,25) sammenlignet med placebo (-0,88) i det mandlige studie (p = 0,0003) (fig. 2). Andelen af forsøgspersoner med&gt; 33% fald i de gennemsnitlige antal natlige vandladninger (respondenter) blev signifikant forøget, næsten fordoblet. Odds ratio for&gt; 33% reduktion af </w:t>
      </w:r>
      <w:proofErr w:type="spellStart"/>
      <w:r w:rsidRPr="00414820">
        <w:rPr>
          <w:sz w:val="24"/>
          <w:szCs w:val="24"/>
        </w:rPr>
        <w:t>desmopressin</w:t>
      </w:r>
      <w:proofErr w:type="spellEnd"/>
      <w:r w:rsidRPr="00414820">
        <w:rPr>
          <w:sz w:val="24"/>
          <w:szCs w:val="24"/>
        </w:rPr>
        <w:t xml:space="preserve"> frysetørret tablet 25 mikrogram sammenlignet med placebo blev 1,85 (p = 0,006) i det kvindelige studie og odds ratio for&gt; 33% reduktion af </w:t>
      </w:r>
      <w:proofErr w:type="spellStart"/>
      <w:r w:rsidRPr="00414820">
        <w:rPr>
          <w:sz w:val="24"/>
          <w:szCs w:val="24"/>
        </w:rPr>
        <w:t>desmopressin</w:t>
      </w:r>
      <w:proofErr w:type="spellEnd"/>
      <w:r w:rsidRPr="00414820">
        <w:rPr>
          <w:sz w:val="24"/>
          <w:szCs w:val="24"/>
        </w:rPr>
        <w:t xml:space="preserve"> frysetørret tablet 50 mikrogram sammenlignet med placebo blev 1,98 (p = 0,0009) i det mandlige studie.</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sz w:val="24"/>
          <w:szCs w:val="24"/>
        </w:rPr>
      </w:pPr>
      <w:r>
        <w:rPr>
          <w:sz w:val="24"/>
          <w:szCs w:val="24"/>
        </w:rPr>
        <w:tab/>
      </w:r>
      <w:r w:rsidRPr="00414820">
        <w:rPr>
          <w:sz w:val="24"/>
          <w:szCs w:val="24"/>
        </w:rPr>
        <w:t xml:space="preserve">For sekundære endepunkter, var der en stigning fra baseline til 3 måneder i den første uforstyrrede søvnperiode (FUSP)/tid til første vandladning ved en behandlings kontrast på 49 minutter i det kvindelige studie og 39 minutter i det mandlige studie. Der var en statistisk signifikant forbedring i livskvalitet for </w:t>
      </w:r>
      <w:proofErr w:type="spellStart"/>
      <w:r w:rsidRPr="00414820">
        <w:rPr>
          <w:sz w:val="24"/>
          <w:szCs w:val="24"/>
        </w:rPr>
        <w:t>desmopressin</w:t>
      </w:r>
      <w:proofErr w:type="spellEnd"/>
      <w:r w:rsidRPr="00414820">
        <w:rPr>
          <w:sz w:val="24"/>
          <w:szCs w:val="24"/>
        </w:rPr>
        <w:t xml:space="preserve"> frysetørret tablet 25 mikrogram (N-</w:t>
      </w:r>
      <w:proofErr w:type="spellStart"/>
      <w:r w:rsidRPr="00414820">
        <w:rPr>
          <w:sz w:val="24"/>
          <w:szCs w:val="24"/>
        </w:rPr>
        <w:t>QoL</w:t>
      </w:r>
      <w:proofErr w:type="spellEnd"/>
      <w:r w:rsidRPr="00414820">
        <w:rPr>
          <w:sz w:val="24"/>
          <w:szCs w:val="24"/>
        </w:rPr>
        <w:t xml:space="preserve"> total score 27,24) sammenlignet med placebo (21,90) (p = 0,0226) i kvinder og en forbedring for </w:t>
      </w:r>
      <w:proofErr w:type="spellStart"/>
      <w:r w:rsidRPr="00414820">
        <w:rPr>
          <w:sz w:val="24"/>
          <w:szCs w:val="24"/>
        </w:rPr>
        <w:t>desmopressin</w:t>
      </w:r>
      <w:proofErr w:type="spellEnd"/>
      <w:r w:rsidRPr="00414820">
        <w:rPr>
          <w:sz w:val="24"/>
          <w:szCs w:val="24"/>
        </w:rPr>
        <w:t xml:space="preserve"> frysetørret tablet 50 mikrogram (N-</w:t>
      </w:r>
      <w:proofErr w:type="spellStart"/>
      <w:r w:rsidRPr="00414820">
        <w:rPr>
          <w:sz w:val="24"/>
          <w:szCs w:val="24"/>
        </w:rPr>
        <w:t>QoL</w:t>
      </w:r>
      <w:proofErr w:type="spellEnd"/>
      <w:r w:rsidRPr="00414820">
        <w:rPr>
          <w:sz w:val="24"/>
          <w:szCs w:val="24"/>
        </w:rPr>
        <w:t xml:space="preserve"> samlede score 18,37) sammenlignet med placebo (13,88) (p = 0,0385) i mænd. Der var en stærk association (p &lt;0,0001) i begge studier mellem behandlingsrespons (reduktion i antallet af natlige vandladninger og stigning i FUSP) og forbedringer i patienternes livskvalitet.</w:t>
      </w:r>
    </w:p>
    <w:p w:rsidR="00A02663" w:rsidRDefault="00A02663" w:rsidP="00A02663">
      <w:pPr>
        <w:rPr>
          <w:b/>
          <w:sz w:val="24"/>
          <w:szCs w:val="24"/>
        </w:rPr>
      </w:pPr>
      <w:r>
        <w:rPr>
          <w:b/>
          <w:sz w:val="24"/>
          <w:szCs w:val="24"/>
        </w:rPr>
        <w:br w:type="page"/>
      </w:r>
    </w:p>
    <w:p w:rsidR="00A02663" w:rsidRPr="00414820" w:rsidRDefault="00A02663" w:rsidP="00A02663">
      <w:pPr>
        <w:tabs>
          <w:tab w:val="left" w:pos="851"/>
        </w:tabs>
        <w:ind w:left="851" w:hanging="851"/>
        <w:rPr>
          <w:b/>
          <w:sz w:val="24"/>
          <w:szCs w:val="24"/>
        </w:rPr>
      </w:pPr>
    </w:p>
    <w:p w:rsidR="00A02663" w:rsidRPr="00414820" w:rsidRDefault="00A02663" w:rsidP="00A02663">
      <w:pPr>
        <w:tabs>
          <w:tab w:val="left" w:pos="851"/>
        </w:tabs>
        <w:ind w:left="851"/>
        <w:rPr>
          <w:b/>
          <w:sz w:val="24"/>
          <w:szCs w:val="24"/>
        </w:rPr>
      </w:pPr>
      <w:r w:rsidRPr="00414820">
        <w:rPr>
          <w:b/>
          <w:sz w:val="24"/>
          <w:szCs w:val="24"/>
        </w:rPr>
        <w:t>Figur 1. Co-Primært endepunkt: Justeret gennemsnitlig ændring fra baseline i natlige vandladninger over 3 måneders behandling - (Kvinder, CS40 komplet analyse sæt)</w:t>
      </w:r>
    </w:p>
    <w:p w:rsidR="00A02663" w:rsidRPr="00414820" w:rsidRDefault="00A02663" w:rsidP="00A02663">
      <w:pPr>
        <w:tabs>
          <w:tab w:val="left" w:pos="851"/>
        </w:tabs>
        <w:ind w:left="851"/>
        <w:rPr>
          <w:sz w:val="24"/>
          <w:szCs w:val="24"/>
        </w:rPr>
      </w:pPr>
      <w:r w:rsidRPr="00414820">
        <w:rPr>
          <w:sz w:val="24"/>
          <w:szCs w:val="24"/>
        </w:rPr>
        <w:t xml:space="preserve"> </w:t>
      </w:r>
    </w:p>
    <w:p w:rsidR="00A02663" w:rsidRPr="00414820" w:rsidRDefault="00A02663" w:rsidP="00A02663">
      <w:pPr>
        <w:tabs>
          <w:tab w:val="left" w:pos="851"/>
        </w:tabs>
        <w:ind w:left="851"/>
        <w:rPr>
          <w:sz w:val="24"/>
          <w:szCs w:val="24"/>
        </w:rPr>
      </w:pPr>
      <w:r w:rsidRPr="00414820">
        <w:rPr>
          <w:iCs/>
          <w:noProof/>
          <w:sz w:val="24"/>
          <w:szCs w:val="24"/>
          <w:lang w:eastAsia="da-DK"/>
        </w:rPr>
        <w:drawing>
          <wp:inline distT="0" distB="0" distL="0" distR="0" wp14:anchorId="38A15E69" wp14:editId="21AFAAE7">
            <wp:extent cx="5067300" cy="339090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67300" cy="3390900"/>
                    </a:xfrm>
                    <a:prstGeom prst="rect">
                      <a:avLst/>
                    </a:prstGeom>
                    <a:noFill/>
                    <a:ln>
                      <a:noFill/>
                    </a:ln>
                  </pic:spPr>
                </pic:pic>
              </a:graphicData>
            </a:graphic>
          </wp:inline>
        </w:drawing>
      </w:r>
    </w:p>
    <w:p w:rsidR="00A02663" w:rsidRPr="00414820" w:rsidRDefault="00A02663" w:rsidP="00A02663">
      <w:pPr>
        <w:tabs>
          <w:tab w:val="left" w:pos="851"/>
        </w:tabs>
        <w:ind w:left="851"/>
        <w:rPr>
          <w:b/>
          <w:sz w:val="24"/>
          <w:szCs w:val="24"/>
        </w:rPr>
      </w:pPr>
    </w:p>
    <w:p w:rsidR="00A02663" w:rsidRPr="00414820" w:rsidRDefault="00A02663" w:rsidP="00A02663">
      <w:pPr>
        <w:tabs>
          <w:tab w:val="left" w:pos="851"/>
        </w:tabs>
        <w:ind w:left="851"/>
        <w:rPr>
          <w:b/>
          <w:sz w:val="24"/>
          <w:szCs w:val="24"/>
        </w:rPr>
      </w:pPr>
    </w:p>
    <w:p w:rsidR="00A02663" w:rsidRPr="00414820" w:rsidRDefault="00A02663" w:rsidP="00A02663">
      <w:pPr>
        <w:tabs>
          <w:tab w:val="left" w:pos="851"/>
        </w:tabs>
        <w:ind w:left="851"/>
        <w:rPr>
          <w:b/>
          <w:sz w:val="24"/>
          <w:szCs w:val="24"/>
        </w:rPr>
      </w:pPr>
      <w:r w:rsidRPr="00414820">
        <w:rPr>
          <w:b/>
          <w:sz w:val="24"/>
          <w:szCs w:val="24"/>
        </w:rPr>
        <w:t>Figur 2. Co-Primært endepunkt: Justeret gennemsnitlig ændring fra baseline i natlige vandladninger over 3 måneders behandling - (Mænd, CS41 komplet analyse sæt)</w:t>
      </w:r>
    </w:p>
    <w:p w:rsidR="00A02663" w:rsidRPr="00414820" w:rsidRDefault="00A02663" w:rsidP="00A02663">
      <w:pPr>
        <w:tabs>
          <w:tab w:val="left" w:pos="851"/>
        </w:tabs>
        <w:ind w:left="851"/>
        <w:rPr>
          <w:sz w:val="24"/>
          <w:szCs w:val="24"/>
        </w:rPr>
      </w:pPr>
    </w:p>
    <w:p w:rsidR="00A02663" w:rsidRPr="00414820" w:rsidRDefault="00A02663" w:rsidP="00A02663">
      <w:pPr>
        <w:tabs>
          <w:tab w:val="left" w:pos="851"/>
        </w:tabs>
        <w:ind w:left="851"/>
        <w:rPr>
          <w:sz w:val="24"/>
          <w:szCs w:val="24"/>
        </w:rPr>
      </w:pPr>
      <w:r w:rsidRPr="00414820">
        <w:rPr>
          <w:sz w:val="24"/>
          <w:szCs w:val="24"/>
        </w:rPr>
        <w:t xml:space="preserve"> </w:t>
      </w:r>
      <w:r w:rsidRPr="00414820">
        <w:rPr>
          <w:noProof/>
          <w:sz w:val="24"/>
          <w:szCs w:val="24"/>
          <w:lang w:eastAsia="da-DK"/>
        </w:rPr>
        <w:drawing>
          <wp:inline distT="0" distB="0" distL="0" distR="0" wp14:anchorId="6B3C21B4" wp14:editId="7CE5E2A9">
            <wp:extent cx="4962525" cy="3305175"/>
            <wp:effectExtent l="0" t="0" r="9525" b="9525"/>
            <wp:docPr id="2" name="Billede 2" descr="primplot_FASF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mplot_FASF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62525" cy="3305175"/>
                    </a:xfrm>
                    <a:prstGeom prst="rect">
                      <a:avLst/>
                    </a:prstGeom>
                    <a:noFill/>
                    <a:ln>
                      <a:noFill/>
                    </a:ln>
                  </pic:spPr>
                </pic:pic>
              </a:graphicData>
            </a:graphic>
          </wp:inline>
        </w:drawing>
      </w:r>
    </w:p>
    <w:p w:rsidR="00A02663" w:rsidRPr="00414820" w:rsidRDefault="00A02663" w:rsidP="00A02663">
      <w:pPr>
        <w:tabs>
          <w:tab w:val="left" w:pos="851"/>
        </w:tabs>
        <w:ind w:left="851"/>
        <w:rPr>
          <w:sz w:val="24"/>
          <w:szCs w:val="24"/>
        </w:rPr>
      </w:pPr>
    </w:p>
    <w:p w:rsidR="00A02663" w:rsidRPr="00414820" w:rsidRDefault="00A02663" w:rsidP="00A02663">
      <w:pPr>
        <w:tabs>
          <w:tab w:val="left" w:pos="851"/>
        </w:tabs>
        <w:ind w:left="851" w:hanging="851"/>
        <w:rPr>
          <w:sz w:val="24"/>
          <w:szCs w:val="24"/>
        </w:rPr>
      </w:pPr>
      <w:r>
        <w:rPr>
          <w:sz w:val="24"/>
          <w:szCs w:val="24"/>
        </w:rPr>
        <w:lastRenderedPageBreak/>
        <w:tab/>
      </w:r>
      <w:r w:rsidRPr="00414820">
        <w:rPr>
          <w:sz w:val="24"/>
          <w:szCs w:val="24"/>
        </w:rPr>
        <w:t xml:space="preserve">I et dobbelt-blindet randomiseret klinisk studie blev virkning og sikkerheden af en kombinationsbehandling med </w:t>
      </w:r>
      <w:proofErr w:type="spellStart"/>
      <w:r w:rsidRPr="00414820">
        <w:rPr>
          <w:sz w:val="24"/>
          <w:szCs w:val="24"/>
        </w:rPr>
        <w:t>desmopressin</w:t>
      </w:r>
      <w:proofErr w:type="spellEnd"/>
      <w:r w:rsidRPr="00414820">
        <w:rPr>
          <w:sz w:val="24"/>
          <w:szCs w:val="24"/>
        </w:rPr>
        <w:t xml:space="preserve"> frysetørret tablet og </w:t>
      </w:r>
      <w:proofErr w:type="spellStart"/>
      <w:r w:rsidRPr="00414820">
        <w:rPr>
          <w:sz w:val="24"/>
          <w:szCs w:val="24"/>
        </w:rPr>
        <w:t>tolterodin</w:t>
      </w:r>
      <w:proofErr w:type="spellEnd"/>
      <w:r w:rsidRPr="00414820">
        <w:rPr>
          <w:sz w:val="24"/>
          <w:szCs w:val="24"/>
        </w:rPr>
        <w:t xml:space="preserve"> depotkapsel undersøgt til behandling af en overaktiv blære med </w:t>
      </w:r>
      <w:proofErr w:type="spellStart"/>
      <w:r w:rsidRPr="00414820">
        <w:rPr>
          <w:sz w:val="24"/>
          <w:szCs w:val="24"/>
        </w:rPr>
        <w:t>nykturi</w:t>
      </w:r>
      <w:proofErr w:type="spellEnd"/>
      <w:r w:rsidRPr="00414820">
        <w:rPr>
          <w:sz w:val="24"/>
          <w:szCs w:val="24"/>
        </w:rPr>
        <w:t xml:space="preserve"> hos kvinder, i en periode på 3 måneder. Niogfyrre patienter blev udsat for en kombination af </w:t>
      </w:r>
      <w:proofErr w:type="spellStart"/>
      <w:r w:rsidRPr="00414820">
        <w:rPr>
          <w:sz w:val="24"/>
          <w:szCs w:val="24"/>
        </w:rPr>
        <w:t>Nocdurna</w:t>
      </w:r>
      <w:proofErr w:type="spellEnd"/>
      <w:r w:rsidRPr="00414820">
        <w:rPr>
          <w:sz w:val="24"/>
          <w:szCs w:val="24"/>
        </w:rPr>
        <w:t xml:space="preserve"> (</w:t>
      </w:r>
      <w:proofErr w:type="spellStart"/>
      <w:r w:rsidRPr="00414820">
        <w:rPr>
          <w:sz w:val="24"/>
          <w:szCs w:val="24"/>
        </w:rPr>
        <w:t>desmopressin</w:t>
      </w:r>
      <w:proofErr w:type="spellEnd"/>
      <w:r w:rsidRPr="00414820">
        <w:rPr>
          <w:sz w:val="24"/>
          <w:szCs w:val="24"/>
        </w:rPr>
        <w:t xml:space="preserve"> frysetørret tablet) 25 mikrogram og </w:t>
      </w:r>
      <w:proofErr w:type="spellStart"/>
      <w:r w:rsidRPr="00414820">
        <w:rPr>
          <w:sz w:val="24"/>
          <w:szCs w:val="24"/>
        </w:rPr>
        <w:t>tolterodin</w:t>
      </w:r>
      <w:proofErr w:type="spellEnd"/>
      <w:r w:rsidRPr="00414820">
        <w:rPr>
          <w:sz w:val="24"/>
          <w:szCs w:val="24"/>
        </w:rPr>
        <w:t xml:space="preserve"> 4 milligram. Ingen alvorlige bivirkninger blev observeret i dette studie og sikkerhedsprofilen af kombinationsbehandlingen var magen til sikkerhedsprofilen for </w:t>
      </w:r>
      <w:proofErr w:type="spellStart"/>
      <w:r w:rsidRPr="00414820">
        <w:rPr>
          <w:sz w:val="24"/>
          <w:szCs w:val="24"/>
        </w:rPr>
        <w:t>Nocdurna</w:t>
      </w:r>
      <w:proofErr w:type="spellEnd"/>
      <w:r w:rsidRPr="00414820">
        <w:rPr>
          <w:sz w:val="24"/>
          <w:szCs w:val="24"/>
        </w:rPr>
        <w:t xml:space="preserve"> 25 mikrogram. Virkningen i form af reduktion fra baseline i gennemsnitlige antal natlige vandladninger i løbet af 3 måneders behandling var numerisk større i kombinationsbehandlingen versus </w:t>
      </w:r>
      <w:proofErr w:type="spellStart"/>
      <w:r w:rsidRPr="00414820">
        <w:rPr>
          <w:sz w:val="24"/>
          <w:szCs w:val="24"/>
        </w:rPr>
        <w:t>tolterodin</w:t>
      </w:r>
      <w:proofErr w:type="spellEnd"/>
      <w:r w:rsidRPr="00414820">
        <w:rPr>
          <w:sz w:val="24"/>
          <w:szCs w:val="24"/>
        </w:rPr>
        <w:t xml:space="preserve"> monoterapigruppen (behandling kontrast, -0.34 vandladninger) i komplet analysesæt, og forskellen nåede statistisk signifikans (p = 0,049) med en behandlingseffekt på -0.41 vandladninger i per </w:t>
      </w:r>
      <w:proofErr w:type="gramStart"/>
      <w:r w:rsidRPr="00414820">
        <w:rPr>
          <w:sz w:val="24"/>
          <w:szCs w:val="24"/>
        </w:rPr>
        <w:t>protokol analysen</w:t>
      </w:r>
      <w:proofErr w:type="gramEnd"/>
      <w:r w:rsidRPr="00414820">
        <w:rPr>
          <w:sz w:val="24"/>
          <w:szCs w:val="24"/>
        </w:rPr>
        <w:t>.</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sz w:val="24"/>
          <w:szCs w:val="24"/>
          <w:u w:val="single"/>
        </w:rPr>
      </w:pPr>
      <w:r w:rsidRPr="001B6C6F">
        <w:rPr>
          <w:sz w:val="24"/>
          <w:szCs w:val="24"/>
        </w:rPr>
        <w:tab/>
      </w:r>
      <w:r w:rsidRPr="00414820">
        <w:rPr>
          <w:sz w:val="24"/>
          <w:szCs w:val="24"/>
          <w:u w:val="single"/>
        </w:rPr>
        <w:t>Kønsforskelle i den kliniske sikkerhed og virkning</w:t>
      </w:r>
    </w:p>
    <w:p w:rsidR="00A02663" w:rsidRPr="00414820" w:rsidRDefault="00A02663" w:rsidP="00A02663">
      <w:pPr>
        <w:tabs>
          <w:tab w:val="left" w:pos="851"/>
        </w:tabs>
        <w:ind w:left="851" w:hanging="851"/>
        <w:rPr>
          <w:sz w:val="24"/>
          <w:szCs w:val="24"/>
        </w:rPr>
      </w:pPr>
      <w:r>
        <w:rPr>
          <w:sz w:val="24"/>
          <w:szCs w:val="24"/>
        </w:rPr>
        <w:tab/>
      </w:r>
      <w:r w:rsidRPr="00414820">
        <w:rPr>
          <w:sz w:val="24"/>
          <w:szCs w:val="24"/>
        </w:rPr>
        <w:t xml:space="preserve">Klinisk studie [FE992026 CS029] analyserede dosis-respons på </w:t>
      </w:r>
      <w:proofErr w:type="spellStart"/>
      <w:r w:rsidRPr="00414820">
        <w:rPr>
          <w:sz w:val="24"/>
          <w:szCs w:val="24"/>
        </w:rPr>
        <w:t>Nocdurna</w:t>
      </w:r>
      <w:proofErr w:type="spellEnd"/>
      <w:r w:rsidRPr="00414820">
        <w:rPr>
          <w:sz w:val="24"/>
          <w:szCs w:val="24"/>
        </w:rPr>
        <w:t xml:space="preserve"> hos mænd og kvinder i doser fra 10 til 100 mikrogram: Hos kvinder, var der ingen yderligere øgning i den </w:t>
      </w:r>
      <w:proofErr w:type="spellStart"/>
      <w:r w:rsidRPr="00414820">
        <w:rPr>
          <w:sz w:val="24"/>
          <w:szCs w:val="24"/>
        </w:rPr>
        <w:t>farmakodynamiske</w:t>
      </w:r>
      <w:proofErr w:type="spellEnd"/>
      <w:r w:rsidRPr="00414820">
        <w:rPr>
          <w:sz w:val="24"/>
          <w:szCs w:val="24"/>
        </w:rPr>
        <w:t xml:space="preserve"> virkning ved doser over 25 mikrogram, hvilket indikerer, at dosisrespons</w:t>
      </w:r>
      <w:r>
        <w:rPr>
          <w:sz w:val="24"/>
          <w:szCs w:val="24"/>
        </w:rPr>
        <w:t>-</w:t>
      </w:r>
      <w:r w:rsidRPr="00414820">
        <w:rPr>
          <w:sz w:val="24"/>
          <w:szCs w:val="24"/>
        </w:rPr>
        <w:t>plateau blev nået ved 25 mikrogram hos kvinder. Hos mænd, var reduktionen af urinvolumen større ved 50 mikrogram, men ikke væsentligt højere ved 100 mikrogram. At øge dosis til 50 mikrogram hos kvinder gav ikke yderligere virknin</w:t>
      </w:r>
      <w:r>
        <w:rPr>
          <w:sz w:val="24"/>
          <w:szCs w:val="24"/>
        </w:rPr>
        <w:t>g, men var forbundet med en fem</w:t>
      </w:r>
      <w:r w:rsidRPr="00414820">
        <w:rPr>
          <w:sz w:val="24"/>
          <w:szCs w:val="24"/>
        </w:rPr>
        <w:t xml:space="preserve">dobbelt stigning i risikoen for </w:t>
      </w:r>
      <w:proofErr w:type="spellStart"/>
      <w:r w:rsidRPr="00414820">
        <w:rPr>
          <w:sz w:val="24"/>
          <w:szCs w:val="24"/>
        </w:rPr>
        <w:t>hyponatriæmi</w:t>
      </w:r>
      <w:proofErr w:type="spellEnd"/>
      <w:r w:rsidRPr="00414820">
        <w:rPr>
          <w:sz w:val="24"/>
          <w:szCs w:val="24"/>
        </w:rPr>
        <w:t xml:space="preserve"> sammenlignet med mænd i aldersgruppen over 50 år (p = 0,015).</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b/>
          <w:sz w:val="24"/>
          <w:szCs w:val="24"/>
        </w:rPr>
      </w:pPr>
      <w:r w:rsidRPr="00414820">
        <w:rPr>
          <w:b/>
          <w:sz w:val="24"/>
          <w:szCs w:val="24"/>
        </w:rPr>
        <w:t>5.2</w:t>
      </w:r>
      <w:r w:rsidRPr="00414820">
        <w:rPr>
          <w:b/>
          <w:sz w:val="24"/>
          <w:szCs w:val="24"/>
        </w:rPr>
        <w:tab/>
      </w:r>
      <w:proofErr w:type="spellStart"/>
      <w:r w:rsidRPr="00414820">
        <w:rPr>
          <w:b/>
          <w:sz w:val="24"/>
          <w:szCs w:val="24"/>
        </w:rPr>
        <w:t>Farmakokinetiske</w:t>
      </w:r>
      <w:proofErr w:type="spellEnd"/>
      <w:r w:rsidRPr="00414820">
        <w:rPr>
          <w:b/>
          <w:sz w:val="24"/>
          <w:szCs w:val="24"/>
        </w:rPr>
        <w:t xml:space="preserve"> egenskaber</w:t>
      </w:r>
    </w:p>
    <w:p w:rsidR="00A02663" w:rsidRDefault="00A02663" w:rsidP="00A02663">
      <w:pPr>
        <w:tabs>
          <w:tab w:val="left" w:pos="851"/>
        </w:tabs>
        <w:ind w:left="851" w:hanging="851"/>
        <w:rPr>
          <w:sz w:val="24"/>
          <w:szCs w:val="24"/>
          <w:u w:val="single"/>
        </w:rPr>
      </w:pPr>
    </w:p>
    <w:p w:rsidR="00A02663" w:rsidRPr="00414820" w:rsidRDefault="00A02663" w:rsidP="00A02663">
      <w:pPr>
        <w:tabs>
          <w:tab w:val="left" w:pos="851"/>
        </w:tabs>
        <w:ind w:left="851" w:hanging="851"/>
        <w:rPr>
          <w:sz w:val="24"/>
          <w:szCs w:val="24"/>
          <w:u w:val="single"/>
          <w:lang w:eastAsia="da-DK"/>
        </w:rPr>
      </w:pPr>
      <w:r w:rsidRPr="001B6C6F">
        <w:rPr>
          <w:sz w:val="24"/>
          <w:szCs w:val="24"/>
        </w:rPr>
        <w:tab/>
      </w:r>
      <w:r w:rsidRPr="00414820">
        <w:rPr>
          <w:sz w:val="24"/>
          <w:szCs w:val="24"/>
          <w:u w:val="single"/>
        </w:rPr>
        <w:t>Absorption</w:t>
      </w:r>
    </w:p>
    <w:p w:rsidR="00A02663" w:rsidRPr="00414820" w:rsidRDefault="00A02663" w:rsidP="00A02663">
      <w:pPr>
        <w:tabs>
          <w:tab w:val="left" w:pos="851"/>
        </w:tabs>
        <w:ind w:left="851" w:hanging="851"/>
        <w:rPr>
          <w:sz w:val="24"/>
          <w:szCs w:val="24"/>
        </w:rPr>
      </w:pPr>
      <w:r>
        <w:rPr>
          <w:sz w:val="24"/>
          <w:szCs w:val="24"/>
        </w:rPr>
        <w:tab/>
      </w:r>
      <w:r w:rsidRPr="00414820">
        <w:rPr>
          <w:sz w:val="24"/>
          <w:szCs w:val="24"/>
        </w:rPr>
        <w:t xml:space="preserve">Den gennemsnitlige absolutte biotilgængelighed af </w:t>
      </w:r>
      <w:proofErr w:type="spellStart"/>
      <w:r w:rsidRPr="00414820">
        <w:rPr>
          <w:sz w:val="24"/>
          <w:szCs w:val="24"/>
        </w:rPr>
        <w:t>desmopressin</w:t>
      </w:r>
      <w:proofErr w:type="spellEnd"/>
      <w:r w:rsidRPr="00414820">
        <w:rPr>
          <w:sz w:val="24"/>
          <w:szCs w:val="24"/>
        </w:rPr>
        <w:t xml:space="preserve"> efter </w:t>
      </w:r>
      <w:proofErr w:type="spellStart"/>
      <w:r w:rsidRPr="00414820">
        <w:rPr>
          <w:sz w:val="24"/>
          <w:szCs w:val="24"/>
        </w:rPr>
        <w:t>sublingual</w:t>
      </w:r>
      <w:proofErr w:type="spellEnd"/>
      <w:r w:rsidRPr="00414820">
        <w:rPr>
          <w:sz w:val="24"/>
          <w:szCs w:val="24"/>
        </w:rPr>
        <w:t xml:space="preserve"> administration fra tidligere dosisstudier med doser på 200, 400 og 800 mikrogram er 0,25%, med et 95% konfidensinterval på 0,21-0,31%. </w:t>
      </w:r>
      <w:proofErr w:type="spellStart"/>
      <w:r w:rsidRPr="00414820">
        <w:rPr>
          <w:sz w:val="24"/>
          <w:szCs w:val="24"/>
        </w:rPr>
        <w:t>Desmopressin</w:t>
      </w:r>
      <w:proofErr w:type="spellEnd"/>
      <w:r w:rsidRPr="00414820">
        <w:rPr>
          <w:sz w:val="24"/>
          <w:szCs w:val="24"/>
        </w:rPr>
        <w:t xml:space="preserve"> udviser en moderat til høj variabilitet i biotilgængeligheden, både inden for og mellem forsøgspersoner. </w:t>
      </w:r>
      <w:proofErr w:type="spellStart"/>
      <w:r w:rsidRPr="00414820">
        <w:rPr>
          <w:sz w:val="24"/>
          <w:szCs w:val="24"/>
        </w:rPr>
        <w:t>Desmopressin</w:t>
      </w:r>
      <w:proofErr w:type="spellEnd"/>
      <w:r w:rsidRPr="00414820">
        <w:rPr>
          <w:sz w:val="24"/>
          <w:szCs w:val="24"/>
        </w:rPr>
        <w:t xml:space="preserve"> viser dosislinearitet med hensyn til AUC og </w:t>
      </w:r>
      <w:proofErr w:type="spellStart"/>
      <w:r w:rsidRPr="00414820">
        <w:rPr>
          <w:sz w:val="24"/>
          <w:szCs w:val="24"/>
        </w:rPr>
        <w:t>C</w:t>
      </w:r>
      <w:r w:rsidRPr="001B6C6F">
        <w:rPr>
          <w:sz w:val="24"/>
          <w:szCs w:val="24"/>
          <w:vertAlign w:val="subscript"/>
        </w:rPr>
        <w:t>max</w:t>
      </w:r>
      <w:proofErr w:type="spellEnd"/>
      <w:r w:rsidRPr="00414820">
        <w:rPr>
          <w:sz w:val="24"/>
          <w:szCs w:val="24"/>
        </w:rPr>
        <w:t xml:space="preserve"> i intervallet 60-240 mikrogram. Dog er biotilgængeligheden af doser under 60 ikke evalueret.</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sz w:val="24"/>
          <w:szCs w:val="24"/>
          <w:u w:val="single"/>
        </w:rPr>
      </w:pPr>
      <w:r w:rsidRPr="001B6C6F">
        <w:rPr>
          <w:sz w:val="24"/>
          <w:szCs w:val="24"/>
        </w:rPr>
        <w:tab/>
      </w:r>
      <w:r w:rsidRPr="00414820">
        <w:rPr>
          <w:sz w:val="24"/>
          <w:szCs w:val="24"/>
          <w:u w:val="single"/>
        </w:rPr>
        <w:t>Fordeling</w:t>
      </w:r>
    </w:p>
    <w:p w:rsidR="00A02663" w:rsidRPr="00414820" w:rsidRDefault="00A02663" w:rsidP="00A02663">
      <w:pPr>
        <w:tabs>
          <w:tab w:val="left" w:pos="851"/>
        </w:tabs>
        <w:ind w:left="851" w:hanging="851"/>
        <w:rPr>
          <w:sz w:val="24"/>
          <w:szCs w:val="24"/>
        </w:rPr>
      </w:pPr>
      <w:r>
        <w:rPr>
          <w:sz w:val="24"/>
          <w:szCs w:val="24"/>
        </w:rPr>
        <w:tab/>
      </w:r>
      <w:proofErr w:type="spellStart"/>
      <w:r w:rsidRPr="00414820">
        <w:rPr>
          <w:sz w:val="24"/>
          <w:szCs w:val="24"/>
        </w:rPr>
        <w:t>Desmopressins</w:t>
      </w:r>
      <w:proofErr w:type="spellEnd"/>
      <w:r w:rsidRPr="00414820">
        <w:rPr>
          <w:sz w:val="24"/>
          <w:szCs w:val="24"/>
        </w:rPr>
        <w:t xml:space="preserve"> fordeling beskrives bedst med en to-</w:t>
      </w:r>
      <w:proofErr w:type="spellStart"/>
      <w:r w:rsidRPr="00414820">
        <w:rPr>
          <w:sz w:val="24"/>
          <w:szCs w:val="24"/>
        </w:rPr>
        <w:t>kompartment</w:t>
      </w:r>
      <w:proofErr w:type="spellEnd"/>
      <w:r w:rsidRPr="00414820">
        <w:rPr>
          <w:sz w:val="24"/>
          <w:szCs w:val="24"/>
        </w:rPr>
        <w:t xml:space="preserve"> model, hvor fordelingsvolumen under elimineringsfasen er 0,3-0,5 l/kg.</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sz w:val="24"/>
          <w:szCs w:val="24"/>
          <w:u w:val="single"/>
        </w:rPr>
      </w:pPr>
      <w:r w:rsidRPr="001B6C6F">
        <w:rPr>
          <w:sz w:val="24"/>
          <w:szCs w:val="24"/>
        </w:rPr>
        <w:tab/>
      </w:r>
      <w:r w:rsidRPr="00414820">
        <w:rPr>
          <w:sz w:val="24"/>
          <w:szCs w:val="24"/>
          <w:u w:val="single"/>
        </w:rPr>
        <w:t xml:space="preserve">Biotransformation </w:t>
      </w:r>
    </w:p>
    <w:p w:rsidR="00A02663" w:rsidRPr="00414820" w:rsidRDefault="00A02663" w:rsidP="00A02663">
      <w:pPr>
        <w:tabs>
          <w:tab w:val="left" w:pos="851"/>
        </w:tabs>
        <w:ind w:left="851" w:hanging="851"/>
        <w:rPr>
          <w:sz w:val="24"/>
          <w:szCs w:val="24"/>
        </w:rPr>
      </w:pPr>
      <w:r>
        <w:rPr>
          <w:i/>
          <w:sz w:val="24"/>
          <w:szCs w:val="24"/>
        </w:rPr>
        <w:tab/>
      </w:r>
      <w:r w:rsidRPr="00414820">
        <w:rPr>
          <w:i/>
          <w:sz w:val="24"/>
          <w:szCs w:val="24"/>
        </w:rPr>
        <w:t xml:space="preserve">In </w:t>
      </w:r>
      <w:proofErr w:type="spellStart"/>
      <w:r w:rsidRPr="00414820">
        <w:rPr>
          <w:i/>
          <w:sz w:val="24"/>
          <w:szCs w:val="24"/>
        </w:rPr>
        <w:t>vivo</w:t>
      </w:r>
      <w:proofErr w:type="spellEnd"/>
      <w:r w:rsidRPr="00414820">
        <w:rPr>
          <w:sz w:val="24"/>
          <w:szCs w:val="24"/>
        </w:rPr>
        <w:t xml:space="preserve">-metabolismen for </w:t>
      </w:r>
      <w:proofErr w:type="spellStart"/>
      <w:r w:rsidRPr="00414820">
        <w:rPr>
          <w:sz w:val="24"/>
          <w:szCs w:val="24"/>
        </w:rPr>
        <w:t>desmopressin</w:t>
      </w:r>
      <w:proofErr w:type="spellEnd"/>
      <w:r w:rsidRPr="00414820">
        <w:rPr>
          <w:sz w:val="24"/>
          <w:szCs w:val="24"/>
        </w:rPr>
        <w:t xml:space="preserve"> er ikke undersøgt. </w:t>
      </w:r>
      <w:r w:rsidRPr="00414820">
        <w:rPr>
          <w:i/>
          <w:sz w:val="24"/>
          <w:szCs w:val="24"/>
        </w:rPr>
        <w:t xml:space="preserve">In </w:t>
      </w:r>
      <w:proofErr w:type="spellStart"/>
      <w:r w:rsidRPr="00414820">
        <w:rPr>
          <w:i/>
          <w:sz w:val="24"/>
          <w:szCs w:val="24"/>
        </w:rPr>
        <w:t>vitro</w:t>
      </w:r>
      <w:proofErr w:type="spellEnd"/>
      <w:r w:rsidRPr="00414820">
        <w:rPr>
          <w:sz w:val="24"/>
          <w:szCs w:val="24"/>
        </w:rPr>
        <w:t xml:space="preserve"> humane </w:t>
      </w:r>
      <w:proofErr w:type="spellStart"/>
      <w:r w:rsidRPr="00414820">
        <w:rPr>
          <w:sz w:val="24"/>
          <w:szCs w:val="24"/>
        </w:rPr>
        <w:t>levermikrosom</w:t>
      </w:r>
      <w:proofErr w:type="spellEnd"/>
      <w:r w:rsidRPr="00414820">
        <w:rPr>
          <w:sz w:val="24"/>
          <w:szCs w:val="24"/>
        </w:rPr>
        <w:t xml:space="preserve"> metabolismestudier med </w:t>
      </w:r>
      <w:proofErr w:type="spellStart"/>
      <w:r w:rsidRPr="00414820">
        <w:rPr>
          <w:sz w:val="24"/>
          <w:szCs w:val="24"/>
        </w:rPr>
        <w:t>desmopressin</w:t>
      </w:r>
      <w:proofErr w:type="spellEnd"/>
      <w:r w:rsidRPr="00414820">
        <w:rPr>
          <w:sz w:val="24"/>
          <w:szCs w:val="24"/>
        </w:rPr>
        <w:t xml:space="preserve"> har vist, at der ikke </w:t>
      </w:r>
      <w:proofErr w:type="spellStart"/>
      <w:r w:rsidRPr="00414820">
        <w:rPr>
          <w:sz w:val="24"/>
          <w:szCs w:val="24"/>
        </w:rPr>
        <w:t>metaboliseres</w:t>
      </w:r>
      <w:proofErr w:type="spellEnd"/>
      <w:r w:rsidRPr="00414820">
        <w:rPr>
          <w:sz w:val="24"/>
          <w:szCs w:val="24"/>
        </w:rPr>
        <w:t xml:space="preserve"> nogen signifikant mængde i leveren via </w:t>
      </w:r>
      <w:proofErr w:type="spellStart"/>
      <w:r w:rsidRPr="00414820">
        <w:rPr>
          <w:sz w:val="24"/>
          <w:szCs w:val="24"/>
        </w:rPr>
        <w:t>cytokrom</w:t>
      </w:r>
      <w:proofErr w:type="spellEnd"/>
      <w:r w:rsidRPr="00414820">
        <w:rPr>
          <w:sz w:val="24"/>
          <w:szCs w:val="24"/>
        </w:rPr>
        <w:t xml:space="preserve"> P450-systemet. Det er derfor usandsynligt, at </w:t>
      </w:r>
      <w:proofErr w:type="spellStart"/>
      <w:r w:rsidRPr="00414820">
        <w:rPr>
          <w:sz w:val="24"/>
          <w:szCs w:val="24"/>
        </w:rPr>
        <w:t>desmopressin</w:t>
      </w:r>
      <w:proofErr w:type="spellEnd"/>
      <w:r w:rsidRPr="00414820">
        <w:rPr>
          <w:sz w:val="24"/>
          <w:szCs w:val="24"/>
        </w:rPr>
        <w:t xml:space="preserve"> </w:t>
      </w:r>
      <w:proofErr w:type="spellStart"/>
      <w:r w:rsidRPr="00414820">
        <w:rPr>
          <w:sz w:val="24"/>
          <w:szCs w:val="24"/>
        </w:rPr>
        <w:t>metaboliseres</w:t>
      </w:r>
      <w:proofErr w:type="spellEnd"/>
      <w:r w:rsidRPr="00414820">
        <w:rPr>
          <w:sz w:val="24"/>
          <w:szCs w:val="24"/>
        </w:rPr>
        <w:t xml:space="preserve"> </w:t>
      </w:r>
      <w:r w:rsidRPr="00414820">
        <w:rPr>
          <w:i/>
          <w:sz w:val="24"/>
          <w:szCs w:val="24"/>
        </w:rPr>
        <w:t xml:space="preserve">in </w:t>
      </w:r>
      <w:proofErr w:type="spellStart"/>
      <w:r w:rsidRPr="00414820">
        <w:rPr>
          <w:i/>
          <w:sz w:val="24"/>
          <w:szCs w:val="24"/>
        </w:rPr>
        <w:t>vivo</w:t>
      </w:r>
      <w:proofErr w:type="spellEnd"/>
      <w:r w:rsidRPr="00414820">
        <w:rPr>
          <w:sz w:val="24"/>
          <w:szCs w:val="24"/>
        </w:rPr>
        <w:t xml:space="preserve"> via </w:t>
      </w:r>
      <w:proofErr w:type="spellStart"/>
      <w:r w:rsidRPr="00414820">
        <w:rPr>
          <w:sz w:val="24"/>
          <w:szCs w:val="24"/>
        </w:rPr>
        <w:t>cytokrom</w:t>
      </w:r>
      <w:proofErr w:type="spellEnd"/>
      <w:r w:rsidRPr="00414820">
        <w:rPr>
          <w:sz w:val="24"/>
          <w:szCs w:val="24"/>
        </w:rPr>
        <w:t xml:space="preserve"> P450-systemet i leveren hos mennesker. </w:t>
      </w:r>
      <w:proofErr w:type="spellStart"/>
      <w:r w:rsidRPr="00414820">
        <w:rPr>
          <w:sz w:val="24"/>
          <w:szCs w:val="24"/>
        </w:rPr>
        <w:t>Desmopressins</w:t>
      </w:r>
      <w:proofErr w:type="spellEnd"/>
      <w:r w:rsidRPr="00414820">
        <w:rPr>
          <w:sz w:val="24"/>
          <w:szCs w:val="24"/>
        </w:rPr>
        <w:t xml:space="preserve"> effekt på andre lægemidlers farmakokinetik er sandsynligvis minimal da </w:t>
      </w:r>
      <w:proofErr w:type="spellStart"/>
      <w:r w:rsidRPr="00414820">
        <w:rPr>
          <w:sz w:val="24"/>
          <w:szCs w:val="24"/>
        </w:rPr>
        <w:t>desmopressin</w:t>
      </w:r>
      <w:proofErr w:type="spellEnd"/>
      <w:r w:rsidRPr="00414820">
        <w:rPr>
          <w:sz w:val="24"/>
          <w:szCs w:val="24"/>
        </w:rPr>
        <w:t xml:space="preserve"> ikke har hæmmende virkning på det </w:t>
      </w:r>
      <w:proofErr w:type="spellStart"/>
      <w:r w:rsidRPr="00414820">
        <w:rPr>
          <w:sz w:val="24"/>
          <w:szCs w:val="24"/>
        </w:rPr>
        <w:t>lægemiddelmetaboliserende</w:t>
      </w:r>
      <w:proofErr w:type="spellEnd"/>
      <w:r w:rsidRPr="00414820">
        <w:rPr>
          <w:sz w:val="24"/>
          <w:szCs w:val="24"/>
        </w:rPr>
        <w:t xml:space="preserve"> </w:t>
      </w:r>
      <w:proofErr w:type="spellStart"/>
      <w:r w:rsidRPr="00414820">
        <w:rPr>
          <w:sz w:val="24"/>
          <w:szCs w:val="24"/>
        </w:rPr>
        <w:t>cytokrom</w:t>
      </w:r>
      <w:proofErr w:type="spellEnd"/>
      <w:r w:rsidRPr="00414820">
        <w:rPr>
          <w:sz w:val="24"/>
          <w:szCs w:val="24"/>
        </w:rPr>
        <w:t xml:space="preserve"> P450-system.</w:t>
      </w:r>
    </w:p>
    <w:p w:rsidR="00A02663" w:rsidRPr="00414820" w:rsidRDefault="00A02663" w:rsidP="00A02663">
      <w:pPr>
        <w:tabs>
          <w:tab w:val="left" w:pos="851"/>
        </w:tabs>
        <w:ind w:left="851" w:hanging="851"/>
        <w:rPr>
          <w:sz w:val="24"/>
          <w:szCs w:val="24"/>
        </w:rPr>
      </w:pPr>
    </w:p>
    <w:p w:rsidR="00A02663" w:rsidRPr="002226B9" w:rsidRDefault="00A02663" w:rsidP="00A02663">
      <w:pPr>
        <w:tabs>
          <w:tab w:val="left" w:pos="851"/>
        </w:tabs>
        <w:ind w:left="851" w:hanging="851"/>
        <w:rPr>
          <w:sz w:val="24"/>
          <w:szCs w:val="24"/>
          <w:u w:val="single"/>
        </w:rPr>
      </w:pPr>
      <w:r w:rsidRPr="002226B9">
        <w:rPr>
          <w:sz w:val="24"/>
          <w:szCs w:val="24"/>
        </w:rPr>
        <w:tab/>
      </w:r>
      <w:r w:rsidRPr="002226B9">
        <w:rPr>
          <w:sz w:val="24"/>
          <w:szCs w:val="24"/>
          <w:u w:val="single"/>
        </w:rPr>
        <w:t>Elimination</w:t>
      </w:r>
    </w:p>
    <w:p w:rsidR="00A02663" w:rsidRPr="001B6C6F" w:rsidRDefault="00A02663" w:rsidP="00A02663">
      <w:pPr>
        <w:tabs>
          <w:tab w:val="left" w:pos="851"/>
        </w:tabs>
        <w:ind w:left="851" w:hanging="851"/>
        <w:rPr>
          <w:sz w:val="24"/>
          <w:szCs w:val="24"/>
        </w:rPr>
      </w:pPr>
      <w:r w:rsidRPr="002226B9">
        <w:rPr>
          <w:sz w:val="24"/>
          <w:szCs w:val="24"/>
        </w:rPr>
        <w:tab/>
      </w:r>
      <w:proofErr w:type="spellStart"/>
      <w:r w:rsidRPr="001B6C6F">
        <w:rPr>
          <w:sz w:val="24"/>
          <w:szCs w:val="24"/>
        </w:rPr>
        <w:t>Desmopressins</w:t>
      </w:r>
      <w:proofErr w:type="spellEnd"/>
      <w:r w:rsidRPr="001B6C6F">
        <w:rPr>
          <w:sz w:val="24"/>
          <w:szCs w:val="24"/>
        </w:rPr>
        <w:t xml:space="preserve"> </w:t>
      </w:r>
      <w:proofErr w:type="spellStart"/>
      <w:r w:rsidRPr="001B6C6F">
        <w:rPr>
          <w:sz w:val="24"/>
          <w:szCs w:val="24"/>
        </w:rPr>
        <w:t>totalclearance</w:t>
      </w:r>
      <w:proofErr w:type="spellEnd"/>
      <w:r w:rsidRPr="001B6C6F">
        <w:rPr>
          <w:sz w:val="24"/>
          <w:szCs w:val="24"/>
        </w:rPr>
        <w:t xml:space="preserve"> er beregnet til 7,6 l/time. </w:t>
      </w:r>
    </w:p>
    <w:p w:rsidR="00A02663" w:rsidRPr="00414820" w:rsidRDefault="00A02663" w:rsidP="00A02663">
      <w:pPr>
        <w:tabs>
          <w:tab w:val="left" w:pos="851"/>
        </w:tabs>
        <w:ind w:left="851" w:hanging="851"/>
        <w:rPr>
          <w:sz w:val="24"/>
          <w:szCs w:val="24"/>
        </w:rPr>
      </w:pPr>
      <w:r>
        <w:rPr>
          <w:sz w:val="24"/>
          <w:szCs w:val="24"/>
        </w:rPr>
        <w:tab/>
      </w:r>
      <w:proofErr w:type="spellStart"/>
      <w:r w:rsidRPr="00414820">
        <w:rPr>
          <w:sz w:val="24"/>
          <w:szCs w:val="24"/>
        </w:rPr>
        <w:t>Desmopressins</w:t>
      </w:r>
      <w:proofErr w:type="spellEnd"/>
      <w:r w:rsidRPr="00414820">
        <w:rPr>
          <w:sz w:val="24"/>
          <w:szCs w:val="24"/>
        </w:rPr>
        <w:t xml:space="preserve"> estimerede </w:t>
      </w:r>
      <w:proofErr w:type="spellStart"/>
      <w:r w:rsidRPr="00414820">
        <w:rPr>
          <w:sz w:val="24"/>
          <w:szCs w:val="24"/>
        </w:rPr>
        <w:t>terminelle</w:t>
      </w:r>
      <w:proofErr w:type="spellEnd"/>
      <w:r w:rsidRPr="00414820">
        <w:rPr>
          <w:sz w:val="24"/>
          <w:szCs w:val="24"/>
        </w:rPr>
        <w:t xml:space="preserve"> halveringstid er 2,8 timer. </w:t>
      </w:r>
    </w:p>
    <w:p w:rsidR="00A02663" w:rsidRPr="00414820" w:rsidRDefault="00A02663" w:rsidP="00A02663">
      <w:pPr>
        <w:tabs>
          <w:tab w:val="left" w:pos="851"/>
        </w:tabs>
        <w:ind w:left="851" w:hanging="851"/>
        <w:rPr>
          <w:sz w:val="24"/>
          <w:szCs w:val="24"/>
        </w:rPr>
      </w:pPr>
      <w:r>
        <w:rPr>
          <w:sz w:val="24"/>
          <w:szCs w:val="24"/>
        </w:rPr>
        <w:tab/>
      </w:r>
      <w:r w:rsidRPr="00414820">
        <w:rPr>
          <w:sz w:val="24"/>
          <w:szCs w:val="24"/>
        </w:rPr>
        <w:t xml:space="preserve">Hos raske forsøgspersoner er </w:t>
      </w:r>
      <w:r w:rsidRPr="00414820">
        <w:rPr>
          <w:spacing w:val="-3"/>
          <w:sz w:val="24"/>
          <w:szCs w:val="24"/>
        </w:rPr>
        <w:t xml:space="preserve">uændret udskilt </w:t>
      </w:r>
      <w:proofErr w:type="spellStart"/>
      <w:r w:rsidRPr="00414820">
        <w:rPr>
          <w:spacing w:val="-3"/>
          <w:sz w:val="24"/>
          <w:szCs w:val="24"/>
        </w:rPr>
        <w:t>desmopressin</w:t>
      </w:r>
      <w:proofErr w:type="spellEnd"/>
      <w:r w:rsidRPr="00414820">
        <w:rPr>
          <w:spacing w:val="-3"/>
          <w:sz w:val="24"/>
          <w:szCs w:val="24"/>
        </w:rPr>
        <w:t xml:space="preserve"> </w:t>
      </w:r>
      <w:r w:rsidRPr="00414820">
        <w:rPr>
          <w:sz w:val="24"/>
          <w:szCs w:val="24"/>
        </w:rPr>
        <w:t>52 % (44-60 %).</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sz w:val="24"/>
          <w:szCs w:val="24"/>
          <w:u w:val="single"/>
        </w:rPr>
      </w:pPr>
      <w:r w:rsidRPr="001B6C6F">
        <w:rPr>
          <w:sz w:val="24"/>
          <w:szCs w:val="24"/>
        </w:rPr>
        <w:lastRenderedPageBreak/>
        <w:tab/>
      </w:r>
      <w:r w:rsidRPr="00414820">
        <w:rPr>
          <w:sz w:val="24"/>
          <w:szCs w:val="24"/>
          <w:u w:val="single"/>
        </w:rPr>
        <w:t>Linearitet/non-linearitet</w:t>
      </w:r>
    </w:p>
    <w:p w:rsidR="00A02663" w:rsidRPr="00414820" w:rsidRDefault="00A02663" w:rsidP="00A02663">
      <w:pPr>
        <w:tabs>
          <w:tab w:val="left" w:pos="851"/>
        </w:tabs>
        <w:ind w:left="851" w:hanging="851"/>
        <w:rPr>
          <w:sz w:val="24"/>
          <w:szCs w:val="24"/>
        </w:rPr>
      </w:pPr>
      <w:r>
        <w:rPr>
          <w:sz w:val="24"/>
          <w:szCs w:val="24"/>
        </w:rPr>
        <w:tab/>
      </w:r>
      <w:r w:rsidRPr="00414820">
        <w:rPr>
          <w:sz w:val="24"/>
          <w:szCs w:val="24"/>
        </w:rPr>
        <w:t xml:space="preserve">Der er ingen tegn på ikke-linearitet blandt nogen af </w:t>
      </w:r>
      <w:proofErr w:type="spellStart"/>
      <w:r w:rsidRPr="00414820">
        <w:rPr>
          <w:sz w:val="24"/>
          <w:szCs w:val="24"/>
        </w:rPr>
        <w:t>desmopressins</w:t>
      </w:r>
      <w:proofErr w:type="spellEnd"/>
      <w:r w:rsidRPr="00414820">
        <w:rPr>
          <w:sz w:val="24"/>
          <w:szCs w:val="24"/>
        </w:rPr>
        <w:t xml:space="preserve"> </w:t>
      </w:r>
      <w:proofErr w:type="spellStart"/>
      <w:r w:rsidRPr="00414820">
        <w:rPr>
          <w:sz w:val="24"/>
          <w:szCs w:val="24"/>
        </w:rPr>
        <w:t>farmakokinetiske</w:t>
      </w:r>
      <w:proofErr w:type="spellEnd"/>
      <w:r w:rsidRPr="00414820">
        <w:rPr>
          <w:sz w:val="24"/>
          <w:szCs w:val="24"/>
        </w:rPr>
        <w:t xml:space="preserve"> parametre.</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sz w:val="24"/>
          <w:szCs w:val="24"/>
          <w:u w:val="single"/>
        </w:rPr>
      </w:pPr>
      <w:r w:rsidRPr="001B6C6F">
        <w:rPr>
          <w:sz w:val="24"/>
          <w:szCs w:val="24"/>
        </w:rPr>
        <w:tab/>
      </w:r>
      <w:r w:rsidRPr="00414820">
        <w:rPr>
          <w:sz w:val="24"/>
          <w:szCs w:val="24"/>
          <w:u w:val="single"/>
        </w:rPr>
        <w:t xml:space="preserve">Karakteristika i andre patientgrupper </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i/>
          <w:sz w:val="24"/>
          <w:szCs w:val="24"/>
        </w:rPr>
      </w:pPr>
      <w:r>
        <w:rPr>
          <w:i/>
          <w:sz w:val="24"/>
          <w:szCs w:val="24"/>
        </w:rPr>
        <w:tab/>
      </w:r>
      <w:r w:rsidRPr="00414820">
        <w:rPr>
          <w:i/>
          <w:sz w:val="24"/>
          <w:szCs w:val="24"/>
        </w:rPr>
        <w:t>Nedsat nyrefunktion</w:t>
      </w:r>
    </w:p>
    <w:p w:rsidR="00A02663" w:rsidRPr="00414820" w:rsidRDefault="00A02663" w:rsidP="00A02663">
      <w:pPr>
        <w:tabs>
          <w:tab w:val="left" w:pos="851"/>
        </w:tabs>
        <w:ind w:left="851" w:hanging="851"/>
        <w:rPr>
          <w:sz w:val="24"/>
          <w:szCs w:val="24"/>
        </w:rPr>
      </w:pPr>
      <w:r>
        <w:rPr>
          <w:sz w:val="24"/>
          <w:szCs w:val="24"/>
        </w:rPr>
        <w:tab/>
      </w:r>
      <w:r w:rsidRPr="00414820">
        <w:rPr>
          <w:sz w:val="24"/>
          <w:szCs w:val="24"/>
        </w:rPr>
        <w:t xml:space="preserve">Afhængigt af hvor meget nyrefunktionen er nedsat, øges AUC og halveringstid med sværhedsgrad </w:t>
      </w:r>
      <w:r w:rsidRPr="00414820">
        <w:rPr>
          <w:spacing w:val="-3"/>
          <w:sz w:val="24"/>
          <w:szCs w:val="24"/>
        </w:rPr>
        <w:t>af nedsat nyrefunktion</w:t>
      </w:r>
      <w:r w:rsidRPr="00414820">
        <w:rPr>
          <w:sz w:val="24"/>
          <w:szCs w:val="24"/>
        </w:rPr>
        <w:t xml:space="preserve">. </w:t>
      </w:r>
      <w:proofErr w:type="spellStart"/>
      <w:r w:rsidRPr="00414820">
        <w:rPr>
          <w:sz w:val="24"/>
          <w:szCs w:val="24"/>
        </w:rPr>
        <w:t>Desmopressin</w:t>
      </w:r>
      <w:proofErr w:type="spellEnd"/>
      <w:r w:rsidRPr="00414820">
        <w:rPr>
          <w:sz w:val="24"/>
          <w:szCs w:val="24"/>
        </w:rPr>
        <w:t xml:space="preserve"> er kontraindiceret hos patienter med moderat til alvorlig nedsat nyrefunktion (</w:t>
      </w:r>
      <w:proofErr w:type="spellStart"/>
      <w:r w:rsidRPr="00414820">
        <w:rPr>
          <w:sz w:val="24"/>
          <w:szCs w:val="24"/>
        </w:rPr>
        <w:t>kreatinin</w:t>
      </w:r>
      <w:proofErr w:type="spellEnd"/>
      <w:r w:rsidRPr="00414820">
        <w:rPr>
          <w:sz w:val="24"/>
          <w:szCs w:val="24"/>
        </w:rPr>
        <w:t xml:space="preserve"> </w:t>
      </w:r>
      <w:proofErr w:type="spellStart"/>
      <w:r w:rsidRPr="00414820">
        <w:rPr>
          <w:sz w:val="24"/>
          <w:szCs w:val="24"/>
        </w:rPr>
        <w:t>clearance</w:t>
      </w:r>
      <w:proofErr w:type="spellEnd"/>
      <w:r w:rsidRPr="00414820">
        <w:rPr>
          <w:sz w:val="24"/>
          <w:szCs w:val="24"/>
        </w:rPr>
        <w:t xml:space="preserve"> under 50 ml/min).</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sz w:val="24"/>
          <w:szCs w:val="24"/>
        </w:rPr>
      </w:pPr>
      <w:r w:rsidRPr="00414820">
        <w:rPr>
          <w:sz w:val="24"/>
          <w:szCs w:val="24"/>
        </w:rPr>
        <w:t xml:space="preserve">Tabel 2: </w:t>
      </w:r>
      <w:proofErr w:type="spellStart"/>
      <w:r w:rsidRPr="00414820">
        <w:rPr>
          <w:sz w:val="24"/>
          <w:szCs w:val="24"/>
        </w:rPr>
        <w:t>Farmakokinetiske</w:t>
      </w:r>
      <w:proofErr w:type="spellEnd"/>
      <w:r w:rsidRPr="00414820">
        <w:rPr>
          <w:sz w:val="24"/>
          <w:szCs w:val="24"/>
        </w:rPr>
        <w:t xml:space="preserve"> parametre ved varierende grad af nedsat nyrefunktion. Data fra CS001.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344"/>
        <w:gridCol w:w="2189"/>
        <w:gridCol w:w="2153"/>
        <w:gridCol w:w="2365"/>
        <w:gridCol w:w="1577"/>
      </w:tblGrid>
      <w:tr w:rsidR="00A02663" w:rsidRPr="00414820" w:rsidTr="003B4BCE">
        <w:trPr>
          <w:trHeight w:val="698"/>
        </w:trPr>
        <w:tc>
          <w:tcPr>
            <w:tcW w:w="698" w:type="pct"/>
            <w:tcBorders>
              <w:top w:val="single" w:sz="4" w:space="0" w:color="auto"/>
              <w:left w:val="single" w:sz="4" w:space="0" w:color="auto"/>
              <w:bottom w:val="single" w:sz="4" w:space="0" w:color="auto"/>
              <w:right w:val="single" w:sz="4" w:space="0" w:color="auto"/>
            </w:tcBorders>
            <w:hideMark/>
          </w:tcPr>
          <w:p w:rsidR="00A02663" w:rsidRPr="00DD3A61" w:rsidRDefault="00A02663" w:rsidP="003B4BCE">
            <w:pPr>
              <w:rPr>
                <w:sz w:val="24"/>
                <w:szCs w:val="24"/>
              </w:rPr>
            </w:pPr>
          </w:p>
        </w:tc>
        <w:tc>
          <w:tcPr>
            <w:tcW w:w="1137" w:type="pct"/>
            <w:tcBorders>
              <w:top w:val="single" w:sz="4" w:space="0" w:color="auto"/>
              <w:left w:val="single" w:sz="4" w:space="0" w:color="auto"/>
              <w:bottom w:val="single" w:sz="4" w:space="0" w:color="auto"/>
              <w:right w:val="single" w:sz="4" w:space="0" w:color="auto"/>
            </w:tcBorders>
            <w:hideMark/>
          </w:tcPr>
          <w:p w:rsidR="00A02663" w:rsidRPr="00DD3A61" w:rsidRDefault="00A02663" w:rsidP="003B4BCE">
            <w:pPr>
              <w:rPr>
                <w:b/>
                <w:bCs/>
                <w:sz w:val="24"/>
                <w:szCs w:val="24"/>
              </w:rPr>
            </w:pPr>
            <w:proofErr w:type="spellStart"/>
            <w:r w:rsidRPr="00DD3A61">
              <w:rPr>
                <w:b/>
                <w:bCs/>
                <w:sz w:val="24"/>
                <w:szCs w:val="24"/>
                <w:lang w:val="en-US"/>
              </w:rPr>
              <w:t>Kreatinin</w:t>
            </w:r>
            <w:proofErr w:type="spellEnd"/>
            <w:r w:rsidRPr="00DD3A61">
              <w:rPr>
                <w:b/>
                <w:bCs/>
                <w:sz w:val="24"/>
                <w:szCs w:val="24"/>
                <w:lang w:val="en-US"/>
              </w:rPr>
              <w:t xml:space="preserve"> Clearance</w:t>
            </w:r>
          </w:p>
        </w:tc>
        <w:tc>
          <w:tcPr>
            <w:tcW w:w="1118" w:type="pct"/>
            <w:tcBorders>
              <w:top w:val="single" w:sz="4" w:space="0" w:color="auto"/>
              <w:left w:val="single" w:sz="4" w:space="0" w:color="auto"/>
              <w:bottom w:val="single" w:sz="4" w:space="0" w:color="auto"/>
              <w:right w:val="single" w:sz="4" w:space="0" w:color="auto"/>
            </w:tcBorders>
            <w:hideMark/>
          </w:tcPr>
          <w:p w:rsidR="00A02663" w:rsidRPr="00DD3A61" w:rsidRDefault="00A02663" w:rsidP="003B4BCE">
            <w:pPr>
              <w:rPr>
                <w:b/>
                <w:bCs/>
                <w:sz w:val="24"/>
                <w:szCs w:val="24"/>
              </w:rPr>
            </w:pPr>
            <w:proofErr w:type="spellStart"/>
            <w:r w:rsidRPr="00DD3A61">
              <w:rPr>
                <w:b/>
                <w:bCs/>
                <w:sz w:val="24"/>
                <w:szCs w:val="24"/>
                <w:lang w:val="en-US"/>
              </w:rPr>
              <w:t>Nyrefunktion</w:t>
            </w:r>
            <w:proofErr w:type="spellEnd"/>
          </w:p>
        </w:tc>
        <w:tc>
          <w:tcPr>
            <w:tcW w:w="1228" w:type="pct"/>
            <w:tcBorders>
              <w:top w:val="single" w:sz="4" w:space="0" w:color="auto"/>
              <w:left w:val="single" w:sz="4" w:space="0" w:color="auto"/>
              <w:bottom w:val="single" w:sz="4" w:space="0" w:color="auto"/>
              <w:right w:val="single" w:sz="4" w:space="0" w:color="auto"/>
            </w:tcBorders>
            <w:hideMark/>
          </w:tcPr>
          <w:p w:rsidR="00A02663" w:rsidRPr="00DD3A61" w:rsidRDefault="00A02663" w:rsidP="003B4BCE">
            <w:pPr>
              <w:rPr>
                <w:b/>
                <w:bCs/>
                <w:sz w:val="24"/>
                <w:szCs w:val="24"/>
              </w:rPr>
            </w:pPr>
            <w:r w:rsidRPr="00DD3A61">
              <w:rPr>
                <w:b/>
                <w:bCs/>
                <w:sz w:val="24"/>
                <w:szCs w:val="24"/>
                <w:lang w:val="en-US"/>
              </w:rPr>
              <w:t>AUC (Time*</w:t>
            </w:r>
            <w:proofErr w:type="spellStart"/>
            <w:r w:rsidRPr="00DD3A61">
              <w:rPr>
                <w:b/>
                <w:bCs/>
                <w:sz w:val="24"/>
                <w:szCs w:val="24"/>
                <w:lang w:val="en-US"/>
              </w:rPr>
              <w:t>pg</w:t>
            </w:r>
            <w:proofErr w:type="spellEnd"/>
            <w:r w:rsidRPr="00DD3A61">
              <w:rPr>
                <w:b/>
                <w:bCs/>
                <w:sz w:val="24"/>
                <w:szCs w:val="24"/>
                <w:lang w:val="en-US"/>
              </w:rPr>
              <w:t>/ml)</w:t>
            </w:r>
          </w:p>
        </w:tc>
        <w:tc>
          <w:tcPr>
            <w:tcW w:w="819" w:type="pct"/>
            <w:tcBorders>
              <w:top w:val="single" w:sz="4" w:space="0" w:color="auto"/>
              <w:left w:val="single" w:sz="4" w:space="0" w:color="auto"/>
              <w:bottom w:val="single" w:sz="4" w:space="0" w:color="auto"/>
              <w:right w:val="single" w:sz="4" w:space="0" w:color="auto"/>
            </w:tcBorders>
            <w:hideMark/>
          </w:tcPr>
          <w:p w:rsidR="00A02663" w:rsidRPr="00DD3A61" w:rsidRDefault="00A02663" w:rsidP="003B4BCE">
            <w:pPr>
              <w:rPr>
                <w:b/>
                <w:bCs/>
                <w:sz w:val="24"/>
                <w:szCs w:val="24"/>
              </w:rPr>
            </w:pPr>
            <w:r w:rsidRPr="00DD3A61">
              <w:rPr>
                <w:b/>
                <w:bCs/>
                <w:sz w:val="24"/>
                <w:szCs w:val="24"/>
                <w:lang w:val="en-US"/>
              </w:rPr>
              <w:t>T½</w:t>
            </w:r>
          </w:p>
          <w:p w:rsidR="00A02663" w:rsidRPr="00DD3A61" w:rsidRDefault="00A02663" w:rsidP="003B4BCE">
            <w:pPr>
              <w:rPr>
                <w:b/>
                <w:bCs/>
                <w:sz w:val="24"/>
                <w:szCs w:val="24"/>
              </w:rPr>
            </w:pPr>
            <w:r w:rsidRPr="00DD3A61">
              <w:rPr>
                <w:b/>
                <w:bCs/>
                <w:sz w:val="24"/>
                <w:szCs w:val="24"/>
                <w:lang w:val="en-US"/>
              </w:rPr>
              <w:t>(time)</w:t>
            </w:r>
          </w:p>
        </w:tc>
      </w:tr>
      <w:tr w:rsidR="00A02663" w:rsidRPr="00414820" w:rsidTr="003B4BCE">
        <w:trPr>
          <w:trHeight w:val="585"/>
        </w:trPr>
        <w:tc>
          <w:tcPr>
            <w:tcW w:w="698" w:type="pct"/>
            <w:tcBorders>
              <w:top w:val="single" w:sz="4" w:space="0" w:color="auto"/>
              <w:left w:val="single" w:sz="4" w:space="0" w:color="auto"/>
              <w:bottom w:val="single" w:sz="4" w:space="0" w:color="auto"/>
              <w:right w:val="single" w:sz="4" w:space="0" w:color="auto"/>
            </w:tcBorders>
            <w:hideMark/>
          </w:tcPr>
          <w:p w:rsidR="00A02663" w:rsidRPr="00DD3A61" w:rsidRDefault="00A02663" w:rsidP="003B4BCE">
            <w:pPr>
              <w:rPr>
                <w:bCs/>
                <w:sz w:val="24"/>
                <w:szCs w:val="24"/>
              </w:rPr>
            </w:pPr>
            <w:proofErr w:type="spellStart"/>
            <w:r w:rsidRPr="00DD3A61">
              <w:rPr>
                <w:bCs/>
                <w:sz w:val="24"/>
                <w:szCs w:val="24"/>
                <w:lang w:val="en-US"/>
              </w:rPr>
              <w:t>Sund</w:t>
            </w:r>
            <w:proofErr w:type="spellEnd"/>
          </w:p>
        </w:tc>
        <w:tc>
          <w:tcPr>
            <w:tcW w:w="1137" w:type="pct"/>
            <w:tcBorders>
              <w:top w:val="single" w:sz="4" w:space="0" w:color="auto"/>
              <w:left w:val="single" w:sz="4" w:space="0" w:color="auto"/>
              <w:bottom w:val="single" w:sz="4" w:space="0" w:color="auto"/>
              <w:right w:val="single" w:sz="4" w:space="0" w:color="auto"/>
            </w:tcBorders>
            <w:hideMark/>
          </w:tcPr>
          <w:p w:rsidR="00A02663" w:rsidRPr="00DD3A61" w:rsidRDefault="00A02663" w:rsidP="003B4BCE">
            <w:pPr>
              <w:rPr>
                <w:bCs/>
                <w:sz w:val="24"/>
                <w:szCs w:val="24"/>
              </w:rPr>
            </w:pPr>
            <w:r w:rsidRPr="00DD3A61">
              <w:rPr>
                <w:bCs/>
                <w:sz w:val="24"/>
                <w:szCs w:val="24"/>
                <w:lang w:val="en-US"/>
              </w:rPr>
              <w:t>&gt;80 mL/min</w:t>
            </w:r>
          </w:p>
        </w:tc>
        <w:tc>
          <w:tcPr>
            <w:tcW w:w="1118" w:type="pct"/>
            <w:tcBorders>
              <w:top w:val="single" w:sz="4" w:space="0" w:color="auto"/>
              <w:left w:val="single" w:sz="4" w:space="0" w:color="auto"/>
              <w:bottom w:val="single" w:sz="4" w:space="0" w:color="auto"/>
              <w:right w:val="single" w:sz="4" w:space="0" w:color="auto"/>
            </w:tcBorders>
            <w:hideMark/>
          </w:tcPr>
          <w:p w:rsidR="00A02663" w:rsidRPr="00DD3A61" w:rsidRDefault="00A02663" w:rsidP="003B4BCE">
            <w:pPr>
              <w:rPr>
                <w:bCs/>
                <w:sz w:val="24"/>
                <w:szCs w:val="24"/>
              </w:rPr>
            </w:pPr>
            <w:r w:rsidRPr="00DD3A61">
              <w:rPr>
                <w:bCs/>
                <w:sz w:val="24"/>
                <w:szCs w:val="24"/>
                <w:lang w:val="en-US"/>
              </w:rPr>
              <w:t>Normal</w:t>
            </w:r>
          </w:p>
        </w:tc>
        <w:tc>
          <w:tcPr>
            <w:tcW w:w="1228" w:type="pct"/>
            <w:tcBorders>
              <w:top w:val="single" w:sz="4" w:space="0" w:color="auto"/>
              <w:left w:val="single" w:sz="4" w:space="0" w:color="auto"/>
              <w:bottom w:val="single" w:sz="4" w:space="0" w:color="auto"/>
              <w:right w:val="single" w:sz="4" w:space="0" w:color="auto"/>
            </w:tcBorders>
            <w:hideMark/>
          </w:tcPr>
          <w:p w:rsidR="00A02663" w:rsidRPr="00DD3A61" w:rsidRDefault="00A02663" w:rsidP="003B4BCE">
            <w:pPr>
              <w:rPr>
                <w:bCs/>
                <w:sz w:val="24"/>
                <w:szCs w:val="24"/>
              </w:rPr>
            </w:pPr>
            <w:r w:rsidRPr="00DD3A61">
              <w:rPr>
                <w:bCs/>
                <w:sz w:val="24"/>
                <w:szCs w:val="24"/>
                <w:lang w:val="en-US"/>
              </w:rPr>
              <w:t>186</w:t>
            </w:r>
          </w:p>
        </w:tc>
        <w:tc>
          <w:tcPr>
            <w:tcW w:w="819" w:type="pct"/>
            <w:tcBorders>
              <w:top w:val="single" w:sz="4" w:space="0" w:color="auto"/>
              <w:left w:val="single" w:sz="4" w:space="0" w:color="auto"/>
              <w:bottom w:val="single" w:sz="4" w:space="0" w:color="auto"/>
              <w:right w:val="single" w:sz="4" w:space="0" w:color="auto"/>
            </w:tcBorders>
            <w:hideMark/>
          </w:tcPr>
          <w:p w:rsidR="00A02663" w:rsidRPr="00DD3A61" w:rsidRDefault="00A02663" w:rsidP="003B4BCE">
            <w:pPr>
              <w:rPr>
                <w:bCs/>
                <w:sz w:val="24"/>
                <w:szCs w:val="24"/>
              </w:rPr>
            </w:pPr>
            <w:r w:rsidRPr="00DD3A61">
              <w:rPr>
                <w:bCs/>
                <w:sz w:val="24"/>
                <w:szCs w:val="24"/>
                <w:lang w:val="en-US"/>
              </w:rPr>
              <w:t>2.8</w:t>
            </w:r>
          </w:p>
        </w:tc>
      </w:tr>
      <w:tr w:rsidR="00A02663" w:rsidRPr="00414820" w:rsidTr="003B4BCE">
        <w:trPr>
          <w:trHeight w:val="585"/>
        </w:trPr>
        <w:tc>
          <w:tcPr>
            <w:tcW w:w="698" w:type="pct"/>
            <w:tcBorders>
              <w:top w:val="single" w:sz="4" w:space="0" w:color="auto"/>
              <w:left w:val="single" w:sz="4" w:space="0" w:color="auto"/>
              <w:bottom w:val="single" w:sz="4" w:space="0" w:color="auto"/>
              <w:right w:val="single" w:sz="4" w:space="0" w:color="auto"/>
            </w:tcBorders>
            <w:hideMark/>
          </w:tcPr>
          <w:p w:rsidR="00A02663" w:rsidRPr="00DD3A61" w:rsidRDefault="00A02663" w:rsidP="003B4BCE">
            <w:pPr>
              <w:rPr>
                <w:bCs/>
                <w:sz w:val="24"/>
                <w:szCs w:val="24"/>
              </w:rPr>
            </w:pPr>
            <w:r w:rsidRPr="00DD3A61">
              <w:rPr>
                <w:bCs/>
                <w:sz w:val="24"/>
                <w:szCs w:val="24"/>
                <w:lang w:val="en-US"/>
              </w:rPr>
              <w:t>Mild</w:t>
            </w:r>
          </w:p>
        </w:tc>
        <w:tc>
          <w:tcPr>
            <w:tcW w:w="1137" w:type="pct"/>
            <w:tcBorders>
              <w:top w:val="single" w:sz="4" w:space="0" w:color="auto"/>
              <w:left w:val="single" w:sz="4" w:space="0" w:color="auto"/>
              <w:bottom w:val="single" w:sz="4" w:space="0" w:color="auto"/>
              <w:right w:val="single" w:sz="4" w:space="0" w:color="auto"/>
            </w:tcBorders>
            <w:hideMark/>
          </w:tcPr>
          <w:p w:rsidR="00A02663" w:rsidRPr="00DD3A61" w:rsidRDefault="00A02663" w:rsidP="003B4BCE">
            <w:pPr>
              <w:rPr>
                <w:bCs/>
                <w:sz w:val="24"/>
                <w:szCs w:val="24"/>
              </w:rPr>
            </w:pPr>
            <w:r w:rsidRPr="00DD3A61">
              <w:rPr>
                <w:bCs/>
                <w:sz w:val="24"/>
                <w:szCs w:val="24"/>
                <w:lang w:val="en-US"/>
              </w:rPr>
              <w:t>50-80 mL/min</w:t>
            </w:r>
          </w:p>
        </w:tc>
        <w:tc>
          <w:tcPr>
            <w:tcW w:w="1118" w:type="pct"/>
            <w:tcBorders>
              <w:top w:val="single" w:sz="4" w:space="0" w:color="auto"/>
              <w:left w:val="single" w:sz="4" w:space="0" w:color="auto"/>
              <w:bottom w:val="single" w:sz="4" w:space="0" w:color="auto"/>
              <w:right w:val="single" w:sz="4" w:space="0" w:color="auto"/>
            </w:tcBorders>
            <w:hideMark/>
          </w:tcPr>
          <w:p w:rsidR="00A02663" w:rsidRPr="00DD3A61" w:rsidRDefault="00A02663" w:rsidP="003B4BCE">
            <w:pPr>
              <w:rPr>
                <w:bCs/>
                <w:sz w:val="24"/>
                <w:szCs w:val="24"/>
              </w:rPr>
            </w:pPr>
            <w:r w:rsidRPr="00DD3A61">
              <w:rPr>
                <w:bCs/>
                <w:sz w:val="24"/>
                <w:szCs w:val="24"/>
                <w:lang w:val="en-US"/>
              </w:rPr>
              <w:t xml:space="preserve">Let </w:t>
            </w:r>
            <w:proofErr w:type="spellStart"/>
            <w:r w:rsidRPr="00DD3A61">
              <w:rPr>
                <w:bCs/>
                <w:sz w:val="24"/>
                <w:szCs w:val="24"/>
                <w:lang w:val="en-US"/>
              </w:rPr>
              <w:t>nedsat</w:t>
            </w:r>
            <w:proofErr w:type="spellEnd"/>
          </w:p>
        </w:tc>
        <w:tc>
          <w:tcPr>
            <w:tcW w:w="1228" w:type="pct"/>
            <w:tcBorders>
              <w:top w:val="single" w:sz="4" w:space="0" w:color="auto"/>
              <w:left w:val="single" w:sz="4" w:space="0" w:color="auto"/>
              <w:bottom w:val="single" w:sz="4" w:space="0" w:color="auto"/>
              <w:right w:val="single" w:sz="4" w:space="0" w:color="auto"/>
            </w:tcBorders>
            <w:hideMark/>
          </w:tcPr>
          <w:p w:rsidR="00A02663" w:rsidRPr="00DD3A61" w:rsidRDefault="00A02663" w:rsidP="003B4BCE">
            <w:pPr>
              <w:rPr>
                <w:bCs/>
                <w:sz w:val="24"/>
                <w:szCs w:val="24"/>
              </w:rPr>
            </w:pPr>
            <w:r w:rsidRPr="00DD3A61">
              <w:rPr>
                <w:bCs/>
                <w:sz w:val="24"/>
                <w:szCs w:val="24"/>
                <w:lang w:val="en-US"/>
              </w:rPr>
              <w:t>281</w:t>
            </w:r>
          </w:p>
        </w:tc>
        <w:tc>
          <w:tcPr>
            <w:tcW w:w="819" w:type="pct"/>
            <w:tcBorders>
              <w:top w:val="single" w:sz="4" w:space="0" w:color="auto"/>
              <w:left w:val="single" w:sz="4" w:space="0" w:color="auto"/>
              <w:bottom w:val="single" w:sz="4" w:space="0" w:color="auto"/>
              <w:right w:val="single" w:sz="4" w:space="0" w:color="auto"/>
            </w:tcBorders>
            <w:hideMark/>
          </w:tcPr>
          <w:p w:rsidR="00A02663" w:rsidRPr="00DD3A61" w:rsidRDefault="00A02663" w:rsidP="003B4BCE">
            <w:pPr>
              <w:rPr>
                <w:bCs/>
                <w:sz w:val="24"/>
                <w:szCs w:val="24"/>
              </w:rPr>
            </w:pPr>
            <w:r w:rsidRPr="00DD3A61">
              <w:rPr>
                <w:bCs/>
                <w:sz w:val="24"/>
                <w:szCs w:val="24"/>
                <w:lang w:val="en-US"/>
              </w:rPr>
              <w:t>4.0</w:t>
            </w:r>
          </w:p>
        </w:tc>
      </w:tr>
      <w:tr w:rsidR="00A02663" w:rsidRPr="00414820" w:rsidTr="003B4BCE">
        <w:trPr>
          <w:trHeight w:val="585"/>
        </w:trPr>
        <w:tc>
          <w:tcPr>
            <w:tcW w:w="698" w:type="pct"/>
            <w:tcBorders>
              <w:top w:val="single" w:sz="4" w:space="0" w:color="auto"/>
              <w:left w:val="single" w:sz="4" w:space="0" w:color="auto"/>
              <w:bottom w:val="single" w:sz="4" w:space="0" w:color="auto"/>
              <w:right w:val="single" w:sz="4" w:space="0" w:color="auto"/>
            </w:tcBorders>
            <w:hideMark/>
          </w:tcPr>
          <w:p w:rsidR="00A02663" w:rsidRPr="00DD3A61" w:rsidRDefault="00A02663" w:rsidP="003B4BCE">
            <w:pPr>
              <w:rPr>
                <w:bCs/>
                <w:sz w:val="24"/>
                <w:szCs w:val="24"/>
              </w:rPr>
            </w:pPr>
            <w:proofErr w:type="spellStart"/>
            <w:r w:rsidRPr="00DD3A61">
              <w:rPr>
                <w:bCs/>
                <w:sz w:val="24"/>
                <w:szCs w:val="24"/>
                <w:lang w:val="en-US"/>
              </w:rPr>
              <w:t>Moderat</w:t>
            </w:r>
            <w:proofErr w:type="spellEnd"/>
          </w:p>
        </w:tc>
        <w:tc>
          <w:tcPr>
            <w:tcW w:w="1137" w:type="pct"/>
            <w:tcBorders>
              <w:top w:val="single" w:sz="4" w:space="0" w:color="auto"/>
              <w:left w:val="single" w:sz="4" w:space="0" w:color="auto"/>
              <w:bottom w:val="single" w:sz="4" w:space="0" w:color="auto"/>
              <w:right w:val="single" w:sz="4" w:space="0" w:color="auto"/>
            </w:tcBorders>
            <w:hideMark/>
          </w:tcPr>
          <w:p w:rsidR="00A02663" w:rsidRPr="00DD3A61" w:rsidRDefault="00A02663" w:rsidP="003B4BCE">
            <w:pPr>
              <w:rPr>
                <w:bCs/>
                <w:sz w:val="24"/>
                <w:szCs w:val="24"/>
              </w:rPr>
            </w:pPr>
            <w:r w:rsidRPr="00DD3A61">
              <w:rPr>
                <w:bCs/>
                <w:sz w:val="24"/>
                <w:szCs w:val="24"/>
                <w:lang w:val="en-US"/>
              </w:rPr>
              <w:t>30-49 mL/min</w:t>
            </w:r>
          </w:p>
        </w:tc>
        <w:tc>
          <w:tcPr>
            <w:tcW w:w="1118" w:type="pct"/>
            <w:tcBorders>
              <w:top w:val="single" w:sz="4" w:space="0" w:color="auto"/>
              <w:left w:val="single" w:sz="4" w:space="0" w:color="auto"/>
              <w:bottom w:val="single" w:sz="4" w:space="0" w:color="auto"/>
              <w:right w:val="single" w:sz="4" w:space="0" w:color="auto"/>
            </w:tcBorders>
            <w:hideMark/>
          </w:tcPr>
          <w:p w:rsidR="00A02663" w:rsidRPr="00DD3A61" w:rsidRDefault="00A02663" w:rsidP="003B4BCE">
            <w:pPr>
              <w:rPr>
                <w:bCs/>
                <w:sz w:val="24"/>
                <w:szCs w:val="24"/>
              </w:rPr>
            </w:pPr>
            <w:proofErr w:type="spellStart"/>
            <w:r w:rsidRPr="00DD3A61">
              <w:rPr>
                <w:bCs/>
                <w:sz w:val="24"/>
                <w:szCs w:val="24"/>
                <w:lang w:val="en-US"/>
              </w:rPr>
              <w:t>Moderat</w:t>
            </w:r>
            <w:proofErr w:type="spellEnd"/>
            <w:r w:rsidRPr="00DD3A61">
              <w:rPr>
                <w:bCs/>
                <w:sz w:val="24"/>
                <w:szCs w:val="24"/>
                <w:lang w:val="en-US"/>
              </w:rPr>
              <w:t xml:space="preserve"> </w:t>
            </w:r>
            <w:proofErr w:type="spellStart"/>
            <w:r w:rsidRPr="00DD3A61">
              <w:rPr>
                <w:bCs/>
                <w:sz w:val="24"/>
                <w:szCs w:val="24"/>
                <w:lang w:val="en-US"/>
              </w:rPr>
              <w:t>nedsat</w:t>
            </w:r>
            <w:proofErr w:type="spellEnd"/>
          </w:p>
        </w:tc>
        <w:tc>
          <w:tcPr>
            <w:tcW w:w="1228" w:type="pct"/>
            <w:tcBorders>
              <w:top w:val="single" w:sz="4" w:space="0" w:color="auto"/>
              <w:left w:val="single" w:sz="4" w:space="0" w:color="auto"/>
              <w:bottom w:val="single" w:sz="4" w:space="0" w:color="auto"/>
              <w:right w:val="single" w:sz="4" w:space="0" w:color="auto"/>
            </w:tcBorders>
            <w:hideMark/>
          </w:tcPr>
          <w:p w:rsidR="00A02663" w:rsidRPr="00DD3A61" w:rsidRDefault="00A02663" w:rsidP="003B4BCE">
            <w:pPr>
              <w:rPr>
                <w:bCs/>
                <w:sz w:val="24"/>
                <w:szCs w:val="24"/>
              </w:rPr>
            </w:pPr>
            <w:r w:rsidRPr="00DD3A61">
              <w:rPr>
                <w:bCs/>
                <w:sz w:val="24"/>
                <w:szCs w:val="24"/>
                <w:lang w:val="en-US"/>
              </w:rPr>
              <w:t>453</w:t>
            </w:r>
          </w:p>
        </w:tc>
        <w:tc>
          <w:tcPr>
            <w:tcW w:w="819" w:type="pct"/>
            <w:tcBorders>
              <w:top w:val="single" w:sz="4" w:space="0" w:color="auto"/>
              <w:left w:val="single" w:sz="4" w:space="0" w:color="auto"/>
              <w:bottom w:val="single" w:sz="4" w:space="0" w:color="auto"/>
              <w:right w:val="single" w:sz="4" w:space="0" w:color="auto"/>
            </w:tcBorders>
            <w:hideMark/>
          </w:tcPr>
          <w:p w:rsidR="00A02663" w:rsidRPr="00DD3A61" w:rsidRDefault="00A02663" w:rsidP="003B4BCE">
            <w:pPr>
              <w:rPr>
                <w:bCs/>
                <w:sz w:val="24"/>
                <w:szCs w:val="24"/>
              </w:rPr>
            </w:pPr>
            <w:r w:rsidRPr="00DD3A61">
              <w:rPr>
                <w:bCs/>
                <w:sz w:val="24"/>
                <w:szCs w:val="24"/>
                <w:lang w:val="en-US"/>
              </w:rPr>
              <w:t>6.7</w:t>
            </w:r>
          </w:p>
        </w:tc>
      </w:tr>
      <w:tr w:rsidR="00A02663" w:rsidRPr="00414820" w:rsidTr="003B4BCE">
        <w:trPr>
          <w:trHeight w:val="585"/>
        </w:trPr>
        <w:tc>
          <w:tcPr>
            <w:tcW w:w="698" w:type="pct"/>
            <w:tcBorders>
              <w:top w:val="single" w:sz="4" w:space="0" w:color="auto"/>
              <w:left w:val="single" w:sz="4" w:space="0" w:color="auto"/>
              <w:bottom w:val="single" w:sz="4" w:space="0" w:color="auto"/>
              <w:right w:val="single" w:sz="4" w:space="0" w:color="auto"/>
            </w:tcBorders>
            <w:hideMark/>
          </w:tcPr>
          <w:p w:rsidR="00A02663" w:rsidRPr="00DD3A61" w:rsidRDefault="00A02663" w:rsidP="003B4BCE">
            <w:pPr>
              <w:rPr>
                <w:bCs/>
                <w:sz w:val="24"/>
                <w:szCs w:val="24"/>
              </w:rPr>
            </w:pPr>
            <w:proofErr w:type="spellStart"/>
            <w:r w:rsidRPr="00DD3A61">
              <w:rPr>
                <w:bCs/>
                <w:sz w:val="24"/>
                <w:szCs w:val="24"/>
                <w:lang w:val="en-US"/>
              </w:rPr>
              <w:t>Alvorlig</w:t>
            </w:r>
            <w:proofErr w:type="spellEnd"/>
          </w:p>
        </w:tc>
        <w:tc>
          <w:tcPr>
            <w:tcW w:w="1137" w:type="pct"/>
            <w:tcBorders>
              <w:top w:val="single" w:sz="4" w:space="0" w:color="auto"/>
              <w:left w:val="single" w:sz="4" w:space="0" w:color="auto"/>
              <w:bottom w:val="single" w:sz="4" w:space="0" w:color="auto"/>
              <w:right w:val="single" w:sz="4" w:space="0" w:color="auto"/>
            </w:tcBorders>
            <w:hideMark/>
          </w:tcPr>
          <w:p w:rsidR="00A02663" w:rsidRPr="00DD3A61" w:rsidRDefault="00A02663" w:rsidP="003B4BCE">
            <w:pPr>
              <w:rPr>
                <w:bCs/>
                <w:sz w:val="24"/>
                <w:szCs w:val="24"/>
              </w:rPr>
            </w:pPr>
            <w:r w:rsidRPr="00DD3A61">
              <w:rPr>
                <w:bCs/>
                <w:sz w:val="24"/>
                <w:szCs w:val="24"/>
                <w:lang w:val="en-US"/>
              </w:rPr>
              <w:t>5-29 mL/min</w:t>
            </w:r>
          </w:p>
        </w:tc>
        <w:tc>
          <w:tcPr>
            <w:tcW w:w="1118" w:type="pct"/>
            <w:tcBorders>
              <w:top w:val="single" w:sz="4" w:space="0" w:color="auto"/>
              <w:left w:val="single" w:sz="4" w:space="0" w:color="auto"/>
              <w:bottom w:val="single" w:sz="4" w:space="0" w:color="auto"/>
              <w:right w:val="single" w:sz="4" w:space="0" w:color="auto"/>
            </w:tcBorders>
            <w:hideMark/>
          </w:tcPr>
          <w:p w:rsidR="00A02663" w:rsidRPr="00DD3A61" w:rsidRDefault="00A02663" w:rsidP="003B4BCE">
            <w:pPr>
              <w:rPr>
                <w:bCs/>
                <w:sz w:val="24"/>
                <w:szCs w:val="24"/>
              </w:rPr>
            </w:pPr>
            <w:proofErr w:type="spellStart"/>
            <w:r w:rsidRPr="00DD3A61">
              <w:rPr>
                <w:bCs/>
                <w:sz w:val="24"/>
                <w:szCs w:val="24"/>
                <w:lang w:val="en-US"/>
              </w:rPr>
              <w:t>Alvorlig</w:t>
            </w:r>
            <w:proofErr w:type="spellEnd"/>
            <w:r w:rsidRPr="00DD3A61">
              <w:rPr>
                <w:bCs/>
                <w:sz w:val="24"/>
                <w:szCs w:val="24"/>
                <w:lang w:val="en-US"/>
              </w:rPr>
              <w:t xml:space="preserve"> </w:t>
            </w:r>
            <w:proofErr w:type="spellStart"/>
            <w:r w:rsidRPr="00DD3A61">
              <w:rPr>
                <w:bCs/>
                <w:sz w:val="24"/>
                <w:szCs w:val="24"/>
                <w:lang w:val="en-US"/>
              </w:rPr>
              <w:t>nedsat</w:t>
            </w:r>
            <w:proofErr w:type="spellEnd"/>
          </w:p>
        </w:tc>
        <w:tc>
          <w:tcPr>
            <w:tcW w:w="1228" w:type="pct"/>
            <w:tcBorders>
              <w:top w:val="single" w:sz="4" w:space="0" w:color="auto"/>
              <w:left w:val="single" w:sz="4" w:space="0" w:color="auto"/>
              <w:bottom w:val="single" w:sz="4" w:space="0" w:color="auto"/>
              <w:right w:val="single" w:sz="4" w:space="0" w:color="auto"/>
            </w:tcBorders>
            <w:hideMark/>
          </w:tcPr>
          <w:p w:rsidR="00A02663" w:rsidRPr="00DD3A61" w:rsidRDefault="00A02663" w:rsidP="003B4BCE">
            <w:pPr>
              <w:rPr>
                <w:bCs/>
                <w:sz w:val="24"/>
                <w:szCs w:val="24"/>
              </w:rPr>
            </w:pPr>
            <w:r w:rsidRPr="00DD3A61">
              <w:rPr>
                <w:bCs/>
                <w:sz w:val="24"/>
                <w:szCs w:val="24"/>
                <w:lang w:val="en-US"/>
              </w:rPr>
              <w:t>682</w:t>
            </w:r>
          </w:p>
        </w:tc>
        <w:tc>
          <w:tcPr>
            <w:tcW w:w="819" w:type="pct"/>
            <w:tcBorders>
              <w:top w:val="single" w:sz="4" w:space="0" w:color="auto"/>
              <w:left w:val="single" w:sz="4" w:space="0" w:color="auto"/>
              <w:bottom w:val="single" w:sz="4" w:space="0" w:color="auto"/>
              <w:right w:val="single" w:sz="4" w:space="0" w:color="auto"/>
            </w:tcBorders>
            <w:hideMark/>
          </w:tcPr>
          <w:p w:rsidR="00A02663" w:rsidRPr="00DD3A61" w:rsidRDefault="00A02663" w:rsidP="003B4BCE">
            <w:pPr>
              <w:rPr>
                <w:bCs/>
                <w:sz w:val="24"/>
                <w:szCs w:val="24"/>
              </w:rPr>
            </w:pPr>
            <w:r w:rsidRPr="00DD3A61">
              <w:rPr>
                <w:bCs/>
                <w:sz w:val="24"/>
                <w:szCs w:val="24"/>
                <w:lang w:val="en-US"/>
              </w:rPr>
              <w:t>8.7</w:t>
            </w:r>
          </w:p>
        </w:tc>
      </w:tr>
    </w:tbl>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i/>
          <w:sz w:val="24"/>
          <w:szCs w:val="24"/>
        </w:rPr>
      </w:pPr>
      <w:r>
        <w:rPr>
          <w:i/>
          <w:sz w:val="24"/>
          <w:szCs w:val="24"/>
        </w:rPr>
        <w:tab/>
      </w:r>
      <w:r w:rsidRPr="00414820">
        <w:rPr>
          <w:i/>
          <w:sz w:val="24"/>
          <w:szCs w:val="24"/>
        </w:rPr>
        <w:t>Nedsat leverfunktion</w:t>
      </w:r>
    </w:p>
    <w:p w:rsidR="00A02663" w:rsidRPr="00414820" w:rsidRDefault="00A02663" w:rsidP="00A02663">
      <w:pPr>
        <w:tabs>
          <w:tab w:val="left" w:pos="851"/>
        </w:tabs>
        <w:ind w:left="851" w:hanging="851"/>
        <w:rPr>
          <w:sz w:val="24"/>
          <w:szCs w:val="24"/>
        </w:rPr>
      </w:pPr>
      <w:r>
        <w:rPr>
          <w:sz w:val="24"/>
          <w:szCs w:val="24"/>
        </w:rPr>
        <w:tab/>
      </w:r>
      <w:r w:rsidRPr="00414820">
        <w:rPr>
          <w:sz w:val="24"/>
          <w:szCs w:val="24"/>
        </w:rPr>
        <w:t>Der er ingen undersøgelser foretaget for denne patientgruppe.</w:t>
      </w:r>
    </w:p>
    <w:p w:rsidR="00A02663" w:rsidRPr="00414820" w:rsidRDefault="00A02663" w:rsidP="00A02663">
      <w:pPr>
        <w:tabs>
          <w:tab w:val="left" w:pos="851"/>
        </w:tabs>
        <w:ind w:left="851" w:hanging="851"/>
        <w:rPr>
          <w:sz w:val="24"/>
          <w:szCs w:val="24"/>
        </w:rPr>
      </w:pPr>
      <w:r>
        <w:rPr>
          <w:sz w:val="24"/>
          <w:szCs w:val="24"/>
        </w:rPr>
        <w:tab/>
      </w:r>
      <w:r w:rsidRPr="00414820">
        <w:rPr>
          <w:sz w:val="24"/>
          <w:szCs w:val="24"/>
        </w:rPr>
        <w:t xml:space="preserve">Det er ikke sandsynligt at </w:t>
      </w:r>
      <w:proofErr w:type="spellStart"/>
      <w:r w:rsidRPr="00414820">
        <w:rPr>
          <w:sz w:val="24"/>
          <w:szCs w:val="24"/>
        </w:rPr>
        <w:t>desmopressin</w:t>
      </w:r>
      <w:proofErr w:type="spellEnd"/>
      <w:r w:rsidRPr="00414820">
        <w:rPr>
          <w:sz w:val="24"/>
          <w:szCs w:val="24"/>
        </w:rPr>
        <w:t xml:space="preserve"> interagerer med lægemidler der påvirker levermetabolismen, da det er vist at </w:t>
      </w:r>
      <w:proofErr w:type="spellStart"/>
      <w:r w:rsidRPr="00414820">
        <w:rPr>
          <w:sz w:val="24"/>
          <w:szCs w:val="24"/>
        </w:rPr>
        <w:t>desmopressin</w:t>
      </w:r>
      <w:proofErr w:type="spellEnd"/>
      <w:r w:rsidRPr="00414820">
        <w:rPr>
          <w:sz w:val="24"/>
          <w:szCs w:val="24"/>
        </w:rPr>
        <w:t xml:space="preserve"> ikke undergår væsentlig levermetabolisme i </w:t>
      </w:r>
      <w:r w:rsidRPr="00414820">
        <w:rPr>
          <w:i/>
          <w:sz w:val="24"/>
          <w:szCs w:val="24"/>
        </w:rPr>
        <w:t xml:space="preserve">in </w:t>
      </w:r>
      <w:proofErr w:type="spellStart"/>
      <w:r w:rsidRPr="00414820">
        <w:rPr>
          <w:i/>
          <w:sz w:val="24"/>
          <w:szCs w:val="24"/>
        </w:rPr>
        <w:t>vitro</w:t>
      </w:r>
      <w:proofErr w:type="spellEnd"/>
      <w:r w:rsidRPr="00414820">
        <w:rPr>
          <w:sz w:val="24"/>
          <w:szCs w:val="24"/>
        </w:rPr>
        <w:t xml:space="preserve"> studier med humane </w:t>
      </w:r>
      <w:proofErr w:type="spellStart"/>
      <w:r w:rsidRPr="00414820">
        <w:rPr>
          <w:sz w:val="24"/>
          <w:szCs w:val="24"/>
        </w:rPr>
        <w:t>mikrosomer</w:t>
      </w:r>
      <w:proofErr w:type="spellEnd"/>
      <w:r w:rsidRPr="00414820">
        <w:rPr>
          <w:sz w:val="24"/>
          <w:szCs w:val="24"/>
        </w:rPr>
        <w:t>.</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b/>
          <w:sz w:val="24"/>
          <w:szCs w:val="24"/>
        </w:rPr>
      </w:pPr>
      <w:r w:rsidRPr="00414820">
        <w:rPr>
          <w:b/>
          <w:sz w:val="24"/>
          <w:szCs w:val="24"/>
        </w:rPr>
        <w:t>5.3</w:t>
      </w:r>
      <w:r w:rsidRPr="00414820">
        <w:rPr>
          <w:b/>
          <w:sz w:val="24"/>
          <w:szCs w:val="24"/>
        </w:rPr>
        <w:tab/>
        <w:t>Prækliniske sikkerhedsdata</w:t>
      </w:r>
    </w:p>
    <w:p w:rsidR="00A02663" w:rsidRPr="00414820" w:rsidRDefault="00A02663" w:rsidP="00A02663">
      <w:pPr>
        <w:tabs>
          <w:tab w:val="left" w:pos="851"/>
        </w:tabs>
        <w:ind w:left="851" w:hanging="851"/>
        <w:rPr>
          <w:sz w:val="24"/>
          <w:szCs w:val="24"/>
          <w:lang w:eastAsia="da-DK"/>
        </w:rPr>
      </w:pPr>
      <w:r>
        <w:rPr>
          <w:sz w:val="24"/>
          <w:szCs w:val="24"/>
        </w:rPr>
        <w:tab/>
      </w:r>
      <w:r w:rsidRPr="00414820">
        <w:rPr>
          <w:sz w:val="24"/>
          <w:szCs w:val="24"/>
        </w:rPr>
        <w:t>Prækliniske data viser ingen speciel risiko for mennesker vurderet ud fra konventionelle studier af sikkerhedsfarmakologi, toksicitet efter gentagne doser, genotoksicitet og reproduktionstoksicitet.</w:t>
      </w:r>
    </w:p>
    <w:p w:rsidR="00A02663" w:rsidRPr="00414820" w:rsidRDefault="00A02663" w:rsidP="00A02663">
      <w:pPr>
        <w:tabs>
          <w:tab w:val="left" w:pos="851"/>
        </w:tabs>
        <w:ind w:left="851" w:hanging="851"/>
        <w:rPr>
          <w:sz w:val="24"/>
          <w:szCs w:val="24"/>
        </w:rPr>
      </w:pPr>
      <w:r>
        <w:rPr>
          <w:sz w:val="24"/>
          <w:szCs w:val="24"/>
        </w:rPr>
        <w:tab/>
      </w:r>
      <w:proofErr w:type="spellStart"/>
      <w:r w:rsidRPr="00414820">
        <w:rPr>
          <w:sz w:val="24"/>
          <w:szCs w:val="24"/>
        </w:rPr>
        <w:t>Karcinogenicitetsstudier</w:t>
      </w:r>
      <w:proofErr w:type="spellEnd"/>
      <w:r w:rsidRPr="00414820">
        <w:rPr>
          <w:sz w:val="24"/>
          <w:szCs w:val="24"/>
        </w:rPr>
        <w:t xml:space="preserve"> er ikke foretaget med </w:t>
      </w:r>
      <w:proofErr w:type="spellStart"/>
      <w:r w:rsidRPr="00414820">
        <w:rPr>
          <w:sz w:val="24"/>
          <w:szCs w:val="24"/>
        </w:rPr>
        <w:t>desmopressin</w:t>
      </w:r>
      <w:proofErr w:type="spellEnd"/>
      <w:r w:rsidRPr="00414820">
        <w:rPr>
          <w:sz w:val="24"/>
          <w:szCs w:val="24"/>
        </w:rPr>
        <w:t>, da dets egenskaber ligger meget tæt på naturligt forekommende peptidhormon</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b/>
          <w:sz w:val="24"/>
          <w:szCs w:val="24"/>
        </w:rPr>
      </w:pPr>
      <w:r w:rsidRPr="00414820">
        <w:rPr>
          <w:b/>
          <w:sz w:val="24"/>
          <w:szCs w:val="24"/>
        </w:rPr>
        <w:t>6.</w:t>
      </w:r>
      <w:r w:rsidRPr="00414820">
        <w:rPr>
          <w:b/>
          <w:sz w:val="24"/>
          <w:szCs w:val="24"/>
        </w:rPr>
        <w:tab/>
        <w:t>FARMACEUTISKE OPLYSNINGER</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b/>
          <w:sz w:val="24"/>
          <w:szCs w:val="24"/>
        </w:rPr>
      </w:pPr>
      <w:r w:rsidRPr="00414820">
        <w:rPr>
          <w:b/>
          <w:sz w:val="24"/>
          <w:szCs w:val="24"/>
        </w:rPr>
        <w:t>6.1</w:t>
      </w:r>
      <w:r w:rsidRPr="00414820">
        <w:rPr>
          <w:b/>
          <w:sz w:val="24"/>
          <w:szCs w:val="24"/>
        </w:rPr>
        <w:tab/>
        <w:t>Hjælpestoffer</w:t>
      </w:r>
    </w:p>
    <w:p w:rsidR="00A02663" w:rsidRPr="00414820" w:rsidRDefault="00A02663" w:rsidP="00A02663">
      <w:pPr>
        <w:tabs>
          <w:tab w:val="left" w:pos="851"/>
        </w:tabs>
        <w:ind w:left="851" w:hanging="851"/>
        <w:rPr>
          <w:sz w:val="24"/>
          <w:szCs w:val="24"/>
          <w:lang w:eastAsia="da-DK"/>
        </w:rPr>
      </w:pPr>
      <w:r>
        <w:rPr>
          <w:sz w:val="24"/>
          <w:szCs w:val="24"/>
        </w:rPr>
        <w:tab/>
      </w:r>
      <w:r w:rsidRPr="00414820">
        <w:rPr>
          <w:sz w:val="24"/>
          <w:szCs w:val="24"/>
        </w:rPr>
        <w:t>Gelatine</w:t>
      </w:r>
    </w:p>
    <w:p w:rsidR="00A02663" w:rsidRPr="00414820" w:rsidRDefault="00A02663" w:rsidP="00A02663">
      <w:pPr>
        <w:tabs>
          <w:tab w:val="left" w:pos="851"/>
        </w:tabs>
        <w:ind w:left="851" w:hanging="851"/>
        <w:rPr>
          <w:sz w:val="24"/>
          <w:szCs w:val="24"/>
        </w:rPr>
      </w:pPr>
      <w:r>
        <w:rPr>
          <w:sz w:val="24"/>
          <w:szCs w:val="24"/>
        </w:rPr>
        <w:tab/>
      </w:r>
      <w:proofErr w:type="spellStart"/>
      <w:r w:rsidRPr="00414820">
        <w:rPr>
          <w:sz w:val="24"/>
          <w:szCs w:val="24"/>
        </w:rPr>
        <w:t>Mannitol</w:t>
      </w:r>
      <w:proofErr w:type="spellEnd"/>
      <w:r w:rsidRPr="00414820">
        <w:rPr>
          <w:sz w:val="24"/>
          <w:szCs w:val="24"/>
        </w:rPr>
        <w:t xml:space="preserve"> (E 421)</w:t>
      </w:r>
    </w:p>
    <w:p w:rsidR="00A02663" w:rsidRPr="00414820" w:rsidRDefault="00A02663" w:rsidP="00A02663">
      <w:pPr>
        <w:tabs>
          <w:tab w:val="left" w:pos="851"/>
        </w:tabs>
        <w:ind w:left="851" w:hanging="851"/>
        <w:rPr>
          <w:sz w:val="24"/>
          <w:szCs w:val="24"/>
        </w:rPr>
      </w:pPr>
      <w:r>
        <w:rPr>
          <w:sz w:val="24"/>
          <w:szCs w:val="24"/>
        </w:rPr>
        <w:tab/>
      </w:r>
      <w:r w:rsidRPr="00414820">
        <w:rPr>
          <w:sz w:val="24"/>
          <w:szCs w:val="24"/>
        </w:rPr>
        <w:t>Citronsyre, vandfri</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b/>
          <w:sz w:val="24"/>
          <w:szCs w:val="24"/>
        </w:rPr>
      </w:pPr>
      <w:r w:rsidRPr="00414820">
        <w:rPr>
          <w:b/>
          <w:sz w:val="24"/>
          <w:szCs w:val="24"/>
        </w:rPr>
        <w:t>6.2</w:t>
      </w:r>
      <w:r w:rsidRPr="00414820">
        <w:rPr>
          <w:b/>
          <w:sz w:val="24"/>
          <w:szCs w:val="24"/>
        </w:rPr>
        <w:tab/>
        <w:t>Uforligeligheder</w:t>
      </w:r>
    </w:p>
    <w:p w:rsidR="00A02663" w:rsidRPr="00414820" w:rsidRDefault="00A02663" w:rsidP="00A02663">
      <w:pPr>
        <w:tabs>
          <w:tab w:val="left" w:pos="851"/>
        </w:tabs>
        <w:ind w:left="851" w:hanging="851"/>
        <w:rPr>
          <w:sz w:val="24"/>
          <w:szCs w:val="24"/>
          <w:lang w:eastAsia="da-DK"/>
        </w:rPr>
      </w:pPr>
      <w:r>
        <w:rPr>
          <w:sz w:val="24"/>
          <w:szCs w:val="24"/>
        </w:rPr>
        <w:tab/>
      </w:r>
      <w:r w:rsidRPr="00414820">
        <w:rPr>
          <w:sz w:val="24"/>
          <w:szCs w:val="24"/>
        </w:rPr>
        <w:t>Ikke relevant.</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b/>
          <w:sz w:val="24"/>
          <w:szCs w:val="24"/>
        </w:rPr>
      </w:pPr>
      <w:r w:rsidRPr="00414820">
        <w:rPr>
          <w:b/>
          <w:sz w:val="24"/>
          <w:szCs w:val="24"/>
        </w:rPr>
        <w:t>6.3</w:t>
      </w:r>
      <w:r w:rsidRPr="00414820">
        <w:rPr>
          <w:b/>
          <w:sz w:val="24"/>
          <w:szCs w:val="24"/>
        </w:rPr>
        <w:tab/>
        <w:t>Opbevaringstid</w:t>
      </w:r>
    </w:p>
    <w:p w:rsidR="00A02663" w:rsidRPr="00414820" w:rsidRDefault="00A02663" w:rsidP="00A02663">
      <w:pPr>
        <w:tabs>
          <w:tab w:val="left" w:pos="851"/>
        </w:tabs>
        <w:ind w:left="851" w:hanging="851"/>
        <w:rPr>
          <w:sz w:val="24"/>
          <w:szCs w:val="24"/>
          <w:lang w:eastAsia="da-DK"/>
        </w:rPr>
      </w:pPr>
      <w:r w:rsidRPr="00414820">
        <w:rPr>
          <w:sz w:val="24"/>
          <w:szCs w:val="24"/>
        </w:rPr>
        <w:tab/>
        <w:t>4 år</w:t>
      </w:r>
      <w:r>
        <w:rPr>
          <w:sz w:val="24"/>
          <w:szCs w:val="24"/>
        </w:rPr>
        <w:t>.</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b/>
          <w:sz w:val="24"/>
          <w:szCs w:val="24"/>
        </w:rPr>
      </w:pPr>
      <w:r w:rsidRPr="00414820">
        <w:rPr>
          <w:b/>
          <w:sz w:val="24"/>
          <w:szCs w:val="24"/>
        </w:rPr>
        <w:lastRenderedPageBreak/>
        <w:t>6.4</w:t>
      </w:r>
      <w:r w:rsidRPr="00414820">
        <w:rPr>
          <w:b/>
          <w:sz w:val="24"/>
          <w:szCs w:val="24"/>
        </w:rPr>
        <w:tab/>
        <w:t>Særlige opbevaringsforhold</w:t>
      </w:r>
    </w:p>
    <w:p w:rsidR="00A02663" w:rsidRPr="00414820" w:rsidRDefault="00A02663" w:rsidP="00A02663">
      <w:pPr>
        <w:tabs>
          <w:tab w:val="left" w:pos="851"/>
        </w:tabs>
        <w:ind w:left="851" w:hanging="851"/>
        <w:rPr>
          <w:sz w:val="24"/>
          <w:szCs w:val="24"/>
          <w:lang w:eastAsia="da-DK"/>
        </w:rPr>
      </w:pPr>
      <w:r>
        <w:rPr>
          <w:sz w:val="24"/>
          <w:szCs w:val="24"/>
        </w:rPr>
        <w:tab/>
        <w:t xml:space="preserve">Der er </w:t>
      </w:r>
      <w:r w:rsidRPr="00414820">
        <w:rPr>
          <w:sz w:val="24"/>
          <w:szCs w:val="24"/>
        </w:rPr>
        <w:t xml:space="preserve">ingen særlige </w:t>
      </w:r>
      <w:r>
        <w:rPr>
          <w:sz w:val="24"/>
          <w:szCs w:val="24"/>
        </w:rPr>
        <w:t>krav</w:t>
      </w:r>
      <w:r w:rsidRPr="00414820">
        <w:rPr>
          <w:sz w:val="24"/>
          <w:szCs w:val="24"/>
        </w:rPr>
        <w:t xml:space="preserve"> vedrørende opbevaringstemperatur</w:t>
      </w:r>
      <w:r>
        <w:rPr>
          <w:sz w:val="24"/>
          <w:szCs w:val="24"/>
        </w:rPr>
        <w:t xml:space="preserve"> for dette lægemiddel</w:t>
      </w:r>
      <w:r w:rsidRPr="00414820">
        <w:rPr>
          <w:sz w:val="24"/>
          <w:szCs w:val="24"/>
        </w:rPr>
        <w:t>.</w:t>
      </w:r>
    </w:p>
    <w:p w:rsidR="00A02663" w:rsidRPr="00414820" w:rsidRDefault="00A02663" w:rsidP="00A02663">
      <w:pPr>
        <w:tabs>
          <w:tab w:val="left" w:pos="851"/>
        </w:tabs>
        <w:ind w:left="851" w:hanging="851"/>
        <w:rPr>
          <w:sz w:val="24"/>
          <w:szCs w:val="24"/>
        </w:rPr>
      </w:pPr>
      <w:r>
        <w:rPr>
          <w:sz w:val="24"/>
          <w:szCs w:val="24"/>
        </w:rPr>
        <w:tab/>
      </w:r>
      <w:r w:rsidRPr="00414820">
        <w:rPr>
          <w:sz w:val="24"/>
          <w:szCs w:val="24"/>
        </w:rPr>
        <w:t>Opbevares i den originale yderpakning for at beskytte mod lys og fugt.</w:t>
      </w:r>
    </w:p>
    <w:p w:rsidR="00A02663" w:rsidRPr="00414820" w:rsidRDefault="00A02663" w:rsidP="00A02663">
      <w:pPr>
        <w:tabs>
          <w:tab w:val="left" w:pos="851"/>
        </w:tabs>
        <w:ind w:left="851" w:hanging="851"/>
        <w:rPr>
          <w:sz w:val="24"/>
          <w:szCs w:val="24"/>
        </w:rPr>
      </w:pPr>
      <w:r>
        <w:rPr>
          <w:sz w:val="24"/>
          <w:szCs w:val="24"/>
        </w:rPr>
        <w:tab/>
      </w:r>
      <w:r w:rsidRPr="00414820">
        <w:rPr>
          <w:sz w:val="24"/>
          <w:szCs w:val="24"/>
        </w:rPr>
        <w:t>Anvendes umiddelbart efter åbning af hver individuel tablet-blister</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b/>
          <w:sz w:val="24"/>
          <w:szCs w:val="24"/>
        </w:rPr>
      </w:pPr>
      <w:r w:rsidRPr="00414820">
        <w:rPr>
          <w:b/>
          <w:sz w:val="24"/>
          <w:szCs w:val="24"/>
        </w:rPr>
        <w:t>6.5</w:t>
      </w:r>
      <w:r w:rsidRPr="00414820">
        <w:rPr>
          <w:b/>
          <w:sz w:val="24"/>
          <w:szCs w:val="24"/>
        </w:rPr>
        <w:tab/>
        <w:t>Emballagetyper og pakningsstørrelser</w:t>
      </w:r>
    </w:p>
    <w:p w:rsidR="00A02663" w:rsidRPr="00414820" w:rsidRDefault="00A02663" w:rsidP="00A02663">
      <w:pPr>
        <w:tabs>
          <w:tab w:val="left" w:pos="851"/>
        </w:tabs>
        <w:ind w:left="851" w:hanging="851"/>
        <w:rPr>
          <w:sz w:val="24"/>
          <w:szCs w:val="24"/>
          <w:lang w:eastAsia="da-DK"/>
        </w:rPr>
      </w:pPr>
      <w:r>
        <w:rPr>
          <w:sz w:val="24"/>
          <w:szCs w:val="24"/>
        </w:rPr>
        <w:tab/>
      </w:r>
      <w:r w:rsidRPr="00414820">
        <w:rPr>
          <w:sz w:val="24"/>
          <w:szCs w:val="24"/>
        </w:rPr>
        <w:t xml:space="preserve">Perforeret </w:t>
      </w:r>
      <w:r>
        <w:rPr>
          <w:sz w:val="24"/>
          <w:szCs w:val="24"/>
        </w:rPr>
        <w:t>enkeltdosisblister</w:t>
      </w:r>
      <w:r w:rsidRPr="00414820">
        <w:rPr>
          <w:sz w:val="24"/>
          <w:szCs w:val="24"/>
        </w:rPr>
        <w:t xml:space="preserve"> pakket i en kartonæske. Blisterbund og dækkefolien er multilags laminat bestående af henholdsvis PVC/OPA/</w:t>
      </w:r>
      <w:proofErr w:type="spellStart"/>
      <w:r w:rsidRPr="00414820">
        <w:rPr>
          <w:sz w:val="24"/>
          <w:szCs w:val="24"/>
        </w:rPr>
        <w:t>Alu</w:t>
      </w:r>
      <w:proofErr w:type="spellEnd"/>
      <w:r w:rsidRPr="00414820">
        <w:rPr>
          <w:sz w:val="24"/>
          <w:szCs w:val="24"/>
        </w:rPr>
        <w:t>/OPA/PVC og varmeforseglet lak/</w:t>
      </w:r>
      <w:proofErr w:type="spellStart"/>
      <w:r w:rsidRPr="00414820">
        <w:rPr>
          <w:sz w:val="24"/>
          <w:szCs w:val="24"/>
        </w:rPr>
        <w:t>Alu</w:t>
      </w:r>
      <w:proofErr w:type="spellEnd"/>
      <w:r w:rsidRPr="00414820">
        <w:rPr>
          <w:sz w:val="24"/>
          <w:szCs w:val="24"/>
        </w:rPr>
        <w:t>/papir.</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sz w:val="24"/>
          <w:szCs w:val="24"/>
        </w:rPr>
      </w:pPr>
      <w:r>
        <w:rPr>
          <w:sz w:val="24"/>
          <w:szCs w:val="24"/>
        </w:rPr>
        <w:tab/>
      </w:r>
      <w:r w:rsidRPr="00414820">
        <w:rPr>
          <w:sz w:val="24"/>
          <w:szCs w:val="24"/>
        </w:rPr>
        <w:t>Pakningsstørrelser:</w:t>
      </w:r>
    </w:p>
    <w:p w:rsidR="00A02663" w:rsidRPr="00414820" w:rsidRDefault="00A02663" w:rsidP="00A02663">
      <w:pPr>
        <w:tabs>
          <w:tab w:val="left" w:pos="851"/>
        </w:tabs>
        <w:ind w:left="851" w:hanging="851"/>
        <w:rPr>
          <w:sz w:val="24"/>
          <w:szCs w:val="24"/>
        </w:rPr>
      </w:pPr>
      <w:r>
        <w:rPr>
          <w:sz w:val="24"/>
          <w:szCs w:val="24"/>
        </w:rPr>
        <w:tab/>
      </w:r>
      <w:r w:rsidRPr="00414820">
        <w:rPr>
          <w:sz w:val="24"/>
          <w:szCs w:val="24"/>
        </w:rPr>
        <w:t>10x1, 30x1, 90x1 og 100x1 frysetørrede tabletter.</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sz w:val="24"/>
          <w:szCs w:val="24"/>
        </w:rPr>
      </w:pPr>
      <w:r>
        <w:rPr>
          <w:sz w:val="24"/>
          <w:szCs w:val="24"/>
        </w:rPr>
        <w:tab/>
      </w:r>
      <w:r w:rsidRPr="00414820">
        <w:rPr>
          <w:sz w:val="24"/>
          <w:szCs w:val="24"/>
        </w:rPr>
        <w:t>Ikke alle pakningsstørrelser er nødvendigvis markedsført.</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b/>
          <w:sz w:val="24"/>
          <w:szCs w:val="24"/>
        </w:rPr>
      </w:pPr>
      <w:r w:rsidRPr="00414820">
        <w:rPr>
          <w:b/>
          <w:sz w:val="24"/>
          <w:szCs w:val="24"/>
        </w:rPr>
        <w:t>6.6</w:t>
      </w:r>
      <w:r w:rsidRPr="00414820">
        <w:rPr>
          <w:b/>
          <w:sz w:val="24"/>
          <w:szCs w:val="24"/>
        </w:rPr>
        <w:tab/>
        <w:t>Regler for destruktion og anden håndtering</w:t>
      </w:r>
    </w:p>
    <w:p w:rsidR="00A02663" w:rsidRPr="00414820" w:rsidRDefault="00A02663" w:rsidP="00A02663">
      <w:pPr>
        <w:tabs>
          <w:tab w:val="left" w:pos="851"/>
        </w:tabs>
        <w:ind w:left="851" w:hanging="851"/>
        <w:rPr>
          <w:sz w:val="24"/>
          <w:szCs w:val="24"/>
          <w:lang w:eastAsia="da-DK"/>
        </w:rPr>
      </w:pPr>
      <w:r>
        <w:rPr>
          <w:sz w:val="24"/>
          <w:szCs w:val="24"/>
        </w:rPr>
        <w:tab/>
      </w:r>
      <w:r w:rsidRPr="00414820">
        <w:rPr>
          <w:sz w:val="24"/>
          <w:szCs w:val="24"/>
        </w:rPr>
        <w:t xml:space="preserve">Ingen særlige forholdsregler </w:t>
      </w:r>
    </w:p>
    <w:p w:rsidR="00A02663" w:rsidRPr="00414820" w:rsidRDefault="00A02663" w:rsidP="00A02663">
      <w:pPr>
        <w:tabs>
          <w:tab w:val="left" w:pos="851"/>
        </w:tabs>
        <w:ind w:left="851" w:hanging="851"/>
        <w:rPr>
          <w:sz w:val="24"/>
          <w:szCs w:val="24"/>
        </w:rPr>
      </w:pPr>
      <w:r>
        <w:rPr>
          <w:sz w:val="24"/>
          <w:szCs w:val="24"/>
        </w:rPr>
        <w:tab/>
      </w:r>
      <w:r w:rsidRPr="00414820">
        <w:rPr>
          <w:sz w:val="24"/>
          <w:szCs w:val="24"/>
        </w:rPr>
        <w:t>Ikke anvendt lægemiddel samt affald heraf skal bortskaffes i henhold til lokale retningslinjer.</w:t>
      </w:r>
    </w:p>
    <w:p w:rsidR="00A02663" w:rsidRPr="00414820" w:rsidRDefault="00A02663" w:rsidP="00A02663">
      <w:pPr>
        <w:tabs>
          <w:tab w:val="left" w:pos="851"/>
        </w:tabs>
        <w:ind w:left="851" w:hanging="851"/>
        <w:jc w:val="both"/>
        <w:rPr>
          <w:sz w:val="24"/>
          <w:szCs w:val="24"/>
        </w:rPr>
      </w:pPr>
    </w:p>
    <w:p w:rsidR="00A02663" w:rsidRPr="00414820" w:rsidRDefault="00A02663" w:rsidP="00A02663">
      <w:pPr>
        <w:tabs>
          <w:tab w:val="left" w:pos="851"/>
        </w:tabs>
        <w:ind w:left="851" w:hanging="851"/>
        <w:rPr>
          <w:b/>
          <w:sz w:val="24"/>
          <w:szCs w:val="24"/>
        </w:rPr>
      </w:pPr>
      <w:r w:rsidRPr="00414820">
        <w:rPr>
          <w:b/>
          <w:sz w:val="24"/>
          <w:szCs w:val="24"/>
        </w:rPr>
        <w:t>7.</w:t>
      </w:r>
      <w:r w:rsidRPr="00414820">
        <w:rPr>
          <w:b/>
          <w:sz w:val="24"/>
          <w:szCs w:val="24"/>
        </w:rPr>
        <w:tab/>
        <w:t>INDEHAVER AF MARKEDSFØRINGSTILLADELSEN</w:t>
      </w:r>
    </w:p>
    <w:p w:rsidR="00A02663" w:rsidRPr="00414820" w:rsidRDefault="00A02663" w:rsidP="00A02663">
      <w:pPr>
        <w:tabs>
          <w:tab w:val="left" w:pos="851"/>
        </w:tabs>
        <w:ind w:left="851" w:hanging="851"/>
        <w:rPr>
          <w:sz w:val="24"/>
          <w:szCs w:val="24"/>
          <w:lang w:eastAsia="da-DK"/>
        </w:rPr>
      </w:pPr>
      <w:r>
        <w:rPr>
          <w:sz w:val="24"/>
          <w:szCs w:val="24"/>
        </w:rPr>
        <w:tab/>
      </w:r>
      <w:r w:rsidRPr="00414820">
        <w:rPr>
          <w:sz w:val="24"/>
          <w:szCs w:val="24"/>
        </w:rPr>
        <w:t>Ferring Lægemidler A/S</w:t>
      </w:r>
    </w:p>
    <w:p w:rsidR="007215EE" w:rsidRPr="00F561FC" w:rsidRDefault="007215EE" w:rsidP="007215EE">
      <w:pPr>
        <w:ind w:left="851"/>
        <w:rPr>
          <w:snapToGrid w:val="0"/>
          <w:sz w:val="24"/>
          <w:szCs w:val="24"/>
        </w:rPr>
      </w:pPr>
      <w:r w:rsidRPr="00F561FC">
        <w:rPr>
          <w:snapToGrid w:val="0"/>
          <w:sz w:val="24"/>
          <w:szCs w:val="24"/>
        </w:rPr>
        <w:t>Amager Strandvej 405</w:t>
      </w:r>
    </w:p>
    <w:p w:rsidR="007215EE" w:rsidRDefault="007215EE" w:rsidP="007215EE">
      <w:pPr>
        <w:ind w:left="851"/>
        <w:rPr>
          <w:snapToGrid w:val="0"/>
          <w:sz w:val="24"/>
          <w:szCs w:val="24"/>
        </w:rPr>
      </w:pPr>
      <w:r w:rsidRPr="00F561FC">
        <w:rPr>
          <w:snapToGrid w:val="0"/>
          <w:sz w:val="24"/>
          <w:szCs w:val="24"/>
        </w:rPr>
        <w:t>2770 Kastrup</w:t>
      </w:r>
    </w:p>
    <w:p w:rsidR="00A02663" w:rsidRPr="00414820" w:rsidRDefault="00A02663" w:rsidP="007215EE">
      <w:pPr>
        <w:tabs>
          <w:tab w:val="left" w:pos="851"/>
        </w:tabs>
        <w:ind w:left="851" w:hanging="851"/>
        <w:rPr>
          <w:sz w:val="24"/>
          <w:szCs w:val="24"/>
        </w:rPr>
      </w:pPr>
    </w:p>
    <w:p w:rsidR="00A02663" w:rsidRPr="00414820" w:rsidRDefault="00A02663" w:rsidP="00A02663">
      <w:pPr>
        <w:tabs>
          <w:tab w:val="left" w:pos="851"/>
        </w:tabs>
        <w:ind w:left="851" w:hanging="851"/>
        <w:rPr>
          <w:b/>
          <w:sz w:val="24"/>
          <w:szCs w:val="24"/>
        </w:rPr>
      </w:pPr>
      <w:r w:rsidRPr="00414820">
        <w:rPr>
          <w:b/>
          <w:sz w:val="24"/>
          <w:szCs w:val="24"/>
        </w:rPr>
        <w:t>8.</w:t>
      </w:r>
      <w:r w:rsidRPr="00414820">
        <w:rPr>
          <w:b/>
          <w:sz w:val="24"/>
          <w:szCs w:val="24"/>
        </w:rPr>
        <w:tab/>
        <w:t>MARKEDSFØRINGSTILLADELSESNUMMER (NUMRE)</w:t>
      </w:r>
    </w:p>
    <w:p w:rsidR="00A02663" w:rsidRPr="00414820" w:rsidRDefault="00A02663" w:rsidP="00A02663">
      <w:pPr>
        <w:tabs>
          <w:tab w:val="left" w:pos="851"/>
        </w:tabs>
        <w:ind w:left="851" w:hanging="851"/>
        <w:rPr>
          <w:sz w:val="24"/>
          <w:szCs w:val="24"/>
        </w:rPr>
      </w:pPr>
      <w:r>
        <w:rPr>
          <w:sz w:val="24"/>
          <w:szCs w:val="24"/>
        </w:rPr>
        <w:tab/>
      </w:r>
      <w:r w:rsidRPr="00414820">
        <w:rPr>
          <w:sz w:val="24"/>
          <w:szCs w:val="24"/>
        </w:rPr>
        <w:t>25 mikrogram:</w:t>
      </w:r>
      <w:r>
        <w:rPr>
          <w:sz w:val="24"/>
          <w:szCs w:val="24"/>
        </w:rPr>
        <w:t xml:space="preserve"> 55858</w:t>
      </w:r>
    </w:p>
    <w:p w:rsidR="00A02663" w:rsidRPr="00414820" w:rsidRDefault="00A02663" w:rsidP="00A02663">
      <w:pPr>
        <w:tabs>
          <w:tab w:val="left" w:pos="851"/>
        </w:tabs>
        <w:ind w:left="851" w:hanging="851"/>
        <w:rPr>
          <w:sz w:val="24"/>
          <w:szCs w:val="24"/>
        </w:rPr>
      </w:pPr>
      <w:r>
        <w:rPr>
          <w:sz w:val="24"/>
          <w:szCs w:val="24"/>
        </w:rPr>
        <w:tab/>
      </w:r>
      <w:r w:rsidRPr="00414820">
        <w:rPr>
          <w:sz w:val="24"/>
          <w:szCs w:val="24"/>
        </w:rPr>
        <w:t>50 mikrogram:</w:t>
      </w:r>
      <w:r>
        <w:rPr>
          <w:sz w:val="24"/>
          <w:szCs w:val="24"/>
        </w:rPr>
        <w:t xml:space="preserve"> 55859</w:t>
      </w:r>
    </w:p>
    <w:p w:rsidR="00A02663" w:rsidRPr="00414820" w:rsidRDefault="00A02663" w:rsidP="00A02663">
      <w:pPr>
        <w:tabs>
          <w:tab w:val="left" w:pos="851"/>
        </w:tabs>
        <w:ind w:left="851" w:hanging="851"/>
        <w:jc w:val="both"/>
        <w:rPr>
          <w:sz w:val="24"/>
          <w:szCs w:val="24"/>
        </w:rPr>
      </w:pPr>
    </w:p>
    <w:p w:rsidR="00A02663" w:rsidRPr="00414820" w:rsidRDefault="00A02663" w:rsidP="00A02663">
      <w:pPr>
        <w:tabs>
          <w:tab w:val="left" w:pos="851"/>
        </w:tabs>
        <w:ind w:left="851" w:hanging="851"/>
        <w:rPr>
          <w:b/>
          <w:sz w:val="24"/>
          <w:szCs w:val="24"/>
        </w:rPr>
      </w:pPr>
      <w:r w:rsidRPr="00414820">
        <w:rPr>
          <w:b/>
          <w:sz w:val="24"/>
          <w:szCs w:val="24"/>
        </w:rPr>
        <w:t>9.</w:t>
      </w:r>
      <w:r w:rsidRPr="00414820">
        <w:rPr>
          <w:b/>
          <w:sz w:val="24"/>
          <w:szCs w:val="24"/>
        </w:rPr>
        <w:tab/>
        <w:t>DATO FOR FØRSTE MARKEDSFØRINGSTILLADELSE</w:t>
      </w:r>
    </w:p>
    <w:p w:rsidR="00A02663" w:rsidRPr="00414820" w:rsidRDefault="00A02663" w:rsidP="00A02663">
      <w:pPr>
        <w:tabs>
          <w:tab w:val="left" w:pos="851"/>
        </w:tabs>
        <w:ind w:left="851" w:hanging="851"/>
        <w:rPr>
          <w:sz w:val="24"/>
          <w:szCs w:val="24"/>
        </w:rPr>
      </w:pPr>
      <w:r>
        <w:rPr>
          <w:sz w:val="24"/>
          <w:szCs w:val="24"/>
        </w:rPr>
        <w:tab/>
        <w:t>26</w:t>
      </w:r>
      <w:r w:rsidRPr="00414820">
        <w:rPr>
          <w:sz w:val="24"/>
          <w:szCs w:val="24"/>
        </w:rPr>
        <w:t>. maj 2016</w:t>
      </w:r>
    </w:p>
    <w:p w:rsidR="00A02663" w:rsidRPr="00414820" w:rsidRDefault="00A02663" w:rsidP="00A02663">
      <w:pPr>
        <w:tabs>
          <w:tab w:val="left" w:pos="851"/>
        </w:tabs>
        <w:ind w:left="851" w:hanging="851"/>
        <w:rPr>
          <w:sz w:val="24"/>
          <w:szCs w:val="24"/>
        </w:rPr>
      </w:pPr>
    </w:p>
    <w:p w:rsidR="00A02663" w:rsidRPr="00414820" w:rsidRDefault="00A02663" w:rsidP="00A02663">
      <w:pPr>
        <w:tabs>
          <w:tab w:val="left" w:pos="851"/>
        </w:tabs>
        <w:ind w:left="851" w:hanging="851"/>
        <w:rPr>
          <w:b/>
          <w:sz w:val="24"/>
          <w:szCs w:val="24"/>
        </w:rPr>
      </w:pPr>
      <w:r w:rsidRPr="00414820">
        <w:rPr>
          <w:b/>
          <w:sz w:val="24"/>
          <w:szCs w:val="24"/>
        </w:rPr>
        <w:t>10.</w:t>
      </w:r>
      <w:r w:rsidRPr="00414820">
        <w:rPr>
          <w:b/>
          <w:sz w:val="24"/>
          <w:szCs w:val="24"/>
        </w:rPr>
        <w:tab/>
        <w:t>DATO FOR ÆNDRING AF TEKSTEN</w:t>
      </w:r>
    </w:p>
    <w:p w:rsidR="00A02663" w:rsidRPr="00414820" w:rsidRDefault="00A02663" w:rsidP="00A02663">
      <w:pPr>
        <w:tabs>
          <w:tab w:val="left" w:pos="851"/>
        </w:tabs>
        <w:ind w:left="851" w:hanging="851"/>
        <w:rPr>
          <w:sz w:val="24"/>
          <w:szCs w:val="24"/>
        </w:rPr>
      </w:pPr>
      <w:r>
        <w:rPr>
          <w:sz w:val="24"/>
          <w:szCs w:val="24"/>
        </w:rPr>
        <w:tab/>
      </w:r>
      <w:r w:rsidR="007215EE">
        <w:rPr>
          <w:sz w:val="24"/>
          <w:szCs w:val="24"/>
        </w:rPr>
        <w:t>30. maj 2022</w:t>
      </w:r>
    </w:p>
    <w:p w:rsidR="00A02663" w:rsidRPr="00DB5A3F" w:rsidRDefault="00A02663" w:rsidP="00A02663"/>
    <w:p w:rsidR="00A02663" w:rsidRPr="009803E6" w:rsidRDefault="00A02663" w:rsidP="00A02663"/>
    <w:p w:rsidR="009260DE" w:rsidRPr="00A02663" w:rsidRDefault="009260DE" w:rsidP="00A02663"/>
    <w:sectPr w:rsidR="009260DE" w:rsidRPr="00A02663" w:rsidSect="000259B9">
      <w:footerReference w:type="default" r:id="rId11"/>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2663" w:rsidRDefault="00A02663">
      <w:r>
        <w:separator/>
      </w:r>
    </w:p>
  </w:endnote>
  <w:endnote w:type="continuationSeparator" w:id="0">
    <w:p w:rsidR="00A02663" w:rsidRDefault="00A02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215EE" w:rsidP="00C42586">
    <w:pPr>
      <w:pStyle w:val="Sidefod"/>
      <w:tabs>
        <w:tab w:val="clear" w:pos="4819"/>
        <w:tab w:val="left" w:pos="8505"/>
      </w:tabs>
      <w:rPr>
        <w:i/>
        <w:sz w:val="18"/>
        <w:szCs w:val="18"/>
      </w:rPr>
    </w:pPr>
    <w:proofErr w:type="spellStart"/>
    <w:r w:rsidRPr="007215EE">
      <w:rPr>
        <w:i/>
        <w:sz w:val="18"/>
        <w:szCs w:val="18"/>
      </w:rPr>
      <w:t>Nocdurna</w:t>
    </w:r>
    <w:proofErr w:type="spellEnd"/>
    <w:r w:rsidRPr="007215EE">
      <w:rPr>
        <w:i/>
        <w:sz w:val="18"/>
        <w:szCs w:val="18"/>
      </w:rPr>
      <w:t>, frysetørrede tabletter 25 mikrogram og 50 mikrogram</w:t>
    </w:r>
    <w:r w:rsidR="000259B9" w:rsidRPr="00B373D7">
      <w:rPr>
        <w:i/>
        <w:sz w:val="18"/>
        <w:szCs w:val="18"/>
      </w:rPr>
      <w:tab/>
      <w:t xml:space="preserve">Side </w:t>
    </w:r>
    <w:r w:rsidR="00782AF4" w:rsidRPr="00B373D7">
      <w:rPr>
        <w:rStyle w:val="Sidetal"/>
        <w:i/>
        <w:sz w:val="18"/>
        <w:szCs w:val="18"/>
      </w:rPr>
      <w:fldChar w:fldCharType="begin"/>
    </w:r>
    <w:r w:rsidR="000259B9" w:rsidRPr="00B373D7">
      <w:rPr>
        <w:rStyle w:val="Sidetal"/>
        <w:i/>
        <w:sz w:val="18"/>
        <w:szCs w:val="18"/>
      </w:rPr>
      <w:instrText xml:space="preserve"> PAGE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r w:rsidR="000259B9" w:rsidRPr="00B373D7">
      <w:rPr>
        <w:rStyle w:val="Sidetal"/>
        <w:i/>
        <w:sz w:val="18"/>
        <w:szCs w:val="18"/>
      </w:rPr>
      <w:t xml:space="preserve"> af </w:t>
    </w:r>
    <w:r w:rsidR="00782AF4" w:rsidRPr="00B373D7">
      <w:rPr>
        <w:rStyle w:val="Sidetal"/>
        <w:i/>
        <w:sz w:val="18"/>
        <w:szCs w:val="18"/>
      </w:rPr>
      <w:fldChar w:fldCharType="begin"/>
    </w:r>
    <w:r w:rsidR="000259B9" w:rsidRPr="00B373D7">
      <w:rPr>
        <w:rStyle w:val="Sidetal"/>
        <w:i/>
        <w:sz w:val="18"/>
        <w:szCs w:val="18"/>
      </w:rPr>
      <w:instrText xml:space="preserve"> NUMPAGES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2663" w:rsidRDefault="00A02663">
      <w:r>
        <w:separator/>
      </w:r>
    </w:p>
  </w:footnote>
  <w:footnote w:type="continuationSeparator" w:id="0">
    <w:p w:rsidR="00A02663" w:rsidRDefault="00A026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5947312"/>
    <w:multiLevelType w:val="hybridMultilevel"/>
    <w:tmpl w:val="84FC430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43627A6"/>
    <w:multiLevelType w:val="hybridMultilevel"/>
    <w:tmpl w:val="2BEA1588"/>
    <w:lvl w:ilvl="0" w:tplc="40B4B034">
      <w:numFmt w:val="bullet"/>
      <w:lvlText w:val="•"/>
      <w:lvlJc w:val="left"/>
      <w:pPr>
        <w:ind w:left="1661" w:hanging="360"/>
      </w:pPr>
      <w:rPr>
        <w:rFonts w:ascii="Times New Roman" w:eastAsia="Times New Roman" w:hAnsi="Times New Roman" w:cs="Times New Roman" w:hint="default"/>
      </w:rPr>
    </w:lvl>
    <w:lvl w:ilvl="1" w:tplc="04060003">
      <w:start w:val="1"/>
      <w:numFmt w:val="bullet"/>
      <w:lvlText w:val="o"/>
      <w:lvlJc w:val="left"/>
      <w:pPr>
        <w:ind w:left="2381" w:hanging="360"/>
      </w:pPr>
      <w:rPr>
        <w:rFonts w:ascii="Courier New" w:hAnsi="Courier New" w:cs="Courier New" w:hint="default"/>
      </w:rPr>
    </w:lvl>
    <w:lvl w:ilvl="2" w:tplc="04060005">
      <w:start w:val="1"/>
      <w:numFmt w:val="bullet"/>
      <w:lvlText w:val=""/>
      <w:lvlJc w:val="left"/>
      <w:pPr>
        <w:ind w:left="3101" w:hanging="360"/>
      </w:pPr>
      <w:rPr>
        <w:rFonts w:ascii="Wingdings" w:hAnsi="Wingdings" w:hint="default"/>
      </w:rPr>
    </w:lvl>
    <w:lvl w:ilvl="3" w:tplc="04060001">
      <w:start w:val="1"/>
      <w:numFmt w:val="bullet"/>
      <w:lvlText w:val=""/>
      <w:lvlJc w:val="left"/>
      <w:pPr>
        <w:ind w:left="3821" w:hanging="360"/>
      </w:pPr>
      <w:rPr>
        <w:rFonts w:ascii="Symbol" w:hAnsi="Symbol" w:hint="default"/>
      </w:rPr>
    </w:lvl>
    <w:lvl w:ilvl="4" w:tplc="04060003">
      <w:start w:val="1"/>
      <w:numFmt w:val="bullet"/>
      <w:lvlText w:val="o"/>
      <w:lvlJc w:val="left"/>
      <w:pPr>
        <w:ind w:left="4541" w:hanging="360"/>
      </w:pPr>
      <w:rPr>
        <w:rFonts w:ascii="Courier New" w:hAnsi="Courier New" w:cs="Courier New" w:hint="default"/>
      </w:rPr>
    </w:lvl>
    <w:lvl w:ilvl="5" w:tplc="04060005">
      <w:start w:val="1"/>
      <w:numFmt w:val="bullet"/>
      <w:lvlText w:val=""/>
      <w:lvlJc w:val="left"/>
      <w:pPr>
        <w:ind w:left="5261" w:hanging="360"/>
      </w:pPr>
      <w:rPr>
        <w:rFonts w:ascii="Wingdings" w:hAnsi="Wingdings" w:hint="default"/>
      </w:rPr>
    </w:lvl>
    <w:lvl w:ilvl="6" w:tplc="04060001">
      <w:start w:val="1"/>
      <w:numFmt w:val="bullet"/>
      <w:lvlText w:val=""/>
      <w:lvlJc w:val="left"/>
      <w:pPr>
        <w:ind w:left="5981" w:hanging="360"/>
      </w:pPr>
      <w:rPr>
        <w:rFonts w:ascii="Symbol" w:hAnsi="Symbol" w:hint="default"/>
      </w:rPr>
    </w:lvl>
    <w:lvl w:ilvl="7" w:tplc="04060003">
      <w:start w:val="1"/>
      <w:numFmt w:val="bullet"/>
      <w:lvlText w:val="o"/>
      <w:lvlJc w:val="left"/>
      <w:pPr>
        <w:ind w:left="6701" w:hanging="360"/>
      </w:pPr>
      <w:rPr>
        <w:rFonts w:ascii="Courier New" w:hAnsi="Courier New" w:cs="Courier New" w:hint="default"/>
      </w:rPr>
    </w:lvl>
    <w:lvl w:ilvl="8" w:tplc="04060005">
      <w:start w:val="1"/>
      <w:numFmt w:val="bullet"/>
      <w:lvlText w:val=""/>
      <w:lvlJc w:val="left"/>
      <w:pPr>
        <w:ind w:left="7421"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663"/>
    <w:rsid w:val="000259B9"/>
    <w:rsid w:val="00041491"/>
    <w:rsid w:val="00050D16"/>
    <w:rsid w:val="00074F2A"/>
    <w:rsid w:val="000A1CA8"/>
    <w:rsid w:val="000A466B"/>
    <w:rsid w:val="000B058C"/>
    <w:rsid w:val="000E4EE6"/>
    <w:rsid w:val="001454E2"/>
    <w:rsid w:val="001E18EB"/>
    <w:rsid w:val="00206CE8"/>
    <w:rsid w:val="0021526C"/>
    <w:rsid w:val="00283A2B"/>
    <w:rsid w:val="002B30AD"/>
    <w:rsid w:val="002C2C01"/>
    <w:rsid w:val="00372B30"/>
    <w:rsid w:val="003A29AE"/>
    <w:rsid w:val="003A32D7"/>
    <w:rsid w:val="003B4074"/>
    <w:rsid w:val="003C769A"/>
    <w:rsid w:val="003F1838"/>
    <w:rsid w:val="0045746C"/>
    <w:rsid w:val="0049104B"/>
    <w:rsid w:val="004A5071"/>
    <w:rsid w:val="004E3B12"/>
    <w:rsid w:val="00532310"/>
    <w:rsid w:val="00560ECC"/>
    <w:rsid w:val="00565F0F"/>
    <w:rsid w:val="00594A86"/>
    <w:rsid w:val="00596D86"/>
    <w:rsid w:val="00637F5A"/>
    <w:rsid w:val="006560B1"/>
    <w:rsid w:val="006756DD"/>
    <w:rsid w:val="007215EE"/>
    <w:rsid w:val="00737275"/>
    <w:rsid w:val="00740EEC"/>
    <w:rsid w:val="0078011A"/>
    <w:rsid w:val="00782AF4"/>
    <w:rsid w:val="00790EE7"/>
    <w:rsid w:val="007B6649"/>
    <w:rsid w:val="0081546F"/>
    <w:rsid w:val="0082576E"/>
    <w:rsid w:val="00907F75"/>
    <w:rsid w:val="009260DE"/>
    <w:rsid w:val="0093258A"/>
    <w:rsid w:val="009C7BA3"/>
    <w:rsid w:val="009D1F5A"/>
    <w:rsid w:val="00A02663"/>
    <w:rsid w:val="00B003BF"/>
    <w:rsid w:val="00B373D7"/>
    <w:rsid w:val="00C36276"/>
    <w:rsid w:val="00C42586"/>
    <w:rsid w:val="00C60CCD"/>
    <w:rsid w:val="00C84483"/>
    <w:rsid w:val="00C95551"/>
    <w:rsid w:val="00CB20D7"/>
    <w:rsid w:val="00CF1C89"/>
    <w:rsid w:val="00D020B0"/>
    <w:rsid w:val="00D11748"/>
    <w:rsid w:val="00D366CF"/>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0F6889"/>
  <w15:chartTrackingRefBased/>
  <w15:docId w15:val="{F5A4D64B-9527-42AB-9A78-C91ECA65E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A02663"/>
    <w:rPr>
      <w:color w:val="0000FF"/>
      <w:u w:val="single"/>
    </w:rPr>
  </w:style>
  <w:style w:type="paragraph" w:styleId="Listeafsnit">
    <w:name w:val="List Paragraph"/>
    <w:basedOn w:val="Normal"/>
    <w:uiPriority w:val="34"/>
    <w:qFormat/>
    <w:rsid w:val="00A026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2</TotalTime>
  <Pages>11</Pages>
  <Words>2973</Words>
  <Characters>19578</Characters>
  <Application>Microsoft Office Word</Application>
  <DocSecurity>0</DocSecurity>
  <Lines>163</Lines>
  <Paragraphs>45</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2022040478_x000d_
Ændring af MAH adresse</dc:description>
  <cp:lastModifiedBy>Marianne Ott Jensen</cp:lastModifiedBy>
  <cp:revision>3</cp:revision>
  <cp:lastPrinted>2012-08-22T08:53:00Z</cp:lastPrinted>
  <dcterms:created xsi:type="dcterms:W3CDTF">2022-05-25T08:12:00Z</dcterms:created>
  <dcterms:modified xsi:type="dcterms:W3CDTF">2022-05-25T08:14:00Z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