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C11A2">
        <w:rPr>
          <w:szCs w:val="24"/>
        </w:rPr>
        <w:t>2</w:t>
      </w:r>
      <w:r w:rsidR="00334421">
        <w:rPr>
          <w:szCs w:val="24"/>
        </w:rPr>
        <w:t xml:space="preserve">0. februar </w:t>
      </w:r>
      <w:r w:rsidR="00E54019">
        <w:rPr>
          <w:szCs w:val="24"/>
        </w:rPr>
        <w:t>202</w:t>
      </w:r>
      <w:r w:rsidR="00CC11A2">
        <w:rPr>
          <w:szCs w:val="24"/>
        </w:rPr>
        <w:t>5</w:t>
      </w:r>
    </w:p>
    <w:p w:rsidR="009260DE" w:rsidRPr="00C84483" w:rsidRDefault="009260DE" w:rsidP="009260DE">
      <w:pPr>
        <w:pStyle w:val="Titel"/>
        <w:tabs>
          <w:tab w:val="left" w:pos="8222"/>
        </w:tabs>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E849AC" w:rsidP="009260DE">
      <w:pPr>
        <w:jc w:val="center"/>
        <w:rPr>
          <w:b/>
          <w:sz w:val="24"/>
          <w:szCs w:val="24"/>
        </w:rPr>
      </w:pPr>
      <w:r>
        <w:rPr>
          <w:b/>
          <w:sz w:val="24"/>
          <w:szCs w:val="24"/>
        </w:rPr>
        <w:t>Nomigrin,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832A97" w:rsidP="009260DE">
      <w:pPr>
        <w:tabs>
          <w:tab w:val="left" w:pos="851"/>
        </w:tabs>
        <w:ind w:left="851"/>
        <w:rPr>
          <w:sz w:val="24"/>
          <w:szCs w:val="24"/>
        </w:rPr>
      </w:pPr>
      <w:r>
        <w:rPr>
          <w:sz w:val="24"/>
          <w:szCs w:val="24"/>
        </w:rPr>
        <w:t>32363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832A97" w:rsidP="009260DE">
      <w:pPr>
        <w:tabs>
          <w:tab w:val="left" w:pos="851"/>
        </w:tabs>
        <w:ind w:left="851"/>
        <w:rPr>
          <w:sz w:val="24"/>
          <w:szCs w:val="24"/>
        </w:rPr>
      </w:pPr>
      <w:r>
        <w:rPr>
          <w:sz w:val="24"/>
          <w:szCs w:val="24"/>
        </w:rPr>
        <w:t>Nomigrin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564CF" w:rsidRPr="007564CF" w:rsidRDefault="007564CF" w:rsidP="007564CF">
      <w:pPr>
        <w:tabs>
          <w:tab w:val="left" w:pos="851"/>
        </w:tabs>
        <w:ind w:left="851"/>
        <w:rPr>
          <w:sz w:val="24"/>
          <w:szCs w:val="24"/>
        </w:rPr>
      </w:pPr>
      <w:r w:rsidRPr="007564CF">
        <w:rPr>
          <w:sz w:val="24"/>
          <w:szCs w:val="24"/>
        </w:rPr>
        <w:t xml:space="preserve">Hver tablet indeholder 119 mg </w:t>
      </w:r>
      <w:proofErr w:type="spellStart"/>
      <w:r w:rsidRPr="007564CF">
        <w:rPr>
          <w:sz w:val="24"/>
          <w:szCs w:val="24"/>
        </w:rPr>
        <w:t>sumatriptansuccinat</w:t>
      </w:r>
      <w:proofErr w:type="spellEnd"/>
      <w:r>
        <w:rPr>
          <w:sz w:val="24"/>
          <w:szCs w:val="24"/>
        </w:rPr>
        <w:t>,</w:t>
      </w:r>
      <w:r w:rsidRPr="007564CF">
        <w:rPr>
          <w:sz w:val="24"/>
          <w:szCs w:val="24"/>
        </w:rPr>
        <w:t xml:space="preserve"> svarende til 85 mg </w:t>
      </w:r>
      <w:proofErr w:type="spellStart"/>
      <w:r w:rsidRPr="007564CF">
        <w:rPr>
          <w:sz w:val="24"/>
          <w:szCs w:val="24"/>
        </w:rPr>
        <w:t>sumatriptan</w:t>
      </w:r>
      <w:proofErr w:type="spellEnd"/>
      <w:r>
        <w:rPr>
          <w:sz w:val="24"/>
          <w:szCs w:val="24"/>
        </w:rPr>
        <w:t>,</w:t>
      </w:r>
      <w:r w:rsidRPr="007564CF">
        <w:rPr>
          <w:sz w:val="24"/>
          <w:szCs w:val="24"/>
        </w:rPr>
        <w:t xml:space="preserve"> og 500 mg </w:t>
      </w:r>
      <w:proofErr w:type="spellStart"/>
      <w:r w:rsidRPr="007564CF">
        <w:rPr>
          <w:sz w:val="24"/>
          <w:szCs w:val="24"/>
        </w:rPr>
        <w:t>naproxiumnatrium</w:t>
      </w:r>
      <w:proofErr w:type="spellEnd"/>
      <w:r>
        <w:rPr>
          <w:sz w:val="24"/>
          <w:szCs w:val="24"/>
        </w:rPr>
        <w:t>,</w:t>
      </w:r>
      <w:r w:rsidRPr="007564CF">
        <w:rPr>
          <w:sz w:val="24"/>
          <w:szCs w:val="24"/>
        </w:rPr>
        <w:t xml:space="preserve"> svarende til 457 mg </w:t>
      </w:r>
      <w:proofErr w:type="spellStart"/>
      <w:r w:rsidRPr="007564CF">
        <w:rPr>
          <w:sz w:val="24"/>
          <w:szCs w:val="24"/>
        </w:rPr>
        <w:t>naproxen</w:t>
      </w:r>
      <w:proofErr w:type="spellEnd"/>
      <w:r w:rsidRPr="007564CF">
        <w:rPr>
          <w:sz w:val="24"/>
          <w:szCs w:val="24"/>
        </w:rPr>
        <w:t>.</w:t>
      </w:r>
    </w:p>
    <w:p w:rsidR="007564CF" w:rsidRPr="007564CF" w:rsidRDefault="007564CF" w:rsidP="007564CF">
      <w:pPr>
        <w:tabs>
          <w:tab w:val="left" w:pos="851"/>
        </w:tabs>
        <w:ind w:left="851"/>
        <w:rPr>
          <w:sz w:val="24"/>
          <w:szCs w:val="24"/>
        </w:rPr>
      </w:pPr>
    </w:p>
    <w:p w:rsidR="007564CF" w:rsidRPr="007564CF" w:rsidRDefault="007564CF" w:rsidP="007564CF">
      <w:pPr>
        <w:tabs>
          <w:tab w:val="left" w:pos="851"/>
        </w:tabs>
        <w:ind w:left="851"/>
        <w:rPr>
          <w:iCs/>
          <w:sz w:val="24"/>
          <w:szCs w:val="24"/>
          <w:u w:val="single"/>
        </w:rPr>
      </w:pPr>
      <w:r w:rsidRPr="007564CF">
        <w:rPr>
          <w:iCs/>
          <w:sz w:val="24"/>
          <w:szCs w:val="24"/>
          <w:u w:val="single"/>
        </w:rPr>
        <w:t>Hjælpestof, som behandleren skal være opmærksom på</w:t>
      </w:r>
    </w:p>
    <w:p w:rsidR="007564CF" w:rsidRPr="007564CF" w:rsidRDefault="007564CF" w:rsidP="007564CF">
      <w:pPr>
        <w:tabs>
          <w:tab w:val="left" w:pos="851"/>
        </w:tabs>
        <w:ind w:left="851"/>
        <w:rPr>
          <w:sz w:val="24"/>
          <w:szCs w:val="24"/>
        </w:rPr>
      </w:pPr>
      <w:r w:rsidRPr="007564CF">
        <w:rPr>
          <w:sz w:val="24"/>
          <w:szCs w:val="24"/>
        </w:rPr>
        <w:t>Hver tablet indeholder 60 mg natrium.</w:t>
      </w:r>
    </w:p>
    <w:p w:rsidR="007564CF" w:rsidRPr="007564CF" w:rsidRDefault="007564CF" w:rsidP="007564CF">
      <w:pPr>
        <w:tabs>
          <w:tab w:val="left" w:pos="851"/>
        </w:tabs>
        <w:ind w:left="851"/>
        <w:rPr>
          <w:sz w:val="24"/>
          <w:szCs w:val="24"/>
        </w:rPr>
      </w:pPr>
    </w:p>
    <w:p w:rsidR="007564CF" w:rsidRPr="007564CF" w:rsidRDefault="007564CF" w:rsidP="007564CF">
      <w:pPr>
        <w:tabs>
          <w:tab w:val="left" w:pos="851"/>
        </w:tabs>
        <w:ind w:left="851"/>
        <w:rPr>
          <w:sz w:val="24"/>
          <w:szCs w:val="24"/>
        </w:rPr>
      </w:pPr>
      <w:r w:rsidRPr="007564CF">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2268D" w:rsidRPr="00D2268D" w:rsidRDefault="00D2268D" w:rsidP="00D2268D">
      <w:pPr>
        <w:tabs>
          <w:tab w:val="left" w:pos="851"/>
        </w:tabs>
        <w:ind w:left="851"/>
        <w:rPr>
          <w:sz w:val="24"/>
          <w:szCs w:val="24"/>
        </w:rPr>
      </w:pPr>
      <w:r w:rsidRPr="00D2268D">
        <w:rPr>
          <w:sz w:val="24"/>
          <w:szCs w:val="24"/>
        </w:rPr>
        <w:t>Filmovertrukne tabletter (tablet</w:t>
      </w:r>
      <w:r>
        <w:rPr>
          <w:sz w:val="24"/>
          <w:szCs w:val="24"/>
        </w:rPr>
        <w:t>ter)</w:t>
      </w:r>
    </w:p>
    <w:p w:rsidR="00D2268D" w:rsidRPr="00D2268D" w:rsidRDefault="00D2268D" w:rsidP="00D2268D">
      <w:pPr>
        <w:tabs>
          <w:tab w:val="left" w:pos="851"/>
        </w:tabs>
        <w:ind w:left="851"/>
        <w:rPr>
          <w:sz w:val="24"/>
          <w:szCs w:val="24"/>
        </w:rPr>
      </w:pPr>
    </w:p>
    <w:p w:rsidR="00D2268D" w:rsidRPr="00D2268D" w:rsidRDefault="00D2268D" w:rsidP="00D2268D">
      <w:pPr>
        <w:tabs>
          <w:tab w:val="left" w:pos="851"/>
        </w:tabs>
        <w:ind w:left="851"/>
        <w:rPr>
          <w:sz w:val="24"/>
          <w:szCs w:val="24"/>
        </w:rPr>
      </w:pPr>
      <w:r w:rsidRPr="00D2268D">
        <w:rPr>
          <w:sz w:val="24"/>
          <w:szCs w:val="24"/>
        </w:rPr>
        <w:t xml:space="preserve">Kapselformet, mellemblå, filmovertrukket tablet med længde, bredde og tykkelse på 19 mm×10 mm×7 mm og præget </w:t>
      </w:r>
      <w:r w:rsidRPr="00D2268D">
        <w:rPr>
          <w:i/>
          <w:sz w:val="24"/>
          <w:szCs w:val="24"/>
        </w:rPr>
        <w:t>"85/500"</w:t>
      </w:r>
      <w:r w:rsidRPr="00D2268D">
        <w:rPr>
          <w:sz w:val="24"/>
          <w:szCs w:val="24"/>
        </w:rPr>
        <w:t xml:space="preserve"> på den ene side og uden prægning på den anden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34421" w:rsidRPr="00137E44" w:rsidRDefault="00334421" w:rsidP="00334421">
      <w:pPr>
        <w:tabs>
          <w:tab w:val="left" w:pos="851"/>
        </w:tabs>
        <w:ind w:left="851"/>
        <w:rPr>
          <w:sz w:val="24"/>
          <w:szCs w:val="24"/>
        </w:rPr>
      </w:pPr>
      <w:r w:rsidRPr="00137E44">
        <w:rPr>
          <w:sz w:val="24"/>
          <w:szCs w:val="24"/>
        </w:rPr>
        <w:t xml:space="preserve">Nomigrin er indiceret til akut behandling af hovedpinefasen af migræneanfald med eller uden aura hos voksne patienter, hvor behandling med </w:t>
      </w:r>
      <w:r>
        <w:rPr>
          <w:sz w:val="24"/>
          <w:szCs w:val="24"/>
        </w:rPr>
        <w:t>monoterapi har været</w:t>
      </w:r>
      <w:r w:rsidRPr="00137E44">
        <w:rPr>
          <w:sz w:val="24"/>
          <w:szCs w:val="24"/>
        </w:rPr>
        <w:t xml:space="preserve"> utilstrækkelig. </w:t>
      </w:r>
    </w:p>
    <w:p w:rsidR="009260DE" w:rsidRPr="00C84483" w:rsidRDefault="009260DE" w:rsidP="009260DE">
      <w:pPr>
        <w:tabs>
          <w:tab w:val="left" w:pos="851"/>
        </w:tabs>
        <w:ind w:left="851"/>
        <w:rPr>
          <w:sz w:val="24"/>
          <w:szCs w:val="24"/>
        </w:rPr>
      </w:pPr>
    </w:p>
    <w:p w:rsidR="00137E44" w:rsidRDefault="009260DE" w:rsidP="00E5401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54019">
        <w:rPr>
          <w:b/>
          <w:sz w:val="24"/>
          <w:szCs w:val="24"/>
        </w:rPr>
        <w:t>administration</w:t>
      </w:r>
    </w:p>
    <w:p w:rsidR="00E54019" w:rsidRPr="00137E44" w:rsidRDefault="00E54019" w:rsidP="00E54019">
      <w:pPr>
        <w:tabs>
          <w:tab w:val="left" w:pos="851"/>
        </w:tabs>
        <w:rPr>
          <w:sz w:val="24"/>
          <w:szCs w:val="24"/>
        </w:rPr>
      </w:pPr>
    </w:p>
    <w:p w:rsidR="00137E44" w:rsidRPr="00137E44" w:rsidRDefault="00137E44" w:rsidP="00137E44">
      <w:pPr>
        <w:tabs>
          <w:tab w:val="left" w:pos="851"/>
        </w:tabs>
        <w:ind w:left="851"/>
        <w:rPr>
          <w:sz w:val="24"/>
          <w:szCs w:val="24"/>
        </w:rPr>
      </w:pPr>
      <w:r w:rsidRPr="00137E44">
        <w:rPr>
          <w:sz w:val="24"/>
          <w:szCs w:val="24"/>
          <w:u w:val="single"/>
        </w:rPr>
        <w:t>Dosering</w:t>
      </w:r>
    </w:p>
    <w:p w:rsidR="00137E44" w:rsidRPr="00137E44" w:rsidRDefault="00137E44" w:rsidP="00137E44">
      <w:pPr>
        <w:tabs>
          <w:tab w:val="left" w:pos="851"/>
        </w:tabs>
        <w:ind w:left="851"/>
        <w:rPr>
          <w:sz w:val="24"/>
          <w:szCs w:val="24"/>
        </w:rPr>
      </w:pPr>
    </w:p>
    <w:p w:rsidR="00137E44" w:rsidRPr="00137E44" w:rsidRDefault="00137E44" w:rsidP="00137E44">
      <w:pPr>
        <w:tabs>
          <w:tab w:val="left" w:pos="851"/>
        </w:tabs>
        <w:ind w:left="851"/>
        <w:rPr>
          <w:sz w:val="24"/>
          <w:szCs w:val="24"/>
        </w:rPr>
      </w:pPr>
      <w:r w:rsidRPr="00137E44">
        <w:rPr>
          <w:i/>
          <w:iCs/>
          <w:sz w:val="24"/>
          <w:szCs w:val="24"/>
        </w:rPr>
        <w:t>Voksne</w:t>
      </w:r>
    </w:p>
    <w:p w:rsidR="00137E44" w:rsidRPr="00137E44" w:rsidRDefault="00137E44" w:rsidP="00137E44">
      <w:pPr>
        <w:tabs>
          <w:tab w:val="left" w:pos="851"/>
        </w:tabs>
        <w:ind w:left="851"/>
        <w:rPr>
          <w:sz w:val="24"/>
          <w:szCs w:val="24"/>
        </w:rPr>
      </w:pPr>
      <w:r w:rsidRPr="00137E44">
        <w:rPr>
          <w:sz w:val="24"/>
          <w:szCs w:val="24"/>
        </w:rPr>
        <w:t xml:space="preserve">Nomigrin er indiceret til akut behandling af migræne og bør ikke anvendes profylaktisk. Den anbefalede dosis af </w:t>
      </w:r>
      <w:proofErr w:type="spellStart"/>
      <w:r w:rsidRPr="00137E44">
        <w:rPr>
          <w:sz w:val="24"/>
          <w:szCs w:val="24"/>
        </w:rPr>
        <w:t>sumatriptan</w:t>
      </w:r>
      <w:proofErr w:type="spellEnd"/>
      <w:r w:rsidRPr="00137E44">
        <w:rPr>
          <w:sz w:val="24"/>
          <w:szCs w:val="24"/>
        </w:rPr>
        <w:t>/</w:t>
      </w:r>
      <w:proofErr w:type="spellStart"/>
      <w:r w:rsidRPr="00137E44">
        <w:rPr>
          <w:sz w:val="24"/>
          <w:szCs w:val="24"/>
        </w:rPr>
        <w:t>naproxen</w:t>
      </w:r>
      <w:proofErr w:type="spellEnd"/>
      <w:r w:rsidRPr="00137E44">
        <w:rPr>
          <w:sz w:val="24"/>
          <w:szCs w:val="24"/>
        </w:rPr>
        <w:t xml:space="preserve"> bør ikke overskrides.</w:t>
      </w:r>
    </w:p>
    <w:p w:rsidR="00137E44" w:rsidRPr="00137E44" w:rsidRDefault="00137E44" w:rsidP="00137E44">
      <w:pPr>
        <w:tabs>
          <w:tab w:val="left" w:pos="851"/>
        </w:tabs>
        <w:ind w:left="851"/>
        <w:rPr>
          <w:sz w:val="24"/>
          <w:szCs w:val="24"/>
        </w:rPr>
      </w:pPr>
    </w:p>
    <w:p w:rsidR="00137E44" w:rsidRPr="00137E44" w:rsidRDefault="00137E44" w:rsidP="00137E44">
      <w:pPr>
        <w:tabs>
          <w:tab w:val="left" w:pos="851"/>
        </w:tabs>
        <w:ind w:left="851"/>
        <w:rPr>
          <w:sz w:val="24"/>
          <w:szCs w:val="24"/>
        </w:rPr>
      </w:pPr>
      <w:r w:rsidRPr="00137E44">
        <w:rPr>
          <w:sz w:val="24"/>
          <w:szCs w:val="24"/>
        </w:rPr>
        <w:lastRenderedPageBreak/>
        <w:t xml:space="preserve">Det tilrådes, at </w:t>
      </w:r>
      <w:proofErr w:type="spellStart"/>
      <w:r w:rsidRPr="00137E44">
        <w:rPr>
          <w:sz w:val="24"/>
          <w:szCs w:val="24"/>
        </w:rPr>
        <w:t>sumatriptan</w:t>
      </w:r>
      <w:proofErr w:type="spellEnd"/>
      <w:r w:rsidRPr="00137E44">
        <w:rPr>
          <w:sz w:val="24"/>
          <w:szCs w:val="24"/>
        </w:rPr>
        <w:t>/</w:t>
      </w:r>
      <w:proofErr w:type="spellStart"/>
      <w:r w:rsidRPr="00137E44">
        <w:rPr>
          <w:sz w:val="24"/>
          <w:szCs w:val="24"/>
        </w:rPr>
        <w:t>naproxen</w:t>
      </w:r>
      <w:proofErr w:type="spellEnd"/>
      <w:r w:rsidRPr="00137E44">
        <w:rPr>
          <w:sz w:val="24"/>
          <w:szCs w:val="24"/>
        </w:rPr>
        <w:t xml:space="preserve"> gives så snart som muligt efter migrænehovedpinens opståen, men det er lige effektivt uanset hvilken fase af anfaldet, det administreres. </w:t>
      </w:r>
    </w:p>
    <w:p w:rsidR="00137E44" w:rsidRPr="00137E44" w:rsidRDefault="00137E44" w:rsidP="00137E44">
      <w:pPr>
        <w:tabs>
          <w:tab w:val="left" w:pos="851"/>
        </w:tabs>
        <w:ind w:left="851"/>
        <w:rPr>
          <w:sz w:val="24"/>
          <w:szCs w:val="24"/>
        </w:rPr>
      </w:pPr>
    </w:p>
    <w:p w:rsidR="00137E44" w:rsidRPr="00137E44" w:rsidRDefault="00137E44" w:rsidP="00137E44">
      <w:pPr>
        <w:tabs>
          <w:tab w:val="left" w:pos="851"/>
        </w:tabs>
        <w:ind w:left="851"/>
        <w:rPr>
          <w:sz w:val="24"/>
          <w:szCs w:val="24"/>
        </w:rPr>
      </w:pPr>
      <w:r w:rsidRPr="00137E44">
        <w:rPr>
          <w:sz w:val="24"/>
          <w:szCs w:val="24"/>
        </w:rPr>
        <w:t xml:space="preserve">Den anbefalede dosis for voksne er </w:t>
      </w:r>
      <w:r w:rsidR="001832F1">
        <w:rPr>
          <w:sz w:val="24"/>
          <w:szCs w:val="24"/>
        </w:rPr>
        <w:t>en</w:t>
      </w:r>
      <w:r w:rsidRPr="00137E44">
        <w:rPr>
          <w:sz w:val="24"/>
          <w:szCs w:val="24"/>
        </w:rPr>
        <w:t xml:space="preserve"> tablet </w:t>
      </w:r>
      <w:proofErr w:type="spellStart"/>
      <w:r w:rsidRPr="00137E44">
        <w:rPr>
          <w:sz w:val="24"/>
          <w:szCs w:val="24"/>
        </w:rPr>
        <w:t>sumatriptan</w:t>
      </w:r>
      <w:proofErr w:type="spellEnd"/>
      <w:r w:rsidRPr="00137E44">
        <w:rPr>
          <w:sz w:val="24"/>
          <w:szCs w:val="24"/>
        </w:rPr>
        <w:t>/</w:t>
      </w:r>
      <w:proofErr w:type="spellStart"/>
      <w:r w:rsidRPr="00137E44">
        <w:rPr>
          <w:sz w:val="24"/>
          <w:szCs w:val="24"/>
        </w:rPr>
        <w:t>naproxen</w:t>
      </w:r>
      <w:proofErr w:type="spellEnd"/>
      <w:r w:rsidRPr="00137E44">
        <w:rPr>
          <w:sz w:val="24"/>
          <w:szCs w:val="24"/>
        </w:rPr>
        <w:t xml:space="preserve"> 85 mg/500 mg. </w:t>
      </w:r>
    </w:p>
    <w:p w:rsidR="00137E44" w:rsidRPr="00137E44" w:rsidRDefault="00137E44" w:rsidP="00137E44">
      <w:pPr>
        <w:tabs>
          <w:tab w:val="left" w:pos="851"/>
        </w:tabs>
        <w:ind w:left="851"/>
        <w:rPr>
          <w:sz w:val="24"/>
          <w:szCs w:val="24"/>
        </w:rPr>
      </w:pPr>
    </w:p>
    <w:p w:rsidR="00137E44" w:rsidRPr="00137E44" w:rsidRDefault="00137E44" w:rsidP="00137E44">
      <w:pPr>
        <w:tabs>
          <w:tab w:val="left" w:pos="851"/>
        </w:tabs>
        <w:ind w:left="851"/>
        <w:rPr>
          <w:sz w:val="24"/>
          <w:szCs w:val="24"/>
        </w:rPr>
      </w:pPr>
      <w:r w:rsidRPr="00137E44">
        <w:rPr>
          <w:sz w:val="24"/>
          <w:szCs w:val="24"/>
        </w:rPr>
        <w:t xml:space="preserve">Hvis patienten ikke responderer på den første dosis af </w:t>
      </w:r>
      <w:proofErr w:type="spellStart"/>
      <w:r w:rsidRPr="00137E44">
        <w:rPr>
          <w:sz w:val="24"/>
          <w:szCs w:val="24"/>
        </w:rPr>
        <w:t>sumatriptan</w:t>
      </w:r>
      <w:proofErr w:type="spellEnd"/>
      <w:r w:rsidRPr="00137E44">
        <w:rPr>
          <w:sz w:val="24"/>
          <w:szCs w:val="24"/>
        </w:rPr>
        <w:t>/</w:t>
      </w:r>
      <w:proofErr w:type="spellStart"/>
      <w:r w:rsidRPr="00137E44">
        <w:rPr>
          <w:sz w:val="24"/>
          <w:szCs w:val="24"/>
        </w:rPr>
        <w:t>naproxen</w:t>
      </w:r>
      <w:proofErr w:type="spellEnd"/>
      <w:r w:rsidRPr="00137E44">
        <w:rPr>
          <w:sz w:val="24"/>
          <w:szCs w:val="24"/>
        </w:rPr>
        <w:t>, bør der ikke tages endnu en dosis til samme anfald.</w:t>
      </w:r>
    </w:p>
    <w:p w:rsidR="00137E44" w:rsidRPr="00137E44" w:rsidRDefault="00137E44" w:rsidP="00137E44">
      <w:pPr>
        <w:tabs>
          <w:tab w:val="left" w:pos="851"/>
        </w:tabs>
        <w:ind w:left="851"/>
        <w:rPr>
          <w:sz w:val="24"/>
          <w:szCs w:val="24"/>
        </w:rPr>
      </w:pPr>
      <w:r w:rsidRPr="00137E44">
        <w:rPr>
          <w:sz w:val="24"/>
          <w:szCs w:val="24"/>
        </w:rPr>
        <w:t xml:space="preserve">Hvis patienten har responderet på den første dosis men symptomerne genopstår, kan en yderligere dosis gives, forudsat at der er et minimumsinterval på 2 timer mellem de 2 doser. </w:t>
      </w:r>
    </w:p>
    <w:p w:rsidR="00137E44" w:rsidRPr="00137E44" w:rsidRDefault="00137E44" w:rsidP="00137E44">
      <w:pPr>
        <w:tabs>
          <w:tab w:val="left" w:pos="851"/>
        </w:tabs>
        <w:ind w:left="851"/>
        <w:rPr>
          <w:sz w:val="24"/>
          <w:szCs w:val="24"/>
        </w:rPr>
      </w:pPr>
    </w:p>
    <w:p w:rsidR="00137E44" w:rsidRPr="00137E44" w:rsidRDefault="00137E44" w:rsidP="00137E44">
      <w:pPr>
        <w:tabs>
          <w:tab w:val="left" w:pos="851"/>
        </w:tabs>
        <w:ind w:left="851"/>
        <w:rPr>
          <w:sz w:val="24"/>
          <w:szCs w:val="24"/>
        </w:rPr>
      </w:pPr>
      <w:r w:rsidRPr="00137E44">
        <w:rPr>
          <w:sz w:val="24"/>
          <w:szCs w:val="24"/>
        </w:rPr>
        <w:t xml:space="preserve">Den maksimale anbefalede dosis i en 24-timers periode er 2 tabletter, taget med mindst 2 timers mellemrum. </w:t>
      </w:r>
    </w:p>
    <w:p w:rsidR="00137E44" w:rsidRPr="00137E44" w:rsidRDefault="00137E44" w:rsidP="00137E44">
      <w:pPr>
        <w:tabs>
          <w:tab w:val="left" w:pos="851"/>
        </w:tabs>
        <w:ind w:left="851"/>
        <w:rPr>
          <w:sz w:val="24"/>
          <w:szCs w:val="24"/>
        </w:rPr>
      </w:pPr>
      <w:r w:rsidRPr="00137E44">
        <w:rPr>
          <w:sz w:val="24"/>
          <w:szCs w:val="24"/>
        </w:rPr>
        <w:t>Sikkerheden ved at behandle i gennemsnit 5 migræneanfald i en 30-dages periode er ikke klarlagt.</w:t>
      </w:r>
    </w:p>
    <w:p w:rsidR="00137E44" w:rsidRPr="00137E44" w:rsidRDefault="00137E44" w:rsidP="00137E44">
      <w:pPr>
        <w:tabs>
          <w:tab w:val="left" w:pos="851"/>
        </w:tabs>
        <w:ind w:left="851"/>
        <w:rPr>
          <w:sz w:val="24"/>
          <w:szCs w:val="24"/>
        </w:rPr>
      </w:pPr>
    </w:p>
    <w:p w:rsidR="00137E44" w:rsidRPr="00137E44" w:rsidRDefault="00137E44" w:rsidP="00137E44">
      <w:pPr>
        <w:tabs>
          <w:tab w:val="left" w:pos="851"/>
        </w:tabs>
        <w:ind w:left="851"/>
        <w:rPr>
          <w:sz w:val="24"/>
          <w:szCs w:val="24"/>
        </w:rPr>
      </w:pPr>
      <w:r w:rsidRPr="00137E44">
        <w:rPr>
          <w:i/>
          <w:iCs/>
          <w:sz w:val="24"/>
          <w:szCs w:val="24"/>
        </w:rPr>
        <w:t>Pædiatrisk population</w:t>
      </w:r>
    </w:p>
    <w:p w:rsidR="00137E44" w:rsidRPr="00137E44" w:rsidRDefault="00137E44" w:rsidP="00137E44">
      <w:pPr>
        <w:tabs>
          <w:tab w:val="left" w:pos="851"/>
        </w:tabs>
        <w:ind w:left="851"/>
        <w:rPr>
          <w:sz w:val="24"/>
          <w:szCs w:val="24"/>
        </w:rPr>
      </w:pPr>
      <w:r w:rsidRPr="00137E44">
        <w:rPr>
          <w:sz w:val="24"/>
          <w:szCs w:val="24"/>
        </w:rPr>
        <w:t xml:space="preserve">Sikkerheden og virkningen af </w:t>
      </w:r>
      <w:proofErr w:type="spellStart"/>
      <w:r w:rsidRPr="00137E44">
        <w:rPr>
          <w:sz w:val="24"/>
          <w:szCs w:val="24"/>
        </w:rPr>
        <w:t>sumatriptan</w:t>
      </w:r>
      <w:proofErr w:type="spellEnd"/>
      <w:r w:rsidRPr="00137E44">
        <w:rPr>
          <w:sz w:val="24"/>
          <w:szCs w:val="24"/>
        </w:rPr>
        <w:t>/</w:t>
      </w:r>
      <w:proofErr w:type="spellStart"/>
      <w:r w:rsidRPr="00137E44">
        <w:rPr>
          <w:sz w:val="24"/>
          <w:szCs w:val="24"/>
        </w:rPr>
        <w:t>naproxen</w:t>
      </w:r>
      <w:proofErr w:type="spellEnd"/>
      <w:r w:rsidRPr="00137E44">
        <w:rPr>
          <w:sz w:val="24"/>
          <w:szCs w:val="24"/>
        </w:rPr>
        <w:t xml:space="preserve"> hos børn under 18 år er ikke klarlagt.</w:t>
      </w:r>
    </w:p>
    <w:p w:rsidR="00137E44" w:rsidRPr="00137E44" w:rsidRDefault="00137E44" w:rsidP="00137E44">
      <w:pPr>
        <w:tabs>
          <w:tab w:val="left" w:pos="851"/>
        </w:tabs>
        <w:ind w:left="851"/>
        <w:rPr>
          <w:sz w:val="24"/>
          <w:szCs w:val="24"/>
        </w:rPr>
      </w:pPr>
    </w:p>
    <w:p w:rsidR="00137E44" w:rsidRPr="00137E44" w:rsidRDefault="00137E44" w:rsidP="00137E44">
      <w:pPr>
        <w:tabs>
          <w:tab w:val="left" w:pos="851"/>
        </w:tabs>
        <w:ind w:left="851"/>
        <w:rPr>
          <w:i/>
          <w:iCs/>
          <w:sz w:val="24"/>
          <w:szCs w:val="24"/>
        </w:rPr>
      </w:pPr>
      <w:r w:rsidRPr="00137E44">
        <w:rPr>
          <w:i/>
          <w:iCs/>
          <w:sz w:val="24"/>
          <w:szCs w:val="24"/>
        </w:rPr>
        <w:t>Ældre (over 65 år)</w:t>
      </w:r>
    </w:p>
    <w:p w:rsidR="00137E44" w:rsidRPr="00137E44" w:rsidRDefault="00137E44" w:rsidP="00137E44">
      <w:pPr>
        <w:tabs>
          <w:tab w:val="left" w:pos="851"/>
        </w:tabs>
        <w:ind w:left="851"/>
        <w:rPr>
          <w:sz w:val="24"/>
          <w:szCs w:val="24"/>
        </w:rPr>
      </w:pPr>
      <w:proofErr w:type="spellStart"/>
      <w:r w:rsidRPr="00137E44">
        <w:rPr>
          <w:sz w:val="24"/>
          <w:szCs w:val="24"/>
        </w:rPr>
        <w:t>Sumatriptan</w:t>
      </w:r>
      <w:proofErr w:type="spellEnd"/>
      <w:r w:rsidRPr="00137E44">
        <w:rPr>
          <w:sz w:val="24"/>
          <w:szCs w:val="24"/>
        </w:rPr>
        <w:t>/</w:t>
      </w:r>
      <w:proofErr w:type="spellStart"/>
      <w:r w:rsidRPr="00137E44">
        <w:rPr>
          <w:sz w:val="24"/>
          <w:szCs w:val="24"/>
        </w:rPr>
        <w:t>naproxen</w:t>
      </w:r>
      <w:proofErr w:type="spellEnd"/>
      <w:r w:rsidRPr="00137E44">
        <w:rPr>
          <w:sz w:val="24"/>
          <w:szCs w:val="24"/>
        </w:rPr>
        <w:t xml:space="preserve"> er ikke blevet undersøgt hos geriatriske patienter, og dets anvendelse i denne population anbefales ikke. Ældre patienter er mere tilbøjelig til at have aldersrelateret nedsat lever- og nyrefunktion. </w:t>
      </w:r>
    </w:p>
    <w:p w:rsidR="00137E44" w:rsidRPr="00137E44" w:rsidRDefault="00137E44" w:rsidP="00137E44">
      <w:pPr>
        <w:tabs>
          <w:tab w:val="left" w:pos="851"/>
        </w:tabs>
        <w:ind w:left="851"/>
        <w:rPr>
          <w:sz w:val="24"/>
          <w:szCs w:val="24"/>
        </w:rPr>
      </w:pPr>
    </w:p>
    <w:p w:rsidR="00137E44" w:rsidRPr="00137E44" w:rsidRDefault="00137E44" w:rsidP="00137E44">
      <w:pPr>
        <w:tabs>
          <w:tab w:val="left" w:pos="851"/>
        </w:tabs>
        <w:ind w:left="851"/>
        <w:rPr>
          <w:sz w:val="24"/>
          <w:szCs w:val="24"/>
        </w:rPr>
      </w:pPr>
      <w:r w:rsidRPr="00137E44">
        <w:rPr>
          <w:i/>
          <w:iCs/>
          <w:sz w:val="24"/>
          <w:szCs w:val="24"/>
        </w:rPr>
        <w:t>Nedsat leverfunktion</w:t>
      </w:r>
    </w:p>
    <w:p w:rsidR="00137E44" w:rsidRPr="00137E44" w:rsidRDefault="00137E44" w:rsidP="00137E44">
      <w:pPr>
        <w:tabs>
          <w:tab w:val="left" w:pos="851"/>
        </w:tabs>
        <w:ind w:left="851"/>
        <w:rPr>
          <w:sz w:val="24"/>
          <w:szCs w:val="24"/>
        </w:rPr>
      </w:pPr>
      <w:r w:rsidRPr="00137E44">
        <w:rPr>
          <w:sz w:val="24"/>
          <w:szCs w:val="24"/>
        </w:rPr>
        <w:t xml:space="preserve">Virkningen af nedsat leverfunktion på </w:t>
      </w:r>
      <w:proofErr w:type="spellStart"/>
      <w:r w:rsidRPr="00137E44">
        <w:rPr>
          <w:sz w:val="24"/>
          <w:szCs w:val="24"/>
        </w:rPr>
        <w:t>sumatriptan</w:t>
      </w:r>
      <w:proofErr w:type="spellEnd"/>
      <w:r w:rsidRPr="00137E44">
        <w:rPr>
          <w:sz w:val="24"/>
          <w:szCs w:val="24"/>
        </w:rPr>
        <w:t>/</w:t>
      </w:r>
      <w:proofErr w:type="spellStart"/>
      <w:r w:rsidRPr="00137E44">
        <w:rPr>
          <w:sz w:val="24"/>
          <w:szCs w:val="24"/>
        </w:rPr>
        <w:t>naproxens</w:t>
      </w:r>
      <w:proofErr w:type="spellEnd"/>
      <w:r w:rsidRPr="00137E44">
        <w:rPr>
          <w:sz w:val="24"/>
          <w:szCs w:val="24"/>
        </w:rPr>
        <w:t xml:space="preserve"> farmakokinetik er ikke klarlagt. </w:t>
      </w:r>
      <w:proofErr w:type="spellStart"/>
      <w:r w:rsidRPr="00137E44">
        <w:rPr>
          <w:sz w:val="24"/>
          <w:szCs w:val="24"/>
        </w:rPr>
        <w:t>Sumatriptan</w:t>
      </w:r>
      <w:proofErr w:type="spellEnd"/>
      <w:r w:rsidRPr="00137E44">
        <w:rPr>
          <w:sz w:val="24"/>
          <w:szCs w:val="24"/>
        </w:rPr>
        <w:t>/</w:t>
      </w:r>
      <w:proofErr w:type="spellStart"/>
      <w:r w:rsidRPr="00137E44">
        <w:rPr>
          <w:sz w:val="24"/>
          <w:szCs w:val="24"/>
        </w:rPr>
        <w:t>naproxen</w:t>
      </w:r>
      <w:proofErr w:type="spellEnd"/>
      <w:r w:rsidRPr="00137E44">
        <w:rPr>
          <w:sz w:val="24"/>
          <w:szCs w:val="24"/>
        </w:rPr>
        <w:t xml:space="preserve"> er kontraindiceret til patienter med moderat til svær nedsat leverfunktion (Child </w:t>
      </w:r>
      <w:proofErr w:type="spellStart"/>
      <w:r w:rsidRPr="00137E44">
        <w:rPr>
          <w:sz w:val="24"/>
          <w:szCs w:val="24"/>
        </w:rPr>
        <w:t>Pugh</w:t>
      </w:r>
      <w:proofErr w:type="spellEnd"/>
      <w:r w:rsidRPr="00137E44">
        <w:rPr>
          <w:sz w:val="24"/>
          <w:szCs w:val="24"/>
        </w:rPr>
        <w:t xml:space="preserve"> B og C) (se pkt. 4.3). </w:t>
      </w:r>
      <w:proofErr w:type="spellStart"/>
      <w:r w:rsidRPr="00137E44">
        <w:rPr>
          <w:sz w:val="24"/>
          <w:szCs w:val="24"/>
        </w:rPr>
        <w:t>Sumatriptan</w:t>
      </w:r>
      <w:proofErr w:type="spellEnd"/>
      <w:r w:rsidRPr="00137E44">
        <w:rPr>
          <w:sz w:val="24"/>
          <w:szCs w:val="24"/>
        </w:rPr>
        <w:t>/</w:t>
      </w:r>
      <w:proofErr w:type="spellStart"/>
      <w:r w:rsidRPr="00137E44">
        <w:rPr>
          <w:sz w:val="24"/>
          <w:szCs w:val="24"/>
        </w:rPr>
        <w:t>naproxen</w:t>
      </w:r>
      <w:proofErr w:type="spellEnd"/>
      <w:r w:rsidRPr="00137E44">
        <w:rPr>
          <w:sz w:val="24"/>
          <w:szCs w:val="24"/>
        </w:rPr>
        <w:t xml:space="preserve"> anbefales ikke til patienter med let nedsat leverfunktion (Child </w:t>
      </w:r>
      <w:proofErr w:type="spellStart"/>
      <w:r w:rsidRPr="00137E44">
        <w:rPr>
          <w:sz w:val="24"/>
          <w:szCs w:val="24"/>
        </w:rPr>
        <w:t>Pugh</w:t>
      </w:r>
      <w:proofErr w:type="spellEnd"/>
      <w:r w:rsidRPr="00137E44">
        <w:rPr>
          <w:sz w:val="24"/>
          <w:szCs w:val="24"/>
        </w:rPr>
        <w:t xml:space="preserve"> A). Hvis der er behov for at anvende </w:t>
      </w:r>
      <w:proofErr w:type="spellStart"/>
      <w:r w:rsidRPr="00137E44">
        <w:rPr>
          <w:sz w:val="24"/>
          <w:szCs w:val="24"/>
        </w:rPr>
        <w:t>sumatriptan</w:t>
      </w:r>
      <w:proofErr w:type="spellEnd"/>
      <w:r w:rsidRPr="00137E44">
        <w:rPr>
          <w:sz w:val="24"/>
          <w:szCs w:val="24"/>
        </w:rPr>
        <w:t>/</w:t>
      </w:r>
      <w:proofErr w:type="spellStart"/>
      <w:r w:rsidRPr="00137E44">
        <w:rPr>
          <w:sz w:val="24"/>
          <w:szCs w:val="24"/>
        </w:rPr>
        <w:t>naproxen</w:t>
      </w:r>
      <w:proofErr w:type="spellEnd"/>
      <w:r w:rsidRPr="00137E44">
        <w:rPr>
          <w:sz w:val="24"/>
          <w:szCs w:val="24"/>
        </w:rPr>
        <w:t xml:space="preserve"> til patienter med let nedsat leverfunktion, bør der kun anvendes én dosis inden for en 24-timers periode, og patienten bør overvåges under behandlingen. </w:t>
      </w:r>
    </w:p>
    <w:p w:rsidR="00137E44" w:rsidRPr="00137E44" w:rsidRDefault="00137E44" w:rsidP="00137E44">
      <w:pPr>
        <w:tabs>
          <w:tab w:val="left" w:pos="851"/>
        </w:tabs>
        <w:ind w:left="851"/>
        <w:rPr>
          <w:sz w:val="24"/>
          <w:szCs w:val="24"/>
        </w:rPr>
      </w:pPr>
    </w:p>
    <w:p w:rsidR="00137E44" w:rsidRPr="00137E44" w:rsidRDefault="00137E44" w:rsidP="00137E44">
      <w:pPr>
        <w:tabs>
          <w:tab w:val="left" w:pos="851"/>
        </w:tabs>
        <w:ind w:left="851"/>
        <w:rPr>
          <w:sz w:val="24"/>
          <w:szCs w:val="24"/>
        </w:rPr>
      </w:pPr>
      <w:r w:rsidRPr="00137E44">
        <w:rPr>
          <w:i/>
          <w:iCs/>
          <w:sz w:val="24"/>
          <w:szCs w:val="24"/>
        </w:rPr>
        <w:t>Nedsat nyrefunktion</w:t>
      </w:r>
    </w:p>
    <w:p w:rsidR="00137E44" w:rsidRPr="00137E44" w:rsidRDefault="00137E44" w:rsidP="00137E44">
      <w:pPr>
        <w:tabs>
          <w:tab w:val="left" w:pos="851"/>
        </w:tabs>
        <w:ind w:left="851"/>
        <w:rPr>
          <w:sz w:val="24"/>
          <w:szCs w:val="24"/>
        </w:rPr>
      </w:pPr>
      <w:r w:rsidRPr="00137E44">
        <w:rPr>
          <w:sz w:val="24"/>
          <w:szCs w:val="24"/>
        </w:rPr>
        <w:t xml:space="preserve">Virkningen af nedsat nyrefunktion på </w:t>
      </w:r>
      <w:proofErr w:type="spellStart"/>
      <w:r w:rsidRPr="00137E44">
        <w:rPr>
          <w:sz w:val="24"/>
          <w:szCs w:val="24"/>
        </w:rPr>
        <w:t>sumatriptan</w:t>
      </w:r>
      <w:proofErr w:type="spellEnd"/>
      <w:r w:rsidRPr="00137E44">
        <w:rPr>
          <w:sz w:val="24"/>
          <w:szCs w:val="24"/>
        </w:rPr>
        <w:t>/</w:t>
      </w:r>
      <w:proofErr w:type="spellStart"/>
      <w:r w:rsidRPr="00137E44">
        <w:rPr>
          <w:sz w:val="24"/>
          <w:szCs w:val="24"/>
        </w:rPr>
        <w:t>naproxens</w:t>
      </w:r>
      <w:proofErr w:type="spellEnd"/>
      <w:r w:rsidRPr="00137E44">
        <w:rPr>
          <w:sz w:val="24"/>
          <w:szCs w:val="24"/>
        </w:rPr>
        <w:t xml:space="preserve"> farmakokinetik er ikke klarlagt. </w:t>
      </w:r>
      <w:proofErr w:type="spellStart"/>
      <w:r w:rsidRPr="00137E44">
        <w:rPr>
          <w:sz w:val="24"/>
          <w:szCs w:val="24"/>
        </w:rPr>
        <w:t>Sumatriptan</w:t>
      </w:r>
      <w:proofErr w:type="spellEnd"/>
      <w:r w:rsidRPr="00137E44">
        <w:rPr>
          <w:sz w:val="24"/>
          <w:szCs w:val="24"/>
        </w:rPr>
        <w:t>/</w:t>
      </w:r>
      <w:proofErr w:type="spellStart"/>
      <w:r w:rsidRPr="00137E44">
        <w:rPr>
          <w:sz w:val="24"/>
          <w:szCs w:val="24"/>
        </w:rPr>
        <w:t>naproxen</w:t>
      </w:r>
      <w:proofErr w:type="spellEnd"/>
      <w:r w:rsidRPr="00137E44">
        <w:rPr>
          <w:sz w:val="24"/>
          <w:szCs w:val="24"/>
        </w:rPr>
        <w:t xml:space="preserve"> er kontraindiceret til patienter med GFR mindre end 30 ml/min/1,73 m</w:t>
      </w:r>
      <w:r w:rsidRPr="00137E44">
        <w:rPr>
          <w:sz w:val="24"/>
          <w:szCs w:val="24"/>
          <w:vertAlign w:val="superscript"/>
        </w:rPr>
        <w:t>2</w:t>
      </w:r>
      <w:r w:rsidRPr="00137E44">
        <w:rPr>
          <w:sz w:val="24"/>
          <w:szCs w:val="24"/>
        </w:rPr>
        <w:t xml:space="preserve"> (se pkt. 4.3) Hos patienter med let til moderat nedsat nyrefunktion, bør der kun anvendes én dosis inden for en 24-timers periode og nyrefunktionen bør overvåges under behandlingen. </w:t>
      </w:r>
    </w:p>
    <w:p w:rsidR="00137E44" w:rsidRPr="00137E44" w:rsidRDefault="00137E44" w:rsidP="00137E44">
      <w:pPr>
        <w:tabs>
          <w:tab w:val="left" w:pos="851"/>
        </w:tabs>
        <w:ind w:left="851"/>
        <w:rPr>
          <w:sz w:val="24"/>
          <w:szCs w:val="24"/>
        </w:rPr>
      </w:pPr>
    </w:p>
    <w:p w:rsidR="00137E44" w:rsidRPr="00137E44" w:rsidRDefault="00137E44" w:rsidP="00137E44">
      <w:pPr>
        <w:tabs>
          <w:tab w:val="left" w:pos="851"/>
        </w:tabs>
        <w:ind w:left="851"/>
        <w:rPr>
          <w:sz w:val="24"/>
          <w:szCs w:val="24"/>
        </w:rPr>
      </w:pPr>
      <w:r w:rsidRPr="00137E44">
        <w:rPr>
          <w:sz w:val="24"/>
          <w:szCs w:val="24"/>
          <w:u w:val="single"/>
        </w:rPr>
        <w:t>Administration</w:t>
      </w:r>
    </w:p>
    <w:p w:rsidR="00137E44" w:rsidRPr="00137E44" w:rsidRDefault="00137E44" w:rsidP="00137E44">
      <w:pPr>
        <w:tabs>
          <w:tab w:val="left" w:pos="851"/>
        </w:tabs>
        <w:ind w:left="851"/>
        <w:rPr>
          <w:sz w:val="24"/>
          <w:szCs w:val="24"/>
        </w:rPr>
      </w:pPr>
      <w:r w:rsidRPr="00137E44">
        <w:rPr>
          <w:sz w:val="24"/>
          <w:szCs w:val="24"/>
        </w:rPr>
        <w:t>Til oral administration.</w:t>
      </w:r>
    </w:p>
    <w:p w:rsidR="00137E44" w:rsidRPr="00137E44" w:rsidRDefault="00137E44" w:rsidP="00137E44">
      <w:pPr>
        <w:tabs>
          <w:tab w:val="left" w:pos="851"/>
        </w:tabs>
        <w:ind w:left="851"/>
        <w:rPr>
          <w:sz w:val="24"/>
          <w:szCs w:val="24"/>
        </w:rPr>
      </w:pPr>
      <w:r w:rsidRPr="00137E44">
        <w:rPr>
          <w:sz w:val="24"/>
          <w:szCs w:val="24"/>
        </w:rPr>
        <w:t>Nomigrin tabletter skal synkes hele med vand. Tabletterne må ikke deles, knuses eller tygges, da dette kan påvirke den optimerede hastighed af lægemiddelabsorptionen.</w:t>
      </w:r>
    </w:p>
    <w:p w:rsidR="00137E44" w:rsidRPr="00137E44" w:rsidRDefault="00137E44" w:rsidP="00137E44">
      <w:pPr>
        <w:tabs>
          <w:tab w:val="left" w:pos="851"/>
        </w:tabs>
        <w:ind w:left="851"/>
        <w:rPr>
          <w:sz w:val="24"/>
          <w:szCs w:val="24"/>
        </w:rPr>
      </w:pPr>
      <w:r w:rsidRPr="00137E44">
        <w:rPr>
          <w:sz w:val="24"/>
          <w:szCs w:val="24"/>
        </w:rPr>
        <w:t xml:space="preserve">Nomigrin kan administreres med eller uden mad.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B514E1" w:rsidRPr="00B514E1" w:rsidRDefault="00B514E1" w:rsidP="00B514E1">
      <w:pPr>
        <w:numPr>
          <w:ilvl w:val="0"/>
          <w:numId w:val="6"/>
        </w:numPr>
        <w:tabs>
          <w:tab w:val="left" w:pos="851"/>
        </w:tabs>
        <w:rPr>
          <w:sz w:val="24"/>
          <w:szCs w:val="24"/>
        </w:rPr>
      </w:pPr>
      <w:r w:rsidRPr="00B514E1">
        <w:rPr>
          <w:sz w:val="24"/>
          <w:szCs w:val="24"/>
        </w:rPr>
        <w:t xml:space="preserve">Overfølsomhed over for de aktive stoffer eller over for et eller flere af hjælpestofferne anført i pkt. 6.1. </w:t>
      </w:r>
    </w:p>
    <w:p w:rsidR="00B514E1" w:rsidRDefault="00B514E1">
      <w:pPr>
        <w:rPr>
          <w:sz w:val="24"/>
          <w:szCs w:val="24"/>
        </w:rPr>
      </w:pPr>
      <w:r>
        <w:rPr>
          <w:sz w:val="24"/>
          <w:szCs w:val="24"/>
        </w:rPr>
        <w:br w:type="page"/>
      </w:r>
    </w:p>
    <w:p w:rsidR="00B514E1" w:rsidRPr="00B514E1" w:rsidRDefault="00B514E1" w:rsidP="00B514E1">
      <w:pPr>
        <w:tabs>
          <w:tab w:val="left" w:pos="851"/>
        </w:tabs>
        <w:ind w:left="851"/>
        <w:rPr>
          <w:sz w:val="24"/>
          <w:szCs w:val="24"/>
        </w:rPr>
      </w:pPr>
    </w:p>
    <w:p w:rsidR="00334421" w:rsidRPr="00B514E1" w:rsidRDefault="00334421" w:rsidP="00334421">
      <w:pPr>
        <w:tabs>
          <w:tab w:val="left" w:pos="851"/>
        </w:tabs>
        <w:ind w:left="851"/>
        <w:rPr>
          <w:sz w:val="24"/>
          <w:szCs w:val="24"/>
          <w:u w:val="single"/>
        </w:rPr>
      </w:pPr>
      <w:proofErr w:type="spellStart"/>
      <w:r w:rsidRPr="00B514E1">
        <w:rPr>
          <w:bCs/>
          <w:sz w:val="24"/>
          <w:szCs w:val="24"/>
          <w:u w:val="single"/>
        </w:rPr>
        <w:t>Sumatriptan</w:t>
      </w:r>
      <w:proofErr w:type="spellEnd"/>
      <w:r w:rsidRPr="00B514E1">
        <w:rPr>
          <w:bCs/>
          <w:sz w:val="24"/>
          <w:szCs w:val="24"/>
          <w:u w:val="single"/>
        </w:rPr>
        <w:t>/</w:t>
      </w:r>
      <w:proofErr w:type="spellStart"/>
      <w:r w:rsidRPr="00B514E1">
        <w:rPr>
          <w:bCs/>
          <w:sz w:val="24"/>
          <w:szCs w:val="24"/>
          <w:u w:val="single"/>
        </w:rPr>
        <w:t>naproxen</w:t>
      </w:r>
      <w:proofErr w:type="spellEnd"/>
      <w:r w:rsidRPr="00B514E1">
        <w:rPr>
          <w:bCs/>
          <w:sz w:val="24"/>
          <w:szCs w:val="24"/>
          <w:u w:val="single"/>
        </w:rPr>
        <w:t xml:space="preserve"> er kontraindiceret til patienter med</w:t>
      </w:r>
    </w:p>
    <w:p w:rsidR="00334421" w:rsidRPr="00B514E1" w:rsidRDefault="00334421" w:rsidP="00334421">
      <w:pPr>
        <w:numPr>
          <w:ilvl w:val="0"/>
          <w:numId w:val="6"/>
        </w:numPr>
        <w:tabs>
          <w:tab w:val="left" w:pos="851"/>
        </w:tabs>
        <w:rPr>
          <w:sz w:val="24"/>
          <w:szCs w:val="24"/>
        </w:rPr>
      </w:pPr>
      <w:r w:rsidRPr="00E15AC2">
        <w:rPr>
          <w:sz w:val="24"/>
          <w:szCs w:val="24"/>
        </w:rPr>
        <w:t xml:space="preserve">svært hjertesvigt, </w:t>
      </w:r>
      <w:r w:rsidRPr="00B514E1">
        <w:rPr>
          <w:sz w:val="24"/>
          <w:szCs w:val="24"/>
        </w:rPr>
        <w:t xml:space="preserve">tidligere myokardieinfarkt eller iskæmisk hjertelidelse, </w:t>
      </w:r>
      <w:proofErr w:type="spellStart"/>
      <w:r w:rsidRPr="00B514E1">
        <w:rPr>
          <w:sz w:val="24"/>
          <w:szCs w:val="24"/>
        </w:rPr>
        <w:t>koronar</w:t>
      </w:r>
      <w:proofErr w:type="spellEnd"/>
      <w:r w:rsidRPr="00B514E1">
        <w:rPr>
          <w:sz w:val="24"/>
          <w:szCs w:val="24"/>
        </w:rPr>
        <w:t xml:space="preserve"> </w:t>
      </w:r>
      <w:proofErr w:type="spellStart"/>
      <w:r w:rsidRPr="00B514E1">
        <w:rPr>
          <w:sz w:val="24"/>
          <w:szCs w:val="24"/>
        </w:rPr>
        <w:t>vasospasme</w:t>
      </w:r>
      <w:proofErr w:type="spellEnd"/>
      <w:r w:rsidRPr="00B514E1">
        <w:rPr>
          <w:sz w:val="24"/>
          <w:szCs w:val="24"/>
        </w:rPr>
        <w:t xml:space="preserve"> (</w:t>
      </w:r>
      <w:proofErr w:type="spellStart"/>
      <w:r w:rsidRPr="00B514E1">
        <w:rPr>
          <w:sz w:val="24"/>
          <w:szCs w:val="24"/>
        </w:rPr>
        <w:t>Prinzmetal</w:t>
      </w:r>
      <w:r>
        <w:rPr>
          <w:sz w:val="24"/>
          <w:szCs w:val="24"/>
        </w:rPr>
        <w:t>'</w:t>
      </w:r>
      <w:r w:rsidRPr="00B514E1">
        <w:rPr>
          <w:sz w:val="24"/>
          <w:szCs w:val="24"/>
        </w:rPr>
        <w:t>s</w:t>
      </w:r>
      <w:proofErr w:type="spellEnd"/>
      <w:r w:rsidRPr="00B514E1">
        <w:rPr>
          <w:sz w:val="24"/>
          <w:szCs w:val="24"/>
        </w:rPr>
        <w:t xml:space="preserve"> angina), perifer </w:t>
      </w:r>
      <w:proofErr w:type="spellStart"/>
      <w:r w:rsidRPr="00B514E1">
        <w:rPr>
          <w:sz w:val="24"/>
          <w:szCs w:val="24"/>
        </w:rPr>
        <w:t>vaskulær</w:t>
      </w:r>
      <w:proofErr w:type="spellEnd"/>
      <w:r w:rsidRPr="00B514E1">
        <w:rPr>
          <w:sz w:val="24"/>
          <w:szCs w:val="24"/>
        </w:rPr>
        <w:t xml:space="preserve"> lidelse, eller symptomer eller tegn på iskæmisk hjertelidelse</w:t>
      </w:r>
    </w:p>
    <w:p w:rsidR="00334421" w:rsidRPr="00B514E1" w:rsidRDefault="00334421" w:rsidP="00334421">
      <w:pPr>
        <w:numPr>
          <w:ilvl w:val="0"/>
          <w:numId w:val="6"/>
        </w:numPr>
        <w:tabs>
          <w:tab w:val="left" w:pos="851"/>
        </w:tabs>
        <w:rPr>
          <w:sz w:val="24"/>
          <w:szCs w:val="24"/>
        </w:rPr>
      </w:pPr>
      <w:r w:rsidRPr="00E15AC2">
        <w:rPr>
          <w:sz w:val="24"/>
          <w:szCs w:val="24"/>
        </w:rPr>
        <w:t>tidligere iskæmisk apopleksi eller transitorisk iskæmisk attak (TIA), da disse patienter har en øget risiko for iskæmisk apopleksi</w:t>
      </w:r>
    </w:p>
    <w:p w:rsidR="00334421" w:rsidRPr="00B514E1" w:rsidRDefault="00334421" w:rsidP="00334421">
      <w:pPr>
        <w:numPr>
          <w:ilvl w:val="0"/>
          <w:numId w:val="6"/>
        </w:numPr>
        <w:tabs>
          <w:tab w:val="left" w:pos="851"/>
        </w:tabs>
        <w:rPr>
          <w:sz w:val="24"/>
          <w:szCs w:val="24"/>
        </w:rPr>
      </w:pPr>
      <w:r w:rsidRPr="00B514E1">
        <w:rPr>
          <w:sz w:val="24"/>
          <w:szCs w:val="24"/>
        </w:rPr>
        <w:t xml:space="preserve">tidligere vist overfølsomhedsreaktioner (f.eks. næsepolypper, astma, </w:t>
      </w:r>
      <w:proofErr w:type="spellStart"/>
      <w:r w:rsidRPr="00B514E1">
        <w:rPr>
          <w:sz w:val="24"/>
          <w:szCs w:val="24"/>
        </w:rPr>
        <w:t>rhinitis</w:t>
      </w:r>
      <w:proofErr w:type="spellEnd"/>
      <w:r w:rsidRPr="00B514E1">
        <w:rPr>
          <w:sz w:val="24"/>
          <w:szCs w:val="24"/>
        </w:rPr>
        <w:t xml:space="preserve">, </w:t>
      </w:r>
      <w:proofErr w:type="spellStart"/>
      <w:r w:rsidRPr="00B514E1">
        <w:rPr>
          <w:sz w:val="24"/>
          <w:szCs w:val="24"/>
        </w:rPr>
        <w:t>angioødem</w:t>
      </w:r>
      <w:proofErr w:type="spellEnd"/>
      <w:r w:rsidRPr="00B514E1">
        <w:rPr>
          <w:sz w:val="24"/>
          <w:szCs w:val="24"/>
        </w:rPr>
        <w:t xml:space="preserve"> eller nældefeber), som reaktion på ibuprofen, aspirin eller andre non-</w:t>
      </w:r>
      <w:proofErr w:type="spellStart"/>
      <w:r w:rsidRPr="00B514E1">
        <w:rPr>
          <w:sz w:val="24"/>
          <w:szCs w:val="24"/>
        </w:rPr>
        <w:t>steroidt</w:t>
      </w:r>
      <w:proofErr w:type="spellEnd"/>
      <w:r w:rsidRPr="00B514E1">
        <w:rPr>
          <w:sz w:val="24"/>
          <w:szCs w:val="24"/>
        </w:rPr>
        <w:t xml:space="preserve"> antiinflammatoriske/analgetiske lægemidler (</w:t>
      </w:r>
      <w:proofErr w:type="spellStart"/>
      <w:r w:rsidRPr="00B514E1">
        <w:rPr>
          <w:sz w:val="24"/>
          <w:szCs w:val="24"/>
        </w:rPr>
        <w:t>NSAID'er</w:t>
      </w:r>
      <w:proofErr w:type="spellEnd"/>
      <w:r w:rsidRPr="00B514E1">
        <w:rPr>
          <w:sz w:val="24"/>
          <w:szCs w:val="24"/>
        </w:rPr>
        <w:t xml:space="preserve">). Disse reaktioner kan potentielt være dødelige. Der er blevet rapporteret om alvorlige </w:t>
      </w:r>
      <w:proofErr w:type="spellStart"/>
      <w:r w:rsidRPr="00B514E1">
        <w:rPr>
          <w:sz w:val="24"/>
          <w:szCs w:val="24"/>
        </w:rPr>
        <w:t>anafylaktisk</w:t>
      </w:r>
      <w:proofErr w:type="spellEnd"/>
      <w:r w:rsidRPr="00B514E1">
        <w:rPr>
          <w:sz w:val="24"/>
          <w:szCs w:val="24"/>
        </w:rPr>
        <w:t xml:space="preserve">-lignende reaktioner på </w:t>
      </w:r>
      <w:proofErr w:type="spellStart"/>
      <w:r w:rsidRPr="00B514E1">
        <w:rPr>
          <w:sz w:val="24"/>
          <w:szCs w:val="24"/>
        </w:rPr>
        <w:t>naproxen</w:t>
      </w:r>
      <w:proofErr w:type="spellEnd"/>
      <w:r w:rsidRPr="00B514E1">
        <w:rPr>
          <w:sz w:val="24"/>
          <w:szCs w:val="24"/>
        </w:rPr>
        <w:t xml:space="preserve"> hos disse patienter</w:t>
      </w:r>
    </w:p>
    <w:p w:rsidR="00334421" w:rsidRPr="00B514E1" w:rsidRDefault="00334421" w:rsidP="00334421">
      <w:pPr>
        <w:numPr>
          <w:ilvl w:val="0"/>
          <w:numId w:val="6"/>
        </w:numPr>
        <w:tabs>
          <w:tab w:val="left" w:pos="851"/>
        </w:tabs>
        <w:rPr>
          <w:sz w:val="24"/>
          <w:szCs w:val="24"/>
        </w:rPr>
      </w:pPr>
      <w:r w:rsidRPr="00B514E1">
        <w:rPr>
          <w:sz w:val="24"/>
          <w:szCs w:val="24"/>
        </w:rPr>
        <w:t>tidligere øvre-</w:t>
      </w:r>
      <w:proofErr w:type="spellStart"/>
      <w:r w:rsidRPr="00B514E1">
        <w:rPr>
          <w:sz w:val="24"/>
          <w:szCs w:val="24"/>
        </w:rPr>
        <w:t>gastrointestinal</w:t>
      </w:r>
      <w:proofErr w:type="spellEnd"/>
      <w:r w:rsidRPr="00B514E1">
        <w:rPr>
          <w:sz w:val="24"/>
          <w:szCs w:val="24"/>
        </w:rPr>
        <w:t xml:space="preserve"> blødning eller perforation, relateret til tidligere NSAID-behandling</w:t>
      </w:r>
    </w:p>
    <w:p w:rsidR="00334421" w:rsidRPr="00B514E1" w:rsidRDefault="00334421" w:rsidP="00334421">
      <w:pPr>
        <w:numPr>
          <w:ilvl w:val="0"/>
          <w:numId w:val="6"/>
        </w:numPr>
        <w:tabs>
          <w:tab w:val="left" w:pos="851"/>
        </w:tabs>
        <w:rPr>
          <w:sz w:val="24"/>
          <w:szCs w:val="24"/>
        </w:rPr>
      </w:pPr>
      <w:proofErr w:type="gramStart"/>
      <w:r w:rsidRPr="00B514E1">
        <w:rPr>
          <w:sz w:val="24"/>
          <w:szCs w:val="24"/>
        </w:rPr>
        <w:t>aktiv akut mavesår</w:t>
      </w:r>
      <w:proofErr w:type="gramEnd"/>
      <w:r w:rsidRPr="00B514E1">
        <w:rPr>
          <w:sz w:val="24"/>
          <w:szCs w:val="24"/>
        </w:rPr>
        <w:t xml:space="preserve"> eller </w:t>
      </w:r>
      <w:proofErr w:type="spellStart"/>
      <w:r w:rsidRPr="00B514E1">
        <w:rPr>
          <w:sz w:val="24"/>
          <w:szCs w:val="24"/>
        </w:rPr>
        <w:t>gastrointestinal</w:t>
      </w:r>
      <w:proofErr w:type="spellEnd"/>
      <w:r w:rsidRPr="00B514E1">
        <w:rPr>
          <w:sz w:val="24"/>
          <w:szCs w:val="24"/>
        </w:rPr>
        <w:t xml:space="preserve"> blødning eller tilbagevendende episoder (to eller flere tydelige episoder med påvist sår eller blødning)</w:t>
      </w:r>
    </w:p>
    <w:p w:rsidR="00334421" w:rsidRPr="00B514E1" w:rsidRDefault="00334421" w:rsidP="00334421">
      <w:pPr>
        <w:numPr>
          <w:ilvl w:val="0"/>
          <w:numId w:val="6"/>
        </w:numPr>
        <w:tabs>
          <w:tab w:val="left" w:pos="851"/>
        </w:tabs>
        <w:rPr>
          <w:sz w:val="24"/>
          <w:szCs w:val="24"/>
        </w:rPr>
      </w:pPr>
      <w:r w:rsidRPr="00B514E1">
        <w:rPr>
          <w:sz w:val="24"/>
          <w:szCs w:val="24"/>
        </w:rPr>
        <w:t>moderat og svær hypertension og let ukontrolleret hypertension</w:t>
      </w:r>
    </w:p>
    <w:p w:rsidR="00334421" w:rsidRPr="00B514E1" w:rsidRDefault="00334421" w:rsidP="00334421">
      <w:pPr>
        <w:numPr>
          <w:ilvl w:val="0"/>
          <w:numId w:val="6"/>
        </w:numPr>
        <w:tabs>
          <w:tab w:val="left" w:pos="851"/>
        </w:tabs>
        <w:rPr>
          <w:sz w:val="24"/>
          <w:szCs w:val="24"/>
        </w:rPr>
      </w:pPr>
      <w:r w:rsidRPr="00B514E1">
        <w:rPr>
          <w:sz w:val="24"/>
          <w:szCs w:val="24"/>
        </w:rPr>
        <w:t>svær nedsat nyrefunktion (</w:t>
      </w:r>
      <w:proofErr w:type="spellStart"/>
      <w:r w:rsidRPr="00B514E1">
        <w:rPr>
          <w:sz w:val="24"/>
          <w:szCs w:val="24"/>
        </w:rPr>
        <w:t>glomerulære</w:t>
      </w:r>
      <w:proofErr w:type="spellEnd"/>
      <w:r w:rsidRPr="00B514E1">
        <w:rPr>
          <w:sz w:val="24"/>
          <w:szCs w:val="24"/>
        </w:rPr>
        <w:t xml:space="preserve"> filtrationsrate, GFR &lt; 30 ml/min/1,73 m</w:t>
      </w:r>
      <w:r w:rsidRPr="00B514E1">
        <w:rPr>
          <w:sz w:val="24"/>
          <w:szCs w:val="24"/>
          <w:vertAlign w:val="superscript"/>
        </w:rPr>
        <w:t>2</w:t>
      </w:r>
      <w:r w:rsidRPr="00B514E1">
        <w:rPr>
          <w:sz w:val="24"/>
          <w:szCs w:val="24"/>
        </w:rPr>
        <w:t xml:space="preserve">) </w:t>
      </w:r>
    </w:p>
    <w:p w:rsidR="00334421" w:rsidRPr="00B514E1" w:rsidRDefault="00334421" w:rsidP="00334421">
      <w:pPr>
        <w:numPr>
          <w:ilvl w:val="0"/>
          <w:numId w:val="6"/>
        </w:numPr>
        <w:tabs>
          <w:tab w:val="left" w:pos="851"/>
        </w:tabs>
        <w:rPr>
          <w:sz w:val="24"/>
          <w:szCs w:val="24"/>
        </w:rPr>
      </w:pPr>
      <w:r w:rsidRPr="00B514E1">
        <w:rPr>
          <w:sz w:val="24"/>
          <w:szCs w:val="24"/>
        </w:rPr>
        <w:t>moderat og svær nedsat leverfunktion</w:t>
      </w:r>
    </w:p>
    <w:p w:rsidR="00334421" w:rsidRDefault="00334421" w:rsidP="00B514E1">
      <w:pPr>
        <w:tabs>
          <w:tab w:val="left" w:pos="851"/>
        </w:tabs>
        <w:ind w:left="851"/>
        <w:rPr>
          <w:bCs/>
          <w:sz w:val="24"/>
          <w:szCs w:val="24"/>
          <w:u w:val="single"/>
        </w:rPr>
      </w:pPr>
    </w:p>
    <w:p w:rsidR="00B514E1" w:rsidRPr="00B514E1" w:rsidRDefault="00B514E1" w:rsidP="00B514E1">
      <w:pPr>
        <w:tabs>
          <w:tab w:val="left" w:pos="851"/>
        </w:tabs>
        <w:ind w:left="851"/>
        <w:rPr>
          <w:bCs/>
          <w:sz w:val="24"/>
          <w:szCs w:val="24"/>
          <w:u w:val="single"/>
        </w:rPr>
      </w:pPr>
      <w:proofErr w:type="spellStart"/>
      <w:r w:rsidRPr="00B514E1">
        <w:rPr>
          <w:bCs/>
          <w:sz w:val="24"/>
          <w:szCs w:val="24"/>
          <w:u w:val="single"/>
        </w:rPr>
        <w:t>Sumatriptan</w:t>
      </w:r>
      <w:proofErr w:type="spellEnd"/>
      <w:r w:rsidRPr="00B514E1">
        <w:rPr>
          <w:bCs/>
          <w:sz w:val="24"/>
          <w:szCs w:val="24"/>
          <w:u w:val="single"/>
        </w:rPr>
        <w:t>/</w:t>
      </w:r>
      <w:proofErr w:type="spellStart"/>
      <w:r w:rsidRPr="00B514E1">
        <w:rPr>
          <w:bCs/>
          <w:sz w:val="24"/>
          <w:szCs w:val="24"/>
          <w:u w:val="single"/>
        </w:rPr>
        <w:t>naproxen</w:t>
      </w:r>
      <w:proofErr w:type="spellEnd"/>
      <w:r w:rsidRPr="00B514E1">
        <w:rPr>
          <w:bCs/>
          <w:sz w:val="24"/>
          <w:szCs w:val="24"/>
          <w:u w:val="single"/>
        </w:rPr>
        <w:t xml:space="preserve"> må ikke bruges</w:t>
      </w:r>
    </w:p>
    <w:p w:rsidR="00B514E1" w:rsidRPr="00B514E1" w:rsidRDefault="00B514E1" w:rsidP="00B514E1">
      <w:pPr>
        <w:numPr>
          <w:ilvl w:val="0"/>
          <w:numId w:val="6"/>
        </w:numPr>
        <w:tabs>
          <w:tab w:val="left" w:pos="851"/>
        </w:tabs>
        <w:rPr>
          <w:sz w:val="24"/>
          <w:szCs w:val="24"/>
        </w:rPr>
      </w:pPr>
      <w:r w:rsidRPr="00B514E1">
        <w:rPr>
          <w:sz w:val="24"/>
          <w:szCs w:val="24"/>
        </w:rPr>
        <w:t xml:space="preserve">sammen med </w:t>
      </w:r>
      <w:proofErr w:type="spellStart"/>
      <w:r w:rsidRPr="00B514E1">
        <w:rPr>
          <w:sz w:val="24"/>
          <w:szCs w:val="24"/>
        </w:rPr>
        <w:t>ergotamin</w:t>
      </w:r>
      <w:proofErr w:type="spellEnd"/>
      <w:r w:rsidRPr="00B514E1">
        <w:rPr>
          <w:sz w:val="24"/>
          <w:szCs w:val="24"/>
        </w:rPr>
        <w:t xml:space="preserve"> eller derivater af </w:t>
      </w:r>
      <w:proofErr w:type="spellStart"/>
      <w:r w:rsidRPr="00B514E1">
        <w:rPr>
          <w:sz w:val="24"/>
          <w:szCs w:val="24"/>
        </w:rPr>
        <w:t>ergotamin</w:t>
      </w:r>
      <w:proofErr w:type="spellEnd"/>
      <w:r w:rsidRPr="00B514E1">
        <w:rPr>
          <w:sz w:val="24"/>
          <w:szCs w:val="24"/>
        </w:rPr>
        <w:t xml:space="preserve"> (inklusive </w:t>
      </w:r>
      <w:proofErr w:type="spellStart"/>
      <w:r w:rsidRPr="00B514E1">
        <w:rPr>
          <w:sz w:val="24"/>
          <w:szCs w:val="24"/>
        </w:rPr>
        <w:t>methysergid</w:t>
      </w:r>
      <w:proofErr w:type="spellEnd"/>
      <w:r w:rsidRPr="00B514E1">
        <w:rPr>
          <w:sz w:val="24"/>
          <w:szCs w:val="24"/>
        </w:rPr>
        <w:t>) eller enhver triptan/5-hydroxytryptamin1-(5-HT1) receptoragonist</w:t>
      </w:r>
    </w:p>
    <w:p w:rsidR="00B514E1" w:rsidRPr="00B514E1" w:rsidRDefault="00B514E1" w:rsidP="00B514E1">
      <w:pPr>
        <w:numPr>
          <w:ilvl w:val="0"/>
          <w:numId w:val="6"/>
        </w:numPr>
        <w:tabs>
          <w:tab w:val="left" w:pos="851"/>
        </w:tabs>
        <w:rPr>
          <w:sz w:val="24"/>
          <w:szCs w:val="24"/>
        </w:rPr>
      </w:pPr>
      <w:r w:rsidRPr="00B514E1">
        <w:rPr>
          <w:sz w:val="24"/>
          <w:szCs w:val="24"/>
        </w:rPr>
        <w:t xml:space="preserve">sammen med reversible (f.eks. </w:t>
      </w:r>
      <w:proofErr w:type="spellStart"/>
      <w:r w:rsidRPr="00B514E1">
        <w:rPr>
          <w:sz w:val="24"/>
          <w:szCs w:val="24"/>
        </w:rPr>
        <w:t>moclobemid</w:t>
      </w:r>
      <w:proofErr w:type="spellEnd"/>
      <w:r w:rsidRPr="00B514E1">
        <w:rPr>
          <w:sz w:val="24"/>
          <w:szCs w:val="24"/>
        </w:rPr>
        <w:t xml:space="preserve">) eller irreversible (f.eks. </w:t>
      </w:r>
      <w:proofErr w:type="spellStart"/>
      <w:r w:rsidRPr="00B514E1">
        <w:rPr>
          <w:sz w:val="24"/>
          <w:szCs w:val="24"/>
        </w:rPr>
        <w:t>selegilin</w:t>
      </w:r>
      <w:proofErr w:type="spellEnd"/>
      <w:r w:rsidRPr="00B514E1">
        <w:rPr>
          <w:sz w:val="24"/>
          <w:szCs w:val="24"/>
        </w:rPr>
        <w:t xml:space="preserve">) </w:t>
      </w:r>
      <w:proofErr w:type="spellStart"/>
      <w:r w:rsidRPr="00B514E1">
        <w:rPr>
          <w:sz w:val="24"/>
          <w:szCs w:val="24"/>
        </w:rPr>
        <w:t>monoaminooxidasehæmmere</w:t>
      </w:r>
      <w:proofErr w:type="spellEnd"/>
      <w:r w:rsidRPr="00B514E1">
        <w:rPr>
          <w:sz w:val="24"/>
          <w:szCs w:val="24"/>
        </w:rPr>
        <w:t>-MAO-</w:t>
      </w:r>
      <w:proofErr w:type="spellStart"/>
      <w:r w:rsidRPr="00B514E1">
        <w:rPr>
          <w:sz w:val="24"/>
          <w:szCs w:val="24"/>
        </w:rPr>
        <w:t>hæmmere</w:t>
      </w:r>
      <w:proofErr w:type="spellEnd"/>
      <w:r w:rsidRPr="00B514E1">
        <w:rPr>
          <w:sz w:val="24"/>
          <w:szCs w:val="24"/>
        </w:rPr>
        <w:t xml:space="preserve"> (se pkt. 4.5)</w:t>
      </w:r>
    </w:p>
    <w:p w:rsidR="00B514E1" w:rsidRPr="00B514E1" w:rsidRDefault="00B514E1" w:rsidP="00B514E1">
      <w:pPr>
        <w:numPr>
          <w:ilvl w:val="0"/>
          <w:numId w:val="6"/>
        </w:numPr>
        <w:tabs>
          <w:tab w:val="left" w:pos="851"/>
        </w:tabs>
        <w:rPr>
          <w:sz w:val="24"/>
          <w:szCs w:val="24"/>
        </w:rPr>
      </w:pPr>
      <w:r w:rsidRPr="00B514E1">
        <w:rPr>
          <w:sz w:val="24"/>
          <w:szCs w:val="24"/>
        </w:rPr>
        <w:t xml:space="preserve">inden for 2 uger efter </w:t>
      </w:r>
      <w:proofErr w:type="spellStart"/>
      <w:r w:rsidRPr="00B514E1">
        <w:rPr>
          <w:sz w:val="24"/>
          <w:szCs w:val="24"/>
        </w:rPr>
        <w:t>seponering</w:t>
      </w:r>
      <w:proofErr w:type="spellEnd"/>
      <w:r w:rsidRPr="00B514E1">
        <w:rPr>
          <w:sz w:val="24"/>
          <w:szCs w:val="24"/>
        </w:rPr>
        <w:t xml:space="preserve"> af behandlingen med MAO-</w:t>
      </w:r>
      <w:proofErr w:type="spellStart"/>
      <w:r w:rsidRPr="00B514E1">
        <w:rPr>
          <w:sz w:val="24"/>
          <w:szCs w:val="24"/>
        </w:rPr>
        <w:t>hæmmere</w:t>
      </w:r>
      <w:proofErr w:type="spellEnd"/>
      <w:r w:rsidRPr="00B514E1">
        <w:rPr>
          <w:sz w:val="24"/>
          <w:szCs w:val="24"/>
        </w:rPr>
        <w:t xml:space="preserve"> (se pkt. 4.5)</w:t>
      </w:r>
    </w:p>
    <w:p w:rsidR="00B514E1" w:rsidRPr="00B514E1" w:rsidRDefault="00B514E1" w:rsidP="00B514E1">
      <w:pPr>
        <w:numPr>
          <w:ilvl w:val="0"/>
          <w:numId w:val="6"/>
        </w:numPr>
        <w:tabs>
          <w:tab w:val="left" w:pos="851"/>
        </w:tabs>
        <w:rPr>
          <w:sz w:val="24"/>
          <w:szCs w:val="24"/>
        </w:rPr>
      </w:pPr>
      <w:r w:rsidRPr="00B514E1">
        <w:rPr>
          <w:sz w:val="24"/>
          <w:szCs w:val="24"/>
        </w:rPr>
        <w:t>i sids</w:t>
      </w:r>
      <w:r w:rsidR="00334421">
        <w:rPr>
          <w:sz w:val="24"/>
          <w:szCs w:val="24"/>
        </w:rPr>
        <w:t>t</w:t>
      </w:r>
      <w:r w:rsidRPr="00B514E1">
        <w:rPr>
          <w:sz w:val="24"/>
          <w:szCs w:val="24"/>
        </w:rPr>
        <w:t>e trimester af graviditeten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31D52" w:rsidRPr="00A31D52" w:rsidRDefault="00A31D52" w:rsidP="00A31D52">
      <w:pPr>
        <w:tabs>
          <w:tab w:val="left" w:pos="851"/>
        </w:tabs>
        <w:ind w:left="851"/>
        <w:rPr>
          <w:sz w:val="24"/>
          <w:szCs w:val="24"/>
        </w:rPr>
      </w:pPr>
      <w:proofErr w:type="spellStart"/>
      <w:r w:rsidRPr="00A31D52">
        <w:rPr>
          <w:sz w:val="24"/>
          <w:szCs w:val="24"/>
        </w:rPr>
        <w:t>Sumatriptan</w:t>
      </w:r>
      <w:proofErr w:type="spellEnd"/>
      <w:r w:rsidRPr="00A31D52">
        <w:rPr>
          <w:sz w:val="24"/>
          <w:szCs w:val="24"/>
        </w:rPr>
        <w:t>/</w:t>
      </w:r>
      <w:proofErr w:type="spellStart"/>
      <w:r w:rsidRPr="00A31D52">
        <w:rPr>
          <w:sz w:val="24"/>
          <w:szCs w:val="24"/>
        </w:rPr>
        <w:t>naproxen</w:t>
      </w:r>
      <w:proofErr w:type="spellEnd"/>
      <w:r w:rsidRPr="00A31D52">
        <w:rPr>
          <w:sz w:val="24"/>
          <w:szCs w:val="24"/>
        </w:rPr>
        <w:t xml:space="preserve"> bør kun anvendes ved klar migrænediagnose. </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sz w:val="24"/>
          <w:szCs w:val="24"/>
        </w:rPr>
        <w:t>Sumatriptan</w:t>
      </w:r>
      <w:proofErr w:type="spellEnd"/>
      <w:r w:rsidRPr="00A31D52">
        <w:rPr>
          <w:sz w:val="24"/>
          <w:szCs w:val="24"/>
        </w:rPr>
        <w:t>/</w:t>
      </w:r>
      <w:proofErr w:type="spellStart"/>
      <w:r w:rsidRPr="00A31D52">
        <w:rPr>
          <w:sz w:val="24"/>
          <w:szCs w:val="24"/>
        </w:rPr>
        <w:t>naproxen</w:t>
      </w:r>
      <w:proofErr w:type="spellEnd"/>
      <w:r w:rsidRPr="00A31D52">
        <w:rPr>
          <w:sz w:val="24"/>
          <w:szCs w:val="24"/>
        </w:rPr>
        <w:t xml:space="preserve"> er ikke indiceret til anvendelse ved behandling af </w:t>
      </w:r>
      <w:proofErr w:type="spellStart"/>
      <w:r w:rsidRPr="00A31D52">
        <w:rPr>
          <w:sz w:val="24"/>
          <w:szCs w:val="24"/>
        </w:rPr>
        <w:t>hemiplegisk</w:t>
      </w:r>
      <w:proofErr w:type="spellEnd"/>
      <w:r w:rsidRPr="00A31D52">
        <w:rPr>
          <w:sz w:val="24"/>
          <w:szCs w:val="24"/>
        </w:rPr>
        <w:t xml:space="preserve">-, </w:t>
      </w:r>
      <w:proofErr w:type="spellStart"/>
      <w:r w:rsidRPr="00A31D52">
        <w:rPr>
          <w:sz w:val="24"/>
          <w:szCs w:val="24"/>
        </w:rPr>
        <w:t>basilaris</w:t>
      </w:r>
      <w:proofErr w:type="spellEnd"/>
      <w:r w:rsidRPr="00A31D52">
        <w:rPr>
          <w:sz w:val="24"/>
          <w:szCs w:val="24"/>
        </w:rPr>
        <w:t xml:space="preserve">- eller </w:t>
      </w:r>
      <w:proofErr w:type="spellStart"/>
      <w:r w:rsidRPr="00A31D52">
        <w:rPr>
          <w:sz w:val="24"/>
          <w:szCs w:val="24"/>
        </w:rPr>
        <w:t>oftalmoplegisk</w:t>
      </w:r>
      <w:proofErr w:type="spellEnd"/>
      <w:r w:rsidRPr="00A31D52">
        <w:rPr>
          <w:sz w:val="24"/>
          <w:szCs w:val="24"/>
        </w:rPr>
        <w:t xml:space="preserve"> migræne.</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 xml:space="preserve">Inden behandling med </w:t>
      </w:r>
      <w:proofErr w:type="spellStart"/>
      <w:r w:rsidRPr="00A31D52">
        <w:rPr>
          <w:sz w:val="24"/>
          <w:szCs w:val="24"/>
        </w:rPr>
        <w:t>sumatriptan</w:t>
      </w:r>
      <w:proofErr w:type="spellEnd"/>
      <w:r w:rsidRPr="00A31D52">
        <w:rPr>
          <w:sz w:val="24"/>
          <w:szCs w:val="24"/>
        </w:rPr>
        <w:t>/</w:t>
      </w:r>
      <w:proofErr w:type="spellStart"/>
      <w:r w:rsidRPr="00A31D52">
        <w:rPr>
          <w:sz w:val="24"/>
          <w:szCs w:val="24"/>
        </w:rPr>
        <w:t>naproxen</w:t>
      </w:r>
      <w:proofErr w:type="spellEnd"/>
      <w:r w:rsidRPr="00A31D52">
        <w:rPr>
          <w:sz w:val="24"/>
          <w:szCs w:val="24"/>
        </w:rPr>
        <w:t xml:space="preserve"> skal man sørge for at udelukke potentielt alvorlige neurologiske tilstande (f.eks. </w:t>
      </w:r>
      <w:r w:rsidR="00334421" w:rsidRPr="00E15AC2">
        <w:rPr>
          <w:sz w:val="24"/>
          <w:szCs w:val="24"/>
        </w:rPr>
        <w:t>apopleksi</w:t>
      </w:r>
      <w:r w:rsidRPr="00A31D52">
        <w:rPr>
          <w:sz w:val="24"/>
          <w:szCs w:val="24"/>
        </w:rPr>
        <w:t xml:space="preserve">, TIA), hvis patienten har atypiske symptomer, eller hvis de ikke har modtaget en passende diagnose til brug af </w:t>
      </w:r>
      <w:proofErr w:type="spellStart"/>
      <w:r w:rsidRPr="00A31D52">
        <w:rPr>
          <w:sz w:val="24"/>
          <w:szCs w:val="24"/>
        </w:rPr>
        <w:t>sumatriptan</w:t>
      </w:r>
      <w:proofErr w:type="spellEnd"/>
      <w:r w:rsidRPr="00A31D52">
        <w:rPr>
          <w:sz w:val="24"/>
          <w:szCs w:val="24"/>
        </w:rPr>
        <w:t>.</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 xml:space="preserve">Bivirkninger kan minimeres ved at anvende den laveste effektive dosis i den korteste periode, som er nødvendig for at kontrollere symptomerne (se pkt. 4.2 og </w:t>
      </w:r>
      <w:proofErr w:type="spellStart"/>
      <w:r w:rsidRPr="00A31D52">
        <w:rPr>
          <w:sz w:val="24"/>
          <w:szCs w:val="24"/>
        </w:rPr>
        <w:t>gastrointestinale</w:t>
      </w:r>
      <w:proofErr w:type="spellEnd"/>
      <w:r w:rsidRPr="00A31D52">
        <w:rPr>
          <w:sz w:val="24"/>
          <w:szCs w:val="24"/>
        </w:rPr>
        <w:t xml:space="preserve"> og </w:t>
      </w:r>
      <w:proofErr w:type="spellStart"/>
      <w:r w:rsidRPr="00A31D52">
        <w:rPr>
          <w:sz w:val="24"/>
          <w:szCs w:val="24"/>
        </w:rPr>
        <w:t>kardiovaskulære</w:t>
      </w:r>
      <w:proofErr w:type="spellEnd"/>
      <w:r w:rsidRPr="00A31D52">
        <w:rPr>
          <w:sz w:val="24"/>
          <w:szCs w:val="24"/>
        </w:rPr>
        <w:t xml:space="preserve"> risici forneden). Patienter, der er langtidsbehandlet med </w:t>
      </w:r>
      <w:bookmarkStart w:id="1" w:name="_Hlk96007969"/>
      <w:proofErr w:type="spellStart"/>
      <w:r w:rsidRPr="00A31D52">
        <w:rPr>
          <w:sz w:val="24"/>
          <w:szCs w:val="24"/>
        </w:rPr>
        <w:t>NSAID'er</w:t>
      </w:r>
      <w:bookmarkEnd w:id="1"/>
      <w:proofErr w:type="spellEnd"/>
      <w:r w:rsidRPr="00A31D52">
        <w:rPr>
          <w:sz w:val="24"/>
          <w:szCs w:val="24"/>
        </w:rPr>
        <w:t xml:space="preserve">, bør gennemgå regelmæssigt lægetilsyn for at overvåge for bivirkninger. Ifølge International </w:t>
      </w:r>
      <w:proofErr w:type="spellStart"/>
      <w:r w:rsidRPr="00A31D52">
        <w:rPr>
          <w:sz w:val="24"/>
          <w:szCs w:val="24"/>
        </w:rPr>
        <w:t>Headache</w:t>
      </w:r>
      <w:proofErr w:type="spellEnd"/>
      <w:r w:rsidRPr="00A31D52">
        <w:rPr>
          <w:sz w:val="24"/>
          <w:szCs w:val="24"/>
        </w:rPr>
        <w:t xml:space="preserve"> Society (IHS), prædisponerer regelmæssig indtagelse af akutte eller symptomatiske migrænelægemidler i mere end 9 dage om måneden og i mere end 3 måneder for medicinoverforbrugshovedpine (MOH). Det forsvinder normalt, men ikke altid, efter overforbruget er stoppet.</w:t>
      </w:r>
    </w:p>
    <w:p w:rsidR="00615B15" w:rsidRDefault="00615B15">
      <w:pPr>
        <w:rPr>
          <w:sz w:val="24"/>
          <w:szCs w:val="24"/>
        </w:rPr>
      </w:pPr>
      <w:r>
        <w:rPr>
          <w:sz w:val="24"/>
          <w:szCs w:val="24"/>
        </w:rPr>
        <w:br w:type="page"/>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sz w:val="24"/>
          <w:szCs w:val="24"/>
          <w:u w:val="single"/>
        </w:rPr>
        <w:t>Kardiovaskulære</w:t>
      </w:r>
      <w:proofErr w:type="spellEnd"/>
      <w:r w:rsidRPr="00A31D52">
        <w:rPr>
          <w:sz w:val="24"/>
          <w:szCs w:val="24"/>
          <w:u w:val="single"/>
        </w:rPr>
        <w:t xml:space="preserve"> og </w:t>
      </w:r>
      <w:proofErr w:type="spellStart"/>
      <w:r w:rsidRPr="00A31D52">
        <w:rPr>
          <w:sz w:val="24"/>
          <w:szCs w:val="24"/>
          <w:u w:val="single"/>
        </w:rPr>
        <w:t>cerebrovaskulær</w:t>
      </w:r>
      <w:proofErr w:type="spellEnd"/>
      <w:r w:rsidRPr="00A31D52">
        <w:rPr>
          <w:sz w:val="24"/>
          <w:szCs w:val="24"/>
          <w:u w:val="single"/>
        </w:rPr>
        <w:t xml:space="preserve"> virkninger</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Sumatriptan</w:t>
      </w:r>
      <w:proofErr w:type="spellEnd"/>
    </w:p>
    <w:p w:rsidR="00A31D52" w:rsidRPr="00A31D52" w:rsidRDefault="00A31D52" w:rsidP="00A31D52">
      <w:pPr>
        <w:tabs>
          <w:tab w:val="left" w:pos="851"/>
        </w:tabs>
        <w:ind w:left="851"/>
        <w:rPr>
          <w:sz w:val="24"/>
          <w:szCs w:val="24"/>
        </w:rPr>
      </w:pPr>
      <w:proofErr w:type="spellStart"/>
      <w:r w:rsidRPr="00A31D52">
        <w:rPr>
          <w:sz w:val="24"/>
          <w:szCs w:val="24"/>
        </w:rPr>
        <w:t>Sumatriptan</w:t>
      </w:r>
      <w:proofErr w:type="spellEnd"/>
      <w:r w:rsidRPr="00A31D52">
        <w:rPr>
          <w:sz w:val="24"/>
          <w:szCs w:val="24"/>
        </w:rPr>
        <w:t xml:space="preserve">, indholdsstof i Nomigrin, kan forårsage koronararterie </w:t>
      </w:r>
      <w:proofErr w:type="spellStart"/>
      <w:r w:rsidRPr="00A31D52">
        <w:rPr>
          <w:sz w:val="24"/>
          <w:szCs w:val="24"/>
        </w:rPr>
        <w:t>vasospasme</w:t>
      </w:r>
      <w:proofErr w:type="spellEnd"/>
      <w:r w:rsidRPr="00A31D52">
        <w:rPr>
          <w:sz w:val="24"/>
          <w:szCs w:val="24"/>
        </w:rPr>
        <w:t>.</w:t>
      </w:r>
    </w:p>
    <w:p w:rsidR="00A31D52" w:rsidRPr="00A31D52" w:rsidRDefault="00A31D52" w:rsidP="00A31D52">
      <w:pPr>
        <w:tabs>
          <w:tab w:val="left" w:pos="851"/>
        </w:tabs>
        <w:ind w:left="851"/>
        <w:rPr>
          <w:sz w:val="24"/>
          <w:szCs w:val="24"/>
        </w:rPr>
      </w:pPr>
      <w:proofErr w:type="spellStart"/>
      <w:r w:rsidRPr="00A31D52">
        <w:rPr>
          <w:sz w:val="24"/>
          <w:szCs w:val="24"/>
        </w:rPr>
        <w:t>Sumatriptan</w:t>
      </w:r>
      <w:proofErr w:type="spellEnd"/>
      <w:r w:rsidRPr="00A31D52">
        <w:rPr>
          <w:sz w:val="24"/>
          <w:szCs w:val="24"/>
        </w:rPr>
        <w:t>/</w:t>
      </w:r>
      <w:proofErr w:type="spellStart"/>
      <w:r w:rsidRPr="00A31D52">
        <w:rPr>
          <w:sz w:val="24"/>
          <w:szCs w:val="24"/>
        </w:rPr>
        <w:t>naproxen</w:t>
      </w:r>
      <w:proofErr w:type="spellEnd"/>
      <w:r w:rsidRPr="00A31D52">
        <w:rPr>
          <w:sz w:val="24"/>
          <w:szCs w:val="24"/>
        </w:rPr>
        <w:t xml:space="preserve"> er kontraindiceret til patienter med ukontrolleret hypertension, iskæmisk hjertelidelse, </w:t>
      </w:r>
      <w:proofErr w:type="spellStart"/>
      <w:r w:rsidRPr="00A31D52">
        <w:rPr>
          <w:sz w:val="24"/>
          <w:szCs w:val="24"/>
        </w:rPr>
        <w:t>hjertearytmi</w:t>
      </w:r>
      <w:proofErr w:type="spellEnd"/>
      <w:r w:rsidRPr="00A31D52">
        <w:rPr>
          <w:sz w:val="24"/>
          <w:szCs w:val="24"/>
        </w:rPr>
        <w:t xml:space="preserve">, og til dem med tidligere myokardieinfarkt (se pkt. 4.3). </w:t>
      </w:r>
      <w:proofErr w:type="spellStart"/>
      <w:r w:rsidRPr="00A31D52">
        <w:rPr>
          <w:sz w:val="24"/>
          <w:szCs w:val="24"/>
        </w:rPr>
        <w:t>Sumatriptan</w:t>
      </w:r>
      <w:proofErr w:type="spellEnd"/>
      <w:r w:rsidRPr="00A31D52">
        <w:rPr>
          <w:sz w:val="24"/>
          <w:szCs w:val="24"/>
        </w:rPr>
        <w:t>/</w:t>
      </w:r>
      <w:proofErr w:type="spellStart"/>
      <w:r w:rsidRPr="00A31D52">
        <w:rPr>
          <w:sz w:val="24"/>
          <w:szCs w:val="24"/>
        </w:rPr>
        <w:t>naproxen</w:t>
      </w:r>
      <w:proofErr w:type="spellEnd"/>
      <w:r w:rsidRPr="00A31D52">
        <w:rPr>
          <w:sz w:val="24"/>
          <w:szCs w:val="24"/>
        </w:rPr>
        <w:t xml:space="preserve"> anbefales ikke til patienter med familiære- eller risikofaktorer prædiktiv for koronararteriesygdom. </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sz w:val="24"/>
          <w:szCs w:val="24"/>
        </w:rPr>
        <w:t>Sumatriptan</w:t>
      </w:r>
      <w:proofErr w:type="spellEnd"/>
      <w:r w:rsidRPr="00A31D52">
        <w:rPr>
          <w:sz w:val="24"/>
          <w:szCs w:val="24"/>
        </w:rPr>
        <w:t xml:space="preserve"> kan være forbundet med forbigående symptomer, herunder brystsmerter og trykken, som kan være intense og involvere halsen (se pkt. 4.8). Hvor sådanne symptomer menes at indikere iskæmisk hjertelidelse, bør der ikke gives yderligere doser af </w:t>
      </w:r>
      <w:proofErr w:type="spellStart"/>
      <w:r w:rsidRPr="00A31D52">
        <w:rPr>
          <w:sz w:val="24"/>
          <w:szCs w:val="24"/>
        </w:rPr>
        <w:t>sumatriptan</w:t>
      </w:r>
      <w:proofErr w:type="spellEnd"/>
      <w:r w:rsidRPr="00A31D52">
        <w:rPr>
          <w:sz w:val="24"/>
          <w:szCs w:val="24"/>
        </w:rPr>
        <w:t>, og en passende evaluering bør udføres.</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sz w:val="24"/>
          <w:szCs w:val="24"/>
        </w:rPr>
        <w:t>Sumatriptan</w:t>
      </w:r>
      <w:proofErr w:type="spellEnd"/>
      <w:r w:rsidRPr="00A31D52">
        <w:rPr>
          <w:sz w:val="24"/>
          <w:szCs w:val="24"/>
        </w:rPr>
        <w:t xml:space="preserve"> bør ikke anvendes til patienter med risikofaktorer for iskæmisk hjertesygdom, inklusive de patienter, der er storrygere eller brugere af nikotinsubstitutionsbehandlinger, uden forudgående </w:t>
      </w:r>
      <w:proofErr w:type="spellStart"/>
      <w:r w:rsidRPr="00A31D52">
        <w:rPr>
          <w:sz w:val="24"/>
          <w:szCs w:val="24"/>
        </w:rPr>
        <w:t>kardiovaskulær</w:t>
      </w:r>
      <w:proofErr w:type="spellEnd"/>
      <w:r w:rsidRPr="00A31D52">
        <w:rPr>
          <w:sz w:val="24"/>
          <w:szCs w:val="24"/>
        </w:rPr>
        <w:t xml:space="preserve"> evaluering (se pkt. 4.3). Der bør tages særligt hensyn til </w:t>
      </w:r>
      <w:proofErr w:type="spellStart"/>
      <w:r w:rsidRPr="00A31D52">
        <w:rPr>
          <w:sz w:val="24"/>
          <w:szCs w:val="24"/>
        </w:rPr>
        <w:t>postmenopausale</w:t>
      </w:r>
      <w:proofErr w:type="spellEnd"/>
      <w:r w:rsidRPr="00A31D52">
        <w:rPr>
          <w:sz w:val="24"/>
          <w:szCs w:val="24"/>
        </w:rPr>
        <w:t xml:space="preserve"> kvinder og mænd over 40 år med disse risikofaktorer. Disse evalueringer identificerer dog muligvis ikke alle patienter, der har hjertesygdom, og i meget sjældne tilfælde er der opstået alvorlige hjertehændelser hos patienter uden underliggende </w:t>
      </w:r>
      <w:proofErr w:type="spellStart"/>
      <w:r w:rsidRPr="00A31D52">
        <w:rPr>
          <w:sz w:val="24"/>
          <w:szCs w:val="24"/>
        </w:rPr>
        <w:t>kardiovaskulær</w:t>
      </w:r>
      <w:proofErr w:type="spellEnd"/>
      <w:r w:rsidRPr="00A31D52">
        <w:rPr>
          <w:sz w:val="24"/>
          <w:szCs w:val="24"/>
        </w:rPr>
        <w:t xml:space="preserve"> sygdom.</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sz w:val="24"/>
          <w:szCs w:val="24"/>
        </w:rPr>
        <w:t>Sumatriptan</w:t>
      </w:r>
      <w:proofErr w:type="spellEnd"/>
      <w:r w:rsidRPr="00A31D52">
        <w:rPr>
          <w:sz w:val="24"/>
          <w:szCs w:val="24"/>
        </w:rPr>
        <w:t xml:space="preserve"> bør administreres med forsigtighed til patienter med let kontrolleret hypertension, da forbigående stigninger i blodtryk og øget perifer </w:t>
      </w:r>
      <w:proofErr w:type="spellStart"/>
      <w:r w:rsidRPr="00A31D52">
        <w:rPr>
          <w:sz w:val="24"/>
          <w:szCs w:val="24"/>
        </w:rPr>
        <w:t>vaskulær</w:t>
      </w:r>
      <w:proofErr w:type="spellEnd"/>
      <w:r w:rsidRPr="00A31D52">
        <w:rPr>
          <w:sz w:val="24"/>
          <w:szCs w:val="24"/>
        </w:rPr>
        <w:t xml:space="preserve"> modstand er blevet observeret hos en lille del af patienterne (se pkt. 4.3).</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Naproxen</w:t>
      </w:r>
      <w:proofErr w:type="spellEnd"/>
    </w:p>
    <w:p w:rsidR="00A31D52" w:rsidRPr="00A31D52" w:rsidRDefault="00A31D52" w:rsidP="00A31D52">
      <w:pPr>
        <w:tabs>
          <w:tab w:val="left" w:pos="851"/>
        </w:tabs>
        <w:ind w:left="851"/>
        <w:rPr>
          <w:sz w:val="24"/>
          <w:szCs w:val="24"/>
        </w:rPr>
      </w:pPr>
      <w:proofErr w:type="spellStart"/>
      <w:r w:rsidRPr="00A31D52">
        <w:rPr>
          <w:sz w:val="24"/>
          <w:szCs w:val="24"/>
        </w:rPr>
        <w:t>Naproxiumnatrium</w:t>
      </w:r>
      <w:proofErr w:type="spellEnd"/>
      <w:r w:rsidRPr="00A31D52">
        <w:rPr>
          <w:sz w:val="24"/>
          <w:szCs w:val="24"/>
        </w:rPr>
        <w:t>, indholdsstof i Nomigrin, er et non-</w:t>
      </w:r>
      <w:proofErr w:type="spellStart"/>
      <w:r w:rsidRPr="00A31D52">
        <w:rPr>
          <w:sz w:val="24"/>
          <w:szCs w:val="24"/>
        </w:rPr>
        <w:t>steroidt</w:t>
      </w:r>
      <w:proofErr w:type="spellEnd"/>
      <w:r w:rsidRPr="00A31D52">
        <w:rPr>
          <w:sz w:val="24"/>
          <w:szCs w:val="24"/>
        </w:rPr>
        <w:t xml:space="preserve"> antiinflammatorisk lægemiddel (NSAID). Brugen af nogle </w:t>
      </w:r>
      <w:proofErr w:type="spellStart"/>
      <w:r w:rsidRPr="00A31D52">
        <w:rPr>
          <w:sz w:val="24"/>
          <w:szCs w:val="24"/>
        </w:rPr>
        <w:t>NSAID'er</w:t>
      </w:r>
      <w:proofErr w:type="spellEnd"/>
      <w:r w:rsidRPr="00A31D52">
        <w:rPr>
          <w:sz w:val="24"/>
          <w:szCs w:val="24"/>
        </w:rPr>
        <w:t xml:space="preserve"> er associeret med en øget </w:t>
      </w:r>
      <w:proofErr w:type="spellStart"/>
      <w:r w:rsidRPr="00A31D52">
        <w:rPr>
          <w:sz w:val="24"/>
          <w:szCs w:val="24"/>
        </w:rPr>
        <w:t>incidens</w:t>
      </w:r>
      <w:proofErr w:type="spellEnd"/>
      <w:r w:rsidRPr="00A31D52">
        <w:rPr>
          <w:sz w:val="24"/>
          <w:szCs w:val="24"/>
        </w:rPr>
        <w:t xml:space="preserve"> af </w:t>
      </w:r>
      <w:proofErr w:type="spellStart"/>
      <w:r w:rsidRPr="00A31D52">
        <w:rPr>
          <w:sz w:val="24"/>
          <w:szCs w:val="24"/>
        </w:rPr>
        <w:t>kardiovaskulære</w:t>
      </w:r>
      <w:proofErr w:type="spellEnd"/>
      <w:r w:rsidRPr="00A31D52">
        <w:rPr>
          <w:sz w:val="24"/>
          <w:szCs w:val="24"/>
        </w:rPr>
        <w:t xml:space="preserve"> bivirkninger (såsom, myokardieinfarkt, slagtilfælde eller </w:t>
      </w:r>
      <w:proofErr w:type="spellStart"/>
      <w:r w:rsidRPr="00A31D52">
        <w:rPr>
          <w:sz w:val="24"/>
          <w:szCs w:val="24"/>
        </w:rPr>
        <w:t>trombotiske</w:t>
      </w:r>
      <w:proofErr w:type="spellEnd"/>
      <w:r w:rsidRPr="00A31D52">
        <w:rPr>
          <w:sz w:val="24"/>
          <w:szCs w:val="24"/>
        </w:rPr>
        <w:t xml:space="preserve"> hændelser), som kan være dødelige. Risikoen kan øge med behandlingsvarigheden. Patienter med </w:t>
      </w:r>
      <w:proofErr w:type="spellStart"/>
      <w:r w:rsidRPr="00A31D52">
        <w:rPr>
          <w:sz w:val="24"/>
          <w:szCs w:val="24"/>
        </w:rPr>
        <w:t>kardiovaskulære</w:t>
      </w:r>
      <w:proofErr w:type="spellEnd"/>
      <w:r w:rsidRPr="00A31D52">
        <w:rPr>
          <w:sz w:val="24"/>
          <w:szCs w:val="24"/>
        </w:rPr>
        <w:t xml:space="preserve"> sygdom eller risikofaktorer for </w:t>
      </w:r>
      <w:proofErr w:type="spellStart"/>
      <w:r w:rsidRPr="00A31D52">
        <w:rPr>
          <w:sz w:val="24"/>
          <w:szCs w:val="24"/>
        </w:rPr>
        <w:t>kardiovaskulære</w:t>
      </w:r>
      <w:proofErr w:type="spellEnd"/>
      <w:r w:rsidRPr="00A31D52">
        <w:rPr>
          <w:sz w:val="24"/>
          <w:szCs w:val="24"/>
        </w:rPr>
        <w:t xml:space="preserve"> sygdom kan have større risiko.</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 xml:space="preserve">Brugen af </w:t>
      </w:r>
      <w:proofErr w:type="spellStart"/>
      <w:r w:rsidRPr="00A31D52">
        <w:rPr>
          <w:sz w:val="24"/>
          <w:szCs w:val="24"/>
        </w:rPr>
        <w:t>NSAID'er</w:t>
      </w:r>
      <w:proofErr w:type="spellEnd"/>
      <w:r w:rsidRPr="00A31D52">
        <w:rPr>
          <w:sz w:val="24"/>
          <w:szCs w:val="24"/>
        </w:rPr>
        <w:t xml:space="preserve">, såsom </w:t>
      </w:r>
      <w:proofErr w:type="spellStart"/>
      <w:r w:rsidRPr="00A31D52">
        <w:rPr>
          <w:sz w:val="24"/>
          <w:szCs w:val="24"/>
        </w:rPr>
        <w:t>naproxiumnatrium</w:t>
      </w:r>
      <w:proofErr w:type="spellEnd"/>
      <w:r w:rsidRPr="00A31D52">
        <w:rPr>
          <w:sz w:val="24"/>
          <w:szCs w:val="24"/>
        </w:rPr>
        <w:t xml:space="preserve">, som er et indholdsstof i Nomigrin, kan fremme natriumretention på en dosisafhængig måde, via en nyremekanisme, som kan resultere i et øget blodtryk og/eller forværring af kongestiv hjerteinsufficiens. </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 xml:space="preserve">Information fra kliniske studier og epidemiologiske data indikerer, at brugen af </w:t>
      </w:r>
      <w:proofErr w:type="spellStart"/>
      <w:r w:rsidRPr="00A31D52">
        <w:rPr>
          <w:sz w:val="24"/>
          <w:szCs w:val="24"/>
        </w:rPr>
        <w:t>NSAID'er</w:t>
      </w:r>
      <w:proofErr w:type="spellEnd"/>
      <w:r w:rsidRPr="00A31D52">
        <w:rPr>
          <w:sz w:val="24"/>
          <w:szCs w:val="24"/>
        </w:rPr>
        <w:t xml:space="preserve"> (specielt ved høje doser og ved langtidsbrug) kan være associeret med en let øget risiko for tromboser i arterierne (f.eks. myokardieinfarkt eller slagtilfælde). Epidemiologiske studier indikerer at </w:t>
      </w:r>
      <w:proofErr w:type="spellStart"/>
      <w:r w:rsidRPr="00A31D52">
        <w:rPr>
          <w:sz w:val="24"/>
          <w:szCs w:val="24"/>
        </w:rPr>
        <w:t>naproxen</w:t>
      </w:r>
      <w:proofErr w:type="spellEnd"/>
      <w:r w:rsidRPr="00A31D52">
        <w:rPr>
          <w:sz w:val="24"/>
          <w:szCs w:val="24"/>
        </w:rPr>
        <w:t xml:space="preserve"> ved lave doser (1.000 mg pr. dag) kan være associeret med en lavere risiko; en vis risiko kan ikke udelukkes. </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 xml:space="preserve">Patienter med ukontrolleret hypertension, kongestiv hjerteinsufficiens, etableret iskæmisk hjertelidelse, perifer arteriesygdom og/eller </w:t>
      </w:r>
      <w:proofErr w:type="spellStart"/>
      <w:r w:rsidRPr="00A31D52">
        <w:rPr>
          <w:sz w:val="24"/>
          <w:szCs w:val="24"/>
        </w:rPr>
        <w:t>cerebrovaskulær</w:t>
      </w:r>
      <w:proofErr w:type="spellEnd"/>
      <w:r w:rsidRPr="00A31D52">
        <w:rPr>
          <w:sz w:val="24"/>
          <w:szCs w:val="24"/>
        </w:rPr>
        <w:t xml:space="preserve"> sygdom, skal kun behandles med </w:t>
      </w:r>
      <w:proofErr w:type="spellStart"/>
      <w:r w:rsidRPr="00A31D52">
        <w:rPr>
          <w:sz w:val="24"/>
          <w:szCs w:val="24"/>
        </w:rPr>
        <w:t>naproxen</w:t>
      </w:r>
      <w:proofErr w:type="spellEnd"/>
      <w:r w:rsidRPr="00A31D52">
        <w:rPr>
          <w:sz w:val="24"/>
          <w:szCs w:val="24"/>
        </w:rPr>
        <w:t xml:space="preserve"> efter en nøje evaluering. Den samme nøje evaluering skal også foretages før langtidsbehandling initieres hos patienter med risikofaktorer for </w:t>
      </w:r>
      <w:proofErr w:type="spellStart"/>
      <w:r w:rsidRPr="00A31D52">
        <w:rPr>
          <w:sz w:val="24"/>
          <w:szCs w:val="24"/>
        </w:rPr>
        <w:t>kardiovaskulære</w:t>
      </w:r>
      <w:proofErr w:type="spellEnd"/>
      <w:r w:rsidRPr="00A31D52">
        <w:rPr>
          <w:sz w:val="24"/>
          <w:szCs w:val="24"/>
        </w:rPr>
        <w:t xml:space="preserve"> sygdom (f.eks. hypertension, </w:t>
      </w:r>
      <w:proofErr w:type="spellStart"/>
      <w:r w:rsidRPr="00A31D52">
        <w:rPr>
          <w:sz w:val="24"/>
          <w:szCs w:val="24"/>
        </w:rPr>
        <w:t>hyperlipidæmi</w:t>
      </w:r>
      <w:proofErr w:type="spellEnd"/>
      <w:r w:rsidRPr="00A31D52">
        <w:rPr>
          <w:sz w:val="24"/>
          <w:szCs w:val="24"/>
        </w:rPr>
        <w:t xml:space="preserve">, diabetes mellitus eller rygning). </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u w:val="single"/>
        </w:rPr>
      </w:pPr>
      <w:proofErr w:type="spellStart"/>
      <w:r w:rsidRPr="00A31D52">
        <w:rPr>
          <w:sz w:val="24"/>
          <w:szCs w:val="24"/>
          <w:u w:val="single"/>
        </w:rPr>
        <w:lastRenderedPageBreak/>
        <w:t>Gastrointestinal</w:t>
      </w:r>
      <w:proofErr w:type="spellEnd"/>
      <w:r w:rsidRPr="00A31D52">
        <w:rPr>
          <w:sz w:val="24"/>
          <w:szCs w:val="24"/>
          <w:u w:val="single"/>
        </w:rPr>
        <w:t xml:space="preserve"> blødning, </w:t>
      </w:r>
      <w:proofErr w:type="spellStart"/>
      <w:r w:rsidRPr="00A31D52">
        <w:rPr>
          <w:sz w:val="24"/>
          <w:szCs w:val="24"/>
          <w:u w:val="single"/>
        </w:rPr>
        <w:t>ulceration</w:t>
      </w:r>
      <w:proofErr w:type="spellEnd"/>
      <w:r w:rsidRPr="00A31D52">
        <w:rPr>
          <w:sz w:val="24"/>
          <w:szCs w:val="24"/>
          <w:u w:val="single"/>
        </w:rPr>
        <w:t xml:space="preserve"> og perforation</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Naproxen</w:t>
      </w:r>
      <w:proofErr w:type="spellEnd"/>
    </w:p>
    <w:p w:rsidR="00A31D52" w:rsidRPr="00A31D52" w:rsidRDefault="00A31D52" w:rsidP="00A31D52">
      <w:pPr>
        <w:tabs>
          <w:tab w:val="left" w:pos="851"/>
        </w:tabs>
        <w:ind w:left="851"/>
        <w:rPr>
          <w:sz w:val="24"/>
          <w:szCs w:val="24"/>
        </w:rPr>
      </w:pPr>
      <w:r w:rsidRPr="00A31D52">
        <w:rPr>
          <w:sz w:val="24"/>
          <w:szCs w:val="24"/>
        </w:rPr>
        <w:t xml:space="preserve">Der er rapporteret om </w:t>
      </w:r>
      <w:proofErr w:type="spellStart"/>
      <w:r w:rsidRPr="00A31D52">
        <w:rPr>
          <w:sz w:val="24"/>
          <w:szCs w:val="24"/>
        </w:rPr>
        <w:t>gastrointestinal</w:t>
      </w:r>
      <w:proofErr w:type="spellEnd"/>
      <w:r w:rsidRPr="00A31D52">
        <w:rPr>
          <w:sz w:val="24"/>
          <w:szCs w:val="24"/>
        </w:rPr>
        <w:t xml:space="preserve"> blødning, </w:t>
      </w:r>
      <w:proofErr w:type="spellStart"/>
      <w:r w:rsidRPr="00A31D52">
        <w:rPr>
          <w:sz w:val="24"/>
          <w:szCs w:val="24"/>
        </w:rPr>
        <w:t>ulceration</w:t>
      </w:r>
      <w:proofErr w:type="spellEnd"/>
      <w:r w:rsidRPr="00A31D52">
        <w:rPr>
          <w:sz w:val="24"/>
          <w:szCs w:val="24"/>
        </w:rPr>
        <w:t xml:space="preserve"> og perforation, som kan være dødelige, ved brug af alle </w:t>
      </w:r>
      <w:proofErr w:type="spellStart"/>
      <w:r w:rsidRPr="00A31D52">
        <w:rPr>
          <w:sz w:val="24"/>
          <w:szCs w:val="24"/>
        </w:rPr>
        <w:t>NSAID'er</w:t>
      </w:r>
      <w:proofErr w:type="spellEnd"/>
      <w:r w:rsidRPr="00A31D52">
        <w:rPr>
          <w:sz w:val="24"/>
          <w:szCs w:val="24"/>
        </w:rPr>
        <w:t xml:space="preserve">, som er opstået på ethvert tidspunkt under behandlingen, med eller uden advarende symptomer eller </w:t>
      </w:r>
      <w:r w:rsidRPr="00A31D52">
        <w:rPr>
          <w:iCs/>
          <w:sz w:val="24"/>
          <w:szCs w:val="24"/>
        </w:rPr>
        <w:t xml:space="preserve">alvorlige </w:t>
      </w:r>
      <w:proofErr w:type="spellStart"/>
      <w:r w:rsidRPr="00A31D52">
        <w:rPr>
          <w:iCs/>
          <w:sz w:val="24"/>
          <w:szCs w:val="24"/>
        </w:rPr>
        <w:t>gastrointestinale</w:t>
      </w:r>
      <w:proofErr w:type="spellEnd"/>
      <w:r w:rsidRPr="00A31D52">
        <w:rPr>
          <w:iCs/>
          <w:sz w:val="24"/>
          <w:szCs w:val="24"/>
        </w:rPr>
        <w:t xml:space="preserve"> fortilfælde.</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 xml:space="preserve">Risikoen for </w:t>
      </w:r>
      <w:proofErr w:type="spellStart"/>
      <w:r w:rsidRPr="00A31D52">
        <w:rPr>
          <w:sz w:val="24"/>
          <w:szCs w:val="24"/>
        </w:rPr>
        <w:t>gastrointestinal</w:t>
      </w:r>
      <w:proofErr w:type="spellEnd"/>
      <w:r w:rsidRPr="00A31D52">
        <w:rPr>
          <w:sz w:val="24"/>
          <w:szCs w:val="24"/>
        </w:rPr>
        <w:t xml:space="preserve"> blødning, </w:t>
      </w:r>
      <w:proofErr w:type="spellStart"/>
      <w:r w:rsidRPr="00A31D52">
        <w:rPr>
          <w:sz w:val="24"/>
          <w:szCs w:val="24"/>
        </w:rPr>
        <w:t>ulceration</w:t>
      </w:r>
      <w:proofErr w:type="spellEnd"/>
      <w:r w:rsidRPr="00A31D52">
        <w:rPr>
          <w:sz w:val="24"/>
          <w:szCs w:val="24"/>
        </w:rPr>
        <w:t xml:space="preserve"> eller perforation er øget ved højere doser, tidligere forekomst af </w:t>
      </w:r>
      <w:proofErr w:type="spellStart"/>
      <w:r w:rsidRPr="00A31D52">
        <w:rPr>
          <w:sz w:val="24"/>
          <w:szCs w:val="24"/>
        </w:rPr>
        <w:t>ulceration</w:t>
      </w:r>
      <w:proofErr w:type="spellEnd"/>
      <w:r w:rsidRPr="00A31D52">
        <w:rPr>
          <w:sz w:val="24"/>
          <w:szCs w:val="24"/>
        </w:rPr>
        <w:t xml:space="preserve">, især med samtidig blødning og perforation (se pkt. 4.3) og hos ældre. Disse patienter bør indlede behandlingen med den laveste mulige dosis. Kombinationsbehandling med </w:t>
      </w:r>
      <w:r w:rsidRPr="00A31D52">
        <w:rPr>
          <w:iCs/>
          <w:sz w:val="24"/>
          <w:szCs w:val="24"/>
        </w:rPr>
        <w:t xml:space="preserve">slimhindebeskyttende midler </w:t>
      </w:r>
      <w:r w:rsidRPr="00A31D52">
        <w:rPr>
          <w:sz w:val="24"/>
          <w:szCs w:val="24"/>
        </w:rPr>
        <w:t xml:space="preserve">(f.eks. </w:t>
      </w:r>
      <w:proofErr w:type="spellStart"/>
      <w:r w:rsidRPr="00A31D52">
        <w:rPr>
          <w:sz w:val="24"/>
          <w:szCs w:val="24"/>
        </w:rPr>
        <w:t>misoprostol</w:t>
      </w:r>
      <w:proofErr w:type="spellEnd"/>
      <w:r w:rsidRPr="00A31D52">
        <w:rPr>
          <w:sz w:val="24"/>
          <w:szCs w:val="24"/>
        </w:rPr>
        <w:t xml:space="preserve"> eller </w:t>
      </w:r>
      <w:proofErr w:type="spellStart"/>
      <w:r w:rsidRPr="00A31D52">
        <w:rPr>
          <w:sz w:val="24"/>
          <w:szCs w:val="24"/>
        </w:rPr>
        <w:t>protonpumpehæmmere</w:t>
      </w:r>
      <w:proofErr w:type="spellEnd"/>
      <w:r w:rsidRPr="00A31D52">
        <w:rPr>
          <w:sz w:val="24"/>
          <w:szCs w:val="24"/>
        </w:rPr>
        <w:t xml:space="preserve">) bør overvejes til disse patienter, samt til patienter med behov for samtidig behandling med lave doser acetylsalicylsyre eller andre lægemidler, som sandsynligt </w:t>
      </w:r>
      <w:r w:rsidRPr="00A31D52">
        <w:rPr>
          <w:iCs/>
          <w:sz w:val="24"/>
          <w:szCs w:val="24"/>
        </w:rPr>
        <w:t xml:space="preserve">vil øge risikoen for </w:t>
      </w:r>
      <w:proofErr w:type="spellStart"/>
      <w:r w:rsidRPr="00A31D52">
        <w:rPr>
          <w:sz w:val="24"/>
          <w:szCs w:val="24"/>
        </w:rPr>
        <w:t>gastrointestinale</w:t>
      </w:r>
      <w:proofErr w:type="spellEnd"/>
      <w:r w:rsidRPr="00A31D52">
        <w:rPr>
          <w:iCs/>
          <w:sz w:val="24"/>
          <w:szCs w:val="24"/>
        </w:rPr>
        <w:t xml:space="preserve"> bivirkninger </w:t>
      </w:r>
      <w:r w:rsidRPr="00A31D52">
        <w:rPr>
          <w:sz w:val="24"/>
          <w:szCs w:val="24"/>
        </w:rPr>
        <w:t xml:space="preserve">(se pkt. 4.5). </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iCs/>
          <w:sz w:val="24"/>
          <w:szCs w:val="24"/>
        </w:rPr>
        <w:t xml:space="preserve">Patienter, særligt ældre, med </w:t>
      </w:r>
      <w:proofErr w:type="spellStart"/>
      <w:r w:rsidRPr="00A31D52">
        <w:rPr>
          <w:sz w:val="24"/>
          <w:szCs w:val="24"/>
        </w:rPr>
        <w:t>gastrointestinal</w:t>
      </w:r>
      <w:proofErr w:type="spellEnd"/>
      <w:r w:rsidRPr="00A31D52">
        <w:rPr>
          <w:iCs/>
          <w:sz w:val="24"/>
          <w:szCs w:val="24"/>
        </w:rPr>
        <w:t xml:space="preserve"> toksicitet i anamnesen bør rapportere alle usædvanlige </w:t>
      </w:r>
      <w:proofErr w:type="spellStart"/>
      <w:r w:rsidRPr="00A31D52">
        <w:rPr>
          <w:iCs/>
          <w:sz w:val="24"/>
          <w:szCs w:val="24"/>
        </w:rPr>
        <w:t>abdominale</w:t>
      </w:r>
      <w:proofErr w:type="spellEnd"/>
      <w:r w:rsidRPr="00A31D52">
        <w:rPr>
          <w:iCs/>
          <w:sz w:val="24"/>
          <w:szCs w:val="24"/>
        </w:rPr>
        <w:t xml:space="preserve"> symptomer (særligt </w:t>
      </w:r>
      <w:proofErr w:type="spellStart"/>
      <w:r w:rsidRPr="00A31D52">
        <w:rPr>
          <w:sz w:val="24"/>
          <w:szCs w:val="24"/>
        </w:rPr>
        <w:t>gastrointestinal</w:t>
      </w:r>
      <w:proofErr w:type="spellEnd"/>
      <w:r w:rsidRPr="00A31D52">
        <w:rPr>
          <w:iCs/>
          <w:sz w:val="24"/>
          <w:szCs w:val="24"/>
        </w:rPr>
        <w:t xml:space="preserve"> blødning) i særdeleshed i behandlingens startfase. </w:t>
      </w:r>
      <w:r w:rsidRPr="00A31D52">
        <w:rPr>
          <w:sz w:val="24"/>
          <w:szCs w:val="24"/>
        </w:rPr>
        <w:t xml:space="preserve">Forsigtighed er nødvendig hos patienter, der samtidig behandles med lægemidler, som kan øge risikoen for </w:t>
      </w:r>
      <w:proofErr w:type="spellStart"/>
      <w:r w:rsidRPr="00A31D52">
        <w:rPr>
          <w:sz w:val="24"/>
          <w:szCs w:val="24"/>
        </w:rPr>
        <w:t>ulceration</w:t>
      </w:r>
      <w:proofErr w:type="spellEnd"/>
      <w:r w:rsidRPr="00A31D52">
        <w:rPr>
          <w:sz w:val="24"/>
          <w:szCs w:val="24"/>
        </w:rPr>
        <w:t xml:space="preserve"> eller blødning, såsom orale </w:t>
      </w:r>
      <w:proofErr w:type="spellStart"/>
      <w:r w:rsidRPr="00A31D52">
        <w:rPr>
          <w:sz w:val="24"/>
          <w:szCs w:val="24"/>
        </w:rPr>
        <w:t>kortikosteroider</w:t>
      </w:r>
      <w:proofErr w:type="spellEnd"/>
      <w:r w:rsidRPr="00A31D52">
        <w:rPr>
          <w:sz w:val="24"/>
          <w:szCs w:val="24"/>
        </w:rPr>
        <w:t xml:space="preserve">, </w:t>
      </w:r>
      <w:proofErr w:type="spellStart"/>
      <w:r w:rsidRPr="00A31D52">
        <w:rPr>
          <w:sz w:val="24"/>
          <w:szCs w:val="24"/>
        </w:rPr>
        <w:t>antikoagulantia</w:t>
      </w:r>
      <w:proofErr w:type="spellEnd"/>
      <w:r w:rsidRPr="00A31D52">
        <w:rPr>
          <w:sz w:val="24"/>
          <w:szCs w:val="24"/>
        </w:rPr>
        <w:t xml:space="preserve"> såsom </w:t>
      </w:r>
      <w:proofErr w:type="spellStart"/>
      <w:r w:rsidRPr="00A31D52">
        <w:rPr>
          <w:sz w:val="24"/>
          <w:szCs w:val="24"/>
        </w:rPr>
        <w:t>warfarin</w:t>
      </w:r>
      <w:proofErr w:type="spellEnd"/>
      <w:r w:rsidRPr="00A31D52">
        <w:rPr>
          <w:sz w:val="24"/>
          <w:szCs w:val="24"/>
        </w:rPr>
        <w:t xml:space="preserve">, selektive </w:t>
      </w:r>
      <w:proofErr w:type="spellStart"/>
      <w:r w:rsidRPr="00A31D52">
        <w:rPr>
          <w:sz w:val="24"/>
          <w:szCs w:val="24"/>
        </w:rPr>
        <w:t>serotoningenoptag</w:t>
      </w:r>
      <w:r w:rsidR="00334421">
        <w:rPr>
          <w:sz w:val="24"/>
          <w:szCs w:val="24"/>
        </w:rPr>
        <w:t>else</w:t>
      </w:r>
      <w:r w:rsidRPr="00A31D52">
        <w:rPr>
          <w:sz w:val="24"/>
          <w:szCs w:val="24"/>
        </w:rPr>
        <w:t>shæmmere</w:t>
      </w:r>
      <w:proofErr w:type="spellEnd"/>
      <w:r w:rsidRPr="00A31D52">
        <w:rPr>
          <w:sz w:val="24"/>
          <w:szCs w:val="24"/>
        </w:rPr>
        <w:t xml:space="preserve"> og produkter, som modvirker </w:t>
      </w:r>
      <w:proofErr w:type="spellStart"/>
      <w:r w:rsidRPr="00A31D52">
        <w:rPr>
          <w:sz w:val="24"/>
          <w:szCs w:val="24"/>
        </w:rPr>
        <w:t>trombocytaggregation</w:t>
      </w:r>
      <w:proofErr w:type="spellEnd"/>
      <w:r w:rsidRPr="00A31D52">
        <w:rPr>
          <w:sz w:val="24"/>
          <w:szCs w:val="24"/>
        </w:rPr>
        <w:t>, såsom acetylsalicylsyre (se pkt. 4.5).</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 xml:space="preserve">Hvis </w:t>
      </w:r>
      <w:proofErr w:type="spellStart"/>
      <w:r w:rsidRPr="00A31D52">
        <w:rPr>
          <w:sz w:val="24"/>
          <w:szCs w:val="24"/>
        </w:rPr>
        <w:t>gastrointestinal</w:t>
      </w:r>
      <w:proofErr w:type="spellEnd"/>
      <w:r w:rsidRPr="00A31D52">
        <w:rPr>
          <w:sz w:val="24"/>
          <w:szCs w:val="24"/>
        </w:rPr>
        <w:t xml:space="preserve"> blødning eller </w:t>
      </w:r>
      <w:proofErr w:type="spellStart"/>
      <w:r w:rsidRPr="00A31D52">
        <w:rPr>
          <w:sz w:val="24"/>
          <w:szCs w:val="24"/>
        </w:rPr>
        <w:t>ulceration</w:t>
      </w:r>
      <w:proofErr w:type="spellEnd"/>
      <w:r w:rsidRPr="00A31D52">
        <w:rPr>
          <w:sz w:val="24"/>
          <w:szCs w:val="24"/>
        </w:rPr>
        <w:t xml:space="preserve"> opstår hos patienter, der får </w:t>
      </w:r>
      <w:proofErr w:type="spellStart"/>
      <w:r w:rsidRPr="00A31D52">
        <w:rPr>
          <w:sz w:val="24"/>
          <w:szCs w:val="24"/>
        </w:rPr>
        <w:t>naproxen</w:t>
      </w:r>
      <w:proofErr w:type="spellEnd"/>
      <w:r w:rsidRPr="00A31D52">
        <w:rPr>
          <w:sz w:val="24"/>
          <w:szCs w:val="24"/>
        </w:rPr>
        <w:t xml:space="preserve">, skal behandlingen seponeres (se pkt. 4.3). Forsigtighed tilrådes ved behandling af patienter med </w:t>
      </w:r>
      <w:proofErr w:type="spellStart"/>
      <w:r w:rsidRPr="00A31D52">
        <w:rPr>
          <w:sz w:val="24"/>
          <w:szCs w:val="24"/>
        </w:rPr>
        <w:t>gastrointestinale</w:t>
      </w:r>
      <w:proofErr w:type="spellEnd"/>
      <w:r w:rsidRPr="00A31D52">
        <w:rPr>
          <w:sz w:val="24"/>
          <w:szCs w:val="24"/>
        </w:rPr>
        <w:t xml:space="preserve"> lidelser i anamnesen (colitis </w:t>
      </w:r>
      <w:proofErr w:type="spellStart"/>
      <w:r w:rsidRPr="00A31D52">
        <w:rPr>
          <w:sz w:val="24"/>
          <w:szCs w:val="24"/>
        </w:rPr>
        <w:t>ulcerosa</w:t>
      </w:r>
      <w:proofErr w:type="spellEnd"/>
      <w:r w:rsidRPr="00A31D52">
        <w:rPr>
          <w:sz w:val="24"/>
          <w:szCs w:val="24"/>
        </w:rPr>
        <w:t xml:space="preserve">, </w:t>
      </w:r>
      <w:proofErr w:type="spellStart"/>
      <w:r w:rsidRPr="00A31D52">
        <w:rPr>
          <w:sz w:val="24"/>
          <w:szCs w:val="24"/>
        </w:rPr>
        <w:t>Crohns</w:t>
      </w:r>
      <w:proofErr w:type="spellEnd"/>
      <w:r w:rsidRPr="00A31D52">
        <w:rPr>
          <w:sz w:val="24"/>
          <w:szCs w:val="24"/>
        </w:rPr>
        <w:t xml:space="preserve"> sygdom), da behandling med </w:t>
      </w:r>
      <w:proofErr w:type="spellStart"/>
      <w:r w:rsidRPr="00A31D52">
        <w:rPr>
          <w:sz w:val="24"/>
          <w:szCs w:val="24"/>
        </w:rPr>
        <w:t>NSAID'er</w:t>
      </w:r>
      <w:proofErr w:type="spellEnd"/>
      <w:r w:rsidRPr="00A31D52">
        <w:rPr>
          <w:sz w:val="24"/>
          <w:szCs w:val="24"/>
        </w:rPr>
        <w:t xml:space="preserve"> kan forværre disse tilstande (se pkt. 4.8).</w:t>
      </w:r>
    </w:p>
    <w:p w:rsidR="00A31D52" w:rsidRPr="00A31D52" w:rsidRDefault="00A31D52" w:rsidP="00A31D52">
      <w:pPr>
        <w:tabs>
          <w:tab w:val="left" w:pos="851"/>
        </w:tabs>
        <w:ind w:left="851"/>
        <w:rPr>
          <w:sz w:val="24"/>
          <w:szCs w:val="24"/>
        </w:rPr>
      </w:pPr>
      <w:r w:rsidRPr="00A31D52">
        <w:rPr>
          <w:sz w:val="24"/>
          <w:szCs w:val="24"/>
        </w:rPr>
        <w:tab/>
      </w:r>
    </w:p>
    <w:p w:rsidR="00A31D52" w:rsidRPr="00A31D52" w:rsidRDefault="00A31D52" w:rsidP="00A31D52">
      <w:pPr>
        <w:tabs>
          <w:tab w:val="left" w:pos="851"/>
        </w:tabs>
        <w:ind w:left="851"/>
        <w:rPr>
          <w:sz w:val="24"/>
          <w:szCs w:val="24"/>
        </w:rPr>
      </w:pPr>
      <w:r w:rsidRPr="00A31D52">
        <w:rPr>
          <w:sz w:val="24"/>
          <w:szCs w:val="24"/>
          <w:u w:val="single"/>
        </w:rPr>
        <w:t>Serotonin syndrom</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Sumatriptan</w:t>
      </w:r>
      <w:proofErr w:type="spellEnd"/>
    </w:p>
    <w:p w:rsidR="00334421" w:rsidRPr="00A31D52" w:rsidRDefault="00334421" w:rsidP="00334421">
      <w:pPr>
        <w:tabs>
          <w:tab w:val="left" w:pos="851"/>
        </w:tabs>
        <w:ind w:left="851"/>
        <w:rPr>
          <w:sz w:val="24"/>
          <w:szCs w:val="24"/>
        </w:rPr>
      </w:pPr>
      <w:r w:rsidRPr="00A31D52">
        <w:rPr>
          <w:sz w:val="24"/>
          <w:szCs w:val="24"/>
        </w:rPr>
        <w:t xml:space="preserve">Der er rapporteret sjældne tilfælde af serotonin syndrom efter markedsføring (herunder ændret mental status, </w:t>
      </w:r>
      <w:proofErr w:type="spellStart"/>
      <w:r w:rsidRPr="00A31D52">
        <w:rPr>
          <w:sz w:val="24"/>
          <w:szCs w:val="24"/>
        </w:rPr>
        <w:t>autonomisk</w:t>
      </w:r>
      <w:proofErr w:type="spellEnd"/>
      <w:r w:rsidRPr="00A31D52">
        <w:rPr>
          <w:sz w:val="24"/>
          <w:szCs w:val="24"/>
        </w:rPr>
        <w:t xml:space="preserve"> uligevægt og </w:t>
      </w:r>
      <w:proofErr w:type="spellStart"/>
      <w:r w:rsidRPr="00A31D52">
        <w:rPr>
          <w:sz w:val="24"/>
          <w:szCs w:val="24"/>
        </w:rPr>
        <w:t>neuromuskulære</w:t>
      </w:r>
      <w:proofErr w:type="spellEnd"/>
      <w:r w:rsidRPr="00A31D52">
        <w:rPr>
          <w:sz w:val="24"/>
          <w:szCs w:val="24"/>
        </w:rPr>
        <w:t xml:space="preserve"> </w:t>
      </w:r>
      <w:proofErr w:type="spellStart"/>
      <w:r w:rsidRPr="00A31D52">
        <w:rPr>
          <w:sz w:val="24"/>
          <w:szCs w:val="24"/>
        </w:rPr>
        <w:t>abnormaliteter</w:t>
      </w:r>
      <w:proofErr w:type="spellEnd"/>
      <w:r w:rsidRPr="00A31D52">
        <w:rPr>
          <w:sz w:val="24"/>
          <w:szCs w:val="24"/>
        </w:rPr>
        <w:t xml:space="preserve">) set efter samtidig brug af selektive </w:t>
      </w:r>
      <w:proofErr w:type="spellStart"/>
      <w:r w:rsidRPr="00A31D52">
        <w:rPr>
          <w:sz w:val="24"/>
          <w:szCs w:val="24"/>
        </w:rPr>
        <w:t>serotoningenoptag</w:t>
      </w:r>
      <w:r>
        <w:rPr>
          <w:sz w:val="24"/>
          <w:szCs w:val="24"/>
        </w:rPr>
        <w:t>else</w:t>
      </w:r>
      <w:r w:rsidRPr="00A31D52">
        <w:rPr>
          <w:sz w:val="24"/>
          <w:szCs w:val="24"/>
        </w:rPr>
        <w:t>shæmmere</w:t>
      </w:r>
      <w:proofErr w:type="spellEnd"/>
      <w:r w:rsidRPr="00A31D52">
        <w:rPr>
          <w:sz w:val="24"/>
          <w:szCs w:val="24"/>
        </w:rPr>
        <w:t xml:space="preserve"> (SSRI) og </w:t>
      </w:r>
      <w:proofErr w:type="spellStart"/>
      <w:r w:rsidRPr="00A31D52">
        <w:rPr>
          <w:sz w:val="24"/>
          <w:szCs w:val="24"/>
        </w:rPr>
        <w:t>sumatriptan</w:t>
      </w:r>
      <w:proofErr w:type="spellEnd"/>
      <w:r w:rsidRPr="00A31D52">
        <w:rPr>
          <w:sz w:val="24"/>
          <w:szCs w:val="24"/>
        </w:rPr>
        <w:t xml:space="preserve"> (se pkt. 4.5). Serotonin syndrom er rapporteret efter samtidig behandling med </w:t>
      </w:r>
      <w:proofErr w:type="spellStart"/>
      <w:r w:rsidRPr="00A31D52">
        <w:rPr>
          <w:sz w:val="24"/>
          <w:szCs w:val="24"/>
        </w:rPr>
        <w:t>triptaner</w:t>
      </w:r>
      <w:proofErr w:type="spellEnd"/>
      <w:r w:rsidRPr="00A31D52">
        <w:rPr>
          <w:sz w:val="24"/>
          <w:szCs w:val="24"/>
        </w:rPr>
        <w:t xml:space="preserve"> og serotonin </w:t>
      </w:r>
      <w:proofErr w:type="spellStart"/>
      <w:r w:rsidRPr="00A31D52">
        <w:rPr>
          <w:sz w:val="24"/>
          <w:szCs w:val="24"/>
        </w:rPr>
        <w:t>noradrenalingenoptag</w:t>
      </w:r>
      <w:r>
        <w:rPr>
          <w:sz w:val="24"/>
          <w:szCs w:val="24"/>
        </w:rPr>
        <w:t>else</w:t>
      </w:r>
      <w:r w:rsidRPr="00A31D52">
        <w:rPr>
          <w:sz w:val="24"/>
          <w:szCs w:val="24"/>
        </w:rPr>
        <w:t>shæmmere</w:t>
      </w:r>
      <w:proofErr w:type="spellEnd"/>
      <w:r w:rsidRPr="00A31D52">
        <w:rPr>
          <w:sz w:val="24"/>
          <w:szCs w:val="24"/>
        </w:rPr>
        <w:t xml:space="preserve"> (</w:t>
      </w:r>
      <w:proofErr w:type="spellStart"/>
      <w:r w:rsidRPr="00A31D52">
        <w:rPr>
          <w:sz w:val="24"/>
          <w:szCs w:val="24"/>
        </w:rPr>
        <w:t>SNRI</w:t>
      </w:r>
      <w:r>
        <w:rPr>
          <w:sz w:val="24"/>
          <w:szCs w:val="24"/>
        </w:rPr>
        <w:t>'</w:t>
      </w:r>
      <w:r w:rsidRPr="00A31D52">
        <w:rPr>
          <w:sz w:val="24"/>
          <w:szCs w:val="24"/>
        </w:rPr>
        <w:t>er</w:t>
      </w:r>
      <w:proofErr w:type="spellEnd"/>
      <w:r w:rsidRPr="00A31D52">
        <w:rPr>
          <w:sz w:val="24"/>
          <w:szCs w:val="24"/>
        </w:rPr>
        <w:t xml:space="preserve">). Hvis samtidig behandling med </w:t>
      </w:r>
      <w:proofErr w:type="spellStart"/>
      <w:r w:rsidRPr="00A31D52">
        <w:rPr>
          <w:sz w:val="24"/>
          <w:szCs w:val="24"/>
        </w:rPr>
        <w:t>sumatriptan</w:t>
      </w:r>
      <w:proofErr w:type="spellEnd"/>
      <w:r w:rsidRPr="00A31D52">
        <w:rPr>
          <w:sz w:val="24"/>
          <w:szCs w:val="24"/>
        </w:rPr>
        <w:t xml:space="preserve"> og SSRI/SNRI er klinisk begrundet, tilrådes passende observation af patienten (se pkt. 4.5).</w:t>
      </w:r>
    </w:p>
    <w:p w:rsidR="00334421" w:rsidRPr="00A31D52" w:rsidRDefault="00334421" w:rsidP="00334421">
      <w:pPr>
        <w:tabs>
          <w:tab w:val="left" w:pos="851"/>
        </w:tabs>
        <w:ind w:left="851"/>
        <w:rPr>
          <w:sz w:val="24"/>
          <w:szCs w:val="24"/>
        </w:rPr>
      </w:pPr>
    </w:p>
    <w:p w:rsidR="00334421" w:rsidRPr="00AC30CA" w:rsidRDefault="00334421" w:rsidP="00334421">
      <w:pPr>
        <w:tabs>
          <w:tab w:val="left" w:pos="851"/>
        </w:tabs>
        <w:ind w:left="851"/>
        <w:rPr>
          <w:sz w:val="24"/>
          <w:szCs w:val="24"/>
          <w:u w:val="single"/>
        </w:rPr>
      </w:pPr>
      <w:r w:rsidRPr="00833447">
        <w:rPr>
          <w:sz w:val="24"/>
          <w:szCs w:val="24"/>
          <w:u w:val="single"/>
        </w:rPr>
        <w:t xml:space="preserve">Alvorlige </w:t>
      </w:r>
      <w:proofErr w:type="spellStart"/>
      <w:r w:rsidRPr="00833447">
        <w:rPr>
          <w:sz w:val="24"/>
          <w:szCs w:val="24"/>
          <w:u w:val="single"/>
        </w:rPr>
        <w:t>kutane</w:t>
      </w:r>
      <w:proofErr w:type="spellEnd"/>
      <w:r w:rsidRPr="00833447">
        <w:rPr>
          <w:sz w:val="24"/>
          <w:szCs w:val="24"/>
          <w:u w:val="single"/>
        </w:rPr>
        <w:t xml:space="preserve"> bivirkninger</w:t>
      </w:r>
    </w:p>
    <w:p w:rsidR="00334421" w:rsidRPr="00AC30CA" w:rsidRDefault="00334421" w:rsidP="00334421">
      <w:pPr>
        <w:tabs>
          <w:tab w:val="left" w:pos="851"/>
        </w:tabs>
        <w:ind w:left="851"/>
        <w:rPr>
          <w:sz w:val="24"/>
          <w:szCs w:val="24"/>
        </w:rPr>
      </w:pPr>
    </w:p>
    <w:p w:rsidR="00334421" w:rsidRPr="00AC30CA" w:rsidRDefault="00334421" w:rsidP="00334421">
      <w:pPr>
        <w:tabs>
          <w:tab w:val="left" w:pos="851"/>
        </w:tabs>
        <w:ind w:left="851"/>
        <w:rPr>
          <w:sz w:val="24"/>
          <w:szCs w:val="24"/>
        </w:rPr>
      </w:pPr>
      <w:proofErr w:type="spellStart"/>
      <w:r w:rsidRPr="00AC30CA">
        <w:rPr>
          <w:i/>
          <w:iCs/>
          <w:sz w:val="24"/>
          <w:szCs w:val="24"/>
        </w:rPr>
        <w:t>Naproxen</w:t>
      </w:r>
      <w:proofErr w:type="spellEnd"/>
    </w:p>
    <w:p w:rsidR="00A31D52" w:rsidRPr="00A31D52" w:rsidRDefault="00334421" w:rsidP="00334421">
      <w:pPr>
        <w:tabs>
          <w:tab w:val="left" w:pos="851"/>
        </w:tabs>
        <w:ind w:left="851"/>
        <w:rPr>
          <w:sz w:val="24"/>
          <w:szCs w:val="24"/>
        </w:rPr>
      </w:pPr>
      <w:proofErr w:type="spellStart"/>
      <w:r w:rsidRPr="00833447">
        <w:rPr>
          <w:sz w:val="24"/>
          <w:szCs w:val="24"/>
        </w:rPr>
        <w:t>Exfoliativ</w:t>
      </w:r>
      <w:proofErr w:type="spellEnd"/>
      <w:r w:rsidRPr="00AC30CA">
        <w:rPr>
          <w:sz w:val="24"/>
          <w:szCs w:val="24"/>
        </w:rPr>
        <w:t xml:space="preserve"> </w:t>
      </w:r>
      <w:proofErr w:type="spellStart"/>
      <w:r w:rsidRPr="00AC30CA">
        <w:rPr>
          <w:sz w:val="24"/>
          <w:szCs w:val="24"/>
        </w:rPr>
        <w:t>dermatitis</w:t>
      </w:r>
      <w:proofErr w:type="spellEnd"/>
      <w:r w:rsidRPr="00AC30CA">
        <w:rPr>
          <w:sz w:val="24"/>
          <w:szCs w:val="24"/>
        </w:rPr>
        <w:t xml:space="preserve">, Stevens-Johnsons syndrom </w:t>
      </w:r>
      <w:r w:rsidRPr="00833447">
        <w:rPr>
          <w:sz w:val="24"/>
          <w:szCs w:val="24"/>
        </w:rPr>
        <w:t>(SJS),</w:t>
      </w:r>
      <w:r w:rsidRPr="00AC30CA">
        <w:rPr>
          <w:sz w:val="24"/>
          <w:szCs w:val="24"/>
        </w:rPr>
        <w:t xml:space="preserve"> og toksisk </w:t>
      </w:r>
      <w:proofErr w:type="spellStart"/>
      <w:r w:rsidRPr="00AC30CA">
        <w:rPr>
          <w:sz w:val="24"/>
          <w:szCs w:val="24"/>
        </w:rPr>
        <w:t>epidermal</w:t>
      </w:r>
      <w:proofErr w:type="spellEnd"/>
      <w:r w:rsidRPr="00AC30CA">
        <w:rPr>
          <w:sz w:val="24"/>
          <w:szCs w:val="24"/>
        </w:rPr>
        <w:t xml:space="preserve"> </w:t>
      </w:r>
      <w:proofErr w:type="spellStart"/>
      <w:r w:rsidRPr="00AC30CA">
        <w:rPr>
          <w:sz w:val="24"/>
          <w:szCs w:val="24"/>
        </w:rPr>
        <w:t>nekrolyse</w:t>
      </w:r>
      <w:proofErr w:type="spellEnd"/>
      <w:r w:rsidRPr="00AC30CA">
        <w:rPr>
          <w:sz w:val="24"/>
          <w:szCs w:val="24"/>
        </w:rPr>
        <w:t xml:space="preserve"> (TEN), </w:t>
      </w:r>
      <w:r w:rsidRPr="00833447">
        <w:rPr>
          <w:sz w:val="24"/>
          <w:szCs w:val="24"/>
        </w:rPr>
        <w:t xml:space="preserve">og lægemiddelfremkaldt reaktion med </w:t>
      </w:r>
      <w:proofErr w:type="spellStart"/>
      <w:r w:rsidRPr="00833447">
        <w:rPr>
          <w:sz w:val="24"/>
          <w:szCs w:val="24"/>
        </w:rPr>
        <w:t>eosinofili</w:t>
      </w:r>
      <w:proofErr w:type="spellEnd"/>
      <w:r w:rsidRPr="00833447">
        <w:rPr>
          <w:sz w:val="24"/>
          <w:szCs w:val="24"/>
        </w:rPr>
        <w:t xml:space="preserve"> og systemiske symptomer (DRESS), som kan være livstruende eller dødelig, har været indberettet efter markedsføring i forbindelse med behandling med </w:t>
      </w:r>
      <w:proofErr w:type="spellStart"/>
      <w:r w:rsidRPr="00833447">
        <w:rPr>
          <w:sz w:val="24"/>
          <w:szCs w:val="24"/>
        </w:rPr>
        <w:t>naproxen</w:t>
      </w:r>
      <w:proofErr w:type="spellEnd"/>
      <w:r w:rsidRPr="00AC30CA">
        <w:rPr>
          <w:sz w:val="24"/>
          <w:szCs w:val="24"/>
        </w:rPr>
        <w:t xml:space="preserve"> (</w:t>
      </w:r>
      <w:r w:rsidRPr="00A31D52">
        <w:rPr>
          <w:sz w:val="24"/>
          <w:szCs w:val="24"/>
        </w:rPr>
        <w:t xml:space="preserve">se pkt. 4.8). Risikoen for sådanne reaktioner synes at være størst tidligt i behandlingen, idet de fleste hudreaktioner forekommer inden for behandlingens første måned. </w:t>
      </w:r>
      <w:r w:rsidRPr="00833447">
        <w:rPr>
          <w:sz w:val="24"/>
          <w:szCs w:val="24"/>
        </w:rPr>
        <w:t xml:space="preserve">Hvis tegn og symptomer på disse reaktioner forekommer, skal Nomigrin straks seponeres. Hvis patienten har udviklet SJS, </w:t>
      </w:r>
      <w:r w:rsidRPr="00833447">
        <w:rPr>
          <w:sz w:val="24"/>
          <w:szCs w:val="24"/>
        </w:rPr>
        <w:lastRenderedPageBreak/>
        <w:t>eller TEN eller DRESS ved brug af Nomigrin, må behandling med Nomigrin ikke genoptages og skal permanent seponeres.</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u w:val="single"/>
        </w:rPr>
      </w:pPr>
      <w:r w:rsidRPr="00A31D52">
        <w:rPr>
          <w:sz w:val="24"/>
          <w:szCs w:val="24"/>
          <w:u w:val="single"/>
        </w:rPr>
        <w:t>Hudreaktioner</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Naproxen</w:t>
      </w:r>
      <w:proofErr w:type="spellEnd"/>
    </w:p>
    <w:p w:rsidR="00A31D52" w:rsidRPr="00A31D52" w:rsidRDefault="00A31D52" w:rsidP="00A31D52">
      <w:pPr>
        <w:tabs>
          <w:tab w:val="left" w:pos="851"/>
        </w:tabs>
        <w:ind w:left="851"/>
        <w:rPr>
          <w:sz w:val="24"/>
          <w:szCs w:val="24"/>
        </w:rPr>
      </w:pPr>
      <w:r w:rsidRPr="00A31D52">
        <w:rPr>
          <w:sz w:val="24"/>
          <w:szCs w:val="24"/>
        </w:rPr>
        <w:t xml:space="preserve">Alvorlige hudreaktioner, hvor af nogle kan være fatale, er rapporteret meget sjældent i forbindelse med brugen af </w:t>
      </w:r>
      <w:proofErr w:type="spellStart"/>
      <w:r w:rsidRPr="00A31D52">
        <w:rPr>
          <w:sz w:val="24"/>
          <w:szCs w:val="24"/>
        </w:rPr>
        <w:t>NSAID'er</w:t>
      </w:r>
      <w:proofErr w:type="spellEnd"/>
      <w:r w:rsidRPr="00A31D52">
        <w:rPr>
          <w:sz w:val="24"/>
          <w:szCs w:val="24"/>
        </w:rPr>
        <w:t xml:space="preserve">, bl.a. </w:t>
      </w:r>
      <w:proofErr w:type="spellStart"/>
      <w:r w:rsidRPr="00A31D52">
        <w:rPr>
          <w:sz w:val="24"/>
          <w:szCs w:val="24"/>
        </w:rPr>
        <w:t>exfoliativ</w:t>
      </w:r>
      <w:proofErr w:type="spellEnd"/>
      <w:r w:rsidRPr="00A31D52">
        <w:rPr>
          <w:sz w:val="24"/>
          <w:szCs w:val="24"/>
        </w:rPr>
        <w:t xml:space="preserve"> </w:t>
      </w:r>
      <w:proofErr w:type="spellStart"/>
      <w:r w:rsidRPr="00A31D52">
        <w:rPr>
          <w:sz w:val="24"/>
          <w:szCs w:val="24"/>
        </w:rPr>
        <w:t>dermatitis</w:t>
      </w:r>
      <w:proofErr w:type="spellEnd"/>
      <w:r w:rsidRPr="00A31D52">
        <w:rPr>
          <w:sz w:val="24"/>
          <w:szCs w:val="24"/>
        </w:rPr>
        <w:t>, Stevens-Johnson</w:t>
      </w:r>
      <w:r w:rsidR="00615B15">
        <w:rPr>
          <w:sz w:val="24"/>
          <w:szCs w:val="24"/>
        </w:rPr>
        <w:t>s</w:t>
      </w:r>
      <w:r w:rsidRPr="00A31D52">
        <w:rPr>
          <w:sz w:val="24"/>
          <w:szCs w:val="24"/>
        </w:rPr>
        <w:t xml:space="preserve"> syndrom og toksisk </w:t>
      </w:r>
      <w:proofErr w:type="spellStart"/>
      <w:r w:rsidRPr="00A31D52">
        <w:rPr>
          <w:sz w:val="24"/>
          <w:szCs w:val="24"/>
        </w:rPr>
        <w:t>epidermal</w:t>
      </w:r>
      <w:proofErr w:type="spellEnd"/>
      <w:r w:rsidRPr="00A31D52">
        <w:rPr>
          <w:sz w:val="24"/>
          <w:szCs w:val="24"/>
        </w:rPr>
        <w:t xml:space="preserve"> </w:t>
      </w:r>
      <w:proofErr w:type="spellStart"/>
      <w:r w:rsidRPr="00A31D52">
        <w:rPr>
          <w:sz w:val="24"/>
          <w:szCs w:val="24"/>
        </w:rPr>
        <w:t>nekrolyse</w:t>
      </w:r>
      <w:proofErr w:type="spellEnd"/>
      <w:r w:rsidRPr="00A31D52">
        <w:rPr>
          <w:sz w:val="24"/>
          <w:szCs w:val="24"/>
        </w:rPr>
        <w:t xml:space="preserve"> (TEN) (se pkt. 4.8). Risikoen for sådanne reaktioner synes at være størst tidligt i behandlingen, idet de fleste hudreaktioner forekommer inden for behandlingens første måned. Behandling med </w:t>
      </w:r>
      <w:proofErr w:type="spellStart"/>
      <w:r w:rsidRPr="00A31D52">
        <w:rPr>
          <w:sz w:val="24"/>
          <w:szCs w:val="24"/>
        </w:rPr>
        <w:t>naproxen</w:t>
      </w:r>
      <w:proofErr w:type="spellEnd"/>
      <w:r w:rsidRPr="00A31D52">
        <w:rPr>
          <w:sz w:val="24"/>
          <w:szCs w:val="24"/>
        </w:rPr>
        <w:t xml:space="preserve"> bør straks seponeres ved symptomer som udslæt, slimhindelæsioner eller anden overfølsomhedsreaktion. </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u w:val="single"/>
        </w:rPr>
      </w:pPr>
      <w:r w:rsidRPr="00A31D52">
        <w:rPr>
          <w:sz w:val="24"/>
          <w:szCs w:val="24"/>
          <w:u w:val="single"/>
        </w:rPr>
        <w:t>Hæmatologiske reaktioner</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i/>
          <w:iCs/>
          <w:sz w:val="24"/>
          <w:szCs w:val="24"/>
        </w:rPr>
      </w:pPr>
      <w:proofErr w:type="spellStart"/>
      <w:r w:rsidRPr="00A31D52">
        <w:rPr>
          <w:i/>
          <w:iCs/>
          <w:sz w:val="24"/>
          <w:szCs w:val="24"/>
        </w:rPr>
        <w:t>Naproxen</w:t>
      </w:r>
      <w:proofErr w:type="spellEnd"/>
    </w:p>
    <w:p w:rsidR="00A31D52" w:rsidRPr="00A31D52" w:rsidRDefault="00A31D52" w:rsidP="00A31D52">
      <w:pPr>
        <w:tabs>
          <w:tab w:val="left" w:pos="851"/>
        </w:tabs>
        <w:ind w:left="851"/>
        <w:rPr>
          <w:sz w:val="24"/>
          <w:szCs w:val="24"/>
        </w:rPr>
      </w:pPr>
      <w:proofErr w:type="spellStart"/>
      <w:r w:rsidRPr="00A31D52">
        <w:rPr>
          <w:sz w:val="24"/>
          <w:szCs w:val="24"/>
        </w:rPr>
        <w:t>Naproxen</w:t>
      </w:r>
      <w:proofErr w:type="spellEnd"/>
      <w:r w:rsidRPr="00A31D52">
        <w:rPr>
          <w:sz w:val="24"/>
          <w:szCs w:val="24"/>
        </w:rPr>
        <w:t xml:space="preserve"> reducerer </w:t>
      </w:r>
      <w:proofErr w:type="spellStart"/>
      <w:r w:rsidRPr="00A31D52">
        <w:rPr>
          <w:sz w:val="24"/>
          <w:szCs w:val="24"/>
        </w:rPr>
        <w:t>blodpladeaggregationen</w:t>
      </w:r>
      <w:proofErr w:type="spellEnd"/>
      <w:r w:rsidRPr="00A31D52">
        <w:rPr>
          <w:sz w:val="24"/>
          <w:szCs w:val="24"/>
        </w:rPr>
        <w:t xml:space="preserve"> og forlænger blødningstiden. Patienter, som har koagulationsforstyrrelser eller er i behandling med lægemidler som påvirker </w:t>
      </w:r>
      <w:proofErr w:type="spellStart"/>
      <w:r w:rsidRPr="00A31D52">
        <w:rPr>
          <w:sz w:val="24"/>
          <w:szCs w:val="24"/>
        </w:rPr>
        <w:t>hæmostase</w:t>
      </w:r>
      <w:proofErr w:type="spellEnd"/>
      <w:r w:rsidRPr="00A31D52">
        <w:rPr>
          <w:sz w:val="24"/>
          <w:szCs w:val="24"/>
        </w:rPr>
        <w:t xml:space="preserve">, bør observeres nøje, hvis lægemidler indeholdende </w:t>
      </w:r>
      <w:proofErr w:type="spellStart"/>
      <w:r w:rsidRPr="00A31D52">
        <w:rPr>
          <w:sz w:val="24"/>
          <w:szCs w:val="24"/>
        </w:rPr>
        <w:t>naproxen</w:t>
      </w:r>
      <w:proofErr w:type="spellEnd"/>
      <w:r w:rsidRPr="00A31D52">
        <w:rPr>
          <w:sz w:val="24"/>
          <w:szCs w:val="24"/>
        </w:rPr>
        <w:t xml:space="preserve"> administreres til dem (se pkt. 4.5).</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u w:val="single"/>
        </w:rPr>
        <w:t>Krampeanfald</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Sumatriptan</w:t>
      </w:r>
      <w:proofErr w:type="spellEnd"/>
    </w:p>
    <w:p w:rsidR="00A31D52" w:rsidRPr="00A31D52" w:rsidRDefault="00A31D52" w:rsidP="00A31D52">
      <w:pPr>
        <w:tabs>
          <w:tab w:val="left" w:pos="851"/>
        </w:tabs>
        <w:ind w:left="851"/>
        <w:rPr>
          <w:sz w:val="24"/>
          <w:szCs w:val="24"/>
        </w:rPr>
      </w:pPr>
      <w:proofErr w:type="spellStart"/>
      <w:r w:rsidRPr="00A31D52">
        <w:rPr>
          <w:sz w:val="24"/>
          <w:szCs w:val="24"/>
        </w:rPr>
        <w:t>Sumatriptan</w:t>
      </w:r>
      <w:proofErr w:type="spellEnd"/>
      <w:r w:rsidRPr="00A31D52">
        <w:rPr>
          <w:sz w:val="24"/>
          <w:szCs w:val="24"/>
        </w:rPr>
        <w:t xml:space="preserve"> bør administreres med forsigtighed hos patienter, der har haft krampeanfald eller andre risikofaktorer, som sænker krampetærsklen, da krampeanfald er blevet rapporteret i forbindelse med </w:t>
      </w:r>
      <w:proofErr w:type="spellStart"/>
      <w:r w:rsidRPr="00A31D52">
        <w:rPr>
          <w:sz w:val="24"/>
          <w:szCs w:val="24"/>
        </w:rPr>
        <w:t>sumatriptan</w:t>
      </w:r>
      <w:proofErr w:type="spellEnd"/>
      <w:r w:rsidRPr="00A31D52">
        <w:rPr>
          <w:sz w:val="24"/>
          <w:szCs w:val="24"/>
        </w:rPr>
        <w:t xml:space="preserve"> (se pkt. 4.8).</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u w:val="single"/>
        </w:rPr>
        <w:t>Overfølsomhedsreaktioner</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Sumatriptan</w:t>
      </w:r>
      <w:proofErr w:type="spellEnd"/>
    </w:p>
    <w:p w:rsidR="00A31D52" w:rsidRPr="00A31D52" w:rsidRDefault="00A31D52" w:rsidP="00A31D52">
      <w:pPr>
        <w:tabs>
          <w:tab w:val="left" w:pos="851"/>
        </w:tabs>
        <w:ind w:left="851"/>
        <w:rPr>
          <w:sz w:val="24"/>
          <w:szCs w:val="24"/>
        </w:rPr>
      </w:pPr>
      <w:r w:rsidRPr="00A31D52">
        <w:rPr>
          <w:sz w:val="24"/>
          <w:szCs w:val="24"/>
        </w:rPr>
        <w:t xml:space="preserve">Hos patienter med kendt overfølsomhed over for sulfonamider kan udvise en allergisk reaktion efter administration af </w:t>
      </w:r>
      <w:proofErr w:type="spellStart"/>
      <w:r w:rsidRPr="00A31D52">
        <w:rPr>
          <w:sz w:val="24"/>
          <w:szCs w:val="24"/>
        </w:rPr>
        <w:t>sumatriptan</w:t>
      </w:r>
      <w:proofErr w:type="spellEnd"/>
      <w:r w:rsidRPr="00A31D52">
        <w:rPr>
          <w:sz w:val="24"/>
          <w:szCs w:val="24"/>
        </w:rPr>
        <w:t xml:space="preserve">. Reaktioner kan variere fra </w:t>
      </w:r>
      <w:proofErr w:type="spellStart"/>
      <w:r w:rsidRPr="00A31D52">
        <w:rPr>
          <w:sz w:val="24"/>
          <w:szCs w:val="24"/>
        </w:rPr>
        <w:t>kutan</w:t>
      </w:r>
      <w:proofErr w:type="spellEnd"/>
      <w:r w:rsidRPr="00A31D52">
        <w:rPr>
          <w:sz w:val="24"/>
          <w:szCs w:val="24"/>
        </w:rPr>
        <w:t xml:space="preserve"> overfølsomhed til anafylaksi. Dokumentation for krydsallergi er begrænset, men forsigtighed tilrådes før administration hos disse patienter.</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Naproxen</w:t>
      </w:r>
      <w:proofErr w:type="spellEnd"/>
    </w:p>
    <w:p w:rsidR="00A31D52" w:rsidRPr="00A31D52" w:rsidRDefault="00A31D52" w:rsidP="00A31D52">
      <w:pPr>
        <w:tabs>
          <w:tab w:val="left" w:pos="851"/>
        </w:tabs>
        <w:ind w:left="851"/>
        <w:rPr>
          <w:sz w:val="24"/>
          <w:szCs w:val="24"/>
        </w:rPr>
      </w:pPr>
      <w:r w:rsidRPr="00A31D52">
        <w:rPr>
          <w:sz w:val="24"/>
          <w:szCs w:val="24"/>
        </w:rPr>
        <w:t xml:space="preserve">Der kan forekomme overfølsomhedsreaktioner hos modtagelige patienter. Der kan forekomme </w:t>
      </w:r>
      <w:proofErr w:type="spellStart"/>
      <w:r w:rsidRPr="00A31D52">
        <w:rPr>
          <w:sz w:val="24"/>
          <w:szCs w:val="24"/>
        </w:rPr>
        <w:t>anafylaktiske</w:t>
      </w:r>
      <w:proofErr w:type="spellEnd"/>
      <w:r w:rsidRPr="00A31D52">
        <w:rPr>
          <w:sz w:val="24"/>
          <w:szCs w:val="24"/>
        </w:rPr>
        <w:t xml:space="preserve"> (</w:t>
      </w:r>
      <w:proofErr w:type="spellStart"/>
      <w:r w:rsidRPr="00A31D52">
        <w:rPr>
          <w:sz w:val="24"/>
          <w:szCs w:val="24"/>
        </w:rPr>
        <w:t>anafylaktoide</w:t>
      </w:r>
      <w:proofErr w:type="spellEnd"/>
      <w:r w:rsidRPr="00A31D52">
        <w:rPr>
          <w:sz w:val="24"/>
          <w:szCs w:val="24"/>
        </w:rPr>
        <w:t xml:space="preserve">) reaktioner hos patienter med eller uden tidligere overfølsomhed over for acetylsalicylsyre, andre </w:t>
      </w:r>
      <w:proofErr w:type="spellStart"/>
      <w:r w:rsidRPr="00A31D52">
        <w:rPr>
          <w:sz w:val="24"/>
          <w:szCs w:val="24"/>
        </w:rPr>
        <w:t>NSAID'er</w:t>
      </w:r>
      <w:proofErr w:type="spellEnd"/>
      <w:r w:rsidRPr="00A31D52">
        <w:rPr>
          <w:sz w:val="24"/>
          <w:szCs w:val="24"/>
        </w:rPr>
        <w:t xml:space="preserve"> eller præparater, som indeholder </w:t>
      </w:r>
      <w:proofErr w:type="spellStart"/>
      <w:r w:rsidRPr="00A31D52">
        <w:rPr>
          <w:sz w:val="24"/>
          <w:szCs w:val="24"/>
        </w:rPr>
        <w:t>naproxen</w:t>
      </w:r>
      <w:proofErr w:type="spellEnd"/>
      <w:r w:rsidRPr="00A31D52">
        <w:rPr>
          <w:sz w:val="24"/>
          <w:szCs w:val="24"/>
        </w:rPr>
        <w:t xml:space="preserve">. Reaktionerne kan også forekomme hos personer, der har eller tidligere har haft </w:t>
      </w:r>
      <w:proofErr w:type="spellStart"/>
      <w:r w:rsidRPr="00A31D52">
        <w:rPr>
          <w:sz w:val="24"/>
          <w:szCs w:val="24"/>
        </w:rPr>
        <w:t>angioødem</w:t>
      </w:r>
      <w:proofErr w:type="spellEnd"/>
      <w:r w:rsidRPr="00A31D52">
        <w:rPr>
          <w:sz w:val="24"/>
          <w:szCs w:val="24"/>
        </w:rPr>
        <w:t xml:space="preserve">, </w:t>
      </w:r>
      <w:proofErr w:type="spellStart"/>
      <w:r w:rsidRPr="00A31D52">
        <w:rPr>
          <w:sz w:val="24"/>
          <w:szCs w:val="24"/>
        </w:rPr>
        <w:t>bronchospastisk</w:t>
      </w:r>
      <w:proofErr w:type="spellEnd"/>
      <w:r w:rsidRPr="00A31D52">
        <w:rPr>
          <w:sz w:val="24"/>
          <w:szCs w:val="24"/>
        </w:rPr>
        <w:t xml:space="preserve"> </w:t>
      </w:r>
      <w:proofErr w:type="spellStart"/>
      <w:r w:rsidRPr="00A31D52">
        <w:rPr>
          <w:sz w:val="24"/>
          <w:szCs w:val="24"/>
        </w:rPr>
        <w:t>reaktivitet</w:t>
      </w:r>
      <w:proofErr w:type="spellEnd"/>
      <w:r w:rsidRPr="00A31D52">
        <w:rPr>
          <w:sz w:val="24"/>
          <w:szCs w:val="24"/>
        </w:rPr>
        <w:t xml:space="preserve"> (f.eks. astma), </w:t>
      </w:r>
      <w:proofErr w:type="spellStart"/>
      <w:r w:rsidRPr="00A31D52">
        <w:rPr>
          <w:sz w:val="24"/>
          <w:szCs w:val="24"/>
        </w:rPr>
        <w:t>rhinitis</w:t>
      </w:r>
      <w:proofErr w:type="spellEnd"/>
      <w:r w:rsidRPr="00A31D52">
        <w:rPr>
          <w:sz w:val="24"/>
          <w:szCs w:val="24"/>
        </w:rPr>
        <w:t xml:space="preserve"> og næsepolypper. Overfølsomhedsreaktioner, som anafylaksi, kan være dødelig.</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u w:val="single"/>
        </w:rPr>
      </w:pPr>
      <w:r w:rsidRPr="00A31D52">
        <w:rPr>
          <w:sz w:val="24"/>
          <w:szCs w:val="24"/>
          <w:u w:val="single"/>
        </w:rPr>
        <w:t>Nyrepåvirkninger</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Naproxen</w:t>
      </w:r>
      <w:proofErr w:type="spellEnd"/>
    </w:p>
    <w:p w:rsidR="00A31D52" w:rsidRPr="00A31D52" w:rsidRDefault="00A31D52" w:rsidP="00A31D52">
      <w:pPr>
        <w:tabs>
          <w:tab w:val="left" w:pos="851"/>
        </w:tabs>
        <w:ind w:left="851"/>
        <w:rPr>
          <w:sz w:val="24"/>
          <w:szCs w:val="24"/>
        </w:rPr>
      </w:pPr>
      <w:r w:rsidRPr="00A31D52">
        <w:rPr>
          <w:sz w:val="24"/>
          <w:szCs w:val="24"/>
        </w:rPr>
        <w:t xml:space="preserve">Dehydrering under brug af et antiinflammatorisk </w:t>
      </w:r>
      <w:proofErr w:type="spellStart"/>
      <w:r w:rsidRPr="00A31D52">
        <w:rPr>
          <w:sz w:val="24"/>
          <w:szCs w:val="24"/>
        </w:rPr>
        <w:t>analgetika</w:t>
      </w:r>
      <w:proofErr w:type="spellEnd"/>
      <w:r w:rsidRPr="00A31D52">
        <w:rPr>
          <w:sz w:val="24"/>
          <w:szCs w:val="24"/>
        </w:rPr>
        <w:t xml:space="preserve"> (dvs. NSAID) øger risikoen for akut nyresvigt, hvorfor patientens eventuelle dehydrering bør korrigeres, inden behandling med </w:t>
      </w:r>
      <w:proofErr w:type="spellStart"/>
      <w:r w:rsidRPr="00A31D52">
        <w:rPr>
          <w:sz w:val="24"/>
          <w:szCs w:val="24"/>
        </w:rPr>
        <w:t>naproxen</w:t>
      </w:r>
      <w:proofErr w:type="spellEnd"/>
      <w:r w:rsidRPr="00A31D52">
        <w:rPr>
          <w:sz w:val="24"/>
          <w:szCs w:val="24"/>
        </w:rPr>
        <w:t xml:space="preserve"> initieres. Behandlingen med </w:t>
      </w:r>
      <w:proofErr w:type="spellStart"/>
      <w:r w:rsidRPr="00A31D52">
        <w:rPr>
          <w:sz w:val="24"/>
          <w:szCs w:val="24"/>
        </w:rPr>
        <w:t>naproxen</w:t>
      </w:r>
      <w:proofErr w:type="spellEnd"/>
      <w:r w:rsidRPr="00A31D52">
        <w:rPr>
          <w:sz w:val="24"/>
          <w:szCs w:val="24"/>
        </w:rPr>
        <w:t xml:space="preserve"> bør initieres med </w:t>
      </w:r>
      <w:r w:rsidRPr="00A31D52">
        <w:rPr>
          <w:sz w:val="24"/>
          <w:szCs w:val="24"/>
        </w:rPr>
        <w:lastRenderedPageBreak/>
        <w:t xml:space="preserve">forsigtighed hos patienter med betydelig dehydrering i anamnesen. Som for alle antiinflammatorisk </w:t>
      </w:r>
      <w:proofErr w:type="spellStart"/>
      <w:r w:rsidRPr="00A31D52">
        <w:rPr>
          <w:sz w:val="24"/>
          <w:szCs w:val="24"/>
        </w:rPr>
        <w:t>analgetika</w:t>
      </w:r>
      <w:proofErr w:type="spellEnd"/>
      <w:r w:rsidRPr="00A31D52">
        <w:rPr>
          <w:sz w:val="24"/>
          <w:szCs w:val="24"/>
        </w:rPr>
        <w:t xml:space="preserve">, har længerevarende administration af </w:t>
      </w:r>
      <w:proofErr w:type="spellStart"/>
      <w:r w:rsidRPr="00A31D52">
        <w:rPr>
          <w:sz w:val="24"/>
          <w:szCs w:val="24"/>
        </w:rPr>
        <w:t>naproxen</w:t>
      </w:r>
      <w:proofErr w:type="spellEnd"/>
      <w:r w:rsidRPr="00A31D52">
        <w:rPr>
          <w:sz w:val="24"/>
          <w:szCs w:val="24"/>
        </w:rPr>
        <w:t xml:space="preserve"> medført </w:t>
      </w:r>
      <w:proofErr w:type="spellStart"/>
      <w:r w:rsidRPr="00A31D52">
        <w:rPr>
          <w:sz w:val="24"/>
          <w:szCs w:val="24"/>
        </w:rPr>
        <w:t>renal</w:t>
      </w:r>
      <w:proofErr w:type="spellEnd"/>
      <w:r w:rsidRPr="00A31D52">
        <w:rPr>
          <w:sz w:val="24"/>
          <w:szCs w:val="24"/>
        </w:rPr>
        <w:t xml:space="preserve"> papilnekrose og andre patologiske forandringer i nyrerne. </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 xml:space="preserve">Administration af NSAID kan medføre en dosisafhængig reduktion i dannelsen af </w:t>
      </w:r>
      <w:proofErr w:type="spellStart"/>
      <w:r w:rsidRPr="00A31D52">
        <w:rPr>
          <w:sz w:val="24"/>
          <w:szCs w:val="24"/>
        </w:rPr>
        <w:t>prostaglandin</w:t>
      </w:r>
      <w:proofErr w:type="spellEnd"/>
      <w:r w:rsidRPr="00A31D52">
        <w:rPr>
          <w:sz w:val="24"/>
          <w:szCs w:val="24"/>
        </w:rPr>
        <w:t xml:space="preserve">, og fremkalde nyresvigt. Patienter med nedsat nyrefunktion, hjertesvigt, dysfunktion af leveren og patienter, der tager </w:t>
      </w:r>
      <w:proofErr w:type="spellStart"/>
      <w:proofErr w:type="gramStart"/>
      <w:r w:rsidRPr="00A31D52">
        <w:rPr>
          <w:sz w:val="24"/>
          <w:szCs w:val="24"/>
        </w:rPr>
        <w:t>diuretika,ACE</w:t>
      </w:r>
      <w:proofErr w:type="gramEnd"/>
      <w:r w:rsidRPr="00A31D52">
        <w:rPr>
          <w:sz w:val="24"/>
          <w:szCs w:val="24"/>
        </w:rPr>
        <w:t>-hæmmere</w:t>
      </w:r>
      <w:proofErr w:type="spellEnd"/>
      <w:r w:rsidRPr="00A31D52">
        <w:rPr>
          <w:sz w:val="24"/>
          <w:szCs w:val="24"/>
        </w:rPr>
        <w:t xml:space="preserve">, </w:t>
      </w:r>
      <w:proofErr w:type="spellStart"/>
      <w:r w:rsidRPr="00A31D52">
        <w:rPr>
          <w:sz w:val="24"/>
          <w:szCs w:val="24"/>
        </w:rPr>
        <w:t>angiotensin</w:t>
      </w:r>
      <w:proofErr w:type="spellEnd"/>
      <w:r w:rsidRPr="00A31D52">
        <w:rPr>
          <w:sz w:val="24"/>
          <w:szCs w:val="24"/>
        </w:rPr>
        <w:t xml:space="preserve"> II receptor antagonister og ældre har størst risiko for disse reaktioner. Nyrefunktionen bør også overvåges hos disse patienter (se pkt. 4.</w:t>
      </w:r>
      <w:r w:rsidR="00334421">
        <w:rPr>
          <w:sz w:val="24"/>
          <w:szCs w:val="24"/>
        </w:rPr>
        <w:t>2</w:t>
      </w:r>
      <w:r w:rsidRPr="00A31D52">
        <w:rPr>
          <w:sz w:val="24"/>
          <w:szCs w:val="24"/>
        </w:rPr>
        <w:t xml:space="preserve">). </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u w:val="single"/>
        </w:rPr>
      </w:pPr>
      <w:r w:rsidRPr="00A31D52">
        <w:rPr>
          <w:sz w:val="24"/>
          <w:szCs w:val="24"/>
        </w:rPr>
        <w:t xml:space="preserve">Der har været rapporter om nedsat nyrefunktion, nyresvigt, akut </w:t>
      </w:r>
      <w:proofErr w:type="spellStart"/>
      <w:r w:rsidRPr="00A31D52">
        <w:rPr>
          <w:sz w:val="24"/>
          <w:szCs w:val="24"/>
        </w:rPr>
        <w:t>interstitiel</w:t>
      </w:r>
      <w:proofErr w:type="spellEnd"/>
      <w:r w:rsidRPr="00A31D52">
        <w:rPr>
          <w:sz w:val="24"/>
          <w:szCs w:val="24"/>
        </w:rPr>
        <w:t xml:space="preserve"> </w:t>
      </w:r>
      <w:proofErr w:type="spellStart"/>
      <w:r w:rsidRPr="00A31D52">
        <w:rPr>
          <w:sz w:val="24"/>
          <w:szCs w:val="24"/>
        </w:rPr>
        <w:t>nefritis</w:t>
      </w:r>
      <w:proofErr w:type="spellEnd"/>
      <w:r w:rsidRPr="00A31D52">
        <w:rPr>
          <w:sz w:val="24"/>
          <w:szCs w:val="24"/>
        </w:rPr>
        <w:t xml:space="preserve">, hæmaturi, </w:t>
      </w:r>
      <w:proofErr w:type="spellStart"/>
      <w:r w:rsidRPr="00A31D52">
        <w:rPr>
          <w:sz w:val="24"/>
          <w:szCs w:val="24"/>
        </w:rPr>
        <w:t>proteinuri</w:t>
      </w:r>
      <w:proofErr w:type="spellEnd"/>
      <w:r w:rsidRPr="00A31D52">
        <w:rPr>
          <w:sz w:val="24"/>
          <w:szCs w:val="24"/>
        </w:rPr>
        <w:t xml:space="preserve">, </w:t>
      </w:r>
      <w:proofErr w:type="spellStart"/>
      <w:r w:rsidRPr="00A31D52">
        <w:rPr>
          <w:sz w:val="24"/>
          <w:szCs w:val="24"/>
        </w:rPr>
        <w:t>renal</w:t>
      </w:r>
      <w:proofErr w:type="spellEnd"/>
      <w:r w:rsidRPr="00A31D52">
        <w:rPr>
          <w:sz w:val="24"/>
          <w:szCs w:val="24"/>
        </w:rPr>
        <w:t xml:space="preserve"> papillær nekrose og lejlighedsvis </w:t>
      </w:r>
      <w:proofErr w:type="spellStart"/>
      <w:r w:rsidRPr="00A31D52">
        <w:rPr>
          <w:sz w:val="24"/>
          <w:szCs w:val="24"/>
        </w:rPr>
        <w:t>nefrotisk</w:t>
      </w:r>
      <w:proofErr w:type="spellEnd"/>
      <w:r w:rsidRPr="00A31D52">
        <w:rPr>
          <w:sz w:val="24"/>
          <w:szCs w:val="24"/>
        </w:rPr>
        <w:t xml:space="preserve"> syndrom forbundet med </w:t>
      </w:r>
      <w:proofErr w:type="spellStart"/>
      <w:r w:rsidRPr="00A31D52">
        <w:rPr>
          <w:sz w:val="24"/>
          <w:szCs w:val="24"/>
        </w:rPr>
        <w:t>naproxen</w:t>
      </w:r>
      <w:proofErr w:type="spellEnd"/>
      <w:r w:rsidRPr="00A31D52">
        <w:rPr>
          <w:sz w:val="24"/>
          <w:szCs w:val="24"/>
        </w:rPr>
        <w:t>.</w:t>
      </w:r>
    </w:p>
    <w:p w:rsidR="00A31D52" w:rsidRPr="00A31D52" w:rsidRDefault="00A31D52" w:rsidP="00A31D52">
      <w:pPr>
        <w:tabs>
          <w:tab w:val="left" w:pos="851"/>
        </w:tabs>
        <w:ind w:left="851"/>
        <w:rPr>
          <w:sz w:val="24"/>
          <w:szCs w:val="24"/>
          <w:u w:val="single"/>
        </w:rPr>
      </w:pPr>
    </w:p>
    <w:p w:rsidR="00A31D52" w:rsidRPr="00A31D52" w:rsidRDefault="00A31D52" w:rsidP="00A31D52">
      <w:pPr>
        <w:tabs>
          <w:tab w:val="left" w:pos="851"/>
        </w:tabs>
        <w:ind w:left="851"/>
        <w:rPr>
          <w:sz w:val="24"/>
          <w:szCs w:val="24"/>
        </w:rPr>
      </w:pPr>
      <w:r w:rsidRPr="00A31D52">
        <w:rPr>
          <w:sz w:val="24"/>
          <w:szCs w:val="24"/>
          <w:u w:val="single"/>
        </w:rPr>
        <w:t>Respiratoriske lidelser</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Naproxen</w:t>
      </w:r>
      <w:proofErr w:type="spellEnd"/>
    </w:p>
    <w:p w:rsidR="00A31D52" w:rsidRPr="00A31D52" w:rsidRDefault="00A31D52" w:rsidP="00A31D52">
      <w:pPr>
        <w:tabs>
          <w:tab w:val="left" w:pos="851"/>
        </w:tabs>
        <w:ind w:left="851"/>
        <w:rPr>
          <w:sz w:val="24"/>
          <w:szCs w:val="24"/>
        </w:rPr>
      </w:pPr>
      <w:r w:rsidRPr="00A31D52">
        <w:rPr>
          <w:sz w:val="24"/>
          <w:szCs w:val="24"/>
        </w:rPr>
        <w:t xml:space="preserve">Forsigtighed er påkrævet hvis det administreres til patienter, som lider af eller tidligere har haft bronkial astma eller overfølsomhedssygdom, da </w:t>
      </w:r>
      <w:proofErr w:type="spellStart"/>
      <w:r w:rsidRPr="00A31D52">
        <w:rPr>
          <w:sz w:val="24"/>
          <w:szCs w:val="24"/>
        </w:rPr>
        <w:t>NSAID'er</w:t>
      </w:r>
      <w:proofErr w:type="spellEnd"/>
      <w:r w:rsidRPr="00A31D52">
        <w:rPr>
          <w:sz w:val="24"/>
          <w:szCs w:val="24"/>
        </w:rPr>
        <w:t xml:space="preserve"> er blevet rapporteret at udløse </w:t>
      </w:r>
      <w:proofErr w:type="spellStart"/>
      <w:r w:rsidRPr="00A31D52">
        <w:rPr>
          <w:sz w:val="24"/>
          <w:szCs w:val="24"/>
        </w:rPr>
        <w:t>bronchospasme</w:t>
      </w:r>
      <w:proofErr w:type="spellEnd"/>
      <w:r w:rsidRPr="00A31D52">
        <w:rPr>
          <w:sz w:val="24"/>
          <w:szCs w:val="24"/>
        </w:rPr>
        <w:t xml:space="preserve"> hos disse patienter.</w:t>
      </w:r>
    </w:p>
    <w:p w:rsidR="00A31D52" w:rsidRPr="00A31D52" w:rsidRDefault="00A31D52" w:rsidP="00A31D52">
      <w:pPr>
        <w:tabs>
          <w:tab w:val="left" w:pos="851"/>
        </w:tabs>
        <w:ind w:left="851"/>
        <w:rPr>
          <w:sz w:val="24"/>
          <w:szCs w:val="24"/>
          <w:u w:val="single"/>
        </w:rPr>
      </w:pPr>
    </w:p>
    <w:p w:rsidR="00A31D52" w:rsidRPr="00A31D52" w:rsidRDefault="00A31D52" w:rsidP="00A31D52">
      <w:pPr>
        <w:tabs>
          <w:tab w:val="left" w:pos="851"/>
        </w:tabs>
        <w:ind w:left="851"/>
        <w:rPr>
          <w:sz w:val="24"/>
          <w:szCs w:val="24"/>
          <w:u w:val="single"/>
        </w:rPr>
      </w:pPr>
      <w:r w:rsidRPr="00A31D52">
        <w:rPr>
          <w:sz w:val="24"/>
          <w:szCs w:val="24"/>
          <w:u w:val="single"/>
        </w:rPr>
        <w:t>Ældre</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i/>
          <w:iCs/>
          <w:sz w:val="24"/>
          <w:szCs w:val="24"/>
        </w:rPr>
      </w:pPr>
      <w:proofErr w:type="spellStart"/>
      <w:r w:rsidRPr="00A31D52">
        <w:rPr>
          <w:i/>
          <w:iCs/>
          <w:sz w:val="24"/>
          <w:szCs w:val="24"/>
        </w:rPr>
        <w:t>Naproxen</w:t>
      </w:r>
      <w:proofErr w:type="spellEnd"/>
    </w:p>
    <w:p w:rsidR="00A31D52" w:rsidRPr="00A31D52" w:rsidRDefault="00A31D52" w:rsidP="00A31D52">
      <w:pPr>
        <w:tabs>
          <w:tab w:val="left" w:pos="851"/>
        </w:tabs>
        <w:ind w:left="851"/>
        <w:rPr>
          <w:sz w:val="24"/>
          <w:szCs w:val="24"/>
        </w:rPr>
      </w:pPr>
      <w:r w:rsidRPr="00A31D52">
        <w:rPr>
          <w:sz w:val="24"/>
          <w:szCs w:val="24"/>
        </w:rPr>
        <w:t xml:space="preserve">Ældre og/eller svækkede patienter oplever oftere bivirkninger ved </w:t>
      </w:r>
      <w:proofErr w:type="spellStart"/>
      <w:r w:rsidRPr="00A31D52">
        <w:rPr>
          <w:sz w:val="24"/>
          <w:szCs w:val="24"/>
        </w:rPr>
        <w:t>NSAID'er</w:t>
      </w:r>
      <w:proofErr w:type="spellEnd"/>
      <w:r w:rsidRPr="00A31D52">
        <w:rPr>
          <w:sz w:val="24"/>
          <w:szCs w:val="24"/>
        </w:rPr>
        <w:t xml:space="preserve">, især </w:t>
      </w:r>
      <w:proofErr w:type="spellStart"/>
      <w:r w:rsidRPr="00A31D52">
        <w:rPr>
          <w:sz w:val="24"/>
          <w:szCs w:val="24"/>
        </w:rPr>
        <w:t>gastrointestinal</w:t>
      </w:r>
      <w:proofErr w:type="spellEnd"/>
      <w:r w:rsidRPr="00A31D52">
        <w:rPr>
          <w:sz w:val="24"/>
          <w:szCs w:val="24"/>
        </w:rPr>
        <w:t xml:space="preserve"> blødning og perforation, som kan være fatalt (se pkt. 4.2). Langtidsbrug af </w:t>
      </w:r>
      <w:proofErr w:type="spellStart"/>
      <w:r w:rsidRPr="00A31D52">
        <w:rPr>
          <w:sz w:val="24"/>
          <w:szCs w:val="24"/>
        </w:rPr>
        <w:t>NSAID'er</w:t>
      </w:r>
      <w:proofErr w:type="spellEnd"/>
      <w:r w:rsidRPr="00A31D52">
        <w:rPr>
          <w:sz w:val="24"/>
          <w:szCs w:val="24"/>
        </w:rPr>
        <w:t xml:space="preserve"> anbefales ikke hos disse patienter. I tilfælde, hvor langtidsbehandling kræves, skal patienterne evalueres jævnligt.</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u w:val="single"/>
        </w:rPr>
        <w:t>Anvendelse hos patienter med nedsat lever- eller nyrefunktion</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Naproxen</w:t>
      </w:r>
      <w:proofErr w:type="spellEnd"/>
    </w:p>
    <w:p w:rsidR="00A31D52" w:rsidRPr="00A31D52" w:rsidRDefault="00A31D52" w:rsidP="00A31D52">
      <w:pPr>
        <w:tabs>
          <w:tab w:val="left" w:pos="851"/>
        </w:tabs>
        <w:ind w:left="851"/>
        <w:rPr>
          <w:sz w:val="24"/>
          <w:szCs w:val="24"/>
        </w:rPr>
      </w:pPr>
      <w:r w:rsidRPr="00A31D52">
        <w:rPr>
          <w:sz w:val="24"/>
          <w:szCs w:val="24"/>
        </w:rPr>
        <w:t xml:space="preserve">Som med andre </w:t>
      </w:r>
      <w:proofErr w:type="spellStart"/>
      <w:r w:rsidRPr="00A31D52">
        <w:rPr>
          <w:sz w:val="24"/>
          <w:szCs w:val="24"/>
        </w:rPr>
        <w:t>NSAID'er</w:t>
      </w:r>
      <w:proofErr w:type="spellEnd"/>
      <w:r w:rsidRPr="00A31D52">
        <w:rPr>
          <w:sz w:val="24"/>
          <w:szCs w:val="24"/>
        </w:rPr>
        <w:t xml:space="preserve">, kan forhøjelser af en eller flere leverfunktionsprøver forekomme. Leverabnormiteter kan være resultatet af overfølsomhed snarere end direkte toksicitet. Alvorlige leverreaktioner, herunder gulsot og hepatitis (nogle tilfælde af hepatitis har været dødelige) er blevet rapporteret med dette lægemiddel som med andre </w:t>
      </w:r>
      <w:bookmarkStart w:id="2" w:name="_Hlk96006633"/>
      <w:proofErr w:type="spellStart"/>
      <w:r w:rsidRPr="00A31D52">
        <w:rPr>
          <w:sz w:val="24"/>
          <w:szCs w:val="24"/>
        </w:rPr>
        <w:t>NSAID'er</w:t>
      </w:r>
      <w:bookmarkEnd w:id="2"/>
      <w:proofErr w:type="spellEnd"/>
      <w:r w:rsidRPr="00A31D52">
        <w:rPr>
          <w:sz w:val="24"/>
          <w:szCs w:val="24"/>
        </w:rPr>
        <w:t xml:space="preserve">. </w:t>
      </w:r>
      <w:proofErr w:type="spellStart"/>
      <w:r w:rsidRPr="00A31D52">
        <w:rPr>
          <w:sz w:val="24"/>
          <w:szCs w:val="24"/>
        </w:rPr>
        <w:t>Krydsreaktivitet</w:t>
      </w:r>
      <w:proofErr w:type="spellEnd"/>
      <w:r w:rsidRPr="00A31D52">
        <w:rPr>
          <w:sz w:val="24"/>
          <w:szCs w:val="24"/>
        </w:rPr>
        <w:t xml:space="preserve"> er blevet rapporteret.</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 xml:space="preserve">Hos patienter med nyreinsufficiens skal </w:t>
      </w:r>
      <w:proofErr w:type="spellStart"/>
      <w:r w:rsidRPr="00A31D52">
        <w:rPr>
          <w:sz w:val="24"/>
          <w:szCs w:val="24"/>
        </w:rPr>
        <w:t>naproxen</w:t>
      </w:r>
      <w:proofErr w:type="spellEnd"/>
      <w:r w:rsidRPr="00A31D52">
        <w:rPr>
          <w:sz w:val="24"/>
          <w:szCs w:val="24"/>
        </w:rPr>
        <w:t xml:space="preserve"> administreres med ekstrem forsigtighed, især hvis det drejer sig om en langtidsbehandling. Det skal også sikres, at patienten har en tilstrækkelig diurese.</w:t>
      </w:r>
    </w:p>
    <w:p w:rsidR="00A31D52" w:rsidRPr="00A31D52" w:rsidRDefault="00A31D52" w:rsidP="00A31D52">
      <w:pPr>
        <w:tabs>
          <w:tab w:val="left" w:pos="851"/>
        </w:tabs>
        <w:ind w:left="851"/>
        <w:rPr>
          <w:sz w:val="24"/>
          <w:szCs w:val="24"/>
        </w:rPr>
      </w:pPr>
    </w:p>
    <w:p w:rsidR="00334421" w:rsidRDefault="00A31D52" w:rsidP="00A31D52">
      <w:pPr>
        <w:tabs>
          <w:tab w:val="left" w:pos="851"/>
        </w:tabs>
        <w:ind w:left="851"/>
        <w:rPr>
          <w:sz w:val="24"/>
          <w:szCs w:val="24"/>
        </w:rPr>
      </w:pPr>
      <w:r w:rsidRPr="00A31D52">
        <w:rPr>
          <w:sz w:val="24"/>
          <w:szCs w:val="24"/>
        </w:rPr>
        <w:t xml:space="preserve">I tilfælde af nedsat </w:t>
      </w:r>
      <w:proofErr w:type="spellStart"/>
      <w:r w:rsidRPr="00A31D52">
        <w:rPr>
          <w:sz w:val="24"/>
          <w:szCs w:val="24"/>
        </w:rPr>
        <w:t>renal</w:t>
      </w:r>
      <w:proofErr w:type="spellEnd"/>
      <w:r w:rsidRPr="00A31D52">
        <w:rPr>
          <w:sz w:val="24"/>
          <w:szCs w:val="24"/>
        </w:rPr>
        <w:t xml:space="preserve"> perfusion anbefales det at monitorere nyrefunktionen før og under behandlingen med </w:t>
      </w:r>
      <w:proofErr w:type="spellStart"/>
      <w:r w:rsidRPr="00A31D52">
        <w:rPr>
          <w:sz w:val="24"/>
          <w:szCs w:val="24"/>
        </w:rPr>
        <w:t>naproxen</w:t>
      </w:r>
      <w:proofErr w:type="spellEnd"/>
      <w:r w:rsidRPr="00A31D52">
        <w:rPr>
          <w:sz w:val="24"/>
          <w:szCs w:val="24"/>
        </w:rPr>
        <w:t xml:space="preserve">. </w:t>
      </w:r>
    </w:p>
    <w:p w:rsidR="00334421" w:rsidRDefault="00334421" w:rsidP="00A31D52">
      <w:pPr>
        <w:tabs>
          <w:tab w:val="left" w:pos="851"/>
        </w:tabs>
        <w:ind w:left="851"/>
        <w:rPr>
          <w:i/>
          <w:iCs/>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Sumatriptan</w:t>
      </w:r>
      <w:proofErr w:type="spellEnd"/>
    </w:p>
    <w:p w:rsidR="00A31D52" w:rsidRPr="00A31D52" w:rsidRDefault="00A31D52" w:rsidP="00A31D52">
      <w:pPr>
        <w:tabs>
          <w:tab w:val="left" w:pos="851"/>
        </w:tabs>
        <w:ind w:left="851"/>
        <w:rPr>
          <w:sz w:val="24"/>
          <w:szCs w:val="24"/>
        </w:rPr>
      </w:pPr>
      <w:proofErr w:type="spellStart"/>
      <w:r w:rsidRPr="00A31D52">
        <w:rPr>
          <w:sz w:val="24"/>
          <w:szCs w:val="24"/>
        </w:rPr>
        <w:t>Sumatriptan</w:t>
      </w:r>
      <w:proofErr w:type="spellEnd"/>
      <w:r w:rsidRPr="00A31D52">
        <w:rPr>
          <w:sz w:val="24"/>
          <w:szCs w:val="24"/>
        </w:rPr>
        <w:t xml:space="preserve"> bør administreres med forsigtighed hos patienter med lidelser, der kan medføre væsentlig påvirkning af absorption, metabolisme eller udskillelse af lægemidlet, f.eks. nedsat leverfunktion (Child </w:t>
      </w:r>
      <w:proofErr w:type="spellStart"/>
      <w:r w:rsidRPr="00A31D52">
        <w:rPr>
          <w:sz w:val="24"/>
          <w:szCs w:val="24"/>
        </w:rPr>
        <w:t>Pugh</w:t>
      </w:r>
      <w:proofErr w:type="spellEnd"/>
      <w:r w:rsidRPr="00A31D52">
        <w:rPr>
          <w:sz w:val="24"/>
          <w:szCs w:val="24"/>
        </w:rPr>
        <w:t xml:space="preserve"> klasse A eller B, se pkt. 4.2 og 5.2) eller nedsat nyrefunktion.</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u w:val="single"/>
        </w:rPr>
        <w:lastRenderedPageBreak/>
        <w:t xml:space="preserve">Kombination med andre </w:t>
      </w:r>
      <w:proofErr w:type="spellStart"/>
      <w:r w:rsidRPr="00A31D52">
        <w:rPr>
          <w:sz w:val="24"/>
          <w:szCs w:val="24"/>
          <w:u w:val="single"/>
        </w:rPr>
        <w:t>NSAID'er</w:t>
      </w:r>
      <w:proofErr w:type="spellEnd"/>
      <w:r w:rsidRPr="00A31D52">
        <w:rPr>
          <w:sz w:val="24"/>
          <w:szCs w:val="24"/>
          <w:u w:val="single"/>
        </w:rPr>
        <w:t xml:space="preserve"> </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Naproxen</w:t>
      </w:r>
      <w:proofErr w:type="spellEnd"/>
    </w:p>
    <w:p w:rsidR="00A31D52" w:rsidRPr="00A31D52" w:rsidRDefault="00A31D52" w:rsidP="00A31D52">
      <w:pPr>
        <w:tabs>
          <w:tab w:val="left" w:pos="851"/>
        </w:tabs>
        <w:ind w:left="851"/>
        <w:rPr>
          <w:sz w:val="24"/>
          <w:szCs w:val="24"/>
        </w:rPr>
      </w:pPr>
      <w:r w:rsidRPr="00A31D52">
        <w:rPr>
          <w:sz w:val="24"/>
          <w:szCs w:val="24"/>
        </w:rPr>
        <w:t xml:space="preserve">Samtidig brug af </w:t>
      </w:r>
      <w:proofErr w:type="spellStart"/>
      <w:r w:rsidRPr="00A31D52">
        <w:rPr>
          <w:sz w:val="24"/>
          <w:szCs w:val="24"/>
        </w:rPr>
        <w:t>naproxen</w:t>
      </w:r>
      <w:proofErr w:type="spellEnd"/>
      <w:r w:rsidRPr="00A31D52">
        <w:rPr>
          <w:sz w:val="24"/>
          <w:szCs w:val="24"/>
        </w:rPr>
        <w:t xml:space="preserve"> og andre </w:t>
      </w:r>
      <w:proofErr w:type="spellStart"/>
      <w:proofErr w:type="gramStart"/>
      <w:r w:rsidRPr="00A31D52">
        <w:rPr>
          <w:sz w:val="24"/>
          <w:szCs w:val="24"/>
        </w:rPr>
        <w:t>NSAID'er</w:t>
      </w:r>
      <w:proofErr w:type="spellEnd"/>
      <w:r w:rsidRPr="00A31D52">
        <w:rPr>
          <w:sz w:val="24"/>
          <w:szCs w:val="24"/>
        </w:rPr>
        <w:t xml:space="preserve"> ,</w:t>
      </w:r>
      <w:proofErr w:type="gramEnd"/>
      <w:r w:rsidRPr="00A31D52">
        <w:rPr>
          <w:sz w:val="24"/>
          <w:szCs w:val="24"/>
        </w:rPr>
        <w:t xml:space="preserve"> herunder selektive COX-2-hæmmere, bør </w:t>
      </w:r>
      <w:proofErr w:type="spellStart"/>
      <w:r w:rsidRPr="00A31D52">
        <w:rPr>
          <w:sz w:val="24"/>
          <w:szCs w:val="24"/>
        </w:rPr>
        <w:t>undgås,grundet</w:t>
      </w:r>
      <w:proofErr w:type="spellEnd"/>
      <w:r w:rsidRPr="00A31D52">
        <w:rPr>
          <w:sz w:val="24"/>
          <w:szCs w:val="24"/>
        </w:rPr>
        <w:t xml:space="preserve"> den kumulative risici for at inducere alvorlige NSAID-relaterede bivirkninger.</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u w:val="single"/>
        </w:rPr>
        <w:t>Påvirkninger af synet</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Naproxen</w:t>
      </w:r>
      <w:proofErr w:type="spellEnd"/>
    </w:p>
    <w:p w:rsidR="00A31D52" w:rsidRPr="00A31D52" w:rsidRDefault="00A31D52" w:rsidP="00A31D52">
      <w:pPr>
        <w:tabs>
          <w:tab w:val="left" w:pos="851"/>
        </w:tabs>
        <w:ind w:left="851"/>
        <w:rPr>
          <w:sz w:val="24"/>
          <w:szCs w:val="24"/>
        </w:rPr>
      </w:pPr>
      <w:r w:rsidRPr="00A31D52">
        <w:rPr>
          <w:sz w:val="24"/>
          <w:szCs w:val="24"/>
        </w:rPr>
        <w:t xml:space="preserve">I sjældne tilfælde er der indberettet </w:t>
      </w:r>
      <w:proofErr w:type="spellStart"/>
      <w:r w:rsidRPr="00A31D52">
        <w:rPr>
          <w:sz w:val="24"/>
          <w:szCs w:val="24"/>
        </w:rPr>
        <w:t>okulære</w:t>
      </w:r>
      <w:proofErr w:type="spellEnd"/>
      <w:r w:rsidRPr="00A31D52">
        <w:rPr>
          <w:sz w:val="24"/>
          <w:szCs w:val="24"/>
        </w:rPr>
        <w:t xml:space="preserve"> abnormiteter (se pkt. 4.8) hos patienter, der bruger </w:t>
      </w:r>
      <w:proofErr w:type="spellStart"/>
      <w:proofErr w:type="gramStart"/>
      <w:r w:rsidRPr="00A31D52">
        <w:rPr>
          <w:sz w:val="24"/>
          <w:szCs w:val="24"/>
        </w:rPr>
        <w:t>NSAID'er</w:t>
      </w:r>
      <w:proofErr w:type="spellEnd"/>
      <w:r w:rsidRPr="00A31D52">
        <w:rPr>
          <w:sz w:val="24"/>
          <w:szCs w:val="24"/>
        </w:rPr>
        <w:t xml:space="preserve"> ,</w:t>
      </w:r>
      <w:proofErr w:type="gramEnd"/>
      <w:r w:rsidRPr="00A31D52">
        <w:rPr>
          <w:sz w:val="24"/>
          <w:szCs w:val="24"/>
        </w:rPr>
        <w:t xml:space="preserve"> herunder </w:t>
      </w:r>
      <w:proofErr w:type="spellStart"/>
      <w:r w:rsidRPr="00A31D52">
        <w:rPr>
          <w:sz w:val="24"/>
          <w:szCs w:val="24"/>
        </w:rPr>
        <w:t>naproxen</w:t>
      </w:r>
      <w:proofErr w:type="spellEnd"/>
      <w:r w:rsidRPr="00A31D52">
        <w:rPr>
          <w:sz w:val="24"/>
          <w:szCs w:val="24"/>
        </w:rPr>
        <w:t xml:space="preserve">, selv om der ikke kunne påvises en årsagssammenhæng. Hvis der opstår synsforstyrrelser hos patienter i behandling med </w:t>
      </w:r>
      <w:proofErr w:type="spellStart"/>
      <w:r w:rsidRPr="00A31D52">
        <w:rPr>
          <w:sz w:val="24"/>
          <w:szCs w:val="24"/>
        </w:rPr>
        <w:t>naproxen</w:t>
      </w:r>
      <w:proofErr w:type="spellEnd"/>
      <w:r w:rsidRPr="00A31D52">
        <w:rPr>
          <w:sz w:val="24"/>
          <w:szCs w:val="24"/>
        </w:rPr>
        <w:t>, bør de få foretaget en oftalmologisk undersøgelse.</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u w:val="single"/>
        </w:rPr>
        <w:t>Andre advarsler</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Sumatriptan</w:t>
      </w:r>
      <w:proofErr w:type="spellEnd"/>
    </w:p>
    <w:p w:rsidR="00A31D52" w:rsidRPr="00A31D52" w:rsidRDefault="00A31D52" w:rsidP="00A31D52">
      <w:pPr>
        <w:tabs>
          <w:tab w:val="left" w:pos="851"/>
        </w:tabs>
        <w:ind w:left="851"/>
        <w:rPr>
          <w:sz w:val="24"/>
          <w:szCs w:val="24"/>
        </w:rPr>
      </w:pPr>
      <w:r w:rsidRPr="00A31D52">
        <w:rPr>
          <w:sz w:val="24"/>
          <w:szCs w:val="24"/>
        </w:rPr>
        <w:t xml:space="preserve">Bivirkninger kan være hyppigere ved samtidig brug af </w:t>
      </w:r>
      <w:proofErr w:type="spellStart"/>
      <w:r w:rsidRPr="00A31D52">
        <w:rPr>
          <w:sz w:val="24"/>
          <w:szCs w:val="24"/>
        </w:rPr>
        <w:t>triptaner</w:t>
      </w:r>
      <w:proofErr w:type="spellEnd"/>
      <w:r w:rsidRPr="00A31D52">
        <w:rPr>
          <w:sz w:val="24"/>
          <w:szCs w:val="24"/>
        </w:rPr>
        <w:t xml:space="preserve"> og produkter indeholdende perikon (</w:t>
      </w:r>
      <w:proofErr w:type="spellStart"/>
      <w:r w:rsidRPr="00A31D52">
        <w:rPr>
          <w:i/>
          <w:iCs/>
          <w:sz w:val="24"/>
          <w:szCs w:val="24"/>
        </w:rPr>
        <w:t>Hypericum</w:t>
      </w:r>
      <w:proofErr w:type="spellEnd"/>
      <w:r w:rsidRPr="00A31D52">
        <w:rPr>
          <w:i/>
          <w:iCs/>
          <w:sz w:val="24"/>
          <w:szCs w:val="24"/>
        </w:rPr>
        <w:t xml:space="preserve"> </w:t>
      </w:r>
      <w:proofErr w:type="spellStart"/>
      <w:r w:rsidRPr="00A31D52">
        <w:rPr>
          <w:i/>
          <w:iCs/>
          <w:sz w:val="24"/>
          <w:szCs w:val="24"/>
        </w:rPr>
        <w:t>perforatum</w:t>
      </w:r>
      <w:proofErr w:type="spellEnd"/>
      <w:r w:rsidRPr="00A31D52">
        <w:rPr>
          <w:sz w:val="24"/>
          <w:szCs w:val="24"/>
        </w:rPr>
        <w:t>).</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proofErr w:type="spellStart"/>
      <w:r w:rsidRPr="00A31D52">
        <w:rPr>
          <w:i/>
          <w:iCs/>
          <w:sz w:val="24"/>
          <w:szCs w:val="24"/>
        </w:rPr>
        <w:t>Naproxen</w:t>
      </w:r>
      <w:proofErr w:type="spellEnd"/>
    </w:p>
    <w:p w:rsidR="00A31D52" w:rsidRPr="00A31D52" w:rsidRDefault="00A31D52" w:rsidP="00A31D52">
      <w:pPr>
        <w:tabs>
          <w:tab w:val="left" w:pos="851"/>
        </w:tabs>
        <w:ind w:left="851"/>
        <w:rPr>
          <w:sz w:val="24"/>
          <w:szCs w:val="24"/>
        </w:rPr>
      </w:pPr>
      <w:proofErr w:type="spellStart"/>
      <w:r w:rsidRPr="00A31D52">
        <w:rPr>
          <w:sz w:val="24"/>
          <w:szCs w:val="24"/>
        </w:rPr>
        <w:t>Naproxens</w:t>
      </w:r>
      <w:proofErr w:type="spellEnd"/>
      <w:r w:rsidRPr="00A31D52">
        <w:rPr>
          <w:sz w:val="24"/>
          <w:szCs w:val="24"/>
        </w:rPr>
        <w:t xml:space="preserve"> </w:t>
      </w:r>
      <w:proofErr w:type="spellStart"/>
      <w:r w:rsidRPr="00A31D52">
        <w:rPr>
          <w:sz w:val="24"/>
          <w:szCs w:val="24"/>
        </w:rPr>
        <w:t>antipyretiske</w:t>
      </w:r>
      <w:proofErr w:type="spellEnd"/>
      <w:r w:rsidRPr="00A31D52">
        <w:rPr>
          <w:sz w:val="24"/>
          <w:szCs w:val="24"/>
        </w:rPr>
        <w:t>- og antiinflammatoriske virkning kan reducere feber og betændelse og derved mindske deres anvendelighed som diagnostiske tegn.</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 xml:space="preserve">Ved længerevarende brug af enhver type smertestillende hovedpinemedicin kan hovedpinen blive værre. Hvis denne tilstand udvikles eller mistænkes, skal lægen kontaktes med henblik på afbrydelse af hovedpine-behandlingen. Medicinoverforbrugshovedpine (MOH) bør mistænkes hos patienter med hyppige eller daglige hovedpineanfald på trods af (eller på grund af) regelmæssig brug af hovedpinemedicin. </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 xml:space="preserve">Hos patienter med systemisk lupus </w:t>
      </w:r>
      <w:proofErr w:type="spellStart"/>
      <w:r w:rsidRPr="00A31D52">
        <w:rPr>
          <w:sz w:val="24"/>
          <w:szCs w:val="24"/>
        </w:rPr>
        <w:t>erythematosus</w:t>
      </w:r>
      <w:proofErr w:type="spellEnd"/>
      <w:r w:rsidRPr="00A31D52">
        <w:rPr>
          <w:sz w:val="24"/>
          <w:szCs w:val="24"/>
        </w:rPr>
        <w:t> (SLE) og blandede bindevævssygdomme kan der være en øget risiko for aseptisk meningitis (se pkt. 4.8).</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Hos nogle få patienter er der rapporteret om milde perifere ødemer.</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Der er ikke observeret natriumretention i metaboliske studier, men det kan ikke udelukkes, at visse patienter med (formodentlig) abnorme hjertefunktioner har større risiko for at vise dette bivirkningssymptom.</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 xml:space="preserve">Hvis huden bliver sart, hvis der opstår blærer eller andre symptomer, der tyder på </w:t>
      </w:r>
      <w:proofErr w:type="spellStart"/>
      <w:r w:rsidRPr="00A31D52">
        <w:rPr>
          <w:sz w:val="24"/>
          <w:szCs w:val="24"/>
        </w:rPr>
        <w:t>pseudoporfyri</w:t>
      </w:r>
      <w:proofErr w:type="spellEnd"/>
      <w:r w:rsidRPr="00A31D52">
        <w:rPr>
          <w:sz w:val="24"/>
          <w:szCs w:val="24"/>
        </w:rPr>
        <w:t>, skal behandlingen seponeres, og patienten skal overvåges nøje.</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rPr>
        <w:t xml:space="preserve">I særlige tilfælde kan skoldkopper forårsage alvorlige infektiøse komplikationer i hud og blødt væv. Den dag i dag kan den bidragende rolle af </w:t>
      </w:r>
      <w:proofErr w:type="spellStart"/>
      <w:r w:rsidRPr="00A31D52">
        <w:rPr>
          <w:sz w:val="24"/>
          <w:szCs w:val="24"/>
        </w:rPr>
        <w:t>NSAID'er</w:t>
      </w:r>
      <w:proofErr w:type="spellEnd"/>
      <w:r w:rsidRPr="00A31D52">
        <w:rPr>
          <w:sz w:val="24"/>
          <w:szCs w:val="24"/>
        </w:rPr>
        <w:t xml:space="preserve"> i forstærkningen af disse infektioner ikke udelukkes. Det anbefales derfor at undgå brugen af </w:t>
      </w:r>
      <w:proofErr w:type="spellStart"/>
      <w:r w:rsidRPr="00A31D52">
        <w:rPr>
          <w:sz w:val="24"/>
          <w:szCs w:val="24"/>
        </w:rPr>
        <w:t>naproxen</w:t>
      </w:r>
      <w:proofErr w:type="spellEnd"/>
      <w:r w:rsidRPr="00A31D52">
        <w:rPr>
          <w:sz w:val="24"/>
          <w:szCs w:val="24"/>
        </w:rPr>
        <w:t xml:space="preserve"> i tilfælde af skoldkopper.</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i/>
          <w:iCs/>
          <w:sz w:val="24"/>
          <w:szCs w:val="24"/>
        </w:rPr>
      </w:pPr>
      <w:r w:rsidRPr="00A31D52">
        <w:rPr>
          <w:i/>
          <w:iCs/>
          <w:sz w:val="24"/>
          <w:szCs w:val="24"/>
        </w:rPr>
        <w:t>Ældre patienter</w:t>
      </w:r>
    </w:p>
    <w:p w:rsidR="00A31D52" w:rsidRPr="00A31D52" w:rsidRDefault="00A31D52" w:rsidP="00A31D52">
      <w:pPr>
        <w:tabs>
          <w:tab w:val="left" w:pos="851"/>
        </w:tabs>
        <w:ind w:left="851"/>
        <w:rPr>
          <w:sz w:val="24"/>
          <w:szCs w:val="24"/>
        </w:rPr>
      </w:pPr>
      <w:r w:rsidRPr="00A31D52">
        <w:rPr>
          <w:sz w:val="24"/>
          <w:szCs w:val="24"/>
        </w:rPr>
        <w:lastRenderedPageBreak/>
        <w:t xml:space="preserve">Forsigtighed anbefales når høje doser af </w:t>
      </w:r>
      <w:proofErr w:type="spellStart"/>
      <w:r w:rsidRPr="00A31D52">
        <w:rPr>
          <w:sz w:val="24"/>
          <w:szCs w:val="24"/>
        </w:rPr>
        <w:t>naproxen</w:t>
      </w:r>
      <w:proofErr w:type="spellEnd"/>
      <w:r w:rsidRPr="00A31D52">
        <w:rPr>
          <w:sz w:val="24"/>
          <w:szCs w:val="24"/>
        </w:rPr>
        <w:t xml:space="preserve"> administreres til ældre patienter, da der er indikationer på, at mængden af ikke-proteinbundet </w:t>
      </w:r>
      <w:proofErr w:type="spellStart"/>
      <w:r w:rsidRPr="00A31D52">
        <w:rPr>
          <w:sz w:val="24"/>
          <w:szCs w:val="24"/>
        </w:rPr>
        <w:t>naproxen</w:t>
      </w:r>
      <w:proofErr w:type="spellEnd"/>
      <w:r w:rsidRPr="00A31D52">
        <w:rPr>
          <w:sz w:val="24"/>
          <w:szCs w:val="24"/>
        </w:rPr>
        <w:t xml:space="preserve"> stiger hos disse patienter. Ældre oplever oftere bivirkninger ved </w:t>
      </w:r>
      <w:proofErr w:type="spellStart"/>
      <w:r w:rsidRPr="00A31D52">
        <w:rPr>
          <w:sz w:val="24"/>
          <w:szCs w:val="24"/>
        </w:rPr>
        <w:t>NSAID'er</w:t>
      </w:r>
      <w:proofErr w:type="spellEnd"/>
      <w:r w:rsidRPr="00A31D52">
        <w:rPr>
          <w:sz w:val="24"/>
          <w:szCs w:val="24"/>
        </w:rPr>
        <w:t xml:space="preserve">, især </w:t>
      </w:r>
      <w:proofErr w:type="spellStart"/>
      <w:r w:rsidRPr="00A31D52">
        <w:rPr>
          <w:sz w:val="24"/>
          <w:szCs w:val="24"/>
        </w:rPr>
        <w:t>gastrointestinal</w:t>
      </w:r>
      <w:proofErr w:type="spellEnd"/>
      <w:r w:rsidRPr="00A31D52">
        <w:rPr>
          <w:sz w:val="24"/>
          <w:szCs w:val="24"/>
        </w:rPr>
        <w:t xml:space="preserve"> blødning og perforation, som kan være dødelig (se pkt. 4.2).</w:t>
      </w:r>
    </w:p>
    <w:p w:rsidR="00A31D52" w:rsidRPr="00A31D52" w:rsidRDefault="00A31D52" w:rsidP="00A31D52">
      <w:pPr>
        <w:tabs>
          <w:tab w:val="left" w:pos="851"/>
        </w:tabs>
        <w:ind w:left="851"/>
        <w:rPr>
          <w:sz w:val="24"/>
          <w:szCs w:val="24"/>
        </w:rPr>
      </w:pPr>
    </w:p>
    <w:p w:rsidR="00A31D52" w:rsidRPr="00A31D52" w:rsidRDefault="00A31D52" w:rsidP="00A31D52">
      <w:pPr>
        <w:tabs>
          <w:tab w:val="left" w:pos="851"/>
        </w:tabs>
        <w:ind w:left="851"/>
        <w:rPr>
          <w:sz w:val="24"/>
          <w:szCs w:val="24"/>
        </w:rPr>
      </w:pPr>
      <w:r w:rsidRPr="00A31D52">
        <w:rPr>
          <w:sz w:val="24"/>
          <w:szCs w:val="24"/>
          <w:u w:val="single"/>
        </w:rPr>
        <w:t>Hjælpestoffer</w:t>
      </w:r>
    </w:p>
    <w:p w:rsidR="00A31D52" w:rsidRPr="00A31D52" w:rsidRDefault="00A31D52" w:rsidP="00A31D52">
      <w:pPr>
        <w:tabs>
          <w:tab w:val="left" w:pos="851"/>
        </w:tabs>
        <w:ind w:left="851"/>
        <w:rPr>
          <w:sz w:val="24"/>
          <w:szCs w:val="24"/>
        </w:rPr>
      </w:pPr>
      <w:r w:rsidRPr="00A31D52">
        <w:rPr>
          <w:sz w:val="24"/>
          <w:szCs w:val="24"/>
        </w:rPr>
        <w:t>Dette lægemiddel indeholder 60 mg natrium pr. tablet svarende til 3 % af den WHO anbefalede, ma</w:t>
      </w:r>
      <w:r w:rsidR="00334421">
        <w:rPr>
          <w:sz w:val="24"/>
          <w:szCs w:val="24"/>
        </w:rPr>
        <w:t>ks</w:t>
      </w:r>
      <w:r w:rsidRPr="00A31D52">
        <w:rPr>
          <w:sz w:val="24"/>
          <w:szCs w:val="24"/>
        </w:rPr>
        <w:t>imale, daglige indtagelse af 2 g natrium for en voksen.</w:t>
      </w:r>
    </w:p>
    <w:p w:rsidR="00A31D52" w:rsidRPr="00A31D52" w:rsidRDefault="00A31D52" w:rsidP="00A31D5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411F2" w:rsidRPr="00E411F2" w:rsidRDefault="00E411F2" w:rsidP="00E411F2">
      <w:pPr>
        <w:tabs>
          <w:tab w:val="left" w:pos="851"/>
        </w:tabs>
        <w:ind w:left="851"/>
        <w:rPr>
          <w:sz w:val="24"/>
          <w:szCs w:val="24"/>
        </w:rPr>
      </w:pPr>
      <w:r w:rsidRPr="00E411F2">
        <w:rPr>
          <w:sz w:val="24"/>
          <w:szCs w:val="24"/>
        </w:rPr>
        <w:t>Der er ikke udført interaktionsstudier med Nomigrin og andre lægemidler. Interaktioner med Nomigrin forventes at reflektere de enkelte indholdsstoffer.</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sz w:val="24"/>
          <w:szCs w:val="24"/>
          <w:u w:val="single"/>
        </w:rPr>
        <w:t>Ergotamin</w:t>
      </w:r>
      <w:proofErr w:type="spellEnd"/>
      <w:r w:rsidRPr="00E411F2">
        <w:rPr>
          <w:sz w:val="24"/>
          <w:szCs w:val="24"/>
          <w:u w:val="single"/>
        </w:rPr>
        <w:t xml:space="preserve"> og </w:t>
      </w:r>
      <w:proofErr w:type="spellStart"/>
      <w:r w:rsidRPr="00E411F2">
        <w:rPr>
          <w:sz w:val="24"/>
          <w:szCs w:val="24"/>
          <w:u w:val="single"/>
        </w:rPr>
        <w:t>triptaner</w:t>
      </w:r>
      <w:proofErr w:type="spellEnd"/>
      <w:r w:rsidRPr="00E411F2">
        <w:rPr>
          <w:sz w:val="24"/>
          <w:szCs w:val="24"/>
          <w:u w:val="single"/>
        </w:rPr>
        <w:t>/5-HT1-receptoragonister</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i/>
          <w:iCs/>
          <w:sz w:val="24"/>
          <w:szCs w:val="24"/>
        </w:rPr>
        <w:t>Sumatriptan</w:t>
      </w:r>
      <w:proofErr w:type="spellEnd"/>
    </w:p>
    <w:p w:rsidR="00E411F2" w:rsidRPr="00E411F2" w:rsidRDefault="00E411F2" w:rsidP="00E411F2">
      <w:pPr>
        <w:tabs>
          <w:tab w:val="left" w:pos="851"/>
        </w:tabs>
        <w:ind w:left="851"/>
        <w:rPr>
          <w:sz w:val="24"/>
          <w:szCs w:val="24"/>
        </w:rPr>
      </w:pPr>
      <w:proofErr w:type="spellStart"/>
      <w:r w:rsidRPr="00E411F2">
        <w:rPr>
          <w:sz w:val="24"/>
          <w:szCs w:val="24"/>
        </w:rPr>
        <w:t>Ergotaminholdige</w:t>
      </w:r>
      <w:proofErr w:type="spellEnd"/>
      <w:r w:rsidRPr="00E411F2">
        <w:rPr>
          <w:sz w:val="24"/>
          <w:szCs w:val="24"/>
        </w:rPr>
        <w:t xml:space="preserve"> præparater er blevet rapporteret at forårsage langvarige </w:t>
      </w:r>
      <w:proofErr w:type="spellStart"/>
      <w:r w:rsidRPr="00E411F2">
        <w:rPr>
          <w:sz w:val="24"/>
          <w:szCs w:val="24"/>
        </w:rPr>
        <w:t>vasospastiske</w:t>
      </w:r>
      <w:proofErr w:type="spellEnd"/>
      <w:r w:rsidRPr="00E411F2">
        <w:rPr>
          <w:sz w:val="24"/>
          <w:szCs w:val="24"/>
        </w:rPr>
        <w:t xml:space="preserve"> reaktioner. Fordi der er et teoretiske grundlag for, at disse virkninger er </w:t>
      </w:r>
      <w:proofErr w:type="spellStart"/>
      <w:r w:rsidRPr="00E411F2">
        <w:rPr>
          <w:sz w:val="24"/>
          <w:szCs w:val="24"/>
        </w:rPr>
        <w:t>additive</w:t>
      </w:r>
      <w:proofErr w:type="spellEnd"/>
      <w:r w:rsidRPr="00E411F2">
        <w:rPr>
          <w:sz w:val="24"/>
          <w:szCs w:val="24"/>
        </w:rPr>
        <w:t xml:space="preserve">, er </w:t>
      </w:r>
      <w:proofErr w:type="spellStart"/>
      <w:r w:rsidRPr="00E411F2">
        <w:rPr>
          <w:sz w:val="24"/>
          <w:szCs w:val="24"/>
        </w:rPr>
        <w:t>ergotamindholdige</w:t>
      </w:r>
      <w:proofErr w:type="spellEnd"/>
      <w:r w:rsidRPr="00E411F2">
        <w:rPr>
          <w:sz w:val="24"/>
          <w:szCs w:val="24"/>
        </w:rPr>
        <w:t xml:space="preserve"> eller af typen </w:t>
      </w:r>
      <w:proofErr w:type="spellStart"/>
      <w:r w:rsidRPr="00E411F2">
        <w:rPr>
          <w:sz w:val="24"/>
          <w:szCs w:val="24"/>
        </w:rPr>
        <w:t>ergotamin</w:t>
      </w:r>
      <w:proofErr w:type="spellEnd"/>
      <w:r w:rsidRPr="00E411F2">
        <w:rPr>
          <w:sz w:val="24"/>
          <w:szCs w:val="24"/>
        </w:rPr>
        <w:t xml:space="preserve">-lægemidler (såsom </w:t>
      </w:r>
      <w:proofErr w:type="spellStart"/>
      <w:r w:rsidRPr="00E411F2">
        <w:rPr>
          <w:sz w:val="24"/>
          <w:szCs w:val="24"/>
        </w:rPr>
        <w:t>dihydroergotamin</w:t>
      </w:r>
      <w:proofErr w:type="spellEnd"/>
      <w:r w:rsidRPr="00E411F2">
        <w:rPr>
          <w:sz w:val="24"/>
          <w:szCs w:val="24"/>
        </w:rPr>
        <w:t xml:space="preserve"> eller </w:t>
      </w:r>
      <w:proofErr w:type="spellStart"/>
      <w:r w:rsidRPr="00E411F2">
        <w:rPr>
          <w:sz w:val="24"/>
          <w:szCs w:val="24"/>
        </w:rPr>
        <w:t>methysergid</w:t>
      </w:r>
      <w:proofErr w:type="spellEnd"/>
      <w:r w:rsidRPr="00E411F2">
        <w:rPr>
          <w:sz w:val="24"/>
          <w:szCs w:val="24"/>
        </w:rPr>
        <w:t xml:space="preserve">) kontraindiceret inden for 24 timer efter administration af </w:t>
      </w:r>
      <w:proofErr w:type="spellStart"/>
      <w:r w:rsidRPr="00E411F2">
        <w:rPr>
          <w:sz w:val="24"/>
          <w:szCs w:val="24"/>
        </w:rPr>
        <w:t>sumatriptan</w:t>
      </w:r>
      <w:proofErr w:type="spellEnd"/>
      <w:r w:rsidRPr="00E411F2">
        <w:rPr>
          <w:sz w:val="24"/>
          <w:szCs w:val="24"/>
        </w:rPr>
        <w:t>/</w:t>
      </w:r>
      <w:proofErr w:type="spellStart"/>
      <w:r w:rsidRPr="00E411F2">
        <w:rPr>
          <w:sz w:val="24"/>
          <w:szCs w:val="24"/>
        </w:rPr>
        <w:t>naproxen</w:t>
      </w:r>
      <w:proofErr w:type="spellEnd"/>
      <w:r w:rsidRPr="00E411F2">
        <w:rPr>
          <w:sz w:val="24"/>
          <w:szCs w:val="24"/>
        </w:rPr>
        <w:t xml:space="preserve"> (se pkt. 4.3).</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r w:rsidRPr="00E411F2">
        <w:rPr>
          <w:sz w:val="24"/>
          <w:szCs w:val="24"/>
        </w:rPr>
        <w:t xml:space="preserve">Administrationen af </w:t>
      </w:r>
      <w:proofErr w:type="spellStart"/>
      <w:r w:rsidRPr="00E411F2">
        <w:rPr>
          <w:sz w:val="24"/>
          <w:szCs w:val="24"/>
        </w:rPr>
        <w:t>sumatriptan</w:t>
      </w:r>
      <w:proofErr w:type="spellEnd"/>
      <w:r w:rsidRPr="00E411F2">
        <w:rPr>
          <w:sz w:val="24"/>
          <w:szCs w:val="24"/>
        </w:rPr>
        <w:t>/</w:t>
      </w:r>
      <w:proofErr w:type="spellStart"/>
      <w:r w:rsidRPr="00E411F2">
        <w:rPr>
          <w:sz w:val="24"/>
          <w:szCs w:val="24"/>
        </w:rPr>
        <w:t>naproxen</w:t>
      </w:r>
      <w:proofErr w:type="spellEnd"/>
      <w:r w:rsidRPr="00E411F2">
        <w:rPr>
          <w:sz w:val="24"/>
          <w:szCs w:val="24"/>
        </w:rPr>
        <w:t xml:space="preserve"> med andre 5-HT1-agonister er ikke blevet klarlagt hos migrænepatienter. Fordi en øget risiko for </w:t>
      </w:r>
      <w:proofErr w:type="spellStart"/>
      <w:r w:rsidRPr="00E411F2">
        <w:rPr>
          <w:sz w:val="24"/>
          <w:szCs w:val="24"/>
        </w:rPr>
        <w:t>koronar</w:t>
      </w:r>
      <w:proofErr w:type="spellEnd"/>
      <w:r w:rsidRPr="00E411F2">
        <w:rPr>
          <w:sz w:val="24"/>
          <w:szCs w:val="24"/>
        </w:rPr>
        <w:t xml:space="preserve"> </w:t>
      </w:r>
      <w:proofErr w:type="spellStart"/>
      <w:r w:rsidRPr="00E411F2">
        <w:rPr>
          <w:sz w:val="24"/>
          <w:szCs w:val="24"/>
        </w:rPr>
        <w:t>vasospasme</w:t>
      </w:r>
      <w:proofErr w:type="spellEnd"/>
      <w:r w:rsidRPr="00E411F2">
        <w:rPr>
          <w:sz w:val="24"/>
          <w:szCs w:val="24"/>
        </w:rPr>
        <w:t xml:space="preserve"> er en teoretisk mulighed ved samtidig administration af 5-HT1-agonister, er brugen af disse lægemidler inden for 24 timer efter hinanden kontraindiceret (se pkt. 4.3).</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sz w:val="24"/>
          <w:szCs w:val="24"/>
          <w:u w:val="single"/>
        </w:rPr>
        <w:t>Monoaminoxidasehæmmer</w:t>
      </w:r>
      <w:proofErr w:type="spellEnd"/>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i/>
          <w:iCs/>
          <w:sz w:val="24"/>
          <w:szCs w:val="24"/>
        </w:rPr>
        <w:t>Sumatriptan</w:t>
      </w:r>
      <w:proofErr w:type="spellEnd"/>
    </w:p>
    <w:p w:rsidR="00E411F2" w:rsidRPr="00E411F2" w:rsidRDefault="00E411F2" w:rsidP="00E411F2">
      <w:pPr>
        <w:tabs>
          <w:tab w:val="left" w:pos="851"/>
        </w:tabs>
        <w:ind w:left="851"/>
        <w:rPr>
          <w:sz w:val="24"/>
          <w:szCs w:val="24"/>
        </w:rPr>
      </w:pPr>
      <w:r w:rsidRPr="00E411F2">
        <w:rPr>
          <w:sz w:val="24"/>
          <w:szCs w:val="24"/>
        </w:rPr>
        <w:t>I studier, udført på et begrænset antal patienter, reducerede MAO-</w:t>
      </w:r>
      <w:proofErr w:type="spellStart"/>
      <w:r w:rsidRPr="00E411F2">
        <w:rPr>
          <w:sz w:val="24"/>
          <w:szCs w:val="24"/>
        </w:rPr>
        <w:t>hæmmere</w:t>
      </w:r>
      <w:proofErr w:type="spellEnd"/>
      <w:r w:rsidRPr="00E411F2">
        <w:rPr>
          <w:sz w:val="24"/>
          <w:szCs w:val="24"/>
        </w:rPr>
        <w:t xml:space="preserve"> </w:t>
      </w:r>
      <w:proofErr w:type="spellStart"/>
      <w:r w:rsidRPr="00E411F2">
        <w:rPr>
          <w:sz w:val="24"/>
          <w:szCs w:val="24"/>
        </w:rPr>
        <w:t>sumatriptansuccinat</w:t>
      </w:r>
      <w:proofErr w:type="spellEnd"/>
      <w:r w:rsidRPr="00E411F2">
        <w:rPr>
          <w:sz w:val="24"/>
          <w:szCs w:val="24"/>
        </w:rPr>
        <w:t xml:space="preserve"> udskillelsen, hvilket signifikant øgede den systemiske eksponering. Derfor er behandling med </w:t>
      </w:r>
      <w:proofErr w:type="spellStart"/>
      <w:r w:rsidRPr="00E411F2">
        <w:rPr>
          <w:sz w:val="24"/>
          <w:szCs w:val="24"/>
        </w:rPr>
        <w:t>sumatriptan</w:t>
      </w:r>
      <w:proofErr w:type="spellEnd"/>
      <w:r w:rsidRPr="00E411F2">
        <w:rPr>
          <w:sz w:val="24"/>
          <w:szCs w:val="24"/>
        </w:rPr>
        <w:t>/</w:t>
      </w:r>
      <w:proofErr w:type="spellStart"/>
      <w:r w:rsidRPr="00E411F2">
        <w:rPr>
          <w:sz w:val="24"/>
          <w:szCs w:val="24"/>
        </w:rPr>
        <w:t>naproxen</w:t>
      </w:r>
      <w:proofErr w:type="spellEnd"/>
      <w:r w:rsidRPr="00E411F2">
        <w:rPr>
          <w:sz w:val="24"/>
          <w:szCs w:val="24"/>
        </w:rPr>
        <w:t xml:space="preserve"> kontraindiceret hos patienter, der får MAO-</w:t>
      </w:r>
      <w:proofErr w:type="spellStart"/>
      <w:r w:rsidRPr="00E411F2">
        <w:rPr>
          <w:sz w:val="24"/>
          <w:szCs w:val="24"/>
        </w:rPr>
        <w:t>hæmmere</w:t>
      </w:r>
      <w:proofErr w:type="spellEnd"/>
      <w:r w:rsidRPr="00E411F2">
        <w:rPr>
          <w:sz w:val="24"/>
          <w:szCs w:val="24"/>
        </w:rPr>
        <w:t xml:space="preserve"> og inden for 2 uger efter </w:t>
      </w:r>
      <w:proofErr w:type="spellStart"/>
      <w:r w:rsidRPr="00E411F2">
        <w:rPr>
          <w:sz w:val="24"/>
          <w:szCs w:val="24"/>
        </w:rPr>
        <w:t>seponering</w:t>
      </w:r>
      <w:proofErr w:type="spellEnd"/>
      <w:r w:rsidRPr="00E411F2">
        <w:rPr>
          <w:sz w:val="24"/>
          <w:szCs w:val="24"/>
        </w:rPr>
        <w:t xml:space="preserve"> af behandling med MAO-</w:t>
      </w:r>
      <w:proofErr w:type="spellStart"/>
      <w:r w:rsidRPr="00E411F2">
        <w:rPr>
          <w:sz w:val="24"/>
          <w:szCs w:val="24"/>
        </w:rPr>
        <w:t>hæmmere</w:t>
      </w:r>
      <w:proofErr w:type="spellEnd"/>
      <w:r w:rsidRPr="00E411F2">
        <w:rPr>
          <w:sz w:val="24"/>
          <w:szCs w:val="24"/>
        </w:rPr>
        <w:t xml:space="preserve"> (se pkt. 4.3).</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u w:val="single"/>
        </w:rPr>
      </w:pPr>
      <w:r w:rsidRPr="00E411F2">
        <w:rPr>
          <w:sz w:val="24"/>
          <w:szCs w:val="24"/>
          <w:u w:val="single"/>
        </w:rPr>
        <w:t xml:space="preserve">Selektive </w:t>
      </w:r>
      <w:proofErr w:type="spellStart"/>
      <w:r w:rsidRPr="00E411F2">
        <w:rPr>
          <w:sz w:val="24"/>
          <w:szCs w:val="24"/>
          <w:u w:val="single"/>
        </w:rPr>
        <w:t>serotoningenoptagelseshæmmere</w:t>
      </w:r>
      <w:proofErr w:type="spellEnd"/>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i/>
          <w:iCs/>
          <w:sz w:val="24"/>
          <w:szCs w:val="24"/>
        </w:rPr>
        <w:t>Sumatriptan</w:t>
      </w:r>
      <w:proofErr w:type="spellEnd"/>
    </w:p>
    <w:p w:rsidR="00E411F2" w:rsidRPr="00E411F2" w:rsidRDefault="00E411F2" w:rsidP="00E411F2">
      <w:pPr>
        <w:tabs>
          <w:tab w:val="left" w:pos="851"/>
        </w:tabs>
        <w:ind w:left="851"/>
        <w:rPr>
          <w:sz w:val="24"/>
          <w:szCs w:val="24"/>
        </w:rPr>
      </w:pPr>
      <w:r w:rsidRPr="00E411F2">
        <w:rPr>
          <w:sz w:val="24"/>
          <w:szCs w:val="24"/>
        </w:rPr>
        <w:t xml:space="preserve">Der er rapporteret sjældne tilfælde af serotoninsyndrom efter markedsføring (herunder ændret mental status, </w:t>
      </w:r>
      <w:proofErr w:type="spellStart"/>
      <w:r w:rsidRPr="00E411F2">
        <w:rPr>
          <w:sz w:val="24"/>
          <w:szCs w:val="24"/>
        </w:rPr>
        <w:t>autonomisk</w:t>
      </w:r>
      <w:proofErr w:type="spellEnd"/>
      <w:r w:rsidRPr="00E411F2">
        <w:rPr>
          <w:sz w:val="24"/>
          <w:szCs w:val="24"/>
        </w:rPr>
        <w:t xml:space="preserve"> uligevægt og </w:t>
      </w:r>
      <w:proofErr w:type="spellStart"/>
      <w:r w:rsidRPr="00E411F2">
        <w:rPr>
          <w:sz w:val="24"/>
          <w:szCs w:val="24"/>
        </w:rPr>
        <w:t>neuromuskulære</w:t>
      </w:r>
      <w:proofErr w:type="spellEnd"/>
      <w:r w:rsidRPr="00E411F2">
        <w:rPr>
          <w:sz w:val="24"/>
          <w:szCs w:val="24"/>
        </w:rPr>
        <w:t xml:space="preserve"> </w:t>
      </w:r>
      <w:proofErr w:type="spellStart"/>
      <w:r w:rsidRPr="00E411F2">
        <w:rPr>
          <w:sz w:val="24"/>
          <w:szCs w:val="24"/>
        </w:rPr>
        <w:t>abnormaliteter</w:t>
      </w:r>
      <w:proofErr w:type="spellEnd"/>
      <w:r w:rsidRPr="00E411F2">
        <w:rPr>
          <w:sz w:val="24"/>
          <w:szCs w:val="24"/>
        </w:rPr>
        <w:t xml:space="preserve">) set efter brug af </w:t>
      </w:r>
      <w:proofErr w:type="spellStart"/>
      <w:r w:rsidRPr="00E411F2">
        <w:rPr>
          <w:sz w:val="24"/>
          <w:szCs w:val="24"/>
        </w:rPr>
        <w:t>SSRI</w:t>
      </w:r>
      <w:r w:rsidR="00384D47">
        <w:rPr>
          <w:sz w:val="24"/>
          <w:szCs w:val="24"/>
        </w:rPr>
        <w:t>'</w:t>
      </w:r>
      <w:r w:rsidRPr="00E411F2">
        <w:rPr>
          <w:sz w:val="24"/>
          <w:szCs w:val="24"/>
        </w:rPr>
        <w:t>er</w:t>
      </w:r>
      <w:proofErr w:type="spellEnd"/>
      <w:r w:rsidRPr="00E411F2">
        <w:rPr>
          <w:sz w:val="24"/>
          <w:szCs w:val="24"/>
        </w:rPr>
        <w:t xml:space="preserve"> og </w:t>
      </w:r>
      <w:proofErr w:type="spellStart"/>
      <w:r w:rsidRPr="00E411F2">
        <w:rPr>
          <w:sz w:val="24"/>
          <w:szCs w:val="24"/>
        </w:rPr>
        <w:t>sumatriptan</w:t>
      </w:r>
      <w:proofErr w:type="spellEnd"/>
      <w:r w:rsidRPr="00E411F2">
        <w:rPr>
          <w:sz w:val="24"/>
          <w:szCs w:val="24"/>
        </w:rPr>
        <w:t xml:space="preserve">. Serotoninsyndrom er også blevet rapporteret efter samtidig behandling med </w:t>
      </w:r>
      <w:proofErr w:type="spellStart"/>
      <w:r w:rsidRPr="00E411F2">
        <w:rPr>
          <w:sz w:val="24"/>
          <w:szCs w:val="24"/>
        </w:rPr>
        <w:t>triptaner</w:t>
      </w:r>
      <w:proofErr w:type="spellEnd"/>
      <w:r w:rsidRPr="00E411F2">
        <w:rPr>
          <w:sz w:val="24"/>
          <w:szCs w:val="24"/>
        </w:rPr>
        <w:t xml:space="preserve"> og </w:t>
      </w:r>
      <w:proofErr w:type="spellStart"/>
      <w:r w:rsidRPr="00E411F2">
        <w:rPr>
          <w:sz w:val="24"/>
          <w:szCs w:val="24"/>
        </w:rPr>
        <w:t>SNRI'er</w:t>
      </w:r>
      <w:proofErr w:type="spellEnd"/>
      <w:r w:rsidRPr="00E411F2">
        <w:rPr>
          <w:sz w:val="24"/>
          <w:szCs w:val="24"/>
        </w:rPr>
        <w:t xml:space="preserve"> (se pkt. 4.4).</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i/>
          <w:iCs/>
          <w:sz w:val="24"/>
          <w:szCs w:val="24"/>
        </w:rPr>
        <w:t>Naproxen</w:t>
      </w:r>
      <w:proofErr w:type="spellEnd"/>
    </w:p>
    <w:p w:rsidR="00E411F2" w:rsidRPr="00E411F2" w:rsidRDefault="00E411F2" w:rsidP="00E411F2">
      <w:pPr>
        <w:tabs>
          <w:tab w:val="left" w:pos="851"/>
        </w:tabs>
        <w:ind w:left="851"/>
        <w:rPr>
          <w:sz w:val="24"/>
          <w:szCs w:val="24"/>
        </w:rPr>
      </w:pPr>
      <w:r w:rsidRPr="00E411F2">
        <w:rPr>
          <w:sz w:val="24"/>
          <w:szCs w:val="24"/>
        </w:rPr>
        <w:t xml:space="preserve">Der er en øget risiko for </w:t>
      </w:r>
      <w:proofErr w:type="spellStart"/>
      <w:r w:rsidRPr="00E411F2">
        <w:rPr>
          <w:sz w:val="24"/>
          <w:szCs w:val="24"/>
        </w:rPr>
        <w:t>gastrointestinal</w:t>
      </w:r>
      <w:proofErr w:type="spellEnd"/>
      <w:r w:rsidRPr="00E411F2">
        <w:rPr>
          <w:sz w:val="24"/>
          <w:szCs w:val="24"/>
        </w:rPr>
        <w:t xml:space="preserve"> blødning (se pkt. 4.4) når SSRI kombineres med </w:t>
      </w:r>
      <w:proofErr w:type="spellStart"/>
      <w:r w:rsidRPr="00E411F2">
        <w:rPr>
          <w:sz w:val="24"/>
          <w:szCs w:val="24"/>
        </w:rPr>
        <w:t>NSAID</w:t>
      </w:r>
      <w:r w:rsidR="00384D47">
        <w:rPr>
          <w:sz w:val="24"/>
          <w:szCs w:val="24"/>
        </w:rPr>
        <w:t>'</w:t>
      </w:r>
      <w:r w:rsidRPr="00E411F2">
        <w:rPr>
          <w:sz w:val="24"/>
          <w:szCs w:val="24"/>
        </w:rPr>
        <w:t>er</w:t>
      </w:r>
      <w:proofErr w:type="spellEnd"/>
      <w:r w:rsidRPr="00E411F2">
        <w:rPr>
          <w:sz w:val="24"/>
          <w:szCs w:val="24"/>
        </w:rPr>
        <w:t>.</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u w:val="single"/>
        </w:rPr>
      </w:pPr>
      <w:proofErr w:type="spellStart"/>
      <w:r w:rsidRPr="00E411F2">
        <w:rPr>
          <w:sz w:val="24"/>
          <w:szCs w:val="24"/>
          <w:u w:val="single"/>
        </w:rPr>
        <w:t>Antikoagulantia</w:t>
      </w:r>
      <w:proofErr w:type="spellEnd"/>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i/>
          <w:iCs/>
          <w:sz w:val="24"/>
          <w:szCs w:val="24"/>
        </w:rPr>
        <w:t>Naproxen</w:t>
      </w:r>
      <w:proofErr w:type="spellEnd"/>
    </w:p>
    <w:p w:rsidR="00C44445" w:rsidRDefault="00E411F2" w:rsidP="00334421">
      <w:pPr>
        <w:tabs>
          <w:tab w:val="left" w:pos="851"/>
        </w:tabs>
        <w:ind w:left="851"/>
        <w:rPr>
          <w:sz w:val="24"/>
          <w:szCs w:val="24"/>
        </w:rPr>
      </w:pPr>
      <w:r w:rsidRPr="00E411F2">
        <w:rPr>
          <w:sz w:val="24"/>
          <w:szCs w:val="24"/>
        </w:rPr>
        <w:lastRenderedPageBreak/>
        <w:t xml:space="preserve">Det anses for farligt at tage </w:t>
      </w:r>
      <w:proofErr w:type="spellStart"/>
      <w:r w:rsidRPr="00E411F2">
        <w:rPr>
          <w:sz w:val="24"/>
          <w:szCs w:val="24"/>
        </w:rPr>
        <w:t>NSAID</w:t>
      </w:r>
      <w:r w:rsidR="00384D47">
        <w:rPr>
          <w:sz w:val="24"/>
          <w:szCs w:val="24"/>
        </w:rPr>
        <w:t>'</w:t>
      </w:r>
      <w:r w:rsidRPr="00E411F2">
        <w:rPr>
          <w:sz w:val="24"/>
          <w:szCs w:val="24"/>
        </w:rPr>
        <w:t>er</w:t>
      </w:r>
      <w:proofErr w:type="spellEnd"/>
      <w:r w:rsidRPr="00E411F2">
        <w:rPr>
          <w:sz w:val="24"/>
          <w:szCs w:val="24"/>
        </w:rPr>
        <w:t xml:space="preserve"> i kombination med </w:t>
      </w:r>
      <w:proofErr w:type="spellStart"/>
      <w:r w:rsidRPr="00E411F2">
        <w:rPr>
          <w:sz w:val="24"/>
          <w:szCs w:val="24"/>
        </w:rPr>
        <w:t>antikoagulantia</w:t>
      </w:r>
      <w:proofErr w:type="spellEnd"/>
      <w:r w:rsidRPr="00E411F2">
        <w:rPr>
          <w:sz w:val="24"/>
          <w:szCs w:val="24"/>
        </w:rPr>
        <w:t xml:space="preserve"> såsom </w:t>
      </w:r>
      <w:proofErr w:type="spellStart"/>
      <w:r w:rsidRPr="00E411F2">
        <w:rPr>
          <w:sz w:val="24"/>
          <w:szCs w:val="24"/>
        </w:rPr>
        <w:t>warfarin</w:t>
      </w:r>
      <w:proofErr w:type="spellEnd"/>
      <w:r w:rsidRPr="00E411F2">
        <w:rPr>
          <w:sz w:val="24"/>
          <w:szCs w:val="24"/>
        </w:rPr>
        <w:t xml:space="preserve"> eller </w:t>
      </w:r>
      <w:proofErr w:type="spellStart"/>
      <w:r w:rsidRPr="00E411F2">
        <w:rPr>
          <w:sz w:val="24"/>
          <w:szCs w:val="24"/>
        </w:rPr>
        <w:t>heparin</w:t>
      </w:r>
      <w:proofErr w:type="spellEnd"/>
      <w:r w:rsidRPr="00E411F2">
        <w:rPr>
          <w:sz w:val="24"/>
          <w:szCs w:val="24"/>
        </w:rPr>
        <w:t xml:space="preserve">, medmindre det er under direkte lægetilsyn, da </w:t>
      </w:r>
      <w:proofErr w:type="spellStart"/>
      <w:r w:rsidRPr="00E411F2">
        <w:rPr>
          <w:sz w:val="24"/>
          <w:szCs w:val="24"/>
        </w:rPr>
        <w:t>NSAID</w:t>
      </w:r>
      <w:r w:rsidR="00384D47">
        <w:rPr>
          <w:sz w:val="24"/>
          <w:szCs w:val="24"/>
        </w:rPr>
        <w:t>'</w:t>
      </w:r>
      <w:r w:rsidRPr="00E411F2">
        <w:rPr>
          <w:sz w:val="24"/>
          <w:szCs w:val="24"/>
        </w:rPr>
        <w:t>er</w:t>
      </w:r>
      <w:proofErr w:type="spellEnd"/>
      <w:r w:rsidRPr="00E411F2">
        <w:rPr>
          <w:sz w:val="24"/>
          <w:szCs w:val="24"/>
        </w:rPr>
        <w:t xml:space="preserve"> kan forstærke virkningen af </w:t>
      </w:r>
      <w:proofErr w:type="spellStart"/>
      <w:r w:rsidRPr="00E411F2">
        <w:rPr>
          <w:sz w:val="24"/>
          <w:szCs w:val="24"/>
        </w:rPr>
        <w:t>antikoagulantia</w:t>
      </w:r>
      <w:proofErr w:type="spellEnd"/>
      <w:r w:rsidRPr="00E411F2">
        <w:rPr>
          <w:sz w:val="24"/>
          <w:szCs w:val="24"/>
        </w:rPr>
        <w:t xml:space="preserve"> (se pkt. 4.4).</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iCs/>
          <w:sz w:val="24"/>
          <w:szCs w:val="24"/>
          <w:u w:val="single"/>
        </w:rPr>
      </w:pPr>
      <w:proofErr w:type="spellStart"/>
      <w:r w:rsidRPr="00E411F2">
        <w:rPr>
          <w:iCs/>
          <w:sz w:val="24"/>
          <w:szCs w:val="24"/>
          <w:u w:val="single"/>
        </w:rPr>
        <w:t>Methotrexat</w:t>
      </w:r>
      <w:proofErr w:type="spellEnd"/>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i/>
          <w:iCs/>
          <w:sz w:val="24"/>
          <w:szCs w:val="24"/>
        </w:rPr>
        <w:t>Naproxen</w:t>
      </w:r>
      <w:proofErr w:type="spellEnd"/>
    </w:p>
    <w:p w:rsidR="00E411F2" w:rsidRPr="00E411F2" w:rsidRDefault="00E411F2" w:rsidP="00E411F2">
      <w:pPr>
        <w:tabs>
          <w:tab w:val="left" w:pos="851"/>
        </w:tabs>
        <w:ind w:left="851"/>
        <w:rPr>
          <w:sz w:val="24"/>
          <w:szCs w:val="24"/>
        </w:rPr>
      </w:pPr>
      <w:r w:rsidRPr="00E411F2">
        <w:rPr>
          <w:sz w:val="24"/>
          <w:szCs w:val="24"/>
        </w:rPr>
        <w:t xml:space="preserve">Der skal udvises forsigtighed når </w:t>
      </w:r>
      <w:proofErr w:type="spellStart"/>
      <w:r w:rsidRPr="00E411F2">
        <w:rPr>
          <w:sz w:val="24"/>
          <w:szCs w:val="24"/>
        </w:rPr>
        <w:t>methotrexat</w:t>
      </w:r>
      <w:proofErr w:type="spellEnd"/>
      <w:r w:rsidRPr="00E411F2">
        <w:rPr>
          <w:sz w:val="24"/>
          <w:szCs w:val="24"/>
        </w:rPr>
        <w:t xml:space="preserve"> gives samtidig, grundet muligheden for at </w:t>
      </w:r>
      <w:proofErr w:type="spellStart"/>
      <w:r w:rsidRPr="00E411F2">
        <w:rPr>
          <w:sz w:val="24"/>
          <w:szCs w:val="24"/>
        </w:rPr>
        <w:t>methotrexats</w:t>
      </w:r>
      <w:proofErr w:type="spellEnd"/>
      <w:r w:rsidRPr="00E411F2">
        <w:rPr>
          <w:sz w:val="24"/>
          <w:szCs w:val="24"/>
        </w:rPr>
        <w:t xml:space="preserve"> toksicitet kan forøges, da </w:t>
      </w:r>
      <w:proofErr w:type="spellStart"/>
      <w:r w:rsidRPr="00E411F2">
        <w:rPr>
          <w:sz w:val="24"/>
          <w:szCs w:val="24"/>
        </w:rPr>
        <w:t>naproxen</w:t>
      </w:r>
      <w:proofErr w:type="spellEnd"/>
      <w:r w:rsidRPr="00E411F2">
        <w:rPr>
          <w:sz w:val="24"/>
          <w:szCs w:val="24"/>
        </w:rPr>
        <w:t xml:space="preserve">, som med andre </w:t>
      </w:r>
      <w:proofErr w:type="spellStart"/>
      <w:r w:rsidRPr="00E411F2">
        <w:rPr>
          <w:sz w:val="24"/>
          <w:szCs w:val="24"/>
        </w:rPr>
        <w:t>NSAID</w:t>
      </w:r>
      <w:r w:rsidR="00384D47">
        <w:rPr>
          <w:sz w:val="24"/>
          <w:szCs w:val="24"/>
        </w:rPr>
        <w:t>'</w:t>
      </w:r>
      <w:r w:rsidRPr="00E411F2">
        <w:rPr>
          <w:sz w:val="24"/>
          <w:szCs w:val="24"/>
        </w:rPr>
        <w:t>er</w:t>
      </w:r>
      <w:proofErr w:type="spellEnd"/>
      <w:r w:rsidRPr="00E411F2">
        <w:rPr>
          <w:sz w:val="24"/>
          <w:szCs w:val="24"/>
        </w:rPr>
        <w:t xml:space="preserve">, er blevet rapporteret at reducere den </w:t>
      </w:r>
      <w:proofErr w:type="spellStart"/>
      <w:r w:rsidRPr="00E411F2">
        <w:rPr>
          <w:sz w:val="24"/>
          <w:szCs w:val="24"/>
        </w:rPr>
        <w:t>tubulære</w:t>
      </w:r>
      <w:proofErr w:type="spellEnd"/>
      <w:r w:rsidRPr="00E411F2">
        <w:rPr>
          <w:sz w:val="24"/>
          <w:szCs w:val="24"/>
        </w:rPr>
        <w:t xml:space="preserve"> sekretion af </w:t>
      </w:r>
      <w:proofErr w:type="spellStart"/>
      <w:r w:rsidRPr="00E411F2">
        <w:rPr>
          <w:sz w:val="24"/>
          <w:szCs w:val="24"/>
        </w:rPr>
        <w:t>methotrexat</w:t>
      </w:r>
      <w:proofErr w:type="spellEnd"/>
      <w:r w:rsidRPr="00E411F2">
        <w:rPr>
          <w:sz w:val="24"/>
          <w:szCs w:val="24"/>
        </w:rPr>
        <w:t xml:space="preserve"> i en dyremodel.</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u w:val="single"/>
        </w:rPr>
      </w:pPr>
      <w:r w:rsidRPr="00E411F2">
        <w:rPr>
          <w:sz w:val="24"/>
          <w:szCs w:val="24"/>
          <w:u w:val="single"/>
        </w:rPr>
        <w:t>Hjerteglykosider</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i/>
          <w:iCs/>
          <w:sz w:val="24"/>
          <w:szCs w:val="24"/>
        </w:rPr>
        <w:t>Naproxen</w:t>
      </w:r>
      <w:proofErr w:type="spellEnd"/>
    </w:p>
    <w:p w:rsidR="00E411F2" w:rsidRPr="00E411F2" w:rsidRDefault="00E411F2" w:rsidP="00E411F2">
      <w:pPr>
        <w:tabs>
          <w:tab w:val="left" w:pos="851"/>
        </w:tabs>
        <w:ind w:left="851"/>
        <w:rPr>
          <w:sz w:val="24"/>
          <w:szCs w:val="24"/>
        </w:rPr>
      </w:pPr>
      <w:r w:rsidRPr="00E411F2">
        <w:rPr>
          <w:sz w:val="24"/>
          <w:szCs w:val="24"/>
        </w:rPr>
        <w:t xml:space="preserve">Når </w:t>
      </w:r>
      <w:proofErr w:type="spellStart"/>
      <w:r w:rsidRPr="00E411F2">
        <w:rPr>
          <w:sz w:val="24"/>
          <w:szCs w:val="24"/>
        </w:rPr>
        <w:t>NSAID</w:t>
      </w:r>
      <w:r w:rsidR="00384D47">
        <w:rPr>
          <w:sz w:val="24"/>
          <w:szCs w:val="24"/>
        </w:rPr>
        <w:t>'</w:t>
      </w:r>
      <w:r w:rsidRPr="00E411F2">
        <w:rPr>
          <w:sz w:val="24"/>
          <w:szCs w:val="24"/>
        </w:rPr>
        <w:t>er</w:t>
      </w:r>
      <w:proofErr w:type="spellEnd"/>
      <w:r w:rsidRPr="00E411F2">
        <w:rPr>
          <w:sz w:val="24"/>
          <w:szCs w:val="24"/>
        </w:rPr>
        <w:t xml:space="preserve"> administreres samtidig med hjerteglykosider, såsom </w:t>
      </w:r>
      <w:proofErr w:type="spellStart"/>
      <w:r w:rsidRPr="00E411F2">
        <w:rPr>
          <w:sz w:val="24"/>
          <w:szCs w:val="24"/>
        </w:rPr>
        <w:t>digoxin</w:t>
      </w:r>
      <w:proofErr w:type="spellEnd"/>
      <w:r w:rsidRPr="00E411F2">
        <w:rPr>
          <w:sz w:val="24"/>
          <w:szCs w:val="24"/>
        </w:rPr>
        <w:t>, kan hjerteglykosidplasmaniveauerne øges. Øget overvågning og dosisjustering af digitalis glykosider, kan være nødvendigt under og efter samtidig NSAID-behandling.</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sz w:val="24"/>
          <w:szCs w:val="24"/>
          <w:u w:val="single"/>
        </w:rPr>
        <w:t>Lithium</w:t>
      </w:r>
      <w:proofErr w:type="spellEnd"/>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i/>
          <w:iCs/>
          <w:sz w:val="24"/>
          <w:szCs w:val="24"/>
        </w:rPr>
        <w:t>Sumatriptan</w:t>
      </w:r>
      <w:proofErr w:type="spellEnd"/>
    </w:p>
    <w:p w:rsidR="00E411F2" w:rsidRPr="00E411F2" w:rsidRDefault="00E411F2" w:rsidP="00E411F2">
      <w:pPr>
        <w:tabs>
          <w:tab w:val="left" w:pos="851"/>
        </w:tabs>
        <w:ind w:left="851"/>
        <w:rPr>
          <w:sz w:val="24"/>
          <w:szCs w:val="24"/>
        </w:rPr>
      </w:pPr>
      <w:r w:rsidRPr="00E411F2">
        <w:rPr>
          <w:sz w:val="24"/>
          <w:szCs w:val="24"/>
        </w:rPr>
        <w:t xml:space="preserve">Samtidig brug af </w:t>
      </w:r>
      <w:proofErr w:type="spellStart"/>
      <w:r w:rsidRPr="00E411F2">
        <w:rPr>
          <w:sz w:val="24"/>
          <w:szCs w:val="24"/>
        </w:rPr>
        <w:t>sumatriptan</w:t>
      </w:r>
      <w:proofErr w:type="spellEnd"/>
      <w:r w:rsidRPr="00E411F2">
        <w:rPr>
          <w:sz w:val="24"/>
          <w:szCs w:val="24"/>
        </w:rPr>
        <w:t xml:space="preserve"> og </w:t>
      </w:r>
      <w:proofErr w:type="spellStart"/>
      <w:r w:rsidRPr="00E411F2">
        <w:rPr>
          <w:sz w:val="24"/>
          <w:szCs w:val="24"/>
        </w:rPr>
        <w:t>lithium</w:t>
      </w:r>
      <w:proofErr w:type="spellEnd"/>
      <w:r w:rsidRPr="00E411F2">
        <w:rPr>
          <w:sz w:val="24"/>
          <w:szCs w:val="24"/>
        </w:rPr>
        <w:t xml:space="preserve"> kan øge risikoen for serotoninsyndrom.</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i/>
          <w:iCs/>
          <w:sz w:val="24"/>
          <w:szCs w:val="24"/>
        </w:rPr>
        <w:t>Naproxen</w:t>
      </w:r>
      <w:proofErr w:type="spellEnd"/>
    </w:p>
    <w:p w:rsidR="00E411F2" w:rsidRPr="00E411F2" w:rsidRDefault="00E411F2" w:rsidP="00E411F2">
      <w:pPr>
        <w:tabs>
          <w:tab w:val="left" w:pos="851"/>
        </w:tabs>
        <w:ind w:left="851"/>
        <w:rPr>
          <w:sz w:val="24"/>
          <w:szCs w:val="24"/>
        </w:rPr>
      </w:pPr>
      <w:r w:rsidRPr="00E411F2">
        <w:rPr>
          <w:sz w:val="24"/>
          <w:szCs w:val="24"/>
        </w:rPr>
        <w:t xml:space="preserve">Overvågning af </w:t>
      </w:r>
      <w:proofErr w:type="spellStart"/>
      <w:r w:rsidRPr="00E411F2">
        <w:rPr>
          <w:sz w:val="24"/>
          <w:szCs w:val="24"/>
        </w:rPr>
        <w:t>lithium</w:t>
      </w:r>
      <w:proofErr w:type="spellEnd"/>
      <w:r w:rsidRPr="00E411F2">
        <w:rPr>
          <w:sz w:val="24"/>
          <w:szCs w:val="24"/>
        </w:rPr>
        <w:t xml:space="preserve">-plasmakoncentrationer tilrådes, når NSAID seponeres eller initieres, da øgede koncentrationer af </w:t>
      </w:r>
      <w:proofErr w:type="spellStart"/>
      <w:r w:rsidRPr="00E411F2">
        <w:rPr>
          <w:sz w:val="24"/>
          <w:szCs w:val="24"/>
        </w:rPr>
        <w:t>lithium</w:t>
      </w:r>
      <w:proofErr w:type="spellEnd"/>
      <w:r w:rsidRPr="00E411F2">
        <w:rPr>
          <w:sz w:val="24"/>
          <w:szCs w:val="24"/>
        </w:rPr>
        <w:t xml:space="preserve"> kan forekomme.</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u w:val="single"/>
        </w:rPr>
      </w:pPr>
      <w:proofErr w:type="spellStart"/>
      <w:r w:rsidRPr="00E411F2">
        <w:rPr>
          <w:sz w:val="24"/>
          <w:szCs w:val="24"/>
          <w:u w:val="single"/>
        </w:rPr>
        <w:t>Ciclosporin</w:t>
      </w:r>
      <w:proofErr w:type="spellEnd"/>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i/>
          <w:iCs/>
          <w:sz w:val="24"/>
          <w:szCs w:val="24"/>
        </w:rPr>
      </w:pPr>
      <w:proofErr w:type="spellStart"/>
      <w:r w:rsidRPr="00E411F2">
        <w:rPr>
          <w:i/>
          <w:iCs/>
          <w:sz w:val="24"/>
          <w:szCs w:val="24"/>
        </w:rPr>
        <w:t>Naproxen</w:t>
      </w:r>
      <w:proofErr w:type="spellEnd"/>
    </w:p>
    <w:p w:rsidR="00E411F2" w:rsidRPr="00E411F2" w:rsidRDefault="00E411F2" w:rsidP="00E411F2">
      <w:pPr>
        <w:tabs>
          <w:tab w:val="left" w:pos="851"/>
        </w:tabs>
        <w:ind w:left="851"/>
        <w:rPr>
          <w:sz w:val="24"/>
          <w:szCs w:val="24"/>
        </w:rPr>
      </w:pPr>
      <w:r w:rsidRPr="00E411F2">
        <w:rPr>
          <w:sz w:val="24"/>
          <w:szCs w:val="24"/>
        </w:rPr>
        <w:t xml:space="preserve">Ligesom med alle andre </w:t>
      </w:r>
      <w:proofErr w:type="spellStart"/>
      <w:r w:rsidRPr="00E411F2">
        <w:rPr>
          <w:sz w:val="24"/>
          <w:szCs w:val="24"/>
        </w:rPr>
        <w:t>NSAID'er</w:t>
      </w:r>
      <w:proofErr w:type="spellEnd"/>
      <w:r w:rsidRPr="00E411F2">
        <w:rPr>
          <w:sz w:val="24"/>
          <w:szCs w:val="24"/>
        </w:rPr>
        <w:t xml:space="preserve"> bør der udvises forsigtighed ved samtidig administration af </w:t>
      </w:r>
      <w:proofErr w:type="spellStart"/>
      <w:r w:rsidRPr="00E411F2">
        <w:rPr>
          <w:sz w:val="24"/>
          <w:szCs w:val="24"/>
        </w:rPr>
        <w:t>ciclosporin</w:t>
      </w:r>
      <w:proofErr w:type="spellEnd"/>
      <w:r w:rsidRPr="00E411F2">
        <w:rPr>
          <w:sz w:val="24"/>
          <w:szCs w:val="24"/>
        </w:rPr>
        <w:t xml:space="preserve"> grundet den øgede risiko for </w:t>
      </w:r>
      <w:proofErr w:type="spellStart"/>
      <w:r w:rsidRPr="00E411F2">
        <w:rPr>
          <w:sz w:val="24"/>
          <w:szCs w:val="24"/>
        </w:rPr>
        <w:t>nefrotoksicitet</w:t>
      </w:r>
      <w:proofErr w:type="spellEnd"/>
      <w:r w:rsidRPr="00E411F2">
        <w:rPr>
          <w:sz w:val="24"/>
          <w:szCs w:val="24"/>
        </w:rPr>
        <w:t>.</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u w:val="single"/>
        </w:rPr>
      </w:pPr>
      <w:proofErr w:type="spellStart"/>
      <w:r w:rsidRPr="00E411F2">
        <w:rPr>
          <w:sz w:val="24"/>
          <w:szCs w:val="24"/>
          <w:u w:val="single"/>
        </w:rPr>
        <w:t>Tacrolimus</w:t>
      </w:r>
      <w:proofErr w:type="spellEnd"/>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i/>
          <w:iCs/>
          <w:sz w:val="24"/>
          <w:szCs w:val="24"/>
        </w:rPr>
      </w:pPr>
      <w:proofErr w:type="spellStart"/>
      <w:r w:rsidRPr="00E411F2">
        <w:rPr>
          <w:i/>
          <w:iCs/>
          <w:sz w:val="24"/>
          <w:szCs w:val="24"/>
        </w:rPr>
        <w:t>Naproxen</w:t>
      </w:r>
      <w:proofErr w:type="spellEnd"/>
    </w:p>
    <w:p w:rsidR="00E411F2" w:rsidRPr="00E411F2" w:rsidRDefault="00E411F2" w:rsidP="00E411F2">
      <w:pPr>
        <w:tabs>
          <w:tab w:val="left" w:pos="851"/>
        </w:tabs>
        <w:ind w:left="851"/>
        <w:rPr>
          <w:sz w:val="24"/>
          <w:szCs w:val="24"/>
        </w:rPr>
      </w:pPr>
      <w:r w:rsidRPr="00E411F2">
        <w:rPr>
          <w:sz w:val="24"/>
          <w:szCs w:val="24"/>
        </w:rPr>
        <w:t xml:space="preserve">Der er en mulig risiko for </w:t>
      </w:r>
      <w:proofErr w:type="spellStart"/>
      <w:r w:rsidRPr="00E411F2">
        <w:rPr>
          <w:sz w:val="24"/>
          <w:szCs w:val="24"/>
        </w:rPr>
        <w:t>nefrotoksicitet</w:t>
      </w:r>
      <w:proofErr w:type="spellEnd"/>
      <w:r w:rsidRPr="00E411F2">
        <w:rPr>
          <w:sz w:val="24"/>
          <w:szCs w:val="24"/>
        </w:rPr>
        <w:t xml:space="preserve">, når </w:t>
      </w:r>
      <w:proofErr w:type="spellStart"/>
      <w:r w:rsidRPr="00E411F2">
        <w:rPr>
          <w:sz w:val="24"/>
          <w:szCs w:val="24"/>
        </w:rPr>
        <w:t>NSAID'er</w:t>
      </w:r>
      <w:proofErr w:type="spellEnd"/>
      <w:r w:rsidRPr="00E411F2">
        <w:rPr>
          <w:sz w:val="24"/>
          <w:szCs w:val="24"/>
        </w:rPr>
        <w:t xml:space="preserve"> gives sammen med </w:t>
      </w:r>
      <w:proofErr w:type="spellStart"/>
      <w:r w:rsidRPr="00E411F2">
        <w:rPr>
          <w:sz w:val="24"/>
          <w:szCs w:val="24"/>
        </w:rPr>
        <w:t>tacrolimus</w:t>
      </w:r>
      <w:proofErr w:type="spellEnd"/>
      <w:r w:rsidRPr="00E411F2">
        <w:rPr>
          <w:sz w:val="24"/>
          <w:szCs w:val="24"/>
        </w:rPr>
        <w:t>.</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u w:val="single"/>
        </w:rPr>
      </w:pPr>
      <w:r w:rsidRPr="00E411F2">
        <w:rPr>
          <w:sz w:val="24"/>
          <w:szCs w:val="24"/>
          <w:u w:val="single"/>
        </w:rPr>
        <w:t>Acetylsalicylsyre</w:t>
      </w:r>
    </w:p>
    <w:p w:rsidR="00E411F2" w:rsidRPr="00E411F2" w:rsidRDefault="00E411F2" w:rsidP="00E411F2">
      <w:pPr>
        <w:tabs>
          <w:tab w:val="left" w:pos="851"/>
        </w:tabs>
        <w:ind w:left="851"/>
        <w:rPr>
          <w:sz w:val="24"/>
          <w:szCs w:val="24"/>
          <w:u w:val="single"/>
        </w:rPr>
      </w:pPr>
    </w:p>
    <w:p w:rsidR="00E411F2" w:rsidRPr="00E411F2" w:rsidRDefault="00E411F2" w:rsidP="00E411F2">
      <w:pPr>
        <w:tabs>
          <w:tab w:val="left" w:pos="851"/>
        </w:tabs>
        <w:ind w:left="851"/>
        <w:rPr>
          <w:i/>
          <w:iCs/>
          <w:sz w:val="24"/>
          <w:szCs w:val="24"/>
        </w:rPr>
      </w:pPr>
      <w:proofErr w:type="spellStart"/>
      <w:r w:rsidRPr="00E411F2">
        <w:rPr>
          <w:i/>
          <w:iCs/>
          <w:sz w:val="24"/>
          <w:szCs w:val="24"/>
        </w:rPr>
        <w:t>Naproxen</w:t>
      </w:r>
      <w:proofErr w:type="spellEnd"/>
    </w:p>
    <w:p w:rsidR="00E411F2" w:rsidRPr="00E411F2" w:rsidRDefault="00E411F2" w:rsidP="00E411F2">
      <w:pPr>
        <w:tabs>
          <w:tab w:val="left" w:pos="851"/>
        </w:tabs>
        <w:ind w:left="851"/>
        <w:rPr>
          <w:sz w:val="24"/>
          <w:szCs w:val="24"/>
        </w:rPr>
      </w:pPr>
      <w:r w:rsidRPr="00E411F2">
        <w:rPr>
          <w:sz w:val="24"/>
          <w:szCs w:val="24"/>
        </w:rPr>
        <w:t xml:space="preserve">Kliniske </w:t>
      </w:r>
      <w:proofErr w:type="spellStart"/>
      <w:r w:rsidRPr="00E411F2">
        <w:rPr>
          <w:sz w:val="24"/>
          <w:szCs w:val="24"/>
        </w:rPr>
        <w:t>farmakodynamiske</w:t>
      </w:r>
      <w:proofErr w:type="spellEnd"/>
      <w:r w:rsidRPr="00E411F2">
        <w:rPr>
          <w:sz w:val="24"/>
          <w:szCs w:val="24"/>
        </w:rPr>
        <w:t xml:space="preserve"> data indikerer, at samtidig brug af </w:t>
      </w:r>
      <w:proofErr w:type="spellStart"/>
      <w:r w:rsidRPr="00E411F2">
        <w:rPr>
          <w:sz w:val="24"/>
          <w:szCs w:val="24"/>
        </w:rPr>
        <w:t>naproxen</w:t>
      </w:r>
      <w:proofErr w:type="spellEnd"/>
      <w:r w:rsidRPr="00E411F2">
        <w:rPr>
          <w:sz w:val="24"/>
          <w:szCs w:val="24"/>
        </w:rPr>
        <w:t xml:space="preserve"> i mere end én dag i træk kan hæmme virkningen af lavdosis acetylsalicylsyre på blodplade-aktiviteten, og denne hæmning kan fortsætte i op til flere dage efter </w:t>
      </w:r>
      <w:proofErr w:type="spellStart"/>
      <w:r w:rsidRPr="00E411F2">
        <w:rPr>
          <w:sz w:val="24"/>
          <w:szCs w:val="24"/>
        </w:rPr>
        <w:t>seponering</w:t>
      </w:r>
      <w:proofErr w:type="spellEnd"/>
      <w:r w:rsidRPr="00E411F2">
        <w:rPr>
          <w:sz w:val="24"/>
          <w:szCs w:val="24"/>
        </w:rPr>
        <w:t xml:space="preserve"> af </w:t>
      </w:r>
      <w:proofErr w:type="spellStart"/>
      <w:r w:rsidRPr="00E411F2">
        <w:rPr>
          <w:sz w:val="24"/>
          <w:szCs w:val="24"/>
        </w:rPr>
        <w:t>naproxen</w:t>
      </w:r>
      <w:proofErr w:type="spellEnd"/>
      <w:r w:rsidRPr="00E411F2">
        <w:rPr>
          <w:sz w:val="24"/>
          <w:szCs w:val="24"/>
        </w:rPr>
        <w:t>-behandlingen. Den kliniske relevans af denne interaktion er ikke kendt.</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sz w:val="24"/>
          <w:szCs w:val="24"/>
          <w:u w:val="single"/>
        </w:rPr>
        <w:t>Trombocythæmmende</w:t>
      </w:r>
      <w:proofErr w:type="spellEnd"/>
      <w:r w:rsidRPr="00E411F2">
        <w:rPr>
          <w:sz w:val="24"/>
          <w:szCs w:val="24"/>
          <w:u w:val="single"/>
        </w:rPr>
        <w:t xml:space="preserve"> midler</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sz w:val="24"/>
          <w:szCs w:val="24"/>
        </w:rPr>
      </w:pPr>
      <w:proofErr w:type="spellStart"/>
      <w:r w:rsidRPr="00E411F2">
        <w:rPr>
          <w:i/>
          <w:iCs/>
          <w:sz w:val="24"/>
          <w:szCs w:val="24"/>
        </w:rPr>
        <w:t>Naproxen</w:t>
      </w:r>
      <w:proofErr w:type="spellEnd"/>
    </w:p>
    <w:p w:rsidR="00E411F2" w:rsidRPr="00E411F2" w:rsidRDefault="00E411F2" w:rsidP="00E411F2">
      <w:pPr>
        <w:tabs>
          <w:tab w:val="left" w:pos="851"/>
        </w:tabs>
        <w:ind w:left="851"/>
        <w:rPr>
          <w:sz w:val="24"/>
          <w:szCs w:val="24"/>
        </w:rPr>
      </w:pPr>
      <w:r w:rsidRPr="00E411F2">
        <w:rPr>
          <w:sz w:val="24"/>
          <w:szCs w:val="24"/>
        </w:rPr>
        <w:t xml:space="preserve">Der er en øget risiko for </w:t>
      </w:r>
      <w:proofErr w:type="spellStart"/>
      <w:r w:rsidRPr="00E411F2">
        <w:rPr>
          <w:sz w:val="24"/>
          <w:szCs w:val="24"/>
        </w:rPr>
        <w:t>gastrointestinal</w:t>
      </w:r>
      <w:proofErr w:type="spellEnd"/>
      <w:r w:rsidRPr="00E411F2">
        <w:rPr>
          <w:sz w:val="24"/>
          <w:szCs w:val="24"/>
        </w:rPr>
        <w:t xml:space="preserve"> bødning (se pkt. 4.4), når </w:t>
      </w:r>
      <w:proofErr w:type="spellStart"/>
      <w:r w:rsidRPr="00E411F2">
        <w:rPr>
          <w:sz w:val="24"/>
          <w:szCs w:val="24"/>
        </w:rPr>
        <w:t>trombocythæmmende</w:t>
      </w:r>
      <w:proofErr w:type="spellEnd"/>
      <w:r w:rsidRPr="00E411F2">
        <w:rPr>
          <w:sz w:val="24"/>
          <w:szCs w:val="24"/>
        </w:rPr>
        <w:t xml:space="preserve"> midler kombineres med </w:t>
      </w:r>
      <w:proofErr w:type="spellStart"/>
      <w:r w:rsidRPr="00E411F2">
        <w:rPr>
          <w:sz w:val="24"/>
          <w:szCs w:val="24"/>
        </w:rPr>
        <w:t>NSAID</w:t>
      </w:r>
      <w:r w:rsidR="00384D47">
        <w:rPr>
          <w:sz w:val="24"/>
          <w:szCs w:val="24"/>
        </w:rPr>
        <w:t>'</w:t>
      </w:r>
      <w:r w:rsidRPr="00E411F2">
        <w:rPr>
          <w:sz w:val="24"/>
          <w:szCs w:val="24"/>
        </w:rPr>
        <w:t>er</w:t>
      </w:r>
      <w:proofErr w:type="spellEnd"/>
      <w:r w:rsidRPr="00E411F2">
        <w:rPr>
          <w:sz w:val="24"/>
          <w:szCs w:val="24"/>
        </w:rPr>
        <w:t xml:space="preserve">. </w:t>
      </w:r>
    </w:p>
    <w:p w:rsidR="00E411F2" w:rsidRPr="00E411F2" w:rsidRDefault="00E411F2" w:rsidP="00E411F2">
      <w:pPr>
        <w:tabs>
          <w:tab w:val="left" w:pos="851"/>
        </w:tabs>
        <w:ind w:left="851"/>
        <w:rPr>
          <w:sz w:val="24"/>
          <w:szCs w:val="24"/>
        </w:rPr>
      </w:pPr>
      <w:r w:rsidRPr="00E411F2">
        <w:rPr>
          <w:sz w:val="24"/>
          <w:szCs w:val="24"/>
        </w:rPr>
        <w:lastRenderedPageBreak/>
        <w:t xml:space="preserve">Eksperimentelle studier har vist, at </w:t>
      </w:r>
      <w:proofErr w:type="spellStart"/>
      <w:r w:rsidRPr="00E411F2">
        <w:rPr>
          <w:sz w:val="24"/>
          <w:szCs w:val="24"/>
        </w:rPr>
        <w:t>clopidogrel</w:t>
      </w:r>
      <w:proofErr w:type="spellEnd"/>
      <w:r w:rsidRPr="00E411F2">
        <w:rPr>
          <w:sz w:val="24"/>
          <w:szCs w:val="24"/>
        </w:rPr>
        <w:t xml:space="preserve"> øger </w:t>
      </w:r>
      <w:proofErr w:type="spellStart"/>
      <w:r w:rsidRPr="00E411F2">
        <w:rPr>
          <w:sz w:val="24"/>
          <w:szCs w:val="24"/>
        </w:rPr>
        <w:t>naproxen</w:t>
      </w:r>
      <w:proofErr w:type="spellEnd"/>
      <w:r w:rsidRPr="00E411F2">
        <w:rPr>
          <w:sz w:val="24"/>
          <w:szCs w:val="24"/>
        </w:rPr>
        <w:t xml:space="preserve">-induceret </w:t>
      </w:r>
      <w:proofErr w:type="spellStart"/>
      <w:r w:rsidRPr="00E411F2">
        <w:rPr>
          <w:sz w:val="24"/>
          <w:szCs w:val="24"/>
        </w:rPr>
        <w:t>gastrointestinal</w:t>
      </w:r>
      <w:proofErr w:type="spellEnd"/>
      <w:r w:rsidRPr="00E411F2">
        <w:rPr>
          <w:sz w:val="24"/>
          <w:szCs w:val="24"/>
        </w:rPr>
        <w:t xml:space="preserve"> blødning. Dette gælder sandsynligvis alle </w:t>
      </w:r>
      <w:proofErr w:type="spellStart"/>
      <w:r w:rsidRPr="00E411F2">
        <w:rPr>
          <w:sz w:val="24"/>
          <w:szCs w:val="24"/>
        </w:rPr>
        <w:t>NSAID</w:t>
      </w:r>
      <w:r w:rsidR="00384D47">
        <w:rPr>
          <w:sz w:val="24"/>
          <w:szCs w:val="24"/>
        </w:rPr>
        <w:t>'</w:t>
      </w:r>
      <w:r w:rsidRPr="00E411F2">
        <w:rPr>
          <w:sz w:val="24"/>
          <w:szCs w:val="24"/>
        </w:rPr>
        <w:t>er</w:t>
      </w:r>
      <w:proofErr w:type="spellEnd"/>
      <w:r w:rsidRPr="00E411F2">
        <w:rPr>
          <w:sz w:val="24"/>
          <w:szCs w:val="24"/>
        </w:rPr>
        <w:t>.</w:t>
      </w:r>
    </w:p>
    <w:p w:rsidR="00E411F2" w:rsidRPr="00E411F2" w:rsidRDefault="00E411F2" w:rsidP="00E411F2">
      <w:pPr>
        <w:tabs>
          <w:tab w:val="left" w:pos="851"/>
        </w:tabs>
        <w:ind w:left="851"/>
        <w:rPr>
          <w:sz w:val="24"/>
          <w:szCs w:val="24"/>
        </w:rPr>
      </w:pPr>
      <w:proofErr w:type="spellStart"/>
      <w:r w:rsidRPr="00E411F2">
        <w:rPr>
          <w:sz w:val="24"/>
          <w:szCs w:val="24"/>
        </w:rPr>
        <w:t>NSAID</w:t>
      </w:r>
      <w:r w:rsidR="00384D47">
        <w:rPr>
          <w:sz w:val="24"/>
          <w:szCs w:val="24"/>
        </w:rPr>
        <w:t>'</w:t>
      </w:r>
      <w:r w:rsidRPr="00E411F2">
        <w:rPr>
          <w:sz w:val="24"/>
          <w:szCs w:val="24"/>
        </w:rPr>
        <w:t>er</w:t>
      </w:r>
      <w:proofErr w:type="spellEnd"/>
      <w:r w:rsidRPr="00E411F2">
        <w:rPr>
          <w:sz w:val="24"/>
          <w:szCs w:val="24"/>
        </w:rPr>
        <w:t xml:space="preserve"> må ikke kombineres med </w:t>
      </w:r>
      <w:proofErr w:type="spellStart"/>
      <w:r w:rsidRPr="00E411F2">
        <w:rPr>
          <w:sz w:val="24"/>
          <w:szCs w:val="24"/>
        </w:rPr>
        <w:t>ticlopidin</w:t>
      </w:r>
      <w:proofErr w:type="spellEnd"/>
      <w:r w:rsidRPr="00E411F2">
        <w:rPr>
          <w:sz w:val="24"/>
          <w:szCs w:val="24"/>
        </w:rPr>
        <w:t xml:space="preserve"> grundet den yderligere hæmning af </w:t>
      </w:r>
      <w:proofErr w:type="spellStart"/>
      <w:r w:rsidRPr="00E411F2">
        <w:rPr>
          <w:sz w:val="24"/>
          <w:szCs w:val="24"/>
        </w:rPr>
        <w:t>trombocytfunktionen</w:t>
      </w:r>
      <w:proofErr w:type="spellEnd"/>
      <w:r w:rsidRPr="00E411F2">
        <w:rPr>
          <w:sz w:val="24"/>
          <w:szCs w:val="24"/>
        </w:rPr>
        <w:t>.</w:t>
      </w:r>
    </w:p>
    <w:p w:rsidR="00E411F2" w:rsidRPr="00E411F2" w:rsidRDefault="00E411F2" w:rsidP="00E411F2">
      <w:pPr>
        <w:tabs>
          <w:tab w:val="left" w:pos="851"/>
        </w:tabs>
        <w:ind w:left="851"/>
        <w:rPr>
          <w:iCs/>
          <w:sz w:val="24"/>
          <w:szCs w:val="24"/>
        </w:rPr>
      </w:pPr>
    </w:p>
    <w:p w:rsidR="00E411F2" w:rsidRPr="00E411F2" w:rsidRDefault="00E411F2" w:rsidP="00E411F2">
      <w:pPr>
        <w:tabs>
          <w:tab w:val="left" w:pos="851"/>
        </w:tabs>
        <w:ind w:left="851"/>
        <w:rPr>
          <w:sz w:val="24"/>
          <w:szCs w:val="24"/>
          <w:u w:val="single"/>
        </w:rPr>
      </w:pPr>
      <w:r w:rsidRPr="00E411F2">
        <w:rPr>
          <w:sz w:val="24"/>
          <w:szCs w:val="24"/>
          <w:u w:val="single"/>
        </w:rPr>
        <w:t>Laboratorieundersøgelser</w:t>
      </w:r>
    </w:p>
    <w:p w:rsidR="00E411F2" w:rsidRPr="00E411F2" w:rsidRDefault="00E411F2" w:rsidP="00E411F2">
      <w:pPr>
        <w:tabs>
          <w:tab w:val="left" w:pos="851"/>
        </w:tabs>
        <w:ind w:left="851"/>
        <w:rPr>
          <w:iCs/>
          <w:sz w:val="24"/>
          <w:szCs w:val="24"/>
        </w:rPr>
      </w:pPr>
    </w:p>
    <w:p w:rsidR="00E411F2" w:rsidRPr="00E411F2" w:rsidRDefault="00E411F2" w:rsidP="00E411F2">
      <w:pPr>
        <w:tabs>
          <w:tab w:val="left" w:pos="851"/>
        </w:tabs>
        <w:ind w:left="851"/>
        <w:rPr>
          <w:iCs/>
          <w:sz w:val="24"/>
          <w:szCs w:val="24"/>
        </w:rPr>
      </w:pPr>
      <w:proofErr w:type="spellStart"/>
      <w:r w:rsidRPr="00E411F2">
        <w:rPr>
          <w:iCs/>
          <w:sz w:val="24"/>
          <w:szCs w:val="24"/>
        </w:rPr>
        <w:t>Sumatriptan</w:t>
      </w:r>
      <w:proofErr w:type="spellEnd"/>
      <w:r w:rsidRPr="00E411F2">
        <w:rPr>
          <w:iCs/>
          <w:sz w:val="24"/>
          <w:szCs w:val="24"/>
        </w:rPr>
        <w:t>/</w:t>
      </w:r>
      <w:proofErr w:type="spellStart"/>
      <w:r w:rsidRPr="00E411F2">
        <w:rPr>
          <w:iCs/>
          <w:sz w:val="24"/>
          <w:szCs w:val="24"/>
        </w:rPr>
        <w:t>naproxens</w:t>
      </w:r>
      <w:proofErr w:type="spellEnd"/>
      <w:r w:rsidRPr="00E411F2">
        <w:rPr>
          <w:iCs/>
          <w:sz w:val="24"/>
          <w:szCs w:val="24"/>
        </w:rPr>
        <w:t xml:space="preserve"> evne til at interferere med almindeligt anvendte kliniske laboratorietests er ikke blevet undersøgt.</w:t>
      </w:r>
    </w:p>
    <w:p w:rsidR="00E411F2" w:rsidRPr="00E411F2" w:rsidRDefault="00E411F2" w:rsidP="00E411F2">
      <w:pPr>
        <w:tabs>
          <w:tab w:val="left" w:pos="851"/>
        </w:tabs>
        <w:ind w:left="851"/>
        <w:rPr>
          <w:iCs/>
          <w:sz w:val="24"/>
          <w:szCs w:val="24"/>
        </w:rPr>
      </w:pPr>
    </w:p>
    <w:p w:rsidR="00E411F2" w:rsidRPr="00E411F2" w:rsidRDefault="00E411F2" w:rsidP="00E411F2">
      <w:pPr>
        <w:tabs>
          <w:tab w:val="left" w:pos="851"/>
        </w:tabs>
        <w:ind w:left="851"/>
        <w:rPr>
          <w:iCs/>
          <w:sz w:val="24"/>
          <w:szCs w:val="24"/>
        </w:rPr>
      </w:pPr>
      <w:proofErr w:type="spellStart"/>
      <w:r w:rsidRPr="00E411F2">
        <w:rPr>
          <w:i/>
          <w:sz w:val="24"/>
          <w:szCs w:val="24"/>
        </w:rPr>
        <w:t>Sumatriptan</w:t>
      </w:r>
      <w:proofErr w:type="spellEnd"/>
    </w:p>
    <w:p w:rsidR="00E411F2" w:rsidRPr="00E411F2" w:rsidRDefault="00E411F2" w:rsidP="00E411F2">
      <w:pPr>
        <w:tabs>
          <w:tab w:val="left" w:pos="851"/>
        </w:tabs>
        <w:ind w:left="851"/>
        <w:rPr>
          <w:iCs/>
          <w:sz w:val="24"/>
          <w:szCs w:val="24"/>
        </w:rPr>
      </w:pPr>
      <w:proofErr w:type="spellStart"/>
      <w:r w:rsidRPr="00E411F2">
        <w:rPr>
          <w:iCs/>
          <w:sz w:val="24"/>
          <w:szCs w:val="24"/>
        </w:rPr>
        <w:t>Sumatriptansuccinat</w:t>
      </w:r>
      <w:proofErr w:type="spellEnd"/>
      <w:r w:rsidRPr="00E411F2">
        <w:rPr>
          <w:iCs/>
          <w:sz w:val="24"/>
          <w:szCs w:val="24"/>
        </w:rPr>
        <w:t xml:space="preserve"> er ikke kendt for at interferere med almindelig anvendte laboratorietests. </w:t>
      </w:r>
    </w:p>
    <w:p w:rsidR="00E411F2" w:rsidRPr="00E411F2" w:rsidRDefault="00E411F2" w:rsidP="00E411F2">
      <w:pPr>
        <w:tabs>
          <w:tab w:val="left" w:pos="851"/>
        </w:tabs>
        <w:ind w:left="851"/>
        <w:rPr>
          <w:iCs/>
          <w:sz w:val="24"/>
          <w:szCs w:val="24"/>
        </w:rPr>
      </w:pPr>
    </w:p>
    <w:p w:rsidR="00E411F2" w:rsidRPr="00E411F2" w:rsidRDefault="00E411F2" w:rsidP="00E411F2">
      <w:pPr>
        <w:tabs>
          <w:tab w:val="left" w:pos="851"/>
        </w:tabs>
        <w:ind w:left="851"/>
        <w:rPr>
          <w:iCs/>
          <w:sz w:val="24"/>
          <w:szCs w:val="24"/>
        </w:rPr>
      </w:pPr>
      <w:proofErr w:type="spellStart"/>
      <w:r w:rsidRPr="00E411F2">
        <w:rPr>
          <w:i/>
          <w:sz w:val="24"/>
          <w:szCs w:val="24"/>
        </w:rPr>
        <w:t>Naproxen</w:t>
      </w:r>
      <w:proofErr w:type="spellEnd"/>
    </w:p>
    <w:p w:rsidR="00E411F2" w:rsidRPr="00E411F2" w:rsidRDefault="00E411F2" w:rsidP="00E411F2">
      <w:pPr>
        <w:tabs>
          <w:tab w:val="left" w:pos="851"/>
        </w:tabs>
        <w:ind w:left="851"/>
        <w:rPr>
          <w:sz w:val="24"/>
          <w:szCs w:val="24"/>
        </w:rPr>
      </w:pPr>
      <w:proofErr w:type="spellStart"/>
      <w:r w:rsidRPr="00E411F2">
        <w:rPr>
          <w:iCs/>
          <w:sz w:val="24"/>
          <w:szCs w:val="24"/>
        </w:rPr>
        <w:t>Naproxen</w:t>
      </w:r>
      <w:proofErr w:type="spellEnd"/>
      <w:r w:rsidRPr="00E411F2">
        <w:rPr>
          <w:iCs/>
          <w:sz w:val="24"/>
          <w:szCs w:val="24"/>
        </w:rPr>
        <w:t xml:space="preserve">-behandlingen bør midlertidigt afbrydes i 48 timer før </w:t>
      </w:r>
      <w:proofErr w:type="spellStart"/>
      <w:r w:rsidRPr="00E411F2">
        <w:rPr>
          <w:iCs/>
          <w:sz w:val="24"/>
          <w:szCs w:val="24"/>
        </w:rPr>
        <w:t>adrenalfunktionstest</w:t>
      </w:r>
      <w:proofErr w:type="spellEnd"/>
      <w:r w:rsidRPr="00E411F2">
        <w:rPr>
          <w:iCs/>
          <w:sz w:val="24"/>
          <w:szCs w:val="24"/>
        </w:rPr>
        <w:t xml:space="preserve"> udføres, fordi </w:t>
      </w:r>
      <w:proofErr w:type="spellStart"/>
      <w:r w:rsidRPr="00E411F2">
        <w:rPr>
          <w:iCs/>
          <w:sz w:val="24"/>
          <w:szCs w:val="24"/>
        </w:rPr>
        <w:t>naproxen</w:t>
      </w:r>
      <w:proofErr w:type="spellEnd"/>
      <w:r w:rsidRPr="00E411F2">
        <w:rPr>
          <w:iCs/>
          <w:sz w:val="24"/>
          <w:szCs w:val="24"/>
        </w:rPr>
        <w:t xml:space="preserve"> kunstigt kan interferere med nogle tests for 17-ketosteroider. Tilsvarende kan </w:t>
      </w:r>
      <w:proofErr w:type="spellStart"/>
      <w:r w:rsidRPr="00E411F2">
        <w:rPr>
          <w:sz w:val="24"/>
          <w:szCs w:val="24"/>
        </w:rPr>
        <w:t>naproxen</w:t>
      </w:r>
      <w:proofErr w:type="spellEnd"/>
      <w:r w:rsidRPr="00E411F2">
        <w:rPr>
          <w:sz w:val="24"/>
          <w:szCs w:val="24"/>
        </w:rPr>
        <w:t xml:space="preserve"> interferere med nogle analyser af urinbestemmelsen af 5-hydroxy-indolyleddikesyre.</w:t>
      </w:r>
    </w:p>
    <w:p w:rsidR="00E411F2" w:rsidRPr="00E411F2" w:rsidRDefault="00E411F2" w:rsidP="00E411F2">
      <w:pPr>
        <w:tabs>
          <w:tab w:val="left" w:pos="851"/>
        </w:tabs>
        <w:ind w:left="851"/>
        <w:rPr>
          <w:sz w:val="24"/>
          <w:szCs w:val="24"/>
        </w:rPr>
      </w:pPr>
    </w:p>
    <w:p w:rsidR="00E411F2" w:rsidRPr="00E411F2" w:rsidRDefault="00E411F2" w:rsidP="00E411F2">
      <w:pPr>
        <w:tabs>
          <w:tab w:val="left" w:pos="851"/>
        </w:tabs>
        <w:ind w:left="851"/>
        <w:rPr>
          <w:iCs/>
          <w:sz w:val="24"/>
          <w:szCs w:val="24"/>
        </w:rPr>
      </w:pPr>
      <w:bookmarkStart w:id="3" w:name="_Hlk106616124"/>
      <w:proofErr w:type="spellStart"/>
      <w:r w:rsidRPr="00E411F2">
        <w:rPr>
          <w:sz w:val="24"/>
          <w:szCs w:val="24"/>
        </w:rPr>
        <w:t>Naproxen</w:t>
      </w:r>
      <w:proofErr w:type="spellEnd"/>
      <w:r w:rsidRPr="00E411F2">
        <w:rPr>
          <w:sz w:val="24"/>
          <w:szCs w:val="24"/>
        </w:rPr>
        <w:t xml:space="preserve"> kan nedsætte </w:t>
      </w:r>
      <w:proofErr w:type="spellStart"/>
      <w:r w:rsidRPr="00E411F2">
        <w:rPr>
          <w:sz w:val="24"/>
          <w:szCs w:val="24"/>
        </w:rPr>
        <w:t>blodpladeaggregationen</w:t>
      </w:r>
      <w:proofErr w:type="spellEnd"/>
      <w:r w:rsidRPr="00E411F2">
        <w:rPr>
          <w:sz w:val="24"/>
          <w:szCs w:val="24"/>
        </w:rPr>
        <w:t xml:space="preserve"> og forlænge blødningstiden. Denne virkning skal holdes for øje, når blødningstider bestemmes.</w:t>
      </w:r>
    </w:p>
    <w:bookmarkEnd w:id="3"/>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E54019">
        <w:rPr>
          <w:b/>
          <w:sz w:val="24"/>
          <w:szCs w:val="24"/>
        </w:rPr>
        <w:t>Fertilitet, g</w:t>
      </w:r>
      <w:r w:rsidRPr="00C84483">
        <w:rPr>
          <w:b/>
          <w:sz w:val="24"/>
          <w:szCs w:val="24"/>
        </w:rPr>
        <w:t>raviditet og amning</w:t>
      </w:r>
    </w:p>
    <w:p w:rsidR="008E5254" w:rsidRPr="008E5254" w:rsidRDefault="008E5254" w:rsidP="008E5254">
      <w:pPr>
        <w:tabs>
          <w:tab w:val="left" w:pos="851"/>
        </w:tabs>
        <w:ind w:left="851"/>
        <w:rPr>
          <w:sz w:val="24"/>
          <w:szCs w:val="24"/>
        </w:rPr>
      </w:pPr>
    </w:p>
    <w:p w:rsidR="00E54019" w:rsidRPr="008E5254" w:rsidRDefault="00E54019" w:rsidP="00E54019">
      <w:pPr>
        <w:tabs>
          <w:tab w:val="left" w:pos="851"/>
        </w:tabs>
        <w:ind w:left="851"/>
        <w:rPr>
          <w:sz w:val="24"/>
          <w:szCs w:val="24"/>
        </w:rPr>
      </w:pPr>
      <w:r w:rsidRPr="008E5254">
        <w:rPr>
          <w:sz w:val="24"/>
          <w:szCs w:val="24"/>
          <w:u w:val="single"/>
        </w:rPr>
        <w:t>Graviditet</w:t>
      </w:r>
    </w:p>
    <w:p w:rsidR="00E54019" w:rsidRPr="008E5254" w:rsidRDefault="00E54019" w:rsidP="00E54019">
      <w:pPr>
        <w:tabs>
          <w:tab w:val="left" w:pos="851"/>
        </w:tabs>
        <w:ind w:left="851"/>
        <w:rPr>
          <w:sz w:val="24"/>
          <w:szCs w:val="24"/>
        </w:rPr>
      </w:pPr>
    </w:p>
    <w:p w:rsidR="00E54019" w:rsidRPr="008E5254" w:rsidRDefault="00E54019" w:rsidP="00E54019">
      <w:pPr>
        <w:tabs>
          <w:tab w:val="left" w:pos="851"/>
        </w:tabs>
        <w:ind w:left="851"/>
        <w:rPr>
          <w:sz w:val="24"/>
          <w:szCs w:val="24"/>
        </w:rPr>
      </w:pPr>
      <w:proofErr w:type="spellStart"/>
      <w:r w:rsidRPr="008E5254">
        <w:rPr>
          <w:i/>
          <w:iCs/>
          <w:sz w:val="24"/>
          <w:szCs w:val="24"/>
        </w:rPr>
        <w:t>Naproxen</w:t>
      </w:r>
      <w:proofErr w:type="spellEnd"/>
    </w:p>
    <w:p w:rsidR="00E54019" w:rsidRDefault="00E54019" w:rsidP="00E54019">
      <w:pPr>
        <w:tabs>
          <w:tab w:val="left" w:pos="851"/>
        </w:tabs>
        <w:ind w:left="851"/>
        <w:rPr>
          <w:sz w:val="24"/>
          <w:szCs w:val="24"/>
        </w:rPr>
      </w:pPr>
      <w:r w:rsidRPr="008E5254">
        <w:rPr>
          <w:sz w:val="24"/>
          <w:szCs w:val="24"/>
        </w:rPr>
        <w:t xml:space="preserve">Hæmning af </w:t>
      </w:r>
      <w:proofErr w:type="spellStart"/>
      <w:r w:rsidRPr="008E5254">
        <w:rPr>
          <w:sz w:val="24"/>
          <w:szCs w:val="24"/>
        </w:rPr>
        <w:t>prostaglandinsyntesen</w:t>
      </w:r>
      <w:proofErr w:type="spellEnd"/>
      <w:r w:rsidRPr="008E5254">
        <w:rPr>
          <w:sz w:val="24"/>
          <w:szCs w:val="24"/>
        </w:rPr>
        <w:t xml:space="preserve"> kan have en negativ indvirkning på graviditeten og/eller embryo-/fosterudviklingen. Data fra epidemiologiske studier antyder, at der er en øget risiko for spontan abort, medfødt hjertefejl og gastroschisis efter brug af </w:t>
      </w:r>
      <w:proofErr w:type="spellStart"/>
      <w:r w:rsidRPr="008E5254">
        <w:rPr>
          <w:sz w:val="24"/>
          <w:szCs w:val="24"/>
        </w:rPr>
        <w:t>prostaglandinsyntesehæmmere</w:t>
      </w:r>
      <w:proofErr w:type="spellEnd"/>
      <w:r w:rsidRPr="008E5254">
        <w:rPr>
          <w:sz w:val="24"/>
          <w:szCs w:val="24"/>
        </w:rPr>
        <w:t xml:space="preserve"> tidligt i graviditeten. Den absolutte risiko for </w:t>
      </w:r>
      <w:proofErr w:type="spellStart"/>
      <w:r w:rsidRPr="008E5254">
        <w:rPr>
          <w:sz w:val="24"/>
          <w:szCs w:val="24"/>
        </w:rPr>
        <w:t>kardiovaskulære</w:t>
      </w:r>
      <w:proofErr w:type="spellEnd"/>
      <w:r w:rsidRPr="008E5254">
        <w:rPr>
          <w:sz w:val="24"/>
          <w:szCs w:val="24"/>
        </w:rPr>
        <w:t xml:space="preserve"> misdannelser var øget fra under 1 % til cirka 1,5 %. Risikoen antages at stige ved øget dosis og varighed af behandlingen.</w:t>
      </w:r>
    </w:p>
    <w:p w:rsidR="00E54019" w:rsidRDefault="00E54019" w:rsidP="00E54019">
      <w:pPr>
        <w:tabs>
          <w:tab w:val="left" w:pos="851"/>
        </w:tabs>
        <w:ind w:left="851"/>
        <w:rPr>
          <w:sz w:val="24"/>
          <w:szCs w:val="24"/>
        </w:rPr>
      </w:pPr>
    </w:p>
    <w:p w:rsidR="00E54019" w:rsidRPr="00213512" w:rsidRDefault="00E54019" w:rsidP="00E54019">
      <w:pPr>
        <w:tabs>
          <w:tab w:val="left" w:pos="851"/>
        </w:tabs>
        <w:ind w:left="851"/>
        <w:rPr>
          <w:sz w:val="24"/>
          <w:szCs w:val="24"/>
        </w:rPr>
      </w:pPr>
      <w:r w:rsidRPr="00A36439">
        <w:rPr>
          <w:sz w:val="24"/>
          <w:szCs w:val="24"/>
        </w:rPr>
        <w:t>Fra den 20.</w:t>
      </w:r>
      <w:r>
        <w:rPr>
          <w:sz w:val="24"/>
          <w:szCs w:val="24"/>
        </w:rPr>
        <w:t> </w:t>
      </w:r>
      <w:r w:rsidRPr="00A36439">
        <w:rPr>
          <w:sz w:val="24"/>
          <w:szCs w:val="24"/>
        </w:rPr>
        <w:t xml:space="preserve">uge i graviditeten og fremefter kan brug af </w:t>
      </w:r>
      <w:proofErr w:type="spellStart"/>
      <w:r w:rsidRPr="00213512">
        <w:rPr>
          <w:sz w:val="24"/>
          <w:szCs w:val="24"/>
        </w:rPr>
        <w:t>naproxen</w:t>
      </w:r>
      <w:proofErr w:type="spellEnd"/>
      <w:r w:rsidRPr="00213512">
        <w:rPr>
          <w:sz w:val="24"/>
          <w:szCs w:val="24"/>
        </w:rPr>
        <w:t xml:space="preserve"> </w:t>
      </w:r>
      <w:r w:rsidRPr="00A36439">
        <w:rPr>
          <w:sz w:val="24"/>
          <w:szCs w:val="24"/>
        </w:rPr>
        <w:t xml:space="preserve">forårsage </w:t>
      </w:r>
      <w:proofErr w:type="spellStart"/>
      <w:r w:rsidRPr="00A36439">
        <w:rPr>
          <w:sz w:val="24"/>
          <w:szCs w:val="24"/>
        </w:rPr>
        <w:t>oligohydramnio</w:t>
      </w:r>
      <w:r>
        <w:rPr>
          <w:sz w:val="24"/>
          <w:szCs w:val="24"/>
        </w:rPr>
        <w:t>s</w:t>
      </w:r>
      <w:proofErr w:type="spellEnd"/>
      <w:r w:rsidRPr="00A36439">
        <w:rPr>
          <w:sz w:val="24"/>
          <w:szCs w:val="24"/>
        </w:rPr>
        <w:t xml:space="preserve">, </w:t>
      </w:r>
      <w:r>
        <w:rPr>
          <w:sz w:val="24"/>
          <w:szCs w:val="24"/>
        </w:rPr>
        <w:t xml:space="preserve">som følge af nedsat nyrefunktion </w:t>
      </w:r>
      <w:r w:rsidRPr="00A36439">
        <w:rPr>
          <w:sz w:val="24"/>
          <w:szCs w:val="24"/>
        </w:rPr>
        <w:t>hos fosteret. Dette kan forekomme kort efter behandlingsstart og er som regel reversibelt efter behandlingsophør</w:t>
      </w:r>
      <w:r>
        <w:rPr>
          <w:sz w:val="24"/>
          <w:szCs w:val="24"/>
        </w:rPr>
        <w:t xml:space="preserve">. </w:t>
      </w:r>
      <w:r w:rsidRPr="00A36439">
        <w:rPr>
          <w:sz w:val="24"/>
          <w:szCs w:val="24"/>
        </w:rPr>
        <w:t>Des</w:t>
      </w:r>
      <w:r>
        <w:rPr>
          <w:sz w:val="24"/>
          <w:szCs w:val="24"/>
        </w:rPr>
        <w:t xml:space="preserve">uden er der rapporteret </w:t>
      </w:r>
      <w:r w:rsidRPr="00A36439">
        <w:rPr>
          <w:sz w:val="24"/>
          <w:szCs w:val="24"/>
        </w:rPr>
        <w:t xml:space="preserve">om konstriktion </w:t>
      </w:r>
      <w:r>
        <w:rPr>
          <w:sz w:val="24"/>
          <w:szCs w:val="24"/>
        </w:rPr>
        <w:t xml:space="preserve">af </w:t>
      </w:r>
      <w:proofErr w:type="spellStart"/>
      <w:r w:rsidRPr="00A36439">
        <w:rPr>
          <w:sz w:val="24"/>
          <w:szCs w:val="24"/>
        </w:rPr>
        <w:t>ductus</w:t>
      </w:r>
      <w:proofErr w:type="spellEnd"/>
      <w:r w:rsidRPr="00A36439">
        <w:rPr>
          <w:sz w:val="24"/>
          <w:szCs w:val="24"/>
        </w:rPr>
        <w:t xml:space="preserve"> </w:t>
      </w:r>
      <w:proofErr w:type="spellStart"/>
      <w:r w:rsidRPr="00A36439">
        <w:rPr>
          <w:sz w:val="24"/>
          <w:szCs w:val="24"/>
        </w:rPr>
        <w:t>arteriosus</w:t>
      </w:r>
      <w:proofErr w:type="spellEnd"/>
      <w:r w:rsidRPr="00A36439">
        <w:rPr>
          <w:sz w:val="24"/>
          <w:szCs w:val="24"/>
        </w:rPr>
        <w:t xml:space="preserve"> efter behandling i andet trimester, hvoraf de fleste</w:t>
      </w:r>
      <w:r>
        <w:rPr>
          <w:sz w:val="24"/>
          <w:szCs w:val="24"/>
        </w:rPr>
        <w:t xml:space="preserve"> tilfælde</w:t>
      </w:r>
      <w:r w:rsidRPr="00A36439">
        <w:rPr>
          <w:sz w:val="24"/>
          <w:szCs w:val="24"/>
        </w:rPr>
        <w:t xml:space="preserve"> forsvandt efter behandlingsophø</w:t>
      </w:r>
      <w:r>
        <w:rPr>
          <w:sz w:val="24"/>
          <w:szCs w:val="24"/>
        </w:rPr>
        <w:t>r.</w:t>
      </w:r>
    </w:p>
    <w:p w:rsidR="00E54019" w:rsidRPr="008E5254" w:rsidRDefault="00E54019" w:rsidP="00E54019">
      <w:pPr>
        <w:tabs>
          <w:tab w:val="left" w:pos="851"/>
        </w:tabs>
        <w:ind w:left="851"/>
        <w:rPr>
          <w:sz w:val="24"/>
          <w:szCs w:val="24"/>
        </w:rPr>
      </w:pPr>
    </w:p>
    <w:p w:rsidR="00E54019" w:rsidRPr="008E5254" w:rsidRDefault="00E54019" w:rsidP="00E54019">
      <w:pPr>
        <w:tabs>
          <w:tab w:val="left" w:pos="851"/>
        </w:tabs>
        <w:ind w:left="851"/>
        <w:rPr>
          <w:sz w:val="24"/>
          <w:szCs w:val="24"/>
        </w:rPr>
      </w:pPr>
      <w:r w:rsidRPr="008E5254">
        <w:rPr>
          <w:sz w:val="24"/>
          <w:szCs w:val="24"/>
        </w:rPr>
        <w:t xml:space="preserve">I svangerskabets tredje trimester kan alle </w:t>
      </w:r>
      <w:proofErr w:type="spellStart"/>
      <w:r w:rsidRPr="008E5254">
        <w:rPr>
          <w:sz w:val="24"/>
          <w:szCs w:val="24"/>
        </w:rPr>
        <w:t>prostaglandinsyntesehæmmere</w:t>
      </w:r>
      <w:proofErr w:type="spellEnd"/>
      <w:r w:rsidRPr="008E5254">
        <w:rPr>
          <w:sz w:val="24"/>
          <w:szCs w:val="24"/>
        </w:rPr>
        <w:t xml:space="preserve"> eksponere fosteret for: </w:t>
      </w:r>
    </w:p>
    <w:p w:rsidR="00E54019" w:rsidRPr="008E5254" w:rsidRDefault="00E54019" w:rsidP="00E54019">
      <w:pPr>
        <w:tabs>
          <w:tab w:val="left" w:pos="1134"/>
        </w:tabs>
        <w:ind w:left="1134" w:hanging="283"/>
        <w:rPr>
          <w:sz w:val="24"/>
          <w:szCs w:val="24"/>
        </w:rPr>
      </w:pPr>
      <w:r w:rsidRPr="008E5254">
        <w:rPr>
          <w:sz w:val="24"/>
          <w:szCs w:val="24"/>
        </w:rPr>
        <w:t>-</w:t>
      </w:r>
      <w:r w:rsidRPr="008E5254">
        <w:rPr>
          <w:sz w:val="24"/>
          <w:szCs w:val="24"/>
        </w:rPr>
        <w:tab/>
      </w:r>
      <w:proofErr w:type="spellStart"/>
      <w:r w:rsidRPr="008E5254">
        <w:rPr>
          <w:sz w:val="24"/>
          <w:szCs w:val="24"/>
        </w:rPr>
        <w:t>kardiopulmonal</w:t>
      </w:r>
      <w:proofErr w:type="spellEnd"/>
      <w:r w:rsidRPr="008E5254">
        <w:rPr>
          <w:sz w:val="24"/>
          <w:szCs w:val="24"/>
        </w:rPr>
        <w:t xml:space="preserve"> toksicitet (med præmatur </w:t>
      </w:r>
      <w:r>
        <w:rPr>
          <w:sz w:val="24"/>
          <w:szCs w:val="24"/>
        </w:rPr>
        <w:t>konstriktion/</w:t>
      </w:r>
      <w:r w:rsidRPr="008E5254">
        <w:rPr>
          <w:sz w:val="24"/>
          <w:szCs w:val="24"/>
        </w:rPr>
        <w:t xml:space="preserve">lukning af </w:t>
      </w:r>
      <w:proofErr w:type="spellStart"/>
      <w:r w:rsidRPr="008E5254">
        <w:rPr>
          <w:sz w:val="24"/>
          <w:szCs w:val="24"/>
        </w:rPr>
        <w:t>ductus</w:t>
      </w:r>
      <w:proofErr w:type="spellEnd"/>
      <w:r w:rsidRPr="008E5254">
        <w:rPr>
          <w:sz w:val="24"/>
          <w:szCs w:val="24"/>
        </w:rPr>
        <w:t xml:space="preserve"> </w:t>
      </w:r>
      <w:proofErr w:type="spellStart"/>
      <w:r w:rsidRPr="008E5254">
        <w:rPr>
          <w:sz w:val="24"/>
          <w:szCs w:val="24"/>
        </w:rPr>
        <w:t>arteriosus</w:t>
      </w:r>
      <w:proofErr w:type="spellEnd"/>
      <w:r w:rsidRPr="008E5254">
        <w:rPr>
          <w:sz w:val="24"/>
          <w:szCs w:val="24"/>
        </w:rPr>
        <w:t xml:space="preserve"> og </w:t>
      </w:r>
      <w:proofErr w:type="spellStart"/>
      <w:r w:rsidRPr="008E5254">
        <w:rPr>
          <w:sz w:val="24"/>
          <w:szCs w:val="24"/>
        </w:rPr>
        <w:t>pulmonal</w:t>
      </w:r>
      <w:proofErr w:type="spellEnd"/>
      <w:r w:rsidRPr="008E5254">
        <w:rPr>
          <w:sz w:val="24"/>
          <w:szCs w:val="24"/>
        </w:rPr>
        <w:t xml:space="preserve"> hypertension).</w:t>
      </w:r>
    </w:p>
    <w:p w:rsidR="00E54019" w:rsidRPr="008E5254" w:rsidRDefault="00E54019" w:rsidP="00E54019">
      <w:pPr>
        <w:tabs>
          <w:tab w:val="left" w:pos="1134"/>
        </w:tabs>
        <w:ind w:left="1134" w:hanging="283"/>
        <w:rPr>
          <w:sz w:val="24"/>
          <w:szCs w:val="24"/>
        </w:rPr>
      </w:pPr>
      <w:r w:rsidRPr="008E5254">
        <w:rPr>
          <w:sz w:val="24"/>
          <w:szCs w:val="24"/>
        </w:rPr>
        <w:t>-</w:t>
      </w:r>
      <w:r w:rsidRPr="008E5254">
        <w:rPr>
          <w:sz w:val="24"/>
          <w:szCs w:val="24"/>
        </w:rPr>
        <w:tab/>
      </w:r>
      <w:proofErr w:type="spellStart"/>
      <w:r w:rsidRPr="008E5254">
        <w:rPr>
          <w:sz w:val="24"/>
          <w:szCs w:val="24"/>
        </w:rPr>
        <w:t>renal</w:t>
      </w:r>
      <w:proofErr w:type="spellEnd"/>
      <w:r w:rsidRPr="008E5254">
        <w:rPr>
          <w:sz w:val="24"/>
          <w:szCs w:val="24"/>
        </w:rPr>
        <w:t xml:space="preserve"> dysfunktion, der kan udvikle sig til nyresvigt med </w:t>
      </w:r>
      <w:proofErr w:type="spellStart"/>
      <w:r w:rsidRPr="008E5254">
        <w:rPr>
          <w:sz w:val="24"/>
          <w:szCs w:val="24"/>
        </w:rPr>
        <w:t>oligohydramnios</w:t>
      </w:r>
      <w:proofErr w:type="spellEnd"/>
      <w:r>
        <w:rPr>
          <w:sz w:val="24"/>
          <w:szCs w:val="24"/>
        </w:rPr>
        <w:t xml:space="preserve"> (se ovenfor og nedenfor)</w:t>
      </w:r>
      <w:r w:rsidRPr="008E5254">
        <w:rPr>
          <w:sz w:val="24"/>
          <w:szCs w:val="24"/>
        </w:rPr>
        <w:t>.</w:t>
      </w:r>
    </w:p>
    <w:p w:rsidR="00E54019" w:rsidRPr="008E5254" w:rsidRDefault="00E54019" w:rsidP="00E54019">
      <w:pPr>
        <w:tabs>
          <w:tab w:val="left" w:pos="851"/>
        </w:tabs>
        <w:ind w:left="851"/>
        <w:rPr>
          <w:sz w:val="24"/>
          <w:szCs w:val="24"/>
        </w:rPr>
      </w:pPr>
    </w:p>
    <w:p w:rsidR="00E54019" w:rsidRPr="008E5254" w:rsidRDefault="00E54019" w:rsidP="00E54019">
      <w:pPr>
        <w:tabs>
          <w:tab w:val="left" w:pos="851"/>
        </w:tabs>
        <w:ind w:left="851"/>
        <w:rPr>
          <w:sz w:val="24"/>
          <w:szCs w:val="24"/>
        </w:rPr>
      </w:pPr>
      <w:r w:rsidRPr="008E5254">
        <w:rPr>
          <w:sz w:val="24"/>
          <w:szCs w:val="24"/>
        </w:rPr>
        <w:t xml:space="preserve">Mor og barn kan mod slutningen af svangerskabet være udsat for: </w:t>
      </w:r>
    </w:p>
    <w:p w:rsidR="00E54019" w:rsidRPr="008E5254" w:rsidRDefault="00E54019" w:rsidP="00E54019">
      <w:pPr>
        <w:tabs>
          <w:tab w:val="left" w:pos="1134"/>
        </w:tabs>
        <w:ind w:left="1134" w:hanging="283"/>
        <w:rPr>
          <w:sz w:val="24"/>
          <w:szCs w:val="24"/>
        </w:rPr>
      </w:pPr>
      <w:r w:rsidRPr="008E5254">
        <w:rPr>
          <w:sz w:val="24"/>
          <w:szCs w:val="24"/>
        </w:rPr>
        <w:t>-</w:t>
      </w:r>
      <w:r w:rsidRPr="008E5254">
        <w:rPr>
          <w:sz w:val="24"/>
          <w:szCs w:val="24"/>
        </w:rPr>
        <w:tab/>
        <w:t>risiko for forlænget blødningstid, en nedsat aggregationsevne, som kan opstå selv ved meget lave doser.</w:t>
      </w:r>
    </w:p>
    <w:p w:rsidR="00E54019" w:rsidRPr="008E5254" w:rsidRDefault="00E54019" w:rsidP="00E54019">
      <w:pPr>
        <w:tabs>
          <w:tab w:val="left" w:pos="1134"/>
        </w:tabs>
        <w:ind w:left="1134" w:hanging="283"/>
        <w:rPr>
          <w:sz w:val="24"/>
          <w:szCs w:val="24"/>
        </w:rPr>
      </w:pPr>
      <w:r w:rsidRPr="008E5254">
        <w:rPr>
          <w:sz w:val="24"/>
          <w:szCs w:val="24"/>
        </w:rPr>
        <w:lastRenderedPageBreak/>
        <w:t>-</w:t>
      </w:r>
      <w:r w:rsidRPr="008E5254">
        <w:rPr>
          <w:sz w:val="24"/>
          <w:szCs w:val="24"/>
        </w:rPr>
        <w:tab/>
        <w:t>hæmning af uteruskontraktion resulterende i forsinket eller forlænget fødsel.</w:t>
      </w:r>
    </w:p>
    <w:p w:rsidR="00E54019" w:rsidRPr="008E5254" w:rsidRDefault="00E54019" w:rsidP="00E54019">
      <w:pPr>
        <w:tabs>
          <w:tab w:val="left" w:pos="851"/>
        </w:tabs>
        <w:ind w:left="851"/>
        <w:rPr>
          <w:sz w:val="24"/>
          <w:szCs w:val="24"/>
        </w:rPr>
      </w:pPr>
    </w:p>
    <w:p w:rsidR="00E54019" w:rsidRPr="008E5254" w:rsidRDefault="00E54019" w:rsidP="00E54019">
      <w:pPr>
        <w:tabs>
          <w:tab w:val="left" w:pos="851"/>
        </w:tabs>
        <w:ind w:left="851"/>
        <w:rPr>
          <w:sz w:val="24"/>
          <w:szCs w:val="24"/>
        </w:rPr>
      </w:pPr>
      <w:proofErr w:type="spellStart"/>
      <w:r w:rsidRPr="008E5254">
        <w:rPr>
          <w:i/>
          <w:iCs/>
          <w:sz w:val="24"/>
          <w:szCs w:val="24"/>
        </w:rPr>
        <w:t>Sumatriptan</w:t>
      </w:r>
      <w:proofErr w:type="spellEnd"/>
    </w:p>
    <w:p w:rsidR="00E54019" w:rsidRPr="008E5254" w:rsidRDefault="00E54019" w:rsidP="00E54019">
      <w:pPr>
        <w:tabs>
          <w:tab w:val="left" w:pos="851"/>
        </w:tabs>
        <w:ind w:left="851"/>
        <w:rPr>
          <w:sz w:val="24"/>
          <w:szCs w:val="24"/>
        </w:rPr>
      </w:pPr>
      <w:r w:rsidRPr="008E5254">
        <w:rPr>
          <w:sz w:val="24"/>
          <w:szCs w:val="24"/>
        </w:rPr>
        <w:t xml:space="preserve">Efter markedsføringen er der indsamlet data, der belyser anvendelsen af </w:t>
      </w:r>
      <w:proofErr w:type="spellStart"/>
      <w:r w:rsidRPr="008E5254">
        <w:rPr>
          <w:sz w:val="24"/>
          <w:szCs w:val="24"/>
        </w:rPr>
        <w:t>sumatriptan</w:t>
      </w:r>
      <w:proofErr w:type="spellEnd"/>
      <w:r w:rsidRPr="008E5254">
        <w:rPr>
          <w:sz w:val="24"/>
          <w:szCs w:val="24"/>
        </w:rPr>
        <w:t xml:space="preserve"> i første trimester, hos mere </w:t>
      </w:r>
      <w:r w:rsidR="00334421" w:rsidRPr="008E5254">
        <w:rPr>
          <w:sz w:val="24"/>
          <w:szCs w:val="24"/>
        </w:rPr>
        <w:t>end 1.000</w:t>
      </w:r>
      <w:r w:rsidR="00334421">
        <w:rPr>
          <w:sz w:val="24"/>
          <w:szCs w:val="24"/>
        </w:rPr>
        <w:t> </w:t>
      </w:r>
      <w:r w:rsidR="00334421" w:rsidRPr="008E5254">
        <w:rPr>
          <w:sz w:val="24"/>
          <w:szCs w:val="24"/>
        </w:rPr>
        <w:t>gravide kvinder</w:t>
      </w:r>
      <w:r w:rsidRPr="008E5254">
        <w:rPr>
          <w:sz w:val="24"/>
          <w:szCs w:val="24"/>
        </w:rPr>
        <w:t xml:space="preserve">. Der er ikke tilstrækkelig information til at kunne drage endelige konklusioner, men resultaterne indikerer ikke en øget risiko for medfødte defekter. Erfaring med brug af </w:t>
      </w:r>
      <w:proofErr w:type="spellStart"/>
      <w:r w:rsidRPr="008E5254">
        <w:rPr>
          <w:sz w:val="24"/>
          <w:szCs w:val="24"/>
        </w:rPr>
        <w:t>sumatriptan</w:t>
      </w:r>
      <w:proofErr w:type="spellEnd"/>
      <w:r w:rsidRPr="008E5254">
        <w:rPr>
          <w:sz w:val="24"/>
          <w:szCs w:val="24"/>
        </w:rPr>
        <w:t xml:space="preserve"> i andet og tredje trimester er begrænset.</w:t>
      </w:r>
    </w:p>
    <w:p w:rsidR="00E54019" w:rsidRPr="008E5254" w:rsidRDefault="00E54019" w:rsidP="00E54019">
      <w:pPr>
        <w:tabs>
          <w:tab w:val="left" w:pos="851"/>
        </w:tabs>
        <w:ind w:left="851"/>
        <w:rPr>
          <w:sz w:val="24"/>
          <w:szCs w:val="24"/>
        </w:rPr>
      </w:pPr>
    </w:p>
    <w:p w:rsidR="00E54019" w:rsidRPr="008E5254" w:rsidRDefault="00E54019" w:rsidP="00E54019">
      <w:pPr>
        <w:tabs>
          <w:tab w:val="left" w:pos="851"/>
        </w:tabs>
        <w:ind w:left="851"/>
        <w:rPr>
          <w:i/>
          <w:iCs/>
          <w:sz w:val="24"/>
          <w:szCs w:val="24"/>
        </w:rPr>
      </w:pPr>
      <w:proofErr w:type="spellStart"/>
      <w:r w:rsidRPr="008E5254">
        <w:rPr>
          <w:i/>
          <w:iCs/>
          <w:sz w:val="24"/>
          <w:szCs w:val="24"/>
        </w:rPr>
        <w:t>Sumatriptan</w:t>
      </w:r>
      <w:proofErr w:type="spellEnd"/>
      <w:r w:rsidRPr="008E5254">
        <w:rPr>
          <w:i/>
          <w:iCs/>
          <w:sz w:val="24"/>
          <w:szCs w:val="24"/>
        </w:rPr>
        <w:t>/</w:t>
      </w:r>
      <w:proofErr w:type="spellStart"/>
      <w:r w:rsidRPr="008E5254">
        <w:rPr>
          <w:i/>
          <w:iCs/>
          <w:sz w:val="24"/>
          <w:szCs w:val="24"/>
        </w:rPr>
        <w:t>naproxen</w:t>
      </w:r>
      <w:proofErr w:type="spellEnd"/>
    </w:p>
    <w:p w:rsidR="00E54019" w:rsidRPr="00213512" w:rsidRDefault="00E54019" w:rsidP="00E54019">
      <w:pPr>
        <w:tabs>
          <w:tab w:val="left" w:pos="851"/>
        </w:tabs>
        <w:ind w:left="851"/>
        <w:rPr>
          <w:sz w:val="24"/>
          <w:szCs w:val="24"/>
        </w:rPr>
      </w:pPr>
      <w:r w:rsidRPr="008E5254">
        <w:rPr>
          <w:sz w:val="24"/>
          <w:szCs w:val="24"/>
        </w:rPr>
        <w:t xml:space="preserve">Nomigrin bør ikke anvendes i graviditetens første og andet trimester, medmindre det er absolut nødvendigt. Hvis </w:t>
      </w:r>
      <w:r>
        <w:rPr>
          <w:sz w:val="24"/>
          <w:szCs w:val="24"/>
        </w:rPr>
        <w:t>Nomigrin</w:t>
      </w:r>
      <w:r w:rsidRPr="008E5254">
        <w:rPr>
          <w:sz w:val="24"/>
          <w:szCs w:val="24"/>
        </w:rPr>
        <w:t xml:space="preserve"> anvendes af kvinder, der forsøger at blive gravide, eller er i første eller andet trimester, bør den laveste dosis anvendes og behandlingen bør være så kort som muligt. </w:t>
      </w:r>
      <w:proofErr w:type="spellStart"/>
      <w:r w:rsidRPr="00DE7B8A">
        <w:rPr>
          <w:sz w:val="24"/>
          <w:szCs w:val="24"/>
        </w:rPr>
        <w:t>Antenatal</w:t>
      </w:r>
      <w:proofErr w:type="spellEnd"/>
      <w:r w:rsidRPr="00DE7B8A">
        <w:rPr>
          <w:sz w:val="24"/>
          <w:szCs w:val="24"/>
        </w:rPr>
        <w:t xml:space="preserve"> </w:t>
      </w:r>
      <w:r>
        <w:rPr>
          <w:sz w:val="24"/>
          <w:szCs w:val="24"/>
        </w:rPr>
        <w:t>overvågning</w:t>
      </w:r>
      <w:r w:rsidRPr="00DE7B8A">
        <w:rPr>
          <w:sz w:val="24"/>
          <w:szCs w:val="24"/>
        </w:rPr>
        <w:t xml:space="preserve"> for </w:t>
      </w:r>
      <w:proofErr w:type="spellStart"/>
      <w:r w:rsidRPr="00DE7B8A">
        <w:rPr>
          <w:sz w:val="24"/>
          <w:szCs w:val="24"/>
        </w:rPr>
        <w:t>oligohydramnio</w:t>
      </w:r>
      <w:r>
        <w:rPr>
          <w:sz w:val="24"/>
          <w:szCs w:val="24"/>
        </w:rPr>
        <w:t>s</w:t>
      </w:r>
      <w:proofErr w:type="spellEnd"/>
      <w:r w:rsidRPr="00DE7B8A">
        <w:rPr>
          <w:sz w:val="24"/>
          <w:szCs w:val="24"/>
        </w:rPr>
        <w:t xml:space="preserve"> og konstriktion </w:t>
      </w:r>
      <w:r>
        <w:rPr>
          <w:sz w:val="24"/>
          <w:szCs w:val="24"/>
        </w:rPr>
        <w:t xml:space="preserve">af </w:t>
      </w:r>
      <w:proofErr w:type="spellStart"/>
      <w:r w:rsidRPr="00DE7B8A">
        <w:rPr>
          <w:sz w:val="24"/>
          <w:szCs w:val="24"/>
        </w:rPr>
        <w:t>ductus</w:t>
      </w:r>
      <w:proofErr w:type="spellEnd"/>
      <w:r w:rsidRPr="00DE7B8A">
        <w:rPr>
          <w:sz w:val="24"/>
          <w:szCs w:val="24"/>
        </w:rPr>
        <w:t xml:space="preserve"> </w:t>
      </w:r>
      <w:proofErr w:type="spellStart"/>
      <w:r w:rsidRPr="00DE7B8A">
        <w:rPr>
          <w:sz w:val="24"/>
          <w:szCs w:val="24"/>
        </w:rPr>
        <w:t>arteriosus</w:t>
      </w:r>
      <w:proofErr w:type="spellEnd"/>
      <w:r w:rsidRPr="00DE7B8A">
        <w:rPr>
          <w:sz w:val="24"/>
          <w:szCs w:val="24"/>
        </w:rPr>
        <w:t xml:space="preserve"> bør overvejes efter eksponering for </w:t>
      </w:r>
      <w:proofErr w:type="spellStart"/>
      <w:r w:rsidRPr="00DE7B8A">
        <w:rPr>
          <w:sz w:val="24"/>
          <w:szCs w:val="24"/>
        </w:rPr>
        <w:t>naproxen</w:t>
      </w:r>
      <w:proofErr w:type="spellEnd"/>
      <w:r w:rsidRPr="00DE7B8A">
        <w:rPr>
          <w:sz w:val="24"/>
          <w:szCs w:val="24"/>
        </w:rPr>
        <w:t xml:space="preserve"> i flere dage fra svangerskab</w:t>
      </w:r>
      <w:r>
        <w:rPr>
          <w:sz w:val="24"/>
          <w:szCs w:val="24"/>
        </w:rPr>
        <w:t xml:space="preserve">ets </w:t>
      </w:r>
      <w:r w:rsidRPr="00DE7B8A">
        <w:rPr>
          <w:sz w:val="24"/>
          <w:szCs w:val="24"/>
        </w:rPr>
        <w:t>20</w:t>
      </w:r>
      <w:r>
        <w:rPr>
          <w:sz w:val="24"/>
          <w:szCs w:val="24"/>
        </w:rPr>
        <w:t>. uge</w:t>
      </w:r>
      <w:r w:rsidRPr="00DE7B8A">
        <w:rPr>
          <w:sz w:val="24"/>
          <w:szCs w:val="24"/>
        </w:rPr>
        <w:t xml:space="preserve"> og fremefter. </w:t>
      </w:r>
      <w:r>
        <w:rPr>
          <w:sz w:val="24"/>
          <w:szCs w:val="24"/>
        </w:rPr>
        <w:t>Nomigrin</w:t>
      </w:r>
      <w:r w:rsidRPr="00DE7B8A">
        <w:rPr>
          <w:sz w:val="24"/>
          <w:szCs w:val="24"/>
        </w:rPr>
        <w:t xml:space="preserve"> bør seponeres, hvis der konstateres </w:t>
      </w:r>
      <w:proofErr w:type="spellStart"/>
      <w:r w:rsidRPr="00DE7B8A">
        <w:rPr>
          <w:sz w:val="24"/>
          <w:szCs w:val="24"/>
        </w:rPr>
        <w:t>oligohydramnio</w:t>
      </w:r>
      <w:r>
        <w:rPr>
          <w:sz w:val="24"/>
          <w:szCs w:val="24"/>
        </w:rPr>
        <w:t>s</w:t>
      </w:r>
      <w:proofErr w:type="spellEnd"/>
      <w:r w:rsidRPr="00DE7B8A">
        <w:rPr>
          <w:sz w:val="24"/>
          <w:szCs w:val="24"/>
        </w:rPr>
        <w:t xml:space="preserve"> eller konstriktion </w:t>
      </w:r>
      <w:r>
        <w:rPr>
          <w:sz w:val="24"/>
          <w:szCs w:val="24"/>
        </w:rPr>
        <w:t xml:space="preserve">af </w:t>
      </w:r>
      <w:proofErr w:type="spellStart"/>
      <w:r w:rsidRPr="00DE7B8A">
        <w:rPr>
          <w:sz w:val="24"/>
          <w:szCs w:val="24"/>
        </w:rPr>
        <w:t>ductus</w:t>
      </w:r>
      <w:proofErr w:type="spellEnd"/>
      <w:r w:rsidRPr="00DE7B8A">
        <w:rPr>
          <w:sz w:val="24"/>
          <w:szCs w:val="24"/>
        </w:rPr>
        <w:t xml:space="preserve"> </w:t>
      </w:r>
      <w:proofErr w:type="spellStart"/>
      <w:r w:rsidRPr="00DE7B8A">
        <w:rPr>
          <w:sz w:val="24"/>
          <w:szCs w:val="24"/>
        </w:rPr>
        <w:t>arteriosus</w:t>
      </w:r>
      <w:proofErr w:type="spellEnd"/>
      <w:r w:rsidRPr="00DE7B8A">
        <w:rPr>
          <w:sz w:val="24"/>
          <w:szCs w:val="24"/>
        </w:rPr>
        <w:t>.</w:t>
      </w:r>
    </w:p>
    <w:p w:rsidR="00E54019" w:rsidRPr="008E5254" w:rsidRDefault="00E54019" w:rsidP="00E54019">
      <w:pPr>
        <w:tabs>
          <w:tab w:val="left" w:pos="851"/>
        </w:tabs>
        <w:ind w:left="851"/>
        <w:rPr>
          <w:sz w:val="24"/>
          <w:szCs w:val="24"/>
        </w:rPr>
      </w:pPr>
      <w:r w:rsidRPr="008E5254">
        <w:rPr>
          <w:sz w:val="24"/>
          <w:szCs w:val="24"/>
        </w:rPr>
        <w:t>Nomigrin er kontraindiceret i tredje trimester af graviditeten (se pkt. 4.3).</w:t>
      </w:r>
    </w:p>
    <w:p w:rsidR="00E54019" w:rsidRPr="008E5254" w:rsidRDefault="00E54019" w:rsidP="00E54019">
      <w:pPr>
        <w:tabs>
          <w:tab w:val="left" w:pos="851"/>
        </w:tabs>
        <w:ind w:left="851"/>
        <w:rPr>
          <w:sz w:val="24"/>
          <w:szCs w:val="24"/>
        </w:rPr>
      </w:pPr>
    </w:p>
    <w:p w:rsidR="00E54019" w:rsidRPr="008E5254" w:rsidRDefault="00E54019" w:rsidP="00E54019">
      <w:pPr>
        <w:tabs>
          <w:tab w:val="left" w:pos="851"/>
        </w:tabs>
        <w:ind w:left="851"/>
        <w:rPr>
          <w:sz w:val="24"/>
          <w:szCs w:val="24"/>
        </w:rPr>
      </w:pPr>
      <w:r w:rsidRPr="008E5254">
        <w:rPr>
          <w:sz w:val="24"/>
          <w:szCs w:val="24"/>
          <w:u w:val="single"/>
        </w:rPr>
        <w:t>Amning</w:t>
      </w:r>
    </w:p>
    <w:p w:rsidR="00334421" w:rsidRPr="008E5254" w:rsidRDefault="00334421" w:rsidP="00334421">
      <w:pPr>
        <w:tabs>
          <w:tab w:val="left" w:pos="851"/>
        </w:tabs>
        <w:ind w:left="851"/>
        <w:rPr>
          <w:sz w:val="24"/>
          <w:szCs w:val="24"/>
        </w:rPr>
      </w:pPr>
      <w:r w:rsidRPr="008E5254">
        <w:rPr>
          <w:sz w:val="24"/>
          <w:szCs w:val="24"/>
        </w:rPr>
        <w:t xml:space="preserve">Begge aktive indholdsstoffer i </w:t>
      </w:r>
      <w:r>
        <w:rPr>
          <w:sz w:val="24"/>
          <w:szCs w:val="24"/>
        </w:rPr>
        <w:t xml:space="preserve">Nomigrin, </w:t>
      </w:r>
      <w:proofErr w:type="spellStart"/>
      <w:r w:rsidRPr="008E5254">
        <w:rPr>
          <w:sz w:val="24"/>
          <w:szCs w:val="24"/>
        </w:rPr>
        <w:t>sumatriptan</w:t>
      </w:r>
      <w:proofErr w:type="spellEnd"/>
      <w:r>
        <w:rPr>
          <w:sz w:val="24"/>
          <w:szCs w:val="24"/>
        </w:rPr>
        <w:t xml:space="preserve"> og </w:t>
      </w:r>
      <w:proofErr w:type="spellStart"/>
      <w:r w:rsidRPr="008E5254">
        <w:rPr>
          <w:sz w:val="24"/>
          <w:szCs w:val="24"/>
        </w:rPr>
        <w:t>naprox</w:t>
      </w:r>
      <w:r>
        <w:rPr>
          <w:sz w:val="24"/>
          <w:szCs w:val="24"/>
        </w:rPr>
        <w:t>iumnatrium</w:t>
      </w:r>
      <w:proofErr w:type="spellEnd"/>
      <w:r>
        <w:rPr>
          <w:sz w:val="24"/>
          <w:szCs w:val="24"/>
        </w:rPr>
        <w:t xml:space="preserve"> er blevet rapporteret</w:t>
      </w:r>
      <w:r w:rsidRPr="008E5254">
        <w:rPr>
          <w:sz w:val="24"/>
          <w:szCs w:val="24"/>
        </w:rPr>
        <w:t xml:space="preserve"> udskilles i </w:t>
      </w:r>
      <w:r>
        <w:rPr>
          <w:sz w:val="24"/>
          <w:szCs w:val="24"/>
        </w:rPr>
        <w:t xml:space="preserve">human </w:t>
      </w:r>
      <w:r w:rsidRPr="008E5254">
        <w:rPr>
          <w:sz w:val="24"/>
          <w:szCs w:val="24"/>
        </w:rPr>
        <w:t xml:space="preserve">modermælk. </w:t>
      </w:r>
      <w:r>
        <w:rPr>
          <w:sz w:val="24"/>
          <w:szCs w:val="24"/>
        </w:rPr>
        <w:t xml:space="preserve">På grund af mulige bivirkninger af disse lægemidler på nyfødte, bør brug af Nomigrin af mødre der ammer undgås. </w:t>
      </w:r>
      <w:proofErr w:type="spellStart"/>
      <w:r w:rsidRPr="00654B4F">
        <w:rPr>
          <w:sz w:val="24"/>
          <w:szCs w:val="24"/>
          <w:lang w:val="sv-SE"/>
        </w:rPr>
        <w:t>Eventuel</w:t>
      </w:r>
      <w:proofErr w:type="spellEnd"/>
      <w:r w:rsidRPr="00654B4F">
        <w:rPr>
          <w:sz w:val="24"/>
          <w:szCs w:val="24"/>
          <w:lang w:val="sv-SE"/>
        </w:rPr>
        <w:t xml:space="preserve"> </w:t>
      </w:r>
      <w:proofErr w:type="spellStart"/>
      <w:r w:rsidRPr="00654B4F">
        <w:rPr>
          <w:sz w:val="24"/>
          <w:szCs w:val="24"/>
          <w:lang w:val="sv-SE"/>
        </w:rPr>
        <w:t>modermælk</w:t>
      </w:r>
      <w:proofErr w:type="spellEnd"/>
      <w:r w:rsidRPr="00654B4F">
        <w:rPr>
          <w:sz w:val="24"/>
          <w:szCs w:val="24"/>
          <w:lang w:val="sv-SE"/>
        </w:rPr>
        <w:t xml:space="preserve"> </w:t>
      </w:r>
      <w:proofErr w:type="spellStart"/>
      <w:r w:rsidRPr="00654B4F">
        <w:rPr>
          <w:sz w:val="24"/>
          <w:szCs w:val="24"/>
          <w:lang w:val="sv-SE"/>
        </w:rPr>
        <w:t>der</w:t>
      </w:r>
      <w:proofErr w:type="spellEnd"/>
      <w:r w:rsidRPr="00654B4F">
        <w:rPr>
          <w:sz w:val="24"/>
          <w:szCs w:val="24"/>
          <w:lang w:val="sv-SE"/>
        </w:rPr>
        <w:t xml:space="preserve"> er </w:t>
      </w:r>
      <w:proofErr w:type="spellStart"/>
      <w:r w:rsidRPr="00654B4F">
        <w:rPr>
          <w:sz w:val="24"/>
          <w:szCs w:val="24"/>
          <w:lang w:val="sv-SE"/>
        </w:rPr>
        <w:t>udpumpet</w:t>
      </w:r>
      <w:proofErr w:type="spellEnd"/>
      <w:r w:rsidRPr="00654B4F">
        <w:rPr>
          <w:sz w:val="24"/>
          <w:szCs w:val="24"/>
          <w:lang w:val="sv-SE"/>
        </w:rPr>
        <w:t xml:space="preserve"> i </w:t>
      </w:r>
      <w:proofErr w:type="spellStart"/>
      <w:r w:rsidRPr="00654B4F">
        <w:rPr>
          <w:sz w:val="24"/>
          <w:szCs w:val="24"/>
          <w:lang w:val="sv-SE"/>
        </w:rPr>
        <w:t>mindst</w:t>
      </w:r>
      <w:proofErr w:type="spellEnd"/>
      <w:r w:rsidRPr="00654B4F">
        <w:rPr>
          <w:sz w:val="24"/>
          <w:szCs w:val="24"/>
          <w:lang w:val="sv-SE"/>
        </w:rPr>
        <w:t xml:space="preserve"> 12 timer efter behandlingen skal </w:t>
      </w:r>
      <w:proofErr w:type="spellStart"/>
      <w:r w:rsidRPr="00654B4F">
        <w:rPr>
          <w:sz w:val="24"/>
          <w:szCs w:val="24"/>
          <w:lang w:val="sv-SE"/>
        </w:rPr>
        <w:t>kasseres</w:t>
      </w:r>
      <w:proofErr w:type="spellEnd"/>
      <w:r w:rsidRPr="00654B4F">
        <w:rPr>
          <w:sz w:val="24"/>
          <w:szCs w:val="24"/>
          <w:lang w:val="sv-SE"/>
        </w:rPr>
        <w:t>.</w:t>
      </w:r>
    </w:p>
    <w:p w:rsidR="00E54019" w:rsidRPr="008E5254" w:rsidRDefault="00E54019" w:rsidP="00E54019">
      <w:pPr>
        <w:tabs>
          <w:tab w:val="left" w:pos="851"/>
        </w:tabs>
        <w:ind w:left="851"/>
        <w:rPr>
          <w:sz w:val="24"/>
          <w:szCs w:val="24"/>
        </w:rPr>
      </w:pPr>
    </w:p>
    <w:p w:rsidR="00E54019" w:rsidRPr="008E5254" w:rsidRDefault="00E54019" w:rsidP="00E54019">
      <w:pPr>
        <w:tabs>
          <w:tab w:val="left" w:pos="851"/>
        </w:tabs>
        <w:ind w:left="851"/>
        <w:rPr>
          <w:sz w:val="24"/>
          <w:szCs w:val="24"/>
        </w:rPr>
      </w:pPr>
      <w:r w:rsidRPr="008E5254">
        <w:rPr>
          <w:sz w:val="24"/>
          <w:szCs w:val="24"/>
          <w:u w:val="single"/>
        </w:rPr>
        <w:t>Fertilitet</w:t>
      </w:r>
    </w:p>
    <w:p w:rsidR="00E54019" w:rsidRPr="008E5254" w:rsidRDefault="00E54019" w:rsidP="00E54019">
      <w:pPr>
        <w:tabs>
          <w:tab w:val="left" w:pos="851"/>
        </w:tabs>
        <w:ind w:left="851"/>
        <w:rPr>
          <w:sz w:val="24"/>
          <w:szCs w:val="24"/>
        </w:rPr>
      </w:pPr>
      <w:r w:rsidRPr="008E5254">
        <w:rPr>
          <w:sz w:val="24"/>
          <w:szCs w:val="24"/>
        </w:rPr>
        <w:t xml:space="preserve">Brugen af </w:t>
      </w:r>
      <w:proofErr w:type="spellStart"/>
      <w:r w:rsidRPr="008E5254">
        <w:rPr>
          <w:sz w:val="24"/>
          <w:szCs w:val="24"/>
        </w:rPr>
        <w:t>naproxen</w:t>
      </w:r>
      <w:proofErr w:type="spellEnd"/>
      <w:r w:rsidRPr="008E5254">
        <w:rPr>
          <w:sz w:val="24"/>
          <w:szCs w:val="24"/>
        </w:rPr>
        <w:t xml:space="preserve">, som med ethvert lægemiddel, der vides at hæmme </w:t>
      </w:r>
      <w:proofErr w:type="spellStart"/>
      <w:r w:rsidRPr="008E5254">
        <w:rPr>
          <w:sz w:val="24"/>
          <w:szCs w:val="24"/>
        </w:rPr>
        <w:t>cyclooxygenase</w:t>
      </w:r>
      <w:proofErr w:type="spellEnd"/>
      <w:r w:rsidRPr="008E5254">
        <w:rPr>
          <w:sz w:val="24"/>
          <w:szCs w:val="24"/>
        </w:rPr>
        <w:t>/</w:t>
      </w:r>
      <w:proofErr w:type="spellStart"/>
      <w:r w:rsidRPr="008E5254">
        <w:rPr>
          <w:sz w:val="24"/>
          <w:szCs w:val="24"/>
        </w:rPr>
        <w:t>prostaglandinsyntesen</w:t>
      </w:r>
      <w:proofErr w:type="spellEnd"/>
      <w:r w:rsidRPr="008E5254">
        <w:rPr>
          <w:sz w:val="24"/>
          <w:szCs w:val="24"/>
        </w:rPr>
        <w:t xml:space="preserve">, kan forringe fertiliteten og anbefales ikke til kvinder, der forsøger at blive gravide. </w:t>
      </w:r>
      <w:proofErr w:type="spellStart"/>
      <w:r w:rsidRPr="008E5254">
        <w:rPr>
          <w:sz w:val="24"/>
          <w:szCs w:val="24"/>
        </w:rPr>
        <w:t>Seponering</w:t>
      </w:r>
      <w:proofErr w:type="spellEnd"/>
      <w:r w:rsidRPr="008E5254">
        <w:rPr>
          <w:sz w:val="24"/>
          <w:szCs w:val="24"/>
        </w:rPr>
        <w:t xml:space="preserve"> af </w:t>
      </w:r>
      <w:proofErr w:type="spellStart"/>
      <w:r w:rsidRPr="008E5254">
        <w:rPr>
          <w:sz w:val="24"/>
          <w:szCs w:val="24"/>
        </w:rPr>
        <w:t>naproxen</w:t>
      </w:r>
      <w:proofErr w:type="spellEnd"/>
      <w:r w:rsidRPr="008E5254">
        <w:rPr>
          <w:sz w:val="24"/>
          <w:szCs w:val="24"/>
        </w:rPr>
        <w:t xml:space="preserve"> bør overvejes hos kvinder, der har svært ved at blive gravide eller der undersøges for </w:t>
      </w:r>
      <w:proofErr w:type="spellStart"/>
      <w:r w:rsidRPr="008E5254">
        <w:rPr>
          <w:sz w:val="24"/>
          <w:szCs w:val="24"/>
        </w:rPr>
        <w:t>infertilitet</w:t>
      </w:r>
      <w:proofErr w:type="spellEnd"/>
      <w:r w:rsidRPr="008E5254">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w:t>
      </w:r>
      <w:r w:rsidR="00E54019">
        <w:rPr>
          <w:b/>
          <w:sz w:val="24"/>
          <w:szCs w:val="24"/>
        </w:rPr>
        <w:t xml:space="preserve"> </w:t>
      </w:r>
      <w:r w:rsidRPr="00C84483">
        <w:rPr>
          <w:b/>
          <w:sz w:val="24"/>
          <w:szCs w:val="24"/>
        </w:rPr>
        <w:t xml:space="preserve">på evnen til at føre motorkøretøj </w:t>
      </w:r>
      <w:r w:rsidR="00E54019">
        <w:rPr>
          <w:b/>
          <w:sz w:val="24"/>
          <w:szCs w:val="24"/>
        </w:rPr>
        <w:t>og</w:t>
      </w:r>
      <w:r w:rsidRPr="00C84483">
        <w:rPr>
          <w:b/>
          <w:sz w:val="24"/>
          <w:szCs w:val="24"/>
        </w:rPr>
        <w:t xml:space="preserve"> betjene maskiner</w:t>
      </w:r>
    </w:p>
    <w:p w:rsidR="00650F06" w:rsidRDefault="00650F06" w:rsidP="00650F06">
      <w:pPr>
        <w:tabs>
          <w:tab w:val="left" w:pos="851"/>
        </w:tabs>
        <w:ind w:left="851"/>
        <w:rPr>
          <w:sz w:val="24"/>
          <w:szCs w:val="24"/>
        </w:rPr>
      </w:pPr>
      <w:r>
        <w:rPr>
          <w:sz w:val="24"/>
          <w:szCs w:val="24"/>
        </w:rPr>
        <w:t>Ikke mærkning.</w:t>
      </w:r>
    </w:p>
    <w:p w:rsidR="00650F06" w:rsidRPr="00650F06" w:rsidRDefault="00650F06" w:rsidP="00650F06">
      <w:pPr>
        <w:tabs>
          <w:tab w:val="left" w:pos="851"/>
        </w:tabs>
        <w:ind w:left="851"/>
        <w:rPr>
          <w:sz w:val="24"/>
          <w:szCs w:val="24"/>
        </w:rPr>
      </w:pPr>
      <w:r w:rsidRPr="00650F06">
        <w:rPr>
          <w:sz w:val="24"/>
          <w:szCs w:val="24"/>
        </w:rPr>
        <w:t xml:space="preserve">Der er ikke udført studier af virkningen på evnen til at føre motorkøretøj </w:t>
      </w:r>
      <w:r w:rsidR="00334421">
        <w:rPr>
          <w:sz w:val="24"/>
          <w:szCs w:val="24"/>
        </w:rPr>
        <w:t>og</w:t>
      </w:r>
      <w:r w:rsidRPr="00650F06">
        <w:rPr>
          <w:sz w:val="24"/>
          <w:szCs w:val="24"/>
        </w:rPr>
        <w:t xml:space="preserve"> betjene maskiner. Nomigrin kan forårsage døsighed og svimmelhed, som kan påvirke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50F06" w:rsidRPr="00766291" w:rsidRDefault="00650F06" w:rsidP="00650F06">
      <w:pPr>
        <w:keepNext/>
        <w:tabs>
          <w:tab w:val="left" w:pos="851"/>
        </w:tabs>
        <w:ind w:left="851"/>
        <w:rPr>
          <w:sz w:val="24"/>
          <w:szCs w:val="24"/>
          <w:lang w:eastAsia="da-DK"/>
        </w:rPr>
      </w:pPr>
    </w:p>
    <w:p w:rsidR="00650F06" w:rsidRPr="00766291" w:rsidRDefault="00650F06" w:rsidP="00650F06">
      <w:pPr>
        <w:keepNext/>
        <w:tabs>
          <w:tab w:val="left" w:pos="851"/>
        </w:tabs>
        <w:ind w:left="851"/>
        <w:rPr>
          <w:sz w:val="24"/>
          <w:szCs w:val="24"/>
          <w:u w:val="single"/>
        </w:rPr>
      </w:pPr>
      <w:r w:rsidRPr="00766291">
        <w:rPr>
          <w:sz w:val="24"/>
          <w:szCs w:val="24"/>
          <w:u w:val="single"/>
        </w:rPr>
        <w:t>Sammendrag af sikkerhedsprofilen</w:t>
      </w:r>
    </w:p>
    <w:p w:rsidR="00650F06" w:rsidRPr="00766291" w:rsidRDefault="00650F06" w:rsidP="00650F06">
      <w:pPr>
        <w:keepNext/>
        <w:tabs>
          <w:tab w:val="left" w:pos="851"/>
        </w:tabs>
        <w:ind w:left="851"/>
        <w:rPr>
          <w:sz w:val="24"/>
          <w:szCs w:val="24"/>
        </w:rPr>
      </w:pPr>
      <w:r w:rsidRPr="00766291">
        <w:rPr>
          <w:sz w:val="24"/>
          <w:szCs w:val="24"/>
        </w:rPr>
        <w:t xml:space="preserve">Da Nomigrin indeholder både </w:t>
      </w:r>
      <w:proofErr w:type="spellStart"/>
      <w:r w:rsidRPr="00766291">
        <w:rPr>
          <w:sz w:val="24"/>
          <w:szCs w:val="24"/>
        </w:rPr>
        <w:t>sumatriptansuccinat</w:t>
      </w:r>
      <w:proofErr w:type="spellEnd"/>
      <w:r w:rsidRPr="00766291">
        <w:rPr>
          <w:sz w:val="24"/>
          <w:szCs w:val="24"/>
        </w:rPr>
        <w:t xml:space="preserve"> og </w:t>
      </w:r>
      <w:proofErr w:type="spellStart"/>
      <w:r w:rsidRPr="00766291">
        <w:rPr>
          <w:sz w:val="24"/>
          <w:szCs w:val="24"/>
        </w:rPr>
        <w:t>naproxiumnatrium</w:t>
      </w:r>
      <w:proofErr w:type="spellEnd"/>
      <w:r w:rsidRPr="00766291">
        <w:rPr>
          <w:sz w:val="24"/>
          <w:szCs w:val="24"/>
        </w:rPr>
        <w:t>, kan det samme bivirkningsmønster, der er rapporteret for disse individuelle indholdsstoffer, forekomme med kombinationsproduktet.</w:t>
      </w:r>
    </w:p>
    <w:p w:rsidR="00650F06" w:rsidRPr="00766291" w:rsidRDefault="00650F06" w:rsidP="00650F06">
      <w:pPr>
        <w:tabs>
          <w:tab w:val="left" w:pos="851"/>
        </w:tabs>
        <w:ind w:left="851"/>
        <w:rPr>
          <w:sz w:val="24"/>
          <w:szCs w:val="24"/>
        </w:rPr>
      </w:pPr>
    </w:p>
    <w:p w:rsidR="00650F06" w:rsidRPr="00766291" w:rsidRDefault="00650F06" w:rsidP="00650F06">
      <w:pPr>
        <w:tabs>
          <w:tab w:val="left" w:pos="851"/>
        </w:tabs>
        <w:ind w:left="851"/>
        <w:rPr>
          <w:sz w:val="24"/>
          <w:szCs w:val="24"/>
        </w:rPr>
      </w:pPr>
      <w:r w:rsidRPr="00766291">
        <w:rPr>
          <w:sz w:val="24"/>
          <w:szCs w:val="24"/>
        </w:rPr>
        <w:t xml:space="preserve">Alvorlige kardiale hændelser, inklusive nogle, der har været dødelige, er opstået efter brug af 5-HT1-agonister, såsom </w:t>
      </w:r>
      <w:proofErr w:type="spellStart"/>
      <w:r w:rsidRPr="00766291">
        <w:rPr>
          <w:sz w:val="24"/>
          <w:szCs w:val="24"/>
        </w:rPr>
        <w:t>sumatriptan</w:t>
      </w:r>
      <w:proofErr w:type="spellEnd"/>
      <w:r w:rsidRPr="00766291">
        <w:rPr>
          <w:sz w:val="24"/>
          <w:szCs w:val="24"/>
        </w:rPr>
        <w:t xml:space="preserve">. Disse hændelser er meget sjældne og de fleste er blevet rapporteret hos patienter med risikofaktorer for koronararteriesygdom (CAD). De rapporterede hændelser har inkluderet koronararterie </w:t>
      </w:r>
      <w:proofErr w:type="spellStart"/>
      <w:r w:rsidRPr="00766291">
        <w:rPr>
          <w:sz w:val="24"/>
          <w:szCs w:val="24"/>
        </w:rPr>
        <w:t>vasospasme</w:t>
      </w:r>
      <w:proofErr w:type="spellEnd"/>
      <w:r w:rsidRPr="00766291">
        <w:rPr>
          <w:sz w:val="24"/>
          <w:szCs w:val="24"/>
        </w:rPr>
        <w:t xml:space="preserve">, forbigående </w:t>
      </w:r>
      <w:proofErr w:type="spellStart"/>
      <w:r w:rsidRPr="00766291">
        <w:rPr>
          <w:sz w:val="24"/>
          <w:szCs w:val="24"/>
        </w:rPr>
        <w:t>myokardieiskæmi</w:t>
      </w:r>
      <w:proofErr w:type="spellEnd"/>
      <w:r w:rsidRPr="00766291">
        <w:rPr>
          <w:sz w:val="24"/>
          <w:szCs w:val="24"/>
        </w:rPr>
        <w:t xml:space="preserve">, myokardieinfarkt, </w:t>
      </w:r>
      <w:proofErr w:type="spellStart"/>
      <w:r w:rsidRPr="00766291">
        <w:rPr>
          <w:sz w:val="24"/>
          <w:szCs w:val="24"/>
        </w:rPr>
        <w:t>ventrikulær</w:t>
      </w:r>
      <w:proofErr w:type="spellEnd"/>
      <w:r w:rsidRPr="00766291">
        <w:rPr>
          <w:sz w:val="24"/>
          <w:szCs w:val="24"/>
        </w:rPr>
        <w:t xml:space="preserve"> </w:t>
      </w:r>
      <w:proofErr w:type="spellStart"/>
      <w:r w:rsidRPr="00766291">
        <w:rPr>
          <w:sz w:val="24"/>
          <w:szCs w:val="24"/>
        </w:rPr>
        <w:t>takykardi</w:t>
      </w:r>
      <w:proofErr w:type="spellEnd"/>
      <w:r w:rsidRPr="00766291">
        <w:rPr>
          <w:sz w:val="24"/>
          <w:szCs w:val="24"/>
        </w:rPr>
        <w:t xml:space="preserve"> og </w:t>
      </w:r>
      <w:proofErr w:type="spellStart"/>
      <w:r w:rsidRPr="00766291">
        <w:rPr>
          <w:sz w:val="24"/>
          <w:szCs w:val="24"/>
        </w:rPr>
        <w:t>ventrikulær</w:t>
      </w:r>
      <w:proofErr w:type="spellEnd"/>
      <w:r w:rsidRPr="00766291">
        <w:rPr>
          <w:sz w:val="24"/>
          <w:szCs w:val="24"/>
        </w:rPr>
        <w:t xml:space="preserve"> fibrillation (se pkt. 4.3 og 4.4).</w:t>
      </w:r>
    </w:p>
    <w:p w:rsidR="00650F06" w:rsidRPr="00766291" w:rsidRDefault="00650F06" w:rsidP="00650F06">
      <w:pPr>
        <w:tabs>
          <w:tab w:val="left" w:pos="851"/>
        </w:tabs>
        <w:ind w:left="851"/>
        <w:rPr>
          <w:sz w:val="24"/>
          <w:szCs w:val="24"/>
        </w:rPr>
      </w:pPr>
    </w:p>
    <w:p w:rsidR="00650F06" w:rsidRPr="00766291" w:rsidRDefault="00650F06" w:rsidP="00650F06">
      <w:pPr>
        <w:tabs>
          <w:tab w:val="left" w:pos="851"/>
        </w:tabs>
        <w:ind w:left="851"/>
        <w:rPr>
          <w:sz w:val="24"/>
          <w:szCs w:val="24"/>
        </w:rPr>
      </w:pPr>
      <w:r w:rsidRPr="00766291">
        <w:rPr>
          <w:sz w:val="24"/>
          <w:szCs w:val="24"/>
        </w:rPr>
        <w:lastRenderedPageBreak/>
        <w:t xml:space="preserve">De mest almindelige bivirkninger ved </w:t>
      </w:r>
      <w:proofErr w:type="spellStart"/>
      <w:r w:rsidRPr="00766291">
        <w:rPr>
          <w:sz w:val="24"/>
          <w:szCs w:val="24"/>
        </w:rPr>
        <w:t>NSAID’er</w:t>
      </w:r>
      <w:proofErr w:type="spellEnd"/>
      <w:r w:rsidRPr="00766291">
        <w:rPr>
          <w:sz w:val="24"/>
          <w:szCs w:val="24"/>
        </w:rPr>
        <w:t xml:space="preserve">, såsom </w:t>
      </w:r>
      <w:proofErr w:type="spellStart"/>
      <w:r w:rsidRPr="00766291">
        <w:rPr>
          <w:sz w:val="24"/>
          <w:szCs w:val="24"/>
        </w:rPr>
        <w:t>naproxen</w:t>
      </w:r>
      <w:proofErr w:type="spellEnd"/>
      <w:r w:rsidRPr="00766291">
        <w:rPr>
          <w:sz w:val="24"/>
          <w:szCs w:val="24"/>
        </w:rPr>
        <w:t xml:space="preserve">, er </w:t>
      </w:r>
      <w:proofErr w:type="spellStart"/>
      <w:r w:rsidRPr="00766291">
        <w:rPr>
          <w:sz w:val="24"/>
          <w:szCs w:val="24"/>
        </w:rPr>
        <w:t>gastrointestinale</w:t>
      </w:r>
      <w:proofErr w:type="spellEnd"/>
      <w:r w:rsidRPr="00766291">
        <w:rPr>
          <w:sz w:val="24"/>
          <w:szCs w:val="24"/>
        </w:rPr>
        <w:t xml:space="preserve">, hvoraf mavesår, med eller uden blødning, er den mest alvorlige. Dødsfald er især set hos ældre. </w:t>
      </w:r>
    </w:p>
    <w:p w:rsidR="00650F06" w:rsidRPr="00766291" w:rsidRDefault="00650F06" w:rsidP="00650F06">
      <w:pPr>
        <w:tabs>
          <w:tab w:val="left" w:pos="851"/>
        </w:tabs>
        <w:ind w:left="851"/>
        <w:rPr>
          <w:sz w:val="24"/>
          <w:szCs w:val="24"/>
        </w:rPr>
      </w:pPr>
    </w:p>
    <w:p w:rsidR="00766291" w:rsidRDefault="00650F06" w:rsidP="00E54019">
      <w:pPr>
        <w:tabs>
          <w:tab w:val="left" w:pos="851"/>
        </w:tabs>
        <w:ind w:left="851"/>
        <w:rPr>
          <w:sz w:val="24"/>
          <w:szCs w:val="24"/>
        </w:rPr>
      </w:pPr>
      <w:r w:rsidRPr="00766291">
        <w:rPr>
          <w:sz w:val="24"/>
          <w:szCs w:val="24"/>
        </w:rPr>
        <w:t xml:space="preserve">De mest almindelige bivirkninger ved </w:t>
      </w:r>
      <w:proofErr w:type="spellStart"/>
      <w:r w:rsidRPr="00766291">
        <w:rPr>
          <w:sz w:val="24"/>
          <w:szCs w:val="24"/>
        </w:rPr>
        <w:t>sumatriptan</w:t>
      </w:r>
      <w:proofErr w:type="spellEnd"/>
      <w:r w:rsidRPr="00766291">
        <w:rPr>
          <w:sz w:val="24"/>
          <w:szCs w:val="24"/>
        </w:rPr>
        <w:t>/</w:t>
      </w:r>
      <w:proofErr w:type="spellStart"/>
      <w:r w:rsidRPr="00766291">
        <w:rPr>
          <w:sz w:val="24"/>
          <w:szCs w:val="24"/>
        </w:rPr>
        <w:t>naproxen</w:t>
      </w:r>
      <w:proofErr w:type="spellEnd"/>
      <w:r w:rsidRPr="00766291">
        <w:rPr>
          <w:sz w:val="24"/>
          <w:szCs w:val="24"/>
        </w:rPr>
        <w:t xml:space="preserve"> hos voksne i kliniske studier (</w:t>
      </w:r>
      <w:proofErr w:type="spellStart"/>
      <w:r w:rsidRPr="00766291">
        <w:rPr>
          <w:sz w:val="24"/>
          <w:szCs w:val="24"/>
        </w:rPr>
        <w:t>incidens</w:t>
      </w:r>
      <w:proofErr w:type="spellEnd"/>
      <w:r w:rsidRPr="00766291">
        <w:rPr>
          <w:sz w:val="24"/>
          <w:szCs w:val="24"/>
        </w:rPr>
        <w:t xml:space="preserve"> ≥ 2 %) var: svimmelhed, </w:t>
      </w:r>
      <w:proofErr w:type="spellStart"/>
      <w:r w:rsidRPr="00766291">
        <w:rPr>
          <w:sz w:val="24"/>
          <w:szCs w:val="24"/>
        </w:rPr>
        <w:t>somnolens</w:t>
      </w:r>
      <w:proofErr w:type="spellEnd"/>
      <w:r w:rsidRPr="00766291">
        <w:rPr>
          <w:sz w:val="24"/>
          <w:szCs w:val="24"/>
        </w:rPr>
        <w:t xml:space="preserve">, </w:t>
      </w:r>
      <w:proofErr w:type="spellStart"/>
      <w:r w:rsidRPr="00766291">
        <w:rPr>
          <w:sz w:val="24"/>
          <w:szCs w:val="24"/>
        </w:rPr>
        <w:t>paræstesi</w:t>
      </w:r>
      <w:proofErr w:type="spellEnd"/>
      <w:r w:rsidRPr="00766291">
        <w:rPr>
          <w:sz w:val="24"/>
          <w:szCs w:val="24"/>
        </w:rPr>
        <w:t xml:space="preserve">, kvalme, mundtørhed, dyspepsi, trykken for brystet. Der blev ikke identificeret nye sikkerhedsfund under behandling med </w:t>
      </w:r>
      <w:proofErr w:type="spellStart"/>
      <w:r w:rsidRPr="00766291">
        <w:rPr>
          <w:sz w:val="24"/>
          <w:szCs w:val="24"/>
        </w:rPr>
        <w:t>sumatriptan</w:t>
      </w:r>
      <w:proofErr w:type="spellEnd"/>
      <w:r w:rsidRPr="00766291">
        <w:rPr>
          <w:sz w:val="24"/>
          <w:szCs w:val="24"/>
        </w:rPr>
        <w:t>/</w:t>
      </w:r>
      <w:proofErr w:type="spellStart"/>
      <w:r w:rsidRPr="00766291">
        <w:rPr>
          <w:sz w:val="24"/>
          <w:szCs w:val="24"/>
        </w:rPr>
        <w:t>naproxen</w:t>
      </w:r>
      <w:proofErr w:type="spellEnd"/>
      <w:r w:rsidRPr="00766291">
        <w:rPr>
          <w:sz w:val="24"/>
          <w:szCs w:val="24"/>
        </w:rPr>
        <w:t xml:space="preserve"> sammenlignet med den etablerede sikkerhedsprofil for de enkelte indholdsstoffer.</w:t>
      </w:r>
    </w:p>
    <w:p w:rsidR="00650F06" w:rsidRPr="00766291" w:rsidRDefault="00650F06" w:rsidP="00650F06">
      <w:pPr>
        <w:tabs>
          <w:tab w:val="left" w:pos="851"/>
        </w:tabs>
        <w:ind w:left="851"/>
        <w:rPr>
          <w:sz w:val="24"/>
          <w:szCs w:val="24"/>
        </w:rPr>
      </w:pPr>
    </w:p>
    <w:p w:rsidR="00650F06" w:rsidRPr="00766291" w:rsidRDefault="00650F06" w:rsidP="00650F06">
      <w:pPr>
        <w:tabs>
          <w:tab w:val="left" w:pos="851"/>
        </w:tabs>
        <w:ind w:left="851"/>
        <w:rPr>
          <w:sz w:val="24"/>
          <w:szCs w:val="24"/>
          <w:u w:val="single"/>
        </w:rPr>
      </w:pPr>
      <w:r w:rsidRPr="00766291">
        <w:rPr>
          <w:sz w:val="24"/>
          <w:szCs w:val="24"/>
          <w:u w:val="single"/>
        </w:rPr>
        <w:t>Liste over bivirkninger i tabelform</w:t>
      </w:r>
    </w:p>
    <w:p w:rsidR="00650F06" w:rsidRPr="00766291" w:rsidRDefault="00650F06" w:rsidP="00650F06">
      <w:pPr>
        <w:tabs>
          <w:tab w:val="left" w:pos="851"/>
        </w:tabs>
        <w:ind w:left="851"/>
        <w:rPr>
          <w:sz w:val="24"/>
          <w:szCs w:val="24"/>
        </w:rPr>
      </w:pPr>
      <w:r w:rsidRPr="00766291">
        <w:rPr>
          <w:sz w:val="24"/>
          <w:szCs w:val="24"/>
        </w:rPr>
        <w:t xml:space="preserve">Frekvenser er blevet defineret som: </w:t>
      </w:r>
      <w:r w:rsidR="00766291">
        <w:rPr>
          <w:sz w:val="24"/>
          <w:szCs w:val="24"/>
        </w:rPr>
        <w:t>M</w:t>
      </w:r>
      <w:r w:rsidRPr="00766291">
        <w:rPr>
          <w:sz w:val="24"/>
          <w:szCs w:val="24"/>
        </w:rPr>
        <w:t>eget almindelig (≥ 1/10); almindelig (≥ 1/100 til &lt; 1/10); ikke almindelig (≥ 1/1.000/&lt; 1/100); sjælden (≥ 1/10.000 til &lt; 1/1.000); meget sjælden (&lt; 1/10.000); ikke kendt (kan ikke estimeres ud fra forhåndenværende data).</w:t>
      </w:r>
    </w:p>
    <w:p w:rsidR="00650F06" w:rsidRPr="00766291" w:rsidRDefault="00650F06" w:rsidP="00650F06">
      <w:pPr>
        <w:tabs>
          <w:tab w:val="left" w:pos="851"/>
        </w:tabs>
        <w:ind w:left="851"/>
        <w:rPr>
          <w:sz w:val="24"/>
          <w:szCs w:val="24"/>
        </w:rPr>
      </w:pPr>
    </w:p>
    <w:p w:rsidR="00650F06" w:rsidRPr="00766291" w:rsidRDefault="00650F06" w:rsidP="00650F06">
      <w:pPr>
        <w:keepNext/>
        <w:tabs>
          <w:tab w:val="left" w:pos="851"/>
        </w:tabs>
        <w:ind w:left="851"/>
        <w:rPr>
          <w:i/>
          <w:iCs/>
          <w:sz w:val="24"/>
          <w:szCs w:val="24"/>
        </w:rPr>
      </w:pPr>
      <w:proofErr w:type="spellStart"/>
      <w:r w:rsidRPr="00766291">
        <w:rPr>
          <w:i/>
          <w:iCs/>
          <w:sz w:val="24"/>
          <w:szCs w:val="24"/>
        </w:rPr>
        <w:t>Sumatriptan</w:t>
      </w:r>
      <w:proofErr w:type="spellEnd"/>
    </w:p>
    <w:p w:rsidR="00650F06" w:rsidRPr="00766291" w:rsidRDefault="00650F06" w:rsidP="00650F06">
      <w:pPr>
        <w:keepNext/>
        <w:tabs>
          <w:tab w:val="left" w:pos="851"/>
        </w:tabs>
        <w:ind w:left="851"/>
        <w:rPr>
          <w:sz w:val="24"/>
          <w:szCs w:val="24"/>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4"/>
        <w:gridCol w:w="2523"/>
        <w:gridCol w:w="2523"/>
        <w:gridCol w:w="3070"/>
      </w:tblGrid>
      <w:tr w:rsidR="00650F06" w:rsidRPr="00DB4A9D" w:rsidTr="00334421">
        <w:trPr>
          <w:trHeight w:val="476"/>
          <w:tblHeader/>
        </w:trPr>
        <w:tc>
          <w:tcPr>
            <w:tcW w:w="2204" w:type="dxa"/>
            <w:tcBorders>
              <w:top w:val="single" w:sz="4" w:space="0" w:color="auto"/>
              <w:left w:val="single" w:sz="4" w:space="0" w:color="auto"/>
              <w:bottom w:val="single" w:sz="4" w:space="0" w:color="auto"/>
              <w:right w:val="single" w:sz="4" w:space="0" w:color="auto"/>
            </w:tcBorders>
            <w:hideMark/>
          </w:tcPr>
          <w:p w:rsidR="00650F06" w:rsidRPr="00DB4A9D" w:rsidRDefault="00650F06">
            <w:pPr>
              <w:keepNext/>
              <w:rPr>
                <w:b/>
                <w:bCs/>
                <w:sz w:val="22"/>
                <w:szCs w:val="22"/>
              </w:rPr>
            </w:pPr>
            <w:r w:rsidRPr="00DB4A9D">
              <w:rPr>
                <w:b/>
                <w:bCs/>
                <w:sz w:val="22"/>
                <w:szCs w:val="22"/>
              </w:rPr>
              <w:t>Systemorgan-klasse</w:t>
            </w:r>
          </w:p>
        </w:tc>
        <w:tc>
          <w:tcPr>
            <w:tcW w:w="2523" w:type="dxa"/>
            <w:tcBorders>
              <w:top w:val="single" w:sz="4" w:space="0" w:color="auto"/>
              <w:left w:val="single" w:sz="4" w:space="0" w:color="auto"/>
              <w:bottom w:val="single" w:sz="4" w:space="0" w:color="auto"/>
              <w:right w:val="single" w:sz="4" w:space="0" w:color="auto"/>
            </w:tcBorders>
            <w:hideMark/>
          </w:tcPr>
          <w:p w:rsidR="00650F06" w:rsidRPr="00DB4A9D" w:rsidRDefault="00650F06">
            <w:pPr>
              <w:keepNext/>
              <w:rPr>
                <w:b/>
                <w:bCs/>
                <w:sz w:val="22"/>
                <w:szCs w:val="22"/>
              </w:rPr>
            </w:pPr>
            <w:r w:rsidRPr="00DB4A9D">
              <w:rPr>
                <w:b/>
                <w:bCs/>
                <w:sz w:val="22"/>
                <w:szCs w:val="22"/>
              </w:rPr>
              <w:t>Almindelig</w:t>
            </w:r>
          </w:p>
        </w:tc>
        <w:tc>
          <w:tcPr>
            <w:tcW w:w="2523" w:type="dxa"/>
            <w:tcBorders>
              <w:top w:val="single" w:sz="4" w:space="0" w:color="auto"/>
              <w:left w:val="single" w:sz="4" w:space="0" w:color="auto"/>
              <w:bottom w:val="single" w:sz="4" w:space="0" w:color="auto"/>
              <w:right w:val="single" w:sz="4" w:space="0" w:color="auto"/>
            </w:tcBorders>
            <w:hideMark/>
          </w:tcPr>
          <w:p w:rsidR="00650F06" w:rsidRPr="00DB4A9D" w:rsidRDefault="00650F06">
            <w:pPr>
              <w:keepNext/>
              <w:rPr>
                <w:b/>
                <w:bCs/>
                <w:sz w:val="22"/>
                <w:szCs w:val="22"/>
              </w:rPr>
            </w:pPr>
            <w:r w:rsidRPr="00DB4A9D">
              <w:rPr>
                <w:b/>
                <w:bCs/>
                <w:sz w:val="22"/>
                <w:szCs w:val="22"/>
              </w:rPr>
              <w:t>Meget sjælden</w:t>
            </w:r>
          </w:p>
        </w:tc>
        <w:tc>
          <w:tcPr>
            <w:tcW w:w="3070" w:type="dxa"/>
            <w:tcBorders>
              <w:top w:val="single" w:sz="4" w:space="0" w:color="auto"/>
              <w:left w:val="single" w:sz="4" w:space="0" w:color="auto"/>
              <w:bottom w:val="single" w:sz="4" w:space="0" w:color="auto"/>
              <w:right w:val="single" w:sz="4" w:space="0" w:color="auto"/>
            </w:tcBorders>
            <w:hideMark/>
          </w:tcPr>
          <w:p w:rsidR="00650F06" w:rsidRPr="00DB4A9D" w:rsidRDefault="00650F06">
            <w:pPr>
              <w:keepNext/>
              <w:rPr>
                <w:b/>
                <w:bCs/>
                <w:sz w:val="22"/>
                <w:szCs w:val="22"/>
              </w:rPr>
            </w:pPr>
            <w:r w:rsidRPr="00DB4A9D">
              <w:rPr>
                <w:b/>
                <w:bCs/>
                <w:sz w:val="22"/>
                <w:szCs w:val="22"/>
              </w:rPr>
              <w:t>Ikke kendt</w:t>
            </w:r>
          </w:p>
        </w:tc>
      </w:tr>
      <w:tr w:rsidR="00650F06" w:rsidRPr="00DB4A9D" w:rsidTr="00334421">
        <w:trPr>
          <w:trHeight w:val="736"/>
        </w:trPr>
        <w:tc>
          <w:tcPr>
            <w:tcW w:w="2204" w:type="dxa"/>
            <w:tcBorders>
              <w:top w:val="single" w:sz="4" w:space="0" w:color="auto"/>
              <w:left w:val="single" w:sz="4" w:space="0" w:color="auto"/>
              <w:bottom w:val="single" w:sz="4" w:space="0" w:color="auto"/>
              <w:right w:val="single" w:sz="4" w:space="0" w:color="auto"/>
            </w:tcBorders>
            <w:hideMark/>
          </w:tcPr>
          <w:p w:rsidR="00650F06" w:rsidRPr="00DB4A9D" w:rsidRDefault="00650F06">
            <w:pPr>
              <w:pStyle w:val="Overskrift3"/>
              <w:keepNext w:val="0"/>
              <w:rPr>
                <w:rFonts w:ascii="Times New Roman" w:hAnsi="Times New Roman"/>
                <w:b/>
                <w:sz w:val="22"/>
                <w:szCs w:val="22"/>
              </w:rPr>
            </w:pPr>
            <w:r w:rsidRPr="00DB4A9D">
              <w:rPr>
                <w:rFonts w:ascii="Times New Roman" w:hAnsi="Times New Roman"/>
                <w:sz w:val="22"/>
                <w:szCs w:val="22"/>
              </w:rPr>
              <w:t>Immunsystemet</w:t>
            </w: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3070"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Overfølsomhedsreaktioner varierende fra hududslæt (såsom nældefeber) til anafylaksi.</w:t>
            </w:r>
          </w:p>
        </w:tc>
      </w:tr>
      <w:tr w:rsidR="00650F06" w:rsidRPr="00DB4A9D" w:rsidTr="00334421">
        <w:trPr>
          <w:trHeight w:val="476"/>
        </w:trPr>
        <w:tc>
          <w:tcPr>
            <w:tcW w:w="2204" w:type="dxa"/>
            <w:tcBorders>
              <w:top w:val="single" w:sz="4" w:space="0" w:color="auto"/>
              <w:left w:val="single" w:sz="4" w:space="0" w:color="auto"/>
              <w:bottom w:val="single" w:sz="4" w:space="0" w:color="auto"/>
              <w:right w:val="single" w:sz="4" w:space="0" w:color="auto"/>
            </w:tcBorders>
            <w:hideMark/>
          </w:tcPr>
          <w:p w:rsidR="00650F06" w:rsidRPr="00DB4A9D" w:rsidRDefault="00650F06">
            <w:pPr>
              <w:pStyle w:val="Overskrift3"/>
              <w:keepNext w:val="0"/>
              <w:rPr>
                <w:rFonts w:ascii="Times New Roman" w:hAnsi="Times New Roman"/>
                <w:bCs/>
                <w:sz w:val="22"/>
                <w:szCs w:val="22"/>
              </w:rPr>
            </w:pPr>
            <w:r w:rsidRPr="00DB4A9D">
              <w:rPr>
                <w:rFonts w:ascii="Times New Roman" w:hAnsi="Times New Roman"/>
                <w:bCs/>
                <w:noProof/>
                <w:sz w:val="22"/>
                <w:szCs w:val="22"/>
              </w:rPr>
              <w:t>Psykiske forstyrrelser</w:t>
            </w: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3070"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Angst</w:t>
            </w:r>
          </w:p>
        </w:tc>
      </w:tr>
      <w:tr w:rsidR="00650F06" w:rsidRPr="00DB4A9D" w:rsidTr="00334421">
        <w:trPr>
          <w:trHeight w:val="1088"/>
        </w:trPr>
        <w:tc>
          <w:tcPr>
            <w:tcW w:w="2204" w:type="dxa"/>
            <w:tcBorders>
              <w:top w:val="single" w:sz="4" w:space="0" w:color="auto"/>
              <w:left w:val="single" w:sz="4" w:space="0" w:color="auto"/>
              <w:bottom w:val="single" w:sz="4" w:space="0" w:color="auto"/>
              <w:right w:val="single" w:sz="4" w:space="0" w:color="auto"/>
            </w:tcBorders>
            <w:hideMark/>
          </w:tcPr>
          <w:p w:rsidR="00650F06" w:rsidRPr="00DB4A9D" w:rsidRDefault="00650F06">
            <w:pPr>
              <w:pStyle w:val="Overskrift3"/>
              <w:keepNext w:val="0"/>
              <w:rPr>
                <w:rFonts w:ascii="Times New Roman" w:hAnsi="Times New Roman"/>
                <w:sz w:val="22"/>
                <w:szCs w:val="22"/>
              </w:rPr>
            </w:pPr>
            <w:r w:rsidRPr="00DB4A9D">
              <w:rPr>
                <w:rFonts w:ascii="Times New Roman" w:hAnsi="Times New Roman"/>
                <w:sz w:val="22"/>
                <w:szCs w:val="22"/>
              </w:rPr>
              <w:t>Nervesystemet</w:t>
            </w:r>
          </w:p>
        </w:tc>
        <w:tc>
          <w:tcPr>
            <w:tcW w:w="2523"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 xml:space="preserve">Svimmelhed, prikkende fornemmelse, døsighed og føleforstyrrelser inkl. </w:t>
            </w:r>
            <w:proofErr w:type="spellStart"/>
            <w:r w:rsidRPr="00DB4A9D">
              <w:rPr>
                <w:sz w:val="22"/>
                <w:szCs w:val="22"/>
              </w:rPr>
              <w:t>paræstesi</w:t>
            </w:r>
            <w:proofErr w:type="spellEnd"/>
            <w:r w:rsidRPr="00DB4A9D">
              <w:rPr>
                <w:sz w:val="22"/>
                <w:szCs w:val="22"/>
              </w:rPr>
              <w:t xml:space="preserve"> og </w:t>
            </w:r>
            <w:proofErr w:type="spellStart"/>
            <w:r w:rsidRPr="00DB4A9D">
              <w:rPr>
                <w:sz w:val="22"/>
                <w:szCs w:val="22"/>
              </w:rPr>
              <w:t>hypoæstesi</w:t>
            </w:r>
            <w:proofErr w:type="spellEnd"/>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3070"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 xml:space="preserve">Krampeanfald*, </w:t>
            </w:r>
            <w:proofErr w:type="spellStart"/>
            <w:r w:rsidRPr="00DB4A9D">
              <w:rPr>
                <w:sz w:val="22"/>
                <w:szCs w:val="22"/>
              </w:rPr>
              <w:t>tremor</w:t>
            </w:r>
            <w:proofErr w:type="spellEnd"/>
            <w:r w:rsidRPr="00DB4A9D">
              <w:rPr>
                <w:sz w:val="22"/>
                <w:szCs w:val="22"/>
              </w:rPr>
              <w:t xml:space="preserve">, </w:t>
            </w:r>
            <w:proofErr w:type="spellStart"/>
            <w:r w:rsidRPr="00DB4A9D">
              <w:rPr>
                <w:sz w:val="22"/>
                <w:szCs w:val="22"/>
              </w:rPr>
              <w:t>dystoni</w:t>
            </w:r>
            <w:proofErr w:type="spellEnd"/>
            <w:r w:rsidRPr="00DB4A9D">
              <w:rPr>
                <w:sz w:val="22"/>
                <w:szCs w:val="22"/>
              </w:rPr>
              <w:t xml:space="preserve">, nystagmus, </w:t>
            </w:r>
            <w:proofErr w:type="spellStart"/>
            <w:r w:rsidRPr="00DB4A9D">
              <w:rPr>
                <w:sz w:val="22"/>
                <w:szCs w:val="22"/>
              </w:rPr>
              <w:t>scotoma</w:t>
            </w:r>
            <w:proofErr w:type="spellEnd"/>
            <w:r w:rsidRPr="00DB4A9D">
              <w:rPr>
                <w:sz w:val="22"/>
                <w:szCs w:val="22"/>
              </w:rPr>
              <w:t>.</w:t>
            </w:r>
          </w:p>
        </w:tc>
      </w:tr>
      <w:tr w:rsidR="00650F06" w:rsidRPr="00DB4A9D" w:rsidTr="00334421">
        <w:trPr>
          <w:trHeight w:val="722"/>
        </w:trPr>
        <w:tc>
          <w:tcPr>
            <w:tcW w:w="2204" w:type="dxa"/>
            <w:tcBorders>
              <w:top w:val="single" w:sz="4" w:space="0" w:color="auto"/>
              <w:left w:val="single" w:sz="4" w:space="0" w:color="auto"/>
              <w:bottom w:val="single" w:sz="4" w:space="0" w:color="auto"/>
              <w:right w:val="single" w:sz="4" w:space="0" w:color="auto"/>
            </w:tcBorders>
            <w:hideMark/>
          </w:tcPr>
          <w:p w:rsidR="00650F06" w:rsidRPr="00DB4A9D" w:rsidRDefault="00650F06">
            <w:pPr>
              <w:pStyle w:val="Overskrift3"/>
              <w:keepNext w:val="0"/>
              <w:rPr>
                <w:rFonts w:ascii="Times New Roman" w:hAnsi="Times New Roman"/>
                <w:sz w:val="22"/>
                <w:szCs w:val="22"/>
              </w:rPr>
            </w:pPr>
            <w:r w:rsidRPr="00DB4A9D">
              <w:rPr>
                <w:rFonts w:ascii="Times New Roman" w:hAnsi="Times New Roman"/>
                <w:sz w:val="22"/>
                <w:szCs w:val="22"/>
              </w:rPr>
              <w:t>Øjne</w:t>
            </w: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3070"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Flimren, dobbeltsyn, nedsat syn. Synstab inkl. permanente skader**</w:t>
            </w:r>
          </w:p>
        </w:tc>
      </w:tr>
      <w:tr w:rsidR="00650F06" w:rsidRPr="00DB4A9D" w:rsidTr="00334421">
        <w:trPr>
          <w:trHeight w:val="1625"/>
        </w:trPr>
        <w:tc>
          <w:tcPr>
            <w:tcW w:w="2204" w:type="dxa"/>
            <w:tcBorders>
              <w:top w:val="single" w:sz="4" w:space="0" w:color="auto"/>
              <w:left w:val="single" w:sz="4" w:space="0" w:color="auto"/>
              <w:bottom w:val="single" w:sz="4" w:space="0" w:color="auto"/>
              <w:right w:val="single" w:sz="4" w:space="0" w:color="auto"/>
            </w:tcBorders>
            <w:hideMark/>
          </w:tcPr>
          <w:p w:rsidR="00650F06" w:rsidRPr="00DB4A9D" w:rsidRDefault="00650F06">
            <w:pPr>
              <w:pStyle w:val="Overskrift3"/>
              <w:keepNext w:val="0"/>
              <w:rPr>
                <w:rFonts w:ascii="Times New Roman" w:hAnsi="Times New Roman"/>
                <w:sz w:val="22"/>
                <w:szCs w:val="22"/>
              </w:rPr>
            </w:pPr>
            <w:r w:rsidRPr="00DB4A9D">
              <w:rPr>
                <w:rFonts w:ascii="Times New Roman" w:hAnsi="Times New Roman"/>
                <w:sz w:val="22"/>
                <w:szCs w:val="22"/>
              </w:rPr>
              <w:t>Hjerte</w:t>
            </w: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3070"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 xml:space="preserve">Bradykardi, </w:t>
            </w:r>
            <w:proofErr w:type="spellStart"/>
            <w:r w:rsidRPr="00DB4A9D">
              <w:rPr>
                <w:sz w:val="22"/>
                <w:szCs w:val="22"/>
              </w:rPr>
              <w:t>takykardi</w:t>
            </w:r>
            <w:proofErr w:type="spellEnd"/>
            <w:r w:rsidRPr="00DB4A9D">
              <w:rPr>
                <w:sz w:val="22"/>
                <w:szCs w:val="22"/>
              </w:rPr>
              <w:t xml:space="preserve">, </w:t>
            </w:r>
            <w:proofErr w:type="spellStart"/>
            <w:r w:rsidRPr="00DB4A9D">
              <w:rPr>
                <w:sz w:val="22"/>
                <w:szCs w:val="22"/>
              </w:rPr>
              <w:t>palpitation</w:t>
            </w:r>
            <w:proofErr w:type="spellEnd"/>
            <w:r w:rsidRPr="00DB4A9D">
              <w:rPr>
                <w:sz w:val="22"/>
                <w:szCs w:val="22"/>
              </w:rPr>
              <w:t xml:space="preserve">, </w:t>
            </w:r>
            <w:proofErr w:type="spellStart"/>
            <w:r w:rsidRPr="00DB4A9D">
              <w:rPr>
                <w:sz w:val="22"/>
                <w:szCs w:val="22"/>
              </w:rPr>
              <w:t>hjertearytmier</w:t>
            </w:r>
            <w:proofErr w:type="spellEnd"/>
            <w:r w:rsidRPr="00DB4A9D">
              <w:rPr>
                <w:sz w:val="22"/>
                <w:szCs w:val="22"/>
              </w:rPr>
              <w:t xml:space="preserve">, forbigående iskæmiske EKG-ændringer, koronararterie </w:t>
            </w:r>
            <w:proofErr w:type="spellStart"/>
            <w:r w:rsidRPr="00DB4A9D">
              <w:rPr>
                <w:sz w:val="22"/>
                <w:szCs w:val="22"/>
              </w:rPr>
              <w:t>vasospasme</w:t>
            </w:r>
            <w:proofErr w:type="spellEnd"/>
            <w:r w:rsidRPr="00DB4A9D">
              <w:rPr>
                <w:sz w:val="22"/>
                <w:szCs w:val="22"/>
              </w:rPr>
              <w:t>, angina, myokardieinfarkt (se pkt. 4.3 og pkt. 4.4).</w:t>
            </w:r>
          </w:p>
        </w:tc>
      </w:tr>
      <w:tr w:rsidR="00650F06" w:rsidRPr="00DB4A9D" w:rsidTr="00334421">
        <w:trPr>
          <w:trHeight w:val="698"/>
        </w:trPr>
        <w:tc>
          <w:tcPr>
            <w:tcW w:w="2204" w:type="dxa"/>
            <w:tcBorders>
              <w:top w:val="single" w:sz="4" w:space="0" w:color="auto"/>
              <w:left w:val="single" w:sz="4" w:space="0" w:color="auto"/>
              <w:bottom w:val="single" w:sz="4" w:space="0" w:color="auto"/>
              <w:right w:val="single" w:sz="4" w:space="0" w:color="auto"/>
            </w:tcBorders>
            <w:hideMark/>
          </w:tcPr>
          <w:p w:rsidR="00650F06" w:rsidRPr="00DB4A9D" w:rsidRDefault="00650F06">
            <w:pPr>
              <w:pStyle w:val="Overskrift3"/>
              <w:keepNext w:val="0"/>
              <w:rPr>
                <w:rFonts w:ascii="Times New Roman" w:hAnsi="Times New Roman"/>
                <w:sz w:val="22"/>
                <w:szCs w:val="22"/>
              </w:rPr>
            </w:pPr>
            <w:proofErr w:type="spellStart"/>
            <w:r w:rsidRPr="00DB4A9D">
              <w:rPr>
                <w:rFonts w:ascii="Times New Roman" w:hAnsi="Times New Roman"/>
                <w:sz w:val="22"/>
                <w:szCs w:val="22"/>
              </w:rPr>
              <w:t>Vaskulære</w:t>
            </w:r>
            <w:proofErr w:type="spellEnd"/>
            <w:r w:rsidRPr="00DB4A9D">
              <w:rPr>
                <w:rFonts w:ascii="Times New Roman" w:hAnsi="Times New Roman"/>
                <w:sz w:val="22"/>
                <w:szCs w:val="22"/>
              </w:rPr>
              <w:t xml:space="preserve"> sygdomme</w:t>
            </w:r>
          </w:p>
        </w:tc>
        <w:tc>
          <w:tcPr>
            <w:tcW w:w="2523"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Forbigående blodtryksstigning, umiddelbart efter behandling, rødmen.</w:t>
            </w: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3070"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 xml:space="preserve">Hypotension, </w:t>
            </w:r>
            <w:proofErr w:type="spellStart"/>
            <w:r w:rsidRPr="00DB4A9D">
              <w:rPr>
                <w:sz w:val="22"/>
                <w:szCs w:val="22"/>
              </w:rPr>
              <w:t>Raynauds</w:t>
            </w:r>
            <w:proofErr w:type="spellEnd"/>
            <w:r w:rsidRPr="00DB4A9D">
              <w:rPr>
                <w:sz w:val="22"/>
                <w:szCs w:val="22"/>
              </w:rPr>
              <w:t xml:space="preserve"> syndrom.</w:t>
            </w:r>
          </w:p>
        </w:tc>
      </w:tr>
      <w:tr w:rsidR="00650F06" w:rsidRPr="00DB4A9D" w:rsidTr="00334421">
        <w:trPr>
          <w:trHeight w:val="491"/>
        </w:trPr>
        <w:tc>
          <w:tcPr>
            <w:tcW w:w="2204" w:type="dxa"/>
            <w:tcBorders>
              <w:top w:val="single" w:sz="4" w:space="0" w:color="auto"/>
              <w:left w:val="single" w:sz="4" w:space="0" w:color="auto"/>
              <w:bottom w:val="single" w:sz="4" w:space="0" w:color="auto"/>
              <w:right w:val="single" w:sz="4" w:space="0" w:color="auto"/>
            </w:tcBorders>
            <w:hideMark/>
          </w:tcPr>
          <w:p w:rsidR="00650F06" w:rsidRPr="00DB4A9D" w:rsidRDefault="00650F06">
            <w:pPr>
              <w:pStyle w:val="Overskrift3"/>
              <w:keepNext w:val="0"/>
              <w:rPr>
                <w:rFonts w:ascii="Times New Roman" w:hAnsi="Times New Roman"/>
                <w:sz w:val="22"/>
                <w:szCs w:val="22"/>
              </w:rPr>
            </w:pPr>
            <w:r w:rsidRPr="00DB4A9D">
              <w:rPr>
                <w:rFonts w:ascii="Times New Roman" w:hAnsi="Times New Roman"/>
                <w:sz w:val="22"/>
                <w:szCs w:val="22"/>
              </w:rPr>
              <w:t xml:space="preserve">Luftveje, thorax og </w:t>
            </w:r>
            <w:proofErr w:type="spellStart"/>
            <w:r w:rsidRPr="00DB4A9D">
              <w:rPr>
                <w:rFonts w:ascii="Times New Roman" w:hAnsi="Times New Roman"/>
                <w:sz w:val="22"/>
                <w:szCs w:val="22"/>
              </w:rPr>
              <w:t>mediastinum</w:t>
            </w:r>
            <w:proofErr w:type="spellEnd"/>
          </w:p>
        </w:tc>
        <w:tc>
          <w:tcPr>
            <w:tcW w:w="2523"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Dyspnø</w:t>
            </w: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3070"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r>
      <w:tr w:rsidR="00650F06" w:rsidRPr="00DB4A9D" w:rsidTr="00334421">
        <w:trPr>
          <w:trHeight w:val="476"/>
        </w:trPr>
        <w:tc>
          <w:tcPr>
            <w:tcW w:w="2204" w:type="dxa"/>
            <w:tcBorders>
              <w:top w:val="single" w:sz="4" w:space="0" w:color="auto"/>
              <w:left w:val="single" w:sz="4" w:space="0" w:color="auto"/>
              <w:bottom w:val="single" w:sz="4" w:space="0" w:color="auto"/>
              <w:right w:val="single" w:sz="4" w:space="0" w:color="auto"/>
            </w:tcBorders>
            <w:hideMark/>
          </w:tcPr>
          <w:p w:rsidR="00650F06" w:rsidRPr="00DB4A9D" w:rsidRDefault="00650F06">
            <w:pPr>
              <w:pStyle w:val="Overskrift3"/>
              <w:keepNext w:val="0"/>
              <w:rPr>
                <w:rFonts w:ascii="Times New Roman" w:hAnsi="Times New Roman"/>
                <w:sz w:val="22"/>
                <w:szCs w:val="22"/>
              </w:rPr>
            </w:pPr>
            <w:r w:rsidRPr="00DB4A9D">
              <w:rPr>
                <w:rFonts w:ascii="Times New Roman" w:hAnsi="Times New Roman"/>
                <w:sz w:val="22"/>
                <w:szCs w:val="22"/>
              </w:rPr>
              <w:t>Mave-tarm-kanalen</w:t>
            </w:r>
          </w:p>
        </w:tc>
        <w:tc>
          <w:tcPr>
            <w:tcW w:w="2523"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Kvalme og opkastning***</w:t>
            </w: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3070"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 xml:space="preserve">Iskæmisk colitis, diarré, </w:t>
            </w:r>
            <w:proofErr w:type="spellStart"/>
            <w:r w:rsidRPr="00DB4A9D">
              <w:rPr>
                <w:sz w:val="22"/>
                <w:szCs w:val="22"/>
              </w:rPr>
              <w:t>dysfagi</w:t>
            </w:r>
            <w:proofErr w:type="spellEnd"/>
            <w:r w:rsidRPr="00DB4A9D">
              <w:rPr>
                <w:sz w:val="22"/>
                <w:szCs w:val="22"/>
              </w:rPr>
              <w:t>.</w:t>
            </w:r>
          </w:p>
        </w:tc>
      </w:tr>
      <w:tr w:rsidR="00650F06" w:rsidRPr="00DB4A9D" w:rsidTr="00334421">
        <w:trPr>
          <w:trHeight w:val="1459"/>
        </w:trPr>
        <w:tc>
          <w:tcPr>
            <w:tcW w:w="2204" w:type="dxa"/>
            <w:tcBorders>
              <w:top w:val="single" w:sz="4" w:space="0" w:color="auto"/>
              <w:left w:val="single" w:sz="4" w:space="0" w:color="auto"/>
              <w:bottom w:val="single" w:sz="4" w:space="0" w:color="auto"/>
              <w:right w:val="single" w:sz="4" w:space="0" w:color="auto"/>
            </w:tcBorders>
            <w:hideMark/>
          </w:tcPr>
          <w:p w:rsidR="00650F06" w:rsidRPr="00DB4A9D" w:rsidRDefault="00650F06">
            <w:pPr>
              <w:pStyle w:val="Overskrift3"/>
              <w:keepNext w:val="0"/>
              <w:rPr>
                <w:rFonts w:ascii="Times New Roman" w:hAnsi="Times New Roman"/>
                <w:sz w:val="22"/>
                <w:szCs w:val="22"/>
              </w:rPr>
            </w:pPr>
            <w:r w:rsidRPr="00DB4A9D">
              <w:rPr>
                <w:rFonts w:ascii="Times New Roman" w:hAnsi="Times New Roman"/>
                <w:sz w:val="22"/>
                <w:szCs w:val="22"/>
              </w:rPr>
              <w:lastRenderedPageBreak/>
              <w:t>Hud og subkutane væv</w:t>
            </w: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3070"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proofErr w:type="spellStart"/>
            <w:r w:rsidRPr="00DB4A9D">
              <w:rPr>
                <w:sz w:val="22"/>
                <w:szCs w:val="22"/>
              </w:rPr>
              <w:t>Hyperhidrose</w:t>
            </w:r>
            <w:proofErr w:type="spellEnd"/>
          </w:p>
        </w:tc>
      </w:tr>
      <w:tr w:rsidR="00334421" w:rsidRPr="00DB4A9D" w:rsidTr="00334421">
        <w:trPr>
          <w:trHeight w:val="1459"/>
        </w:trPr>
        <w:tc>
          <w:tcPr>
            <w:tcW w:w="2204" w:type="dxa"/>
            <w:tcBorders>
              <w:top w:val="single" w:sz="4" w:space="0" w:color="auto"/>
              <w:left w:val="single" w:sz="4" w:space="0" w:color="auto"/>
              <w:bottom w:val="single" w:sz="4" w:space="0" w:color="auto"/>
              <w:right w:val="single" w:sz="4" w:space="0" w:color="auto"/>
            </w:tcBorders>
            <w:hideMark/>
          </w:tcPr>
          <w:p w:rsidR="00334421" w:rsidRPr="00DB4A9D" w:rsidRDefault="00334421" w:rsidP="00334421">
            <w:pPr>
              <w:pStyle w:val="Overskrift3"/>
              <w:keepNext w:val="0"/>
              <w:rPr>
                <w:rFonts w:ascii="Times New Roman" w:hAnsi="Times New Roman"/>
                <w:sz w:val="22"/>
                <w:szCs w:val="22"/>
              </w:rPr>
            </w:pPr>
            <w:r w:rsidRPr="00DB4A9D">
              <w:rPr>
                <w:rFonts w:ascii="Times New Roman" w:hAnsi="Times New Roman"/>
                <w:sz w:val="22"/>
                <w:szCs w:val="22"/>
              </w:rPr>
              <w:t>Knogler, led, muskler og bindevæv</w:t>
            </w:r>
          </w:p>
        </w:tc>
        <w:tc>
          <w:tcPr>
            <w:tcW w:w="2523" w:type="dxa"/>
            <w:tcBorders>
              <w:top w:val="single" w:sz="4" w:space="0" w:color="auto"/>
              <w:left w:val="single" w:sz="4" w:space="0" w:color="auto"/>
              <w:bottom w:val="single" w:sz="4" w:space="0" w:color="auto"/>
              <w:right w:val="single" w:sz="4" w:space="0" w:color="auto"/>
            </w:tcBorders>
            <w:hideMark/>
          </w:tcPr>
          <w:p w:rsidR="00334421" w:rsidRPr="00DB4A9D" w:rsidRDefault="00334421" w:rsidP="00334421">
            <w:pPr>
              <w:rPr>
                <w:sz w:val="22"/>
                <w:szCs w:val="22"/>
              </w:rPr>
            </w:pPr>
            <w:r>
              <w:rPr>
                <w:sz w:val="22"/>
                <w:szCs w:val="22"/>
              </w:rPr>
              <w:t>M</w:t>
            </w:r>
            <w:r w:rsidRPr="00DB4A9D">
              <w:rPr>
                <w:sz w:val="22"/>
                <w:szCs w:val="22"/>
              </w:rPr>
              <w:t>yalgi</w:t>
            </w:r>
          </w:p>
        </w:tc>
        <w:tc>
          <w:tcPr>
            <w:tcW w:w="2523" w:type="dxa"/>
            <w:tcBorders>
              <w:top w:val="single" w:sz="4" w:space="0" w:color="auto"/>
              <w:left w:val="single" w:sz="4" w:space="0" w:color="auto"/>
              <w:bottom w:val="single" w:sz="4" w:space="0" w:color="auto"/>
              <w:right w:val="single" w:sz="4" w:space="0" w:color="auto"/>
            </w:tcBorders>
          </w:tcPr>
          <w:p w:rsidR="00334421" w:rsidRPr="00DB4A9D" w:rsidRDefault="00334421" w:rsidP="00334421">
            <w:pPr>
              <w:rPr>
                <w:sz w:val="22"/>
                <w:szCs w:val="22"/>
              </w:rPr>
            </w:pPr>
          </w:p>
        </w:tc>
        <w:tc>
          <w:tcPr>
            <w:tcW w:w="3070" w:type="dxa"/>
            <w:tcBorders>
              <w:top w:val="single" w:sz="4" w:space="0" w:color="auto"/>
              <w:left w:val="single" w:sz="4" w:space="0" w:color="auto"/>
              <w:bottom w:val="single" w:sz="4" w:space="0" w:color="auto"/>
              <w:right w:val="single" w:sz="4" w:space="0" w:color="auto"/>
            </w:tcBorders>
            <w:hideMark/>
          </w:tcPr>
          <w:p w:rsidR="00334421" w:rsidRPr="00DB4A9D" w:rsidRDefault="00334421" w:rsidP="00334421">
            <w:pPr>
              <w:rPr>
                <w:sz w:val="22"/>
                <w:szCs w:val="22"/>
              </w:rPr>
            </w:pPr>
            <w:r w:rsidRPr="00DB4A9D">
              <w:rPr>
                <w:sz w:val="22"/>
                <w:szCs w:val="22"/>
              </w:rPr>
              <w:t xml:space="preserve">Nakkestivhed, </w:t>
            </w:r>
            <w:proofErr w:type="spellStart"/>
            <w:r w:rsidRPr="00DB4A9D">
              <w:rPr>
                <w:sz w:val="22"/>
                <w:szCs w:val="22"/>
              </w:rPr>
              <w:t>artralgi</w:t>
            </w:r>
            <w:proofErr w:type="spellEnd"/>
          </w:p>
        </w:tc>
      </w:tr>
      <w:tr w:rsidR="00650F06" w:rsidRPr="00DB4A9D" w:rsidTr="00334421">
        <w:trPr>
          <w:trHeight w:val="2918"/>
        </w:trPr>
        <w:tc>
          <w:tcPr>
            <w:tcW w:w="2204" w:type="dxa"/>
            <w:tcBorders>
              <w:top w:val="single" w:sz="4" w:space="0" w:color="auto"/>
              <w:left w:val="single" w:sz="4" w:space="0" w:color="auto"/>
              <w:bottom w:val="single" w:sz="4" w:space="0" w:color="auto"/>
              <w:right w:val="single" w:sz="4" w:space="0" w:color="auto"/>
            </w:tcBorders>
            <w:hideMark/>
          </w:tcPr>
          <w:p w:rsidR="00650F06" w:rsidRPr="00DB4A9D" w:rsidRDefault="00650F06">
            <w:pPr>
              <w:pStyle w:val="Overskrift3"/>
              <w:keepNext w:val="0"/>
              <w:rPr>
                <w:rFonts w:ascii="Times New Roman" w:hAnsi="Times New Roman"/>
                <w:sz w:val="22"/>
                <w:szCs w:val="22"/>
              </w:rPr>
            </w:pPr>
            <w:r w:rsidRPr="00DB4A9D">
              <w:rPr>
                <w:rFonts w:ascii="Times New Roman" w:hAnsi="Times New Roman"/>
                <w:sz w:val="22"/>
                <w:szCs w:val="22"/>
              </w:rPr>
              <w:t>Almene symptomer og reaktioner på administrations-stedet</w:t>
            </w:r>
          </w:p>
        </w:tc>
        <w:tc>
          <w:tcPr>
            <w:tcW w:w="2523"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 xml:space="preserve">Smerte, kulde- eller varmefølelse og trykken eller </w:t>
            </w:r>
            <w:proofErr w:type="spellStart"/>
            <w:r w:rsidRPr="00DB4A9D">
              <w:rPr>
                <w:sz w:val="22"/>
                <w:szCs w:val="22"/>
              </w:rPr>
              <w:t>spænden</w:t>
            </w:r>
            <w:proofErr w:type="spellEnd"/>
            <w:r w:rsidRPr="00DB4A9D">
              <w:rPr>
                <w:sz w:val="22"/>
                <w:szCs w:val="22"/>
              </w:rPr>
              <w:t xml:space="preserve"> (dette er normalt forbigående og kan være intense og kan påvirke enhver del af kroppen inkl. bryst og hals). Følelse af svaghed, træthed (begge er oftest let til moderat i intensitet og forbigående)</w:t>
            </w: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3070"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Aktiveret smertetraume, aktiveret inflammationssmerte.</w:t>
            </w:r>
          </w:p>
        </w:tc>
      </w:tr>
      <w:tr w:rsidR="00650F06" w:rsidRPr="00DB4A9D" w:rsidTr="00334421">
        <w:trPr>
          <w:trHeight w:val="890"/>
        </w:trPr>
        <w:tc>
          <w:tcPr>
            <w:tcW w:w="2204" w:type="dxa"/>
            <w:tcBorders>
              <w:top w:val="single" w:sz="4" w:space="0" w:color="auto"/>
              <w:left w:val="single" w:sz="4" w:space="0" w:color="auto"/>
              <w:bottom w:val="single" w:sz="4" w:space="0" w:color="auto"/>
              <w:right w:val="single" w:sz="4" w:space="0" w:color="auto"/>
            </w:tcBorders>
            <w:hideMark/>
          </w:tcPr>
          <w:p w:rsidR="00650F06" w:rsidRPr="00DB4A9D" w:rsidRDefault="00650F06">
            <w:pPr>
              <w:pStyle w:val="Overskrift3"/>
              <w:keepNext w:val="0"/>
              <w:rPr>
                <w:rFonts w:ascii="Times New Roman" w:hAnsi="Times New Roman"/>
                <w:sz w:val="22"/>
                <w:szCs w:val="22"/>
              </w:rPr>
            </w:pPr>
            <w:r w:rsidRPr="00DB4A9D">
              <w:rPr>
                <w:rFonts w:ascii="Times New Roman" w:hAnsi="Times New Roman"/>
                <w:sz w:val="22"/>
                <w:szCs w:val="22"/>
              </w:rPr>
              <w:t>Undersøgelser</w:t>
            </w:r>
          </w:p>
        </w:tc>
        <w:tc>
          <w:tcPr>
            <w:tcW w:w="2523"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c>
          <w:tcPr>
            <w:tcW w:w="2523" w:type="dxa"/>
            <w:tcBorders>
              <w:top w:val="single" w:sz="4" w:space="0" w:color="auto"/>
              <w:left w:val="single" w:sz="4" w:space="0" w:color="auto"/>
              <w:bottom w:val="single" w:sz="4" w:space="0" w:color="auto"/>
              <w:right w:val="single" w:sz="4" w:space="0" w:color="auto"/>
            </w:tcBorders>
            <w:hideMark/>
          </w:tcPr>
          <w:p w:rsidR="00650F06" w:rsidRPr="00DB4A9D" w:rsidRDefault="00650F06">
            <w:pPr>
              <w:rPr>
                <w:sz w:val="22"/>
                <w:szCs w:val="22"/>
              </w:rPr>
            </w:pPr>
            <w:r w:rsidRPr="00DB4A9D">
              <w:rPr>
                <w:sz w:val="22"/>
                <w:szCs w:val="22"/>
              </w:rPr>
              <w:t>Mindre afvigelser i leverfunktionsprøver er lejlighedsvist blevet observeret</w:t>
            </w:r>
          </w:p>
        </w:tc>
        <w:tc>
          <w:tcPr>
            <w:tcW w:w="3070" w:type="dxa"/>
            <w:tcBorders>
              <w:top w:val="single" w:sz="4" w:space="0" w:color="auto"/>
              <w:left w:val="single" w:sz="4" w:space="0" w:color="auto"/>
              <w:bottom w:val="single" w:sz="4" w:space="0" w:color="auto"/>
              <w:right w:val="single" w:sz="4" w:space="0" w:color="auto"/>
            </w:tcBorders>
          </w:tcPr>
          <w:p w:rsidR="00650F06" w:rsidRPr="00DB4A9D" w:rsidRDefault="00650F06">
            <w:pPr>
              <w:rPr>
                <w:sz w:val="22"/>
                <w:szCs w:val="22"/>
              </w:rPr>
            </w:pPr>
          </w:p>
        </w:tc>
      </w:tr>
    </w:tbl>
    <w:p w:rsidR="00650F06" w:rsidRPr="00D82069" w:rsidRDefault="00650F06" w:rsidP="00766291">
      <w:pPr>
        <w:tabs>
          <w:tab w:val="left" w:pos="567"/>
        </w:tabs>
        <w:ind w:left="567" w:hanging="425"/>
        <w:rPr>
          <w:sz w:val="20"/>
        </w:rPr>
      </w:pPr>
      <w:r w:rsidRPr="00D82069">
        <w:rPr>
          <w:sz w:val="20"/>
        </w:rPr>
        <w:t>*</w:t>
      </w:r>
      <w:r w:rsidR="00D82069">
        <w:rPr>
          <w:sz w:val="20"/>
        </w:rPr>
        <w:tab/>
      </w:r>
      <w:r w:rsidRPr="00D82069">
        <w:rPr>
          <w:sz w:val="20"/>
        </w:rPr>
        <w:t>Nogle er forekommet hos patienter med enten krampeanfald i anamnesen eller sideløbende tilstand, der er disponeret for krampeanfald. Der er også rapporteret om patienter, hvor sådanne prædisponerende faktorer ikke er synlige.</w:t>
      </w:r>
    </w:p>
    <w:p w:rsidR="00650F06" w:rsidRPr="00D82069" w:rsidRDefault="00650F06" w:rsidP="00766291">
      <w:pPr>
        <w:tabs>
          <w:tab w:val="left" w:pos="567"/>
        </w:tabs>
        <w:ind w:left="567" w:hanging="425"/>
        <w:rPr>
          <w:sz w:val="20"/>
        </w:rPr>
      </w:pPr>
      <w:r w:rsidRPr="00D82069">
        <w:rPr>
          <w:sz w:val="20"/>
        </w:rPr>
        <w:t>**</w:t>
      </w:r>
      <w:r w:rsidR="00D82069">
        <w:rPr>
          <w:sz w:val="20"/>
        </w:rPr>
        <w:tab/>
      </w:r>
      <w:r w:rsidRPr="00D82069">
        <w:rPr>
          <w:sz w:val="20"/>
        </w:rPr>
        <w:t>Synsforstyrrelser kan også skyldes selve migræneanfaldet.</w:t>
      </w:r>
    </w:p>
    <w:p w:rsidR="00650F06" w:rsidRPr="00D82069" w:rsidRDefault="00650F06" w:rsidP="00766291">
      <w:pPr>
        <w:tabs>
          <w:tab w:val="left" w:pos="567"/>
        </w:tabs>
        <w:ind w:left="567" w:hanging="425"/>
        <w:rPr>
          <w:sz w:val="20"/>
        </w:rPr>
      </w:pPr>
      <w:r w:rsidRPr="00D82069">
        <w:rPr>
          <w:sz w:val="20"/>
        </w:rPr>
        <w:t>***</w:t>
      </w:r>
      <w:r w:rsidR="00D82069">
        <w:rPr>
          <w:sz w:val="20"/>
        </w:rPr>
        <w:tab/>
      </w:r>
      <w:r w:rsidRPr="00D82069">
        <w:rPr>
          <w:sz w:val="20"/>
        </w:rPr>
        <w:t xml:space="preserve">Det er uvist, om det er relateret til </w:t>
      </w:r>
      <w:proofErr w:type="spellStart"/>
      <w:r w:rsidRPr="00D82069">
        <w:rPr>
          <w:sz w:val="20"/>
        </w:rPr>
        <w:t>sumatriptan</w:t>
      </w:r>
      <w:proofErr w:type="spellEnd"/>
      <w:r w:rsidRPr="00D82069">
        <w:rPr>
          <w:sz w:val="20"/>
        </w:rPr>
        <w:t xml:space="preserve"> eller den underliggende tilstand.</w:t>
      </w:r>
    </w:p>
    <w:p w:rsidR="00650F06" w:rsidRDefault="00650F06" w:rsidP="00650F06">
      <w:pPr>
        <w:pStyle w:val="Sidehoved"/>
        <w:tabs>
          <w:tab w:val="left" w:pos="851"/>
        </w:tabs>
        <w:ind w:left="851"/>
      </w:pPr>
    </w:p>
    <w:p w:rsidR="00650F06" w:rsidRDefault="00650F06" w:rsidP="00650F06">
      <w:pPr>
        <w:pStyle w:val="Sidehoved"/>
        <w:keepNext/>
        <w:tabs>
          <w:tab w:val="left" w:pos="851"/>
        </w:tabs>
        <w:ind w:left="851"/>
      </w:pPr>
      <w:proofErr w:type="spellStart"/>
      <w:r>
        <w:rPr>
          <w:i/>
          <w:iCs/>
        </w:rPr>
        <w:t>Naproxen</w:t>
      </w:r>
      <w:proofErr w:type="spellEnd"/>
    </w:p>
    <w:p w:rsidR="00650F06" w:rsidRDefault="00650F06" w:rsidP="00650F06">
      <w:pPr>
        <w:pStyle w:val="Sidehoved"/>
        <w:keepNext/>
        <w:tabs>
          <w:tab w:val="left" w:pos="851"/>
        </w:tabs>
        <w:ind w:left="851"/>
      </w:pPr>
    </w:p>
    <w:tbl>
      <w:tblPr>
        <w:tblW w:w="5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6"/>
        <w:gridCol w:w="1294"/>
        <w:gridCol w:w="1446"/>
        <w:gridCol w:w="1275"/>
        <w:gridCol w:w="1551"/>
        <w:gridCol w:w="1779"/>
        <w:gridCol w:w="875"/>
      </w:tblGrid>
      <w:tr w:rsidR="00650F06" w:rsidTr="00B1613B">
        <w:trPr>
          <w:trHeight w:val="487"/>
          <w:tblHeader/>
        </w:trPr>
        <w:tc>
          <w:tcPr>
            <w:tcW w:w="1073" w:type="pct"/>
            <w:tcBorders>
              <w:top w:val="single" w:sz="4" w:space="0" w:color="auto"/>
              <w:left w:val="single" w:sz="4" w:space="0" w:color="auto"/>
              <w:bottom w:val="single" w:sz="4" w:space="0" w:color="auto"/>
              <w:right w:val="single" w:sz="4" w:space="0" w:color="auto"/>
            </w:tcBorders>
            <w:hideMark/>
          </w:tcPr>
          <w:p w:rsidR="00650F06" w:rsidRDefault="00650F06">
            <w:pPr>
              <w:keepNext/>
              <w:rPr>
                <w:b/>
                <w:bCs/>
                <w:sz w:val="22"/>
                <w:szCs w:val="22"/>
              </w:rPr>
            </w:pPr>
            <w:r>
              <w:rPr>
                <w:b/>
                <w:bCs/>
                <w:sz w:val="22"/>
                <w:szCs w:val="22"/>
              </w:rPr>
              <w:t>Systemorgan-klasse</w:t>
            </w:r>
          </w:p>
        </w:tc>
        <w:tc>
          <w:tcPr>
            <w:tcW w:w="618" w:type="pct"/>
            <w:tcBorders>
              <w:top w:val="single" w:sz="4" w:space="0" w:color="auto"/>
              <w:left w:val="single" w:sz="4" w:space="0" w:color="auto"/>
              <w:bottom w:val="single" w:sz="4" w:space="0" w:color="auto"/>
              <w:right w:val="single" w:sz="4" w:space="0" w:color="auto"/>
            </w:tcBorders>
            <w:hideMark/>
          </w:tcPr>
          <w:p w:rsidR="00650F06" w:rsidRDefault="00650F06">
            <w:pPr>
              <w:keepNext/>
              <w:rPr>
                <w:b/>
                <w:bCs/>
                <w:sz w:val="22"/>
                <w:szCs w:val="22"/>
              </w:rPr>
            </w:pPr>
            <w:r>
              <w:rPr>
                <w:b/>
                <w:bCs/>
                <w:sz w:val="22"/>
                <w:szCs w:val="22"/>
              </w:rPr>
              <w:t>Meget almindelig</w:t>
            </w:r>
          </w:p>
        </w:tc>
        <w:tc>
          <w:tcPr>
            <w:tcW w:w="691" w:type="pct"/>
            <w:tcBorders>
              <w:top w:val="single" w:sz="4" w:space="0" w:color="auto"/>
              <w:left w:val="single" w:sz="4" w:space="0" w:color="auto"/>
              <w:bottom w:val="single" w:sz="4" w:space="0" w:color="auto"/>
              <w:right w:val="single" w:sz="4" w:space="0" w:color="auto"/>
            </w:tcBorders>
            <w:hideMark/>
          </w:tcPr>
          <w:p w:rsidR="00650F06" w:rsidRDefault="00650F06">
            <w:pPr>
              <w:keepNext/>
              <w:rPr>
                <w:b/>
                <w:bCs/>
                <w:sz w:val="22"/>
                <w:szCs w:val="22"/>
              </w:rPr>
            </w:pPr>
            <w:r>
              <w:rPr>
                <w:b/>
                <w:bCs/>
                <w:sz w:val="22"/>
                <w:szCs w:val="22"/>
              </w:rPr>
              <w:t>Almindelig</w:t>
            </w:r>
          </w:p>
        </w:tc>
        <w:tc>
          <w:tcPr>
            <w:tcW w:w="609" w:type="pct"/>
            <w:tcBorders>
              <w:top w:val="single" w:sz="4" w:space="0" w:color="auto"/>
              <w:left w:val="single" w:sz="4" w:space="0" w:color="auto"/>
              <w:bottom w:val="single" w:sz="4" w:space="0" w:color="auto"/>
              <w:right w:val="single" w:sz="4" w:space="0" w:color="auto"/>
            </w:tcBorders>
            <w:hideMark/>
          </w:tcPr>
          <w:p w:rsidR="00650F06" w:rsidRDefault="00650F06">
            <w:pPr>
              <w:keepNext/>
              <w:rPr>
                <w:b/>
                <w:bCs/>
                <w:sz w:val="22"/>
                <w:szCs w:val="22"/>
              </w:rPr>
            </w:pPr>
            <w:r>
              <w:rPr>
                <w:b/>
                <w:bCs/>
                <w:sz w:val="22"/>
                <w:szCs w:val="22"/>
              </w:rPr>
              <w:t>Ikke almindelig</w:t>
            </w:r>
          </w:p>
        </w:tc>
        <w:tc>
          <w:tcPr>
            <w:tcW w:w="741" w:type="pct"/>
            <w:tcBorders>
              <w:top w:val="single" w:sz="4" w:space="0" w:color="auto"/>
              <w:left w:val="single" w:sz="4" w:space="0" w:color="auto"/>
              <w:bottom w:val="single" w:sz="4" w:space="0" w:color="auto"/>
              <w:right w:val="single" w:sz="4" w:space="0" w:color="auto"/>
            </w:tcBorders>
            <w:hideMark/>
          </w:tcPr>
          <w:p w:rsidR="00650F06" w:rsidRDefault="00650F06">
            <w:pPr>
              <w:keepNext/>
              <w:rPr>
                <w:b/>
                <w:bCs/>
                <w:sz w:val="22"/>
                <w:szCs w:val="22"/>
              </w:rPr>
            </w:pPr>
            <w:r>
              <w:rPr>
                <w:b/>
                <w:bCs/>
                <w:sz w:val="22"/>
                <w:szCs w:val="22"/>
              </w:rPr>
              <w:t>Sjælden</w:t>
            </w:r>
          </w:p>
        </w:tc>
        <w:tc>
          <w:tcPr>
            <w:tcW w:w="850" w:type="pct"/>
            <w:tcBorders>
              <w:top w:val="single" w:sz="4" w:space="0" w:color="auto"/>
              <w:left w:val="single" w:sz="4" w:space="0" w:color="auto"/>
              <w:bottom w:val="single" w:sz="4" w:space="0" w:color="auto"/>
              <w:right w:val="single" w:sz="4" w:space="0" w:color="auto"/>
            </w:tcBorders>
            <w:hideMark/>
          </w:tcPr>
          <w:p w:rsidR="00650F06" w:rsidRDefault="00650F06">
            <w:pPr>
              <w:keepNext/>
              <w:rPr>
                <w:b/>
                <w:bCs/>
                <w:sz w:val="22"/>
                <w:szCs w:val="22"/>
              </w:rPr>
            </w:pPr>
            <w:r>
              <w:rPr>
                <w:b/>
                <w:bCs/>
                <w:sz w:val="22"/>
                <w:szCs w:val="22"/>
              </w:rPr>
              <w:t>Meget sjælden</w:t>
            </w:r>
          </w:p>
        </w:tc>
        <w:tc>
          <w:tcPr>
            <w:tcW w:w="418" w:type="pct"/>
            <w:tcBorders>
              <w:top w:val="single" w:sz="4" w:space="0" w:color="auto"/>
              <w:left w:val="single" w:sz="4" w:space="0" w:color="auto"/>
              <w:bottom w:val="single" w:sz="4" w:space="0" w:color="auto"/>
              <w:right w:val="single" w:sz="4" w:space="0" w:color="auto"/>
            </w:tcBorders>
            <w:hideMark/>
          </w:tcPr>
          <w:p w:rsidR="00650F06" w:rsidRDefault="00650F06">
            <w:pPr>
              <w:keepNext/>
              <w:rPr>
                <w:b/>
                <w:bCs/>
                <w:sz w:val="22"/>
                <w:szCs w:val="22"/>
              </w:rPr>
            </w:pPr>
            <w:r>
              <w:rPr>
                <w:b/>
                <w:bCs/>
                <w:sz w:val="22"/>
                <w:szCs w:val="22"/>
              </w:rPr>
              <w:t>Ikke kendt</w:t>
            </w:r>
          </w:p>
        </w:tc>
      </w:tr>
      <w:tr w:rsidR="00650F06" w:rsidTr="00B1613B">
        <w:trPr>
          <w:trHeight w:val="1793"/>
        </w:trPr>
        <w:tc>
          <w:tcPr>
            <w:tcW w:w="1073" w:type="pct"/>
            <w:tcBorders>
              <w:top w:val="single" w:sz="4" w:space="0" w:color="auto"/>
              <w:left w:val="single" w:sz="4" w:space="0" w:color="auto"/>
              <w:bottom w:val="single" w:sz="4" w:space="0" w:color="auto"/>
              <w:right w:val="single" w:sz="4" w:space="0" w:color="auto"/>
            </w:tcBorders>
            <w:hideMark/>
          </w:tcPr>
          <w:p w:rsidR="00650F06" w:rsidRDefault="00650F06">
            <w:pPr>
              <w:keepNext/>
              <w:rPr>
                <w:sz w:val="22"/>
                <w:szCs w:val="22"/>
              </w:rPr>
            </w:pPr>
            <w:r>
              <w:rPr>
                <w:b/>
                <w:bCs/>
                <w:sz w:val="22"/>
                <w:szCs w:val="22"/>
              </w:rPr>
              <w:t>Blod</w:t>
            </w:r>
            <w:r>
              <w:rPr>
                <w:b/>
                <w:sz w:val="22"/>
              </w:rPr>
              <w:t xml:space="preserve"> og lymfesystem</w:t>
            </w:r>
          </w:p>
        </w:tc>
        <w:tc>
          <w:tcPr>
            <w:tcW w:w="6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691" w:type="pct"/>
            <w:tcBorders>
              <w:top w:val="single" w:sz="4" w:space="0" w:color="auto"/>
              <w:left w:val="single" w:sz="4" w:space="0" w:color="auto"/>
              <w:bottom w:val="single" w:sz="4" w:space="0" w:color="auto"/>
              <w:right w:val="single" w:sz="4" w:space="0" w:color="auto"/>
            </w:tcBorders>
          </w:tcPr>
          <w:p w:rsidR="00650F06" w:rsidRDefault="00650F06">
            <w:pPr>
              <w:spacing w:after="2" w:line="235" w:lineRule="auto"/>
              <w:ind w:left="2"/>
              <w:rPr>
                <w:sz w:val="22"/>
                <w:szCs w:val="22"/>
              </w:rPr>
            </w:pPr>
          </w:p>
        </w:tc>
        <w:tc>
          <w:tcPr>
            <w:tcW w:w="609"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741" w:type="pct"/>
            <w:tcBorders>
              <w:top w:val="single" w:sz="4" w:space="0" w:color="auto"/>
              <w:left w:val="single" w:sz="4" w:space="0" w:color="auto"/>
              <w:bottom w:val="single" w:sz="4" w:space="0" w:color="auto"/>
              <w:right w:val="single" w:sz="4" w:space="0" w:color="auto"/>
            </w:tcBorders>
          </w:tcPr>
          <w:p w:rsidR="00650F06" w:rsidRDefault="00650F06">
            <w:pPr>
              <w:spacing w:after="2" w:line="235" w:lineRule="auto"/>
              <w:ind w:left="2"/>
              <w:rPr>
                <w:spacing w:val="-3"/>
                <w:sz w:val="22"/>
              </w:rPr>
            </w:pPr>
          </w:p>
        </w:tc>
        <w:tc>
          <w:tcPr>
            <w:tcW w:w="850" w:type="pct"/>
            <w:tcBorders>
              <w:top w:val="single" w:sz="4" w:space="0" w:color="auto"/>
              <w:left w:val="single" w:sz="4" w:space="0" w:color="auto"/>
              <w:bottom w:val="single" w:sz="4" w:space="0" w:color="auto"/>
              <w:right w:val="single" w:sz="4" w:space="0" w:color="auto"/>
            </w:tcBorders>
            <w:hideMark/>
          </w:tcPr>
          <w:p w:rsidR="00650F06" w:rsidRDefault="00334421">
            <w:pPr>
              <w:rPr>
                <w:sz w:val="22"/>
                <w:szCs w:val="22"/>
              </w:rPr>
            </w:pPr>
            <w:proofErr w:type="spellStart"/>
            <w:r>
              <w:rPr>
                <w:spacing w:val="-3"/>
                <w:sz w:val="22"/>
              </w:rPr>
              <w:t>E</w:t>
            </w:r>
            <w:r w:rsidR="00650F06">
              <w:rPr>
                <w:spacing w:val="-3"/>
                <w:sz w:val="22"/>
              </w:rPr>
              <w:t>osinofili</w:t>
            </w:r>
            <w:proofErr w:type="spellEnd"/>
            <w:r w:rsidR="00650F06">
              <w:rPr>
                <w:spacing w:val="-3"/>
                <w:sz w:val="22"/>
              </w:rPr>
              <w:t xml:space="preserve">, </w:t>
            </w:r>
            <w:proofErr w:type="spellStart"/>
            <w:r w:rsidR="00650F06">
              <w:rPr>
                <w:spacing w:val="-3"/>
                <w:sz w:val="22"/>
              </w:rPr>
              <w:t>trombocytopeni</w:t>
            </w:r>
            <w:proofErr w:type="spellEnd"/>
            <w:r w:rsidR="00650F06">
              <w:rPr>
                <w:spacing w:val="-3"/>
                <w:sz w:val="22"/>
              </w:rPr>
              <w:t xml:space="preserve">, </w:t>
            </w:r>
            <w:proofErr w:type="spellStart"/>
            <w:r w:rsidR="00650F06">
              <w:rPr>
                <w:spacing w:val="-3"/>
                <w:sz w:val="22"/>
              </w:rPr>
              <w:t>leukopeni</w:t>
            </w:r>
            <w:proofErr w:type="spellEnd"/>
            <w:r w:rsidR="00650F06">
              <w:rPr>
                <w:spacing w:val="-3"/>
                <w:sz w:val="22"/>
              </w:rPr>
              <w:t xml:space="preserve">, </w:t>
            </w:r>
            <w:proofErr w:type="spellStart"/>
            <w:r w:rsidR="00650F06">
              <w:rPr>
                <w:spacing w:val="-3"/>
                <w:sz w:val="22"/>
              </w:rPr>
              <w:t>pancytopeni</w:t>
            </w:r>
            <w:proofErr w:type="spellEnd"/>
            <w:r w:rsidR="00650F06">
              <w:rPr>
                <w:spacing w:val="-3"/>
                <w:sz w:val="22"/>
              </w:rPr>
              <w:t xml:space="preserve">, </w:t>
            </w:r>
            <w:proofErr w:type="spellStart"/>
            <w:r w:rsidR="00650F06">
              <w:rPr>
                <w:spacing w:val="-3"/>
                <w:sz w:val="22"/>
              </w:rPr>
              <w:t>hæmolytisk</w:t>
            </w:r>
            <w:proofErr w:type="spellEnd"/>
            <w:r w:rsidR="00650F06">
              <w:rPr>
                <w:spacing w:val="-3"/>
                <w:sz w:val="22"/>
              </w:rPr>
              <w:t xml:space="preserve"> anæmi, </w:t>
            </w:r>
            <w:proofErr w:type="spellStart"/>
            <w:r w:rsidR="00650F06">
              <w:rPr>
                <w:spacing w:val="-3"/>
                <w:sz w:val="22"/>
              </w:rPr>
              <w:t>aplastisk</w:t>
            </w:r>
            <w:proofErr w:type="spellEnd"/>
            <w:r w:rsidR="00650F06">
              <w:rPr>
                <w:spacing w:val="-3"/>
                <w:sz w:val="22"/>
              </w:rPr>
              <w:t xml:space="preserve"> anæmi, </w:t>
            </w:r>
            <w:proofErr w:type="spellStart"/>
            <w:r w:rsidR="00650F06">
              <w:rPr>
                <w:spacing w:val="-3"/>
                <w:sz w:val="22"/>
              </w:rPr>
              <w:t>agranulocytose</w:t>
            </w:r>
            <w:proofErr w:type="spellEnd"/>
          </w:p>
        </w:tc>
        <w:tc>
          <w:tcPr>
            <w:tcW w:w="4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r>
      <w:tr w:rsidR="00650F06" w:rsidTr="00B1613B">
        <w:trPr>
          <w:trHeight w:val="738"/>
        </w:trPr>
        <w:tc>
          <w:tcPr>
            <w:tcW w:w="1073" w:type="pct"/>
            <w:tcBorders>
              <w:top w:val="single" w:sz="4" w:space="0" w:color="auto"/>
              <w:left w:val="single" w:sz="4" w:space="0" w:color="auto"/>
              <w:bottom w:val="single" w:sz="4" w:space="0" w:color="auto"/>
              <w:right w:val="single" w:sz="4" w:space="0" w:color="auto"/>
            </w:tcBorders>
            <w:hideMark/>
          </w:tcPr>
          <w:p w:rsidR="00650F06" w:rsidRDefault="00650F06">
            <w:pPr>
              <w:rPr>
                <w:b/>
                <w:sz w:val="22"/>
              </w:rPr>
            </w:pPr>
            <w:r>
              <w:rPr>
                <w:b/>
                <w:sz w:val="22"/>
              </w:rPr>
              <w:t>Immunsystemet</w:t>
            </w:r>
          </w:p>
        </w:tc>
        <w:tc>
          <w:tcPr>
            <w:tcW w:w="6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691" w:type="pct"/>
            <w:tcBorders>
              <w:top w:val="single" w:sz="4" w:space="0" w:color="auto"/>
              <w:left w:val="single" w:sz="4" w:space="0" w:color="auto"/>
              <w:bottom w:val="single" w:sz="4" w:space="0" w:color="auto"/>
              <w:right w:val="single" w:sz="4" w:space="0" w:color="auto"/>
            </w:tcBorders>
          </w:tcPr>
          <w:p w:rsidR="00650F06" w:rsidRDefault="00650F06">
            <w:pPr>
              <w:spacing w:after="2" w:line="235" w:lineRule="auto"/>
              <w:ind w:left="2"/>
              <w:rPr>
                <w:sz w:val="22"/>
                <w:szCs w:val="22"/>
              </w:rPr>
            </w:pPr>
          </w:p>
        </w:tc>
        <w:tc>
          <w:tcPr>
            <w:tcW w:w="609"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741" w:type="pct"/>
            <w:tcBorders>
              <w:top w:val="single" w:sz="4" w:space="0" w:color="auto"/>
              <w:left w:val="single" w:sz="4" w:space="0" w:color="auto"/>
              <w:bottom w:val="single" w:sz="4" w:space="0" w:color="auto"/>
              <w:right w:val="single" w:sz="4" w:space="0" w:color="auto"/>
            </w:tcBorders>
            <w:hideMark/>
          </w:tcPr>
          <w:p w:rsidR="00650F06" w:rsidRDefault="00650F06">
            <w:pPr>
              <w:spacing w:after="2" w:line="235" w:lineRule="auto"/>
              <w:ind w:left="2"/>
              <w:rPr>
                <w:spacing w:val="-3"/>
                <w:sz w:val="22"/>
              </w:rPr>
            </w:pPr>
            <w:r>
              <w:rPr>
                <w:spacing w:val="-3"/>
                <w:sz w:val="22"/>
              </w:rPr>
              <w:t>Overfølsom</w:t>
            </w:r>
            <w:r w:rsidR="00B1613B">
              <w:rPr>
                <w:spacing w:val="-3"/>
                <w:sz w:val="22"/>
              </w:rPr>
              <w:softHyphen/>
            </w:r>
            <w:r>
              <w:rPr>
                <w:spacing w:val="-3"/>
                <w:sz w:val="22"/>
              </w:rPr>
              <w:t xml:space="preserve">hedsreaktioner, </w:t>
            </w:r>
            <w:proofErr w:type="spellStart"/>
            <w:r>
              <w:rPr>
                <w:spacing w:val="-3"/>
                <w:sz w:val="22"/>
              </w:rPr>
              <w:t>anafylaktisk</w:t>
            </w:r>
            <w:proofErr w:type="spellEnd"/>
            <w:r>
              <w:rPr>
                <w:spacing w:val="-3"/>
                <w:sz w:val="22"/>
              </w:rPr>
              <w:t xml:space="preserve"> reaktion, </w:t>
            </w:r>
            <w:proofErr w:type="spellStart"/>
            <w:r>
              <w:rPr>
                <w:spacing w:val="-3"/>
                <w:sz w:val="22"/>
              </w:rPr>
              <w:t>angioneurotisk</w:t>
            </w:r>
            <w:proofErr w:type="spellEnd"/>
            <w:r>
              <w:rPr>
                <w:spacing w:val="-3"/>
                <w:sz w:val="22"/>
              </w:rPr>
              <w:t xml:space="preserve"> ødem</w:t>
            </w:r>
          </w:p>
        </w:tc>
        <w:tc>
          <w:tcPr>
            <w:tcW w:w="850"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4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r>
      <w:tr w:rsidR="00650F06" w:rsidTr="00B1613B">
        <w:trPr>
          <w:trHeight w:val="487"/>
        </w:trPr>
        <w:tc>
          <w:tcPr>
            <w:tcW w:w="1073" w:type="pct"/>
            <w:tcBorders>
              <w:top w:val="single" w:sz="4" w:space="0" w:color="auto"/>
              <w:left w:val="single" w:sz="4" w:space="0" w:color="auto"/>
              <w:bottom w:val="single" w:sz="4" w:space="0" w:color="auto"/>
              <w:right w:val="single" w:sz="4" w:space="0" w:color="auto"/>
            </w:tcBorders>
            <w:hideMark/>
          </w:tcPr>
          <w:p w:rsidR="00650F06" w:rsidRDefault="00650F06">
            <w:pPr>
              <w:rPr>
                <w:b/>
                <w:sz w:val="22"/>
              </w:rPr>
            </w:pPr>
            <w:r>
              <w:rPr>
                <w:b/>
                <w:sz w:val="22"/>
              </w:rPr>
              <w:t>Metabolisme og ernæring</w:t>
            </w:r>
          </w:p>
        </w:tc>
        <w:tc>
          <w:tcPr>
            <w:tcW w:w="6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691" w:type="pct"/>
            <w:tcBorders>
              <w:top w:val="single" w:sz="4" w:space="0" w:color="auto"/>
              <w:left w:val="single" w:sz="4" w:space="0" w:color="auto"/>
              <w:bottom w:val="single" w:sz="4" w:space="0" w:color="auto"/>
              <w:right w:val="single" w:sz="4" w:space="0" w:color="auto"/>
            </w:tcBorders>
          </w:tcPr>
          <w:p w:rsidR="00650F06" w:rsidRDefault="00650F06">
            <w:pPr>
              <w:spacing w:after="2" w:line="235" w:lineRule="auto"/>
              <w:ind w:left="2"/>
              <w:rPr>
                <w:sz w:val="22"/>
                <w:szCs w:val="22"/>
              </w:rPr>
            </w:pPr>
          </w:p>
        </w:tc>
        <w:tc>
          <w:tcPr>
            <w:tcW w:w="609" w:type="pct"/>
            <w:tcBorders>
              <w:top w:val="single" w:sz="4" w:space="0" w:color="auto"/>
              <w:left w:val="single" w:sz="4" w:space="0" w:color="auto"/>
              <w:bottom w:val="single" w:sz="4" w:space="0" w:color="auto"/>
              <w:right w:val="single" w:sz="4" w:space="0" w:color="auto"/>
            </w:tcBorders>
            <w:hideMark/>
          </w:tcPr>
          <w:p w:rsidR="00650F06" w:rsidRDefault="00650F06">
            <w:pPr>
              <w:rPr>
                <w:sz w:val="22"/>
                <w:szCs w:val="22"/>
              </w:rPr>
            </w:pPr>
            <w:proofErr w:type="spellStart"/>
            <w:r>
              <w:rPr>
                <w:sz w:val="22"/>
                <w:szCs w:val="22"/>
              </w:rPr>
              <w:t>Hyperkali</w:t>
            </w:r>
            <w:r w:rsidR="00B1613B">
              <w:rPr>
                <w:sz w:val="22"/>
                <w:szCs w:val="22"/>
              </w:rPr>
              <w:softHyphen/>
            </w:r>
            <w:r>
              <w:rPr>
                <w:sz w:val="22"/>
                <w:szCs w:val="22"/>
              </w:rPr>
              <w:t>æmi</w:t>
            </w:r>
            <w:proofErr w:type="spellEnd"/>
            <w:r>
              <w:rPr>
                <w:sz w:val="22"/>
                <w:szCs w:val="22"/>
              </w:rPr>
              <w:t xml:space="preserve">, </w:t>
            </w:r>
            <w:r>
              <w:rPr>
                <w:sz w:val="22"/>
                <w:szCs w:val="22"/>
              </w:rPr>
              <w:lastRenderedPageBreak/>
              <w:t>væske</w:t>
            </w:r>
            <w:r w:rsidR="00346AC1">
              <w:rPr>
                <w:sz w:val="22"/>
                <w:szCs w:val="22"/>
              </w:rPr>
              <w:softHyphen/>
            </w:r>
            <w:r>
              <w:rPr>
                <w:sz w:val="22"/>
                <w:szCs w:val="22"/>
              </w:rPr>
              <w:t>reten</w:t>
            </w:r>
            <w:r w:rsidR="00B1613B">
              <w:rPr>
                <w:sz w:val="22"/>
                <w:szCs w:val="22"/>
              </w:rPr>
              <w:softHyphen/>
            </w:r>
            <w:r>
              <w:rPr>
                <w:sz w:val="22"/>
                <w:szCs w:val="22"/>
              </w:rPr>
              <w:t xml:space="preserve">tion </w:t>
            </w:r>
          </w:p>
        </w:tc>
        <w:tc>
          <w:tcPr>
            <w:tcW w:w="741" w:type="pct"/>
            <w:tcBorders>
              <w:top w:val="single" w:sz="4" w:space="0" w:color="auto"/>
              <w:left w:val="single" w:sz="4" w:space="0" w:color="auto"/>
              <w:bottom w:val="single" w:sz="4" w:space="0" w:color="auto"/>
              <w:right w:val="single" w:sz="4" w:space="0" w:color="auto"/>
            </w:tcBorders>
          </w:tcPr>
          <w:p w:rsidR="00650F06" w:rsidRDefault="00650F06">
            <w:pPr>
              <w:spacing w:after="2" w:line="235" w:lineRule="auto"/>
              <w:ind w:left="2"/>
              <w:rPr>
                <w:spacing w:val="-3"/>
                <w:sz w:val="22"/>
              </w:rPr>
            </w:pPr>
          </w:p>
        </w:tc>
        <w:tc>
          <w:tcPr>
            <w:tcW w:w="850"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4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r>
      <w:tr w:rsidR="00650F06" w:rsidTr="00B1613B">
        <w:trPr>
          <w:trHeight w:val="1728"/>
        </w:trPr>
        <w:tc>
          <w:tcPr>
            <w:tcW w:w="1073" w:type="pct"/>
            <w:tcBorders>
              <w:top w:val="single" w:sz="4" w:space="0" w:color="auto"/>
              <w:left w:val="single" w:sz="4" w:space="0" w:color="auto"/>
              <w:bottom w:val="single" w:sz="4" w:space="0" w:color="auto"/>
              <w:right w:val="single" w:sz="4" w:space="0" w:color="auto"/>
            </w:tcBorders>
            <w:hideMark/>
          </w:tcPr>
          <w:p w:rsidR="00650F06" w:rsidRDefault="00650F06">
            <w:pPr>
              <w:rPr>
                <w:b/>
                <w:sz w:val="22"/>
              </w:rPr>
            </w:pPr>
            <w:r>
              <w:rPr>
                <w:b/>
                <w:sz w:val="22"/>
              </w:rPr>
              <w:t>Psykiske forstyrrelser</w:t>
            </w:r>
          </w:p>
        </w:tc>
        <w:tc>
          <w:tcPr>
            <w:tcW w:w="6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691" w:type="pct"/>
            <w:tcBorders>
              <w:top w:val="single" w:sz="4" w:space="0" w:color="auto"/>
              <w:left w:val="single" w:sz="4" w:space="0" w:color="auto"/>
              <w:bottom w:val="single" w:sz="4" w:space="0" w:color="auto"/>
              <w:right w:val="single" w:sz="4" w:space="0" w:color="auto"/>
            </w:tcBorders>
          </w:tcPr>
          <w:p w:rsidR="00650F06" w:rsidRDefault="00650F06">
            <w:pPr>
              <w:spacing w:after="2" w:line="235" w:lineRule="auto"/>
              <w:ind w:left="2"/>
              <w:rPr>
                <w:sz w:val="22"/>
                <w:szCs w:val="22"/>
              </w:rPr>
            </w:pPr>
          </w:p>
        </w:tc>
        <w:tc>
          <w:tcPr>
            <w:tcW w:w="609" w:type="pct"/>
            <w:tcBorders>
              <w:top w:val="single" w:sz="4" w:space="0" w:color="auto"/>
              <w:left w:val="single" w:sz="4" w:space="0" w:color="auto"/>
              <w:bottom w:val="single" w:sz="4" w:space="0" w:color="auto"/>
              <w:right w:val="single" w:sz="4" w:space="0" w:color="auto"/>
            </w:tcBorders>
            <w:hideMark/>
          </w:tcPr>
          <w:p w:rsidR="00650F06" w:rsidRDefault="00650F06">
            <w:pPr>
              <w:rPr>
                <w:sz w:val="22"/>
                <w:szCs w:val="22"/>
              </w:rPr>
            </w:pPr>
            <w:r>
              <w:rPr>
                <w:sz w:val="22"/>
              </w:rPr>
              <w:t>Humørfor</w:t>
            </w:r>
            <w:r w:rsidR="00346AC1">
              <w:rPr>
                <w:sz w:val="22"/>
              </w:rPr>
              <w:softHyphen/>
            </w:r>
            <w:r>
              <w:rPr>
                <w:sz w:val="22"/>
              </w:rPr>
              <w:t>andringer, depression, nedsat koncentra</w:t>
            </w:r>
            <w:r w:rsidR="00346AC1">
              <w:rPr>
                <w:sz w:val="22"/>
              </w:rPr>
              <w:softHyphen/>
            </w:r>
            <w:r>
              <w:rPr>
                <w:sz w:val="22"/>
              </w:rPr>
              <w:t>tionsevne, kognitive forstyrrel</w:t>
            </w:r>
            <w:r w:rsidR="00346AC1">
              <w:rPr>
                <w:sz w:val="22"/>
              </w:rPr>
              <w:softHyphen/>
            </w:r>
            <w:r>
              <w:rPr>
                <w:sz w:val="22"/>
              </w:rPr>
              <w:t>ser, søvnløshed, søvnfor</w:t>
            </w:r>
            <w:r w:rsidR="00346AC1">
              <w:rPr>
                <w:sz w:val="22"/>
              </w:rPr>
              <w:softHyphen/>
            </w:r>
            <w:r>
              <w:rPr>
                <w:sz w:val="22"/>
              </w:rPr>
              <w:t>styrrelser</w:t>
            </w:r>
          </w:p>
        </w:tc>
        <w:tc>
          <w:tcPr>
            <w:tcW w:w="741" w:type="pct"/>
            <w:tcBorders>
              <w:top w:val="single" w:sz="4" w:space="0" w:color="auto"/>
              <w:left w:val="single" w:sz="4" w:space="0" w:color="auto"/>
              <w:bottom w:val="single" w:sz="4" w:space="0" w:color="auto"/>
              <w:right w:val="single" w:sz="4" w:space="0" w:color="auto"/>
            </w:tcBorders>
          </w:tcPr>
          <w:p w:rsidR="00650F06" w:rsidRDefault="00650F06">
            <w:pPr>
              <w:spacing w:after="2" w:line="235" w:lineRule="auto"/>
              <w:ind w:left="2"/>
              <w:rPr>
                <w:spacing w:val="-3"/>
                <w:sz w:val="22"/>
              </w:rPr>
            </w:pPr>
          </w:p>
        </w:tc>
        <w:tc>
          <w:tcPr>
            <w:tcW w:w="850"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4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r>
      <w:tr w:rsidR="00650F06" w:rsidTr="00B1613B">
        <w:trPr>
          <w:trHeight w:val="1501"/>
        </w:trPr>
        <w:tc>
          <w:tcPr>
            <w:tcW w:w="1073" w:type="pct"/>
            <w:tcBorders>
              <w:top w:val="single" w:sz="4" w:space="0" w:color="auto"/>
              <w:left w:val="single" w:sz="4" w:space="0" w:color="auto"/>
              <w:bottom w:val="single" w:sz="4" w:space="0" w:color="auto"/>
              <w:right w:val="single" w:sz="4" w:space="0" w:color="auto"/>
            </w:tcBorders>
            <w:hideMark/>
          </w:tcPr>
          <w:p w:rsidR="00650F06" w:rsidRDefault="00650F06">
            <w:pPr>
              <w:rPr>
                <w:b/>
                <w:sz w:val="22"/>
              </w:rPr>
            </w:pPr>
            <w:r>
              <w:rPr>
                <w:b/>
                <w:sz w:val="22"/>
              </w:rPr>
              <w:t>Nervesystemet</w:t>
            </w:r>
          </w:p>
        </w:tc>
        <w:tc>
          <w:tcPr>
            <w:tcW w:w="6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691" w:type="pct"/>
            <w:tcBorders>
              <w:top w:val="single" w:sz="4" w:space="0" w:color="auto"/>
              <w:left w:val="single" w:sz="4" w:space="0" w:color="auto"/>
              <w:bottom w:val="single" w:sz="4" w:space="0" w:color="auto"/>
              <w:right w:val="single" w:sz="4" w:space="0" w:color="auto"/>
            </w:tcBorders>
            <w:hideMark/>
          </w:tcPr>
          <w:p w:rsidR="00650F06" w:rsidRDefault="00650F06">
            <w:pPr>
              <w:spacing w:after="2" w:line="235" w:lineRule="auto"/>
              <w:ind w:left="2"/>
              <w:rPr>
                <w:sz w:val="22"/>
                <w:szCs w:val="22"/>
              </w:rPr>
            </w:pPr>
            <w:bookmarkStart w:id="4" w:name="_Hlk106366955"/>
            <w:r>
              <w:rPr>
                <w:sz w:val="22"/>
              </w:rPr>
              <w:t xml:space="preserve">Hovedpine, </w:t>
            </w:r>
            <w:proofErr w:type="gramStart"/>
            <w:r>
              <w:rPr>
                <w:sz w:val="22"/>
              </w:rPr>
              <w:t xml:space="preserve">svimmelhed, </w:t>
            </w:r>
            <w:bookmarkEnd w:id="4"/>
            <w:r>
              <w:rPr>
                <w:sz w:val="22"/>
              </w:rPr>
              <w:t xml:space="preserve"> ør</w:t>
            </w:r>
            <w:proofErr w:type="gramEnd"/>
            <w:r>
              <w:rPr>
                <w:sz w:val="22"/>
              </w:rPr>
              <w:t xml:space="preserve"> i hovedet</w:t>
            </w:r>
          </w:p>
        </w:tc>
        <w:tc>
          <w:tcPr>
            <w:tcW w:w="609" w:type="pct"/>
            <w:tcBorders>
              <w:top w:val="single" w:sz="4" w:space="0" w:color="auto"/>
              <w:left w:val="single" w:sz="4" w:space="0" w:color="auto"/>
              <w:bottom w:val="single" w:sz="4" w:space="0" w:color="auto"/>
              <w:right w:val="single" w:sz="4" w:space="0" w:color="auto"/>
            </w:tcBorders>
          </w:tcPr>
          <w:p w:rsidR="00650F06" w:rsidRDefault="00650F06">
            <w:pPr>
              <w:rPr>
                <w:sz w:val="22"/>
              </w:rPr>
            </w:pPr>
            <w:r>
              <w:rPr>
                <w:sz w:val="22"/>
              </w:rPr>
              <w:t>Krampean</w:t>
            </w:r>
            <w:r w:rsidR="00346AC1">
              <w:rPr>
                <w:sz w:val="22"/>
              </w:rPr>
              <w:softHyphen/>
            </w:r>
            <w:r>
              <w:rPr>
                <w:sz w:val="22"/>
              </w:rPr>
              <w:t>fald</w:t>
            </w:r>
          </w:p>
          <w:p w:rsidR="00650F06" w:rsidRDefault="00650F06">
            <w:pPr>
              <w:rPr>
                <w:sz w:val="22"/>
              </w:rPr>
            </w:pPr>
          </w:p>
        </w:tc>
        <w:tc>
          <w:tcPr>
            <w:tcW w:w="741" w:type="pct"/>
            <w:tcBorders>
              <w:top w:val="single" w:sz="4" w:space="0" w:color="auto"/>
              <w:left w:val="single" w:sz="4" w:space="0" w:color="auto"/>
              <w:bottom w:val="single" w:sz="4" w:space="0" w:color="auto"/>
              <w:right w:val="single" w:sz="4" w:space="0" w:color="auto"/>
            </w:tcBorders>
          </w:tcPr>
          <w:p w:rsidR="00650F06" w:rsidRDefault="00650F06">
            <w:pPr>
              <w:spacing w:after="2" w:line="235" w:lineRule="auto"/>
              <w:ind w:left="2"/>
              <w:rPr>
                <w:spacing w:val="-3"/>
                <w:sz w:val="22"/>
              </w:rPr>
            </w:pPr>
          </w:p>
        </w:tc>
        <w:tc>
          <w:tcPr>
            <w:tcW w:w="850" w:type="pct"/>
            <w:tcBorders>
              <w:top w:val="single" w:sz="4" w:space="0" w:color="auto"/>
              <w:left w:val="single" w:sz="4" w:space="0" w:color="auto"/>
              <w:bottom w:val="single" w:sz="4" w:space="0" w:color="auto"/>
              <w:right w:val="single" w:sz="4" w:space="0" w:color="auto"/>
            </w:tcBorders>
            <w:hideMark/>
          </w:tcPr>
          <w:p w:rsidR="00650F06" w:rsidRDefault="00650F06">
            <w:pPr>
              <w:rPr>
                <w:sz w:val="22"/>
                <w:szCs w:val="22"/>
              </w:rPr>
            </w:pPr>
            <w:r>
              <w:rPr>
                <w:sz w:val="22"/>
                <w:szCs w:val="22"/>
              </w:rPr>
              <w:t>Aseptisk meningitis, forværring af Parkinsons sygdom</w:t>
            </w:r>
          </w:p>
        </w:tc>
        <w:tc>
          <w:tcPr>
            <w:tcW w:w="4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r>
      <w:tr w:rsidR="00650F06" w:rsidTr="00B1613B">
        <w:trPr>
          <w:trHeight w:val="545"/>
        </w:trPr>
        <w:tc>
          <w:tcPr>
            <w:tcW w:w="1073" w:type="pct"/>
            <w:tcBorders>
              <w:top w:val="single" w:sz="4" w:space="0" w:color="auto"/>
              <w:left w:val="single" w:sz="4" w:space="0" w:color="auto"/>
              <w:bottom w:val="single" w:sz="4" w:space="0" w:color="auto"/>
              <w:right w:val="single" w:sz="4" w:space="0" w:color="auto"/>
            </w:tcBorders>
            <w:hideMark/>
          </w:tcPr>
          <w:p w:rsidR="00650F06" w:rsidRDefault="00650F06">
            <w:pPr>
              <w:rPr>
                <w:b/>
                <w:sz w:val="22"/>
              </w:rPr>
            </w:pPr>
            <w:r>
              <w:rPr>
                <w:b/>
                <w:sz w:val="22"/>
              </w:rPr>
              <w:t>Øjne</w:t>
            </w:r>
          </w:p>
        </w:tc>
        <w:tc>
          <w:tcPr>
            <w:tcW w:w="6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691" w:type="pct"/>
            <w:tcBorders>
              <w:top w:val="single" w:sz="4" w:space="0" w:color="auto"/>
              <w:left w:val="single" w:sz="4" w:space="0" w:color="auto"/>
              <w:bottom w:val="single" w:sz="4" w:space="0" w:color="auto"/>
              <w:right w:val="single" w:sz="4" w:space="0" w:color="auto"/>
            </w:tcBorders>
            <w:hideMark/>
          </w:tcPr>
          <w:p w:rsidR="00650F06" w:rsidRDefault="00650F06">
            <w:pPr>
              <w:spacing w:after="2" w:line="235" w:lineRule="auto"/>
              <w:ind w:left="2"/>
              <w:rPr>
                <w:sz w:val="22"/>
              </w:rPr>
            </w:pPr>
            <w:r>
              <w:rPr>
                <w:sz w:val="22"/>
              </w:rPr>
              <w:t>Synsforstyr</w:t>
            </w:r>
            <w:r w:rsidR="00346AC1">
              <w:rPr>
                <w:sz w:val="22"/>
              </w:rPr>
              <w:softHyphen/>
            </w:r>
            <w:r>
              <w:rPr>
                <w:sz w:val="22"/>
              </w:rPr>
              <w:t>relser</w:t>
            </w:r>
          </w:p>
        </w:tc>
        <w:tc>
          <w:tcPr>
            <w:tcW w:w="609" w:type="pct"/>
            <w:tcBorders>
              <w:top w:val="single" w:sz="4" w:space="0" w:color="auto"/>
              <w:left w:val="single" w:sz="4" w:space="0" w:color="auto"/>
              <w:bottom w:val="single" w:sz="4" w:space="0" w:color="auto"/>
              <w:right w:val="single" w:sz="4" w:space="0" w:color="auto"/>
            </w:tcBorders>
          </w:tcPr>
          <w:p w:rsidR="00650F06" w:rsidRDefault="00650F06">
            <w:pPr>
              <w:rPr>
                <w:sz w:val="22"/>
              </w:rPr>
            </w:pPr>
          </w:p>
        </w:tc>
        <w:tc>
          <w:tcPr>
            <w:tcW w:w="741" w:type="pct"/>
            <w:tcBorders>
              <w:top w:val="single" w:sz="4" w:space="0" w:color="auto"/>
              <w:left w:val="single" w:sz="4" w:space="0" w:color="auto"/>
              <w:bottom w:val="single" w:sz="4" w:space="0" w:color="auto"/>
              <w:right w:val="single" w:sz="4" w:space="0" w:color="auto"/>
            </w:tcBorders>
          </w:tcPr>
          <w:p w:rsidR="00650F06" w:rsidRDefault="00650F06">
            <w:pPr>
              <w:spacing w:after="2" w:line="235" w:lineRule="auto"/>
              <w:ind w:left="2"/>
              <w:rPr>
                <w:sz w:val="22"/>
              </w:rPr>
            </w:pPr>
          </w:p>
        </w:tc>
        <w:tc>
          <w:tcPr>
            <w:tcW w:w="850"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4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r>
      <w:tr w:rsidR="00650F06" w:rsidTr="00B1613B">
        <w:trPr>
          <w:trHeight w:val="709"/>
        </w:trPr>
        <w:tc>
          <w:tcPr>
            <w:tcW w:w="1073" w:type="pct"/>
            <w:tcBorders>
              <w:top w:val="single" w:sz="4" w:space="0" w:color="auto"/>
              <w:left w:val="single" w:sz="4" w:space="0" w:color="auto"/>
              <w:bottom w:val="single" w:sz="4" w:space="0" w:color="auto"/>
              <w:right w:val="single" w:sz="4" w:space="0" w:color="auto"/>
            </w:tcBorders>
            <w:hideMark/>
          </w:tcPr>
          <w:p w:rsidR="00650F06" w:rsidRDefault="00650F06">
            <w:pPr>
              <w:rPr>
                <w:b/>
                <w:sz w:val="22"/>
              </w:rPr>
            </w:pPr>
            <w:r>
              <w:rPr>
                <w:b/>
                <w:sz w:val="22"/>
              </w:rPr>
              <w:t>Øre og labyrint</w:t>
            </w:r>
          </w:p>
        </w:tc>
        <w:tc>
          <w:tcPr>
            <w:tcW w:w="6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691" w:type="pct"/>
            <w:tcBorders>
              <w:top w:val="single" w:sz="4" w:space="0" w:color="auto"/>
              <w:left w:val="single" w:sz="4" w:space="0" w:color="auto"/>
              <w:bottom w:val="single" w:sz="4" w:space="0" w:color="auto"/>
              <w:right w:val="single" w:sz="4" w:space="0" w:color="auto"/>
            </w:tcBorders>
            <w:hideMark/>
          </w:tcPr>
          <w:p w:rsidR="00650F06" w:rsidRDefault="00650F06">
            <w:pPr>
              <w:spacing w:after="2" w:line="235" w:lineRule="auto"/>
              <w:ind w:left="2"/>
              <w:rPr>
                <w:sz w:val="22"/>
              </w:rPr>
            </w:pPr>
            <w:r>
              <w:rPr>
                <w:sz w:val="22"/>
              </w:rPr>
              <w:t>Tinnitus, nedsat hørelse</w:t>
            </w:r>
          </w:p>
        </w:tc>
        <w:tc>
          <w:tcPr>
            <w:tcW w:w="609" w:type="pct"/>
            <w:tcBorders>
              <w:top w:val="single" w:sz="4" w:space="0" w:color="auto"/>
              <w:left w:val="single" w:sz="4" w:space="0" w:color="auto"/>
              <w:bottom w:val="single" w:sz="4" w:space="0" w:color="auto"/>
              <w:right w:val="single" w:sz="4" w:space="0" w:color="auto"/>
            </w:tcBorders>
          </w:tcPr>
          <w:p w:rsidR="00650F06" w:rsidRDefault="00650F06">
            <w:pPr>
              <w:rPr>
                <w:sz w:val="22"/>
              </w:rPr>
            </w:pPr>
          </w:p>
        </w:tc>
        <w:tc>
          <w:tcPr>
            <w:tcW w:w="741" w:type="pct"/>
            <w:tcBorders>
              <w:top w:val="single" w:sz="4" w:space="0" w:color="auto"/>
              <w:left w:val="single" w:sz="4" w:space="0" w:color="auto"/>
              <w:bottom w:val="single" w:sz="4" w:space="0" w:color="auto"/>
              <w:right w:val="single" w:sz="4" w:space="0" w:color="auto"/>
            </w:tcBorders>
            <w:hideMark/>
          </w:tcPr>
          <w:p w:rsidR="00650F06" w:rsidRDefault="00650F06">
            <w:pPr>
              <w:rPr>
                <w:sz w:val="22"/>
              </w:rPr>
            </w:pPr>
            <w:r>
              <w:rPr>
                <w:sz w:val="22"/>
              </w:rPr>
              <w:t>Høretab</w:t>
            </w:r>
          </w:p>
        </w:tc>
        <w:tc>
          <w:tcPr>
            <w:tcW w:w="850"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4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r>
      <w:tr w:rsidR="00650F06" w:rsidTr="00B1613B">
        <w:trPr>
          <w:trHeight w:val="1022"/>
        </w:trPr>
        <w:tc>
          <w:tcPr>
            <w:tcW w:w="1073" w:type="pct"/>
            <w:tcBorders>
              <w:top w:val="single" w:sz="4" w:space="0" w:color="auto"/>
              <w:left w:val="single" w:sz="4" w:space="0" w:color="auto"/>
              <w:bottom w:val="single" w:sz="4" w:space="0" w:color="auto"/>
              <w:right w:val="single" w:sz="4" w:space="0" w:color="auto"/>
            </w:tcBorders>
            <w:hideMark/>
          </w:tcPr>
          <w:p w:rsidR="00650F06" w:rsidRDefault="00650F06">
            <w:pPr>
              <w:rPr>
                <w:b/>
                <w:sz w:val="22"/>
              </w:rPr>
            </w:pPr>
            <w:r>
              <w:rPr>
                <w:b/>
                <w:sz w:val="22"/>
              </w:rPr>
              <w:t>Hjerte*)</w:t>
            </w:r>
          </w:p>
        </w:tc>
        <w:tc>
          <w:tcPr>
            <w:tcW w:w="6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691" w:type="pct"/>
            <w:tcBorders>
              <w:top w:val="single" w:sz="4" w:space="0" w:color="auto"/>
              <w:left w:val="single" w:sz="4" w:space="0" w:color="auto"/>
              <w:bottom w:val="single" w:sz="4" w:space="0" w:color="auto"/>
              <w:right w:val="single" w:sz="4" w:space="0" w:color="auto"/>
            </w:tcBorders>
            <w:hideMark/>
          </w:tcPr>
          <w:p w:rsidR="00650F06" w:rsidRDefault="00650F06">
            <w:pPr>
              <w:spacing w:after="2" w:line="235" w:lineRule="auto"/>
              <w:ind w:left="2"/>
              <w:rPr>
                <w:sz w:val="22"/>
              </w:rPr>
            </w:pPr>
            <w:r>
              <w:rPr>
                <w:sz w:val="22"/>
              </w:rPr>
              <w:t>Forværring af hjertesvigt (ødem, dyspnø)</w:t>
            </w:r>
          </w:p>
        </w:tc>
        <w:tc>
          <w:tcPr>
            <w:tcW w:w="609" w:type="pct"/>
            <w:tcBorders>
              <w:top w:val="single" w:sz="4" w:space="0" w:color="auto"/>
              <w:left w:val="single" w:sz="4" w:space="0" w:color="auto"/>
              <w:bottom w:val="single" w:sz="4" w:space="0" w:color="auto"/>
              <w:right w:val="single" w:sz="4" w:space="0" w:color="auto"/>
            </w:tcBorders>
            <w:hideMark/>
          </w:tcPr>
          <w:p w:rsidR="00650F06" w:rsidRDefault="00650F06">
            <w:pPr>
              <w:rPr>
                <w:sz w:val="22"/>
              </w:rPr>
            </w:pPr>
            <w:proofErr w:type="spellStart"/>
            <w:r>
              <w:rPr>
                <w:sz w:val="22"/>
              </w:rPr>
              <w:t>Palpitatio</w:t>
            </w:r>
            <w:r w:rsidR="00346AC1">
              <w:rPr>
                <w:sz w:val="22"/>
              </w:rPr>
              <w:softHyphen/>
            </w:r>
            <w:r>
              <w:rPr>
                <w:sz w:val="22"/>
              </w:rPr>
              <w:t>ner</w:t>
            </w:r>
            <w:proofErr w:type="spellEnd"/>
          </w:p>
        </w:tc>
        <w:tc>
          <w:tcPr>
            <w:tcW w:w="741" w:type="pct"/>
            <w:tcBorders>
              <w:top w:val="single" w:sz="4" w:space="0" w:color="auto"/>
              <w:left w:val="single" w:sz="4" w:space="0" w:color="auto"/>
              <w:bottom w:val="single" w:sz="4" w:space="0" w:color="auto"/>
              <w:right w:val="single" w:sz="4" w:space="0" w:color="auto"/>
            </w:tcBorders>
          </w:tcPr>
          <w:p w:rsidR="00650F06" w:rsidRDefault="00650F06">
            <w:pPr>
              <w:rPr>
                <w:sz w:val="22"/>
              </w:rPr>
            </w:pPr>
          </w:p>
        </w:tc>
        <w:tc>
          <w:tcPr>
            <w:tcW w:w="850"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4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r>
      <w:tr w:rsidR="00650F06" w:rsidTr="00B1613B">
        <w:trPr>
          <w:trHeight w:val="649"/>
        </w:trPr>
        <w:tc>
          <w:tcPr>
            <w:tcW w:w="1073" w:type="pct"/>
            <w:tcBorders>
              <w:top w:val="single" w:sz="4" w:space="0" w:color="auto"/>
              <w:left w:val="single" w:sz="4" w:space="0" w:color="auto"/>
              <w:bottom w:val="single" w:sz="4" w:space="0" w:color="auto"/>
              <w:right w:val="single" w:sz="4" w:space="0" w:color="auto"/>
            </w:tcBorders>
            <w:hideMark/>
          </w:tcPr>
          <w:p w:rsidR="00650F06" w:rsidRDefault="00650F06">
            <w:pPr>
              <w:rPr>
                <w:b/>
                <w:sz w:val="22"/>
              </w:rPr>
            </w:pPr>
            <w:proofErr w:type="spellStart"/>
            <w:r>
              <w:rPr>
                <w:b/>
                <w:sz w:val="22"/>
              </w:rPr>
              <w:t>Vaskulære</w:t>
            </w:r>
            <w:proofErr w:type="spellEnd"/>
            <w:r>
              <w:rPr>
                <w:b/>
                <w:sz w:val="22"/>
              </w:rPr>
              <w:t xml:space="preserve"> sygdomme*)</w:t>
            </w:r>
          </w:p>
        </w:tc>
        <w:tc>
          <w:tcPr>
            <w:tcW w:w="6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691" w:type="pct"/>
            <w:tcBorders>
              <w:top w:val="single" w:sz="4" w:space="0" w:color="auto"/>
              <w:left w:val="single" w:sz="4" w:space="0" w:color="auto"/>
              <w:bottom w:val="single" w:sz="4" w:space="0" w:color="auto"/>
              <w:right w:val="single" w:sz="4" w:space="0" w:color="auto"/>
            </w:tcBorders>
          </w:tcPr>
          <w:p w:rsidR="00650F06" w:rsidRDefault="00650F06">
            <w:pPr>
              <w:spacing w:after="2" w:line="235" w:lineRule="auto"/>
              <w:ind w:left="2"/>
              <w:rPr>
                <w:sz w:val="22"/>
              </w:rPr>
            </w:pPr>
          </w:p>
        </w:tc>
        <w:tc>
          <w:tcPr>
            <w:tcW w:w="609" w:type="pct"/>
            <w:tcBorders>
              <w:top w:val="single" w:sz="4" w:space="0" w:color="auto"/>
              <w:left w:val="single" w:sz="4" w:space="0" w:color="auto"/>
              <w:bottom w:val="single" w:sz="4" w:space="0" w:color="auto"/>
              <w:right w:val="single" w:sz="4" w:space="0" w:color="auto"/>
            </w:tcBorders>
          </w:tcPr>
          <w:p w:rsidR="00650F06" w:rsidRDefault="00650F06">
            <w:pPr>
              <w:rPr>
                <w:sz w:val="22"/>
              </w:rPr>
            </w:pPr>
          </w:p>
        </w:tc>
        <w:tc>
          <w:tcPr>
            <w:tcW w:w="741" w:type="pct"/>
            <w:tcBorders>
              <w:top w:val="single" w:sz="4" w:space="0" w:color="auto"/>
              <w:left w:val="single" w:sz="4" w:space="0" w:color="auto"/>
              <w:bottom w:val="single" w:sz="4" w:space="0" w:color="auto"/>
              <w:right w:val="single" w:sz="4" w:space="0" w:color="auto"/>
            </w:tcBorders>
          </w:tcPr>
          <w:p w:rsidR="00650F06" w:rsidRDefault="00650F06">
            <w:pPr>
              <w:rPr>
                <w:sz w:val="22"/>
              </w:rPr>
            </w:pPr>
          </w:p>
        </w:tc>
        <w:tc>
          <w:tcPr>
            <w:tcW w:w="850" w:type="pct"/>
            <w:tcBorders>
              <w:top w:val="single" w:sz="4" w:space="0" w:color="auto"/>
              <w:left w:val="single" w:sz="4" w:space="0" w:color="auto"/>
              <w:bottom w:val="single" w:sz="4" w:space="0" w:color="auto"/>
              <w:right w:val="single" w:sz="4" w:space="0" w:color="auto"/>
            </w:tcBorders>
            <w:hideMark/>
          </w:tcPr>
          <w:p w:rsidR="00650F06" w:rsidRDefault="00650F06">
            <w:pPr>
              <w:rPr>
                <w:sz w:val="22"/>
                <w:szCs w:val="22"/>
              </w:rPr>
            </w:pPr>
            <w:proofErr w:type="spellStart"/>
            <w:r>
              <w:rPr>
                <w:sz w:val="22"/>
                <w:szCs w:val="22"/>
              </w:rPr>
              <w:t>Vasculitis</w:t>
            </w:r>
            <w:proofErr w:type="spellEnd"/>
          </w:p>
        </w:tc>
        <w:tc>
          <w:tcPr>
            <w:tcW w:w="4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r>
      <w:tr w:rsidR="00650F06" w:rsidTr="00B1613B">
        <w:trPr>
          <w:trHeight w:val="802"/>
        </w:trPr>
        <w:tc>
          <w:tcPr>
            <w:tcW w:w="1073" w:type="pct"/>
            <w:tcBorders>
              <w:top w:val="single" w:sz="4" w:space="0" w:color="auto"/>
              <w:left w:val="single" w:sz="4" w:space="0" w:color="auto"/>
              <w:bottom w:val="single" w:sz="4" w:space="0" w:color="auto"/>
              <w:right w:val="single" w:sz="4" w:space="0" w:color="auto"/>
            </w:tcBorders>
            <w:hideMark/>
          </w:tcPr>
          <w:p w:rsidR="00650F06" w:rsidRDefault="00650F06">
            <w:pPr>
              <w:rPr>
                <w:b/>
                <w:sz w:val="22"/>
              </w:rPr>
            </w:pPr>
            <w:r>
              <w:rPr>
                <w:b/>
                <w:sz w:val="22"/>
              </w:rPr>
              <w:t xml:space="preserve">Luftveje, thorax og </w:t>
            </w:r>
            <w:proofErr w:type="spellStart"/>
            <w:r>
              <w:rPr>
                <w:b/>
                <w:sz w:val="22"/>
              </w:rPr>
              <w:t>mediastinum</w:t>
            </w:r>
            <w:proofErr w:type="spellEnd"/>
          </w:p>
        </w:tc>
        <w:tc>
          <w:tcPr>
            <w:tcW w:w="6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691" w:type="pct"/>
            <w:tcBorders>
              <w:top w:val="single" w:sz="4" w:space="0" w:color="auto"/>
              <w:left w:val="single" w:sz="4" w:space="0" w:color="auto"/>
              <w:bottom w:val="single" w:sz="4" w:space="0" w:color="auto"/>
              <w:right w:val="single" w:sz="4" w:space="0" w:color="auto"/>
            </w:tcBorders>
          </w:tcPr>
          <w:p w:rsidR="00650F06" w:rsidRDefault="00650F06">
            <w:pPr>
              <w:spacing w:after="2" w:line="235" w:lineRule="auto"/>
              <w:ind w:left="2"/>
              <w:rPr>
                <w:sz w:val="22"/>
              </w:rPr>
            </w:pPr>
          </w:p>
        </w:tc>
        <w:tc>
          <w:tcPr>
            <w:tcW w:w="609" w:type="pct"/>
            <w:tcBorders>
              <w:top w:val="single" w:sz="4" w:space="0" w:color="auto"/>
              <w:left w:val="single" w:sz="4" w:space="0" w:color="auto"/>
              <w:bottom w:val="single" w:sz="4" w:space="0" w:color="auto"/>
              <w:right w:val="single" w:sz="4" w:space="0" w:color="auto"/>
            </w:tcBorders>
          </w:tcPr>
          <w:p w:rsidR="00650F06" w:rsidRDefault="00650F06">
            <w:pPr>
              <w:rPr>
                <w:sz w:val="22"/>
              </w:rPr>
            </w:pPr>
          </w:p>
        </w:tc>
        <w:tc>
          <w:tcPr>
            <w:tcW w:w="741" w:type="pct"/>
            <w:tcBorders>
              <w:top w:val="single" w:sz="4" w:space="0" w:color="auto"/>
              <w:left w:val="single" w:sz="4" w:space="0" w:color="auto"/>
              <w:bottom w:val="single" w:sz="4" w:space="0" w:color="auto"/>
              <w:right w:val="single" w:sz="4" w:space="0" w:color="auto"/>
            </w:tcBorders>
            <w:hideMark/>
          </w:tcPr>
          <w:p w:rsidR="00650F06" w:rsidRDefault="00650F06">
            <w:pPr>
              <w:rPr>
                <w:sz w:val="22"/>
              </w:rPr>
            </w:pPr>
            <w:r>
              <w:rPr>
                <w:sz w:val="22"/>
              </w:rPr>
              <w:t>Lungeødem, forværring af astma</w:t>
            </w:r>
          </w:p>
        </w:tc>
        <w:tc>
          <w:tcPr>
            <w:tcW w:w="850" w:type="pct"/>
            <w:tcBorders>
              <w:top w:val="single" w:sz="4" w:space="0" w:color="auto"/>
              <w:left w:val="single" w:sz="4" w:space="0" w:color="auto"/>
              <w:bottom w:val="single" w:sz="4" w:space="0" w:color="auto"/>
              <w:right w:val="single" w:sz="4" w:space="0" w:color="auto"/>
            </w:tcBorders>
            <w:hideMark/>
          </w:tcPr>
          <w:p w:rsidR="00650F06" w:rsidRDefault="00650F06">
            <w:pPr>
              <w:rPr>
                <w:sz w:val="22"/>
                <w:szCs w:val="22"/>
              </w:rPr>
            </w:pPr>
            <w:proofErr w:type="spellStart"/>
            <w:r>
              <w:rPr>
                <w:spacing w:val="-1"/>
                <w:sz w:val="22"/>
              </w:rPr>
              <w:t>Eosinofil</w:t>
            </w:r>
            <w:proofErr w:type="spellEnd"/>
            <w:r>
              <w:rPr>
                <w:spacing w:val="-1"/>
                <w:sz w:val="22"/>
              </w:rPr>
              <w:t xml:space="preserve"> pneumoni</w:t>
            </w:r>
          </w:p>
        </w:tc>
        <w:tc>
          <w:tcPr>
            <w:tcW w:w="4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r>
      <w:tr w:rsidR="00650F06" w:rsidTr="00B1613B">
        <w:trPr>
          <w:trHeight w:val="2515"/>
        </w:trPr>
        <w:tc>
          <w:tcPr>
            <w:tcW w:w="1073" w:type="pct"/>
            <w:tcBorders>
              <w:top w:val="single" w:sz="4" w:space="0" w:color="auto"/>
              <w:left w:val="single" w:sz="4" w:space="0" w:color="auto"/>
              <w:bottom w:val="single" w:sz="4" w:space="0" w:color="auto"/>
              <w:right w:val="single" w:sz="4" w:space="0" w:color="auto"/>
            </w:tcBorders>
            <w:hideMark/>
          </w:tcPr>
          <w:p w:rsidR="00650F06" w:rsidRDefault="00650F06">
            <w:pPr>
              <w:rPr>
                <w:b/>
                <w:sz w:val="22"/>
              </w:rPr>
            </w:pPr>
            <w:r>
              <w:rPr>
                <w:b/>
                <w:sz w:val="22"/>
              </w:rPr>
              <w:t>Mave-tarm-kanalen**)</w:t>
            </w:r>
          </w:p>
        </w:tc>
        <w:tc>
          <w:tcPr>
            <w:tcW w:w="618" w:type="pct"/>
            <w:tcBorders>
              <w:top w:val="single" w:sz="4" w:space="0" w:color="auto"/>
              <w:left w:val="single" w:sz="4" w:space="0" w:color="auto"/>
              <w:bottom w:val="single" w:sz="4" w:space="0" w:color="auto"/>
              <w:right w:val="single" w:sz="4" w:space="0" w:color="auto"/>
            </w:tcBorders>
            <w:hideMark/>
          </w:tcPr>
          <w:p w:rsidR="00650F06" w:rsidRDefault="00650F06">
            <w:pPr>
              <w:rPr>
                <w:sz w:val="22"/>
                <w:szCs w:val="22"/>
              </w:rPr>
            </w:pPr>
            <w:r>
              <w:rPr>
                <w:sz w:val="22"/>
                <w:szCs w:val="22"/>
              </w:rPr>
              <w:t>Øvre mavesmer</w:t>
            </w:r>
            <w:r w:rsidR="00346AC1">
              <w:rPr>
                <w:sz w:val="22"/>
                <w:szCs w:val="22"/>
              </w:rPr>
              <w:softHyphen/>
            </w:r>
            <w:r>
              <w:rPr>
                <w:sz w:val="22"/>
                <w:szCs w:val="22"/>
              </w:rPr>
              <w:t>ter, halsbrand, kvalme, forstoppelse</w:t>
            </w:r>
          </w:p>
        </w:tc>
        <w:tc>
          <w:tcPr>
            <w:tcW w:w="691" w:type="pct"/>
            <w:tcBorders>
              <w:top w:val="single" w:sz="4" w:space="0" w:color="auto"/>
              <w:left w:val="single" w:sz="4" w:space="0" w:color="auto"/>
              <w:bottom w:val="single" w:sz="4" w:space="0" w:color="auto"/>
              <w:right w:val="single" w:sz="4" w:space="0" w:color="auto"/>
            </w:tcBorders>
            <w:hideMark/>
          </w:tcPr>
          <w:p w:rsidR="00650F06" w:rsidRDefault="00650F06">
            <w:pPr>
              <w:spacing w:after="2" w:line="235" w:lineRule="auto"/>
              <w:ind w:left="2"/>
              <w:rPr>
                <w:sz w:val="22"/>
              </w:rPr>
            </w:pPr>
            <w:proofErr w:type="spellStart"/>
            <w:r>
              <w:rPr>
                <w:sz w:val="22"/>
              </w:rPr>
              <w:t>Stomatitis</w:t>
            </w:r>
            <w:proofErr w:type="spellEnd"/>
            <w:r>
              <w:rPr>
                <w:sz w:val="22"/>
              </w:rPr>
              <w:t>, diarré, opkastning, dyspepsi</w:t>
            </w:r>
          </w:p>
        </w:tc>
        <w:tc>
          <w:tcPr>
            <w:tcW w:w="609" w:type="pct"/>
            <w:tcBorders>
              <w:top w:val="single" w:sz="4" w:space="0" w:color="auto"/>
              <w:left w:val="single" w:sz="4" w:space="0" w:color="auto"/>
              <w:bottom w:val="single" w:sz="4" w:space="0" w:color="auto"/>
              <w:right w:val="single" w:sz="4" w:space="0" w:color="auto"/>
            </w:tcBorders>
            <w:hideMark/>
          </w:tcPr>
          <w:p w:rsidR="00650F06" w:rsidRDefault="00650F06">
            <w:pPr>
              <w:rPr>
                <w:sz w:val="22"/>
              </w:rPr>
            </w:pPr>
            <w:r>
              <w:rPr>
                <w:sz w:val="22"/>
              </w:rPr>
              <w:t xml:space="preserve">Mavesår, blødning og/eller perforation, </w:t>
            </w:r>
            <w:proofErr w:type="spellStart"/>
            <w:r>
              <w:rPr>
                <w:sz w:val="22"/>
              </w:rPr>
              <w:t>hæmateme</w:t>
            </w:r>
            <w:r w:rsidR="00346AC1">
              <w:rPr>
                <w:sz w:val="22"/>
              </w:rPr>
              <w:softHyphen/>
            </w:r>
            <w:r>
              <w:rPr>
                <w:sz w:val="22"/>
              </w:rPr>
              <w:t>se</w:t>
            </w:r>
            <w:proofErr w:type="spellEnd"/>
            <w:r>
              <w:rPr>
                <w:sz w:val="22"/>
              </w:rPr>
              <w:t xml:space="preserve">, </w:t>
            </w:r>
            <w:proofErr w:type="spellStart"/>
            <w:r>
              <w:rPr>
                <w:sz w:val="22"/>
              </w:rPr>
              <w:t>melæna</w:t>
            </w:r>
            <w:proofErr w:type="spellEnd"/>
            <w:r>
              <w:rPr>
                <w:sz w:val="22"/>
              </w:rPr>
              <w:t xml:space="preserve">, forværring af colitis </w:t>
            </w:r>
            <w:proofErr w:type="spellStart"/>
            <w:r>
              <w:rPr>
                <w:sz w:val="22"/>
              </w:rPr>
              <w:t>ulcerosa</w:t>
            </w:r>
            <w:proofErr w:type="spellEnd"/>
            <w:r>
              <w:rPr>
                <w:sz w:val="22"/>
              </w:rPr>
              <w:t xml:space="preserve"> og </w:t>
            </w:r>
            <w:proofErr w:type="spellStart"/>
            <w:r>
              <w:rPr>
                <w:sz w:val="22"/>
              </w:rPr>
              <w:t>Crohns</w:t>
            </w:r>
            <w:proofErr w:type="spellEnd"/>
            <w:r>
              <w:rPr>
                <w:sz w:val="22"/>
              </w:rPr>
              <w:t xml:space="preserve"> sygdom</w:t>
            </w:r>
          </w:p>
        </w:tc>
        <w:tc>
          <w:tcPr>
            <w:tcW w:w="741" w:type="pct"/>
            <w:tcBorders>
              <w:top w:val="single" w:sz="4" w:space="0" w:color="auto"/>
              <w:left w:val="single" w:sz="4" w:space="0" w:color="auto"/>
              <w:bottom w:val="single" w:sz="4" w:space="0" w:color="auto"/>
              <w:right w:val="single" w:sz="4" w:space="0" w:color="auto"/>
            </w:tcBorders>
          </w:tcPr>
          <w:p w:rsidR="00650F06" w:rsidRDefault="00650F06">
            <w:pPr>
              <w:rPr>
                <w:sz w:val="22"/>
              </w:rPr>
            </w:pPr>
          </w:p>
        </w:tc>
        <w:tc>
          <w:tcPr>
            <w:tcW w:w="850" w:type="pct"/>
            <w:tcBorders>
              <w:top w:val="single" w:sz="4" w:space="0" w:color="auto"/>
              <w:left w:val="single" w:sz="4" w:space="0" w:color="auto"/>
              <w:bottom w:val="single" w:sz="4" w:space="0" w:color="auto"/>
              <w:right w:val="single" w:sz="4" w:space="0" w:color="auto"/>
            </w:tcBorders>
            <w:hideMark/>
          </w:tcPr>
          <w:p w:rsidR="00650F06" w:rsidRDefault="00650F06">
            <w:pPr>
              <w:rPr>
                <w:spacing w:val="-1"/>
                <w:sz w:val="22"/>
              </w:rPr>
            </w:pPr>
            <w:proofErr w:type="spellStart"/>
            <w:r>
              <w:rPr>
                <w:spacing w:val="-1"/>
                <w:sz w:val="22"/>
              </w:rPr>
              <w:t>Sialoadenitis</w:t>
            </w:r>
            <w:proofErr w:type="spellEnd"/>
            <w:r>
              <w:rPr>
                <w:spacing w:val="-1"/>
                <w:sz w:val="22"/>
              </w:rPr>
              <w:t xml:space="preserve">, </w:t>
            </w:r>
            <w:proofErr w:type="spellStart"/>
            <w:r>
              <w:rPr>
                <w:spacing w:val="-1"/>
                <w:sz w:val="22"/>
              </w:rPr>
              <w:t>pancreatitis</w:t>
            </w:r>
            <w:proofErr w:type="spellEnd"/>
          </w:p>
        </w:tc>
        <w:tc>
          <w:tcPr>
            <w:tcW w:w="4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r>
      <w:tr w:rsidR="00650F06" w:rsidTr="00B1613B">
        <w:trPr>
          <w:trHeight w:val="834"/>
        </w:trPr>
        <w:tc>
          <w:tcPr>
            <w:tcW w:w="1073" w:type="pct"/>
            <w:tcBorders>
              <w:top w:val="single" w:sz="4" w:space="0" w:color="auto"/>
              <w:left w:val="single" w:sz="4" w:space="0" w:color="auto"/>
              <w:bottom w:val="single" w:sz="4" w:space="0" w:color="auto"/>
              <w:right w:val="single" w:sz="4" w:space="0" w:color="auto"/>
            </w:tcBorders>
            <w:hideMark/>
          </w:tcPr>
          <w:p w:rsidR="00650F06" w:rsidRDefault="00650F06">
            <w:pPr>
              <w:rPr>
                <w:b/>
                <w:sz w:val="22"/>
              </w:rPr>
            </w:pPr>
            <w:r>
              <w:rPr>
                <w:b/>
                <w:sz w:val="22"/>
              </w:rPr>
              <w:t>Lever og galdeveje</w:t>
            </w:r>
          </w:p>
        </w:tc>
        <w:tc>
          <w:tcPr>
            <w:tcW w:w="6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c>
          <w:tcPr>
            <w:tcW w:w="691" w:type="pct"/>
            <w:tcBorders>
              <w:top w:val="single" w:sz="4" w:space="0" w:color="auto"/>
              <w:left w:val="single" w:sz="4" w:space="0" w:color="auto"/>
              <w:bottom w:val="single" w:sz="4" w:space="0" w:color="auto"/>
              <w:right w:val="single" w:sz="4" w:space="0" w:color="auto"/>
            </w:tcBorders>
          </w:tcPr>
          <w:p w:rsidR="00650F06" w:rsidRDefault="00650F06">
            <w:pPr>
              <w:spacing w:after="2" w:line="235" w:lineRule="auto"/>
              <w:ind w:left="2"/>
              <w:rPr>
                <w:sz w:val="22"/>
              </w:rPr>
            </w:pPr>
          </w:p>
        </w:tc>
        <w:tc>
          <w:tcPr>
            <w:tcW w:w="609" w:type="pct"/>
            <w:tcBorders>
              <w:top w:val="single" w:sz="4" w:space="0" w:color="auto"/>
              <w:left w:val="single" w:sz="4" w:space="0" w:color="auto"/>
              <w:bottom w:val="single" w:sz="4" w:space="0" w:color="auto"/>
              <w:right w:val="single" w:sz="4" w:space="0" w:color="auto"/>
            </w:tcBorders>
            <w:hideMark/>
          </w:tcPr>
          <w:p w:rsidR="00650F06" w:rsidRDefault="00650F06">
            <w:pPr>
              <w:rPr>
                <w:sz w:val="22"/>
              </w:rPr>
            </w:pPr>
            <w:r>
              <w:rPr>
                <w:sz w:val="22"/>
              </w:rPr>
              <w:t>Forhøjede leverenzy</w:t>
            </w:r>
            <w:r w:rsidR="00346AC1">
              <w:rPr>
                <w:sz w:val="22"/>
              </w:rPr>
              <w:softHyphen/>
            </w:r>
            <w:r>
              <w:rPr>
                <w:sz w:val="22"/>
              </w:rPr>
              <w:t>mer, gulsot</w:t>
            </w:r>
          </w:p>
        </w:tc>
        <w:tc>
          <w:tcPr>
            <w:tcW w:w="741" w:type="pct"/>
            <w:tcBorders>
              <w:top w:val="single" w:sz="4" w:space="0" w:color="auto"/>
              <w:left w:val="single" w:sz="4" w:space="0" w:color="auto"/>
              <w:bottom w:val="single" w:sz="4" w:space="0" w:color="auto"/>
              <w:right w:val="single" w:sz="4" w:space="0" w:color="auto"/>
            </w:tcBorders>
            <w:hideMark/>
          </w:tcPr>
          <w:p w:rsidR="00650F06" w:rsidRDefault="00650F06">
            <w:pPr>
              <w:rPr>
                <w:sz w:val="22"/>
              </w:rPr>
            </w:pPr>
            <w:r>
              <w:rPr>
                <w:sz w:val="22"/>
              </w:rPr>
              <w:t>Toksisk hepatitis</w:t>
            </w:r>
          </w:p>
        </w:tc>
        <w:tc>
          <w:tcPr>
            <w:tcW w:w="850" w:type="pct"/>
            <w:tcBorders>
              <w:top w:val="single" w:sz="4" w:space="0" w:color="auto"/>
              <w:left w:val="single" w:sz="4" w:space="0" w:color="auto"/>
              <w:bottom w:val="single" w:sz="4" w:space="0" w:color="auto"/>
              <w:right w:val="single" w:sz="4" w:space="0" w:color="auto"/>
            </w:tcBorders>
          </w:tcPr>
          <w:p w:rsidR="00650F06" w:rsidRDefault="00650F06">
            <w:pPr>
              <w:rPr>
                <w:spacing w:val="-1"/>
                <w:sz w:val="22"/>
              </w:rPr>
            </w:pPr>
          </w:p>
        </w:tc>
        <w:tc>
          <w:tcPr>
            <w:tcW w:w="418" w:type="pct"/>
            <w:tcBorders>
              <w:top w:val="single" w:sz="4" w:space="0" w:color="auto"/>
              <w:left w:val="single" w:sz="4" w:space="0" w:color="auto"/>
              <w:bottom w:val="single" w:sz="4" w:space="0" w:color="auto"/>
              <w:right w:val="single" w:sz="4" w:space="0" w:color="auto"/>
            </w:tcBorders>
          </w:tcPr>
          <w:p w:rsidR="00650F06" w:rsidRDefault="00650F06">
            <w:pPr>
              <w:rPr>
                <w:sz w:val="22"/>
                <w:szCs w:val="22"/>
              </w:rPr>
            </w:pPr>
          </w:p>
        </w:tc>
      </w:tr>
      <w:tr w:rsidR="00334421" w:rsidRPr="00AC30CA" w:rsidTr="00B1613B">
        <w:trPr>
          <w:trHeight w:val="976"/>
        </w:trPr>
        <w:tc>
          <w:tcPr>
            <w:tcW w:w="1073" w:type="pct"/>
            <w:tcBorders>
              <w:top w:val="single" w:sz="4" w:space="0" w:color="auto"/>
              <w:left w:val="single" w:sz="4" w:space="0" w:color="auto"/>
              <w:bottom w:val="single" w:sz="4" w:space="0" w:color="auto"/>
              <w:right w:val="single" w:sz="4" w:space="0" w:color="auto"/>
            </w:tcBorders>
            <w:hideMark/>
          </w:tcPr>
          <w:p w:rsidR="00334421" w:rsidRDefault="00334421" w:rsidP="00334421">
            <w:pPr>
              <w:rPr>
                <w:b/>
                <w:sz w:val="22"/>
              </w:rPr>
            </w:pPr>
            <w:r>
              <w:rPr>
                <w:b/>
                <w:sz w:val="22"/>
              </w:rPr>
              <w:t>Hud og subkutane væv</w:t>
            </w:r>
          </w:p>
        </w:tc>
        <w:tc>
          <w:tcPr>
            <w:tcW w:w="618"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szCs w:val="22"/>
              </w:rPr>
            </w:pPr>
          </w:p>
        </w:tc>
        <w:tc>
          <w:tcPr>
            <w:tcW w:w="691" w:type="pct"/>
            <w:tcBorders>
              <w:top w:val="single" w:sz="4" w:space="0" w:color="auto"/>
              <w:left w:val="single" w:sz="4" w:space="0" w:color="auto"/>
              <w:bottom w:val="single" w:sz="4" w:space="0" w:color="auto"/>
              <w:right w:val="single" w:sz="4" w:space="0" w:color="auto"/>
            </w:tcBorders>
            <w:hideMark/>
          </w:tcPr>
          <w:p w:rsidR="00334421" w:rsidRDefault="00334421" w:rsidP="00334421">
            <w:pPr>
              <w:spacing w:after="2" w:line="235" w:lineRule="auto"/>
              <w:ind w:left="2"/>
              <w:rPr>
                <w:sz w:val="22"/>
              </w:rPr>
            </w:pPr>
            <w:proofErr w:type="spellStart"/>
            <w:r>
              <w:rPr>
                <w:sz w:val="22"/>
              </w:rPr>
              <w:t>Pruritus</w:t>
            </w:r>
            <w:proofErr w:type="spellEnd"/>
            <w:r>
              <w:rPr>
                <w:sz w:val="22"/>
              </w:rPr>
              <w:t xml:space="preserve">, hududslæt, </w:t>
            </w:r>
            <w:proofErr w:type="spellStart"/>
            <w:r>
              <w:rPr>
                <w:sz w:val="22"/>
              </w:rPr>
              <w:t>urticaria</w:t>
            </w:r>
            <w:proofErr w:type="spellEnd"/>
            <w:r>
              <w:rPr>
                <w:sz w:val="22"/>
              </w:rPr>
              <w:t xml:space="preserve">, øget svedtendens, </w:t>
            </w:r>
            <w:proofErr w:type="spellStart"/>
            <w:r>
              <w:rPr>
                <w:sz w:val="22"/>
              </w:rPr>
              <w:lastRenderedPageBreak/>
              <w:t>purpura</w:t>
            </w:r>
            <w:proofErr w:type="spellEnd"/>
            <w:r>
              <w:rPr>
                <w:sz w:val="22"/>
              </w:rPr>
              <w:t xml:space="preserve">, </w:t>
            </w:r>
            <w:proofErr w:type="spellStart"/>
            <w:r>
              <w:rPr>
                <w:sz w:val="22"/>
              </w:rPr>
              <w:t>ekkymose</w:t>
            </w:r>
            <w:proofErr w:type="spellEnd"/>
          </w:p>
        </w:tc>
        <w:tc>
          <w:tcPr>
            <w:tcW w:w="609"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rPr>
            </w:pPr>
          </w:p>
        </w:tc>
        <w:tc>
          <w:tcPr>
            <w:tcW w:w="741" w:type="pct"/>
            <w:tcBorders>
              <w:top w:val="single" w:sz="4" w:space="0" w:color="auto"/>
              <w:left w:val="single" w:sz="4" w:space="0" w:color="auto"/>
              <w:bottom w:val="single" w:sz="4" w:space="0" w:color="auto"/>
              <w:right w:val="single" w:sz="4" w:space="0" w:color="auto"/>
            </w:tcBorders>
            <w:hideMark/>
          </w:tcPr>
          <w:p w:rsidR="00334421" w:rsidRDefault="00334421" w:rsidP="00334421">
            <w:pPr>
              <w:rPr>
                <w:sz w:val="22"/>
              </w:rPr>
            </w:pPr>
            <w:r>
              <w:rPr>
                <w:sz w:val="22"/>
              </w:rPr>
              <w:t xml:space="preserve">Hårtab, lysfølsomhed, </w:t>
            </w:r>
            <w:proofErr w:type="spellStart"/>
            <w:r>
              <w:rPr>
                <w:sz w:val="22"/>
              </w:rPr>
              <w:t>pseudoporfyri</w:t>
            </w:r>
            <w:proofErr w:type="spellEnd"/>
          </w:p>
        </w:tc>
        <w:tc>
          <w:tcPr>
            <w:tcW w:w="850" w:type="pct"/>
            <w:tcBorders>
              <w:top w:val="single" w:sz="4" w:space="0" w:color="auto"/>
              <w:left w:val="single" w:sz="4" w:space="0" w:color="auto"/>
              <w:bottom w:val="single" w:sz="4" w:space="0" w:color="auto"/>
              <w:right w:val="single" w:sz="4" w:space="0" w:color="auto"/>
            </w:tcBorders>
            <w:hideMark/>
          </w:tcPr>
          <w:p w:rsidR="00334421" w:rsidRDefault="00334421" w:rsidP="00334421">
            <w:pPr>
              <w:rPr>
                <w:spacing w:val="-1"/>
                <w:sz w:val="22"/>
              </w:rPr>
            </w:pPr>
            <w:r>
              <w:rPr>
                <w:spacing w:val="-1"/>
                <w:sz w:val="22"/>
              </w:rPr>
              <w:t xml:space="preserve">Forværring af </w:t>
            </w:r>
            <w:proofErr w:type="spellStart"/>
            <w:r>
              <w:rPr>
                <w:spacing w:val="-1"/>
                <w:sz w:val="22"/>
              </w:rPr>
              <w:t>lichen</w:t>
            </w:r>
            <w:proofErr w:type="spellEnd"/>
            <w:r>
              <w:rPr>
                <w:spacing w:val="-1"/>
                <w:sz w:val="22"/>
              </w:rPr>
              <w:t xml:space="preserve"> </w:t>
            </w:r>
            <w:proofErr w:type="spellStart"/>
            <w:r>
              <w:rPr>
                <w:spacing w:val="-1"/>
                <w:sz w:val="22"/>
              </w:rPr>
              <w:t>planus</w:t>
            </w:r>
            <w:proofErr w:type="spellEnd"/>
            <w:r>
              <w:rPr>
                <w:spacing w:val="-1"/>
                <w:sz w:val="22"/>
              </w:rPr>
              <w:t xml:space="preserve">, forværring af </w:t>
            </w:r>
            <w:proofErr w:type="spellStart"/>
            <w:r>
              <w:rPr>
                <w:spacing w:val="-1"/>
                <w:sz w:val="22"/>
              </w:rPr>
              <w:t>erythema</w:t>
            </w:r>
            <w:proofErr w:type="spellEnd"/>
            <w:r>
              <w:rPr>
                <w:spacing w:val="-1"/>
                <w:sz w:val="22"/>
              </w:rPr>
              <w:t xml:space="preserve"> </w:t>
            </w:r>
            <w:proofErr w:type="spellStart"/>
            <w:r>
              <w:rPr>
                <w:spacing w:val="-1"/>
                <w:sz w:val="22"/>
              </w:rPr>
              <w:lastRenderedPageBreak/>
              <w:t>nodosum</w:t>
            </w:r>
            <w:proofErr w:type="spellEnd"/>
            <w:r>
              <w:rPr>
                <w:spacing w:val="-1"/>
                <w:sz w:val="22"/>
              </w:rPr>
              <w:t xml:space="preserve">, forværring af systemisk lupus </w:t>
            </w:r>
            <w:proofErr w:type="spellStart"/>
            <w:r>
              <w:rPr>
                <w:spacing w:val="-1"/>
                <w:sz w:val="22"/>
              </w:rPr>
              <w:t>erythematosus</w:t>
            </w:r>
            <w:proofErr w:type="spellEnd"/>
            <w:r>
              <w:rPr>
                <w:spacing w:val="-1"/>
                <w:sz w:val="22"/>
              </w:rPr>
              <w:t xml:space="preserve"> </w:t>
            </w:r>
            <w:proofErr w:type="spellStart"/>
            <w:r>
              <w:rPr>
                <w:szCs w:val="22"/>
              </w:rPr>
              <w:t>disseminatus</w:t>
            </w:r>
            <w:proofErr w:type="spellEnd"/>
            <w:r>
              <w:rPr>
                <w:spacing w:val="-1"/>
                <w:sz w:val="22"/>
              </w:rPr>
              <w:t xml:space="preserve"> (SLE), toksisk </w:t>
            </w:r>
            <w:proofErr w:type="spellStart"/>
            <w:r>
              <w:rPr>
                <w:spacing w:val="-1"/>
                <w:sz w:val="22"/>
              </w:rPr>
              <w:t>epidermal</w:t>
            </w:r>
            <w:proofErr w:type="spellEnd"/>
            <w:r>
              <w:rPr>
                <w:spacing w:val="-1"/>
                <w:sz w:val="22"/>
              </w:rPr>
              <w:t xml:space="preserve"> </w:t>
            </w:r>
            <w:proofErr w:type="spellStart"/>
            <w:r>
              <w:rPr>
                <w:spacing w:val="-1"/>
                <w:sz w:val="22"/>
              </w:rPr>
              <w:t>nekrolyse</w:t>
            </w:r>
            <w:proofErr w:type="spellEnd"/>
            <w:r>
              <w:rPr>
                <w:spacing w:val="-1"/>
                <w:sz w:val="22"/>
              </w:rPr>
              <w:t xml:space="preserve">, </w:t>
            </w:r>
            <w:proofErr w:type="spellStart"/>
            <w:r>
              <w:rPr>
                <w:spacing w:val="-1"/>
                <w:sz w:val="22"/>
              </w:rPr>
              <w:t>erythema</w:t>
            </w:r>
            <w:proofErr w:type="spellEnd"/>
            <w:r>
              <w:rPr>
                <w:spacing w:val="-1"/>
                <w:sz w:val="22"/>
              </w:rPr>
              <w:t xml:space="preserve"> multiforme, Stevens-Johnsons syndrom.</w:t>
            </w:r>
          </w:p>
        </w:tc>
        <w:tc>
          <w:tcPr>
            <w:tcW w:w="418" w:type="pct"/>
            <w:tcBorders>
              <w:top w:val="single" w:sz="4" w:space="0" w:color="auto"/>
              <w:left w:val="single" w:sz="4" w:space="0" w:color="auto"/>
              <w:bottom w:val="single" w:sz="4" w:space="0" w:color="auto"/>
              <w:right w:val="single" w:sz="4" w:space="0" w:color="auto"/>
            </w:tcBorders>
          </w:tcPr>
          <w:p w:rsidR="00334421" w:rsidRPr="00AC30CA" w:rsidRDefault="00334421" w:rsidP="00334421">
            <w:pPr>
              <w:rPr>
                <w:sz w:val="22"/>
                <w:szCs w:val="22"/>
              </w:rPr>
            </w:pPr>
            <w:r w:rsidRPr="00833447">
              <w:rPr>
                <w:sz w:val="22"/>
                <w:szCs w:val="22"/>
              </w:rPr>
              <w:lastRenderedPageBreak/>
              <w:t xml:space="preserve">Lægemiddelreaktion med </w:t>
            </w:r>
            <w:proofErr w:type="spellStart"/>
            <w:r w:rsidRPr="00833447">
              <w:rPr>
                <w:sz w:val="22"/>
                <w:szCs w:val="22"/>
              </w:rPr>
              <w:lastRenderedPageBreak/>
              <w:t>eosinofili</w:t>
            </w:r>
            <w:proofErr w:type="spellEnd"/>
            <w:r w:rsidRPr="00833447">
              <w:rPr>
                <w:sz w:val="22"/>
                <w:szCs w:val="22"/>
              </w:rPr>
              <w:t xml:space="preserve"> og systemiske symptomer (DRESS) (se pkt. 4.4), fikseret lægemiddeludslæt</w:t>
            </w:r>
          </w:p>
        </w:tc>
      </w:tr>
      <w:tr w:rsidR="00334421" w:rsidTr="00B1613B">
        <w:trPr>
          <w:trHeight w:val="806"/>
        </w:trPr>
        <w:tc>
          <w:tcPr>
            <w:tcW w:w="1073" w:type="pct"/>
            <w:tcBorders>
              <w:top w:val="single" w:sz="4" w:space="0" w:color="auto"/>
              <w:left w:val="single" w:sz="4" w:space="0" w:color="auto"/>
              <w:bottom w:val="single" w:sz="4" w:space="0" w:color="auto"/>
              <w:right w:val="single" w:sz="4" w:space="0" w:color="auto"/>
            </w:tcBorders>
            <w:hideMark/>
          </w:tcPr>
          <w:p w:rsidR="00334421" w:rsidRDefault="00334421" w:rsidP="00334421">
            <w:pPr>
              <w:rPr>
                <w:sz w:val="22"/>
              </w:rPr>
            </w:pPr>
            <w:r>
              <w:rPr>
                <w:b/>
                <w:sz w:val="22"/>
              </w:rPr>
              <w:lastRenderedPageBreak/>
              <w:t>Knogler, led, muskler og bindevæv</w:t>
            </w:r>
          </w:p>
        </w:tc>
        <w:tc>
          <w:tcPr>
            <w:tcW w:w="618"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szCs w:val="22"/>
              </w:rPr>
            </w:pPr>
          </w:p>
        </w:tc>
        <w:tc>
          <w:tcPr>
            <w:tcW w:w="691" w:type="pct"/>
            <w:tcBorders>
              <w:top w:val="single" w:sz="4" w:space="0" w:color="auto"/>
              <w:left w:val="single" w:sz="4" w:space="0" w:color="auto"/>
              <w:bottom w:val="single" w:sz="4" w:space="0" w:color="auto"/>
              <w:right w:val="single" w:sz="4" w:space="0" w:color="auto"/>
            </w:tcBorders>
          </w:tcPr>
          <w:p w:rsidR="00334421" w:rsidRDefault="00334421" w:rsidP="00334421">
            <w:pPr>
              <w:spacing w:after="2" w:line="235" w:lineRule="auto"/>
              <w:ind w:left="2"/>
              <w:rPr>
                <w:sz w:val="22"/>
              </w:rPr>
            </w:pPr>
          </w:p>
        </w:tc>
        <w:tc>
          <w:tcPr>
            <w:tcW w:w="609"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rPr>
            </w:pPr>
          </w:p>
        </w:tc>
        <w:tc>
          <w:tcPr>
            <w:tcW w:w="741" w:type="pct"/>
            <w:tcBorders>
              <w:top w:val="single" w:sz="4" w:space="0" w:color="auto"/>
              <w:left w:val="single" w:sz="4" w:space="0" w:color="auto"/>
              <w:bottom w:val="single" w:sz="4" w:space="0" w:color="auto"/>
              <w:right w:val="single" w:sz="4" w:space="0" w:color="auto"/>
            </w:tcBorders>
            <w:hideMark/>
          </w:tcPr>
          <w:p w:rsidR="00334421" w:rsidRDefault="00334421" w:rsidP="00334421">
            <w:pPr>
              <w:rPr>
                <w:sz w:val="22"/>
              </w:rPr>
            </w:pPr>
            <w:r>
              <w:rPr>
                <w:sz w:val="22"/>
                <w:szCs w:val="22"/>
              </w:rPr>
              <w:t>Myalgi, muskelsvag</w:t>
            </w:r>
            <w:r>
              <w:rPr>
                <w:sz w:val="22"/>
                <w:szCs w:val="22"/>
              </w:rPr>
              <w:softHyphen/>
              <w:t>hed</w:t>
            </w:r>
          </w:p>
        </w:tc>
        <w:tc>
          <w:tcPr>
            <w:tcW w:w="850" w:type="pct"/>
            <w:tcBorders>
              <w:top w:val="single" w:sz="4" w:space="0" w:color="auto"/>
              <w:left w:val="single" w:sz="4" w:space="0" w:color="auto"/>
              <w:bottom w:val="single" w:sz="4" w:space="0" w:color="auto"/>
              <w:right w:val="single" w:sz="4" w:space="0" w:color="auto"/>
            </w:tcBorders>
          </w:tcPr>
          <w:p w:rsidR="00334421" w:rsidRDefault="00334421" w:rsidP="00334421">
            <w:pPr>
              <w:rPr>
                <w:spacing w:val="-1"/>
                <w:sz w:val="22"/>
              </w:rPr>
            </w:pPr>
          </w:p>
        </w:tc>
        <w:tc>
          <w:tcPr>
            <w:tcW w:w="418"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szCs w:val="22"/>
              </w:rPr>
            </w:pPr>
          </w:p>
        </w:tc>
      </w:tr>
      <w:tr w:rsidR="00334421" w:rsidTr="00B1613B">
        <w:trPr>
          <w:trHeight w:val="976"/>
        </w:trPr>
        <w:tc>
          <w:tcPr>
            <w:tcW w:w="1073" w:type="pct"/>
            <w:tcBorders>
              <w:top w:val="single" w:sz="4" w:space="0" w:color="auto"/>
              <w:left w:val="single" w:sz="4" w:space="0" w:color="auto"/>
              <w:bottom w:val="single" w:sz="4" w:space="0" w:color="auto"/>
              <w:right w:val="single" w:sz="4" w:space="0" w:color="auto"/>
            </w:tcBorders>
            <w:hideMark/>
          </w:tcPr>
          <w:p w:rsidR="00334421" w:rsidRDefault="00334421" w:rsidP="00334421">
            <w:pPr>
              <w:rPr>
                <w:b/>
                <w:sz w:val="22"/>
              </w:rPr>
            </w:pPr>
            <w:r>
              <w:rPr>
                <w:b/>
                <w:sz w:val="22"/>
              </w:rPr>
              <w:t>Nyrer og urinveje</w:t>
            </w:r>
          </w:p>
        </w:tc>
        <w:tc>
          <w:tcPr>
            <w:tcW w:w="618"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szCs w:val="22"/>
              </w:rPr>
            </w:pPr>
          </w:p>
        </w:tc>
        <w:tc>
          <w:tcPr>
            <w:tcW w:w="691" w:type="pct"/>
            <w:tcBorders>
              <w:top w:val="single" w:sz="4" w:space="0" w:color="auto"/>
              <w:left w:val="single" w:sz="4" w:space="0" w:color="auto"/>
              <w:bottom w:val="single" w:sz="4" w:space="0" w:color="auto"/>
              <w:right w:val="single" w:sz="4" w:space="0" w:color="auto"/>
            </w:tcBorders>
          </w:tcPr>
          <w:p w:rsidR="00334421" w:rsidRDefault="00334421" w:rsidP="00334421">
            <w:pPr>
              <w:spacing w:after="2" w:line="235" w:lineRule="auto"/>
              <w:ind w:left="2"/>
              <w:rPr>
                <w:sz w:val="22"/>
              </w:rPr>
            </w:pPr>
          </w:p>
        </w:tc>
        <w:tc>
          <w:tcPr>
            <w:tcW w:w="609"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rPr>
            </w:pPr>
          </w:p>
        </w:tc>
        <w:tc>
          <w:tcPr>
            <w:tcW w:w="741"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szCs w:val="22"/>
              </w:rPr>
            </w:pPr>
          </w:p>
        </w:tc>
        <w:tc>
          <w:tcPr>
            <w:tcW w:w="850" w:type="pct"/>
            <w:tcBorders>
              <w:top w:val="single" w:sz="4" w:space="0" w:color="auto"/>
              <w:left w:val="single" w:sz="4" w:space="0" w:color="auto"/>
              <w:bottom w:val="single" w:sz="4" w:space="0" w:color="auto"/>
              <w:right w:val="single" w:sz="4" w:space="0" w:color="auto"/>
            </w:tcBorders>
            <w:hideMark/>
          </w:tcPr>
          <w:p w:rsidR="00334421" w:rsidRDefault="00334421" w:rsidP="00334421">
            <w:pPr>
              <w:rPr>
                <w:spacing w:val="-1"/>
                <w:sz w:val="22"/>
              </w:rPr>
            </w:pPr>
            <w:r>
              <w:rPr>
                <w:spacing w:val="-1"/>
                <w:sz w:val="22"/>
              </w:rPr>
              <w:t xml:space="preserve">Hæmaturi, nyresvigt, </w:t>
            </w:r>
            <w:proofErr w:type="spellStart"/>
            <w:r>
              <w:rPr>
                <w:spacing w:val="-1"/>
                <w:sz w:val="22"/>
              </w:rPr>
              <w:t>glomerulonefri</w:t>
            </w:r>
            <w:r>
              <w:rPr>
                <w:spacing w:val="-1"/>
                <w:sz w:val="22"/>
              </w:rPr>
              <w:softHyphen/>
              <w:t>tis</w:t>
            </w:r>
            <w:proofErr w:type="spellEnd"/>
            <w:r>
              <w:rPr>
                <w:spacing w:val="-1"/>
                <w:sz w:val="22"/>
              </w:rPr>
              <w:t xml:space="preserve">, </w:t>
            </w:r>
            <w:proofErr w:type="spellStart"/>
            <w:r>
              <w:rPr>
                <w:spacing w:val="-1"/>
                <w:sz w:val="22"/>
              </w:rPr>
              <w:t>interstitiel</w:t>
            </w:r>
            <w:proofErr w:type="spellEnd"/>
            <w:r>
              <w:rPr>
                <w:spacing w:val="-1"/>
                <w:sz w:val="22"/>
              </w:rPr>
              <w:t xml:space="preserve"> </w:t>
            </w:r>
            <w:proofErr w:type="spellStart"/>
            <w:r>
              <w:rPr>
                <w:spacing w:val="-1"/>
                <w:sz w:val="22"/>
              </w:rPr>
              <w:t>nefritis</w:t>
            </w:r>
            <w:proofErr w:type="spellEnd"/>
            <w:r>
              <w:rPr>
                <w:spacing w:val="-1"/>
                <w:sz w:val="22"/>
              </w:rPr>
              <w:t xml:space="preserve">, </w:t>
            </w:r>
            <w:proofErr w:type="spellStart"/>
            <w:r>
              <w:rPr>
                <w:spacing w:val="-1"/>
                <w:sz w:val="22"/>
              </w:rPr>
              <w:t>nefrotisk</w:t>
            </w:r>
            <w:proofErr w:type="spellEnd"/>
            <w:r>
              <w:rPr>
                <w:spacing w:val="-1"/>
                <w:sz w:val="22"/>
              </w:rPr>
              <w:t xml:space="preserve"> syndrom, papillær nekrose</w:t>
            </w:r>
          </w:p>
        </w:tc>
        <w:tc>
          <w:tcPr>
            <w:tcW w:w="418"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szCs w:val="22"/>
              </w:rPr>
            </w:pPr>
          </w:p>
        </w:tc>
      </w:tr>
      <w:tr w:rsidR="00334421" w:rsidTr="00B1613B">
        <w:trPr>
          <w:trHeight w:val="976"/>
        </w:trPr>
        <w:tc>
          <w:tcPr>
            <w:tcW w:w="1073" w:type="pct"/>
            <w:tcBorders>
              <w:top w:val="single" w:sz="4" w:space="0" w:color="auto"/>
              <w:left w:val="single" w:sz="4" w:space="0" w:color="auto"/>
              <w:bottom w:val="single" w:sz="4" w:space="0" w:color="auto"/>
              <w:right w:val="single" w:sz="4" w:space="0" w:color="auto"/>
            </w:tcBorders>
            <w:hideMark/>
          </w:tcPr>
          <w:p w:rsidR="00334421" w:rsidRDefault="00334421" w:rsidP="00334421">
            <w:pPr>
              <w:rPr>
                <w:b/>
                <w:sz w:val="22"/>
              </w:rPr>
            </w:pPr>
            <w:r>
              <w:rPr>
                <w:b/>
                <w:sz w:val="22"/>
              </w:rPr>
              <w:t>Det reproduktive system og mammae</w:t>
            </w:r>
          </w:p>
        </w:tc>
        <w:tc>
          <w:tcPr>
            <w:tcW w:w="618"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szCs w:val="22"/>
              </w:rPr>
            </w:pPr>
          </w:p>
        </w:tc>
        <w:tc>
          <w:tcPr>
            <w:tcW w:w="691" w:type="pct"/>
            <w:tcBorders>
              <w:top w:val="single" w:sz="4" w:space="0" w:color="auto"/>
              <w:left w:val="single" w:sz="4" w:space="0" w:color="auto"/>
              <w:bottom w:val="single" w:sz="4" w:space="0" w:color="auto"/>
              <w:right w:val="single" w:sz="4" w:space="0" w:color="auto"/>
            </w:tcBorders>
          </w:tcPr>
          <w:p w:rsidR="00334421" w:rsidRDefault="00334421" w:rsidP="00334421">
            <w:pPr>
              <w:spacing w:after="2" w:line="235" w:lineRule="auto"/>
              <w:ind w:left="2"/>
              <w:rPr>
                <w:sz w:val="22"/>
              </w:rPr>
            </w:pPr>
          </w:p>
        </w:tc>
        <w:tc>
          <w:tcPr>
            <w:tcW w:w="609" w:type="pct"/>
            <w:tcBorders>
              <w:top w:val="single" w:sz="4" w:space="0" w:color="auto"/>
              <w:left w:val="single" w:sz="4" w:space="0" w:color="auto"/>
              <w:bottom w:val="single" w:sz="4" w:space="0" w:color="auto"/>
              <w:right w:val="single" w:sz="4" w:space="0" w:color="auto"/>
            </w:tcBorders>
            <w:hideMark/>
          </w:tcPr>
          <w:p w:rsidR="00334421" w:rsidRDefault="00334421" w:rsidP="00334421">
            <w:pPr>
              <w:rPr>
                <w:sz w:val="22"/>
              </w:rPr>
            </w:pPr>
            <w:r>
              <w:rPr>
                <w:sz w:val="22"/>
              </w:rPr>
              <w:t>Menstrua</w:t>
            </w:r>
            <w:r>
              <w:rPr>
                <w:sz w:val="22"/>
              </w:rPr>
              <w:softHyphen/>
              <w:t>tionsfor</w:t>
            </w:r>
            <w:r>
              <w:rPr>
                <w:sz w:val="22"/>
              </w:rPr>
              <w:softHyphen/>
              <w:t>styrrelse</w:t>
            </w:r>
          </w:p>
        </w:tc>
        <w:tc>
          <w:tcPr>
            <w:tcW w:w="741"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szCs w:val="22"/>
              </w:rPr>
            </w:pPr>
          </w:p>
        </w:tc>
        <w:tc>
          <w:tcPr>
            <w:tcW w:w="850" w:type="pct"/>
            <w:tcBorders>
              <w:top w:val="single" w:sz="4" w:space="0" w:color="auto"/>
              <w:left w:val="single" w:sz="4" w:space="0" w:color="auto"/>
              <w:bottom w:val="single" w:sz="4" w:space="0" w:color="auto"/>
              <w:right w:val="single" w:sz="4" w:space="0" w:color="auto"/>
            </w:tcBorders>
          </w:tcPr>
          <w:p w:rsidR="00334421" w:rsidRDefault="00334421" w:rsidP="00334421">
            <w:pPr>
              <w:rPr>
                <w:spacing w:val="-1"/>
                <w:sz w:val="22"/>
              </w:rPr>
            </w:pPr>
          </w:p>
        </w:tc>
        <w:tc>
          <w:tcPr>
            <w:tcW w:w="418"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szCs w:val="22"/>
              </w:rPr>
            </w:pPr>
          </w:p>
        </w:tc>
      </w:tr>
      <w:tr w:rsidR="00334421" w:rsidTr="00B1613B">
        <w:trPr>
          <w:trHeight w:val="976"/>
        </w:trPr>
        <w:tc>
          <w:tcPr>
            <w:tcW w:w="1073" w:type="pct"/>
            <w:tcBorders>
              <w:top w:val="single" w:sz="4" w:space="0" w:color="auto"/>
              <w:left w:val="single" w:sz="4" w:space="0" w:color="auto"/>
              <w:bottom w:val="single" w:sz="4" w:space="0" w:color="auto"/>
              <w:right w:val="single" w:sz="4" w:space="0" w:color="auto"/>
            </w:tcBorders>
            <w:hideMark/>
          </w:tcPr>
          <w:p w:rsidR="00334421" w:rsidRDefault="00334421" w:rsidP="00334421">
            <w:pPr>
              <w:rPr>
                <w:b/>
                <w:sz w:val="22"/>
              </w:rPr>
            </w:pPr>
            <w:r>
              <w:rPr>
                <w:b/>
                <w:sz w:val="22"/>
              </w:rPr>
              <w:t>Almene symptomer og reaktioner på administrationsstedet</w:t>
            </w:r>
          </w:p>
        </w:tc>
        <w:tc>
          <w:tcPr>
            <w:tcW w:w="618"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szCs w:val="22"/>
              </w:rPr>
            </w:pPr>
          </w:p>
        </w:tc>
        <w:tc>
          <w:tcPr>
            <w:tcW w:w="691" w:type="pct"/>
            <w:tcBorders>
              <w:top w:val="single" w:sz="4" w:space="0" w:color="auto"/>
              <w:left w:val="single" w:sz="4" w:space="0" w:color="auto"/>
              <w:bottom w:val="single" w:sz="4" w:space="0" w:color="auto"/>
              <w:right w:val="single" w:sz="4" w:space="0" w:color="auto"/>
            </w:tcBorders>
            <w:hideMark/>
          </w:tcPr>
          <w:p w:rsidR="00334421" w:rsidRDefault="00334421" w:rsidP="00334421">
            <w:pPr>
              <w:spacing w:after="2" w:line="235" w:lineRule="auto"/>
              <w:ind w:left="2"/>
              <w:rPr>
                <w:sz w:val="22"/>
              </w:rPr>
            </w:pPr>
            <w:r>
              <w:rPr>
                <w:sz w:val="22"/>
              </w:rPr>
              <w:t>Træthed</w:t>
            </w:r>
          </w:p>
        </w:tc>
        <w:tc>
          <w:tcPr>
            <w:tcW w:w="609" w:type="pct"/>
            <w:tcBorders>
              <w:top w:val="single" w:sz="4" w:space="0" w:color="auto"/>
              <w:left w:val="single" w:sz="4" w:space="0" w:color="auto"/>
              <w:bottom w:val="single" w:sz="4" w:space="0" w:color="auto"/>
              <w:right w:val="single" w:sz="4" w:space="0" w:color="auto"/>
            </w:tcBorders>
            <w:hideMark/>
          </w:tcPr>
          <w:p w:rsidR="00334421" w:rsidRDefault="00334421" w:rsidP="00334421">
            <w:pPr>
              <w:rPr>
                <w:sz w:val="22"/>
              </w:rPr>
            </w:pPr>
            <w:r>
              <w:rPr>
                <w:sz w:val="22"/>
              </w:rPr>
              <w:t>Tørst</w:t>
            </w:r>
          </w:p>
        </w:tc>
        <w:tc>
          <w:tcPr>
            <w:tcW w:w="741" w:type="pct"/>
            <w:tcBorders>
              <w:top w:val="single" w:sz="4" w:space="0" w:color="auto"/>
              <w:left w:val="single" w:sz="4" w:space="0" w:color="auto"/>
              <w:bottom w:val="single" w:sz="4" w:space="0" w:color="auto"/>
              <w:right w:val="single" w:sz="4" w:space="0" w:color="auto"/>
            </w:tcBorders>
          </w:tcPr>
          <w:p w:rsidR="00334421" w:rsidRDefault="00334421" w:rsidP="00334421">
            <w:pPr>
              <w:rPr>
                <w:sz w:val="22"/>
                <w:szCs w:val="22"/>
              </w:rPr>
            </w:pPr>
          </w:p>
        </w:tc>
        <w:tc>
          <w:tcPr>
            <w:tcW w:w="850" w:type="pct"/>
            <w:tcBorders>
              <w:top w:val="single" w:sz="4" w:space="0" w:color="auto"/>
              <w:left w:val="single" w:sz="4" w:space="0" w:color="auto"/>
              <w:bottom w:val="single" w:sz="4" w:space="0" w:color="auto"/>
              <w:right w:val="single" w:sz="4" w:space="0" w:color="auto"/>
            </w:tcBorders>
          </w:tcPr>
          <w:p w:rsidR="00334421" w:rsidRDefault="00334421" w:rsidP="00334421">
            <w:pPr>
              <w:rPr>
                <w:spacing w:val="-1"/>
                <w:sz w:val="22"/>
              </w:rPr>
            </w:pPr>
          </w:p>
        </w:tc>
        <w:tc>
          <w:tcPr>
            <w:tcW w:w="418" w:type="pct"/>
            <w:tcBorders>
              <w:top w:val="single" w:sz="4" w:space="0" w:color="auto"/>
              <w:left w:val="single" w:sz="4" w:space="0" w:color="auto"/>
              <w:bottom w:val="single" w:sz="4" w:space="0" w:color="auto"/>
              <w:right w:val="single" w:sz="4" w:space="0" w:color="auto"/>
            </w:tcBorders>
            <w:hideMark/>
          </w:tcPr>
          <w:p w:rsidR="00334421" w:rsidRDefault="00334421" w:rsidP="00334421">
            <w:pPr>
              <w:rPr>
                <w:sz w:val="22"/>
                <w:szCs w:val="22"/>
              </w:rPr>
            </w:pPr>
            <w:proofErr w:type="spellStart"/>
            <w:r>
              <w:rPr>
                <w:sz w:val="22"/>
                <w:szCs w:val="22"/>
              </w:rPr>
              <w:t>Pyrek</w:t>
            </w:r>
            <w:r>
              <w:rPr>
                <w:sz w:val="22"/>
                <w:szCs w:val="22"/>
              </w:rPr>
              <w:softHyphen/>
              <w:t>si</w:t>
            </w:r>
            <w:proofErr w:type="spellEnd"/>
          </w:p>
        </w:tc>
      </w:tr>
    </w:tbl>
    <w:p w:rsidR="00650F06" w:rsidRDefault="00650F06" w:rsidP="00650F06">
      <w:pPr>
        <w:pStyle w:val="Sidehoved"/>
        <w:tabs>
          <w:tab w:val="left" w:pos="851"/>
        </w:tabs>
        <w:ind w:left="851"/>
      </w:pPr>
    </w:p>
    <w:p w:rsidR="00650F06" w:rsidRDefault="00650F06" w:rsidP="00650F06">
      <w:pPr>
        <w:pStyle w:val="Sidehoved"/>
        <w:tabs>
          <w:tab w:val="left" w:pos="851"/>
        </w:tabs>
        <w:ind w:left="851"/>
        <w:rPr>
          <w:u w:val="single"/>
        </w:rPr>
      </w:pPr>
      <w:r>
        <w:rPr>
          <w:u w:val="single"/>
        </w:rPr>
        <w:t>Beskrivelse af udvalgte bivirkninger</w:t>
      </w:r>
    </w:p>
    <w:p w:rsidR="00650F06" w:rsidRDefault="00650F06" w:rsidP="00650F06">
      <w:pPr>
        <w:pStyle w:val="Sidehoved"/>
        <w:tabs>
          <w:tab w:val="left" w:pos="851"/>
        </w:tabs>
        <w:ind w:left="851"/>
      </w:pPr>
    </w:p>
    <w:p w:rsidR="00650F06" w:rsidRDefault="00650F06" w:rsidP="00650F06">
      <w:pPr>
        <w:pStyle w:val="Sidehoved"/>
        <w:tabs>
          <w:tab w:val="left" w:pos="851"/>
        </w:tabs>
        <w:ind w:left="851"/>
      </w:pPr>
      <w:r>
        <w:t xml:space="preserve">*) Der er blevet rapporteret ødemdannelse, hypertension og hjertesvigt i forbindelse med behandling med et NSAID. </w:t>
      </w:r>
    </w:p>
    <w:p w:rsidR="00650F06" w:rsidRDefault="00650F06" w:rsidP="00650F06">
      <w:pPr>
        <w:pStyle w:val="Sidehoved"/>
        <w:tabs>
          <w:tab w:val="left" w:pos="851"/>
        </w:tabs>
        <w:ind w:left="851"/>
      </w:pPr>
      <w:r>
        <w:t xml:space="preserve">Oplysninger fra kliniske studier samt epidemiologiske data tyder på, at brug af </w:t>
      </w:r>
      <w:proofErr w:type="spellStart"/>
      <w:r>
        <w:t>naproxen</w:t>
      </w:r>
      <w:proofErr w:type="spellEnd"/>
      <w:r>
        <w:t>, især i høje doser og ved langvarig brug, kan være forbundet med en let øget risiko for trombose i arterierne (f.eks. myokardieinfarkt eller slagtilfælde).</w:t>
      </w:r>
    </w:p>
    <w:p w:rsidR="00650F06" w:rsidRDefault="00650F06" w:rsidP="00650F06">
      <w:pPr>
        <w:pStyle w:val="Sidehoved"/>
        <w:tabs>
          <w:tab w:val="left" w:pos="851"/>
        </w:tabs>
        <w:ind w:left="851"/>
      </w:pPr>
    </w:p>
    <w:p w:rsidR="00650F06" w:rsidRDefault="00650F06" w:rsidP="00650F06">
      <w:pPr>
        <w:pStyle w:val="Sidehoved"/>
        <w:tabs>
          <w:tab w:val="left" w:pos="851"/>
        </w:tabs>
        <w:ind w:left="851"/>
      </w:pPr>
      <w:r>
        <w:t xml:space="preserve">**) Mave-tarm-kanalen: De oftest observerede bivirkninger er relateret til mave-tarm-kanalen. Sår, perforationer og </w:t>
      </w:r>
      <w:proofErr w:type="spellStart"/>
      <w:r>
        <w:t>gastrointestinale</w:t>
      </w:r>
      <w:proofErr w:type="spellEnd"/>
      <w:r>
        <w:t xml:space="preserve"> blødninger kan forekomme. Disse kan nogle gange være livstruende, især for ældre. Der er blevet rapporteret om kvalme, opkastning, diarré, </w:t>
      </w:r>
      <w:proofErr w:type="spellStart"/>
      <w:r>
        <w:t>flatulens</w:t>
      </w:r>
      <w:proofErr w:type="spellEnd"/>
      <w:r>
        <w:t xml:space="preserve">, forstoppelse, halsbrand, mavesmerter, </w:t>
      </w:r>
      <w:proofErr w:type="spellStart"/>
      <w:r>
        <w:t>melæna</w:t>
      </w:r>
      <w:proofErr w:type="spellEnd"/>
      <w:r>
        <w:t xml:space="preserve">, </w:t>
      </w:r>
      <w:proofErr w:type="spellStart"/>
      <w:r>
        <w:t>hæmatemese</w:t>
      </w:r>
      <w:proofErr w:type="spellEnd"/>
      <w:r>
        <w:t xml:space="preserve">, ulcerøs </w:t>
      </w:r>
      <w:proofErr w:type="spellStart"/>
      <w:r>
        <w:t>stomatitis</w:t>
      </w:r>
      <w:proofErr w:type="spellEnd"/>
      <w:r>
        <w:t xml:space="preserve"> og forværring af colitis eller </w:t>
      </w:r>
      <w:proofErr w:type="spellStart"/>
      <w:r>
        <w:t>Cro</w:t>
      </w:r>
      <w:r w:rsidR="00AE5694">
        <w:t>h</w:t>
      </w:r>
      <w:r>
        <w:t>ns</w:t>
      </w:r>
      <w:proofErr w:type="spellEnd"/>
      <w:r>
        <w:t xml:space="preserve"> sygdom efter brug af </w:t>
      </w:r>
      <w:proofErr w:type="spellStart"/>
      <w:r>
        <w:t>naproxen</w:t>
      </w:r>
      <w:proofErr w:type="spellEnd"/>
      <w:r>
        <w:t>. Gastritis er blevet observeret mere sjældent.</w:t>
      </w:r>
    </w:p>
    <w:p w:rsidR="00650F06" w:rsidRDefault="00650F06" w:rsidP="00650F06">
      <w:pPr>
        <w:pStyle w:val="Sidehoved"/>
        <w:tabs>
          <w:tab w:val="left" w:pos="851"/>
        </w:tabs>
        <w:ind w:left="851"/>
      </w:pPr>
    </w:p>
    <w:p w:rsidR="00650F06" w:rsidRDefault="00650F06" w:rsidP="00650F06">
      <w:pPr>
        <w:pStyle w:val="Sidehoved"/>
        <w:tabs>
          <w:tab w:val="left" w:pos="851"/>
        </w:tabs>
        <w:ind w:left="851"/>
        <w:rPr>
          <w:u w:val="single"/>
        </w:rPr>
      </w:pPr>
      <w:r>
        <w:rPr>
          <w:u w:val="single"/>
        </w:rPr>
        <w:t>Indberetning af formodede bivirkninger</w:t>
      </w:r>
    </w:p>
    <w:p w:rsidR="00650F06" w:rsidRDefault="00650F06" w:rsidP="00650F06">
      <w:pPr>
        <w:pStyle w:val="Sidehoved"/>
        <w:tabs>
          <w:tab w:val="left" w:pos="851"/>
        </w:tabs>
        <w:ind w:left="851"/>
      </w:pPr>
      <w:r>
        <w:lastRenderedPageBreak/>
        <w:t>Når lægemidlet er godkendt, er indberetning af formodede bivirkninger vigtig. Det muliggør løbende overvågning af benefit/</w:t>
      </w:r>
      <w:proofErr w:type="spellStart"/>
      <w:r>
        <w:t>risk</w:t>
      </w:r>
      <w:proofErr w:type="spellEnd"/>
      <w:r>
        <w:t>-forholdet for lægemidlet. Sundhedspersoner anmodes om at indberette alle formodede bivirkninger via:</w:t>
      </w:r>
    </w:p>
    <w:p w:rsidR="00650F06" w:rsidRDefault="00650F06" w:rsidP="00650F06">
      <w:pPr>
        <w:pStyle w:val="Sidehoved"/>
        <w:tabs>
          <w:tab w:val="left" w:pos="851"/>
        </w:tabs>
        <w:ind w:left="851"/>
      </w:pPr>
    </w:p>
    <w:p w:rsidR="00E54019" w:rsidRDefault="00E54019" w:rsidP="00650F06">
      <w:pPr>
        <w:pStyle w:val="Sidehoved"/>
        <w:tabs>
          <w:tab w:val="left" w:pos="851"/>
        </w:tabs>
        <w:ind w:left="851"/>
      </w:pPr>
    </w:p>
    <w:p w:rsidR="00650F06" w:rsidRDefault="00650F06" w:rsidP="00650F06">
      <w:pPr>
        <w:pStyle w:val="Sidehoved"/>
        <w:tabs>
          <w:tab w:val="left" w:pos="851"/>
        </w:tabs>
        <w:ind w:left="851"/>
      </w:pPr>
      <w:r>
        <w:t>Lægemiddelstyrelsen</w:t>
      </w:r>
    </w:p>
    <w:p w:rsidR="00650F06" w:rsidRDefault="00650F06" w:rsidP="00650F06">
      <w:pPr>
        <w:pStyle w:val="Sidehoved"/>
        <w:tabs>
          <w:tab w:val="left" w:pos="851"/>
        </w:tabs>
        <w:ind w:left="851"/>
      </w:pPr>
      <w:r>
        <w:t>Axel Heides Gade 1</w:t>
      </w:r>
    </w:p>
    <w:p w:rsidR="00650F06" w:rsidRDefault="00650F06" w:rsidP="00650F06">
      <w:pPr>
        <w:pStyle w:val="Sidehoved"/>
        <w:tabs>
          <w:tab w:val="left" w:pos="851"/>
        </w:tabs>
        <w:ind w:left="851"/>
      </w:pPr>
      <w:r>
        <w:t>DK-2300 København S</w:t>
      </w:r>
    </w:p>
    <w:p w:rsidR="00EC54A3" w:rsidRPr="00E54019" w:rsidRDefault="00650F06" w:rsidP="00E54019">
      <w:pPr>
        <w:pStyle w:val="Sidehoved"/>
        <w:tabs>
          <w:tab w:val="left" w:pos="851"/>
        </w:tabs>
        <w:ind w:left="851"/>
      </w:pPr>
      <w:r>
        <w:t xml:space="preserve">Websted: </w:t>
      </w:r>
      <w:hyperlink r:id="rId8" w:history="1">
        <w:r w:rsidR="00E54019" w:rsidRPr="00057A55">
          <w:rPr>
            <w:rStyle w:val="Hyperlink"/>
          </w:rPr>
          <w:t>www.meldenbivirkning.dk</w:t>
        </w:r>
      </w:hyperlink>
      <w:r w:rsidR="00E54019">
        <w:rPr>
          <w:szCs w:val="24"/>
        </w:rPr>
        <w:tab/>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EC54A3" w:rsidRPr="00EC54A3" w:rsidRDefault="00EC54A3" w:rsidP="00EC54A3">
      <w:pPr>
        <w:tabs>
          <w:tab w:val="left" w:pos="851"/>
        </w:tabs>
        <w:ind w:left="851"/>
        <w:rPr>
          <w:sz w:val="24"/>
          <w:szCs w:val="24"/>
        </w:rPr>
      </w:pPr>
    </w:p>
    <w:p w:rsidR="00EC54A3" w:rsidRPr="00EC54A3" w:rsidRDefault="00EC54A3" w:rsidP="00EC54A3">
      <w:pPr>
        <w:tabs>
          <w:tab w:val="left" w:pos="851"/>
        </w:tabs>
        <w:ind w:left="851"/>
        <w:rPr>
          <w:sz w:val="24"/>
          <w:szCs w:val="24"/>
          <w:u w:val="single"/>
        </w:rPr>
      </w:pPr>
      <w:r w:rsidRPr="00EC54A3">
        <w:rPr>
          <w:sz w:val="24"/>
          <w:szCs w:val="24"/>
          <w:u w:val="single"/>
        </w:rPr>
        <w:t>Symptomer</w:t>
      </w:r>
    </w:p>
    <w:p w:rsidR="00EC54A3" w:rsidRPr="00EC54A3" w:rsidRDefault="00EC54A3" w:rsidP="00EC54A3">
      <w:pPr>
        <w:tabs>
          <w:tab w:val="left" w:pos="851"/>
        </w:tabs>
        <w:ind w:left="851"/>
        <w:rPr>
          <w:sz w:val="24"/>
          <w:szCs w:val="24"/>
        </w:rPr>
      </w:pPr>
    </w:p>
    <w:p w:rsidR="00EC54A3" w:rsidRPr="00EC54A3" w:rsidRDefault="00EC54A3" w:rsidP="00EC54A3">
      <w:pPr>
        <w:tabs>
          <w:tab w:val="left" w:pos="851"/>
        </w:tabs>
        <w:ind w:left="851"/>
        <w:rPr>
          <w:sz w:val="24"/>
          <w:szCs w:val="24"/>
          <w:lang w:val="nb-NO"/>
        </w:rPr>
      </w:pPr>
      <w:r w:rsidRPr="00EC54A3">
        <w:rPr>
          <w:i/>
          <w:iCs/>
          <w:sz w:val="24"/>
          <w:szCs w:val="24"/>
          <w:lang w:val="nb-NO"/>
        </w:rPr>
        <w:t xml:space="preserve">Symptomer </w:t>
      </w:r>
      <w:r w:rsidRPr="00EC54A3">
        <w:rPr>
          <w:i/>
          <w:iCs/>
          <w:sz w:val="24"/>
          <w:szCs w:val="24"/>
        </w:rPr>
        <w:t>relateret</w:t>
      </w:r>
      <w:r w:rsidRPr="00EC54A3">
        <w:rPr>
          <w:i/>
          <w:iCs/>
          <w:sz w:val="24"/>
          <w:szCs w:val="24"/>
          <w:lang w:val="nb-NO"/>
        </w:rPr>
        <w:t xml:space="preserve"> til naproxen-overdosering</w:t>
      </w:r>
    </w:p>
    <w:p w:rsidR="00EC54A3" w:rsidRPr="00EC54A3" w:rsidRDefault="00EC54A3" w:rsidP="00EC54A3">
      <w:pPr>
        <w:tabs>
          <w:tab w:val="left" w:pos="851"/>
        </w:tabs>
        <w:ind w:left="851"/>
        <w:rPr>
          <w:sz w:val="24"/>
          <w:szCs w:val="24"/>
        </w:rPr>
      </w:pPr>
      <w:r w:rsidRPr="00EC54A3">
        <w:rPr>
          <w:sz w:val="24"/>
          <w:szCs w:val="24"/>
        </w:rPr>
        <w:t xml:space="preserve">Symptomer på overdosering kan bestå af kvalme, opkastning, smerter i maveregionen, døsighed, svimmelhed, desorientering, diarré, maveblødninger, kramper (sjældent), forbigående ændringer i leverfunktioner, </w:t>
      </w:r>
      <w:proofErr w:type="spellStart"/>
      <w:r w:rsidRPr="00EC54A3">
        <w:rPr>
          <w:sz w:val="24"/>
          <w:szCs w:val="24"/>
        </w:rPr>
        <w:t>hypotrombinæmi</w:t>
      </w:r>
      <w:proofErr w:type="spellEnd"/>
      <w:r w:rsidRPr="00EC54A3">
        <w:rPr>
          <w:sz w:val="24"/>
          <w:szCs w:val="24"/>
        </w:rPr>
        <w:t xml:space="preserve">, nyresvigt, apnø og metabolisk </w:t>
      </w:r>
      <w:proofErr w:type="spellStart"/>
      <w:r w:rsidRPr="00EC54A3">
        <w:rPr>
          <w:sz w:val="24"/>
          <w:szCs w:val="24"/>
        </w:rPr>
        <w:t>acidose</w:t>
      </w:r>
      <w:proofErr w:type="spellEnd"/>
      <w:r w:rsidRPr="00EC54A3">
        <w:rPr>
          <w:sz w:val="24"/>
          <w:szCs w:val="24"/>
        </w:rPr>
        <w:t>.</w:t>
      </w:r>
    </w:p>
    <w:p w:rsidR="00EC54A3" w:rsidRPr="00EC54A3" w:rsidRDefault="00EC54A3" w:rsidP="00EC54A3">
      <w:pPr>
        <w:tabs>
          <w:tab w:val="left" w:pos="851"/>
        </w:tabs>
        <w:ind w:left="851"/>
        <w:rPr>
          <w:sz w:val="24"/>
          <w:szCs w:val="24"/>
        </w:rPr>
      </w:pPr>
    </w:p>
    <w:p w:rsidR="00EC54A3" w:rsidRPr="00EC54A3" w:rsidRDefault="00EC54A3" w:rsidP="00EC54A3">
      <w:pPr>
        <w:tabs>
          <w:tab w:val="left" w:pos="851"/>
        </w:tabs>
        <w:ind w:left="851"/>
        <w:rPr>
          <w:sz w:val="24"/>
          <w:szCs w:val="24"/>
          <w:lang w:val="nb-NO"/>
        </w:rPr>
      </w:pPr>
      <w:r w:rsidRPr="00EC54A3">
        <w:rPr>
          <w:i/>
          <w:iCs/>
          <w:sz w:val="24"/>
          <w:szCs w:val="24"/>
          <w:lang w:val="nb-NO"/>
        </w:rPr>
        <w:t xml:space="preserve">Symptomer </w:t>
      </w:r>
      <w:r w:rsidRPr="00EC54A3">
        <w:rPr>
          <w:i/>
          <w:iCs/>
          <w:sz w:val="24"/>
          <w:szCs w:val="24"/>
        </w:rPr>
        <w:t>relateret</w:t>
      </w:r>
      <w:r w:rsidRPr="00EC54A3">
        <w:rPr>
          <w:i/>
          <w:iCs/>
          <w:sz w:val="24"/>
          <w:szCs w:val="24"/>
          <w:lang w:val="nb-NO"/>
        </w:rPr>
        <w:t xml:space="preserve"> til sumatriptan-overdosering</w:t>
      </w:r>
    </w:p>
    <w:p w:rsidR="00EC54A3" w:rsidRPr="00EC54A3" w:rsidRDefault="00EC54A3" w:rsidP="00EC54A3">
      <w:pPr>
        <w:tabs>
          <w:tab w:val="left" w:pos="851"/>
        </w:tabs>
        <w:ind w:left="851"/>
        <w:rPr>
          <w:sz w:val="24"/>
          <w:szCs w:val="24"/>
        </w:rPr>
      </w:pPr>
      <w:r w:rsidRPr="00EC54A3">
        <w:rPr>
          <w:sz w:val="24"/>
          <w:szCs w:val="24"/>
        </w:rPr>
        <w:t>Doser på over 400 mg oralt og 16 mg subkutant var ikke forbundet med andre bivirkninger end dem, der er nævnt i produktresuméets pkt. 4.8.</w:t>
      </w:r>
    </w:p>
    <w:p w:rsidR="00EC54A3" w:rsidRPr="00EC54A3" w:rsidRDefault="00EC54A3" w:rsidP="00EC54A3">
      <w:pPr>
        <w:tabs>
          <w:tab w:val="left" w:pos="851"/>
        </w:tabs>
        <w:ind w:left="851"/>
        <w:rPr>
          <w:sz w:val="24"/>
          <w:szCs w:val="24"/>
        </w:rPr>
      </w:pPr>
    </w:p>
    <w:p w:rsidR="00EC54A3" w:rsidRPr="00EC54A3" w:rsidRDefault="00EC54A3" w:rsidP="00EC54A3">
      <w:pPr>
        <w:tabs>
          <w:tab w:val="left" w:pos="851"/>
        </w:tabs>
        <w:ind w:left="851"/>
        <w:rPr>
          <w:sz w:val="24"/>
          <w:szCs w:val="24"/>
        </w:rPr>
      </w:pPr>
      <w:r w:rsidRPr="00EC54A3">
        <w:rPr>
          <w:sz w:val="24"/>
          <w:szCs w:val="24"/>
          <w:u w:val="single"/>
        </w:rPr>
        <w:t>Behandling</w:t>
      </w:r>
    </w:p>
    <w:p w:rsidR="00EC54A3" w:rsidRPr="00EC54A3" w:rsidRDefault="00EC54A3" w:rsidP="00EC54A3">
      <w:pPr>
        <w:tabs>
          <w:tab w:val="left" w:pos="851"/>
        </w:tabs>
        <w:ind w:left="851"/>
        <w:rPr>
          <w:sz w:val="24"/>
          <w:szCs w:val="24"/>
        </w:rPr>
      </w:pPr>
    </w:p>
    <w:p w:rsidR="00EC54A3" w:rsidRPr="00EC54A3" w:rsidRDefault="00EC54A3" w:rsidP="00EC54A3">
      <w:pPr>
        <w:tabs>
          <w:tab w:val="left" w:pos="851"/>
        </w:tabs>
        <w:ind w:left="851"/>
        <w:rPr>
          <w:sz w:val="24"/>
          <w:szCs w:val="24"/>
        </w:rPr>
      </w:pPr>
      <w:r w:rsidRPr="00EC54A3">
        <w:rPr>
          <w:i/>
          <w:iCs/>
          <w:sz w:val="24"/>
          <w:szCs w:val="24"/>
        </w:rPr>
        <w:t xml:space="preserve">Behandling relateret til </w:t>
      </w:r>
      <w:proofErr w:type="spellStart"/>
      <w:r w:rsidRPr="00EC54A3">
        <w:rPr>
          <w:i/>
          <w:iCs/>
          <w:sz w:val="24"/>
          <w:szCs w:val="24"/>
        </w:rPr>
        <w:t>naproxen</w:t>
      </w:r>
      <w:proofErr w:type="spellEnd"/>
      <w:r w:rsidRPr="00EC54A3">
        <w:rPr>
          <w:i/>
          <w:iCs/>
          <w:sz w:val="24"/>
          <w:szCs w:val="24"/>
        </w:rPr>
        <w:t>-overdosering</w:t>
      </w:r>
    </w:p>
    <w:p w:rsidR="00EC54A3" w:rsidRPr="00EC54A3" w:rsidRDefault="00EC54A3" w:rsidP="00EC54A3">
      <w:pPr>
        <w:tabs>
          <w:tab w:val="left" w:pos="851"/>
        </w:tabs>
        <w:ind w:left="851"/>
        <w:rPr>
          <w:sz w:val="24"/>
          <w:szCs w:val="24"/>
        </w:rPr>
      </w:pPr>
      <w:r w:rsidRPr="00EC54A3">
        <w:rPr>
          <w:sz w:val="24"/>
          <w:szCs w:val="24"/>
        </w:rPr>
        <w:t xml:space="preserve">Patienter bør behandles symptomatisk efter behov. Aktivt kul bør administreres til patienten inden for en time for at hæmme absorptionen og for at afbryde den </w:t>
      </w:r>
      <w:proofErr w:type="spellStart"/>
      <w:r w:rsidRPr="00EC54A3">
        <w:rPr>
          <w:sz w:val="24"/>
          <w:szCs w:val="24"/>
        </w:rPr>
        <w:t>enterohepatiske</w:t>
      </w:r>
      <w:proofErr w:type="spellEnd"/>
      <w:r w:rsidRPr="00EC54A3">
        <w:rPr>
          <w:sz w:val="24"/>
          <w:szCs w:val="24"/>
        </w:rPr>
        <w:t xml:space="preserve"> cirkulation.</w:t>
      </w:r>
    </w:p>
    <w:p w:rsidR="00EC54A3" w:rsidRPr="00EC54A3" w:rsidRDefault="00EC54A3" w:rsidP="00EC54A3">
      <w:pPr>
        <w:tabs>
          <w:tab w:val="left" w:pos="851"/>
        </w:tabs>
        <w:ind w:left="851"/>
        <w:rPr>
          <w:sz w:val="24"/>
          <w:szCs w:val="24"/>
        </w:rPr>
      </w:pPr>
    </w:p>
    <w:p w:rsidR="00EC54A3" w:rsidRPr="00EC54A3" w:rsidRDefault="00EC54A3" w:rsidP="00EC54A3">
      <w:pPr>
        <w:tabs>
          <w:tab w:val="left" w:pos="851"/>
        </w:tabs>
        <w:ind w:left="851"/>
        <w:rPr>
          <w:sz w:val="24"/>
          <w:szCs w:val="24"/>
        </w:rPr>
      </w:pPr>
      <w:r w:rsidRPr="00EC54A3">
        <w:rPr>
          <w:sz w:val="24"/>
          <w:szCs w:val="24"/>
        </w:rPr>
        <w:t xml:space="preserve">Hæmodialyse nedsætter ikke plasmakoncentrationen af </w:t>
      </w:r>
      <w:proofErr w:type="spellStart"/>
      <w:r w:rsidRPr="00EC54A3">
        <w:rPr>
          <w:sz w:val="24"/>
          <w:szCs w:val="24"/>
        </w:rPr>
        <w:t>naproxen</w:t>
      </w:r>
      <w:proofErr w:type="spellEnd"/>
      <w:r w:rsidRPr="00EC54A3">
        <w:rPr>
          <w:sz w:val="24"/>
          <w:szCs w:val="24"/>
        </w:rPr>
        <w:t xml:space="preserve"> på grund af den høje grad af proteinbinding. Hæmodialyse kan dog stadig være passende hos patienter med nyresvigt, som har taget </w:t>
      </w:r>
      <w:proofErr w:type="spellStart"/>
      <w:r w:rsidRPr="00EC54A3">
        <w:rPr>
          <w:sz w:val="24"/>
          <w:szCs w:val="24"/>
        </w:rPr>
        <w:t>naproxen</w:t>
      </w:r>
      <w:proofErr w:type="spellEnd"/>
      <w:r w:rsidRPr="00EC54A3">
        <w:rPr>
          <w:sz w:val="24"/>
          <w:szCs w:val="24"/>
        </w:rPr>
        <w:t xml:space="preserve">. Hæmodialyse kan fremskynde elimineringen af hovedmetabolitten af </w:t>
      </w:r>
      <w:proofErr w:type="spellStart"/>
      <w:r w:rsidRPr="00EC54A3">
        <w:rPr>
          <w:sz w:val="24"/>
          <w:szCs w:val="24"/>
        </w:rPr>
        <w:t>naproxen</w:t>
      </w:r>
      <w:proofErr w:type="spellEnd"/>
      <w:r w:rsidRPr="00EC54A3">
        <w:rPr>
          <w:sz w:val="24"/>
          <w:szCs w:val="24"/>
        </w:rPr>
        <w:t>, 6-O-demethylnaproxen.</w:t>
      </w:r>
    </w:p>
    <w:p w:rsidR="00EC54A3" w:rsidRPr="00EC54A3" w:rsidRDefault="00EC54A3" w:rsidP="00EC54A3">
      <w:pPr>
        <w:tabs>
          <w:tab w:val="left" w:pos="851"/>
        </w:tabs>
        <w:ind w:left="851"/>
        <w:rPr>
          <w:sz w:val="24"/>
          <w:szCs w:val="24"/>
        </w:rPr>
      </w:pPr>
    </w:p>
    <w:p w:rsidR="00EC54A3" w:rsidRPr="00EC54A3" w:rsidRDefault="00EC54A3" w:rsidP="00EC54A3">
      <w:pPr>
        <w:tabs>
          <w:tab w:val="left" w:pos="851"/>
        </w:tabs>
        <w:ind w:left="851"/>
        <w:rPr>
          <w:sz w:val="24"/>
          <w:szCs w:val="24"/>
        </w:rPr>
      </w:pPr>
      <w:r w:rsidRPr="00EC54A3">
        <w:rPr>
          <w:sz w:val="24"/>
          <w:szCs w:val="24"/>
        </w:rPr>
        <w:t>Administration af en H</w:t>
      </w:r>
      <w:r w:rsidRPr="00EC54A3">
        <w:rPr>
          <w:sz w:val="24"/>
          <w:szCs w:val="24"/>
          <w:vertAlign w:val="subscript"/>
        </w:rPr>
        <w:t>2</w:t>
      </w:r>
      <w:r w:rsidRPr="00EC54A3">
        <w:rPr>
          <w:sz w:val="24"/>
          <w:szCs w:val="24"/>
        </w:rPr>
        <w:t xml:space="preserve">-blokker eller </w:t>
      </w:r>
      <w:proofErr w:type="spellStart"/>
      <w:r w:rsidRPr="00EC54A3">
        <w:rPr>
          <w:sz w:val="24"/>
          <w:szCs w:val="24"/>
        </w:rPr>
        <w:t>protonpumpehæmmere</w:t>
      </w:r>
      <w:proofErr w:type="spellEnd"/>
      <w:r w:rsidRPr="00EC54A3">
        <w:rPr>
          <w:sz w:val="24"/>
          <w:szCs w:val="24"/>
        </w:rPr>
        <w:t xml:space="preserve"> bør overvejes for at forhindre </w:t>
      </w:r>
      <w:proofErr w:type="spellStart"/>
      <w:r w:rsidRPr="00EC54A3">
        <w:rPr>
          <w:sz w:val="24"/>
          <w:szCs w:val="24"/>
        </w:rPr>
        <w:t>gastrointestinale</w:t>
      </w:r>
      <w:proofErr w:type="spellEnd"/>
      <w:r w:rsidRPr="00EC54A3">
        <w:rPr>
          <w:sz w:val="24"/>
          <w:szCs w:val="24"/>
        </w:rPr>
        <w:t xml:space="preserve"> komplikationer. Der skal sikres en god urinproduktion. Nyre- og leverfunktion bør overvåges nøje. Andre foranstaltninger kan være indiceret af patientens kliniske tilstand.</w:t>
      </w:r>
    </w:p>
    <w:p w:rsidR="00EC54A3" w:rsidRPr="00EC54A3" w:rsidRDefault="00EC54A3" w:rsidP="00EC54A3">
      <w:pPr>
        <w:tabs>
          <w:tab w:val="left" w:pos="851"/>
        </w:tabs>
        <w:ind w:left="851"/>
        <w:rPr>
          <w:sz w:val="24"/>
          <w:szCs w:val="24"/>
        </w:rPr>
      </w:pPr>
    </w:p>
    <w:p w:rsidR="00EC54A3" w:rsidRPr="00EC54A3" w:rsidRDefault="00EC54A3" w:rsidP="00EC54A3">
      <w:pPr>
        <w:tabs>
          <w:tab w:val="left" w:pos="851"/>
        </w:tabs>
        <w:ind w:left="851"/>
        <w:rPr>
          <w:sz w:val="24"/>
          <w:szCs w:val="24"/>
        </w:rPr>
      </w:pPr>
      <w:r w:rsidRPr="00EC54A3">
        <w:rPr>
          <w:i/>
          <w:iCs/>
          <w:sz w:val="24"/>
          <w:szCs w:val="24"/>
        </w:rPr>
        <w:t xml:space="preserve">Behandling relateret til </w:t>
      </w:r>
      <w:proofErr w:type="spellStart"/>
      <w:r w:rsidRPr="00EC54A3">
        <w:rPr>
          <w:i/>
          <w:iCs/>
          <w:sz w:val="24"/>
          <w:szCs w:val="24"/>
        </w:rPr>
        <w:t>sumatriptan</w:t>
      </w:r>
      <w:proofErr w:type="spellEnd"/>
      <w:r w:rsidRPr="00EC54A3">
        <w:rPr>
          <w:i/>
          <w:iCs/>
          <w:sz w:val="24"/>
          <w:szCs w:val="24"/>
        </w:rPr>
        <w:t>-overdosering</w:t>
      </w:r>
    </w:p>
    <w:p w:rsidR="00EC54A3" w:rsidRPr="00EC54A3" w:rsidRDefault="00EC54A3" w:rsidP="00EC54A3">
      <w:pPr>
        <w:tabs>
          <w:tab w:val="left" w:pos="851"/>
        </w:tabs>
        <w:ind w:left="851"/>
        <w:rPr>
          <w:sz w:val="24"/>
          <w:szCs w:val="24"/>
        </w:rPr>
      </w:pPr>
      <w:r w:rsidRPr="00EC54A3">
        <w:rPr>
          <w:sz w:val="24"/>
          <w:szCs w:val="24"/>
        </w:rPr>
        <w:t xml:space="preserve">Hvis der opstår overdosering, skal patienten overvåges i mindst 10 timer, og understøttende behandling anvendes efter behov. Det er ukendt, hvilken effekt hæmodialyse eller </w:t>
      </w:r>
      <w:proofErr w:type="spellStart"/>
      <w:r w:rsidRPr="00EC54A3">
        <w:rPr>
          <w:sz w:val="24"/>
          <w:szCs w:val="24"/>
        </w:rPr>
        <w:t>peritonealdialyse</w:t>
      </w:r>
      <w:proofErr w:type="spellEnd"/>
      <w:r w:rsidRPr="00EC54A3">
        <w:rPr>
          <w:sz w:val="24"/>
          <w:szCs w:val="24"/>
        </w:rPr>
        <w:t xml:space="preserve"> har på plasmakoncentrationerne af </w:t>
      </w:r>
      <w:proofErr w:type="spellStart"/>
      <w:r w:rsidRPr="00EC54A3">
        <w:rPr>
          <w:sz w:val="24"/>
          <w:szCs w:val="24"/>
        </w:rPr>
        <w:t>sumatriptan</w:t>
      </w:r>
      <w:proofErr w:type="spellEnd"/>
      <w:r w:rsidRPr="00EC54A3">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0361F"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Default="009260DE" w:rsidP="00E54019">
      <w:pPr>
        <w:tabs>
          <w:tab w:val="left" w:pos="851"/>
        </w:tabs>
        <w:ind w:left="851" w:hanging="851"/>
        <w:rPr>
          <w:sz w:val="24"/>
          <w:szCs w:val="24"/>
        </w:rPr>
      </w:pPr>
      <w:r w:rsidRPr="00C84483">
        <w:rPr>
          <w:b/>
          <w:sz w:val="24"/>
          <w:szCs w:val="24"/>
        </w:rPr>
        <w:t>5.</w:t>
      </w:r>
      <w:r w:rsidRPr="00C84483">
        <w:rPr>
          <w:b/>
          <w:sz w:val="24"/>
          <w:szCs w:val="24"/>
        </w:rPr>
        <w:tab/>
        <w:t>FARMAKOLOGISKE EGENSKABER</w:t>
      </w:r>
    </w:p>
    <w:p w:rsidR="00E54019" w:rsidRPr="00E54019" w:rsidRDefault="00E54019" w:rsidP="00E54019">
      <w:pPr>
        <w:tabs>
          <w:tab w:val="left" w:pos="851"/>
        </w:tabs>
        <w:ind w:left="851" w:hanging="851"/>
        <w:rPr>
          <w:b/>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34421" w:rsidRDefault="00334421" w:rsidP="00334421">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9B63E9">
        <w:rPr>
          <w:sz w:val="24"/>
          <w:szCs w:val="24"/>
        </w:rPr>
        <w:t>Midler mod migræne</w:t>
      </w:r>
      <w:r>
        <w:rPr>
          <w:sz w:val="24"/>
          <w:szCs w:val="24"/>
        </w:rPr>
        <w:t>, s</w:t>
      </w:r>
      <w:r w:rsidRPr="00CB35BE">
        <w:rPr>
          <w:sz w:val="24"/>
          <w:szCs w:val="24"/>
        </w:rPr>
        <w:t>elektive 5</w:t>
      </w:r>
      <w:r>
        <w:rPr>
          <w:sz w:val="24"/>
          <w:szCs w:val="24"/>
        </w:rPr>
        <w:t>HT</w:t>
      </w:r>
      <w:r w:rsidRPr="00F83D59">
        <w:rPr>
          <w:sz w:val="24"/>
          <w:szCs w:val="24"/>
          <w:vertAlign w:val="subscript"/>
        </w:rPr>
        <w:t>1</w:t>
      </w:r>
      <w:r w:rsidRPr="00CB35BE">
        <w:rPr>
          <w:sz w:val="24"/>
          <w:szCs w:val="24"/>
        </w:rPr>
        <w:t>-receptoragonister</w:t>
      </w:r>
      <w:r w:rsidRPr="00F83D59">
        <w:rPr>
          <w:sz w:val="24"/>
          <w:szCs w:val="24"/>
        </w:rPr>
        <w:t>.</w:t>
      </w:r>
      <w:r w:rsidRPr="00356150">
        <w:rPr>
          <w:sz w:val="24"/>
          <w:szCs w:val="24"/>
        </w:rPr>
        <w:t xml:space="preserve"> </w:t>
      </w:r>
      <w:r w:rsidRPr="00A7566D">
        <w:rPr>
          <w:sz w:val="24"/>
          <w:szCs w:val="24"/>
        </w:rPr>
        <w:t>ATC-kode: N 02 CC</w:t>
      </w:r>
      <w:r>
        <w:rPr>
          <w:sz w:val="24"/>
          <w:szCs w:val="24"/>
        </w:rPr>
        <w:t xml:space="preserve"> 51</w:t>
      </w:r>
      <w:r w:rsidRPr="00A7566D">
        <w:rPr>
          <w:sz w:val="24"/>
          <w:szCs w:val="24"/>
        </w:rPr>
        <w:t>.</w:t>
      </w:r>
    </w:p>
    <w:p w:rsidR="00E54019" w:rsidRPr="00BB1372" w:rsidRDefault="00E54019" w:rsidP="00BB1372">
      <w:pPr>
        <w:tabs>
          <w:tab w:val="left" w:pos="851"/>
        </w:tabs>
        <w:ind w:left="851"/>
        <w:rPr>
          <w:sz w:val="24"/>
          <w:szCs w:val="24"/>
          <w:u w:val="single"/>
        </w:rPr>
      </w:pPr>
    </w:p>
    <w:p w:rsidR="00BB1372" w:rsidRPr="00BB1372" w:rsidRDefault="00BB1372" w:rsidP="00BB1372">
      <w:pPr>
        <w:tabs>
          <w:tab w:val="left" w:pos="851"/>
        </w:tabs>
        <w:ind w:left="851"/>
        <w:rPr>
          <w:sz w:val="24"/>
          <w:szCs w:val="24"/>
        </w:rPr>
      </w:pPr>
      <w:r w:rsidRPr="00BB1372">
        <w:rPr>
          <w:sz w:val="24"/>
          <w:szCs w:val="24"/>
          <w:u w:val="single"/>
        </w:rPr>
        <w:t>Virkningsmekanisme</w:t>
      </w:r>
    </w:p>
    <w:p w:rsidR="00BB1372" w:rsidRPr="00BB1372" w:rsidRDefault="00BB1372" w:rsidP="00BB1372">
      <w:pPr>
        <w:tabs>
          <w:tab w:val="left" w:pos="851"/>
        </w:tabs>
        <w:ind w:left="851"/>
        <w:rPr>
          <w:sz w:val="24"/>
          <w:szCs w:val="24"/>
        </w:rPr>
      </w:pPr>
      <w:r w:rsidRPr="00BB1372">
        <w:rPr>
          <w:sz w:val="24"/>
          <w:szCs w:val="24"/>
        </w:rPr>
        <w:t xml:space="preserve">Nomigrin, er en fastdosis-kombination af </w:t>
      </w:r>
      <w:proofErr w:type="spellStart"/>
      <w:r w:rsidRPr="00BB1372">
        <w:rPr>
          <w:sz w:val="24"/>
          <w:szCs w:val="24"/>
        </w:rPr>
        <w:t>sumatriptansuccinat</w:t>
      </w:r>
      <w:proofErr w:type="spellEnd"/>
      <w:r w:rsidRPr="00BB1372">
        <w:rPr>
          <w:sz w:val="24"/>
          <w:szCs w:val="24"/>
        </w:rPr>
        <w:t xml:space="preserve"> og </w:t>
      </w:r>
      <w:proofErr w:type="spellStart"/>
      <w:r w:rsidRPr="00BB1372">
        <w:rPr>
          <w:sz w:val="24"/>
          <w:szCs w:val="24"/>
        </w:rPr>
        <w:t>naproxiumnatrium</w:t>
      </w:r>
      <w:proofErr w:type="spellEnd"/>
      <w:r w:rsidRPr="00BB1372">
        <w:rPr>
          <w:sz w:val="24"/>
          <w:szCs w:val="24"/>
        </w:rPr>
        <w:t>, der hver formodes at bidrage til lindringen af migrænesmerter via farmakologiske forskelle i virkningsmekanisme.</w:t>
      </w:r>
    </w:p>
    <w:p w:rsidR="00BB1372" w:rsidRPr="00BB1372" w:rsidRDefault="00BB1372" w:rsidP="00BB1372">
      <w:pPr>
        <w:tabs>
          <w:tab w:val="left" w:pos="851"/>
        </w:tabs>
        <w:ind w:left="851"/>
        <w:rPr>
          <w:sz w:val="24"/>
          <w:szCs w:val="24"/>
        </w:rPr>
      </w:pPr>
    </w:p>
    <w:p w:rsidR="00BB1372" w:rsidRPr="00BB1372" w:rsidRDefault="00BB1372" w:rsidP="00BB1372">
      <w:pPr>
        <w:tabs>
          <w:tab w:val="left" w:pos="851"/>
        </w:tabs>
        <w:ind w:left="851"/>
        <w:rPr>
          <w:sz w:val="24"/>
          <w:szCs w:val="24"/>
        </w:rPr>
      </w:pPr>
      <w:proofErr w:type="spellStart"/>
      <w:r w:rsidRPr="00BB1372">
        <w:rPr>
          <w:i/>
          <w:iCs/>
          <w:sz w:val="24"/>
          <w:szCs w:val="24"/>
        </w:rPr>
        <w:t>Sumatriptan</w:t>
      </w:r>
      <w:proofErr w:type="spellEnd"/>
    </w:p>
    <w:p w:rsidR="00BB1372" w:rsidRDefault="00BB1372" w:rsidP="00BB1372">
      <w:pPr>
        <w:tabs>
          <w:tab w:val="left" w:pos="851"/>
        </w:tabs>
        <w:ind w:left="851"/>
        <w:rPr>
          <w:sz w:val="24"/>
          <w:szCs w:val="24"/>
        </w:rPr>
      </w:pPr>
      <w:proofErr w:type="spellStart"/>
      <w:r w:rsidRPr="00BB1372">
        <w:rPr>
          <w:sz w:val="24"/>
          <w:szCs w:val="24"/>
        </w:rPr>
        <w:t>Sumatriptan</w:t>
      </w:r>
      <w:proofErr w:type="spellEnd"/>
      <w:r w:rsidRPr="00BB1372">
        <w:rPr>
          <w:sz w:val="24"/>
          <w:szCs w:val="24"/>
        </w:rPr>
        <w:t xml:space="preserve"> er blevet påvist at være en specifik og selektiv 5-hydroxytryptamin-1D1-(5HT</w:t>
      </w:r>
      <w:r w:rsidRPr="00BB1372">
        <w:rPr>
          <w:sz w:val="24"/>
          <w:szCs w:val="24"/>
          <w:vertAlign w:val="subscript"/>
        </w:rPr>
        <w:t>1</w:t>
      </w:r>
      <w:proofErr w:type="gramStart"/>
      <w:r w:rsidRPr="00BB1372">
        <w:rPr>
          <w:sz w:val="24"/>
          <w:szCs w:val="24"/>
          <w:vertAlign w:val="subscript"/>
        </w:rPr>
        <w:t>D</w:t>
      </w:r>
      <w:r w:rsidRPr="00BB1372">
        <w:rPr>
          <w:sz w:val="24"/>
          <w:szCs w:val="24"/>
        </w:rPr>
        <w:t>)-</w:t>
      </w:r>
      <w:proofErr w:type="gramEnd"/>
      <w:r w:rsidRPr="00BB1372">
        <w:rPr>
          <w:sz w:val="24"/>
          <w:szCs w:val="24"/>
        </w:rPr>
        <w:t>receptoragonist uden effekt på andre 5HT-receptorundertyper (5HT</w:t>
      </w:r>
      <w:r w:rsidRPr="00BB1372">
        <w:rPr>
          <w:sz w:val="24"/>
          <w:szCs w:val="24"/>
          <w:vertAlign w:val="subscript"/>
        </w:rPr>
        <w:t>2</w:t>
      </w:r>
      <w:r w:rsidRPr="00BB1372">
        <w:rPr>
          <w:sz w:val="24"/>
          <w:szCs w:val="24"/>
        </w:rPr>
        <w:t>-5HT</w:t>
      </w:r>
      <w:r w:rsidRPr="00BB1372">
        <w:rPr>
          <w:sz w:val="24"/>
          <w:szCs w:val="24"/>
          <w:vertAlign w:val="subscript"/>
        </w:rPr>
        <w:t>7</w:t>
      </w:r>
      <w:r w:rsidRPr="00BB1372">
        <w:rPr>
          <w:sz w:val="24"/>
          <w:szCs w:val="24"/>
        </w:rPr>
        <w:t xml:space="preserve">). </w:t>
      </w:r>
    </w:p>
    <w:p w:rsidR="00334421" w:rsidRPr="00BB1372" w:rsidRDefault="00334421" w:rsidP="00BB1372">
      <w:pPr>
        <w:tabs>
          <w:tab w:val="left" w:pos="851"/>
        </w:tabs>
        <w:ind w:left="851"/>
        <w:rPr>
          <w:sz w:val="24"/>
          <w:szCs w:val="24"/>
        </w:rPr>
      </w:pPr>
    </w:p>
    <w:p w:rsidR="00BB1372" w:rsidRPr="00BB1372" w:rsidRDefault="00BB1372" w:rsidP="00BB1372">
      <w:pPr>
        <w:tabs>
          <w:tab w:val="left" w:pos="851"/>
        </w:tabs>
        <w:ind w:left="851"/>
        <w:rPr>
          <w:sz w:val="24"/>
          <w:szCs w:val="24"/>
        </w:rPr>
      </w:pPr>
      <w:proofErr w:type="spellStart"/>
      <w:r w:rsidRPr="00BB1372">
        <w:rPr>
          <w:sz w:val="24"/>
          <w:szCs w:val="24"/>
        </w:rPr>
        <w:t>Vaskulære</w:t>
      </w:r>
      <w:proofErr w:type="spellEnd"/>
      <w:r w:rsidRPr="00BB1372">
        <w:rPr>
          <w:sz w:val="24"/>
          <w:szCs w:val="24"/>
        </w:rPr>
        <w:t xml:space="preserve"> 5</w:t>
      </w:r>
      <w:r w:rsidRPr="00BB1372">
        <w:rPr>
          <w:sz w:val="24"/>
          <w:szCs w:val="24"/>
        </w:rPr>
        <w:noBreakHyphen/>
        <w:t>HT</w:t>
      </w:r>
      <w:r w:rsidRPr="00BB1372">
        <w:rPr>
          <w:sz w:val="24"/>
          <w:szCs w:val="24"/>
          <w:vertAlign w:val="subscript"/>
        </w:rPr>
        <w:t>1D</w:t>
      </w:r>
      <w:r w:rsidRPr="00BB1372">
        <w:rPr>
          <w:sz w:val="24"/>
          <w:szCs w:val="24"/>
        </w:rPr>
        <w:t xml:space="preserve">-receptorer findes hovedsageligt i </w:t>
      </w:r>
      <w:proofErr w:type="spellStart"/>
      <w:r w:rsidRPr="00BB1372">
        <w:rPr>
          <w:sz w:val="24"/>
          <w:szCs w:val="24"/>
        </w:rPr>
        <w:t>kraniale</w:t>
      </w:r>
      <w:proofErr w:type="spellEnd"/>
      <w:r w:rsidRPr="00BB1372">
        <w:rPr>
          <w:sz w:val="24"/>
          <w:szCs w:val="24"/>
        </w:rPr>
        <w:t xml:space="preserve"> blodkar og medierer </w:t>
      </w:r>
      <w:proofErr w:type="spellStart"/>
      <w:r w:rsidRPr="00BB1372">
        <w:rPr>
          <w:sz w:val="24"/>
          <w:szCs w:val="24"/>
        </w:rPr>
        <w:t>vasokonstriktion</w:t>
      </w:r>
      <w:proofErr w:type="spellEnd"/>
      <w:r w:rsidRPr="00BB1372">
        <w:rPr>
          <w:sz w:val="24"/>
          <w:szCs w:val="24"/>
        </w:rPr>
        <w:t xml:space="preserve">. Hos dyr kontraheres halspulsåren selektivt af </w:t>
      </w:r>
      <w:proofErr w:type="spellStart"/>
      <w:r w:rsidRPr="00BB1372">
        <w:rPr>
          <w:sz w:val="24"/>
          <w:szCs w:val="24"/>
        </w:rPr>
        <w:t>sumatriptan</w:t>
      </w:r>
      <w:proofErr w:type="spellEnd"/>
      <w:r w:rsidRPr="00BB1372">
        <w:rPr>
          <w:sz w:val="24"/>
          <w:szCs w:val="24"/>
        </w:rPr>
        <w:t xml:space="preserve">, men den cerebrale blodgennemstrømning ændres ikke. Halspulsåren leverer blod til det </w:t>
      </w:r>
      <w:proofErr w:type="spellStart"/>
      <w:r w:rsidRPr="00BB1372">
        <w:rPr>
          <w:sz w:val="24"/>
          <w:szCs w:val="24"/>
        </w:rPr>
        <w:t>ekstrakranielle</w:t>
      </w:r>
      <w:proofErr w:type="spellEnd"/>
      <w:r w:rsidRPr="00BB1372">
        <w:rPr>
          <w:sz w:val="24"/>
          <w:szCs w:val="24"/>
        </w:rPr>
        <w:t xml:space="preserve"> og </w:t>
      </w:r>
      <w:proofErr w:type="spellStart"/>
      <w:r w:rsidRPr="00BB1372">
        <w:rPr>
          <w:sz w:val="24"/>
          <w:szCs w:val="24"/>
        </w:rPr>
        <w:t>intrakranielle</w:t>
      </w:r>
      <w:proofErr w:type="spellEnd"/>
      <w:r w:rsidRPr="00BB1372">
        <w:rPr>
          <w:sz w:val="24"/>
          <w:szCs w:val="24"/>
        </w:rPr>
        <w:t xml:space="preserve"> væv, såsom hjernehinden, og dilatation af og/eller ødemdannelse i disse kar, menes at være den underliggende mekanisme for migræne hos mennesker.</w:t>
      </w:r>
    </w:p>
    <w:p w:rsidR="00BB1372" w:rsidRPr="00BB1372" w:rsidRDefault="00BB1372" w:rsidP="00BB1372">
      <w:pPr>
        <w:tabs>
          <w:tab w:val="left" w:pos="851"/>
        </w:tabs>
        <w:ind w:left="851"/>
        <w:rPr>
          <w:sz w:val="24"/>
          <w:szCs w:val="24"/>
        </w:rPr>
      </w:pPr>
    </w:p>
    <w:p w:rsidR="00BB1372" w:rsidRPr="00BB1372" w:rsidRDefault="00BB1372" w:rsidP="00BB1372">
      <w:pPr>
        <w:tabs>
          <w:tab w:val="left" w:pos="851"/>
        </w:tabs>
        <w:ind w:left="851"/>
        <w:rPr>
          <w:sz w:val="24"/>
          <w:szCs w:val="24"/>
        </w:rPr>
      </w:pPr>
      <w:r w:rsidRPr="00BB1372">
        <w:rPr>
          <w:sz w:val="24"/>
          <w:szCs w:val="24"/>
        </w:rPr>
        <w:t xml:space="preserve">Endvidere tyder dyrestudier på, at </w:t>
      </w:r>
      <w:proofErr w:type="spellStart"/>
      <w:r w:rsidRPr="00BB1372">
        <w:rPr>
          <w:sz w:val="24"/>
          <w:szCs w:val="24"/>
        </w:rPr>
        <w:t>sumatriptan</w:t>
      </w:r>
      <w:proofErr w:type="spellEnd"/>
      <w:r w:rsidRPr="00BB1372">
        <w:rPr>
          <w:sz w:val="24"/>
          <w:szCs w:val="24"/>
        </w:rPr>
        <w:t xml:space="preserve"> hæmmer aktiviteten af </w:t>
      </w:r>
      <w:proofErr w:type="spellStart"/>
      <w:r w:rsidRPr="00BB1372">
        <w:rPr>
          <w:sz w:val="24"/>
          <w:szCs w:val="24"/>
        </w:rPr>
        <w:t>trigeminusnerven</w:t>
      </w:r>
      <w:proofErr w:type="spellEnd"/>
      <w:r w:rsidRPr="00BB1372">
        <w:rPr>
          <w:sz w:val="24"/>
          <w:szCs w:val="24"/>
        </w:rPr>
        <w:t>. Begge disse mekanismer (</w:t>
      </w:r>
      <w:proofErr w:type="spellStart"/>
      <w:r w:rsidRPr="00BB1372">
        <w:rPr>
          <w:sz w:val="24"/>
          <w:szCs w:val="24"/>
        </w:rPr>
        <w:t>kraniale</w:t>
      </w:r>
      <w:proofErr w:type="spellEnd"/>
      <w:r w:rsidRPr="00BB1372">
        <w:rPr>
          <w:sz w:val="24"/>
          <w:szCs w:val="24"/>
        </w:rPr>
        <w:t xml:space="preserve"> </w:t>
      </w:r>
      <w:proofErr w:type="spellStart"/>
      <w:r w:rsidRPr="00BB1372">
        <w:rPr>
          <w:sz w:val="24"/>
          <w:szCs w:val="24"/>
        </w:rPr>
        <w:t>vasokonstriktion</w:t>
      </w:r>
      <w:proofErr w:type="spellEnd"/>
      <w:r w:rsidRPr="00BB1372">
        <w:rPr>
          <w:sz w:val="24"/>
          <w:szCs w:val="24"/>
        </w:rPr>
        <w:t xml:space="preserve"> og hæmning af nerveaktivitet i trigeminus) kan medvirke til </w:t>
      </w:r>
      <w:proofErr w:type="spellStart"/>
      <w:r w:rsidRPr="00BB1372">
        <w:rPr>
          <w:sz w:val="24"/>
          <w:szCs w:val="24"/>
        </w:rPr>
        <w:t>sumatriptans</w:t>
      </w:r>
      <w:proofErr w:type="spellEnd"/>
      <w:r w:rsidRPr="00BB1372">
        <w:rPr>
          <w:sz w:val="24"/>
          <w:szCs w:val="24"/>
        </w:rPr>
        <w:t xml:space="preserve"> effekt mod migræne hos mennesker.</w:t>
      </w:r>
    </w:p>
    <w:p w:rsidR="00BB1372" w:rsidRPr="00BB1372" w:rsidRDefault="00BB1372" w:rsidP="00BB1372">
      <w:pPr>
        <w:tabs>
          <w:tab w:val="left" w:pos="851"/>
        </w:tabs>
        <w:ind w:left="851"/>
        <w:rPr>
          <w:sz w:val="24"/>
          <w:szCs w:val="24"/>
        </w:rPr>
      </w:pPr>
    </w:p>
    <w:p w:rsidR="00BB1372" w:rsidRPr="00BB1372" w:rsidRDefault="00BB1372" w:rsidP="00BB1372">
      <w:pPr>
        <w:tabs>
          <w:tab w:val="left" w:pos="851"/>
        </w:tabs>
        <w:ind w:left="851"/>
        <w:rPr>
          <w:sz w:val="24"/>
          <w:szCs w:val="24"/>
        </w:rPr>
      </w:pPr>
      <w:proofErr w:type="spellStart"/>
      <w:r w:rsidRPr="00BB1372">
        <w:rPr>
          <w:i/>
          <w:iCs/>
          <w:sz w:val="24"/>
          <w:szCs w:val="24"/>
        </w:rPr>
        <w:t>Naproxen</w:t>
      </w:r>
      <w:proofErr w:type="spellEnd"/>
    </w:p>
    <w:p w:rsidR="00334421" w:rsidRDefault="00334421" w:rsidP="00334421">
      <w:pPr>
        <w:tabs>
          <w:tab w:val="left" w:pos="851"/>
        </w:tabs>
        <w:ind w:left="851"/>
        <w:rPr>
          <w:sz w:val="24"/>
          <w:szCs w:val="24"/>
        </w:rPr>
      </w:pPr>
      <w:proofErr w:type="spellStart"/>
      <w:r w:rsidRPr="00BB1372">
        <w:rPr>
          <w:sz w:val="24"/>
          <w:szCs w:val="24"/>
        </w:rPr>
        <w:t>Naproxen</w:t>
      </w:r>
      <w:proofErr w:type="spellEnd"/>
      <w:r w:rsidRPr="00BB1372">
        <w:rPr>
          <w:sz w:val="24"/>
          <w:szCs w:val="24"/>
        </w:rPr>
        <w:t xml:space="preserve"> er et non-</w:t>
      </w:r>
      <w:proofErr w:type="spellStart"/>
      <w:r w:rsidRPr="00BB1372">
        <w:rPr>
          <w:sz w:val="24"/>
          <w:szCs w:val="24"/>
        </w:rPr>
        <w:t>steroidt</w:t>
      </w:r>
      <w:proofErr w:type="spellEnd"/>
      <w:r w:rsidRPr="00BB1372">
        <w:rPr>
          <w:sz w:val="24"/>
          <w:szCs w:val="24"/>
        </w:rPr>
        <w:t xml:space="preserve"> antiinflammatorisk (NSAID) lægemiddel, med </w:t>
      </w:r>
      <w:proofErr w:type="spellStart"/>
      <w:r w:rsidRPr="00BB1372">
        <w:rPr>
          <w:sz w:val="24"/>
          <w:szCs w:val="24"/>
        </w:rPr>
        <w:t>antipyretiske</w:t>
      </w:r>
      <w:proofErr w:type="spellEnd"/>
      <w:r w:rsidRPr="00BB1372">
        <w:rPr>
          <w:sz w:val="24"/>
          <w:szCs w:val="24"/>
        </w:rPr>
        <w:t xml:space="preserve"> egenskaber, som er blevet påvist i klassiske dyrestudier. </w:t>
      </w:r>
      <w:proofErr w:type="spellStart"/>
      <w:r w:rsidRPr="00BB1372">
        <w:rPr>
          <w:sz w:val="24"/>
          <w:szCs w:val="24"/>
        </w:rPr>
        <w:t>Naproxen</w:t>
      </w:r>
      <w:proofErr w:type="spellEnd"/>
      <w:r w:rsidRPr="00BB1372">
        <w:rPr>
          <w:sz w:val="24"/>
          <w:szCs w:val="24"/>
        </w:rPr>
        <w:t xml:space="preserve"> udviser antiinflammatoriske virkninger selv hos </w:t>
      </w:r>
      <w:proofErr w:type="spellStart"/>
      <w:r w:rsidRPr="00BB1372">
        <w:rPr>
          <w:sz w:val="24"/>
          <w:szCs w:val="24"/>
        </w:rPr>
        <w:t>adrenalektomerede</w:t>
      </w:r>
      <w:proofErr w:type="spellEnd"/>
      <w:r w:rsidRPr="00BB1372">
        <w:rPr>
          <w:sz w:val="24"/>
          <w:szCs w:val="24"/>
        </w:rPr>
        <w:t xml:space="preserve"> dyr, hvilket indikerer, at dets virkning ikke medieres af hypofyse-binyrebark-aksen.</w:t>
      </w:r>
    </w:p>
    <w:p w:rsidR="00334421" w:rsidRPr="00BB1372" w:rsidRDefault="00334421" w:rsidP="00334421">
      <w:pPr>
        <w:tabs>
          <w:tab w:val="left" w:pos="851"/>
        </w:tabs>
        <w:ind w:left="851"/>
        <w:rPr>
          <w:sz w:val="24"/>
          <w:szCs w:val="24"/>
        </w:rPr>
      </w:pPr>
    </w:p>
    <w:p w:rsidR="00334421" w:rsidRDefault="00334421" w:rsidP="00334421">
      <w:pPr>
        <w:tabs>
          <w:tab w:val="left" w:pos="851"/>
        </w:tabs>
        <w:ind w:left="851"/>
        <w:rPr>
          <w:sz w:val="24"/>
          <w:szCs w:val="24"/>
          <w:u w:val="single"/>
        </w:rPr>
      </w:pPr>
      <w:r>
        <w:rPr>
          <w:sz w:val="24"/>
          <w:szCs w:val="24"/>
          <w:u w:val="single"/>
        </w:rPr>
        <w:t>Klinisk virkning og sikkerhed</w:t>
      </w:r>
    </w:p>
    <w:p w:rsidR="00334421" w:rsidRPr="00D03F53" w:rsidRDefault="00334421" w:rsidP="00334421">
      <w:pPr>
        <w:tabs>
          <w:tab w:val="left" w:pos="851"/>
        </w:tabs>
        <w:ind w:left="851"/>
        <w:rPr>
          <w:sz w:val="24"/>
          <w:szCs w:val="24"/>
        </w:rPr>
      </w:pPr>
      <w:r w:rsidRPr="0078048E">
        <w:rPr>
          <w:sz w:val="24"/>
          <w:szCs w:val="24"/>
        </w:rPr>
        <w:t>Den kliniske virkning af Nomigrin</w:t>
      </w:r>
      <w:r>
        <w:rPr>
          <w:sz w:val="24"/>
          <w:szCs w:val="24"/>
        </w:rPr>
        <w:t xml:space="preserve"> til akut</w:t>
      </w:r>
      <w:r w:rsidRPr="0078048E">
        <w:rPr>
          <w:sz w:val="24"/>
          <w:szCs w:val="24"/>
        </w:rPr>
        <w:t xml:space="preserve"> behandling af migræne med eller uden aura hos voksne blev påvist i to </w:t>
      </w:r>
      <w:r>
        <w:rPr>
          <w:sz w:val="24"/>
          <w:szCs w:val="24"/>
        </w:rPr>
        <w:t>pivotale</w:t>
      </w:r>
      <w:r w:rsidRPr="0078048E">
        <w:rPr>
          <w:sz w:val="24"/>
          <w:szCs w:val="24"/>
        </w:rPr>
        <w:t xml:space="preserve">, enkeltdosis, randomiserede, dobbeltblindede, multicenterstudier </w:t>
      </w:r>
      <w:r>
        <w:rPr>
          <w:sz w:val="24"/>
          <w:szCs w:val="24"/>
        </w:rPr>
        <w:t xml:space="preserve">med parallelle grupper </w:t>
      </w:r>
      <w:r w:rsidRPr="0078048E">
        <w:rPr>
          <w:sz w:val="24"/>
          <w:szCs w:val="24"/>
        </w:rPr>
        <w:t>(studie</w:t>
      </w:r>
      <w:r>
        <w:rPr>
          <w:sz w:val="24"/>
          <w:szCs w:val="24"/>
        </w:rPr>
        <w:t> </w:t>
      </w:r>
      <w:r w:rsidRPr="0078048E">
        <w:rPr>
          <w:sz w:val="24"/>
          <w:szCs w:val="24"/>
        </w:rPr>
        <w:t>1 og studie</w:t>
      </w:r>
      <w:r>
        <w:rPr>
          <w:sz w:val="24"/>
          <w:szCs w:val="24"/>
        </w:rPr>
        <w:t> </w:t>
      </w:r>
      <w:r w:rsidRPr="0078048E">
        <w:rPr>
          <w:sz w:val="24"/>
          <w:szCs w:val="24"/>
        </w:rPr>
        <w:t xml:space="preserve">2) </w:t>
      </w:r>
      <w:r>
        <w:rPr>
          <w:sz w:val="24"/>
          <w:szCs w:val="24"/>
        </w:rPr>
        <w:t>under</w:t>
      </w:r>
      <w:r w:rsidRPr="0078048E">
        <w:rPr>
          <w:sz w:val="24"/>
          <w:szCs w:val="24"/>
        </w:rPr>
        <w:t xml:space="preserve"> anvendelse af placebo og</w:t>
      </w:r>
      <w:r>
        <w:rPr>
          <w:sz w:val="24"/>
          <w:szCs w:val="24"/>
        </w:rPr>
        <w:t xml:space="preserve"> </w:t>
      </w:r>
      <w:r w:rsidRPr="0078048E">
        <w:rPr>
          <w:sz w:val="24"/>
          <w:szCs w:val="24"/>
        </w:rPr>
        <w:t xml:space="preserve">hver af de </w:t>
      </w:r>
      <w:r>
        <w:rPr>
          <w:sz w:val="24"/>
          <w:szCs w:val="24"/>
        </w:rPr>
        <w:t>enkelte indholdsstoffer</w:t>
      </w:r>
      <w:r w:rsidRPr="0078048E">
        <w:rPr>
          <w:sz w:val="24"/>
          <w:szCs w:val="24"/>
        </w:rPr>
        <w:t xml:space="preserve"> (</w:t>
      </w:r>
      <w:proofErr w:type="spellStart"/>
      <w:r w:rsidRPr="0078048E">
        <w:rPr>
          <w:sz w:val="24"/>
          <w:szCs w:val="24"/>
        </w:rPr>
        <w:t>sumatriptan</w:t>
      </w:r>
      <w:proofErr w:type="spellEnd"/>
      <w:r w:rsidRPr="0078048E">
        <w:rPr>
          <w:sz w:val="24"/>
          <w:szCs w:val="24"/>
        </w:rPr>
        <w:t xml:space="preserve"> og </w:t>
      </w:r>
      <w:proofErr w:type="spellStart"/>
      <w:r w:rsidRPr="0078048E">
        <w:rPr>
          <w:sz w:val="24"/>
          <w:szCs w:val="24"/>
        </w:rPr>
        <w:t>naproxen</w:t>
      </w:r>
      <w:proofErr w:type="spellEnd"/>
      <w:r w:rsidRPr="0078048E">
        <w:rPr>
          <w:sz w:val="24"/>
          <w:szCs w:val="24"/>
        </w:rPr>
        <w:t>) som sammenligningsbehandlinger</w:t>
      </w:r>
      <w:r>
        <w:rPr>
          <w:sz w:val="24"/>
          <w:szCs w:val="24"/>
        </w:rPr>
        <w:t xml:space="preserve">. Forsøgspersonerne </w:t>
      </w:r>
      <w:r w:rsidRPr="00D03F53">
        <w:rPr>
          <w:sz w:val="24"/>
          <w:szCs w:val="24"/>
        </w:rPr>
        <w:t>i disse to studier var overvejende kvinder (87</w:t>
      </w:r>
      <w:r>
        <w:rPr>
          <w:sz w:val="24"/>
          <w:szCs w:val="24"/>
        </w:rPr>
        <w:t> </w:t>
      </w:r>
      <w:r w:rsidRPr="00D03F53">
        <w:rPr>
          <w:sz w:val="24"/>
          <w:szCs w:val="24"/>
        </w:rPr>
        <w:t>%) og hvide (88</w:t>
      </w:r>
      <w:r>
        <w:rPr>
          <w:sz w:val="24"/>
          <w:szCs w:val="24"/>
        </w:rPr>
        <w:t> </w:t>
      </w:r>
      <w:r w:rsidRPr="00D03F53">
        <w:rPr>
          <w:sz w:val="24"/>
          <w:szCs w:val="24"/>
        </w:rPr>
        <w:t>%)</w:t>
      </w:r>
      <w:r>
        <w:rPr>
          <w:sz w:val="24"/>
          <w:szCs w:val="24"/>
        </w:rPr>
        <w:t xml:space="preserve"> </w:t>
      </w:r>
      <w:r w:rsidRPr="00D03F53">
        <w:rPr>
          <w:sz w:val="24"/>
          <w:szCs w:val="24"/>
        </w:rPr>
        <w:t>med en gennemsnitsalder på 40</w:t>
      </w:r>
      <w:r>
        <w:rPr>
          <w:sz w:val="24"/>
          <w:szCs w:val="24"/>
        </w:rPr>
        <w:t> </w:t>
      </w:r>
      <w:r w:rsidRPr="00D03F53">
        <w:rPr>
          <w:sz w:val="24"/>
          <w:szCs w:val="24"/>
        </w:rPr>
        <w:t>år (interval: 18 til 65</w:t>
      </w:r>
      <w:r>
        <w:rPr>
          <w:sz w:val="24"/>
          <w:szCs w:val="24"/>
        </w:rPr>
        <w:t> </w:t>
      </w:r>
      <w:r w:rsidRPr="00D03F53">
        <w:rPr>
          <w:sz w:val="24"/>
          <w:szCs w:val="24"/>
        </w:rPr>
        <w:t xml:space="preserve">år). </w:t>
      </w:r>
      <w:r>
        <w:rPr>
          <w:sz w:val="24"/>
          <w:szCs w:val="24"/>
        </w:rPr>
        <w:t>Forsøgspersonerne</w:t>
      </w:r>
      <w:r w:rsidRPr="00D03F53">
        <w:rPr>
          <w:sz w:val="24"/>
          <w:szCs w:val="24"/>
        </w:rPr>
        <w:t xml:space="preserve"> blev instrueret i at behandle migræneanfald af moderat til svær </w:t>
      </w:r>
      <w:r>
        <w:rPr>
          <w:sz w:val="24"/>
          <w:szCs w:val="24"/>
        </w:rPr>
        <w:t>smerteintensitet</w:t>
      </w:r>
      <w:r w:rsidRPr="00D03F53">
        <w:rPr>
          <w:sz w:val="24"/>
          <w:szCs w:val="24"/>
        </w:rPr>
        <w:t xml:space="preserve"> med 1</w:t>
      </w:r>
      <w:r>
        <w:rPr>
          <w:sz w:val="24"/>
          <w:szCs w:val="24"/>
        </w:rPr>
        <w:t> </w:t>
      </w:r>
      <w:r w:rsidRPr="00D03F53">
        <w:rPr>
          <w:sz w:val="24"/>
          <w:szCs w:val="24"/>
        </w:rPr>
        <w:t>tablet. Det var ikke tilladt at bruge behovsmedicin inden for 2</w:t>
      </w:r>
      <w:r>
        <w:rPr>
          <w:sz w:val="24"/>
          <w:szCs w:val="24"/>
        </w:rPr>
        <w:t> </w:t>
      </w:r>
      <w:r w:rsidRPr="00D03F53">
        <w:rPr>
          <w:sz w:val="24"/>
          <w:szCs w:val="24"/>
        </w:rPr>
        <w:t xml:space="preserve">timer efter dosering. De </w:t>
      </w:r>
      <w:proofErr w:type="spellStart"/>
      <w:r w:rsidRPr="00D03F53">
        <w:rPr>
          <w:sz w:val="24"/>
          <w:szCs w:val="24"/>
        </w:rPr>
        <w:t>co</w:t>
      </w:r>
      <w:proofErr w:type="spellEnd"/>
      <w:r w:rsidRPr="00D03F53">
        <w:rPr>
          <w:sz w:val="24"/>
          <w:szCs w:val="24"/>
        </w:rPr>
        <w:t xml:space="preserve">-primære endepunkter </w:t>
      </w:r>
      <w:r>
        <w:rPr>
          <w:sz w:val="24"/>
          <w:szCs w:val="24"/>
        </w:rPr>
        <w:t>omfattede overlegenhed</w:t>
      </w:r>
      <w:r w:rsidRPr="00D03F53">
        <w:rPr>
          <w:sz w:val="24"/>
          <w:szCs w:val="24"/>
        </w:rPr>
        <w:t xml:space="preserve"> af Nomigrin i forhold til placebo inden for 2</w:t>
      </w:r>
      <w:r>
        <w:rPr>
          <w:sz w:val="24"/>
          <w:szCs w:val="24"/>
        </w:rPr>
        <w:t> </w:t>
      </w:r>
      <w:r w:rsidRPr="00D03F53">
        <w:rPr>
          <w:sz w:val="24"/>
          <w:szCs w:val="24"/>
        </w:rPr>
        <w:t>timer efter dosering</w:t>
      </w:r>
      <w:r>
        <w:rPr>
          <w:sz w:val="24"/>
          <w:szCs w:val="24"/>
        </w:rPr>
        <w:t xml:space="preserve"> for</w:t>
      </w:r>
      <w:r w:rsidRPr="00D03F53">
        <w:rPr>
          <w:sz w:val="24"/>
          <w:szCs w:val="24"/>
        </w:rPr>
        <w:t xml:space="preserve"> følgende endepunkter: smertelindring (ingen eller let smert</w:t>
      </w:r>
      <w:r>
        <w:rPr>
          <w:sz w:val="24"/>
          <w:szCs w:val="24"/>
        </w:rPr>
        <w:t>e</w:t>
      </w:r>
      <w:r w:rsidRPr="00D03F53">
        <w:rPr>
          <w:sz w:val="24"/>
          <w:szCs w:val="24"/>
        </w:rPr>
        <w:t>)</w:t>
      </w:r>
      <w:r>
        <w:rPr>
          <w:sz w:val="24"/>
          <w:szCs w:val="24"/>
        </w:rPr>
        <w:t>,</w:t>
      </w:r>
      <w:r w:rsidRPr="00D03F53">
        <w:rPr>
          <w:sz w:val="24"/>
          <w:szCs w:val="24"/>
        </w:rPr>
        <w:t xml:space="preserve"> forekomst af </w:t>
      </w:r>
      <w:r>
        <w:rPr>
          <w:sz w:val="24"/>
          <w:szCs w:val="24"/>
        </w:rPr>
        <w:t>fotofobi</w:t>
      </w:r>
      <w:r w:rsidRPr="00D03F53">
        <w:rPr>
          <w:sz w:val="24"/>
          <w:szCs w:val="24"/>
        </w:rPr>
        <w:t xml:space="preserve">, </w:t>
      </w:r>
      <w:proofErr w:type="spellStart"/>
      <w:r>
        <w:rPr>
          <w:sz w:val="24"/>
          <w:szCs w:val="24"/>
        </w:rPr>
        <w:t>fonofobi</w:t>
      </w:r>
      <w:proofErr w:type="spellEnd"/>
      <w:r w:rsidRPr="00D03F53">
        <w:rPr>
          <w:sz w:val="24"/>
          <w:szCs w:val="24"/>
        </w:rPr>
        <w:t xml:space="preserve"> og kvalme</w:t>
      </w:r>
      <w:r>
        <w:rPr>
          <w:sz w:val="24"/>
          <w:szCs w:val="24"/>
        </w:rPr>
        <w:t xml:space="preserve"> samt</w:t>
      </w:r>
      <w:r w:rsidRPr="00D03F53">
        <w:rPr>
          <w:sz w:val="24"/>
          <w:szCs w:val="24"/>
        </w:rPr>
        <w:t xml:space="preserve"> </w:t>
      </w:r>
      <w:r>
        <w:rPr>
          <w:sz w:val="24"/>
          <w:szCs w:val="24"/>
        </w:rPr>
        <w:t>overlegenhed</w:t>
      </w:r>
      <w:r w:rsidRPr="00D03F53">
        <w:rPr>
          <w:sz w:val="24"/>
          <w:szCs w:val="24"/>
        </w:rPr>
        <w:t xml:space="preserve"> af Nomigrin </w:t>
      </w:r>
      <w:r w:rsidRPr="00F83D59">
        <w:rPr>
          <w:i/>
          <w:iCs/>
          <w:sz w:val="24"/>
          <w:szCs w:val="24"/>
        </w:rPr>
        <w:t>vs.</w:t>
      </w:r>
      <w:r w:rsidRPr="00D03F53">
        <w:rPr>
          <w:sz w:val="24"/>
          <w:szCs w:val="24"/>
        </w:rPr>
        <w:t xml:space="preserve"> de </w:t>
      </w:r>
      <w:r>
        <w:rPr>
          <w:sz w:val="24"/>
          <w:szCs w:val="24"/>
        </w:rPr>
        <w:t>enkelte indholdsstoffer</w:t>
      </w:r>
      <w:r w:rsidRPr="00D03F53">
        <w:rPr>
          <w:sz w:val="24"/>
          <w:szCs w:val="24"/>
        </w:rPr>
        <w:t xml:space="preserve"> (</w:t>
      </w:r>
      <w:proofErr w:type="spellStart"/>
      <w:r w:rsidRPr="00D03F53">
        <w:rPr>
          <w:sz w:val="24"/>
          <w:szCs w:val="24"/>
        </w:rPr>
        <w:t>sumatriptan</w:t>
      </w:r>
      <w:proofErr w:type="spellEnd"/>
      <w:r w:rsidRPr="00D03F53">
        <w:rPr>
          <w:sz w:val="24"/>
          <w:szCs w:val="24"/>
        </w:rPr>
        <w:t xml:space="preserve"> og </w:t>
      </w:r>
      <w:proofErr w:type="spellStart"/>
      <w:r w:rsidRPr="00D03F53">
        <w:rPr>
          <w:sz w:val="24"/>
          <w:szCs w:val="24"/>
        </w:rPr>
        <w:t>naproxen</w:t>
      </w:r>
      <w:proofErr w:type="spellEnd"/>
      <w:r w:rsidRPr="00D03F53">
        <w:rPr>
          <w:sz w:val="24"/>
          <w:szCs w:val="24"/>
        </w:rPr>
        <w:t xml:space="preserve">) i forhold </w:t>
      </w:r>
      <w:r>
        <w:rPr>
          <w:sz w:val="24"/>
          <w:szCs w:val="24"/>
        </w:rPr>
        <w:t>opretholdelse af</w:t>
      </w:r>
      <w:r w:rsidRPr="00D03F53">
        <w:rPr>
          <w:sz w:val="24"/>
          <w:szCs w:val="24"/>
        </w:rPr>
        <w:t xml:space="preserve"> smertefrihed i 24</w:t>
      </w:r>
      <w:r>
        <w:rPr>
          <w:sz w:val="24"/>
          <w:szCs w:val="24"/>
        </w:rPr>
        <w:t> </w:t>
      </w:r>
      <w:r w:rsidRPr="00D03F53">
        <w:rPr>
          <w:sz w:val="24"/>
          <w:szCs w:val="24"/>
        </w:rPr>
        <w:t xml:space="preserve">timer. </w:t>
      </w:r>
      <w:r>
        <w:rPr>
          <w:sz w:val="24"/>
          <w:szCs w:val="24"/>
        </w:rPr>
        <w:t>Forsøgspersonerne</w:t>
      </w:r>
      <w:r w:rsidRPr="00D03F53">
        <w:rPr>
          <w:sz w:val="24"/>
          <w:szCs w:val="24"/>
        </w:rPr>
        <w:t xml:space="preserve"> </w:t>
      </w:r>
      <w:r>
        <w:rPr>
          <w:sz w:val="24"/>
          <w:szCs w:val="24"/>
        </w:rPr>
        <w:t>vurderede</w:t>
      </w:r>
      <w:r w:rsidRPr="00D03F53">
        <w:rPr>
          <w:sz w:val="24"/>
          <w:szCs w:val="24"/>
        </w:rPr>
        <w:t xml:space="preserve"> deres hovedpine og </w:t>
      </w:r>
      <w:r>
        <w:rPr>
          <w:sz w:val="24"/>
          <w:szCs w:val="24"/>
        </w:rPr>
        <w:t>de tilknyttede</w:t>
      </w:r>
      <w:r w:rsidRPr="00D03F53">
        <w:rPr>
          <w:sz w:val="24"/>
          <w:szCs w:val="24"/>
        </w:rPr>
        <w:t xml:space="preserve"> symptomer</w:t>
      </w:r>
      <w:r>
        <w:rPr>
          <w:sz w:val="24"/>
          <w:szCs w:val="24"/>
        </w:rPr>
        <w:t xml:space="preserve"> med fotofobi</w:t>
      </w:r>
      <w:r w:rsidRPr="00D03F53">
        <w:rPr>
          <w:sz w:val="24"/>
          <w:szCs w:val="24"/>
        </w:rPr>
        <w:t xml:space="preserve">, </w:t>
      </w:r>
      <w:proofErr w:type="spellStart"/>
      <w:r>
        <w:rPr>
          <w:sz w:val="24"/>
          <w:szCs w:val="24"/>
        </w:rPr>
        <w:t>fonofobi</w:t>
      </w:r>
      <w:proofErr w:type="spellEnd"/>
      <w:r w:rsidRPr="00D03F53">
        <w:rPr>
          <w:sz w:val="24"/>
          <w:szCs w:val="24"/>
        </w:rPr>
        <w:t>, kvalme og opkast 2</w:t>
      </w:r>
      <w:r>
        <w:rPr>
          <w:sz w:val="24"/>
          <w:szCs w:val="24"/>
        </w:rPr>
        <w:t> </w:t>
      </w:r>
      <w:r w:rsidRPr="00D03F53">
        <w:rPr>
          <w:sz w:val="24"/>
          <w:szCs w:val="24"/>
        </w:rPr>
        <w:t>timer efter</w:t>
      </w:r>
      <w:r>
        <w:rPr>
          <w:sz w:val="24"/>
          <w:szCs w:val="24"/>
        </w:rPr>
        <w:t>, at de</w:t>
      </w:r>
      <w:r w:rsidRPr="00D03F53">
        <w:rPr>
          <w:sz w:val="24"/>
          <w:szCs w:val="24"/>
        </w:rPr>
        <w:t xml:space="preserve"> have taget 1</w:t>
      </w:r>
      <w:r>
        <w:rPr>
          <w:sz w:val="24"/>
          <w:szCs w:val="24"/>
        </w:rPr>
        <w:t> </w:t>
      </w:r>
      <w:r w:rsidRPr="00D03F53">
        <w:rPr>
          <w:sz w:val="24"/>
          <w:szCs w:val="24"/>
        </w:rPr>
        <w:t xml:space="preserve">dosis af studielægemidlet. Lindring af hovedpine </w:t>
      </w:r>
      <w:r>
        <w:rPr>
          <w:sz w:val="24"/>
          <w:szCs w:val="24"/>
        </w:rPr>
        <w:t>blev</w:t>
      </w:r>
      <w:r w:rsidRPr="00D03F53">
        <w:rPr>
          <w:sz w:val="24"/>
          <w:szCs w:val="24"/>
        </w:rPr>
        <w:t xml:space="preserve"> defineret som en reduktion </w:t>
      </w:r>
      <w:r>
        <w:rPr>
          <w:sz w:val="24"/>
          <w:szCs w:val="24"/>
        </w:rPr>
        <w:t>i sværhedsgraden af</w:t>
      </w:r>
      <w:r w:rsidRPr="00D03F53">
        <w:rPr>
          <w:sz w:val="24"/>
          <w:szCs w:val="24"/>
        </w:rPr>
        <w:t xml:space="preserve"> hovedpine</w:t>
      </w:r>
      <w:r>
        <w:rPr>
          <w:sz w:val="24"/>
          <w:szCs w:val="24"/>
        </w:rPr>
        <w:t>n</w:t>
      </w:r>
      <w:r w:rsidRPr="00D03F53">
        <w:rPr>
          <w:sz w:val="24"/>
          <w:szCs w:val="24"/>
        </w:rPr>
        <w:t xml:space="preserve"> fra moderat eller svær smert</w:t>
      </w:r>
      <w:r>
        <w:rPr>
          <w:sz w:val="24"/>
          <w:szCs w:val="24"/>
        </w:rPr>
        <w:t>e</w:t>
      </w:r>
      <w:r w:rsidRPr="00D03F53">
        <w:rPr>
          <w:sz w:val="24"/>
          <w:szCs w:val="24"/>
        </w:rPr>
        <w:t xml:space="preserve"> til let eller inge</w:t>
      </w:r>
      <w:r>
        <w:rPr>
          <w:sz w:val="24"/>
          <w:szCs w:val="24"/>
        </w:rPr>
        <w:t xml:space="preserve">n </w:t>
      </w:r>
      <w:r w:rsidRPr="00D03F53">
        <w:rPr>
          <w:sz w:val="24"/>
          <w:szCs w:val="24"/>
        </w:rPr>
        <w:t>smerte. V</w:t>
      </w:r>
      <w:r>
        <w:rPr>
          <w:sz w:val="24"/>
          <w:szCs w:val="24"/>
        </w:rPr>
        <w:t>edvarende</w:t>
      </w:r>
      <w:r w:rsidRPr="00D03F53">
        <w:rPr>
          <w:sz w:val="24"/>
          <w:szCs w:val="24"/>
        </w:rPr>
        <w:t xml:space="preserve"> smertefrihed </w:t>
      </w:r>
      <w:r>
        <w:rPr>
          <w:sz w:val="24"/>
          <w:szCs w:val="24"/>
        </w:rPr>
        <w:t>blev</w:t>
      </w:r>
      <w:r w:rsidRPr="00D03F53">
        <w:rPr>
          <w:sz w:val="24"/>
          <w:szCs w:val="24"/>
        </w:rPr>
        <w:t xml:space="preserve"> defineret som en reduktion </w:t>
      </w:r>
      <w:r>
        <w:rPr>
          <w:sz w:val="24"/>
          <w:szCs w:val="24"/>
        </w:rPr>
        <w:t>i sværhedsgraden af</w:t>
      </w:r>
      <w:r w:rsidRPr="00D03F53">
        <w:rPr>
          <w:sz w:val="24"/>
          <w:szCs w:val="24"/>
        </w:rPr>
        <w:t xml:space="preserve"> ho</w:t>
      </w:r>
      <w:r>
        <w:rPr>
          <w:sz w:val="24"/>
          <w:szCs w:val="24"/>
        </w:rPr>
        <w:t>vedpinen</w:t>
      </w:r>
      <w:r w:rsidRPr="00D03F53">
        <w:rPr>
          <w:sz w:val="24"/>
          <w:szCs w:val="24"/>
        </w:rPr>
        <w:t xml:space="preserve"> fra moderat eller svær smerte</w:t>
      </w:r>
      <w:r>
        <w:rPr>
          <w:sz w:val="24"/>
          <w:szCs w:val="24"/>
        </w:rPr>
        <w:t xml:space="preserve"> </w:t>
      </w:r>
      <w:r w:rsidRPr="00D03F53">
        <w:rPr>
          <w:sz w:val="24"/>
          <w:szCs w:val="24"/>
        </w:rPr>
        <w:t>til ingen smerte 2</w:t>
      </w:r>
      <w:r>
        <w:rPr>
          <w:sz w:val="24"/>
          <w:szCs w:val="24"/>
        </w:rPr>
        <w:t> </w:t>
      </w:r>
      <w:r w:rsidRPr="00D03F53">
        <w:rPr>
          <w:sz w:val="24"/>
          <w:szCs w:val="24"/>
        </w:rPr>
        <w:t>timer efter dosering, uden tilbagevenden af let, moderat eller s</w:t>
      </w:r>
      <w:r>
        <w:rPr>
          <w:sz w:val="24"/>
          <w:szCs w:val="24"/>
        </w:rPr>
        <w:t>vær</w:t>
      </w:r>
      <w:r w:rsidRPr="00D03F53">
        <w:rPr>
          <w:sz w:val="24"/>
          <w:szCs w:val="24"/>
        </w:rPr>
        <w:t xml:space="preserve"> smerte og uden brug af behovsmedicin i 24</w:t>
      </w:r>
      <w:r>
        <w:rPr>
          <w:sz w:val="24"/>
          <w:szCs w:val="24"/>
        </w:rPr>
        <w:t> </w:t>
      </w:r>
      <w:r w:rsidRPr="00D03F53">
        <w:rPr>
          <w:sz w:val="24"/>
          <w:szCs w:val="24"/>
        </w:rPr>
        <w:t>timer efter dosering.</w:t>
      </w:r>
    </w:p>
    <w:p w:rsidR="00334421" w:rsidRPr="00D03F53" w:rsidRDefault="00334421" w:rsidP="00334421">
      <w:pPr>
        <w:tabs>
          <w:tab w:val="left" w:pos="851"/>
        </w:tabs>
        <w:ind w:left="851"/>
        <w:rPr>
          <w:sz w:val="24"/>
          <w:szCs w:val="24"/>
        </w:rPr>
      </w:pPr>
    </w:p>
    <w:p w:rsidR="00334421" w:rsidRPr="00D03F53" w:rsidRDefault="00334421" w:rsidP="00334421">
      <w:pPr>
        <w:tabs>
          <w:tab w:val="left" w:pos="851"/>
        </w:tabs>
        <w:ind w:left="851"/>
        <w:rPr>
          <w:sz w:val="24"/>
          <w:szCs w:val="24"/>
        </w:rPr>
      </w:pPr>
      <w:r w:rsidRPr="00D03F53">
        <w:rPr>
          <w:sz w:val="24"/>
          <w:szCs w:val="24"/>
        </w:rPr>
        <w:t>Resultaterne f</w:t>
      </w:r>
      <w:r>
        <w:rPr>
          <w:sz w:val="24"/>
          <w:szCs w:val="24"/>
        </w:rPr>
        <w:t>ra</w:t>
      </w:r>
      <w:r w:rsidRPr="00D03F53">
        <w:rPr>
          <w:sz w:val="24"/>
          <w:szCs w:val="24"/>
        </w:rPr>
        <w:t xml:space="preserve"> </w:t>
      </w:r>
      <w:r>
        <w:rPr>
          <w:sz w:val="24"/>
          <w:szCs w:val="24"/>
        </w:rPr>
        <w:t>s</w:t>
      </w:r>
      <w:r w:rsidRPr="00D03F53">
        <w:rPr>
          <w:sz w:val="24"/>
          <w:szCs w:val="24"/>
        </w:rPr>
        <w:t>tudie</w:t>
      </w:r>
      <w:r>
        <w:rPr>
          <w:sz w:val="24"/>
          <w:szCs w:val="24"/>
        </w:rPr>
        <w:t> </w:t>
      </w:r>
      <w:r w:rsidRPr="00D03F53">
        <w:rPr>
          <w:sz w:val="24"/>
          <w:szCs w:val="24"/>
        </w:rPr>
        <w:t xml:space="preserve">1 og </w:t>
      </w:r>
      <w:r>
        <w:rPr>
          <w:sz w:val="24"/>
          <w:szCs w:val="24"/>
        </w:rPr>
        <w:t>s</w:t>
      </w:r>
      <w:r w:rsidRPr="00D03F53">
        <w:rPr>
          <w:sz w:val="24"/>
          <w:szCs w:val="24"/>
        </w:rPr>
        <w:t>tudie</w:t>
      </w:r>
      <w:r>
        <w:rPr>
          <w:sz w:val="24"/>
          <w:szCs w:val="24"/>
        </w:rPr>
        <w:t> </w:t>
      </w:r>
      <w:r w:rsidRPr="00D03F53">
        <w:rPr>
          <w:sz w:val="24"/>
          <w:szCs w:val="24"/>
        </w:rPr>
        <w:t>2 er op</w:t>
      </w:r>
      <w:r>
        <w:rPr>
          <w:sz w:val="24"/>
          <w:szCs w:val="24"/>
        </w:rPr>
        <w:t>summeret</w:t>
      </w:r>
      <w:r w:rsidRPr="00D03F53">
        <w:rPr>
          <w:sz w:val="24"/>
          <w:szCs w:val="24"/>
        </w:rPr>
        <w:t xml:space="preserve"> i tabel</w:t>
      </w:r>
      <w:r>
        <w:rPr>
          <w:sz w:val="24"/>
          <w:szCs w:val="24"/>
        </w:rPr>
        <w:t> </w:t>
      </w:r>
      <w:r w:rsidRPr="00D03F53">
        <w:rPr>
          <w:sz w:val="24"/>
          <w:szCs w:val="24"/>
        </w:rPr>
        <w:t xml:space="preserve">1. I begge </w:t>
      </w:r>
      <w:r>
        <w:rPr>
          <w:sz w:val="24"/>
          <w:szCs w:val="24"/>
        </w:rPr>
        <w:t xml:space="preserve">studier </w:t>
      </w:r>
      <w:r w:rsidRPr="00D03F53">
        <w:rPr>
          <w:sz w:val="24"/>
          <w:szCs w:val="24"/>
        </w:rPr>
        <w:t>var procentdelen af patienter</w:t>
      </w:r>
      <w:r>
        <w:rPr>
          <w:sz w:val="24"/>
          <w:szCs w:val="24"/>
        </w:rPr>
        <w:t>,</w:t>
      </w:r>
      <w:r w:rsidRPr="00D03F53">
        <w:rPr>
          <w:sz w:val="24"/>
          <w:szCs w:val="24"/>
        </w:rPr>
        <w:t xml:space="preserve"> der opnåede </w:t>
      </w:r>
      <w:r>
        <w:rPr>
          <w:sz w:val="24"/>
          <w:szCs w:val="24"/>
        </w:rPr>
        <w:t>smerte</w:t>
      </w:r>
      <w:r w:rsidRPr="00D03F53">
        <w:rPr>
          <w:sz w:val="24"/>
          <w:szCs w:val="24"/>
        </w:rPr>
        <w:t xml:space="preserve">lindring af </w:t>
      </w:r>
      <w:r>
        <w:rPr>
          <w:sz w:val="24"/>
          <w:szCs w:val="24"/>
        </w:rPr>
        <w:t>hovedpine</w:t>
      </w:r>
      <w:r w:rsidRPr="00D03F53">
        <w:rPr>
          <w:sz w:val="24"/>
          <w:szCs w:val="24"/>
        </w:rPr>
        <w:t xml:space="preserve"> 2</w:t>
      </w:r>
      <w:r>
        <w:rPr>
          <w:sz w:val="24"/>
          <w:szCs w:val="24"/>
        </w:rPr>
        <w:t> </w:t>
      </w:r>
      <w:r w:rsidRPr="00D03F53">
        <w:rPr>
          <w:sz w:val="24"/>
          <w:szCs w:val="24"/>
        </w:rPr>
        <w:t xml:space="preserve">timer efter behandling, signikant </w:t>
      </w:r>
      <w:r>
        <w:rPr>
          <w:sz w:val="24"/>
          <w:szCs w:val="24"/>
        </w:rPr>
        <w:t>større</w:t>
      </w:r>
      <w:r w:rsidRPr="00D03F53">
        <w:rPr>
          <w:sz w:val="24"/>
          <w:szCs w:val="24"/>
        </w:rPr>
        <w:t xml:space="preserve"> blandt patienter</w:t>
      </w:r>
      <w:r>
        <w:rPr>
          <w:sz w:val="24"/>
          <w:szCs w:val="24"/>
        </w:rPr>
        <w:t>,</w:t>
      </w:r>
      <w:r w:rsidRPr="00D03F53">
        <w:rPr>
          <w:sz w:val="24"/>
          <w:szCs w:val="24"/>
        </w:rPr>
        <w:t xml:space="preserve"> der </w:t>
      </w:r>
      <w:r>
        <w:rPr>
          <w:sz w:val="24"/>
          <w:szCs w:val="24"/>
        </w:rPr>
        <w:t>fik</w:t>
      </w:r>
      <w:r w:rsidRPr="00D03F53">
        <w:rPr>
          <w:sz w:val="24"/>
          <w:szCs w:val="24"/>
        </w:rPr>
        <w:t xml:space="preserve"> Nomigrin 85</w:t>
      </w:r>
      <w:r>
        <w:rPr>
          <w:sz w:val="24"/>
          <w:szCs w:val="24"/>
        </w:rPr>
        <w:t> </w:t>
      </w:r>
      <w:r w:rsidRPr="00D03F53">
        <w:rPr>
          <w:sz w:val="24"/>
          <w:szCs w:val="24"/>
        </w:rPr>
        <w:t>mg/500</w:t>
      </w:r>
      <w:r>
        <w:rPr>
          <w:sz w:val="24"/>
          <w:szCs w:val="24"/>
        </w:rPr>
        <w:t> </w:t>
      </w:r>
      <w:r w:rsidRPr="00D03F53">
        <w:rPr>
          <w:sz w:val="24"/>
          <w:szCs w:val="24"/>
        </w:rPr>
        <w:t>mg (65</w:t>
      </w:r>
      <w:r>
        <w:rPr>
          <w:sz w:val="24"/>
          <w:szCs w:val="24"/>
        </w:rPr>
        <w:t> </w:t>
      </w:r>
      <w:r w:rsidRPr="00D03F53">
        <w:rPr>
          <w:sz w:val="24"/>
          <w:szCs w:val="24"/>
        </w:rPr>
        <w:t>% og 57</w:t>
      </w:r>
      <w:r>
        <w:rPr>
          <w:sz w:val="24"/>
          <w:szCs w:val="24"/>
        </w:rPr>
        <w:t> </w:t>
      </w:r>
      <w:r w:rsidRPr="00D03F53">
        <w:rPr>
          <w:sz w:val="24"/>
          <w:szCs w:val="24"/>
        </w:rPr>
        <w:t xml:space="preserve">%), sammenlignet med </w:t>
      </w:r>
      <w:r>
        <w:rPr>
          <w:sz w:val="24"/>
          <w:szCs w:val="24"/>
        </w:rPr>
        <w:t>patienter,</w:t>
      </w:r>
      <w:r w:rsidRPr="00D03F53">
        <w:rPr>
          <w:sz w:val="24"/>
          <w:szCs w:val="24"/>
        </w:rPr>
        <w:t xml:space="preserve"> der </w:t>
      </w:r>
      <w:r>
        <w:rPr>
          <w:sz w:val="24"/>
          <w:szCs w:val="24"/>
        </w:rPr>
        <w:t>fik</w:t>
      </w:r>
      <w:r w:rsidRPr="00D03F53">
        <w:rPr>
          <w:sz w:val="24"/>
          <w:szCs w:val="24"/>
        </w:rPr>
        <w:t xml:space="preserve"> placebo (28</w:t>
      </w:r>
      <w:r>
        <w:rPr>
          <w:sz w:val="24"/>
          <w:szCs w:val="24"/>
        </w:rPr>
        <w:t> </w:t>
      </w:r>
      <w:r w:rsidRPr="00D03F53">
        <w:rPr>
          <w:sz w:val="24"/>
          <w:szCs w:val="24"/>
        </w:rPr>
        <w:t>% og 29</w:t>
      </w:r>
      <w:r>
        <w:rPr>
          <w:sz w:val="24"/>
          <w:szCs w:val="24"/>
        </w:rPr>
        <w:t> </w:t>
      </w:r>
      <w:r w:rsidRPr="00D03F53">
        <w:rPr>
          <w:sz w:val="24"/>
          <w:szCs w:val="24"/>
        </w:rPr>
        <w:t>%). Derudover var procentdelen af patienter</w:t>
      </w:r>
      <w:r>
        <w:rPr>
          <w:sz w:val="24"/>
          <w:szCs w:val="24"/>
        </w:rPr>
        <w:t>,</w:t>
      </w:r>
      <w:r w:rsidRPr="00D03F53">
        <w:rPr>
          <w:sz w:val="24"/>
          <w:szCs w:val="24"/>
        </w:rPr>
        <w:t xml:space="preserve"> der forblev smertefri</w:t>
      </w:r>
      <w:r>
        <w:rPr>
          <w:sz w:val="24"/>
          <w:szCs w:val="24"/>
        </w:rPr>
        <w:t>e</w:t>
      </w:r>
      <w:r w:rsidRPr="00D03F53">
        <w:rPr>
          <w:sz w:val="24"/>
          <w:szCs w:val="24"/>
        </w:rPr>
        <w:t xml:space="preserve"> uden brugen af andre lægemidler </w:t>
      </w:r>
      <w:r>
        <w:rPr>
          <w:sz w:val="24"/>
          <w:szCs w:val="24"/>
        </w:rPr>
        <w:t>frem til</w:t>
      </w:r>
      <w:r w:rsidRPr="00D03F53">
        <w:rPr>
          <w:sz w:val="24"/>
          <w:szCs w:val="24"/>
        </w:rPr>
        <w:t xml:space="preserve"> 24</w:t>
      </w:r>
      <w:r>
        <w:rPr>
          <w:sz w:val="24"/>
          <w:szCs w:val="24"/>
        </w:rPr>
        <w:t> </w:t>
      </w:r>
      <w:r w:rsidRPr="00D03F53">
        <w:rPr>
          <w:sz w:val="24"/>
          <w:szCs w:val="24"/>
        </w:rPr>
        <w:t>timer efter dosering</w:t>
      </w:r>
      <w:r>
        <w:rPr>
          <w:sz w:val="24"/>
          <w:szCs w:val="24"/>
        </w:rPr>
        <w:t>,</w:t>
      </w:r>
      <w:r w:rsidRPr="00D03F53">
        <w:rPr>
          <w:sz w:val="24"/>
          <w:szCs w:val="24"/>
        </w:rPr>
        <w:t xml:space="preserve"> signifikant </w:t>
      </w:r>
      <w:r>
        <w:rPr>
          <w:sz w:val="24"/>
          <w:szCs w:val="24"/>
        </w:rPr>
        <w:t>større</w:t>
      </w:r>
      <w:r w:rsidRPr="00D03F53">
        <w:rPr>
          <w:sz w:val="24"/>
          <w:szCs w:val="24"/>
        </w:rPr>
        <w:t xml:space="preserve"> blandt patienter, der </w:t>
      </w:r>
      <w:r>
        <w:rPr>
          <w:sz w:val="24"/>
          <w:szCs w:val="24"/>
        </w:rPr>
        <w:t>fik</w:t>
      </w:r>
      <w:r w:rsidRPr="00D03F53">
        <w:rPr>
          <w:sz w:val="24"/>
          <w:szCs w:val="24"/>
        </w:rPr>
        <w:t xml:space="preserve"> en enkeltdosis af Nomigrin (25</w:t>
      </w:r>
      <w:r>
        <w:rPr>
          <w:sz w:val="24"/>
          <w:szCs w:val="24"/>
        </w:rPr>
        <w:t> </w:t>
      </w:r>
      <w:r w:rsidRPr="00D03F53">
        <w:rPr>
          <w:sz w:val="24"/>
          <w:szCs w:val="24"/>
        </w:rPr>
        <w:t>% og 23</w:t>
      </w:r>
      <w:r>
        <w:rPr>
          <w:sz w:val="24"/>
          <w:szCs w:val="24"/>
        </w:rPr>
        <w:t> </w:t>
      </w:r>
      <w:r w:rsidRPr="00D03F53">
        <w:rPr>
          <w:sz w:val="24"/>
          <w:szCs w:val="24"/>
        </w:rPr>
        <w:t>%), sammenlignet med patienter</w:t>
      </w:r>
      <w:r>
        <w:rPr>
          <w:sz w:val="24"/>
          <w:szCs w:val="24"/>
        </w:rPr>
        <w:t>,</w:t>
      </w:r>
      <w:r w:rsidRPr="00D03F53">
        <w:rPr>
          <w:sz w:val="24"/>
          <w:szCs w:val="24"/>
        </w:rPr>
        <w:t xml:space="preserve"> der </w:t>
      </w:r>
      <w:r>
        <w:rPr>
          <w:sz w:val="24"/>
          <w:szCs w:val="24"/>
        </w:rPr>
        <w:t>fik</w:t>
      </w:r>
      <w:r w:rsidRPr="00D03F53">
        <w:rPr>
          <w:sz w:val="24"/>
          <w:szCs w:val="24"/>
        </w:rPr>
        <w:t xml:space="preserve"> placebo (8</w:t>
      </w:r>
      <w:r>
        <w:rPr>
          <w:sz w:val="24"/>
          <w:szCs w:val="24"/>
        </w:rPr>
        <w:t> </w:t>
      </w:r>
      <w:r w:rsidRPr="00D03F53">
        <w:rPr>
          <w:sz w:val="24"/>
          <w:szCs w:val="24"/>
        </w:rPr>
        <w:t>% og 7</w:t>
      </w:r>
      <w:r>
        <w:rPr>
          <w:sz w:val="24"/>
          <w:szCs w:val="24"/>
        </w:rPr>
        <w:t> </w:t>
      </w:r>
      <w:r w:rsidRPr="00D03F53">
        <w:rPr>
          <w:sz w:val="24"/>
          <w:szCs w:val="24"/>
        </w:rPr>
        <w:t xml:space="preserve">%) eller enten </w:t>
      </w:r>
      <w:proofErr w:type="spellStart"/>
      <w:r w:rsidRPr="00D03F53">
        <w:rPr>
          <w:sz w:val="24"/>
          <w:szCs w:val="24"/>
        </w:rPr>
        <w:t>sumatriptan</w:t>
      </w:r>
      <w:proofErr w:type="spellEnd"/>
      <w:r w:rsidRPr="00D03F53">
        <w:rPr>
          <w:sz w:val="24"/>
          <w:szCs w:val="24"/>
        </w:rPr>
        <w:t xml:space="preserve"> (16</w:t>
      </w:r>
      <w:r>
        <w:rPr>
          <w:sz w:val="24"/>
          <w:szCs w:val="24"/>
        </w:rPr>
        <w:t> </w:t>
      </w:r>
      <w:r w:rsidRPr="00D03F53">
        <w:rPr>
          <w:sz w:val="24"/>
          <w:szCs w:val="24"/>
        </w:rPr>
        <w:t>% og 14</w:t>
      </w:r>
      <w:r>
        <w:rPr>
          <w:sz w:val="24"/>
          <w:szCs w:val="24"/>
        </w:rPr>
        <w:t> </w:t>
      </w:r>
      <w:r w:rsidRPr="00D03F53">
        <w:rPr>
          <w:sz w:val="24"/>
          <w:szCs w:val="24"/>
        </w:rPr>
        <w:t xml:space="preserve">%) eller </w:t>
      </w:r>
      <w:proofErr w:type="spellStart"/>
      <w:r w:rsidRPr="00D03F53">
        <w:rPr>
          <w:sz w:val="24"/>
          <w:szCs w:val="24"/>
        </w:rPr>
        <w:t>naproxen</w:t>
      </w:r>
      <w:proofErr w:type="spellEnd"/>
      <w:r w:rsidRPr="00D03F53">
        <w:rPr>
          <w:sz w:val="24"/>
          <w:szCs w:val="24"/>
        </w:rPr>
        <w:t xml:space="preserve"> (10</w:t>
      </w:r>
      <w:r>
        <w:rPr>
          <w:sz w:val="24"/>
          <w:szCs w:val="24"/>
        </w:rPr>
        <w:t> </w:t>
      </w:r>
      <w:r w:rsidRPr="00D03F53">
        <w:rPr>
          <w:sz w:val="24"/>
          <w:szCs w:val="24"/>
        </w:rPr>
        <w:t>%) alene.</w:t>
      </w:r>
    </w:p>
    <w:p w:rsidR="00334421" w:rsidRPr="00D03F53" w:rsidRDefault="00334421" w:rsidP="00334421">
      <w:pPr>
        <w:tabs>
          <w:tab w:val="left" w:pos="851"/>
        </w:tabs>
        <w:ind w:left="851"/>
        <w:rPr>
          <w:sz w:val="24"/>
          <w:szCs w:val="24"/>
        </w:rPr>
      </w:pPr>
    </w:p>
    <w:p w:rsidR="00334421" w:rsidRDefault="00334421" w:rsidP="00334421">
      <w:pPr>
        <w:tabs>
          <w:tab w:val="left" w:pos="851"/>
        </w:tabs>
        <w:ind w:left="851"/>
        <w:rPr>
          <w:sz w:val="24"/>
          <w:szCs w:val="24"/>
        </w:rPr>
      </w:pPr>
      <w:r w:rsidRPr="00D03F53">
        <w:rPr>
          <w:sz w:val="24"/>
          <w:szCs w:val="24"/>
        </w:rPr>
        <w:t>Tabel</w:t>
      </w:r>
      <w:r>
        <w:rPr>
          <w:sz w:val="24"/>
          <w:szCs w:val="24"/>
        </w:rPr>
        <w:t> </w:t>
      </w:r>
      <w:r w:rsidRPr="00D03F53">
        <w:rPr>
          <w:sz w:val="24"/>
          <w:szCs w:val="24"/>
        </w:rPr>
        <w:t>1. Procentdelen af voksne patienter med 2</w:t>
      </w:r>
      <w:r>
        <w:rPr>
          <w:sz w:val="24"/>
          <w:szCs w:val="24"/>
        </w:rPr>
        <w:t> </w:t>
      </w:r>
      <w:r w:rsidRPr="00D03F53">
        <w:rPr>
          <w:sz w:val="24"/>
          <w:szCs w:val="24"/>
        </w:rPr>
        <w:t>timers smertelindring eller v</w:t>
      </w:r>
      <w:r>
        <w:rPr>
          <w:sz w:val="24"/>
          <w:szCs w:val="24"/>
        </w:rPr>
        <w:t>edvarende</w:t>
      </w:r>
      <w:r w:rsidRPr="00D03F53">
        <w:rPr>
          <w:sz w:val="24"/>
          <w:szCs w:val="24"/>
        </w:rPr>
        <w:t xml:space="preserve"> smertefrihed</w:t>
      </w:r>
      <w:r>
        <w:rPr>
          <w:sz w:val="24"/>
          <w:szCs w:val="24"/>
        </w:rPr>
        <w:t xml:space="preserve"> efter</w:t>
      </w:r>
      <w:r w:rsidRPr="00D03F53">
        <w:rPr>
          <w:sz w:val="24"/>
          <w:szCs w:val="24"/>
        </w:rPr>
        <w:t xml:space="preserve"> </w:t>
      </w:r>
      <w:proofErr w:type="spellStart"/>
      <w:r w:rsidRPr="00D03F53">
        <w:rPr>
          <w:sz w:val="24"/>
          <w:szCs w:val="24"/>
        </w:rPr>
        <w:t>behandling</w:t>
      </w:r>
      <w:r w:rsidRPr="00F83D59">
        <w:rPr>
          <w:sz w:val="24"/>
          <w:szCs w:val="24"/>
          <w:vertAlign w:val="superscript"/>
        </w:rPr>
        <w:t>a</w:t>
      </w:r>
      <w:proofErr w:type="spellEnd"/>
    </w:p>
    <w:p w:rsidR="00334421" w:rsidRDefault="00334421" w:rsidP="00334421">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1831"/>
        <w:gridCol w:w="1773"/>
        <w:gridCol w:w="1661"/>
        <w:gridCol w:w="2056"/>
        <w:gridCol w:w="1456"/>
      </w:tblGrid>
      <w:tr w:rsidR="00334421" w:rsidRPr="008B4E9D" w:rsidTr="00334421">
        <w:tc>
          <w:tcPr>
            <w:tcW w:w="1844" w:type="dxa"/>
            <w:vAlign w:val="center"/>
          </w:tcPr>
          <w:p w:rsidR="00334421" w:rsidRPr="008B4E9D" w:rsidRDefault="00334421" w:rsidP="00334421">
            <w:pPr>
              <w:tabs>
                <w:tab w:val="left" w:pos="851"/>
              </w:tabs>
              <w:rPr>
                <w:sz w:val="24"/>
                <w:szCs w:val="24"/>
              </w:rPr>
            </w:pPr>
          </w:p>
        </w:tc>
        <w:tc>
          <w:tcPr>
            <w:tcW w:w="1794" w:type="dxa"/>
            <w:vAlign w:val="center"/>
          </w:tcPr>
          <w:p w:rsidR="00334421" w:rsidRPr="008B4E9D" w:rsidRDefault="00334421" w:rsidP="00334421">
            <w:pPr>
              <w:tabs>
                <w:tab w:val="left" w:pos="851"/>
              </w:tabs>
              <w:rPr>
                <w:sz w:val="24"/>
                <w:szCs w:val="24"/>
              </w:rPr>
            </w:pPr>
            <w:r w:rsidRPr="008B4E9D">
              <w:rPr>
                <w:sz w:val="24"/>
                <w:szCs w:val="24"/>
              </w:rPr>
              <w:t>Nomigrin 85 mg/500 mg</w:t>
            </w:r>
          </w:p>
        </w:tc>
        <w:tc>
          <w:tcPr>
            <w:tcW w:w="1698" w:type="dxa"/>
            <w:vAlign w:val="center"/>
          </w:tcPr>
          <w:p w:rsidR="00334421" w:rsidRPr="008B4E9D" w:rsidRDefault="00334421" w:rsidP="00334421">
            <w:pPr>
              <w:tabs>
                <w:tab w:val="left" w:pos="851"/>
              </w:tabs>
              <w:rPr>
                <w:sz w:val="24"/>
                <w:szCs w:val="24"/>
              </w:rPr>
            </w:pPr>
            <w:proofErr w:type="spellStart"/>
            <w:r w:rsidRPr="008B4E9D">
              <w:rPr>
                <w:sz w:val="24"/>
                <w:szCs w:val="24"/>
              </w:rPr>
              <w:t>Sumatriptan</w:t>
            </w:r>
            <w:proofErr w:type="spellEnd"/>
            <w:r w:rsidRPr="008B4E9D">
              <w:rPr>
                <w:sz w:val="24"/>
                <w:szCs w:val="24"/>
              </w:rPr>
              <w:t xml:space="preserve"> 85 mg</w:t>
            </w:r>
          </w:p>
        </w:tc>
        <w:tc>
          <w:tcPr>
            <w:tcW w:w="1919" w:type="dxa"/>
            <w:vAlign w:val="center"/>
          </w:tcPr>
          <w:p w:rsidR="00334421" w:rsidRPr="008B4E9D" w:rsidRDefault="00334421" w:rsidP="00334421">
            <w:pPr>
              <w:tabs>
                <w:tab w:val="left" w:pos="851"/>
              </w:tabs>
              <w:rPr>
                <w:sz w:val="24"/>
                <w:szCs w:val="24"/>
              </w:rPr>
            </w:pPr>
            <w:proofErr w:type="spellStart"/>
            <w:r w:rsidRPr="008B4E9D">
              <w:rPr>
                <w:sz w:val="24"/>
                <w:szCs w:val="24"/>
              </w:rPr>
              <w:t>Naprox</w:t>
            </w:r>
            <w:r>
              <w:rPr>
                <w:sz w:val="24"/>
                <w:szCs w:val="24"/>
              </w:rPr>
              <w:t>ium</w:t>
            </w:r>
            <w:r w:rsidRPr="008B4E9D">
              <w:rPr>
                <w:sz w:val="24"/>
                <w:szCs w:val="24"/>
              </w:rPr>
              <w:t>natrium</w:t>
            </w:r>
            <w:proofErr w:type="spellEnd"/>
            <w:r w:rsidRPr="008B4E9D">
              <w:rPr>
                <w:sz w:val="24"/>
                <w:szCs w:val="24"/>
              </w:rPr>
              <w:t xml:space="preserve"> 500 mg</w:t>
            </w:r>
          </w:p>
        </w:tc>
        <w:tc>
          <w:tcPr>
            <w:tcW w:w="1522" w:type="dxa"/>
            <w:vAlign w:val="center"/>
          </w:tcPr>
          <w:p w:rsidR="00334421" w:rsidRPr="008B4E9D" w:rsidRDefault="00334421" w:rsidP="00334421">
            <w:pPr>
              <w:tabs>
                <w:tab w:val="left" w:pos="851"/>
              </w:tabs>
              <w:rPr>
                <w:sz w:val="24"/>
                <w:szCs w:val="24"/>
              </w:rPr>
            </w:pPr>
            <w:r w:rsidRPr="008B4E9D">
              <w:rPr>
                <w:sz w:val="24"/>
                <w:szCs w:val="24"/>
              </w:rPr>
              <w:t>Placebo</w:t>
            </w:r>
          </w:p>
        </w:tc>
      </w:tr>
      <w:tr w:rsidR="00334421" w:rsidRPr="008B4E9D" w:rsidTr="00334421">
        <w:tc>
          <w:tcPr>
            <w:tcW w:w="1844" w:type="dxa"/>
          </w:tcPr>
          <w:p w:rsidR="00334421" w:rsidRPr="00F83D59" w:rsidRDefault="00334421" w:rsidP="00334421">
            <w:pPr>
              <w:tabs>
                <w:tab w:val="left" w:pos="851"/>
              </w:tabs>
              <w:rPr>
                <w:b/>
                <w:bCs/>
                <w:sz w:val="24"/>
                <w:szCs w:val="24"/>
              </w:rPr>
            </w:pPr>
            <w:r w:rsidRPr="00F83D59">
              <w:rPr>
                <w:b/>
                <w:bCs/>
                <w:sz w:val="24"/>
                <w:szCs w:val="24"/>
              </w:rPr>
              <w:t>2 timers smertelindring</w:t>
            </w:r>
          </w:p>
        </w:tc>
        <w:tc>
          <w:tcPr>
            <w:tcW w:w="1794" w:type="dxa"/>
          </w:tcPr>
          <w:p w:rsidR="00334421" w:rsidRPr="008B4E9D" w:rsidRDefault="00334421" w:rsidP="00334421">
            <w:pPr>
              <w:tabs>
                <w:tab w:val="left" w:pos="851"/>
              </w:tabs>
              <w:rPr>
                <w:sz w:val="24"/>
                <w:szCs w:val="24"/>
              </w:rPr>
            </w:pPr>
          </w:p>
        </w:tc>
        <w:tc>
          <w:tcPr>
            <w:tcW w:w="1698" w:type="dxa"/>
          </w:tcPr>
          <w:p w:rsidR="00334421" w:rsidRPr="008B4E9D" w:rsidRDefault="00334421" w:rsidP="00334421">
            <w:pPr>
              <w:tabs>
                <w:tab w:val="left" w:pos="851"/>
              </w:tabs>
              <w:rPr>
                <w:sz w:val="24"/>
                <w:szCs w:val="24"/>
              </w:rPr>
            </w:pPr>
          </w:p>
        </w:tc>
        <w:tc>
          <w:tcPr>
            <w:tcW w:w="1919" w:type="dxa"/>
          </w:tcPr>
          <w:p w:rsidR="00334421" w:rsidRPr="008B4E9D" w:rsidRDefault="00334421" w:rsidP="00334421">
            <w:pPr>
              <w:tabs>
                <w:tab w:val="left" w:pos="851"/>
              </w:tabs>
              <w:rPr>
                <w:sz w:val="24"/>
                <w:szCs w:val="24"/>
              </w:rPr>
            </w:pPr>
          </w:p>
        </w:tc>
        <w:tc>
          <w:tcPr>
            <w:tcW w:w="1522" w:type="dxa"/>
          </w:tcPr>
          <w:p w:rsidR="00334421" w:rsidRPr="008B4E9D" w:rsidRDefault="00334421" w:rsidP="00334421">
            <w:pPr>
              <w:tabs>
                <w:tab w:val="left" w:pos="851"/>
              </w:tabs>
              <w:rPr>
                <w:sz w:val="24"/>
                <w:szCs w:val="24"/>
              </w:rPr>
            </w:pPr>
          </w:p>
        </w:tc>
      </w:tr>
      <w:tr w:rsidR="00334421" w:rsidRPr="008B4E9D" w:rsidTr="00334421">
        <w:tc>
          <w:tcPr>
            <w:tcW w:w="1844" w:type="dxa"/>
          </w:tcPr>
          <w:p w:rsidR="00334421" w:rsidRPr="008B4E9D" w:rsidRDefault="00334421" w:rsidP="00334421">
            <w:pPr>
              <w:tabs>
                <w:tab w:val="left" w:pos="851"/>
              </w:tabs>
              <w:rPr>
                <w:sz w:val="24"/>
                <w:szCs w:val="24"/>
              </w:rPr>
            </w:pPr>
            <w:r w:rsidRPr="008B4E9D">
              <w:rPr>
                <w:sz w:val="24"/>
                <w:szCs w:val="24"/>
              </w:rPr>
              <w:t>Studie 1</w:t>
            </w:r>
          </w:p>
        </w:tc>
        <w:tc>
          <w:tcPr>
            <w:tcW w:w="1794" w:type="dxa"/>
            <w:shd w:val="clear" w:color="auto" w:fill="auto"/>
            <w:vAlign w:val="center"/>
          </w:tcPr>
          <w:p w:rsidR="00334421" w:rsidRPr="00F83D59" w:rsidRDefault="00334421" w:rsidP="00334421">
            <w:pPr>
              <w:rPr>
                <w:sz w:val="24"/>
                <w:szCs w:val="24"/>
                <w:lang w:val="fi-FI"/>
              </w:rPr>
            </w:pPr>
            <w:r w:rsidRPr="00F83D59">
              <w:rPr>
                <w:sz w:val="24"/>
                <w:szCs w:val="24"/>
                <w:lang w:val="fi-FI"/>
              </w:rPr>
              <w:t>65 %</w:t>
            </w:r>
            <w:r w:rsidRPr="00F83D59">
              <w:rPr>
                <w:sz w:val="24"/>
                <w:szCs w:val="24"/>
                <w:vertAlign w:val="superscript"/>
                <w:lang w:val="fi-FI"/>
              </w:rPr>
              <w:t>b</w:t>
            </w:r>
          </w:p>
          <w:p w:rsidR="00334421" w:rsidRPr="008B4E9D" w:rsidRDefault="00334421" w:rsidP="00334421">
            <w:pPr>
              <w:tabs>
                <w:tab w:val="left" w:pos="851"/>
              </w:tabs>
              <w:rPr>
                <w:sz w:val="24"/>
                <w:szCs w:val="24"/>
              </w:rPr>
            </w:pPr>
            <w:r w:rsidRPr="00F83D59">
              <w:rPr>
                <w:sz w:val="24"/>
                <w:szCs w:val="24"/>
                <w:lang w:val="en-US"/>
              </w:rPr>
              <w:t>n = 364</w:t>
            </w:r>
          </w:p>
        </w:tc>
        <w:tc>
          <w:tcPr>
            <w:tcW w:w="1698" w:type="dxa"/>
            <w:shd w:val="clear" w:color="auto" w:fill="auto"/>
            <w:vAlign w:val="center"/>
          </w:tcPr>
          <w:p w:rsidR="00334421" w:rsidRPr="00F83D59" w:rsidRDefault="00334421" w:rsidP="00334421">
            <w:pPr>
              <w:rPr>
                <w:sz w:val="24"/>
                <w:szCs w:val="24"/>
                <w:lang w:val="fi-FI"/>
              </w:rPr>
            </w:pPr>
            <w:r w:rsidRPr="00F83D59">
              <w:rPr>
                <w:sz w:val="24"/>
                <w:szCs w:val="24"/>
                <w:lang w:val="fi-FI"/>
              </w:rPr>
              <w:t>55 %</w:t>
            </w:r>
          </w:p>
          <w:p w:rsidR="00334421" w:rsidRPr="008B4E9D" w:rsidRDefault="00334421" w:rsidP="00334421">
            <w:pPr>
              <w:tabs>
                <w:tab w:val="left" w:pos="851"/>
              </w:tabs>
              <w:rPr>
                <w:sz w:val="24"/>
                <w:szCs w:val="24"/>
              </w:rPr>
            </w:pPr>
            <w:r w:rsidRPr="00F83D59">
              <w:rPr>
                <w:sz w:val="24"/>
                <w:szCs w:val="24"/>
                <w:lang w:val="en-US"/>
              </w:rPr>
              <w:t>n = 361</w:t>
            </w:r>
          </w:p>
        </w:tc>
        <w:tc>
          <w:tcPr>
            <w:tcW w:w="1919" w:type="dxa"/>
            <w:shd w:val="clear" w:color="auto" w:fill="auto"/>
            <w:vAlign w:val="center"/>
          </w:tcPr>
          <w:p w:rsidR="00334421" w:rsidRPr="00F83D59" w:rsidRDefault="00334421" w:rsidP="00334421">
            <w:pPr>
              <w:rPr>
                <w:sz w:val="24"/>
                <w:szCs w:val="24"/>
                <w:lang w:val="fi-FI"/>
              </w:rPr>
            </w:pPr>
            <w:r w:rsidRPr="00F83D59">
              <w:rPr>
                <w:sz w:val="24"/>
                <w:szCs w:val="24"/>
                <w:lang w:val="fi-FI"/>
              </w:rPr>
              <w:t>44 %</w:t>
            </w:r>
          </w:p>
          <w:p w:rsidR="00334421" w:rsidRPr="008B4E9D" w:rsidRDefault="00334421" w:rsidP="00334421">
            <w:pPr>
              <w:tabs>
                <w:tab w:val="left" w:pos="851"/>
              </w:tabs>
              <w:rPr>
                <w:sz w:val="24"/>
                <w:szCs w:val="24"/>
              </w:rPr>
            </w:pPr>
            <w:r w:rsidRPr="00F83D59">
              <w:rPr>
                <w:sz w:val="24"/>
                <w:szCs w:val="24"/>
                <w:lang w:val="en-US"/>
              </w:rPr>
              <w:t>n = 356</w:t>
            </w:r>
          </w:p>
        </w:tc>
        <w:tc>
          <w:tcPr>
            <w:tcW w:w="1522" w:type="dxa"/>
            <w:shd w:val="clear" w:color="auto" w:fill="auto"/>
            <w:vAlign w:val="center"/>
          </w:tcPr>
          <w:p w:rsidR="00334421" w:rsidRPr="00F83D59" w:rsidRDefault="00334421" w:rsidP="00334421">
            <w:pPr>
              <w:rPr>
                <w:sz w:val="24"/>
                <w:szCs w:val="24"/>
                <w:lang w:val="fi-FI"/>
              </w:rPr>
            </w:pPr>
            <w:r w:rsidRPr="00F83D59">
              <w:rPr>
                <w:sz w:val="24"/>
                <w:szCs w:val="24"/>
                <w:lang w:val="fi-FI"/>
              </w:rPr>
              <w:t>28 %</w:t>
            </w:r>
          </w:p>
          <w:p w:rsidR="00334421" w:rsidRPr="008B4E9D" w:rsidRDefault="00334421" w:rsidP="00334421">
            <w:pPr>
              <w:tabs>
                <w:tab w:val="left" w:pos="851"/>
              </w:tabs>
              <w:rPr>
                <w:sz w:val="24"/>
                <w:szCs w:val="24"/>
              </w:rPr>
            </w:pPr>
            <w:r w:rsidRPr="00F83D59">
              <w:rPr>
                <w:sz w:val="24"/>
                <w:szCs w:val="24"/>
                <w:lang w:val="en-US"/>
              </w:rPr>
              <w:t>n = 360</w:t>
            </w:r>
          </w:p>
        </w:tc>
      </w:tr>
      <w:tr w:rsidR="00334421" w:rsidRPr="008B4E9D" w:rsidTr="00334421">
        <w:tc>
          <w:tcPr>
            <w:tcW w:w="1844" w:type="dxa"/>
          </w:tcPr>
          <w:p w:rsidR="00334421" w:rsidRPr="008B4E9D" w:rsidRDefault="00334421" w:rsidP="00334421">
            <w:pPr>
              <w:tabs>
                <w:tab w:val="left" w:pos="851"/>
              </w:tabs>
              <w:rPr>
                <w:sz w:val="24"/>
                <w:szCs w:val="24"/>
              </w:rPr>
            </w:pPr>
            <w:r w:rsidRPr="008B4E9D">
              <w:rPr>
                <w:sz w:val="24"/>
                <w:szCs w:val="24"/>
              </w:rPr>
              <w:t>Studie 2</w:t>
            </w:r>
          </w:p>
        </w:tc>
        <w:tc>
          <w:tcPr>
            <w:tcW w:w="1794" w:type="dxa"/>
            <w:shd w:val="clear" w:color="auto" w:fill="auto"/>
            <w:vAlign w:val="center"/>
          </w:tcPr>
          <w:p w:rsidR="00334421" w:rsidRPr="00F83D59" w:rsidRDefault="00334421" w:rsidP="00334421">
            <w:pPr>
              <w:rPr>
                <w:sz w:val="24"/>
                <w:szCs w:val="24"/>
                <w:lang w:val="fi-FI"/>
              </w:rPr>
            </w:pPr>
            <w:r w:rsidRPr="00F83D59">
              <w:rPr>
                <w:sz w:val="24"/>
                <w:szCs w:val="24"/>
                <w:lang w:val="fi-FI"/>
              </w:rPr>
              <w:t>57 %</w:t>
            </w:r>
            <w:r w:rsidRPr="00F83D59">
              <w:rPr>
                <w:sz w:val="24"/>
                <w:szCs w:val="24"/>
                <w:vertAlign w:val="superscript"/>
                <w:lang w:val="fi-FI"/>
              </w:rPr>
              <w:t>b</w:t>
            </w:r>
          </w:p>
          <w:p w:rsidR="00334421" w:rsidRPr="008B4E9D" w:rsidRDefault="00334421" w:rsidP="00334421">
            <w:pPr>
              <w:tabs>
                <w:tab w:val="left" w:pos="851"/>
              </w:tabs>
              <w:rPr>
                <w:sz w:val="24"/>
                <w:szCs w:val="24"/>
              </w:rPr>
            </w:pPr>
            <w:r w:rsidRPr="00F83D59">
              <w:rPr>
                <w:sz w:val="24"/>
                <w:szCs w:val="24"/>
                <w:lang w:val="en-US"/>
              </w:rPr>
              <w:t>n = 362</w:t>
            </w:r>
          </w:p>
        </w:tc>
        <w:tc>
          <w:tcPr>
            <w:tcW w:w="1698" w:type="dxa"/>
            <w:shd w:val="clear" w:color="auto" w:fill="auto"/>
            <w:vAlign w:val="center"/>
          </w:tcPr>
          <w:p w:rsidR="00334421" w:rsidRPr="00F83D59" w:rsidRDefault="00334421" w:rsidP="00334421">
            <w:pPr>
              <w:rPr>
                <w:sz w:val="24"/>
                <w:szCs w:val="24"/>
                <w:lang w:val="fi-FI"/>
              </w:rPr>
            </w:pPr>
            <w:r w:rsidRPr="00F83D59">
              <w:rPr>
                <w:sz w:val="24"/>
                <w:szCs w:val="24"/>
                <w:lang w:val="fi-FI"/>
              </w:rPr>
              <w:t>50 %</w:t>
            </w:r>
          </w:p>
          <w:p w:rsidR="00334421" w:rsidRPr="008B4E9D" w:rsidRDefault="00334421" w:rsidP="00334421">
            <w:pPr>
              <w:tabs>
                <w:tab w:val="left" w:pos="851"/>
              </w:tabs>
              <w:rPr>
                <w:sz w:val="24"/>
                <w:szCs w:val="24"/>
              </w:rPr>
            </w:pPr>
            <w:r w:rsidRPr="00F83D59">
              <w:rPr>
                <w:sz w:val="24"/>
                <w:szCs w:val="24"/>
                <w:lang w:val="en-US"/>
              </w:rPr>
              <w:t>n = 362</w:t>
            </w:r>
          </w:p>
        </w:tc>
        <w:tc>
          <w:tcPr>
            <w:tcW w:w="1919" w:type="dxa"/>
            <w:shd w:val="clear" w:color="auto" w:fill="auto"/>
            <w:vAlign w:val="center"/>
          </w:tcPr>
          <w:p w:rsidR="00334421" w:rsidRPr="00F83D59" w:rsidRDefault="00334421" w:rsidP="00334421">
            <w:pPr>
              <w:rPr>
                <w:sz w:val="24"/>
                <w:szCs w:val="24"/>
                <w:lang w:val="fi-FI"/>
              </w:rPr>
            </w:pPr>
            <w:r w:rsidRPr="00F83D59">
              <w:rPr>
                <w:sz w:val="24"/>
                <w:szCs w:val="24"/>
                <w:lang w:val="fi-FI"/>
              </w:rPr>
              <w:t>43 %</w:t>
            </w:r>
          </w:p>
          <w:p w:rsidR="00334421" w:rsidRPr="008B4E9D" w:rsidRDefault="00334421" w:rsidP="00334421">
            <w:pPr>
              <w:tabs>
                <w:tab w:val="left" w:pos="851"/>
              </w:tabs>
              <w:rPr>
                <w:sz w:val="24"/>
                <w:szCs w:val="24"/>
              </w:rPr>
            </w:pPr>
            <w:r w:rsidRPr="00F83D59">
              <w:rPr>
                <w:sz w:val="24"/>
                <w:szCs w:val="24"/>
                <w:lang w:val="en-US"/>
              </w:rPr>
              <w:t>n = 364</w:t>
            </w:r>
          </w:p>
        </w:tc>
        <w:tc>
          <w:tcPr>
            <w:tcW w:w="1522" w:type="dxa"/>
            <w:shd w:val="clear" w:color="auto" w:fill="auto"/>
            <w:vAlign w:val="center"/>
          </w:tcPr>
          <w:p w:rsidR="00334421" w:rsidRPr="00F83D59" w:rsidRDefault="00334421" w:rsidP="00334421">
            <w:pPr>
              <w:rPr>
                <w:sz w:val="24"/>
                <w:szCs w:val="24"/>
                <w:lang w:val="fi-FI"/>
              </w:rPr>
            </w:pPr>
            <w:r w:rsidRPr="00F83D59">
              <w:rPr>
                <w:sz w:val="24"/>
                <w:szCs w:val="24"/>
                <w:lang w:val="fi-FI"/>
              </w:rPr>
              <w:t>29 %</w:t>
            </w:r>
          </w:p>
          <w:p w:rsidR="00334421" w:rsidRPr="008B4E9D" w:rsidRDefault="00334421" w:rsidP="00334421">
            <w:pPr>
              <w:tabs>
                <w:tab w:val="left" w:pos="851"/>
              </w:tabs>
              <w:rPr>
                <w:sz w:val="24"/>
                <w:szCs w:val="24"/>
              </w:rPr>
            </w:pPr>
            <w:r w:rsidRPr="00F83D59">
              <w:rPr>
                <w:sz w:val="24"/>
                <w:szCs w:val="24"/>
                <w:lang w:val="en-US"/>
              </w:rPr>
              <w:t>n = 382</w:t>
            </w:r>
          </w:p>
        </w:tc>
      </w:tr>
      <w:tr w:rsidR="00334421" w:rsidRPr="008B4E9D" w:rsidTr="00334421">
        <w:tc>
          <w:tcPr>
            <w:tcW w:w="1844" w:type="dxa"/>
          </w:tcPr>
          <w:p w:rsidR="00334421" w:rsidRPr="00F83D59" w:rsidRDefault="00334421" w:rsidP="00334421">
            <w:pPr>
              <w:tabs>
                <w:tab w:val="left" w:pos="851"/>
              </w:tabs>
              <w:rPr>
                <w:b/>
                <w:bCs/>
                <w:sz w:val="24"/>
                <w:szCs w:val="24"/>
              </w:rPr>
            </w:pPr>
            <w:r w:rsidRPr="00F83D59">
              <w:rPr>
                <w:b/>
                <w:bCs/>
                <w:sz w:val="24"/>
                <w:szCs w:val="24"/>
              </w:rPr>
              <w:t>Vedvarende smertefrihed (2</w:t>
            </w:r>
            <w:r w:rsidRPr="00F83D59">
              <w:rPr>
                <w:b/>
                <w:bCs/>
                <w:sz w:val="24"/>
                <w:szCs w:val="24"/>
              </w:rPr>
              <w:noBreakHyphen/>
              <w:t>24 timer)</w:t>
            </w:r>
          </w:p>
        </w:tc>
        <w:tc>
          <w:tcPr>
            <w:tcW w:w="1794" w:type="dxa"/>
            <w:shd w:val="clear" w:color="auto" w:fill="auto"/>
            <w:vAlign w:val="center"/>
          </w:tcPr>
          <w:p w:rsidR="00334421" w:rsidRPr="008B4E9D" w:rsidRDefault="00334421" w:rsidP="00334421">
            <w:pPr>
              <w:tabs>
                <w:tab w:val="left" w:pos="851"/>
              </w:tabs>
              <w:rPr>
                <w:sz w:val="24"/>
                <w:szCs w:val="24"/>
              </w:rPr>
            </w:pPr>
          </w:p>
        </w:tc>
        <w:tc>
          <w:tcPr>
            <w:tcW w:w="1698" w:type="dxa"/>
            <w:shd w:val="clear" w:color="auto" w:fill="auto"/>
            <w:vAlign w:val="center"/>
          </w:tcPr>
          <w:p w:rsidR="00334421" w:rsidRPr="008B4E9D" w:rsidRDefault="00334421" w:rsidP="00334421">
            <w:pPr>
              <w:tabs>
                <w:tab w:val="left" w:pos="851"/>
              </w:tabs>
              <w:rPr>
                <w:sz w:val="24"/>
                <w:szCs w:val="24"/>
              </w:rPr>
            </w:pPr>
          </w:p>
        </w:tc>
        <w:tc>
          <w:tcPr>
            <w:tcW w:w="1919" w:type="dxa"/>
            <w:shd w:val="clear" w:color="auto" w:fill="auto"/>
            <w:vAlign w:val="center"/>
          </w:tcPr>
          <w:p w:rsidR="00334421" w:rsidRPr="008B4E9D" w:rsidRDefault="00334421" w:rsidP="00334421">
            <w:pPr>
              <w:tabs>
                <w:tab w:val="left" w:pos="851"/>
              </w:tabs>
              <w:rPr>
                <w:sz w:val="24"/>
                <w:szCs w:val="24"/>
              </w:rPr>
            </w:pPr>
          </w:p>
        </w:tc>
        <w:tc>
          <w:tcPr>
            <w:tcW w:w="1522" w:type="dxa"/>
            <w:shd w:val="clear" w:color="auto" w:fill="auto"/>
            <w:vAlign w:val="center"/>
          </w:tcPr>
          <w:p w:rsidR="00334421" w:rsidRPr="008B4E9D" w:rsidRDefault="00334421" w:rsidP="00334421">
            <w:pPr>
              <w:tabs>
                <w:tab w:val="left" w:pos="851"/>
              </w:tabs>
              <w:rPr>
                <w:sz w:val="24"/>
                <w:szCs w:val="24"/>
              </w:rPr>
            </w:pPr>
          </w:p>
        </w:tc>
      </w:tr>
      <w:tr w:rsidR="00334421" w:rsidRPr="008B4E9D" w:rsidTr="00334421">
        <w:tc>
          <w:tcPr>
            <w:tcW w:w="1844" w:type="dxa"/>
          </w:tcPr>
          <w:p w:rsidR="00334421" w:rsidRPr="008B4E9D" w:rsidRDefault="00334421" w:rsidP="00334421">
            <w:pPr>
              <w:tabs>
                <w:tab w:val="left" w:pos="851"/>
              </w:tabs>
              <w:rPr>
                <w:sz w:val="24"/>
                <w:szCs w:val="24"/>
              </w:rPr>
            </w:pPr>
            <w:r w:rsidRPr="008B4E9D">
              <w:rPr>
                <w:sz w:val="24"/>
                <w:szCs w:val="24"/>
              </w:rPr>
              <w:t>Studie 1</w:t>
            </w:r>
          </w:p>
        </w:tc>
        <w:tc>
          <w:tcPr>
            <w:tcW w:w="1794" w:type="dxa"/>
            <w:shd w:val="clear" w:color="auto" w:fill="auto"/>
            <w:vAlign w:val="center"/>
          </w:tcPr>
          <w:p w:rsidR="00334421" w:rsidRPr="00F83D59" w:rsidRDefault="00334421" w:rsidP="00334421">
            <w:pPr>
              <w:rPr>
                <w:sz w:val="24"/>
                <w:szCs w:val="24"/>
                <w:lang w:val="fi-FI"/>
              </w:rPr>
            </w:pPr>
            <w:r w:rsidRPr="00F83D59">
              <w:rPr>
                <w:sz w:val="24"/>
                <w:szCs w:val="24"/>
                <w:lang w:val="fi-FI"/>
              </w:rPr>
              <w:t>25 %</w:t>
            </w:r>
            <w:r w:rsidRPr="00F83D59">
              <w:rPr>
                <w:sz w:val="24"/>
                <w:szCs w:val="24"/>
                <w:vertAlign w:val="superscript"/>
                <w:lang w:val="fi-FI"/>
              </w:rPr>
              <w:t>c</w:t>
            </w:r>
          </w:p>
          <w:p w:rsidR="00334421" w:rsidRPr="008B4E9D" w:rsidRDefault="00334421" w:rsidP="00334421">
            <w:pPr>
              <w:tabs>
                <w:tab w:val="left" w:pos="851"/>
              </w:tabs>
              <w:rPr>
                <w:sz w:val="24"/>
                <w:szCs w:val="24"/>
              </w:rPr>
            </w:pPr>
            <w:r w:rsidRPr="00F83D59">
              <w:rPr>
                <w:sz w:val="24"/>
                <w:szCs w:val="24"/>
                <w:lang w:val="en-US"/>
              </w:rPr>
              <w:t>n = 364</w:t>
            </w:r>
          </w:p>
        </w:tc>
        <w:tc>
          <w:tcPr>
            <w:tcW w:w="1698" w:type="dxa"/>
            <w:shd w:val="clear" w:color="auto" w:fill="auto"/>
            <w:vAlign w:val="center"/>
          </w:tcPr>
          <w:p w:rsidR="00334421" w:rsidRPr="00F83D59" w:rsidRDefault="00334421" w:rsidP="00334421">
            <w:pPr>
              <w:rPr>
                <w:sz w:val="24"/>
                <w:szCs w:val="24"/>
                <w:lang w:val="fi-FI"/>
              </w:rPr>
            </w:pPr>
            <w:r w:rsidRPr="00F83D59">
              <w:rPr>
                <w:sz w:val="24"/>
                <w:szCs w:val="24"/>
                <w:lang w:val="fi-FI"/>
              </w:rPr>
              <w:t>16 %</w:t>
            </w:r>
          </w:p>
          <w:p w:rsidR="00334421" w:rsidRPr="008B4E9D" w:rsidRDefault="00334421" w:rsidP="00334421">
            <w:pPr>
              <w:tabs>
                <w:tab w:val="left" w:pos="851"/>
              </w:tabs>
              <w:rPr>
                <w:sz w:val="24"/>
                <w:szCs w:val="24"/>
              </w:rPr>
            </w:pPr>
            <w:r w:rsidRPr="00F83D59">
              <w:rPr>
                <w:sz w:val="24"/>
                <w:szCs w:val="24"/>
                <w:lang w:val="en-US"/>
              </w:rPr>
              <w:t>n = 361</w:t>
            </w:r>
          </w:p>
        </w:tc>
        <w:tc>
          <w:tcPr>
            <w:tcW w:w="1919" w:type="dxa"/>
            <w:shd w:val="clear" w:color="auto" w:fill="auto"/>
            <w:vAlign w:val="center"/>
          </w:tcPr>
          <w:p w:rsidR="00334421" w:rsidRPr="00F83D59" w:rsidRDefault="00334421" w:rsidP="00334421">
            <w:pPr>
              <w:rPr>
                <w:sz w:val="24"/>
                <w:szCs w:val="24"/>
                <w:lang w:val="fi-FI"/>
              </w:rPr>
            </w:pPr>
            <w:r w:rsidRPr="00F83D59">
              <w:rPr>
                <w:sz w:val="24"/>
                <w:szCs w:val="24"/>
                <w:lang w:val="fi-FI"/>
              </w:rPr>
              <w:t>10 %</w:t>
            </w:r>
          </w:p>
          <w:p w:rsidR="00334421" w:rsidRPr="008B4E9D" w:rsidRDefault="00334421" w:rsidP="00334421">
            <w:pPr>
              <w:tabs>
                <w:tab w:val="left" w:pos="851"/>
              </w:tabs>
              <w:rPr>
                <w:sz w:val="24"/>
                <w:szCs w:val="24"/>
              </w:rPr>
            </w:pPr>
            <w:r w:rsidRPr="00F83D59">
              <w:rPr>
                <w:sz w:val="24"/>
                <w:szCs w:val="24"/>
                <w:lang w:val="en-US"/>
              </w:rPr>
              <w:t>n = 356</w:t>
            </w:r>
          </w:p>
        </w:tc>
        <w:tc>
          <w:tcPr>
            <w:tcW w:w="1522" w:type="dxa"/>
            <w:shd w:val="clear" w:color="auto" w:fill="auto"/>
            <w:vAlign w:val="center"/>
          </w:tcPr>
          <w:p w:rsidR="00334421" w:rsidRPr="00F83D59" w:rsidRDefault="00334421" w:rsidP="00334421">
            <w:pPr>
              <w:rPr>
                <w:sz w:val="24"/>
                <w:szCs w:val="24"/>
                <w:lang w:val="fi-FI"/>
              </w:rPr>
            </w:pPr>
            <w:r w:rsidRPr="00F83D59">
              <w:rPr>
                <w:sz w:val="24"/>
                <w:szCs w:val="24"/>
                <w:lang w:val="fi-FI"/>
              </w:rPr>
              <w:t>8 %</w:t>
            </w:r>
          </w:p>
          <w:p w:rsidR="00334421" w:rsidRPr="008B4E9D" w:rsidRDefault="00334421" w:rsidP="00334421">
            <w:pPr>
              <w:tabs>
                <w:tab w:val="left" w:pos="851"/>
              </w:tabs>
              <w:rPr>
                <w:sz w:val="24"/>
                <w:szCs w:val="24"/>
              </w:rPr>
            </w:pPr>
            <w:r w:rsidRPr="00F83D59">
              <w:rPr>
                <w:sz w:val="24"/>
                <w:szCs w:val="24"/>
                <w:lang w:val="en-US"/>
              </w:rPr>
              <w:t>n = 360</w:t>
            </w:r>
          </w:p>
        </w:tc>
      </w:tr>
      <w:tr w:rsidR="00334421" w:rsidRPr="008B4E9D" w:rsidTr="00334421">
        <w:tc>
          <w:tcPr>
            <w:tcW w:w="1844" w:type="dxa"/>
          </w:tcPr>
          <w:p w:rsidR="00334421" w:rsidRPr="008B4E9D" w:rsidRDefault="00334421" w:rsidP="00334421">
            <w:pPr>
              <w:tabs>
                <w:tab w:val="left" w:pos="851"/>
              </w:tabs>
              <w:rPr>
                <w:sz w:val="24"/>
                <w:szCs w:val="24"/>
              </w:rPr>
            </w:pPr>
            <w:r w:rsidRPr="008B4E9D">
              <w:rPr>
                <w:sz w:val="24"/>
                <w:szCs w:val="24"/>
              </w:rPr>
              <w:t>Studie 2</w:t>
            </w:r>
          </w:p>
        </w:tc>
        <w:tc>
          <w:tcPr>
            <w:tcW w:w="1794" w:type="dxa"/>
            <w:shd w:val="clear" w:color="auto" w:fill="auto"/>
            <w:vAlign w:val="center"/>
          </w:tcPr>
          <w:p w:rsidR="00334421" w:rsidRPr="00F83D59" w:rsidRDefault="00334421" w:rsidP="00334421">
            <w:pPr>
              <w:rPr>
                <w:sz w:val="24"/>
                <w:szCs w:val="24"/>
                <w:lang w:val="fi-FI"/>
              </w:rPr>
            </w:pPr>
            <w:r w:rsidRPr="00F83D59">
              <w:rPr>
                <w:sz w:val="24"/>
                <w:szCs w:val="24"/>
                <w:lang w:val="fi-FI"/>
              </w:rPr>
              <w:t>23 %</w:t>
            </w:r>
            <w:r w:rsidRPr="00F83D59">
              <w:rPr>
                <w:sz w:val="24"/>
                <w:szCs w:val="24"/>
                <w:vertAlign w:val="superscript"/>
                <w:lang w:val="fi-FI"/>
              </w:rPr>
              <w:t>c</w:t>
            </w:r>
          </w:p>
          <w:p w:rsidR="00334421" w:rsidRPr="008B4E9D" w:rsidRDefault="00334421" w:rsidP="00334421">
            <w:pPr>
              <w:tabs>
                <w:tab w:val="left" w:pos="851"/>
              </w:tabs>
              <w:rPr>
                <w:sz w:val="24"/>
                <w:szCs w:val="24"/>
              </w:rPr>
            </w:pPr>
            <w:r w:rsidRPr="00F83D59">
              <w:rPr>
                <w:sz w:val="24"/>
                <w:szCs w:val="24"/>
                <w:lang w:val="en-US"/>
              </w:rPr>
              <w:t>n = 362</w:t>
            </w:r>
          </w:p>
        </w:tc>
        <w:tc>
          <w:tcPr>
            <w:tcW w:w="1698" w:type="dxa"/>
            <w:shd w:val="clear" w:color="auto" w:fill="auto"/>
            <w:vAlign w:val="center"/>
          </w:tcPr>
          <w:p w:rsidR="00334421" w:rsidRPr="00F83D59" w:rsidRDefault="00334421" w:rsidP="00334421">
            <w:pPr>
              <w:rPr>
                <w:sz w:val="24"/>
                <w:szCs w:val="24"/>
                <w:lang w:val="fi-FI"/>
              </w:rPr>
            </w:pPr>
            <w:r w:rsidRPr="00F83D59">
              <w:rPr>
                <w:sz w:val="24"/>
                <w:szCs w:val="24"/>
                <w:lang w:val="fi-FI"/>
              </w:rPr>
              <w:t>14 %</w:t>
            </w:r>
          </w:p>
          <w:p w:rsidR="00334421" w:rsidRPr="008B4E9D" w:rsidRDefault="00334421" w:rsidP="00334421">
            <w:pPr>
              <w:tabs>
                <w:tab w:val="left" w:pos="851"/>
              </w:tabs>
              <w:rPr>
                <w:sz w:val="24"/>
                <w:szCs w:val="24"/>
              </w:rPr>
            </w:pPr>
            <w:r w:rsidRPr="00F83D59">
              <w:rPr>
                <w:sz w:val="24"/>
                <w:szCs w:val="24"/>
                <w:lang w:val="en-US"/>
              </w:rPr>
              <w:t>n = 362</w:t>
            </w:r>
          </w:p>
        </w:tc>
        <w:tc>
          <w:tcPr>
            <w:tcW w:w="1919" w:type="dxa"/>
            <w:shd w:val="clear" w:color="auto" w:fill="auto"/>
            <w:vAlign w:val="center"/>
          </w:tcPr>
          <w:p w:rsidR="00334421" w:rsidRPr="00F83D59" w:rsidRDefault="00334421" w:rsidP="00334421">
            <w:pPr>
              <w:rPr>
                <w:sz w:val="24"/>
                <w:szCs w:val="24"/>
                <w:lang w:val="fi-FI"/>
              </w:rPr>
            </w:pPr>
            <w:r w:rsidRPr="00F83D59">
              <w:rPr>
                <w:sz w:val="24"/>
                <w:szCs w:val="24"/>
                <w:lang w:val="fi-FI"/>
              </w:rPr>
              <w:t>10 %</w:t>
            </w:r>
          </w:p>
          <w:p w:rsidR="00334421" w:rsidRPr="008B4E9D" w:rsidRDefault="00334421" w:rsidP="00334421">
            <w:pPr>
              <w:tabs>
                <w:tab w:val="left" w:pos="851"/>
              </w:tabs>
              <w:rPr>
                <w:sz w:val="24"/>
                <w:szCs w:val="24"/>
              </w:rPr>
            </w:pPr>
            <w:r w:rsidRPr="00F83D59">
              <w:rPr>
                <w:sz w:val="24"/>
                <w:szCs w:val="24"/>
                <w:lang w:val="en-US"/>
              </w:rPr>
              <w:t>n = 364</w:t>
            </w:r>
          </w:p>
        </w:tc>
        <w:tc>
          <w:tcPr>
            <w:tcW w:w="1522" w:type="dxa"/>
            <w:shd w:val="clear" w:color="auto" w:fill="auto"/>
            <w:vAlign w:val="center"/>
          </w:tcPr>
          <w:p w:rsidR="00334421" w:rsidRPr="00F83D59" w:rsidRDefault="00334421" w:rsidP="00334421">
            <w:pPr>
              <w:rPr>
                <w:sz w:val="24"/>
                <w:szCs w:val="24"/>
                <w:lang w:val="fi-FI"/>
              </w:rPr>
            </w:pPr>
            <w:r w:rsidRPr="00F83D59">
              <w:rPr>
                <w:sz w:val="24"/>
                <w:szCs w:val="24"/>
                <w:lang w:val="fi-FI"/>
              </w:rPr>
              <w:t>7 %</w:t>
            </w:r>
          </w:p>
          <w:p w:rsidR="00334421" w:rsidRPr="008B4E9D" w:rsidRDefault="00334421" w:rsidP="00334421">
            <w:pPr>
              <w:tabs>
                <w:tab w:val="left" w:pos="851"/>
              </w:tabs>
              <w:rPr>
                <w:sz w:val="24"/>
                <w:szCs w:val="24"/>
              </w:rPr>
            </w:pPr>
            <w:r w:rsidRPr="00F83D59">
              <w:rPr>
                <w:sz w:val="24"/>
                <w:szCs w:val="24"/>
                <w:lang w:val="en-US"/>
              </w:rPr>
              <w:t>n = 382</w:t>
            </w:r>
          </w:p>
        </w:tc>
      </w:tr>
    </w:tbl>
    <w:p w:rsidR="00334421" w:rsidRPr="0095363D" w:rsidRDefault="00334421" w:rsidP="00334421">
      <w:pPr>
        <w:tabs>
          <w:tab w:val="left" w:pos="851"/>
        </w:tabs>
        <w:ind w:left="851"/>
        <w:rPr>
          <w:sz w:val="24"/>
          <w:szCs w:val="24"/>
        </w:rPr>
      </w:pPr>
      <w:r w:rsidRPr="0095363D">
        <w:rPr>
          <w:sz w:val="24"/>
          <w:szCs w:val="24"/>
          <w:vertAlign w:val="superscript"/>
        </w:rPr>
        <w:t xml:space="preserve">a </w:t>
      </w:r>
      <w:proofErr w:type="spellStart"/>
      <w:r w:rsidRPr="0095363D">
        <w:rPr>
          <w:sz w:val="24"/>
          <w:szCs w:val="24"/>
        </w:rPr>
        <w:t>P-værdier</w:t>
      </w:r>
      <w:proofErr w:type="spellEnd"/>
      <w:r w:rsidRPr="0095363D">
        <w:rPr>
          <w:sz w:val="24"/>
          <w:szCs w:val="24"/>
        </w:rPr>
        <w:t xml:space="preserve"> kun </w:t>
      </w:r>
      <w:r>
        <w:rPr>
          <w:sz w:val="24"/>
          <w:szCs w:val="24"/>
        </w:rPr>
        <w:t xml:space="preserve">angivet for </w:t>
      </w:r>
      <w:proofErr w:type="spellStart"/>
      <w:r>
        <w:rPr>
          <w:sz w:val="24"/>
          <w:szCs w:val="24"/>
        </w:rPr>
        <w:t>forudspecificerede</w:t>
      </w:r>
      <w:proofErr w:type="spellEnd"/>
      <w:r w:rsidRPr="0095363D">
        <w:rPr>
          <w:sz w:val="24"/>
          <w:szCs w:val="24"/>
        </w:rPr>
        <w:t xml:space="preserve"> sammenligninger</w:t>
      </w:r>
    </w:p>
    <w:p w:rsidR="00334421" w:rsidRPr="0095363D" w:rsidRDefault="00334421" w:rsidP="00334421">
      <w:pPr>
        <w:tabs>
          <w:tab w:val="left" w:pos="851"/>
        </w:tabs>
        <w:ind w:left="851"/>
        <w:rPr>
          <w:sz w:val="24"/>
          <w:szCs w:val="24"/>
        </w:rPr>
      </w:pPr>
      <w:r w:rsidRPr="00F83D59">
        <w:rPr>
          <w:sz w:val="24"/>
          <w:szCs w:val="24"/>
          <w:vertAlign w:val="superscript"/>
        </w:rPr>
        <w:t xml:space="preserve">b </w:t>
      </w:r>
      <w:r w:rsidRPr="0095363D">
        <w:rPr>
          <w:sz w:val="24"/>
          <w:szCs w:val="24"/>
        </w:rPr>
        <w:t>P</w:t>
      </w:r>
      <w:r>
        <w:rPr>
          <w:sz w:val="24"/>
          <w:szCs w:val="24"/>
        </w:rPr>
        <w:t> </w:t>
      </w:r>
      <w:r w:rsidRPr="0095363D">
        <w:rPr>
          <w:sz w:val="24"/>
          <w:szCs w:val="24"/>
        </w:rPr>
        <w:t>&lt;</w:t>
      </w:r>
      <w:r>
        <w:rPr>
          <w:sz w:val="24"/>
          <w:szCs w:val="24"/>
        </w:rPr>
        <w:t> </w:t>
      </w:r>
      <w:r w:rsidRPr="0095363D">
        <w:rPr>
          <w:sz w:val="24"/>
          <w:szCs w:val="24"/>
        </w:rPr>
        <w:t xml:space="preserve">0,05 </w:t>
      </w:r>
      <w:r w:rsidRPr="00F83D59">
        <w:rPr>
          <w:i/>
          <w:iCs/>
          <w:sz w:val="24"/>
          <w:szCs w:val="24"/>
        </w:rPr>
        <w:t>vs.</w:t>
      </w:r>
      <w:r w:rsidRPr="0095363D">
        <w:rPr>
          <w:sz w:val="24"/>
          <w:szCs w:val="24"/>
        </w:rPr>
        <w:t xml:space="preserve"> placebo og </w:t>
      </w:r>
      <w:proofErr w:type="spellStart"/>
      <w:r w:rsidRPr="0095363D">
        <w:rPr>
          <w:sz w:val="24"/>
          <w:szCs w:val="24"/>
        </w:rPr>
        <w:t>sumatriptan</w:t>
      </w:r>
      <w:proofErr w:type="spellEnd"/>
      <w:r w:rsidRPr="0095363D">
        <w:rPr>
          <w:sz w:val="24"/>
          <w:szCs w:val="24"/>
        </w:rPr>
        <w:t xml:space="preserve"> 85 mg</w:t>
      </w:r>
    </w:p>
    <w:p w:rsidR="00334421" w:rsidRPr="0095363D" w:rsidRDefault="00334421" w:rsidP="00334421">
      <w:pPr>
        <w:tabs>
          <w:tab w:val="left" w:pos="851"/>
        </w:tabs>
        <w:ind w:left="851"/>
        <w:rPr>
          <w:sz w:val="24"/>
          <w:szCs w:val="24"/>
        </w:rPr>
      </w:pPr>
      <w:r w:rsidRPr="00F83D59">
        <w:rPr>
          <w:sz w:val="24"/>
          <w:szCs w:val="24"/>
          <w:vertAlign w:val="superscript"/>
        </w:rPr>
        <w:t>c</w:t>
      </w:r>
      <w:r w:rsidRPr="0095363D">
        <w:rPr>
          <w:sz w:val="24"/>
          <w:szCs w:val="24"/>
        </w:rPr>
        <w:t xml:space="preserve"> P</w:t>
      </w:r>
      <w:r>
        <w:rPr>
          <w:sz w:val="24"/>
          <w:szCs w:val="24"/>
        </w:rPr>
        <w:t> </w:t>
      </w:r>
      <w:r w:rsidRPr="0095363D">
        <w:rPr>
          <w:sz w:val="24"/>
          <w:szCs w:val="24"/>
        </w:rPr>
        <w:t>&lt;</w:t>
      </w:r>
      <w:r>
        <w:rPr>
          <w:sz w:val="24"/>
          <w:szCs w:val="24"/>
        </w:rPr>
        <w:t> </w:t>
      </w:r>
      <w:r w:rsidRPr="0095363D">
        <w:rPr>
          <w:sz w:val="24"/>
          <w:szCs w:val="24"/>
        </w:rPr>
        <w:t xml:space="preserve">0,01 </w:t>
      </w:r>
      <w:r w:rsidRPr="00F83D59">
        <w:rPr>
          <w:i/>
          <w:iCs/>
          <w:sz w:val="24"/>
          <w:szCs w:val="24"/>
        </w:rPr>
        <w:t>vs.</w:t>
      </w:r>
      <w:r w:rsidRPr="0095363D">
        <w:rPr>
          <w:sz w:val="24"/>
          <w:szCs w:val="24"/>
        </w:rPr>
        <w:t xml:space="preserve"> placebo og </w:t>
      </w:r>
      <w:proofErr w:type="spellStart"/>
      <w:r w:rsidRPr="0095363D">
        <w:rPr>
          <w:sz w:val="24"/>
          <w:szCs w:val="24"/>
        </w:rPr>
        <w:t>sumatriptan</w:t>
      </w:r>
      <w:proofErr w:type="spellEnd"/>
      <w:r w:rsidRPr="0095363D">
        <w:rPr>
          <w:sz w:val="24"/>
          <w:szCs w:val="24"/>
        </w:rPr>
        <w:t xml:space="preserve"> 85 mg og </w:t>
      </w:r>
      <w:proofErr w:type="spellStart"/>
      <w:r w:rsidRPr="0095363D">
        <w:rPr>
          <w:sz w:val="24"/>
          <w:szCs w:val="24"/>
        </w:rPr>
        <w:t>naprox</w:t>
      </w:r>
      <w:r>
        <w:rPr>
          <w:sz w:val="24"/>
          <w:szCs w:val="24"/>
        </w:rPr>
        <w:t>ium</w:t>
      </w:r>
      <w:r w:rsidRPr="0095363D">
        <w:rPr>
          <w:sz w:val="24"/>
          <w:szCs w:val="24"/>
        </w:rPr>
        <w:t>natrium</w:t>
      </w:r>
      <w:proofErr w:type="spellEnd"/>
    </w:p>
    <w:p w:rsidR="00334421" w:rsidRPr="0095363D" w:rsidRDefault="00334421" w:rsidP="00334421">
      <w:pPr>
        <w:tabs>
          <w:tab w:val="left" w:pos="851"/>
        </w:tabs>
        <w:ind w:left="851"/>
        <w:rPr>
          <w:sz w:val="24"/>
          <w:szCs w:val="24"/>
        </w:rPr>
      </w:pPr>
    </w:p>
    <w:p w:rsidR="00334421" w:rsidRPr="0095363D" w:rsidRDefault="00334421" w:rsidP="00334421">
      <w:pPr>
        <w:tabs>
          <w:tab w:val="left" w:pos="851"/>
        </w:tabs>
        <w:ind w:left="851"/>
        <w:rPr>
          <w:sz w:val="24"/>
          <w:szCs w:val="24"/>
        </w:rPr>
      </w:pPr>
      <w:r w:rsidRPr="00F83D59">
        <w:rPr>
          <w:sz w:val="24"/>
          <w:szCs w:val="24"/>
        </w:rPr>
        <w:t>Sammenlignet</w:t>
      </w:r>
      <w:r w:rsidRPr="0011565F">
        <w:rPr>
          <w:sz w:val="24"/>
          <w:szCs w:val="24"/>
        </w:rPr>
        <w:t xml:space="preserve"> med placebo var der en</w:t>
      </w:r>
      <w:r w:rsidRPr="0095363D">
        <w:rPr>
          <w:sz w:val="24"/>
          <w:szCs w:val="24"/>
        </w:rPr>
        <w:t xml:space="preserve"> reduktion</w:t>
      </w:r>
      <w:r>
        <w:rPr>
          <w:sz w:val="24"/>
          <w:szCs w:val="24"/>
        </w:rPr>
        <w:t xml:space="preserve"> i forekomsten</w:t>
      </w:r>
      <w:r w:rsidRPr="0095363D">
        <w:rPr>
          <w:sz w:val="24"/>
          <w:szCs w:val="24"/>
        </w:rPr>
        <w:t xml:space="preserve"> af symptomer</w:t>
      </w:r>
      <w:r>
        <w:rPr>
          <w:sz w:val="24"/>
          <w:szCs w:val="24"/>
        </w:rPr>
        <w:t xml:space="preserve"> forbundet med migræne</w:t>
      </w:r>
      <w:r w:rsidRPr="0095363D">
        <w:rPr>
          <w:sz w:val="24"/>
          <w:szCs w:val="24"/>
        </w:rPr>
        <w:t>,</w:t>
      </w:r>
      <w:r>
        <w:rPr>
          <w:sz w:val="24"/>
          <w:szCs w:val="24"/>
        </w:rPr>
        <w:t xml:space="preserve"> såsom fotofobi, </w:t>
      </w:r>
      <w:proofErr w:type="spellStart"/>
      <w:r>
        <w:rPr>
          <w:sz w:val="24"/>
          <w:szCs w:val="24"/>
        </w:rPr>
        <w:t>fonofobi</w:t>
      </w:r>
      <w:proofErr w:type="spellEnd"/>
      <w:r w:rsidRPr="0095363D">
        <w:rPr>
          <w:sz w:val="24"/>
          <w:szCs w:val="24"/>
        </w:rPr>
        <w:t xml:space="preserve"> og kvalme</w:t>
      </w:r>
      <w:r>
        <w:rPr>
          <w:sz w:val="24"/>
          <w:szCs w:val="24"/>
        </w:rPr>
        <w:t>,</w:t>
      </w:r>
      <w:r w:rsidRPr="0095363D">
        <w:rPr>
          <w:sz w:val="24"/>
          <w:szCs w:val="24"/>
        </w:rPr>
        <w:t xml:space="preserve"> 2</w:t>
      </w:r>
      <w:r>
        <w:rPr>
          <w:sz w:val="24"/>
          <w:szCs w:val="24"/>
        </w:rPr>
        <w:t> </w:t>
      </w:r>
      <w:r w:rsidRPr="0095363D">
        <w:rPr>
          <w:sz w:val="24"/>
          <w:szCs w:val="24"/>
        </w:rPr>
        <w:t xml:space="preserve">timer efter </w:t>
      </w:r>
      <w:r>
        <w:rPr>
          <w:sz w:val="24"/>
          <w:szCs w:val="24"/>
        </w:rPr>
        <w:t xml:space="preserve">administrationen </w:t>
      </w:r>
      <w:r w:rsidRPr="0095363D">
        <w:rPr>
          <w:sz w:val="24"/>
          <w:szCs w:val="24"/>
        </w:rPr>
        <w:t xml:space="preserve">af Nomigrin, samt en reduktion </w:t>
      </w:r>
      <w:r>
        <w:rPr>
          <w:sz w:val="24"/>
          <w:szCs w:val="24"/>
        </w:rPr>
        <w:t>i</w:t>
      </w:r>
      <w:r w:rsidRPr="0095363D">
        <w:rPr>
          <w:sz w:val="24"/>
          <w:szCs w:val="24"/>
        </w:rPr>
        <w:t xml:space="preserve"> sandsynligheden for brug </w:t>
      </w:r>
      <w:r>
        <w:rPr>
          <w:sz w:val="24"/>
          <w:szCs w:val="24"/>
        </w:rPr>
        <w:t xml:space="preserve">af </w:t>
      </w:r>
      <w:r w:rsidRPr="0095363D">
        <w:rPr>
          <w:sz w:val="24"/>
          <w:szCs w:val="24"/>
        </w:rPr>
        <w:t>behovsmedicin</w:t>
      </w:r>
      <w:r>
        <w:rPr>
          <w:sz w:val="24"/>
          <w:szCs w:val="24"/>
        </w:rPr>
        <w:t xml:space="preserve"> i </w:t>
      </w:r>
      <w:r w:rsidRPr="0095363D">
        <w:rPr>
          <w:sz w:val="24"/>
          <w:szCs w:val="24"/>
        </w:rPr>
        <w:t>24</w:t>
      </w:r>
      <w:r>
        <w:rPr>
          <w:sz w:val="24"/>
          <w:szCs w:val="24"/>
        </w:rPr>
        <w:t> </w:t>
      </w:r>
      <w:r w:rsidRPr="0095363D">
        <w:rPr>
          <w:sz w:val="24"/>
          <w:szCs w:val="24"/>
        </w:rPr>
        <w:t>timer efter første dosering.</w:t>
      </w:r>
    </w:p>
    <w:p w:rsidR="00334421" w:rsidRPr="0095363D" w:rsidRDefault="00334421" w:rsidP="00334421">
      <w:pPr>
        <w:tabs>
          <w:tab w:val="left" w:pos="851"/>
        </w:tabs>
        <w:ind w:left="851"/>
        <w:rPr>
          <w:sz w:val="24"/>
          <w:szCs w:val="24"/>
        </w:rPr>
      </w:pPr>
    </w:p>
    <w:p w:rsidR="00334421" w:rsidRPr="0095363D" w:rsidRDefault="00334421" w:rsidP="00334421">
      <w:pPr>
        <w:tabs>
          <w:tab w:val="left" w:pos="851"/>
        </w:tabs>
        <w:ind w:left="851"/>
        <w:rPr>
          <w:sz w:val="24"/>
          <w:szCs w:val="24"/>
        </w:rPr>
      </w:pPr>
      <w:r w:rsidRPr="0095363D">
        <w:rPr>
          <w:sz w:val="24"/>
          <w:szCs w:val="24"/>
        </w:rPr>
        <w:t xml:space="preserve">Nomigrin var mere </w:t>
      </w:r>
      <w:r>
        <w:rPr>
          <w:sz w:val="24"/>
          <w:szCs w:val="24"/>
        </w:rPr>
        <w:t>virkningsfuldt</w:t>
      </w:r>
      <w:r w:rsidRPr="0095363D">
        <w:rPr>
          <w:sz w:val="24"/>
          <w:szCs w:val="24"/>
        </w:rPr>
        <w:t xml:space="preserve"> end placebo u</w:t>
      </w:r>
      <w:r>
        <w:rPr>
          <w:sz w:val="24"/>
          <w:szCs w:val="24"/>
        </w:rPr>
        <w:t>anset</w:t>
      </w:r>
      <w:r w:rsidRPr="0095363D">
        <w:rPr>
          <w:sz w:val="24"/>
          <w:szCs w:val="24"/>
        </w:rPr>
        <w:t xml:space="preserve"> tilstedeværelse</w:t>
      </w:r>
      <w:r>
        <w:rPr>
          <w:sz w:val="24"/>
          <w:szCs w:val="24"/>
        </w:rPr>
        <w:t>n</w:t>
      </w:r>
      <w:r w:rsidRPr="0095363D">
        <w:rPr>
          <w:sz w:val="24"/>
          <w:szCs w:val="24"/>
        </w:rPr>
        <w:t xml:space="preserve"> af aura</w:t>
      </w:r>
      <w:r>
        <w:rPr>
          <w:sz w:val="24"/>
          <w:szCs w:val="24"/>
        </w:rPr>
        <w:t>;</w:t>
      </w:r>
      <w:r w:rsidRPr="0095363D">
        <w:rPr>
          <w:sz w:val="24"/>
          <w:szCs w:val="24"/>
        </w:rPr>
        <w:t xml:space="preserve"> varigheden af hovedpine f</w:t>
      </w:r>
      <w:r>
        <w:rPr>
          <w:sz w:val="24"/>
          <w:szCs w:val="24"/>
        </w:rPr>
        <w:t xml:space="preserve">ør </w:t>
      </w:r>
      <w:r w:rsidRPr="0095363D">
        <w:rPr>
          <w:sz w:val="24"/>
          <w:szCs w:val="24"/>
        </w:rPr>
        <w:t xml:space="preserve">behandling; </w:t>
      </w:r>
      <w:r>
        <w:rPr>
          <w:sz w:val="24"/>
          <w:szCs w:val="24"/>
        </w:rPr>
        <w:t xml:space="preserve">forsøgspersonens </w:t>
      </w:r>
      <w:r w:rsidRPr="0095363D">
        <w:rPr>
          <w:sz w:val="24"/>
          <w:szCs w:val="24"/>
        </w:rPr>
        <w:t>køn, alder eller væ</w:t>
      </w:r>
      <w:r>
        <w:rPr>
          <w:sz w:val="24"/>
          <w:szCs w:val="24"/>
        </w:rPr>
        <w:t>gt</w:t>
      </w:r>
      <w:r w:rsidRPr="0095363D">
        <w:rPr>
          <w:sz w:val="24"/>
          <w:szCs w:val="24"/>
        </w:rPr>
        <w:t xml:space="preserve">; </w:t>
      </w:r>
      <w:r>
        <w:rPr>
          <w:sz w:val="24"/>
          <w:szCs w:val="24"/>
        </w:rPr>
        <w:t xml:space="preserve">eller </w:t>
      </w:r>
      <w:r w:rsidRPr="0095363D">
        <w:rPr>
          <w:sz w:val="24"/>
          <w:szCs w:val="24"/>
        </w:rPr>
        <w:t>samtidig brug af oral</w:t>
      </w:r>
      <w:r>
        <w:rPr>
          <w:sz w:val="24"/>
          <w:szCs w:val="24"/>
        </w:rPr>
        <w:t xml:space="preserve">e </w:t>
      </w:r>
      <w:proofErr w:type="spellStart"/>
      <w:r>
        <w:rPr>
          <w:sz w:val="24"/>
          <w:szCs w:val="24"/>
        </w:rPr>
        <w:t>kontraceptiva</w:t>
      </w:r>
      <w:proofErr w:type="spellEnd"/>
      <w:r w:rsidRPr="0095363D">
        <w:rPr>
          <w:sz w:val="24"/>
          <w:szCs w:val="24"/>
        </w:rPr>
        <w:t xml:space="preserve"> eller almindelig</w:t>
      </w:r>
      <w:r>
        <w:rPr>
          <w:sz w:val="24"/>
          <w:szCs w:val="24"/>
        </w:rPr>
        <w:t>e forebyggende lægemidler mod</w:t>
      </w:r>
      <w:r w:rsidRPr="0095363D">
        <w:rPr>
          <w:sz w:val="24"/>
          <w:szCs w:val="24"/>
        </w:rPr>
        <w:t xml:space="preserve"> migræne (f.eks. betablokkere, </w:t>
      </w:r>
      <w:proofErr w:type="spellStart"/>
      <w:r w:rsidRPr="0095363D">
        <w:rPr>
          <w:sz w:val="24"/>
          <w:szCs w:val="24"/>
        </w:rPr>
        <w:t>antiepilepti</w:t>
      </w:r>
      <w:r>
        <w:rPr>
          <w:sz w:val="24"/>
          <w:szCs w:val="24"/>
        </w:rPr>
        <w:t>ka</w:t>
      </w:r>
      <w:proofErr w:type="spellEnd"/>
      <w:r w:rsidRPr="0095363D">
        <w:rPr>
          <w:sz w:val="24"/>
          <w:szCs w:val="24"/>
        </w:rPr>
        <w:t xml:space="preserve">, tricykliske </w:t>
      </w:r>
      <w:proofErr w:type="spellStart"/>
      <w:r w:rsidRPr="0095363D">
        <w:rPr>
          <w:sz w:val="24"/>
          <w:szCs w:val="24"/>
        </w:rPr>
        <w:t>antidepres</w:t>
      </w:r>
      <w:r>
        <w:rPr>
          <w:sz w:val="24"/>
          <w:szCs w:val="24"/>
        </w:rPr>
        <w:t>siva</w:t>
      </w:r>
      <w:proofErr w:type="spellEnd"/>
      <w:r w:rsidRPr="0095363D">
        <w:rPr>
          <w:sz w:val="24"/>
          <w:szCs w:val="24"/>
        </w:rPr>
        <w:t>).</w:t>
      </w:r>
    </w:p>
    <w:p w:rsidR="00334421" w:rsidRDefault="00334421" w:rsidP="00334421">
      <w:pPr>
        <w:tabs>
          <w:tab w:val="left" w:pos="851"/>
        </w:tabs>
        <w:ind w:left="851"/>
        <w:rPr>
          <w:sz w:val="24"/>
          <w:szCs w:val="24"/>
        </w:rPr>
      </w:pPr>
    </w:p>
    <w:p w:rsidR="00334421" w:rsidRDefault="00334421" w:rsidP="00334421">
      <w:pPr>
        <w:tabs>
          <w:tab w:val="left" w:pos="851"/>
        </w:tabs>
        <w:ind w:left="851"/>
        <w:rPr>
          <w:sz w:val="24"/>
          <w:szCs w:val="24"/>
          <w:u w:val="single"/>
        </w:rPr>
      </w:pPr>
      <w:r>
        <w:rPr>
          <w:sz w:val="24"/>
          <w:szCs w:val="24"/>
          <w:u w:val="single"/>
        </w:rPr>
        <w:t>Pædiatrisk population</w:t>
      </w:r>
    </w:p>
    <w:p w:rsidR="00334421" w:rsidRPr="005C1017" w:rsidRDefault="00334421" w:rsidP="00334421">
      <w:pPr>
        <w:tabs>
          <w:tab w:val="left" w:pos="851"/>
        </w:tabs>
        <w:ind w:left="851"/>
        <w:rPr>
          <w:sz w:val="24"/>
          <w:szCs w:val="24"/>
        </w:rPr>
      </w:pPr>
      <w:r>
        <w:rPr>
          <w:sz w:val="24"/>
          <w:szCs w:val="24"/>
        </w:rPr>
        <w:t xml:space="preserve">Det Europæiske Lægemiddelagentur </w:t>
      </w:r>
      <w:r w:rsidRPr="00371942">
        <w:rPr>
          <w:sz w:val="24"/>
          <w:szCs w:val="24"/>
        </w:rPr>
        <w:t xml:space="preserve">har dispenseret fra kravet om at fremlægge resultaterne af studier med </w:t>
      </w:r>
      <w:r>
        <w:rPr>
          <w:sz w:val="24"/>
          <w:szCs w:val="24"/>
        </w:rPr>
        <w:t>Nomigrin</w:t>
      </w:r>
      <w:r w:rsidRPr="00371942">
        <w:rPr>
          <w:sz w:val="24"/>
          <w:szCs w:val="24"/>
        </w:rPr>
        <w:t xml:space="preserve"> </w:t>
      </w:r>
      <w:r>
        <w:rPr>
          <w:sz w:val="24"/>
          <w:szCs w:val="24"/>
        </w:rPr>
        <w:t>i alle undergruppe af den pædiatriske population ved behandling af migrænehovedpiner. Se pkt. 4.2 for oplysninger om pædiatrisk anvendelse.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96620" w:rsidRPr="00096620" w:rsidRDefault="00096620" w:rsidP="00096620">
      <w:pPr>
        <w:tabs>
          <w:tab w:val="left" w:pos="851"/>
        </w:tabs>
        <w:ind w:left="851"/>
        <w:rPr>
          <w:sz w:val="24"/>
          <w:szCs w:val="24"/>
        </w:rPr>
      </w:pPr>
    </w:p>
    <w:p w:rsidR="00E54019" w:rsidRPr="00096620" w:rsidRDefault="00E54019" w:rsidP="00E54019">
      <w:pPr>
        <w:tabs>
          <w:tab w:val="left" w:pos="851"/>
        </w:tabs>
        <w:ind w:left="851"/>
        <w:rPr>
          <w:sz w:val="24"/>
          <w:szCs w:val="24"/>
        </w:rPr>
      </w:pPr>
      <w:r w:rsidRPr="00096620">
        <w:rPr>
          <w:sz w:val="24"/>
          <w:szCs w:val="24"/>
          <w:u w:val="single"/>
        </w:rPr>
        <w:t>Absorption</w:t>
      </w:r>
    </w:p>
    <w:p w:rsidR="00E54019" w:rsidRPr="00096620" w:rsidRDefault="00E54019" w:rsidP="00E54019">
      <w:pPr>
        <w:tabs>
          <w:tab w:val="left" w:pos="851"/>
        </w:tabs>
        <w:ind w:left="851"/>
        <w:rPr>
          <w:sz w:val="24"/>
          <w:szCs w:val="24"/>
        </w:rPr>
      </w:pPr>
      <w:r w:rsidRPr="00096620">
        <w:rPr>
          <w:sz w:val="24"/>
          <w:szCs w:val="24"/>
        </w:rPr>
        <w:lastRenderedPageBreak/>
        <w:t xml:space="preserve">De komparative kliniske interaktions- og biotilgængelighedsstudier med kombinationen af </w:t>
      </w:r>
      <w:proofErr w:type="spellStart"/>
      <w:r w:rsidRPr="00096620">
        <w:rPr>
          <w:sz w:val="24"/>
          <w:szCs w:val="24"/>
        </w:rPr>
        <w:t>sumatriptan</w:t>
      </w:r>
      <w:proofErr w:type="spellEnd"/>
      <w:r w:rsidRPr="00096620">
        <w:rPr>
          <w:sz w:val="24"/>
          <w:szCs w:val="24"/>
        </w:rPr>
        <w:t xml:space="preserve"> og </w:t>
      </w:r>
      <w:proofErr w:type="spellStart"/>
      <w:r w:rsidRPr="00096620">
        <w:rPr>
          <w:sz w:val="24"/>
          <w:szCs w:val="24"/>
        </w:rPr>
        <w:t>naproxen</w:t>
      </w:r>
      <w:proofErr w:type="spellEnd"/>
      <w:r w:rsidRPr="00096620">
        <w:rPr>
          <w:sz w:val="24"/>
          <w:szCs w:val="24"/>
        </w:rPr>
        <w:t xml:space="preserve"> viste, at kombinationsproduktet Nomigrin ikke havde nogen signifikant effekt på den totale biotilgængelighed af </w:t>
      </w:r>
      <w:proofErr w:type="spellStart"/>
      <w:r w:rsidRPr="00096620">
        <w:rPr>
          <w:sz w:val="24"/>
          <w:szCs w:val="24"/>
        </w:rPr>
        <w:t>sumatriptan</w:t>
      </w:r>
      <w:proofErr w:type="spellEnd"/>
      <w:r w:rsidRPr="00096620">
        <w:rPr>
          <w:sz w:val="24"/>
          <w:szCs w:val="24"/>
        </w:rPr>
        <w:t xml:space="preserve"> og </w:t>
      </w:r>
      <w:proofErr w:type="spellStart"/>
      <w:r w:rsidRPr="00096620">
        <w:rPr>
          <w:sz w:val="24"/>
          <w:szCs w:val="24"/>
        </w:rPr>
        <w:t>naproxen</w:t>
      </w:r>
      <w:proofErr w:type="spellEnd"/>
      <w:r w:rsidRPr="00096620">
        <w:rPr>
          <w:sz w:val="24"/>
          <w:szCs w:val="24"/>
        </w:rPr>
        <w:t xml:space="preserve">, sammenlignet med administration af de aktive stoffer som enkeltkomponenter. I et crossover-studie med 16 forsøgspersoner var farmakokinetikken af begge indholdsstoffer administreret som </w:t>
      </w:r>
      <w:proofErr w:type="spellStart"/>
      <w:r w:rsidRPr="00096620">
        <w:rPr>
          <w:sz w:val="24"/>
          <w:szCs w:val="24"/>
        </w:rPr>
        <w:t>sumatriptan</w:t>
      </w:r>
      <w:proofErr w:type="spellEnd"/>
      <w:r w:rsidRPr="00096620">
        <w:rPr>
          <w:sz w:val="24"/>
          <w:szCs w:val="24"/>
        </w:rPr>
        <w:t>/</w:t>
      </w:r>
      <w:proofErr w:type="spellStart"/>
      <w:r w:rsidRPr="00096620">
        <w:rPr>
          <w:sz w:val="24"/>
          <w:szCs w:val="24"/>
        </w:rPr>
        <w:t>naproxen</w:t>
      </w:r>
      <w:proofErr w:type="spellEnd"/>
      <w:r w:rsidRPr="00096620">
        <w:rPr>
          <w:sz w:val="24"/>
          <w:szCs w:val="24"/>
        </w:rPr>
        <w:t xml:space="preserve"> ens under et migræneanfald og under en migrænefri periode.</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i/>
          <w:iCs/>
          <w:sz w:val="24"/>
          <w:szCs w:val="24"/>
        </w:rPr>
        <w:t>Sumatriptan</w:t>
      </w:r>
      <w:proofErr w:type="spellEnd"/>
    </w:p>
    <w:p w:rsidR="00E54019" w:rsidRPr="00096620" w:rsidRDefault="00E54019" w:rsidP="00E54019">
      <w:pPr>
        <w:tabs>
          <w:tab w:val="left" w:pos="851"/>
        </w:tabs>
        <w:ind w:left="851"/>
        <w:rPr>
          <w:sz w:val="24"/>
          <w:szCs w:val="24"/>
        </w:rPr>
      </w:pPr>
      <w:proofErr w:type="spellStart"/>
      <w:r w:rsidRPr="00096620">
        <w:rPr>
          <w:sz w:val="24"/>
          <w:szCs w:val="24"/>
        </w:rPr>
        <w:t>Sumatriptansuccinat</w:t>
      </w:r>
      <w:proofErr w:type="spellEnd"/>
      <w:r w:rsidRPr="00096620">
        <w:rPr>
          <w:sz w:val="24"/>
          <w:szCs w:val="24"/>
        </w:rPr>
        <w:t>, når det gives som Nomigrin, har en median maksimalkoncentration (</w:t>
      </w:r>
      <w:proofErr w:type="spellStart"/>
      <w:r w:rsidRPr="00096620">
        <w:rPr>
          <w:sz w:val="24"/>
          <w:szCs w:val="24"/>
        </w:rPr>
        <w:t>C</w:t>
      </w:r>
      <w:r w:rsidRPr="00096620">
        <w:rPr>
          <w:sz w:val="24"/>
          <w:szCs w:val="24"/>
          <w:vertAlign w:val="subscript"/>
        </w:rPr>
        <w:t>max</w:t>
      </w:r>
      <w:proofErr w:type="spellEnd"/>
      <w:r w:rsidRPr="00096620">
        <w:rPr>
          <w:sz w:val="24"/>
          <w:szCs w:val="24"/>
        </w:rPr>
        <w:t>) på ca. 40 </w:t>
      </w:r>
      <w:proofErr w:type="spellStart"/>
      <w:r w:rsidRPr="00096620">
        <w:rPr>
          <w:sz w:val="24"/>
          <w:szCs w:val="24"/>
        </w:rPr>
        <w:t>ng</w:t>
      </w:r>
      <w:proofErr w:type="spellEnd"/>
      <w:r w:rsidRPr="00096620">
        <w:rPr>
          <w:sz w:val="24"/>
          <w:szCs w:val="24"/>
        </w:rPr>
        <w:t xml:space="preserve">/ml, når det administreres under migræne. Median </w:t>
      </w:r>
      <w:proofErr w:type="spellStart"/>
      <w:r w:rsidRPr="00096620">
        <w:rPr>
          <w:sz w:val="24"/>
          <w:szCs w:val="24"/>
        </w:rPr>
        <w:t>T</w:t>
      </w:r>
      <w:r w:rsidRPr="00096620">
        <w:rPr>
          <w:sz w:val="24"/>
          <w:szCs w:val="24"/>
          <w:vertAlign w:val="subscript"/>
        </w:rPr>
        <w:t>max</w:t>
      </w:r>
      <w:proofErr w:type="spellEnd"/>
      <w:r w:rsidRPr="00096620">
        <w:rPr>
          <w:sz w:val="24"/>
          <w:szCs w:val="24"/>
        </w:rPr>
        <w:t xml:space="preserve"> for </w:t>
      </w:r>
      <w:proofErr w:type="spellStart"/>
      <w:r w:rsidRPr="00096620">
        <w:rPr>
          <w:sz w:val="24"/>
          <w:szCs w:val="24"/>
        </w:rPr>
        <w:t>sumatriptansuccinat</w:t>
      </w:r>
      <w:proofErr w:type="spellEnd"/>
      <w:r w:rsidRPr="00096620">
        <w:rPr>
          <w:sz w:val="24"/>
          <w:szCs w:val="24"/>
        </w:rPr>
        <w:t>, når det gives som Nomigrin, var 1,5 timer (interval: 0,5 til 4,0 timer).</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sz w:val="24"/>
          <w:szCs w:val="24"/>
        </w:rPr>
        <w:t>Naproxen</w:t>
      </w:r>
      <w:proofErr w:type="spellEnd"/>
      <w:r w:rsidRPr="00096620">
        <w:rPr>
          <w:sz w:val="24"/>
          <w:szCs w:val="24"/>
        </w:rPr>
        <w:t xml:space="preserve"> havde ingen signifikant effekt på </w:t>
      </w:r>
      <w:proofErr w:type="spellStart"/>
      <w:r w:rsidRPr="00096620">
        <w:rPr>
          <w:sz w:val="24"/>
          <w:szCs w:val="24"/>
        </w:rPr>
        <w:t>sumatriptans</w:t>
      </w:r>
      <w:proofErr w:type="spellEnd"/>
      <w:r w:rsidRPr="00096620">
        <w:rPr>
          <w:sz w:val="24"/>
          <w:szCs w:val="24"/>
        </w:rPr>
        <w:t xml:space="preserve"> farmakokinetik efter administration af Nomigrin. Eksponering (AUC) af </w:t>
      </w:r>
      <w:proofErr w:type="spellStart"/>
      <w:r w:rsidRPr="00096620">
        <w:rPr>
          <w:sz w:val="24"/>
          <w:szCs w:val="24"/>
        </w:rPr>
        <w:t>sumatriptan</w:t>
      </w:r>
      <w:proofErr w:type="spellEnd"/>
      <w:r w:rsidRPr="00096620">
        <w:rPr>
          <w:sz w:val="24"/>
          <w:szCs w:val="24"/>
        </w:rPr>
        <w:t xml:space="preserve"> efter administration af Nomigrin er proportional med dosis af </w:t>
      </w:r>
      <w:proofErr w:type="spellStart"/>
      <w:r w:rsidRPr="00096620">
        <w:rPr>
          <w:sz w:val="24"/>
          <w:szCs w:val="24"/>
        </w:rPr>
        <w:t>sumatriptan</w:t>
      </w:r>
      <w:proofErr w:type="spellEnd"/>
      <w:r w:rsidRPr="00096620">
        <w:rPr>
          <w:sz w:val="24"/>
          <w:szCs w:val="24"/>
        </w:rPr>
        <w:t xml:space="preserve">. </w:t>
      </w:r>
      <w:proofErr w:type="spellStart"/>
      <w:r w:rsidRPr="00096620">
        <w:rPr>
          <w:sz w:val="24"/>
          <w:szCs w:val="24"/>
        </w:rPr>
        <w:t>C</w:t>
      </w:r>
      <w:r w:rsidRPr="00096620">
        <w:rPr>
          <w:sz w:val="24"/>
          <w:szCs w:val="24"/>
          <w:vertAlign w:val="subscript"/>
        </w:rPr>
        <w:t>max</w:t>
      </w:r>
      <w:proofErr w:type="spellEnd"/>
      <w:r w:rsidRPr="00096620">
        <w:rPr>
          <w:sz w:val="24"/>
          <w:szCs w:val="24"/>
        </w:rPr>
        <w:t xml:space="preserve"> er 17 % højere sammenlignet med </w:t>
      </w:r>
      <w:proofErr w:type="spellStart"/>
      <w:r w:rsidRPr="00096620">
        <w:rPr>
          <w:sz w:val="24"/>
          <w:szCs w:val="24"/>
        </w:rPr>
        <w:t>sumatriptan</w:t>
      </w:r>
      <w:proofErr w:type="spellEnd"/>
      <w:r w:rsidRPr="00096620">
        <w:rPr>
          <w:sz w:val="24"/>
          <w:szCs w:val="24"/>
        </w:rPr>
        <w:t xml:space="preserve"> 85 mg givet alene hos raske frivillige.</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r w:rsidRPr="00096620">
        <w:rPr>
          <w:sz w:val="24"/>
          <w:szCs w:val="24"/>
        </w:rPr>
        <w:t xml:space="preserve">Der er en 1,6 gange stigning i </w:t>
      </w:r>
      <w:proofErr w:type="spellStart"/>
      <w:r w:rsidRPr="00096620">
        <w:rPr>
          <w:sz w:val="24"/>
          <w:szCs w:val="24"/>
        </w:rPr>
        <w:t>C</w:t>
      </w:r>
      <w:r w:rsidRPr="00096620">
        <w:rPr>
          <w:sz w:val="24"/>
          <w:szCs w:val="24"/>
          <w:vertAlign w:val="subscript"/>
        </w:rPr>
        <w:t>max</w:t>
      </w:r>
      <w:proofErr w:type="spellEnd"/>
      <w:r w:rsidRPr="00096620">
        <w:rPr>
          <w:sz w:val="24"/>
          <w:szCs w:val="24"/>
        </w:rPr>
        <w:t xml:space="preserve"> af </w:t>
      </w:r>
      <w:proofErr w:type="spellStart"/>
      <w:r w:rsidRPr="00096620">
        <w:rPr>
          <w:sz w:val="24"/>
          <w:szCs w:val="24"/>
        </w:rPr>
        <w:t>sumatriptan</w:t>
      </w:r>
      <w:proofErr w:type="spellEnd"/>
      <w:r w:rsidRPr="00096620">
        <w:rPr>
          <w:sz w:val="24"/>
          <w:szCs w:val="24"/>
        </w:rPr>
        <w:t xml:space="preserve"> og dosisproportional stigning i AUC efter to doser taget med 2 timers mellemrum sammenlignet med en enkelt dosis Nomigrin.</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r w:rsidRPr="00096620">
        <w:rPr>
          <w:sz w:val="24"/>
          <w:szCs w:val="24"/>
        </w:rPr>
        <w:t xml:space="preserve">Biotilgængeligheden af </w:t>
      </w:r>
      <w:proofErr w:type="spellStart"/>
      <w:r w:rsidRPr="00096620">
        <w:rPr>
          <w:sz w:val="24"/>
          <w:szCs w:val="24"/>
        </w:rPr>
        <w:t>sumatriptansuccinat</w:t>
      </w:r>
      <w:proofErr w:type="spellEnd"/>
      <w:r w:rsidRPr="00096620">
        <w:rPr>
          <w:sz w:val="24"/>
          <w:szCs w:val="24"/>
        </w:rPr>
        <w:t xml:space="preserve"> er ca. 14 %, primært på grund af præsystemisk (</w:t>
      </w:r>
      <w:proofErr w:type="spellStart"/>
      <w:r w:rsidRPr="00096620">
        <w:rPr>
          <w:i/>
          <w:iCs/>
          <w:sz w:val="24"/>
          <w:szCs w:val="24"/>
        </w:rPr>
        <w:t>first-pass</w:t>
      </w:r>
      <w:proofErr w:type="spellEnd"/>
      <w:r w:rsidRPr="00096620">
        <w:rPr>
          <w:sz w:val="24"/>
          <w:szCs w:val="24"/>
        </w:rPr>
        <w:t>) metabolisme og delvis på grund af ufuldstændig absorption.</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i/>
          <w:iCs/>
          <w:sz w:val="24"/>
          <w:szCs w:val="24"/>
        </w:rPr>
        <w:t>Naproxen</w:t>
      </w:r>
      <w:proofErr w:type="spellEnd"/>
    </w:p>
    <w:p w:rsidR="00E54019" w:rsidRPr="00096620" w:rsidRDefault="00E54019" w:rsidP="00E54019">
      <w:pPr>
        <w:tabs>
          <w:tab w:val="left" w:pos="851"/>
        </w:tabs>
        <w:ind w:left="851"/>
        <w:rPr>
          <w:sz w:val="24"/>
          <w:szCs w:val="24"/>
        </w:rPr>
      </w:pPr>
      <w:r w:rsidRPr="00096620">
        <w:rPr>
          <w:sz w:val="24"/>
          <w:szCs w:val="24"/>
        </w:rPr>
        <w:t xml:space="preserve">Efter administration af Nomigrin er tidspunktet for opnåelse af </w:t>
      </w:r>
      <w:proofErr w:type="spellStart"/>
      <w:r w:rsidRPr="00096620">
        <w:rPr>
          <w:sz w:val="24"/>
          <w:szCs w:val="24"/>
        </w:rPr>
        <w:t>naproxen</w:t>
      </w:r>
      <w:proofErr w:type="spellEnd"/>
      <w:r w:rsidRPr="00096620">
        <w:rPr>
          <w:sz w:val="24"/>
          <w:szCs w:val="24"/>
        </w:rPr>
        <w:t xml:space="preserve"> maksimalkoncentrationen forsinket og </w:t>
      </w:r>
      <w:proofErr w:type="spellStart"/>
      <w:r w:rsidRPr="00096620">
        <w:rPr>
          <w:sz w:val="24"/>
          <w:szCs w:val="24"/>
        </w:rPr>
        <w:t>C</w:t>
      </w:r>
      <w:r w:rsidRPr="00096620">
        <w:rPr>
          <w:sz w:val="24"/>
          <w:szCs w:val="24"/>
          <w:vertAlign w:val="subscript"/>
        </w:rPr>
        <w:t>max</w:t>
      </w:r>
      <w:proofErr w:type="spellEnd"/>
      <w:r w:rsidRPr="00096620">
        <w:rPr>
          <w:sz w:val="24"/>
          <w:szCs w:val="24"/>
        </w:rPr>
        <w:t xml:space="preserve"> er 25 % lavere sammenlignet med </w:t>
      </w:r>
      <w:proofErr w:type="spellStart"/>
      <w:r w:rsidRPr="00096620">
        <w:rPr>
          <w:sz w:val="24"/>
          <w:szCs w:val="24"/>
        </w:rPr>
        <w:t>naproxen</w:t>
      </w:r>
      <w:proofErr w:type="spellEnd"/>
      <w:r w:rsidRPr="00096620">
        <w:rPr>
          <w:sz w:val="24"/>
          <w:szCs w:val="24"/>
        </w:rPr>
        <w:t xml:space="preserve"> givet alene hos raske frivillige. </w:t>
      </w:r>
      <w:proofErr w:type="spellStart"/>
      <w:r w:rsidRPr="00096620">
        <w:rPr>
          <w:sz w:val="24"/>
          <w:szCs w:val="24"/>
        </w:rPr>
        <w:t>Naproxiumnatrium</w:t>
      </w:r>
      <w:proofErr w:type="spellEnd"/>
      <w:r w:rsidRPr="00096620">
        <w:rPr>
          <w:sz w:val="24"/>
          <w:szCs w:val="24"/>
        </w:rPr>
        <w:t xml:space="preserve">, når det gives som Nomigrin, har en </w:t>
      </w:r>
      <w:proofErr w:type="spellStart"/>
      <w:r w:rsidRPr="00096620">
        <w:rPr>
          <w:sz w:val="24"/>
          <w:szCs w:val="24"/>
        </w:rPr>
        <w:t>C</w:t>
      </w:r>
      <w:r w:rsidRPr="00096620">
        <w:rPr>
          <w:sz w:val="24"/>
          <w:szCs w:val="24"/>
          <w:vertAlign w:val="subscript"/>
        </w:rPr>
        <w:t>max</w:t>
      </w:r>
      <w:proofErr w:type="spellEnd"/>
      <w:r w:rsidRPr="00096620">
        <w:rPr>
          <w:sz w:val="24"/>
          <w:szCs w:val="24"/>
        </w:rPr>
        <w:t xml:space="preserve"> på ca. 50 </w:t>
      </w:r>
      <w:r w:rsidRPr="00AB6646">
        <w:rPr>
          <w:iCs/>
          <w:sz w:val="24"/>
          <w:szCs w:val="24"/>
        </w:rPr>
        <w:t>µ</w:t>
      </w:r>
      <w:r w:rsidRPr="00096620">
        <w:rPr>
          <w:sz w:val="24"/>
          <w:szCs w:val="24"/>
        </w:rPr>
        <w:t xml:space="preserve">g/ml og en median </w:t>
      </w:r>
      <w:proofErr w:type="spellStart"/>
      <w:r w:rsidRPr="00096620">
        <w:rPr>
          <w:sz w:val="24"/>
          <w:szCs w:val="24"/>
        </w:rPr>
        <w:t>T</w:t>
      </w:r>
      <w:r w:rsidRPr="00096620">
        <w:rPr>
          <w:sz w:val="24"/>
          <w:szCs w:val="24"/>
          <w:vertAlign w:val="subscript"/>
        </w:rPr>
        <w:t>max</w:t>
      </w:r>
      <w:proofErr w:type="spellEnd"/>
      <w:r w:rsidRPr="00096620">
        <w:rPr>
          <w:sz w:val="24"/>
          <w:szCs w:val="24"/>
        </w:rPr>
        <w:t xml:space="preserve"> på 6 timer (interval: 3 til 16 timer) under migræne, hvilket ifølge litteraturen er ca. 3 til 5,5 timer senere end administration af en enkeltdosis </w:t>
      </w:r>
      <w:proofErr w:type="spellStart"/>
      <w:r w:rsidRPr="00096620">
        <w:rPr>
          <w:sz w:val="24"/>
          <w:szCs w:val="24"/>
        </w:rPr>
        <w:t>naproxen</w:t>
      </w:r>
      <w:proofErr w:type="spellEnd"/>
      <w:r w:rsidRPr="00096620">
        <w:rPr>
          <w:sz w:val="24"/>
          <w:szCs w:val="24"/>
        </w:rPr>
        <w:t xml:space="preserve">. Dette skyldes sandsynligvis en </w:t>
      </w:r>
      <w:proofErr w:type="spellStart"/>
      <w:r w:rsidRPr="00096620">
        <w:rPr>
          <w:sz w:val="24"/>
          <w:szCs w:val="24"/>
        </w:rPr>
        <w:t>sumatriptan</w:t>
      </w:r>
      <w:proofErr w:type="spellEnd"/>
      <w:r w:rsidRPr="00096620">
        <w:rPr>
          <w:sz w:val="24"/>
          <w:szCs w:val="24"/>
        </w:rPr>
        <w:t>-induceret forsinkelse i gastrisk tømning.</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r w:rsidRPr="00096620">
        <w:rPr>
          <w:sz w:val="24"/>
          <w:szCs w:val="24"/>
        </w:rPr>
        <w:t xml:space="preserve">Eksponering (AUC) af </w:t>
      </w:r>
      <w:proofErr w:type="spellStart"/>
      <w:r w:rsidRPr="00096620">
        <w:rPr>
          <w:sz w:val="24"/>
          <w:szCs w:val="24"/>
        </w:rPr>
        <w:t>naproxen</w:t>
      </w:r>
      <w:proofErr w:type="spellEnd"/>
      <w:r w:rsidRPr="00096620">
        <w:rPr>
          <w:sz w:val="24"/>
          <w:szCs w:val="24"/>
        </w:rPr>
        <w:t xml:space="preserve"> efter administration af Nomigrin er proportional med dosis a </w:t>
      </w:r>
      <w:proofErr w:type="spellStart"/>
      <w:r w:rsidRPr="00096620">
        <w:rPr>
          <w:sz w:val="24"/>
          <w:szCs w:val="24"/>
        </w:rPr>
        <w:t>naproxen</w:t>
      </w:r>
      <w:proofErr w:type="spellEnd"/>
      <w:r w:rsidRPr="00096620">
        <w:rPr>
          <w:sz w:val="24"/>
          <w:szCs w:val="24"/>
        </w:rPr>
        <w:t>.</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r w:rsidRPr="00096620">
        <w:rPr>
          <w:sz w:val="24"/>
          <w:szCs w:val="24"/>
        </w:rPr>
        <w:t xml:space="preserve">Der er en 1,5 gange stigning i </w:t>
      </w:r>
      <w:proofErr w:type="spellStart"/>
      <w:r w:rsidRPr="00096620">
        <w:rPr>
          <w:sz w:val="24"/>
          <w:szCs w:val="24"/>
        </w:rPr>
        <w:t>C</w:t>
      </w:r>
      <w:r w:rsidRPr="00096620">
        <w:rPr>
          <w:sz w:val="24"/>
          <w:szCs w:val="24"/>
          <w:vertAlign w:val="subscript"/>
        </w:rPr>
        <w:t>max</w:t>
      </w:r>
      <w:proofErr w:type="spellEnd"/>
      <w:r w:rsidRPr="00096620">
        <w:rPr>
          <w:sz w:val="24"/>
          <w:szCs w:val="24"/>
        </w:rPr>
        <w:t xml:space="preserve"> for </w:t>
      </w:r>
      <w:proofErr w:type="spellStart"/>
      <w:r w:rsidRPr="00096620">
        <w:rPr>
          <w:sz w:val="24"/>
          <w:szCs w:val="24"/>
        </w:rPr>
        <w:t>naproxen</w:t>
      </w:r>
      <w:proofErr w:type="spellEnd"/>
      <w:r w:rsidRPr="00096620">
        <w:rPr>
          <w:sz w:val="24"/>
          <w:szCs w:val="24"/>
        </w:rPr>
        <w:t xml:space="preserve"> og en 1,6 gange stigning i AUC efter to doser taget med 2 timers mellemrum sammenlignet med en enkeltdosis Nomigrin.</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sz w:val="24"/>
          <w:szCs w:val="24"/>
        </w:rPr>
        <w:t>Naproxiumnatrium</w:t>
      </w:r>
      <w:proofErr w:type="spellEnd"/>
      <w:r w:rsidRPr="00096620">
        <w:rPr>
          <w:sz w:val="24"/>
          <w:szCs w:val="24"/>
        </w:rPr>
        <w:t xml:space="preserve"> absorberes hurtigt fra mave-tarm</w:t>
      </w:r>
      <w:r w:rsidR="006B2ED9">
        <w:rPr>
          <w:sz w:val="24"/>
          <w:szCs w:val="24"/>
        </w:rPr>
        <w:t>-</w:t>
      </w:r>
      <w:r w:rsidRPr="00096620">
        <w:rPr>
          <w:sz w:val="24"/>
          <w:szCs w:val="24"/>
        </w:rPr>
        <w:t xml:space="preserve">kanalen med en </w:t>
      </w:r>
      <w:r w:rsidRPr="00096620">
        <w:rPr>
          <w:i/>
          <w:iCs/>
          <w:sz w:val="24"/>
          <w:szCs w:val="24"/>
        </w:rPr>
        <w:t xml:space="preserve">in </w:t>
      </w:r>
      <w:proofErr w:type="spellStart"/>
      <w:r w:rsidRPr="00096620">
        <w:rPr>
          <w:i/>
          <w:iCs/>
          <w:sz w:val="24"/>
          <w:szCs w:val="24"/>
        </w:rPr>
        <w:t>vivo</w:t>
      </w:r>
      <w:proofErr w:type="spellEnd"/>
      <w:r w:rsidRPr="00096620">
        <w:rPr>
          <w:sz w:val="24"/>
          <w:szCs w:val="24"/>
        </w:rPr>
        <w:t xml:space="preserve"> biotilgængelighed på 95 %.</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i/>
          <w:iCs/>
          <w:sz w:val="24"/>
          <w:szCs w:val="24"/>
        </w:rPr>
      </w:pPr>
      <w:r w:rsidRPr="00096620">
        <w:rPr>
          <w:i/>
          <w:iCs/>
          <w:sz w:val="24"/>
          <w:szCs w:val="24"/>
        </w:rPr>
        <w:t>Samtidig administration med mad</w:t>
      </w:r>
    </w:p>
    <w:p w:rsidR="00E54019" w:rsidRPr="00096620" w:rsidRDefault="00E54019" w:rsidP="00E54019">
      <w:pPr>
        <w:tabs>
          <w:tab w:val="left" w:pos="851"/>
        </w:tabs>
        <w:ind w:left="851"/>
        <w:rPr>
          <w:sz w:val="24"/>
          <w:szCs w:val="24"/>
        </w:rPr>
      </w:pPr>
      <w:r w:rsidRPr="00096620">
        <w:rPr>
          <w:sz w:val="24"/>
          <w:szCs w:val="24"/>
        </w:rPr>
        <w:t xml:space="preserve">Mad har ingen signifikant effekt på biotilgængeligheden af </w:t>
      </w:r>
      <w:proofErr w:type="spellStart"/>
      <w:r w:rsidRPr="00096620">
        <w:rPr>
          <w:sz w:val="24"/>
          <w:szCs w:val="24"/>
        </w:rPr>
        <w:t>sumatriptansuccinat</w:t>
      </w:r>
      <w:proofErr w:type="spellEnd"/>
      <w:r w:rsidRPr="00096620">
        <w:rPr>
          <w:sz w:val="24"/>
          <w:szCs w:val="24"/>
        </w:rPr>
        <w:t xml:space="preserve"> eller </w:t>
      </w:r>
      <w:proofErr w:type="spellStart"/>
      <w:r w:rsidRPr="00096620">
        <w:rPr>
          <w:sz w:val="24"/>
          <w:szCs w:val="24"/>
        </w:rPr>
        <w:t>naproxiumnatrium</w:t>
      </w:r>
      <w:proofErr w:type="spellEnd"/>
      <w:r w:rsidRPr="00096620">
        <w:rPr>
          <w:sz w:val="24"/>
          <w:szCs w:val="24"/>
        </w:rPr>
        <w:t xml:space="preserve"> administreret som Nomigrin, men forsinkede </w:t>
      </w:r>
      <w:proofErr w:type="spellStart"/>
      <w:r w:rsidRPr="00096620">
        <w:rPr>
          <w:sz w:val="24"/>
          <w:szCs w:val="24"/>
        </w:rPr>
        <w:t>T</w:t>
      </w:r>
      <w:r w:rsidRPr="00096620">
        <w:rPr>
          <w:sz w:val="24"/>
          <w:szCs w:val="24"/>
          <w:vertAlign w:val="subscript"/>
        </w:rPr>
        <w:t>max</w:t>
      </w:r>
      <w:proofErr w:type="spellEnd"/>
      <w:r w:rsidRPr="00096620">
        <w:rPr>
          <w:sz w:val="24"/>
          <w:szCs w:val="24"/>
        </w:rPr>
        <w:t xml:space="preserve"> for </w:t>
      </w:r>
      <w:proofErr w:type="spellStart"/>
      <w:r w:rsidRPr="00096620">
        <w:rPr>
          <w:sz w:val="24"/>
          <w:szCs w:val="24"/>
        </w:rPr>
        <w:t>sumatriptansuccinat</w:t>
      </w:r>
      <w:proofErr w:type="spellEnd"/>
      <w:r w:rsidRPr="00096620">
        <w:rPr>
          <w:sz w:val="24"/>
          <w:szCs w:val="24"/>
        </w:rPr>
        <w:t xml:space="preserve"> med ca. 0,6 timer. Disse data indikerer, at Nomigrin kan administreres uden hensyntagen til mad.</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r w:rsidRPr="00096620">
        <w:rPr>
          <w:sz w:val="24"/>
          <w:szCs w:val="24"/>
          <w:u w:val="single"/>
        </w:rPr>
        <w:t>Fordeling</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i/>
          <w:iCs/>
          <w:sz w:val="24"/>
          <w:szCs w:val="24"/>
        </w:rPr>
        <w:t>Sumatriptan</w:t>
      </w:r>
      <w:proofErr w:type="spellEnd"/>
    </w:p>
    <w:p w:rsidR="006B2ED9" w:rsidRPr="00096620" w:rsidRDefault="006B2ED9" w:rsidP="006B2ED9">
      <w:pPr>
        <w:tabs>
          <w:tab w:val="left" w:pos="851"/>
        </w:tabs>
        <w:ind w:left="851"/>
        <w:rPr>
          <w:sz w:val="24"/>
          <w:szCs w:val="24"/>
        </w:rPr>
      </w:pPr>
      <w:proofErr w:type="spellStart"/>
      <w:r w:rsidRPr="00096620">
        <w:rPr>
          <w:sz w:val="24"/>
          <w:szCs w:val="24"/>
        </w:rPr>
        <w:lastRenderedPageBreak/>
        <w:t>Sumatriptans</w:t>
      </w:r>
      <w:proofErr w:type="spellEnd"/>
      <w:r w:rsidRPr="00096620">
        <w:rPr>
          <w:sz w:val="24"/>
          <w:szCs w:val="24"/>
        </w:rPr>
        <w:t xml:space="preserve"> plasmaproteinbinding er lav (14</w:t>
      </w:r>
      <w:r w:rsidRPr="00304F95">
        <w:rPr>
          <w:sz w:val="24"/>
          <w:szCs w:val="24"/>
        </w:rPr>
        <w:t> - </w:t>
      </w:r>
      <w:r w:rsidRPr="00096620">
        <w:rPr>
          <w:sz w:val="24"/>
          <w:szCs w:val="24"/>
        </w:rPr>
        <w:t xml:space="preserve">21 %) og </w:t>
      </w:r>
      <w:r>
        <w:rPr>
          <w:sz w:val="24"/>
          <w:szCs w:val="24"/>
        </w:rPr>
        <w:t>det gennemsnitlige</w:t>
      </w:r>
      <w:r w:rsidRPr="00096620">
        <w:rPr>
          <w:sz w:val="24"/>
          <w:szCs w:val="24"/>
        </w:rPr>
        <w:t xml:space="preserve"> distributionsvolumen er 170 liter.</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i/>
          <w:iCs/>
          <w:sz w:val="24"/>
          <w:szCs w:val="24"/>
        </w:rPr>
        <w:t>Naproxen</w:t>
      </w:r>
      <w:proofErr w:type="spellEnd"/>
    </w:p>
    <w:p w:rsidR="00E54019" w:rsidRPr="00096620" w:rsidRDefault="00E54019" w:rsidP="00E54019">
      <w:pPr>
        <w:tabs>
          <w:tab w:val="left" w:pos="851"/>
        </w:tabs>
        <w:ind w:left="851"/>
        <w:rPr>
          <w:sz w:val="24"/>
          <w:szCs w:val="24"/>
        </w:rPr>
      </w:pPr>
      <w:proofErr w:type="spellStart"/>
      <w:r w:rsidRPr="00096620">
        <w:rPr>
          <w:sz w:val="24"/>
          <w:szCs w:val="24"/>
        </w:rPr>
        <w:t>Naproxens</w:t>
      </w:r>
      <w:proofErr w:type="spellEnd"/>
      <w:r w:rsidRPr="00096620">
        <w:rPr>
          <w:sz w:val="24"/>
          <w:szCs w:val="24"/>
        </w:rPr>
        <w:t xml:space="preserve"> proteinbinding ved normale doser er større end 99 %.</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u w:val="single"/>
        </w:rPr>
      </w:pPr>
      <w:r w:rsidRPr="00096620">
        <w:rPr>
          <w:sz w:val="24"/>
          <w:szCs w:val="24"/>
          <w:u w:val="single"/>
        </w:rPr>
        <w:t>Biotransformation</w:t>
      </w:r>
    </w:p>
    <w:p w:rsidR="00E54019" w:rsidRPr="00096620" w:rsidRDefault="00E54019" w:rsidP="00E54019">
      <w:pPr>
        <w:tabs>
          <w:tab w:val="left" w:pos="851"/>
        </w:tabs>
        <w:ind w:left="851"/>
        <w:rPr>
          <w:sz w:val="24"/>
          <w:szCs w:val="24"/>
          <w:u w:val="single"/>
        </w:rPr>
      </w:pPr>
    </w:p>
    <w:p w:rsidR="00E54019" w:rsidRPr="00096620" w:rsidRDefault="00E54019" w:rsidP="00E54019">
      <w:pPr>
        <w:tabs>
          <w:tab w:val="left" w:pos="851"/>
        </w:tabs>
        <w:ind w:left="851"/>
        <w:rPr>
          <w:sz w:val="24"/>
          <w:szCs w:val="24"/>
        </w:rPr>
      </w:pPr>
      <w:proofErr w:type="spellStart"/>
      <w:r w:rsidRPr="00096620">
        <w:rPr>
          <w:i/>
          <w:iCs/>
          <w:sz w:val="24"/>
          <w:szCs w:val="24"/>
        </w:rPr>
        <w:t>Sumatriptan</w:t>
      </w:r>
      <w:proofErr w:type="spellEnd"/>
    </w:p>
    <w:p w:rsidR="00E54019" w:rsidRPr="00096620" w:rsidRDefault="00E54019" w:rsidP="00E54019">
      <w:pPr>
        <w:tabs>
          <w:tab w:val="left" w:pos="851"/>
        </w:tabs>
        <w:ind w:left="851"/>
        <w:rPr>
          <w:sz w:val="24"/>
          <w:szCs w:val="24"/>
        </w:rPr>
      </w:pPr>
      <w:proofErr w:type="spellStart"/>
      <w:r w:rsidRPr="00096620">
        <w:rPr>
          <w:sz w:val="24"/>
          <w:szCs w:val="24"/>
        </w:rPr>
        <w:t>Sumatriptan</w:t>
      </w:r>
      <w:proofErr w:type="spellEnd"/>
      <w:r w:rsidRPr="00096620">
        <w:rPr>
          <w:sz w:val="24"/>
          <w:szCs w:val="24"/>
        </w:rPr>
        <w:t xml:space="preserve"> </w:t>
      </w:r>
      <w:proofErr w:type="spellStart"/>
      <w:r w:rsidRPr="00096620">
        <w:rPr>
          <w:sz w:val="24"/>
          <w:szCs w:val="24"/>
        </w:rPr>
        <w:t>metaboliseres</w:t>
      </w:r>
      <w:proofErr w:type="spellEnd"/>
      <w:r w:rsidRPr="00096620">
        <w:rPr>
          <w:sz w:val="24"/>
          <w:szCs w:val="24"/>
        </w:rPr>
        <w:t xml:space="preserve"> hovedsageligt af </w:t>
      </w:r>
      <w:proofErr w:type="spellStart"/>
      <w:r w:rsidRPr="00096620">
        <w:rPr>
          <w:sz w:val="24"/>
          <w:szCs w:val="24"/>
        </w:rPr>
        <w:t>monoaminoxidase</w:t>
      </w:r>
      <w:proofErr w:type="spellEnd"/>
      <w:r w:rsidRPr="00096620">
        <w:rPr>
          <w:sz w:val="24"/>
          <w:szCs w:val="24"/>
        </w:rPr>
        <w:t xml:space="preserve"> A. </w:t>
      </w:r>
      <w:proofErr w:type="spellStart"/>
      <w:r w:rsidRPr="00096620">
        <w:rPr>
          <w:sz w:val="24"/>
          <w:szCs w:val="24"/>
        </w:rPr>
        <w:t>Sumatriptans</w:t>
      </w:r>
      <w:proofErr w:type="spellEnd"/>
      <w:r w:rsidRPr="00096620">
        <w:rPr>
          <w:sz w:val="24"/>
          <w:szCs w:val="24"/>
        </w:rPr>
        <w:t xml:space="preserve"> primære metabolit </w:t>
      </w:r>
      <w:proofErr w:type="spellStart"/>
      <w:r w:rsidRPr="00096620">
        <w:rPr>
          <w:sz w:val="24"/>
          <w:szCs w:val="24"/>
        </w:rPr>
        <w:t>analogen</w:t>
      </w:r>
      <w:proofErr w:type="spellEnd"/>
      <w:r w:rsidRPr="00096620">
        <w:rPr>
          <w:sz w:val="24"/>
          <w:szCs w:val="24"/>
        </w:rPr>
        <w:t xml:space="preserve"> </w:t>
      </w:r>
      <w:proofErr w:type="spellStart"/>
      <w:r w:rsidRPr="00096620">
        <w:rPr>
          <w:sz w:val="24"/>
          <w:szCs w:val="24"/>
        </w:rPr>
        <w:t>indoleddikesyre</w:t>
      </w:r>
      <w:proofErr w:type="spellEnd"/>
      <w:r w:rsidRPr="00096620">
        <w:rPr>
          <w:sz w:val="24"/>
          <w:szCs w:val="24"/>
        </w:rPr>
        <w:t xml:space="preserve">, udskilles hovedsageligt i urinen, hvor den findes som fri syre og konjugeret </w:t>
      </w:r>
      <w:proofErr w:type="spellStart"/>
      <w:r w:rsidRPr="00096620">
        <w:rPr>
          <w:sz w:val="24"/>
          <w:szCs w:val="24"/>
        </w:rPr>
        <w:t>glucuronid</w:t>
      </w:r>
      <w:proofErr w:type="spellEnd"/>
      <w:r w:rsidRPr="00096620">
        <w:rPr>
          <w:sz w:val="24"/>
          <w:szCs w:val="24"/>
        </w:rPr>
        <w:t>. Den har ingen kendt 5</w:t>
      </w:r>
      <w:r w:rsidRPr="00096620">
        <w:rPr>
          <w:sz w:val="24"/>
          <w:szCs w:val="24"/>
        </w:rPr>
        <w:noBreakHyphen/>
        <w:t>HT</w:t>
      </w:r>
      <w:r w:rsidRPr="00096620">
        <w:rPr>
          <w:sz w:val="24"/>
          <w:szCs w:val="24"/>
          <w:vertAlign w:val="subscript"/>
        </w:rPr>
        <w:t>1</w:t>
      </w:r>
      <w:r w:rsidRPr="00096620">
        <w:rPr>
          <w:sz w:val="24"/>
          <w:szCs w:val="24"/>
        </w:rPr>
        <w:t>- eller 5</w:t>
      </w:r>
      <w:r w:rsidRPr="00096620">
        <w:rPr>
          <w:sz w:val="24"/>
          <w:szCs w:val="24"/>
        </w:rPr>
        <w:noBreakHyphen/>
        <w:t>HT</w:t>
      </w:r>
      <w:r w:rsidRPr="00096620">
        <w:rPr>
          <w:sz w:val="24"/>
          <w:szCs w:val="24"/>
          <w:vertAlign w:val="subscript"/>
        </w:rPr>
        <w:t>2</w:t>
      </w:r>
      <w:r w:rsidRPr="00096620">
        <w:rPr>
          <w:sz w:val="24"/>
          <w:szCs w:val="24"/>
        </w:rPr>
        <w:t>-aktivitet. Mindre metabolitter er ikke blevet identificeret.</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i/>
          <w:iCs/>
          <w:sz w:val="24"/>
          <w:szCs w:val="24"/>
        </w:rPr>
        <w:t>Naproxen</w:t>
      </w:r>
      <w:proofErr w:type="spellEnd"/>
    </w:p>
    <w:p w:rsidR="00E54019" w:rsidRPr="00096620" w:rsidRDefault="00E54019" w:rsidP="00E54019">
      <w:pPr>
        <w:tabs>
          <w:tab w:val="left" w:pos="851"/>
        </w:tabs>
        <w:ind w:left="851"/>
        <w:rPr>
          <w:sz w:val="24"/>
          <w:szCs w:val="24"/>
        </w:rPr>
      </w:pPr>
      <w:r w:rsidRPr="00096620">
        <w:rPr>
          <w:sz w:val="24"/>
          <w:szCs w:val="24"/>
        </w:rPr>
        <w:t xml:space="preserve">30 % af </w:t>
      </w:r>
      <w:proofErr w:type="spellStart"/>
      <w:r w:rsidRPr="00096620">
        <w:rPr>
          <w:sz w:val="24"/>
          <w:szCs w:val="24"/>
        </w:rPr>
        <w:t>naproxen</w:t>
      </w:r>
      <w:proofErr w:type="spellEnd"/>
      <w:r w:rsidRPr="00096620">
        <w:rPr>
          <w:sz w:val="24"/>
          <w:szCs w:val="24"/>
        </w:rPr>
        <w:t xml:space="preserve"> omdannes i leveren (CYP450 </w:t>
      </w:r>
      <w:proofErr w:type="spellStart"/>
      <w:r w:rsidRPr="00096620">
        <w:rPr>
          <w:sz w:val="24"/>
          <w:szCs w:val="24"/>
        </w:rPr>
        <w:t>isoenzymerne</w:t>
      </w:r>
      <w:proofErr w:type="spellEnd"/>
      <w:r w:rsidRPr="00096620">
        <w:rPr>
          <w:sz w:val="24"/>
          <w:szCs w:val="24"/>
        </w:rPr>
        <w:t xml:space="preserve"> 1A2, 2C8 og 2C9) til det farmakologiske inaktive 6-O-desmethylnaproxen. Både </w:t>
      </w:r>
      <w:proofErr w:type="spellStart"/>
      <w:r w:rsidRPr="00096620">
        <w:rPr>
          <w:sz w:val="24"/>
          <w:szCs w:val="24"/>
        </w:rPr>
        <w:t>naproxen</w:t>
      </w:r>
      <w:proofErr w:type="spellEnd"/>
      <w:r w:rsidRPr="00096620">
        <w:rPr>
          <w:sz w:val="24"/>
          <w:szCs w:val="24"/>
        </w:rPr>
        <w:t xml:space="preserve"> og 6-O-desmethylnaproxen </w:t>
      </w:r>
      <w:proofErr w:type="spellStart"/>
      <w:r w:rsidRPr="00781377">
        <w:rPr>
          <w:sz w:val="24"/>
          <w:szCs w:val="24"/>
        </w:rPr>
        <w:t>metaboliseres</w:t>
      </w:r>
      <w:proofErr w:type="spellEnd"/>
      <w:r w:rsidRPr="00781377">
        <w:rPr>
          <w:sz w:val="24"/>
          <w:szCs w:val="24"/>
        </w:rPr>
        <w:t xml:space="preserve"> </w:t>
      </w:r>
      <w:r w:rsidRPr="00096620">
        <w:rPr>
          <w:sz w:val="24"/>
          <w:szCs w:val="24"/>
        </w:rPr>
        <w:t xml:space="preserve">yderligere til deres respektive konjugerede metabolitter </w:t>
      </w:r>
      <w:proofErr w:type="spellStart"/>
      <w:r w:rsidRPr="00096620">
        <w:rPr>
          <w:sz w:val="24"/>
          <w:szCs w:val="24"/>
        </w:rPr>
        <w:t>glucuronid</w:t>
      </w:r>
      <w:proofErr w:type="spellEnd"/>
      <w:r w:rsidRPr="00096620">
        <w:rPr>
          <w:sz w:val="24"/>
          <w:szCs w:val="24"/>
        </w:rPr>
        <w:t xml:space="preserve"> eller sulfat.</w:t>
      </w:r>
    </w:p>
    <w:p w:rsidR="00E54019" w:rsidRPr="00096620" w:rsidRDefault="00E54019" w:rsidP="00E54019">
      <w:pPr>
        <w:tabs>
          <w:tab w:val="left" w:pos="851"/>
        </w:tabs>
        <w:ind w:left="851"/>
        <w:rPr>
          <w:sz w:val="24"/>
          <w:szCs w:val="24"/>
          <w:u w:val="single"/>
        </w:rPr>
      </w:pPr>
    </w:p>
    <w:p w:rsidR="00E54019" w:rsidRPr="00096620" w:rsidRDefault="00E54019" w:rsidP="00E54019">
      <w:pPr>
        <w:tabs>
          <w:tab w:val="left" w:pos="851"/>
        </w:tabs>
        <w:ind w:left="851"/>
        <w:rPr>
          <w:sz w:val="24"/>
          <w:szCs w:val="24"/>
        </w:rPr>
      </w:pPr>
      <w:r w:rsidRPr="00096620">
        <w:rPr>
          <w:sz w:val="24"/>
          <w:szCs w:val="24"/>
          <w:u w:val="single"/>
        </w:rPr>
        <w:t>Elimination</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i/>
          <w:iCs/>
          <w:sz w:val="24"/>
          <w:szCs w:val="24"/>
        </w:rPr>
        <w:t>Sumatriptan</w:t>
      </w:r>
      <w:proofErr w:type="spellEnd"/>
    </w:p>
    <w:p w:rsidR="00E54019" w:rsidRPr="00096620" w:rsidRDefault="00E54019" w:rsidP="00E54019">
      <w:pPr>
        <w:tabs>
          <w:tab w:val="left" w:pos="851"/>
        </w:tabs>
        <w:ind w:left="851"/>
        <w:rPr>
          <w:i/>
          <w:sz w:val="24"/>
          <w:szCs w:val="24"/>
        </w:rPr>
      </w:pPr>
      <w:r w:rsidRPr="00096620">
        <w:rPr>
          <w:sz w:val="24"/>
          <w:szCs w:val="24"/>
        </w:rPr>
        <w:t xml:space="preserve">Eliminationshalveringstiden for </w:t>
      </w:r>
      <w:proofErr w:type="spellStart"/>
      <w:r w:rsidRPr="00096620">
        <w:rPr>
          <w:sz w:val="24"/>
          <w:szCs w:val="24"/>
        </w:rPr>
        <w:t>sumatriptan</w:t>
      </w:r>
      <w:proofErr w:type="spellEnd"/>
      <w:r w:rsidRPr="00096620">
        <w:rPr>
          <w:sz w:val="24"/>
          <w:szCs w:val="24"/>
        </w:rPr>
        <w:t xml:space="preserve"> er ca. 2 timer. Den gennemsnitlige totale </w:t>
      </w:r>
      <w:proofErr w:type="spellStart"/>
      <w:r w:rsidRPr="00096620">
        <w:rPr>
          <w:sz w:val="24"/>
          <w:szCs w:val="24"/>
        </w:rPr>
        <w:t>plasmaclearance</w:t>
      </w:r>
      <w:proofErr w:type="spellEnd"/>
      <w:r w:rsidRPr="00096620">
        <w:rPr>
          <w:sz w:val="24"/>
          <w:szCs w:val="24"/>
        </w:rPr>
        <w:t xml:space="preserve"> er ca. 1.160 ml/min, og den gennemsnitlige </w:t>
      </w:r>
      <w:proofErr w:type="spellStart"/>
      <w:r w:rsidRPr="00096620">
        <w:rPr>
          <w:sz w:val="24"/>
          <w:szCs w:val="24"/>
        </w:rPr>
        <w:t>renale</w:t>
      </w:r>
      <w:proofErr w:type="spellEnd"/>
      <w:r w:rsidRPr="00096620">
        <w:rPr>
          <w:sz w:val="24"/>
          <w:szCs w:val="24"/>
        </w:rPr>
        <w:t xml:space="preserve"> </w:t>
      </w:r>
      <w:proofErr w:type="spellStart"/>
      <w:r w:rsidRPr="00096620">
        <w:rPr>
          <w:sz w:val="24"/>
          <w:szCs w:val="24"/>
        </w:rPr>
        <w:t>plasmaclearance</w:t>
      </w:r>
      <w:proofErr w:type="spellEnd"/>
      <w:r w:rsidRPr="00096620">
        <w:rPr>
          <w:sz w:val="24"/>
          <w:szCs w:val="24"/>
        </w:rPr>
        <w:t xml:space="preserve"> er ca. 260 ml/min. Non-</w:t>
      </w:r>
      <w:proofErr w:type="spellStart"/>
      <w:r w:rsidRPr="00096620">
        <w:rPr>
          <w:sz w:val="24"/>
          <w:szCs w:val="24"/>
        </w:rPr>
        <w:t>renal</w:t>
      </w:r>
      <w:proofErr w:type="spellEnd"/>
      <w:r w:rsidRPr="00096620">
        <w:rPr>
          <w:sz w:val="24"/>
          <w:szCs w:val="24"/>
        </w:rPr>
        <w:t xml:space="preserve"> </w:t>
      </w:r>
      <w:proofErr w:type="spellStart"/>
      <w:r w:rsidRPr="00096620">
        <w:rPr>
          <w:sz w:val="24"/>
          <w:szCs w:val="24"/>
        </w:rPr>
        <w:t>clearance</w:t>
      </w:r>
      <w:proofErr w:type="spellEnd"/>
      <w:r w:rsidRPr="00096620">
        <w:rPr>
          <w:sz w:val="24"/>
          <w:szCs w:val="24"/>
        </w:rPr>
        <w:t xml:space="preserve"> udgør ca. 80 % af den totale </w:t>
      </w:r>
      <w:proofErr w:type="spellStart"/>
      <w:r w:rsidRPr="00096620">
        <w:rPr>
          <w:sz w:val="24"/>
          <w:szCs w:val="24"/>
        </w:rPr>
        <w:t>clearance</w:t>
      </w:r>
      <w:proofErr w:type="spellEnd"/>
      <w:r w:rsidRPr="00096620">
        <w:rPr>
          <w:sz w:val="24"/>
          <w:szCs w:val="24"/>
        </w:rPr>
        <w:t xml:space="preserve">. </w:t>
      </w:r>
      <w:proofErr w:type="spellStart"/>
      <w:r w:rsidRPr="00096620">
        <w:rPr>
          <w:sz w:val="24"/>
          <w:szCs w:val="24"/>
        </w:rPr>
        <w:t>Sumatriptan</w:t>
      </w:r>
      <w:proofErr w:type="spellEnd"/>
      <w:r w:rsidRPr="00096620">
        <w:rPr>
          <w:sz w:val="24"/>
          <w:szCs w:val="24"/>
        </w:rPr>
        <w:t xml:space="preserve"> elimineres primært ved </w:t>
      </w:r>
      <w:proofErr w:type="spellStart"/>
      <w:r w:rsidRPr="00096620">
        <w:rPr>
          <w:sz w:val="24"/>
          <w:szCs w:val="24"/>
        </w:rPr>
        <w:t>oxidativ</w:t>
      </w:r>
      <w:proofErr w:type="spellEnd"/>
      <w:r w:rsidRPr="00096620">
        <w:rPr>
          <w:sz w:val="24"/>
          <w:szCs w:val="24"/>
        </w:rPr>
        <w:t xml:space="preserve"> metabolisme forårsaget af </w:t>
      </w:r>
      <w:proofErr w:type="spellStart"/>
      <w:r w:rsidRPr="00096620">
        <w:rPr>
          <w:sz w:val="24"/>
          <w:szCs w:val="24"/>
        </w:rPr>
        <w:t>monoaminoxidase</w:t>
      </w:r>
      <w:proofErr w:type="spellEnd"/>
      <w:r w:rsidRPr="00096620">
        <w:rPr>
          <w:sz w:val="24"/>
          <w:szCs w:val="24"/>
        </w:rPr>
        <w:t xml:space="preserve"> A.</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i/>
          <w:iCs/>
          <w:sz w:val="24"/>
          <w:szCs w:val="24"/>
        </w:rPr>
        <w:t>Naproxen</w:t>
      </w:r>
      <w:proofErr w:type="spellEnd"/>
    </w:p>
    <w:p w:rsidR="00E54019" w:rsidRPr="00096620" w:rsidRDefault="00E54019" w:rsidP="00E54019">
      <w:pPr>
        <w:tabs>
          <w:tab w:val="left" w:pos="851"/>
        </w:tabs>
        <w:ind w:left="851"/>
        <w:rPr>
          <w:sz w:val="24"/>
          <w:szCs w:val="24"/>
        </w:rPr>
      </w:pPr>
      <w:r w:rsidRPr="00096620">
        <w:rPr>
          <w:sz w:val="24"/>
          <w:szCs w:val="24"/>
        </w:rPr>
        <w:t xml:space="preserve">Med stigende doser er udskillelsen i urin hurtigere, end man kunne forvente ud fra lineære processer. Plasmahalveringstiden er ca. 11 – 15 timer. Ca. 95 % af den administrerede dosis udskilles i urinen, primært som </w:t>
      </w:r>
      <w:proofErr w:type="spellStart"/>
      <w:r w:rsidRPr="00096620">
        <w:rPr>
          <w:sz w:val="24"/>
          <w:szCs w:val="24"/>
        </w:rPr>
        <w:t>naproxen</w:t>
      </w:r>
      <w:proofErr w:type="spellEnd"/>
      <w:r w:rsidRPr="00096620">
        <w:rPr>
          <w:sz w:val="24"/>
          <w:szCs w:val="24"/>
        </w:rPr>
        <w:t>, 6-O-desmethylnaproxen eller konjugerede former af de nævnte stoffer.</w:t>
      </w:r>
    </w:p>
    <w:p w:rsidR="00E54019" w:rsidRPr="00096620" w:rsidRDefault="00E54019" w:rsidP="00E54019">
      <w:pPr>
        <w:tabs>
          <w:tab w:val="left" w:pos="851"/>
        </w:tabs>
        <w:ind w:left="851"/>
        <w:rPr>
          <w:sz w:val="24"/>
          <w:szCs w:val="24"/>
        </w:rPr>
      </w:pPr>
    </w:p>
    <w:p w:rsidR="00E54019" w:rsidRPr="00A56A64" w:rsidRDefault="00E54019" w:rsidP="00E54019">
      <w:pPr>
        <w:tabs>
          <w:tab w:val="left" w:pos="851"/>
        </w:tabs>
        <w:ind w:left="851"/>
        <w:rPr>
          <w:b/>
          <w:sz w:val="24"/>
          <w:szCs w:val="24"/>
        </w:rPr>
      </w:pPr>
      <w:r w:rsidRPr="00A56A64">
        <w:rPr>
          <w:b/>
          <w:sz w:val="24"/>
          <w:szCs w:val="24"/>
        </w:rPr>
        <w:t>Specielle populationer</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r w:rsidRPr="00096620">
        <w:rPr>
          <w:sz w:val="24"/>
          <w:szCs w:val="24"/>
          <w:u w:val="single"/>
        </w:rPr>
        <w:t>Nedsat nyrefunktion</w:t>
      </w:r>
    </w:p>
    <w:p w:rsidR="00E54019" w:rsidRPr="00096620" w:rsidRDefault="00E54019" w:rsidP="00E54019">
      <w:pPr>
        <w:tabs>
          <w:tab w:val="left" w:pos="851"/>
        </w:tabs>
        <w:ind w:left="851"/>
        <w:rPr>
          <w:sz w:val="24"/>
          <w:szCs w:val="24"/>
        </w:rPr>
      </w:pPr>
      <w:r w:rsidRPr="00096620">
        <w:rPr>
          <w:sz w:val="24"/>
          <w:szCs w:val="24"/>
        </w:rPr>
        <w:t xml:space="preserve">Der er ikke udført formelle kliniske farmakologiske studier for at vurdere farmakokinetikken af </w:t>
      </w:r>
      <w:proofErr w:type="spellStart"/>
      <w:r w:rsidRPr="00096620">
        <w:rPr>
          <w:sz w:val="24"/>
          <w:szCs w:val="24"/>
        </w:rPr>
        <w:t>sumatriptan</w:t>
      </w:r>
      <w:proofErr w:type="spellEnd"/>
      <w:r w:rsidRPr="00096620">
        <w:rPr>
          <w:sz w:val="24"/>
          <w:szCs w:val="24"/>
        </w:rPr>
        <w:t>/</w:t>
      </w:r>
      <w:proofErr w:type="spellStart"/>
      <w:r w:rsidRPr="00096620">
        <w:rPr>
          <w:sz w:val="24"/>
          <w:szCs w:val="24"/>
        </w:rPr>
        <w:t>naproxen</w:t>
      </w:r>
      <w:proofErr w:type="spellEnd"/>
      <w:r w:rsidRPr="00096620">
        <w:rPr>
          <w:sz w:val="24"/>
          <w:szCs w:val="24"/>
        </w:rPr>
        <w:t xml:space="preserve"> hos personer med nedsat nyrefunktion.</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i/>
          <w:iCs/>
          <w:sz w:val="24"/>
          <w:szCs w:val="24"/>
        </w:rPr>
        <w:t>Sumatriptan</w:t>
      </w:r>
      <w:proofErr w:type="spellEnd"/>
    </w:p>
    <w:p w:rsidR="00E54019" w:rsidRPr="00096620" w:rsidRDefault="00E54019" w:rsidP="00E54019">
      <w:pPr>
        <w:tabs>
          <w:tab w:val="left" w:pos="851"/>
        </w:tabs>
        <w:ind w:left="851"/>
        <w:rPr>
          <w:sz w:val="24"/>
          <w:szCs w:val="24"/>
        </w:rPr>
      </w:pPr>
      <w:proofErr w:type="spellStart"/>
      <w:r w:rsidRPr="00096620">
        <w:rPr>
          <w:sz w:val="24"/>
          <w:szCs w:val="24"/>
        </w:rPr>
        <w:t>Sumatriptan</w:t>
      </w:r>
      <w:proofErr w:type="spellEnd"/>
      <w:r w:rsidRPr="00096620">
        <w:rPr>
          <w:sz w:val="24"/>
          <w:szCs w:val="24"/>
        </w:rPr>
        <w:t xml:space="preserve"> er ikke blevet undersøgt i patienter med nedsat nyrefunktion. Ikke-</w:t>
      </w:r>
      <w:proofErr w:type="spellStart"/>
      <w:r w:rsidRPr="00096620">
        <w:rPr>
          <w:sz w:val="24"/>
          <w:szCs w:val="24"/>
        </w:rPr>
        <w:t>renal</w:t>
      </w:r>
      <w:proofErr w:type="spellEnd"/>
      <w:r w:rsidRPr="00096620">
        <w:rPr>
          <w:sz w:val="24"/>
          <w:szCs w:val="24"/>
        </w:rPr>
        <w:t xml:space="preserve"> </w:t>
      </w:r>
      <w:proofErr w:type="spellStart"/>
      <w:r w:rsidRPr="00096620">
        <w:rPr>
          <w:sz w:val="24"/>
          <w:szCs w:val="24"/>
        </w:rPr>
        <w:t>clearance</w:t>
      </w:r>
      <w:proofErr w:type="spellEnd"/>
      <w:r w:rsidRPr="00096620">
        <w:rPr>
          <w:sz w:val="24"/>
          <w:szCs w:val="24"/>
        </w:rPr>
        <w:t xml:space="preserve"> udgør dog omkring 80 % af den samlede </w:t>
      </w:r>
      <w:proofErr w:type="spellStart"/>
      <w:r w:rsidRPr="00096620">
        <w:rPr>
          <w:sz w:val="24"/>
          <w:szCs w:val="24"/>
        </w:rPr>
        <w:t>clearance</w:t>
      </w:r>
      <w:proofErr w:type="spellEnd"/>
      <w:r w:rsidRPr="00096620">
        <w:rPr>
          <w:sz w:val="24"/>
          <w:szCs w:val="24"/>
        </w:rPr>
        <w:t xml:space="preserve">. </w:t>
      </w:r>
      <w:proofErr w:type="spellStart"/>
      <w:r w:rsidRPr="00096620">
        <w:rPr>
          <w:sz w:val="24"/>
          <w:szCs w:val="24"/>
        </w:rPr>
        <w:t>Sumatriptan</w:t>
      </w:r>
      <w:proofErr w:type="spellEnd"/>
      <w:r w:rsidRPr="00096620">
        <w:rPr>
          <w:sz w:val="24"/>
          <w:szCs w:val="24"/>
        </w:rPr>
        <w:t xml:space="preserve"> bør anvendes med forsigtighed hos patienter med nedsat nyrefunktion.</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i/>
          <w:iCs/>
          <w:sz w:val="24"/>
          <w:szCs w:val="24"/>
        </w:rPr>
        <w:t>Naproxen</w:t>
      </w:r>
      <w:proofErr w:type="spellEnd"/>
    </w:p>
    <w:p w:rsidR="00E54019" w:rsidRPr="00096620" w:rsidRDefault="00E54019" w:rsidP="00E54019">
      <w:pPr>
        <w:tabs>
          <w:tab w:val="left" w:pos="851"/>
        </w:tabs>
        <w:ind w:left="851"/>
        <w:rPr>
          <w:sz w:val="24"/>
          <w:szCs w:val="24"/>
        </w:rPr>
      </w:pPr>
      <w:proofErr w:type="spellStart"/>
      <w:r w:rsidRPr="00096620">
        <w:rPr>
          <w:sz w:val="24"/>
          <w:szCs w:val="24"/>
        </w:rPr>
        <w:t>Naproxens</w:t>
      </w:r>
      <w:proofErr w:type="spellEnd"/>
      <w:r w:rsidRPr="00096620">
        <w:rPr>
          <w:sz w:val="24"/>
          <w:szCs w:val="24"/>
        </w:rPr>
        <w:t xml:space="preserve"> farmakokinetik hos forsøgspersoner med nedsat nyrefunktion sammenlignet med forsøgspersoner med normal nyrefunktion, viser ingen forskel i halveringstid, ingen tegn på ophobning af </w:t>
      </w:r>
      <w:proofErr w:type="spellStart"/>
      <w:r w:rsidRPr="00096620">
        <w:rPr>
          <w:sz w:val="24"/>
          <w:szCs w:val="24"/>
        </w:rPr>
        <w:t>naproxen</w:t>
      </w:r>
      <w:proofErr w:type="spellEnd"/>
      <w:r w:rsidRPr="00096620">
        <w:rPr>
          <w:sz w:val="24"/>
          <w:szCs w:val="24"/>
        </w:rPr>
        <w:t xml:space="preserve"> eller nedsat proteinbinding. </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r w:rsidRPr="00096620">
        <w:rPr>
          <w:sz w:val="24"/>
          <w:szCs w:val="24"/>
        </w:rPr>
        <w:lastRenderedPageBreak/>
        <w:t xml:space="preserve">Da </w:t>
      </w:r>
      <w:proofErr w:type="spellStart"/>
      <w:r w:rsidRPr="00096620">
        <w:rPr>
          <w:sz w:val="24"/>
          <w:szCs w:val="24"/>
        </w:rPr>
        <w:t>naproxen</w:t>
      </w:r>
      <w:proofErr w:type="spellEnd"/>
      <w:r w:rsidRPr="00096620">
        <w:rPr>
          <w:sz w:val="24"/>
          <w:szCs w:val="24"/>
        </w:rPr>
        <w:t xml:space="preserve"> </w:t>
      </w:r>
      <w:proofErr w:type="spellStart"/>
      <w:r w:rsidRPr="00096620">
        <w:rPr>
          <w:sz w:val="24"/>
          <w:szCs w:val="24"/>
        </w:rPr>
        <w:t>metaboliseres</w:t>
      </w:r>
      <w:proofErr w:type="spellEnd"/>
      <w:r w:rsidRPr="00096620">
        <w:rPr>
          <w:sz w:val="24"/>
          <w:szCs w:val="24"/>
        </w:rPr>
        <w:t xml:space="preserve"> til </w:t>
      </w:r>
      <w:proofErr w:type="spellStart"/>
      <w:r w:rsidRPr="00096620">
        <w:rPr>
          <w:sz w:val="24"/>
          <w:szCs w:val="24"/>
        </w:rPr>
        <w:t>konjugater</w:t>
      </w:r>
      <w:proofErr w:type="spellEnd"/>
      <w:r w:rsidRPr="00096620">
        <w:rPr>
          <w:sz w:val="24"/>
          <w:szCs w:val="24"/>
        </w:rPr>
        <w:t xml:space="preserve"> der primært udskilles af nyrerne, er der mulighed for, at </w:t>
      </w:r>
      <w:proofErr w:type="spellStart"/>
      <w:r w:rsidRPr="00096620">
        <w:rPr>
          <w:sz w:val="24"/>
          <w:szCs w:val="24"/>
        </w:rPr>
        <w:t>naproxen</w:t>
      </w:r>
      <w:proofErr w:type="spellEnd"/>
      <w:r w:rsidRPr="00096620">
        <w:rPr>
          <w:sz w:val="24"/>
          <w:szCs w:val="24"/>
        </w:rPr>
        <w:t xml:space="preserve">-metabolitter kan akkumuleres ved nyreinsufficiens, selvom dette er mindre sandsynligt med den episodiske behandling, der foreslås for </w:t>
      </w:r>
      <w:proofErr w:type="spellStart"/>
      <w:r w:rsidRPr="00096620">
        <w:rPr>
          <w:sz w:val="24"/>
          <w:szCs w:val="24"/>
        </w:rPr>
        <w:t>sumatriptan</w:t>
      </w:r>
      <w:proofErr w:type="spellEnd"/>
      <w:r w:rsidRPr="00096620">
        <w:rPr>
          <w:sz w:val="24"/>
          <w:szCs w:val="24"/>
        </w:rPr>
        <w:t>/</w:t>
      </w:r>
      <w:proofErr w:type="spellStart"/>
      <w:r w:rsidRPr="00096620">
        <w:rPr>
          <w:sz w:val="24"/>
          <w:szCs w:val="24"/>
        </w:rPr>
        <w:t>naproxen</w:t>
      </w:r>
      <w:proofErr w:type="spellEnd"/>
      <w:r w:rsidRPr="00096620">
        <w:rPr>
          <w:sz w:val="24"/>
          <w:szCs w:val="24"/>
        </w:rPr>
        <w:t xml:space="preserve">. Der bør dog udvises forsigtighed, når </w:t>
      </w:r>
      <w:proofErr w:type="spellStart"/>
      <w:r w:rsidRPr="00096620">
        <w:rPr>
          <w:sz w:val="24"/>
          <w:szCs w:val="24"/>
        </w:rPr>
        <w:t>sumatriptan</w:t>
      </w:r>
      <w:proofErr w:type="spellEnd"/>
      <w:r w:rsidRPr="00096620">
        <w:rPr>
          <w:sz w:val="24"/>
          <w:szCs w:val="24"/>
        </w:rPr>
        <w:t>/</w:t>
      </w:r>
      <w:proofErr w:type="spellStart"/>
      <w:r w:rsidRPr="00096620">
        <w:rPr>
          <w:sz w:val="24"/>
          <w:szCs w:val="24"/>
        </w:rPr>
        <w:t>naproxen</w:t>
      </w:r>
      <w:proofErr w:type="spellEnd"/>
      <w:r w:rsidRPr="00096620">
        <w:rPr>
          <w:sz w:val="24"/>
          <w:szCs w:val="24"/>
        </w:rPr>
        <w:t xml:space="preserve"> administreres til patienter med nyreinsufficiens. </w:t>
      </w:r>
      <w:proofErr w:type="spellStart"/>
      <w:r w:rsidRPr="00096620">
        <w:rPr>
          <w:sz w:val="24"/>
          <w:szCs w:val="24"/>
        </w:rPr>
        <w:t>Sumatriptan</w:t>
      </w:r>
      <w:proofErr w:type="spellEnd"/>
      <w:r w:rsidRPr="00096620">
        <w:rPr>
          <w:sz w:val="24"/>
          <w:szCs w:val="24"/>
        </w:rPr>
        <w:t>/</w:t>
      </w:r>
      <w:proofErr w:type="spellStart"/>
      <w:r w:rsidRPr="00096620">
        <w:rPr>
          <w:sz w:val="24"/>
          <w:szCs w:val="24"/>
        </w:rPr>
        <w:t>naproxen</w:t>
      </w:r>
      <w:proofErr w:type="spellEnd"/>
      <w:r w:rsidRPr="00096620">
        <w:rPr>
          <w:sz w:val="24"/>
          <w:szCs w:val="24"/>
        </w:rPr>
        <w:t xml:space="preserve"> er kontraindiceret hos patienter med svært nedsat nyrefunktion (GFR &lt; 30 ml/min/1,73 m</w:t>
      </w:r>
      <w:r w:rsidRPr="00096620">
        <w:rPr>
          <w:sz w:val="24"/>
          <w:szCs w:val="24"/>
          <w:vertAlign w:val="superscript"/>
        </w:rPr>
        <w:t>2</w:t>
      </w:r>
      <w:r w:rsidRPr="00096620">
        <w:rPr>
          <w:sz w:val="24"/>
          <w:szCs w:val="24"/>
        </w:rPr>
        <w:t>) (se pkt. 4.3).</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u w:val="single"/>
        </w:rPr>
      </w:pPr>
      <w:r w:rsidRPr="00096620">
        <w:rPr>
          <w:sz w:val="24"/>
          <w:szCs w:val="24"/>
          <w:u w:val="single"/>
        </w:rPr>
        <w:t>Nedsat leverfunktion</w:t>
      </w:r>
    </w:p>
    <w:p w:rsidR="00E54019" w:rsidRPr="00096620" w:rsidRDefault="00E54019" w:rsidP="00E54019">
      <w:pPr>
        <w:tabs>
          <w:tab w:val="left" w:pos="851"/>
        </w:tabs>
        <w:ind w:left="851"/>
        <w:rPr>
          <w:sz w:val="24"/>
          <w:szCs w:val="24"/>
        </w:rPr>
      </w:pPr>
      <w:r w:rsidRPr="00096620">
        <w:rPr>
          <w:sz w:val="24"/>
          <w:szCs w:val="24"/>
        </w:rPr>
        <w:t xml:space="preserve">Der er ikke udført formelle kliniske farmakologiske studier for at vurdere farmakokinetikken af </w:t>
      </w:r>
      <w:proofErr w:type="spellStart"/>
      <w:r w:rsidRPr="00096620">
        <w:rPr>
          <w:sz w:val="24"/>
          <w:szCs w:val="24"/>
        </w:rPr>
        <w:t>sumatriptan</w:t>
      </w:r>
      <w:proofErr w:type="spellEnd"/>
      <w:r w:rsidRPr="00096620">
        <w:rPr>
          <w:sz w:val="24"/>
          <w:szCs w:val="24"/>
        </w:rPr>
        <w:t>/</w:t>
      </w:r>
      <w:proofErr w:type="spellStart"/>
      <w:r w:rsidRPr="00096620">
        <w:rPr>
          <w:sz w:val="24"/>
          <w:szCs w:val="24"/>
        </w:rPr>
        <w:t>naproxen</w:t>
      </w:r>
      <w:proofErr w:type="spellEnd"/>
      <w:r w:rsidRPr="00096620">
        <w:rPr>
          <w:sz w:val="24"/>
          <w:szCs w:val="24"/>
        </w:rPr>
        <w:t xml:space="preserve"> hos personer med nedsat leverfunktion.</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i/>
          <w:iCs/>
          <w:sz w:val="24"/>
          <w:szCs w:val="24"/>
        </w:rPr>
        <w:t>Sumatriptan</w:t>
      </w:r>
      <w:proofErr w:type="spellEnd"/>
    </w:p>
    <w:p w:rsidR="00E54019" w:rsidRPr="00096620" w:rsidRDefault="00E54019" w:rsidP="00E54019">
      <w:pPr>
        <w:tabs>
          <w:tab w:val="left" w:pos="851"/>
        </w:tabs>
        <w:ind w:left="851"/>
        <w:rPr>
          <w:sz w:val="24"/>
          <w:szCs w:val="24"/>
        </w:rPr>
      </w:pPr>
      <w:r w:rsidRPr="00096620">
        <w:rPr>
          <w:sz w:val="24"/>
          <w:szCs w:val="24"/>
        </w:rPr>
        <w:t xml:space="preserve">Biotilgængeligheden af </w:t>
      </w:r>
      <w:proofErr w:type="spellStart"/>
      <w:r w:rsidRPr="00096620">
        <w:rPr>
          <w:sz w:val="24"/>
          <w:szCs w:val="24"/>
        </w:rPr>
        <w:t>sumatriptan</w:t>
      </w:r>
      <w:proofErr w:type="spellEnd"/>
      <w:r w:rsidRPr="00096620">
        <w:rPr>
          <w:sz w:val="24"/>
          <w:szCs w:val="24"/>
        </w:rPr>
        <w:t xml:space="preserve"> efter oral administration kan være markant øget hos patienter med leversygdom. Patienter med let til moderat nedsat leverfunktion havde en stigning på ca. 80 % i AUC og </w:t>
      </w:r>
      <w:proofErr w:type="spellStart"/>
      <w:r w:rsidRPr="00096620">
        <w:rPr>
          <w:sz w:val="24"/>
          <w:szCs w:val="24"/>
        </w:rPr>
        <w:t>C</w:t>
      </w:r>
      <w:r w:rsidRPr="00096620">
        <w:rPr>
          <w:sz w:val="24"/>
          <w:szCs w:val="24"/>
          <w:vertAlign w:val="subscript"/>
        </w:rPr>
        <w:t>max</w:t>
      </w:r>
      <w:proofErr w:type="spellEnd"/>
      <w:r w:rsidRPr="00096620">
        <w:rPr>
          <w:sz w:val="24"/>
          <w:szCs w:val="24"/>
        </w:rPr>
        <w:t xml:space="preserve">, sammenlignet med raske forsøgspersoner. </w:t>
      </w:r>
      <w:proofErr w:type="spellStart"/>
      <w:r w:rsidRPr="00096620">
        <w:rPr>
          <w:sz w:val="24"/>
          <w:szCs w:val="24"/>
        </w:rPr>
        <w:t>Sumatriptans</w:t>
      </w:r>
      <w:proofErr w:type="spellEnd"/>
      <w:r w:rsidRPr="00096620">
        <w:rPr>
          <w:sz w:val="24"/>
          <w:szCs w:val="24"/>
        </w:rPr>
        <w:t xml:space="preserve"> </w:t>
      </w:r>
      <w:proofErr w:type="spellStart"/>
      <w:r w:rsidRPr="00096620">
        <w:rPr>
          <w:sz w:val="24"/>
          <w:szCs w:val="24"/>
        </w:rPr>
        <w:t>farmakokinetiske</w:t>
      </w:r>
      <w:proofErr w:type="spellEnd"/>
      <w:r w:rsidRPr="00096620">
        <w:rPr>
          <w:sz w:val="24"/>
          <w:szCs w:val="24"/>
        </w:rPr>
        <w:t xml:space="preserve"> profil hos patienter med moderat nedsat leverfunktion (Child </w:t>
      </w:r>
      <w:proofErr w:type="spellStart"/>
      <w:r w:rsidRPr="00096620">
        <w:rPr>
          <w:sz w:val="24"/>
          <w:szCs w:val="24"/>
        </w:rPr>
        <w:t>Pugh</w:t>
      </w:r>
      <w:proofErr w:type="spellEnd"/>
      <w:r w:rsidRPr="00096620">
        <w:rPr>
          <w:sz w:val="24"/>
          <w:szCs w:val="24"/>
        </w:rPr>
        <w:t xml:space="preserve"> B) viste, at disse patienter efter en oral dosis på 50 mg har meget højere plasmakoncentrationer af </w:t>
      </w:r>
      <w:proofErr w:type="spellStart"/>
      <w:r w:rsidRPr="00096620">
        <w:rPr>
          <w:sz w:val="24"/>
          <w:szCs w:val="24"/>
        </w:rPr>
        <w:t>sumatriptan</w:t>
      </w:r>
      <w:proofErr w:type="spellEnd"/>
      <w:r w:rsidRPr="00096620">
        <w:rPr>
          <w:sz w:val="24"/>
          <w:szCs w:val="24"/>
        </w:rPr>
        <w:t xml:space="preserve"> end hos raske forsøgspersoner. Da </w:t>
      </w:r>
      <w:proofErr w:type="spellStart"/>
      <w:r w:rsidRPr="00096620">
        <w:rPr>
          <w:sz w:val="24"/>
          <w:szCs w:val="24"/>
        </w:rPr>
        <w:t>sumatriptan</w:t>
      </w:r>
      <w:proofErr w:type="spellEnd"/>
      <w:r w:rsidRPr="00096620">
        <w:rPr>
          <w:sz w:val="24"/>
          <w:szCs w:val="24"/>
        </w:rPr>
        <w:t>/</w:t>
      </w:r>
      <w:proofErr w:type="spellStart"/>
      <w:r w:rsidRPr="00096620">
        <w:rPr>
          <w:sz w:val="24"/>
          <w:szCs w:val="24"/>
        </w:rPr>
        <w:t>naproxen</w:t>
      </w:r>
      <w:proofErr w:type="spellEnd"/>
      <w:r w:rsidRPr="00096620">
        <w:rPr>
          <w:sz w:val="24"/>
          <w:szCs w:val="24"/>
        </w:rPr>
        <w:t xml:space="preserve"> indeholder 85 mg </w:t>
      </w:r>
      <w:proofErr w:type="spellStart"/>
      <w:r w:rsidRPr="00096620">
        <w:rPr>
          <w:sz w:val="24"/>
          <w:szCs w:val="24"/>
        </w:rPr>
        <w:t>sumatriptan</w:t>
      </w:r>
      <w:proofErr w:type="spellEnd"/>
      <w:r w:rsidRPr="00096620">
        <w:rPr>
          <w:sz w:val="24"/>
          <w:szCs w:val="24"/>
        </w:rPr>
        <w:t xml:space="preserve">, anbefales det ikke at bruge det til patienter med let til moderat nedsat leverfunktion. </w:t>
      </w:r>
      <w:proofErr w:type="spellStart"/>
      <w:r w:rsidRPr="00096620">
        <w:rPr>
          <w:sz w:val="24"/>
          <w:szCs w:val="24"/>
        </w:rPr>
        <w:t>Sumatriptan</w:t>
      </w:r>
      <w:proofErr w:type="spellEnd"/>
      <w:r w:rsidRPr="00096620">
        <w:rPr>
          <w:sz w:val="24"/>
          <w:szCs w:val="24"/>
        </w:rPr>
        <w:t>/</w:t>
      </w:r>
      <w:proofErr w:type="spellStart"/>
      <w:r w:rsidRPr="00096620">
        <w:rPr>
          <w:sz w:val="24"/>
          <w:szCs w:val="24"/>
        </w:rPr>
        <w:t>naproxen</w:t>
      </w:r>
      <w:proofErr w:type="spellEnd"/>
      <w:r w:rsidRPr="00096620">
        <w:rPr>
          <w:sz w:val="24"/>
          <w:szCs w:val="24"/>
        </w:rPr>
        <w:t xml:space="preserve"> er kontraindiceret til patienter med moderat og svært nedsat leverfunktion (se pkt. 4.3).</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i/>
          <w:iCs/>
          <w:sz w:val="24"/>
          <w:szCs w:val="24"/>
        </w:rPr>
      </w:pPr>
      <w:proofErr w:type="spellStart"/>
      <w:r w:rsidRPr="00096620">
        <w:rPr>
          <w:i/>
          <w:iCs/>
          <w:sz w:val="24"/>
          <w:szCs w:val="24"/>
        </w:rPr>
        <w:t>Naproxen</w:t>
      </w:r>
      <w:proofErr w:type="spellEnd"/>
    </w:p>
    <w:p w:rsidR="00E54019" w:rsidRPr="00096620" w:rsidRDefault="00E54019" w:rsidP="00E54019">
      <w:pPr>
        <w:tabs>
          <w:tab w:val="left" w:pos="851"/>
        </w:tabs>
        <w:ind w:left="851"/>
        <w:rPr>
          <w:sz w:val="24"/>
          <w:szCs w:val="24"/>
        </w:rPr>
      </w:pPr>
      <w:proofErr w:type="spellStart"/>
      <w:r w:rsidRPr="00096620">
        <w:rPr>
          <w:sz w:val="24"/>
          <w:szCs w:val="24"/>
        </w:rPr>
        <w:t>Naproxen</w:t>
      </w:r>
      <w:proofErr w:type="spellEnd"/>
      <w:r w:rsidRPr="00096620">
        <w:rPr>
          <w:sz w:val="24"/>
          <w:szCs w:val="24"/>
        </w:rPr>
        <w:t xml:space="preserve"> er kontraindiceret til patienter med svært nedsat leverfunktion eller aktiv leversygdom (se pkt. 4.3).</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r w:rsidRPr="00096620">
        <w:rPr>
          <w:sz w:val="24"/>
          <w:szCs w:val="24"/>
          <w:u w:val="single"/>
        </w:rPr>
        <w:t>Ældre</w:t>
      </w:r>
    </w:p>
    <w:p w:rsidR="00E54019" w:rsidRPr="00096620" w:rsidRDefault="00E54019" w:rsidP="00E54019">
      <w:pPr>
        <w:tabs>
          <w:tab w:val="left" w:pos="851"/>
        </w:tabs>
        <w:ind w:left="851"/>
        <w:rPr>
          <w:sz w:val="24"/>
          <w:szCs w:val="24"/>
        </w:rPr>
      </w:pPr>
      <w:r w:rsidRPr="00096620">
        <w:rPr>
          <w:sz w:val="24"/>
          <w:szCs w:val="24"/>
        </w:rPr>
        <w:t xml:space="preserve">Der er ikke udført formelle kliniske farmakologiske studier for at vurdere farmakokinetikken af </w:t>
      </w:r>
      <w:proofErr w:type="spellStart"/>
      <w:r w:rsidRPr="00096620">
        <w:rPr>
          <w:sz w:val="24"/>
          <w:szCs w:val="24"/>
        </w:rPr>
        <w:t>sumatriptan</w:t>
      </w:r>
      <w:proofErr w:type="spellEnd"/>
      <w:r w:rsidRPr="00096620">
        <w:rPr>
          <w:sz w:val="24"/>
          <w:szCs w:val="24"/>
        </w:rPr>
        <w:t>/</w:t>
      </w:r>
      <w:proofErr w:type="spellStart"/>
      <w:r w:rsidRPr="00096620">
        <w:rPr>
          <w:sz w:val="24"/>
          <w:szCs w:val="24"/>
        </w:rPr>
        <w:t>naproxen</w:t>
      </w:r>
      <w:proofErr w:type="spellEnd"/>
      <w:r w:rsidRPr="00096620">
        <w:rPr>
          <w:sz w:val="24"/>
          <w:szCs w:val="24"/>
        </w:rPr>
        <w:t xml:space="preserve"> hos ældre.</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i/>
          <w:iCs/>
          <w:sz w:val="24"/>
          <w:szCs w:val="24"/>
        </w:rPr>
        <w:t>Sumatriptan</w:t>
      </w:r>
      <w:proofErr w:type="spellEnd"/>
    </w:p>
    <w:p w:rsidR="00E54019" w:rsidRPr="00096620" w:rsidRDefault="00E54019" w:rsidP="00E54019">
      <w:pPr>
        <w:tabs>
          <w:tab w:val="left" w:pos="851"/>
        </w:tabs>
        <w:ind w:left="851"/>
        <w:rPr>
          <w:sz w:val="24"/>
          <w:szCs w:val="24"/>
        </w:rPr>
      </w:pPr>
      <w:r w:rsidRPr="00096620">
        <w:rPr>
          <w:sz w:val="24"/>
          <w:szCs w:val="24"/>
        </w:rPr>
        <w:t xml:space="preserve">Farmakokinetikken af </w:t>
      </w:r>
      <w:proofErr w:type="spellStart"/>
      <w:r w:rsidRPr="00096620">
        <w:rPr>
          <w:sz w:val="24"/>
          <w:szCs w:val="24"/>
        </w:rPr>
        <w:t>sumatriptan</w:t>
      </w:r>
      <w:proofErr w:type="spellEnd"/>
      <w:r w:rsidRPr="00096620">
        <w:rPr>
          <w:sz w:val="24"/>
          <w:szCs w:val="24"/>
        </w:rPr>
        <w:t xml:space="preserve"> ser ikke ud til at være ændret hos ældre. Det anbefales dog ikke til ældre på grund af den sandsynlige tilstedeværelse af samtidig sygdom, nedsat leverfunktion og </w:t>
      </w:r>
      <w:proofErr w:type="spellStart"/>
      <w:r w:rsidRPr="00096620">
        <w:rPr>
          <w:sz w:val="24"/>
          <w:szCs w:val="24"/>
        </w:rPr>
        <w:t>kardiovaskulære</w:t>
      </w:r>
      <w:proofErr w:type="spellEnd"/>
      <w:r w:rsidRPr="00096620">
        <w:rPr>
          <w:sz w:val="24"/>
          <w:szCs w:val="24"/>
        </w:rPr>
        <w:t xml:space="preserve"> risikofaktorer.</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proofErr w:type="spellStart"/>
      <w:r w:rsidRPr="00096620">
        <w:rPr>
          <w:i/>
          <w:iCs/>
          <w:sz w:val="24"/>
          <w:szCs w:val="24"/>
        </w:rPr>
        <w:t>Naproxen</w:t>
      </w:r>
      <w:proofErr w:type="spellEnd"/>
    </w:p>
    <w:p w:rsidR="00E54019" w:rsidRPr="00096620" w:rsidRDefault="00E54019" w:rsidP="00E54019">
      <w:pPr>
        <w:tabs>
          <w:tab w:val="left" w:pos="851"/>
        </w:tabs>
        <w:ind w:left="851"/>
        <w:rPr>
          <w:sz w:val="24"/>
          <w:szCs w:val="24"/>
        </w:rPr>
      </w:pPr>
      <w:r w:rsidRPr="00096620">
        <w:rPr>
          <w:sz w:val="24"/>
          <w:szCs w:val="24"/>
        </w:rPr>
        <w:t xml:space="preserve">Undersøgelser med </w:t>
      </w:r>
      <w:proofErr w:type="spellStart"/>
      <w:r w:rsidRPr="00096620">
        <w:rPr>
          <w:sz w:val="24"/>
          <w:szCs w:val="24"/>
        </w:rPr>
        <w:t>naproxen</w:t>
      </w:r>
      <w:proofErr w:type="spellEnd"/>
      <w:r w:rsidRPr="00096620">
        <w:rPr>
          <w:sz w:val="24"/>
          <w:szCs w:val="24"/>
        </w:rPr>
        <w:t xml:space="preserve"> indikerer, at selvom den totale plasmakoncentration af </w:t>
      </w:r>
      <w:proofErr w:type="spellStart"/>
      <w:r w:rsidRPr="00096620">
        <w:rPr>
          <w:sz w:val="24"/>
          <w:szCs w:val="24"/>
        </w:rPr>
        <w:t>naproxen</w:t>
      </w:r>
      <w:proofErr w:type="spellEnd"/>
      <w:r w:rsidRPr="00096620">
        <w:rPr>
          <w:sz w:val="24"/>
          <w:szCs w:val="24"/>
        </w:rPr>
        <w:t xml:space="preserve"> er uændret, så er den ubundne fraktion øget hos ældre. Den kliniske betydning af dette fund er uklar, selvom det er muligt, at stigningen i koncentrationen af frit </w:t>
      </w:r>
      <w:proofErr w:type="spellStart"/>
      <w:r w:rsidRPr="00096620">
        <w:rPr>
          <w:sz w:val="24"/>
          <w:szCs w:val="24"/>
        </w:rPr>
        <w:t>naproxen</w:t>
      </w:r>
      <w:proofErr w:type="spellEnd"/>
      <w:r w:rsidRPr="00096620">
        <w:rPr>
          <w:sz w:val="24"/>
          <w:szCs w:val="24"/>
        </w:rPr>
        <w:t xml:space="preserve"> kan være forbundet med en stigning i antallet af uønskede hændelser pr. given dosis hos nogle ældre.</w:t>
      </w:r>
    </w:p>
    <w:p w:rsidR="00E54019" w:rsidRPr="00096620" w:rsidRDefault="00E54019" w:rsidP="00E54019">
      <w:pPr>
        <w:tabs>
          <w:tab w:val="left" w:pos="851"/>
        </w:tabs>
        <w:ind w:left="851"/>
        <w:rPr>
          <w:sz w:val="24"/>
          <w:szCs w:val="24"/>
        </w:rPr>
      </w:pPr>
    </w:p>
    <w:p w:rsidR="00E54019" w:rsidRPr="00096620" w:rsidRDefault="00E54019" w:rsidP="00E54019">
      <w:pPr>
        <w:tabs>
          <w:tab w:val="left" w:pos="851"/>
        </w:tabs>
        <w:ind w:left="851"/>
        <w:rPr>
          <w:sz w:val="24"/>
          <w:szCs w:val="24"/>
        </w:rPr>
      </w:pPr>
      <w:r w:rsidRPr="00096620">
        <w:rPr>
          <w:sz w:val="24"/>
          <w:szCs w:val="24"/>
          <w:u w:val="single"/>
        </w:rPr>
        <w:t>Etnisk oprindelse</w:t>
      </w:r>
    </w:p>
    <w:p w:rsidR="00E54019" w:rsidRDefault="00E54019" w:rsidP="00E54019">
      <w:pPr>
        <w:tabs>
          <w:tab w:val="left" w:pos="851"/>
        </w:tabs>
        <w:ind w:left="851"/>
        <w:rPr>
          <w:sz w:val="24"/>
          <w:szCs w:val="24"/>
        </w:rPr>
      </w:pPr>
      <w:r w:rsidRPr="00096620">
        <w:rPr>
          <w:sz w:val="24"/>
          <w:szCs w:val="24"/>
        </w:rPr>
        <w:t xml:space="preserve">Effekten af race på farmakokinetikken af </w:t>
      </w:r>
      <w:proofErr w:type="spellStart"/>
      <w:r w:rsidRPr="00096620">
        <w:rPr>
          <w:sz w:val="24"/>
          <w:szCs w:val="24"/>
        </w:rPr>
        <w:t>sumatriptan</w:t>
      </w:r>
      <w:proofErr w:type="spellEnd"/>
      <w:r w:rsidRPr="00096620">
        <w:rPr>
          <w:sz w:val="24"/>
          <w:szCs w:val="24"/>
        </w:rPr>
        <w:t>/</w:t>
      </w:r>
      <w:proofErr w:type="spellStart"/>
      <w:r w:rsidRPr="00096620">
        <w:rPr>
          <w:sz w:val="24"/>
          <w:szCs w:val="24"/>
        </w:rPr>
        <w:t>naproxen</w:t>
      </w:r>
      <w:proofErr w:type="spellEnd"/>
      <w:r w:rsidRPr="00096620">
        <w:rPr>
          <w:sz w:val="24"/>
          <w:szCs w:val="24"/>
        </w:rPr>
        <w:t xml:space="preserve"> er ikke blevet undersøgt.</w:t>
      </w:r>
    </w:p>
    <w:p w:rsidR="00E54019" w:rsidRPr="00096620" w:rsidRDefault="00E54019" w:rsidP="00E54019">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E54019">
        <w:rPr>
          <w:b/>
          <w:sz w:val="24"/>
          <w:szCs w:val="24"/>
        </w:rPr>
        <w:t>Non-</w:t>
      </w:r>
      <w:r w:rsidRPr="00C84483">
        <w:rPr>
          <w:b/>
          <w:sz w:val="24"/>
          <w:szCs w:val="24"/>
        </w:rPr>
        <w:t>kliniske sikkerhedsdata</w:t>
      </w:r>
    </w:p>
    <w:p w:rsidR="00304F95" w:rsidRPr="00304F95" w:rsidRDefault="00304F95" w:rsidP="00304F95">
      <w:pPr>
        <w:tabs>
          <w:tab w:val="left" w:pos="851"/>
        </w:tabs>
        <w:ind w:left="851"/>
        <w:rPr>
          <w:sz w:val="24"/>
          <w:szCs w:val="24"/>
        </w:rPr>
      </w:pPr>
    </w:p>
    <w:p w:rsidR="00304F95" w:rsidRPr="00304F95" w:rsidRDefault="006B2ED9" w:rsidP="00304F95">
      <w:pPr>
        <w:tabs>
          <w:tab w:val="left" w:pos="851"/>
        </w:tabs>
        <w:ind w:left="851"/>
        <w:rPr>
          <w:sz w:val="24"/>
          <w:szCs w:val="24"/>
          <w:u w:val="single"/>
        </w:rPr>
      </w:pPr>
      <w:r w:rsidRPr="00304F95">
        <w:rPr>
          <w:sz w:val="24"/>
          <w:szCs w:val="24"/>
          <w:u w:val="single"/>
        </w:rPr>
        <w:t>Toksicitet med gentagne doser</w:t>
      </w:r>
    </w:p>
    <w:p w:rsidR="00304F95" w:rsidRPr="00304F95" w:rsidRDefault="00304F95" w:rsidP="00304F95">
      <w:pPr>
        <w:tabs>
          <w:tab w:val="left" w:pos="851"/>
        </w:tabs>
        <w:ind w:left="851"/>
        <w:rPr>
          <w:sz w:val="24"/>
          <w:szCs w:val="24"/>
        </w:rPr>
      </w:pPr>
      <w:r w:rsidRPr="00304F95">
        <w:rPr>
          <w:sz w:val="24"/>
          <w:szCs w:val="24"/>
        </w:rPr>
        <w:t xml:space="preserve">Orale toksikologiske studier med gentagne doser af op til 13 ugers varighed hos mus, blev udført med kombinationen </w:t>
      </w:r>
      <w:proofErr w:type="spellStart"/>
      <w:r w:rsidRPr="00304F95">
        <w:rPr>
          <w:sz w:val="24"/>
          <w:szCs w:val="24"/>
        </w:rPr>
        <w:t>sumatriptan</w:t>
      </w:r>
      <w:proofErr w:type="spellEnd"/>
      <w:r w:rsidRPr="00304F95">
        <w:rPr>
          <w:sz w:val="24"/>
          <w:szCs w:val="24"/>
        </w:rPr>
        <w:t>/</w:t>
      </w:r>
      <w:proofErr w:type="spellStart"/>
      <w:r w:rsidRPr="00304F95">
        <w:rPr>
          <w:sz w:val="24"/>
          <w:szCs w:val="24"/>
        </w:rPr>
        <w:t>naproxen</w:t>
      </w:r>
      <w:proofErr w:type="spellEnd"/>
      <w:r w:rsidRPr="00304F95">
        <w:rPr>
          <w:sz w:val="24"/>
          <w:szCs w:val="24"/>
        </w:rPr>
        <w:t xml:space="preserve">. Toksiciteten af </w:t>
      </w:r>
      <w:proofErr w:type="spellStart"/>
      <w:r w:rsidRPr="00304F95">
        <w:rPr>
          <w:sz w:val="24"/>
          <w:szCs w:val="24"/>
        </w:rPr>
        <w:t>sumatriptan</w:t>
      </w:r>
      <w:proofErr w:type="spellEnd"/>
      <w:r w:rsidRPr="00304F95">
        <w:rPr>
          <w:sz w:val="24"/>
          <w:szCs w:val="24"/>
        </w:rPr>
        <w:t>/</w:t>
      </w:r>
      <w:proofErr w:type="spellStart"/>
      <w:r w:rsidRPr="00304F95">
        <w:rPr>
          <w:sz w:val="24"/>
          <w:szCs w:val="24"/>
        </w:rPr>
        <w:t>naproxen</w:t>
      </w:r>
      <w:proofErr w:type="spellEnd"/>
      <w:r w:rsidRPr="00304F95">
        <w:rPr>
          <w:sz w:val="24"/>
          <w:szCs w:val="24"/>
        </w:rPr>
        <w:t xml:space="preserve"> efter gentagen oral administration til mus var karakteristisk for den kendte toksicitet af </w:t>
      </w:r>
      <w:proofErr w:type="spellStart"/>
      <w:r w:rsidRPr="00304F95">
        <w:rPr>
          <w:sz w:val="24"/>
          <w:szCs w:val="24"/>
        </w:rPr>
        <w:lastRenderedPageBreak/>
        <w:t>naproxen</w:t>
      </w:r>
      <w:proofErr w:type="spellEnd"/>
      <w:r w:rsidRPr="00304F95">
        <w:rPr>
          <w:sz w:val="24"/>
          <w:szCs w:val="24"/>
        </w:rPr>
        <w:t xml:space="preserve"> (mave-tarm-kanalen og nyrerne); de typer af toksicitet, der opstod, blev ikke ændret ved kombineret administration med </w:t>
      </w:r>
      <w:proofErr w:type="spellStart"/>
      <w:r w:rsidRPr="00304F95">
        <w:rPr>
          <w:sz w:val="24"/>
          <w:szCs w:val="24"/>
        </w:rPr>
        <w:t>sumatriptan</w:t>
      </w:r>
      <w:proofErr w:type="spellEnd"/>
      <w:r w:rsidRPr="00304F95">
        <w:rPr>
          <w:sz w:val="24"/>
          <w:szCs w:val="24"/>
        </w:rPr>
        <w:t xml:space="preserve">. Generelt var hunner mere følsomme end hanner over for en tilsvarende dosis </w:t>
      </w:r>
      <w:proofErr w:type="spellStart"/>
      <w:r w:rsidRPr="00304F95">
        <w:rPr>
          <w:sz w:val="24"/>
          <w:szCs w:val="24"/>
        </w:rPr>
        <w:t>naproxen</w:t>
      </w:r>
      <w:proofErr w:type="spellEnd"/>
      <w:r w:rsidRPr="00304F95">
        <w:rPr>
          <w:sz w:val="24"/>
          <w:szCs w:val="24"/>
        </w:rPr>
        <w:t>; dette kan være relateret til forskelle i eksponering (</w:t>
      </w:r>
      <w:proofErr w:type="spellStart"/>
      <w:r w:rsidRPr="00304F95">
        <w:rPr>
          <w:sz w:val="24"/>
          <w:szCs w:val="24"/>
        </w:rPr>
        <w:t>C</w:t>
      </w:r>
      <w:r w:rsidRPr="00304F95">
        <w:rPr>
          <w:sz w:val="24"/>
          <w:szCs w:val="24"/>
          <w:vertAlign w:val="subscript"/>
        </w:rPr>
        <w:t>max</w:t>
      </w:r>
      <w:proofErr w:type="spellEnd"/>
      <w:r w:rsidRPr="00304F95">
        <w:rPr>
          <w:sz w:val="24"/>
          <w:szCs w:val="24"/>
        </w:rPr>
        <w:t xml:space="preserve">), som generelt var større (~1,5 gange) hos hunner sammenlignet med hanner ved en tilsvarende dosis. Dødsfald forekom ved doser på ≥ 100 mg/kg/dag </w:t>
      </w:r>
      <w:proofErr w:type="spellStart"/>
      <w:r w:rsidRPr="00304F95">
        <w:rPr>
          <w:sz w:val="24"/>
          <w:szCs w:val="24"/>
        </w:rPr>
        <w:t>naproxen</w:t>
      </w:r>
      <w:proofErr w:type="spellEnd"/>
      <w:r w:rsidRPr="00304F95">
        <w:rPr>
          <w:sz w:val="24"/>
          <w:szCs w:val="24"/>
        </w:rPr>
        <w:t xml:space="preserve"> hos </w:t>
      </w:r>
      <w:proofErr w:type="spellStart"/>
      <w:r w:rsidRPr="00304F95">
        <w:rPr>
          <w:sz w:val="24"/>
          <w:szCs w:val="24"/>
        </w:rPr>
        <w:t>hanmus</w:t>
      </w:r>
      <w:proofErr w:type="spellEnd"/>
      <w:r w:rsidRPr="00304F95">
        <w:rPr>
          <w:sz w:val="24"/>
          <w:szCs w:val="24"/>
        </w:rPr>
        <w:t xml:space="preserve"> og ≥ 50 mg/kg/dag hos </w:t>
      </w:r>
      <w:proofErr w:type="spellStart"/>
      <w:r w:rsidRPr="00304F95">
        <w:rPr>
          <w:sz w:val="24"/>
          <w:szCs w:val="24"/>
        </w:rPr>
        <w:t>hunmus</w:t>
      </w:r>
      <w:proofErr w:type="spellEnd"/>
      <w:r w:rsidRPr="00304F95">
        <w:rPr>
          <w:sz w:val="24"/>
          <w:szCs w:val="24"/>
        </w:rPr>
        <w:t xml:space="preserve">, når de blev administreret alene og i kombination med </w:t>
      </w:r>
      <w:proofErr w:type="spellStart"/>
      <w:r w:rsidRPr="00304F95">
        <w:rPr>
          <w:sz w:val="24"/>
          <w:szCs w:val="24"/>
        </w:rPr>
        <w:t>sumatriptan</w:t>
      </w:r>
      <w:proofErr w:type="spellEnd"/>
      <w:r w:rsidRPr="00304F95">
        <w:rPr>
          <w:sz w:val="24"/>
          <w:szCs w:val="24"/>
        </w:rPr>
        <w:t>.</w:t>
      </w:r>
    </w:p>
    <w:p w:rsidR="00304F95" w:rsidRPr="00304F95" w:rsidRDefault="00304F95" w:rsidP="00304F95">
      <w:pPr>
        <w:tabs>
          <w:tab w:val="left" w:pos="851"/>
        </w:tabs>
        <w:ind w:left="851"/>
        <w:rPr>
          <w:sz w:val="24"/>
          <w:szCs w:val="24"/>
        </w:rPr>
      </w:pPr>
    </w:p>
    <w:p w:rsidR="006B2ED9" w:rsidRPr="00304F95" w:rsidRDefault="00304F95" w:rsidP="006B2ED9">
      <w:pPr>
        <w:tabs>
          <w:tab w:val="left" w:pos="851"/>
        </w:tabs>
        <w:ind w:left="851"/>
        <w:rPr>
          <w:sz w:val="24"/>
          <w:szCs w:val="24"/>
        </w:rPr>
      </w:pPr>
      <w:r w:rsidRPr="00304F95">
        <w:rPr>
          <w:sz w:val="24"/>
          <w:szCs w:val="24"/>
        </w:rPr>
        <w:t xml:space="preserve">De primære </w:t>
      </w:r>
      <w:proofErr w:type="spellStart"/>
      <w:r w:rsidRPr="00304F95">
        <w:rPr>
          <w:sz w:val="24"/>
          <w:szCs w:val="24"/>
        </w:rPr>
        <w:t>toksiciteter</w:t>
      </w:r>
      <w:proofErr w:type="spellEnd"/>
      <w:r w:rsidRPr="00304F95">
        <w:rPr>
          <w:sz w:val="24"/>
          <w:szCs w:val="24"/>
        </w:rPr>
        <w:t xml:space="preserve"> opstod i maven og nyrerne. I maven var ændringer hovedsageligt lokaliseret i </w:t>
      </w:r>
      <w:proofErr w:type="spellStart"/>
      <w:r w:rsidRPr="00304F95">
        <w:rPr>
          <w:sz w:val="24"/>
          <w:szCs w:val="24"/>
        </w:rPr>
        <w:t>pylorus</w:t>
      </w:r>
      <w:proofErr w:type="spellEnd"/>
      <w:r w:rsidRPr="00304F95">
        <w:rPr>
          <w:sz w:val="24"/>
          <w:szCs w:val="24"/>
        </w:rPr>
        <w:t xml:space="preserve">-regionen af den </w:t>
      </w:r>
      <w:proofErr w:type="spellStart"/>
      <w:r w:rsidRPr="00304F95">
        <w:rPr>
          <w:sz w:val="24"/>
          <w:szCs w:val="24"/>
        </w:rPr>
        <w:t>glandulære</w:t>
      </w:r>
      <w:proofErr w:type="spellEnd"/>
      <w:r w:rsidRPr="00304F95">
        <w:rPr>
          <w:sz w:val="24"/>
          <w:szCs w:val="24"/>
        </w:rPr>
        <w:t xml:space="preserve"> del af maven (strækker sig til tolvfingertarmen og jejunum hos hunner) og var karakteriseret ved erosioner og sår, ledsaget af inflammation og </w:t>
      </w:r>
      <w:proofErr w:type="spellStart"/>
      <w:r w:rsidRPr="00304F95">
        <w:rPr>
          <w:sz w:val="24"/>
          <w:szCs w:val="24"/>
        </w:rPr>
        <w:t>glandulær</w:t>
      </w:r>
      <w:proofErr w:type="spellEnd"/>
      <w:r w:rsidRPr="00304F95">
        <w:rPr>
          <w:sz w:val="24"/>
          <w:szCs w:val="24"/>
        </w:rPr>
        <w:t xml:space="preserve"> </w:t>
      </w:r>
      <w:proofErr w:type="spellStart"/>
      <w:r w:rsidRPr="00304F95">
        <w:rPr>
          <w:sz w:val="24"/>
          <w:szCs w:val="24"/>
        </w:rPr>
        <w:t>hyperplasi</w:t>
      </w:r>
      <w:proofErr w:type="spellEnd"/>
      <w:r w:rsidRPr="00304F95">
        <w:rPr>
          <w:sz w:val="24"/>
          <w:szCs w:val="24"/>
        </w:rPr>
        <w:t xml:space="preserve"> hos dyr, der fik højdosis </w:t>
      </w:r>
      <w:proofErr w:type="spellStart"/>
      <w:r w:rsidRPr="00304F95">
        <w:rPr>
          <w:sz w:val="24"/>
          <w:szCs w:val="24"/>
        </w:rPr>
        <w:t>naproxen</w:t>
      </w:r>
      <w:proofErr w:type="spellEnd"/>
      <w:r w:rsidRPr="00304F95">
        <w:rPr>
          <w:sz w:val="24"/>
          <w:szCs w:val="24"/>
        </w:rPr>
        <w:t xml:space="preserve"> alene eller i kombination. med </w:t>
      </w:r>
      <w:proofErr w:type="spellStart"/>
      <w:r w:rsidRPr="00304F95">
        <w:rPr>
          <w:sz w:val="24"/>
          <w:szCs w:val="24"/>
        </w:rPr>
        <w:t>sumatriptan</w:t>
      </w:r>
      <w:proofErr w:type="spellEnd"/>
      <w:r w:rsidRPr="00304F95">
        <w:rPr>
          <w:sz w:val="24"/>
          <w:szCs w:val="24"/>
        </w:rPr>
        <w:t xml:space="preserve">. I nyrerne blev </w:t>
      </w:r>
      <w:proofErr w:type="spellStart"/>
      <w:r w:rsidRPr="00304F95">
        <w:rPr>
          <w:sz w:val="24"/>
          <w:szCs w:val="24"/>
        </w:rPr>
        <w:t>cortical</w:t>
      </w:r>
      <w:proofErr w:type="spellEnd"/>
      <w:r w:rsidRPr="00304F95">
        <w:rPr>
          <w:sz w:val="24"/>
          <w:szCs w:val="24"/>
        </w:rPr>
        <w:t xml:space="preserve"> </w:t>
      </w:r>
      <w:proofErr w:type="spellStart"/>
      <w:r w:rsidRPr="00304F95">
        <w:rPr>
          <w:sz w:val="24"/>
          <w:szCs w:val="24"/>
        </w:rPr>
        <w:t>tubuli</w:t>
      </w:r>
      <w:proofErr w:type="spellEnd"/>
      <w:r w:rsidRPr="00304F95">
        <w:rPr>
          <w:sz w:val="24"/>
          <w:szCs w:val="24"/>
        </w:rPr>
        <w:t xml:space="preserve"> dilatation identificeret som primær toksicitet (efter administration af </w:t>
      </w:r>
      <w:proofErr w:type="spellStart"/>
      <w:r w:rsidRPr="00304F95">
        <w:rPr>
          <w:sz w:val="24"/>
          <w:szCs w:val="24"/>
        </w:rPr>
        <w:t>naproxen</w:t>
      </w:r>
      <w:proofErr w:type="spellEnd"/>
      <w:r w:rsidRPr="00304F95">
        <w:rPr>
          <w:sz w:val="24"/>
          <w:szCs w:val="24"/>
        </w:rPr>
        <w:t xml:space="preserve"> alene eller i kombination med </w:t>
      </w:r>
      <w:proofErr w:type="spellStart"/>
      <w:r w:rsidRPr="00304F95">
        <w:rPr>
          <w:sz w:val="24"/>
          <w:szCs w:val="24"/>
        </w:rPr>
        <w:t>sumatriptan</w:t>
      </w:r>
      <w:proofErr w:type="spellEnd"/>
      <w:r w:rsidRPr="00304F95">
        <w:rPr>
          <w:sz w:val="24"/>
          <w:szCs w:val="24"/>
        </w:rPr>
        <w:t xml:space="preserve">). Niveauet for </w:t>
      </w:r>
      <w:r w:rsidRPr="00304F95">
        <w:rPr>
          <w:i/>
          <w:iCs/>
          <w:sz w:val="24"/>
          <w:szCs w:val="24"/>
        </w:rPr>
        <w:t xml:space="preserve">No </w:t>
      </w:r>
      <w:proofErr w:type="spellStart"/>
      <w:r w:rsidRPr="00304F95">
        <w:rPr>
          <w:i/>
          <w:iCs/>
          <w:sz w:val="24"/>
          <w:szCs w:val="24"/>
        </w:rPr>
        <w:t>Observed</w:t>
      </w:r>
      <w:proofErr w:type="spellEnd"/>
      <w:r w:rsidRPr="00304F95">
        <w:rPr>
          <w:i/>
          <w:iCs/>
          <w:sz w:val="24"/>
          <w:szCs w:val="24"/>
        </w:rPr>
        <w:t xml:space="preserve"> </w:t>
      </w:r>
      <w:proofErr w:type="spellStart"/>
      <w:r w:rsidRPr="00304F95">
        <w:rPr>
          <w:i/>
          <w:iCs/>
          <w:sz w:val="24"/>
          <w:szCs w:val="24"/>
        </w:rPr>
        <w:t>Adverse</w:t>
      </w:r>
      <w:proofErr w:type="spellEnd"/>
      <w:r w:rsidRPr="00304F95">
        <w:rPr>
          <w:i/>
          <w:iCs/>
          <w:sz w:val="24"/>
          <w:szCs w:val="24"/>
        </w:rPr>
        <w:t xml:space="preserve"> </w:t>
      </w:r>
      <w:proofErr w:type="spellStart"/>
      <w:r w:rsidRPr="00304F95">
        <w:rPr>
          <w:i/>
          <w:iCs/>
          <w:sz w:val="24"/>
          <w:szCs w:val="24"/>
        </w:rPr>
        <w:t>Effect</w:t>
      </w:r>
      <w:proofErr w:type="spellEnd"/>
      <w:r w:rsidRPr="00304F95">
        <w:rPr>
          <w:i/>
          <w:iCs/>
          <w:sz w:val="24"/>
          <w:szCs w:val="24"/>
        </w:rPr>
        <w:t xml:space="preserve"> Level</w:t>
      </w:r>
      <w:r w:rsidRPr="00304F95">
        <w:rPr>
          <w:sz w:val="24"/>
          <w:szCs w:val="24"/>
        </w:rPr>
        <w:t xml:space="preserve"> (NOAEL) var 100/30 mg/kg/dag </w:t>
      </w:r>
      <w:proofErr w:type="spellStart"/>
      <w:r w:rsidRPr="00304F95">
        <w:rPr>
          <w:sz w:val="24"/>
          <w:szCs w:val="24"/>
        </w:rPr>
        <w:t>sumatriptan</w:t>
      </w:r>
      <w:proofErr w:type="spellEnd"/>
      <w:r w:rsidRPr="00304F95">
        <w:rPr>
          <w:sz w:val="24"/>
          <w:szCs w:val="24"/>
        </w:rPr>
        <w:t>/</w:t>
      </w:r>
      <w:proofErr w:type="spellStart"/>
      <w:r w:rsidRPr="00304F95">
        <w:rPr>
          <w:sz w:val="24"/>
          <w:szCs w:val="24"/>
        </w:rPr>
        <w:t>naproxen</w:t>
      </w:r>
      <w:proofErr w:type="spellEnd"/>
      <w:r w:rsidRPr="00304F95">
        <w:rPr>
          <w:sz w:val="24"/>
          <w:szCs w:val="24"/>
        </w:rPr>
        <w:t xml:space="preserve"> efter 13 ugers daglig, gentagen, oral administration hos han- og </w:t>
      </w:r>
      <w:proofErr w:type="spellStart"/>
      <w:r w:rsidRPr="00304F95">
        <w:rPr>
          <w:sz w:val="24"/>
          <w:szCs w:val="24"/>
        </w:rPr>
        <w:t>hunmus</w:t>
      </w:r>
      <w:proofErr w:type="spellEnd"/>
      <w:r w:rsidRPr="00304F95">
        <w:rPr>
          <w:sz w:val="24"/>
          <w:szCs w:val="24"/>
        </w:rPr>
        <w:t xml:space="preserve">. </w:t>
      </w:r>
      <w:r w:rsidR="006B2ED9" w:rsidRPr="00304F95">
        <w:rPr>
          <w:sz w:val="24"/>
          <w:szCs w:val="24"/>
        </w:rPr>
        <w:t>Gennemsnitlig eksponering (AUC</w:t>
      </w:r>
      <w:r w:rsidR="006B2ED9" w:rsidRPr="00304F95">
        <w:rPr>
          <w:sz w:val="24"/>
          <w:szCs w:val="24"/>
          <w:vertAlign w:val="subscript"/>
        </w:rPr>
        <w:t>0-inf</w:t>
      </w:r>
      <w:r w:rsidR="006B2ED9" w:rsidRPr="00304F95">
        <w:rPr>
          <w:sz w:val="24"/>
          <w:szCs w:val="24"/>
        </w:rPr>
        <w:t xml:space="preserve">) af mus for </w:t>
      </w:r>
      <w:proofErr w:type="spellStart"/>
      <w:r w:rsidR="006B2ED9" w:rsidRPr="00304F95">
        <w:rPr>
          <w:sz w:val="24"/>
          <w:szCs w:val="24"/>
        </w:rPr>
        <w:t>sumatriptan</w:t>
      </w:r>
      <w:proofErr w:type="spellEnd"/>
      <w:r w:rsidR="006B2ED9" w:rsidRPr="00304F95">
        <w:rPr>
          <w:sz w:val="24"/>
          <w:szCs w:val="24"/>
        </w:rPr>
        <w:t xml:space="preserve"> ved NOAEL var 30 - 38 gange større end human eksponering for </w:t>
      </w:r>
      <w:proofErr w:type="spellStart"/>
      <w:r w:rsidR="006B2ED9" w:rsidRPr="00304F95">
        <w:rPr>
          <w:sz w:val="24"/>
          <w:szCs w:val="24"/>
        </w:rPr>
        <w:t>sumatriptan</w:t>
      </w:r>
      <w:proofErr w:type="spellEnd"/>
      <w:r w:rsidR="006B2ED9" w:rsidRPr="00304F95">
        <w:rPr>
          <w:sz w:val="24"/>
          <w:szCs w:val="24"/>
        </w:rPr>
        <w:t xml:space="preserve"> og 0,8 - 1,4 gange eksponering for </w:t>
      </w:r>
      <w:proofErr w:type="spellStart"/>
      <w:r w:rsidR="006B2ED9" w:rsidRPr="00304F95">
        <w:rPr>
          <w:sz w:val="24"/>
          <w:szCs w:val="24"/>
        </w:rPr>
        <w:t>naproxen</w:t>
      </w:r>
      <w:proofErr w:type="spellEnd"/>
      <w:r w:rsidR="006B2ED9" w:rsidRPr="00304F95">
        <w:rPr>
          <w:sz w:val="24"/>
          <w:szCs w:val="24"/>
        </w:rPr>
        <w:t xml:space="preserve"> efter en enkelt oral dosis af </w:t>
      </w:r>
      <w:proofErr w:type="spellStart"/>
      <w:r w:rsidR="006B2ED9" w:rsidRPr="00304F95">
        <w:rPr>
          <w:sz w:val="24"/>
          <w:szCs w:val="24"/>
        </w:rPr>
        <w:t>sumatriptan</w:t>
      </w:r>
      <w:proofErr w:type="spellEnd"/>
      <w:r w:rsidR="006B2ED9" w:rsidRPr="00304F95">
        <w:rPr>
          <w:sz w:val="24"/>
          <w:szCs w:val="24"/>
        </w:rPr>
        <w:t>/</w:t>
      </w:r>
      <w:proofErr w:type="spellStart"/>
      <w:r w:rsidR="006B2ED9" w:rsidRPr="00304F95">
        <w:rPr>
          <w:sz w:val="24"/>
          <w:szCs w:val="24"/>
        </w:rPr>
        <w:t>naproxen</w:t>
      </w:r>
      <w:proofErr w:type="spellEnd"/>
      <w:r w:rsidR="006B2ED9" w:rsidRPr="00304F95">
        <w:rPr>
          <w:sz w:val="24"/>
          <w:szCs w:val="24"/>
        </w:rPr>
        <w:t>-tablet.</w:t>
      </w:r>
    </w:p>
    <w:p w:rsidR="006B2ED9" w:rsidRDefault="006B2ED9" w:rsidP="006B2ED9">
      <w:pPr>
        <w:tabs>
          <w:tab w:val="left" w:pos="851"/>
        </w:tabs>
        <w:ind w:left="851"/>
        <w:rPr>
          <w:sz w:val="24"/>
          <w:szCs w:val="24"/>
          <w:u w:val="single"/>
        </w:rPr>
      </w:pPr>
    </w:p>
    <w:p w:rsidR="00304F95" w:rsidRPr="00304F95" w:rsidRDefault="00304F95" w:rsidP="00304F95">
      <w:pPr>
        <w:tabs>
          <w:tab w:val="left" w:pos="851"/>
        </w:tabs>
        <w:ind w:left="851"/>
        <w:rPr>
          <w:sz w:val="24"/>
          <w:szCs w:val="24"/>
          <w:u w:val="single"/>
        </w:rPr>
      </w:pPr>
      <w:r w:rsidRPr="00304F95">
        <w:rPr>
          <w:sz w:val="24"/>
          <w:szCs w:val="24"/>
          <w:u w:val="single"/>
        </w:rPr>
        <w:t>Genotoksicitet</w:t>
      </w:r>
    </w:p>
    <w:p w:rsidR="00304F95" w:rsidRPr="00304F95" w:rsidRDefault="00304F95" w:rsidP="00304F95">
      <w:pPr>
        <w:tabs>
          <w:tab w:val="left" w:pos="851"/>
        </w:tabs>
        <w:ind w:left="851"/>
        <w:rPr>
          <w:sz w:val="24"/>
          <w:szCs w:val="24"/>
        </w:rPr>
      </w:pPr>
      <w:proofErr w:type="spellStart"/>
      <w:r w:rsidRPr="00304F95">
        <w:rPr>
          <w:sz w:val="24"/>
          <w:szCs w:val="24"/>
        </w:rPr>
        <w:t>Sumatriptan</w:t>
      </w:r>
      <w:proofErr w:type="spellEnd"/>
      <w:r w:rsidRPr="00304F95">
        <w:rPr>
          <w:sz w:val="24"/>
          <w:szCs w:val="24"/>
        </w:rPr>
        <w:t xml:space="preserve"> og </w:t>
      </w:r>
      <w:proofErr w:type="spellStart"/>
      <w:r w:rsidRPr="00304F95">
        <w:rPr>
          <w:sz w:val="24"/>
          <w:szCs w:val="24"/>
        </w:rPr>
        <w:t>naproxen</w:t>
      </w:r>
      <w:proofErr w:type="spellEnd"/>
      <w:r w:rsidRPr="00304F95">
        <w:rPr>
          <w:sz w:val="24"/>
          <w:szCs w:val="24"/>
        </w:rPr>
        <w:t xml:space="preserve"> testet alene og i kombination var negative i et </w:t>
      </w:r>
      <w:r w:rsidRPr="00304F95">
        <w:rPr>
          <w:i/>
          <w:iCs/>
          <w:sz w:val="24"/>
          <w:szCs w:val="24"/>
        </w:rPr>
        <w:t xml:space="preserve">in </w:t>
      </w:r>
      <w:proofErr w:type="spellStart"/>
      <w:r w:rsidRPr="00304F95">
        <w:rPr>
          <w:i/>
          <w:iCs/>
          <w:sz w:val="24"/>
          <w:szCs w:val="24"/>
        </w:rPr>
        <w:t>vitro</w:t>
      </w:r>
      <w:proofErr w:type="spellEnd"/>
      <w:r w:rsidRPr="00304F95">
        <w:rPr>
          <w:sz w:val="24"/>
          <w:szCs w:val="24"/>
        </w:rPr>
        <w:t xml:space="preserve"> bakteriel tilbagemutationstest og i et </w:t>
      </w:r>
      <w:r w:rsidRPr="00304F95">
        <w:rPr>
          <w:i/>
          <w:iCs/>
          <w:sz w:val="24"/>
          <w:szCs w:val="24"/>
        </w:rPr>
        <w:t xml:space="preserve">in </w:t>
      </w:r>
      <w:proofErr w:type="spellStart"/>
      <w:r w:rsidRPr="00304F95">
        <w:rPr>
          <w:i/>
          <w:iCs/>
          <w:sz w:val="24"/>
          <w:szCs w:val="24"/>
        </w:rPr>
        <w:t>vivo</w:t>
      </w:r>
      <w:proofErr w:type="spellEnd"/>
      <w:r w:rsidRPr="00304F95">
        <w:rPr>
          <w:sz w:val="24"/>
          <w:szCs w:val="24"/>
        </w:rPr>
        <w:t xml:space="preserve"> </w:t>
      </w:r>
      <w:proofErr w:type="spellStart"/>
      <w:r w:rsidRPr="00304F95">
        <w:rPr>
          <w:sz w:val="24"/>
          <w:szCs w:val="24"/>
        </w:rPr>
        <w:t>mikronukleus</w:t>
      </w:r>
      <w:proofErr w:type="spellEnd"/>
      <w:r w:rsidRPr="00304F95">
        <w:rPr>
          <w:sz w:val="24"/>
          <w:szCs w:val="24"/>
        </w:rPr>
        <w:t xml:space="preserve">-test i mus. Kombinationen af </w:t>
      </w:r>
      <w:proofErr w:type="spellStart"/>
      <w:r w:rsidRPr="00304F95">
        <w:rPr>
          <w:sz w:val="24"/>
          <w:szCs w:val="24"/>
        </w:rPr>
        <w:t>sumatriptan</w:t>
      </w:r>
      <w:proofErr w:type="spellEnd"/>
      <w:r w:rsidRPr="00304F95">
        <w:rPr>
          <w:sz w:val="24"/>
          <w:szCs w:val="24"/>
        </w:rPr>
        <w:t xml:space="preserve"> og </w:t>
      </w:r>
      <w:proofErr w:type="spellStart"/>
      <w:r w:rsidRPr="00304F95">
        <w:rPr>
          <w:sz w:val="24"/>
          <w:szCs w:val="24"/>
        </w:rPr>
        <w:t>naproxen</w:t>
      </w:r>
      <w:proofErr w:type="spellEnd"/>
      <w:r w:rsidRPr="00304F95">
        <w:rPr>
          <w:sz w:val="24"/>
          <w:szCs w:val="24"/>
        </w:rPr>
        <w:t xml:space="preserve"> var negativ i en </w:t>
      </w:r>
      <w:r w:rsidRPr="00304F95">
        <w:rPr>
          <w:i/>
          <w:iCs/>
          <w:sz w:val="24"/>
          <w:szCs w:val="24"/>
        </w:rPr>
        <w:t xml:space="preserve">in </w:t>
      </w:r>
      <w:proofErr w:type="spellStart"/>
      <w:r w:rsidRPr="00304F95">
        <w:rPr>
          <w:i/>
          <w:iCs/>
          <w:sz w:val="24"/>
          <w:szCs w:val="24"/>
        </w:rPr>
        <w:t>vitro</w:t>
      </w:r>
      <w:proofErr w:type="spellEnd"/>
      <w:r w:rsidRPr="00304F95">
        <w:rPr>
          <w:sz w:val="24"/>
          <w:szCs w:val="24"/>
        </w:rPr>
        <w:t xml:space="preserve"> </w:t>
      </w:r>
      <w:proofErr w:type="spellStart"/>
      <w:r w:rsidRPr="00304F95">
        <w:rPr>
          <w:sz w:val="24"/>
          <w:szCs w:val="24"/>
        </w:rPr>
        <w:t>muselymfom</w:t>
      </w:r>
      <w:proofErr w:type="spellEnd"/>
      <w:r w:rsidRPr="00304F95">
        <w:rPr>
          <w:sz w:val="24"/>
          <w:szCs w:val="24"/>
        </w:rPr>
        <w:t xml:space="preserve">-TK-analyse i nærvær og fravær af metabolisk aktivering. </w:t>
      </w:r>
      <w:proofErr w:type="spellStart"/>
      <w:r w:rsidRPr="00304F95">
        <w:rPr>
          <w:sz w:val="24"/>
          <w:szCs w:val="24"/>
        </w:rPr>
        <w:t>Naproxen</w:t>
      </w:r>
      <w:proofErr w:type="spellEnd"/>
      <w:r w:rsidRPr="00304F95">
        <w:rPr>
          <w:sz w:val="24"/>
          <w:szCs w:val="24"/>
        </w:rPr>
        <w:t xml:space="preserve"> alene og i kombination med </w:t>
      </w:r>
      <w:proofErr w:type="spellStart"/>
      <w:r w:rsidRPr="00304F95">
        <w:rPr>
          <w:sz w:val="24"/>
          <w:szCs w:val="24"/>
        </w:rPr>
        <w:t>sumatriptan</w:t>
      </w:r>
      <w:proofErr w:type="spellEnd"/>
      <w:r w:rsidRPr="00304F95">
        <w:rPr>
          <w:sz w:val="24"/>
          <w:szCs w:val="24"/>
        </w:rPr>
        <w:t xml:space="preserve"> var positiv i en </w:t>
      </w:r>
      <w:r w:rsidRPr="00304F95">
        <w:rPr>
          <w:i/>
          <w:iCs/>
          <w:sz w:val="24"/>
          <w:szCs w:val="24"/>
        </w:rPr>
        <w:t xml:space="preserve">in </w:t>
      </w:r>
      <w:proofErr w:type="spellStart"/>
      <w:r w:rsidRPr="00304F95">
        <w:rPr>
          <w:i/>
          <w:iCs/>
          <w:sz w:val="24"/>
          <w:szCs w:val="24"/>
        </w:rPr>
        <w:t>vitro</w:t>
      </w:r>
      <w:proofErr w:type="spellEnd"/>
      <w:r w:rsidRPr="00304F95">
        <w:rPr>
          <w:sz w:val="24"/>
          <w:szCs w:val="24"/>
        </w:rPr>
        <w:t xml:space="preserve"> </w:t>
      </w:r>
      <w:proofErr w:type="spellStart"/>
      <w:r w:rsidRPr="00304F95">
        <w:rPr>
          <w:sz w:val="24"/>
          <w:szCs w:val="24"/>
        </w:rPr>
        <w:t>clastogenicitetstest</w:t>
      </w:r>
      <w:proofErr w:type="spellEnd"/>
      <w:r w:rsidRPr="00304F95">
        <w:rPr>
          <w:sz w:val="24"/>
          <w:szCs w:val="24"/>
        </w:rPr>
        <w:t xml:space="preserve"> i celler hos pattedyr, i nærvær og fravær af metabolisk aktivering, mens </w:t>
      </w:r>
      <w:proofErr w:type="spellStart"/>
      <w:r w:rsidRPr="00304F95">
        <w:rPr>
          <w:sz w:val="24"/>
          <w:szCs w:val="24"/>
        </w:rPr>
        <w:t>sumatriptan</w:t>
      </w:r>
      <w:proofErr w:type="spellEnd"/>
      <w:r w:rsidRPr="00304F95">
        <w:rPr>
          <w:sz w:val="24"/>
          <w:szCs w:val="24"/>
        </w:rPr>
        <w:t xml:space="preserve"> alene var negativ i disse tests. Kromosomafvigelser blev ikke induceret i perifere blodlymfocytter efter 7 dages dosering to gange daglig med kombination af </w:t>
      </w:r>
      <w:proofErr w:type="spellStart"/>
      <w:r w:rsidRPr="00304F95">
        <w:rPr>
          <w:sz w:val="24"/>
          <w:szCs w:val="24"/>
        </w:rPr>
        <w:t>sumatriptan</w:t>
      </w:r>
      <w:proofErr w:type="spellEnd"/>
      <w:r w:rsidRPr="00304F95">
        <w:rPr>
          <w:sz w:val="24"/>
          <w:szCs w:val="24"/>
        </w:rPr>
        <w:t xml:space="preserve"> og </w:t>
      </w:r>
      <w:proofErr w:type="spellStart"/>
      <w:r w:rsidRPr="00304F95">
        <w:rPr>
          <w:sz w:val="24"/>
          <w:szCs w:val="24"/>
        </w:rPr>
        <w:t>naproxen</w:t>
      </w:r>
      <w:proofErr w:type="spellEnd"/>
      <w:r w:rsidRPr="00304F95">
        <w:rPr>
          <w:sz w:val="24"/>
          <w:szCs w:val="24"/>
        </w:rPr>
        <w:t xml:space="preserve"> hos frivillige forsøgspersoner.</w:t>
      </w:r>
    </w:p>
    <w:p w:rsidR="00304F95" w:rsidRPr="00304F95" w:rsidRDefault="00304F95" w:rsidP="00304F95">
      <w:pPr>
        <w:tabs>
          <w:tab w:val="left" w:pos="851"/>
        </w:tabs>
        <w:ind w:left="851"/>
        <w:rPr>
          <w:sz w:val="24"/>
          <w:szCs w:val="24"/>
        </w:rPr>
      </w:pPr>
    </w:p>
    <w:p w:rsidR="00304F95" w:rsidRPr="00304F95" w:rsidRDefault="00304F95" w:rsidP="00304F95">
      <w:pPr>
        <w:tabs>
          <w:tab w:val="left" w:pos="851"/>
        </w:tabs>
        <w:ind w:left="851"/>
        <w:rPr>
          <w:iCs/>
          <w:sz w:val="24"/>
          <w:szCs w:val="24"/>
          <w:u w:val="single"/>
        </w:rPr>
      </w:pPr>
      <w:proofErr w:type="spellStart"/>
      <w:r w:rsidRPr="00304F95">
        <w:rPr>
          <w:iCs/>
          <w:sz w:val="24"/>
          <w:szCs w:val="24"/>
          <w:u w:val="single"/>
        </w:rPr>
        <w:t>Karcinogenicitet</w:t>
      </w:r>
      <w:proofErr w:type="spellEnd"/>
    </w:p>
    <w:p w:rsidR="00304F95" w:rsidRPr="00304F95" w:rsidRDefault="00304F95" w:rsidP="00304F95">
      <w:pPr>
        <w:tabs>
          <w:tab w:val="left" w:pos="851"/>
        </w:tabs>
        <w:ind w:left="851"/>
        <w:rPr>
          <w:iCs/>
          <w:sz w:val="24"/>
          <w:szCs w:val="24"/>
        </w:rPr>
      </w:pPr>
      <w:r w:rsidRPr="00304F95">
        <w:rPr>
          <w:iCs/>
          <w:sz w:val="24"/>
          <w:szCs w:val="24"/>
        </w:rPr>
        <w:t xml:space="preserve">Der er ikke udført </w:t>
      </w:r>
      <w:proofErr w:type="spellStart"/>
      <w:r w:rsidRPr="00304F95">
        <w:rPr>
          <w:iCs/>
          <w:sz w:val="24"/>
          <w:szCs w:val="24"/>
        </w:rPr>
        <w:t>karcinogenicitetsstudier</w:t>
      </w:r>
      <w:proofErr w:type="spellEnd"/>
      <w:r w:rsidRPr="00304F95">
        <w:rPr>
          <w:iCs/>
          <w:sz w:val="24"/>
          <w:szCs w:val="24"/>
        </w:rPr>
        <w:t xml:space="preserve"> med </w:t>
      </w:r>
      <w:proofErr w:type="spellStart"/>
      <w:r w:rsidRPr="00304F95">
        <w:rPr>
          <w:iCs/>
          <w:sz w:val="24"/>
          <w:szCs w:val="24"/>
        </w:rPr>
        <w:t>sumatriptan</w:t>
      </w:r>
      <w:proofErr w:type="spellEnd"/>
      <w:r w:rsidRPr="00304F95">
        <w:rPr>
          <w:iCs/>
          <w:sz w:val="24"/>
          <w:szCs w:val="24"/>
        </w:rPr>
        <w:t>/</w:t>
      </w:r>
      <w:proofErr w:type="spellStart"/>
      <w:r w:rsidRPr="00304F95">
        <w:rPr>
          <w:iCs/>
          <w:sz w:val="24"/>
          <w:szCs w:val="24"/>
        </w:rPr>
        <w:t>naproxen</w:t>
      </w:r>
      <w:proofErr w:type="spellEnd"/>
      <w:r w:rsidRPr="00304F95">
        <w:rPr>
          <w:iCs/>
          <w:sz w:val="24"/>
          <w:szCs w:val="24"/>
        </w:rPr>
        <w:t>-kombinationen.</w:t>
      </w:r>
    </w:p>
    <w:p w:rsidR="00304F95" w:rsidRPr="00304F95" w:rsidRDefault="00304F95" w:rsidP="00304F95">
      <w:pPr>
        <w:tabs>
          <w:tab w:val="left" w:pos="851"/>
        </w:tabs>
        <w:ind w:left="851"/>
        <w:rPr>
          <w:iCs/>
          <w:sz w:val="24"/>
          <w:szCs w:val="24"/>
        </w:rPr>
      </w:pPr>
    </w:p>
    <w:p w:rsidR="00304F95" w:rsidRPr="00304F95" w:rsidRDefault="00304F95" w:rsidP="00304F95">
      <w:pPr>
        <w:tabs>
          <w:tab w:val="left" w:pos="851"/>
        </w:tabs>
        <w:ind w:left="851"/>
        <w:rPr>
          <w:iCs/>
          <w:sz w:val="24"/>
          <w:szCs w:val="24"/>
        </w:rPr>
      </w:pPr>
      <w:proofErr w:type="spellStart"/>
      <w:r w:rsidRPr="00304F95">
        <w:rPr>
          <w:iCs/>
          <w:sz w:val="24"/>
          <w:szCs w:val="24"/>
        </w:rPr>
        <w:t>Sumatriptans</w:t>
      </w:r>
      <w:proofErr w:type="spellEnd"/>
      <w:r w:rsidRPr="00304F95">
        <w:rPr>
          <w:iCs/>
          <w:sz w:val="24"/>
          <w:szCs w:val="24"/>
        </w:rPr>
        <w:t xml:space="preserve"> </w:t>
      </w:r>
      <w:proofErr w:type="spellStart"/>
      <w:r w:rsidRPr="00304F95">
        <w:rPr>
          <w:iCs/>
          <w:sz w:val="24"/>
          <w:szCs w:val="24"/>
        </w:rPr>
        <w:t>karcinogene</w:t>
      </w:r>
      <w:proofErr w:type="spellEnd"/>
      <w:r w:rsidRPr="00304F95">
        <w:rPr>
          <w:iCs/>
          <w:sz w:val="24"/>
          <w:szCs w:val="24"/>
        </w:rPr>
        <w:t xml:space="preserve"> potentiale blev evalueret i orale </w:t>
      </w:r>
      <w:proofErr w:type="spellStart"/>
      <w:r w:rsidRPr="00304F95">
        <w:rPr>
          <w:iCs/>
          <w:sz w:val="24"/>
          <w:szCs w:val="24"/>
        </w:rPr>
        <w:t>karcinogenicitetsstudier</w:t>
      </w:r>
      <w:proofErr w:type="spellEnd"/>
      <w:r w:rsidRPr="00304F95">
        <w:rPr>
          <w:iCs/>
          <w:sz w:val="24"/>
          <w:szCs w:val="24"/>
        </w:rPr>
        <w:t xml:space="preserve"> hos mus og rotter. Der var ingen tegn på en stigning i tumorer hos nogen af arterne relateret til administration af </w:t>
      </w:r>
      <w:proofErr w:type="spellStart"/>
      <w:r w:rsidRPr="00304F95">
        <w:rPr>
          <w:iCs/>
          <w:sz w:val="24"/>
          <w:szCs w:val="24"/>
        </w:rPr>
        <w:t>sumatriptan</w:t>
      </w:r>
      <w:proofErr w:type="spellEnd"/>
      <w:r w:rsidRPr="00304F95">
        <w:rPr>
          <w:iCs/>
          <w:sz w:val="24"/>
          <w:szCs w:val="24"/>
        </w:rPr>
        <w:t xml:space="preserve">. Det </w:t>
      </w:r>
      <w:proofErr w:type="spellStart"/>
      <w:r w:rsidRPr="00304F95">
        <w:rPr>
          <w:iCs/>
          <w:sz w:val="24"/>
          <w:szCs w:val="24"/>
        </w:rPr>
        <w:t>karcinogene</w:t>
      </w:r>
      <w:proofErr w:type="spellEnd"/>
      <w:r w:rsidRPr="00304F95">
        <w:rPr>
          <w:iCs/>
          <w:sz w:val="24"/>
          <w:szCs w:val="24"/>
        </w:rPr>
        <w:t xml:space="preserve"> potentiale af </w:t>
      </w:r>
      <w:proofErr w:type="spellStart"/>
      <w:r w:rsidRPr="00304F95">
        <w:rPr>
          <w:iCs/>
          <w:sz w:val="24"/>
          <w:szCs w:val="24"/>
        </w:rPr>
        <w:t>naproxen</w:t>
      </w:r>
      <w:proofErr w:type="spellEnd"/>
      <w:r w:rsidRPr="00304F95">
        <w:rPr>
          <w:iCs/>
          <w:sz w:val="24"/>
          <w:szCs w:val="24"/>
        </w:rPr>
        <w:t xml:space="preserve"> blev evalueret i to orale </w:t>
      </w:r>
      <w:proofErr w:type="spellStart"/>
      <w:r w:rsidRPr="00304F95">
        <w:rPr>
          <w:iCs/>
          <w:sz w:val="24"/>
          <w:szCs w:val="24"/>
        </w:rPr>
        <w:t>karcinogenicitetsstudier</w:t>
      </w:r>
      <w:proofErr w:type="spellEnd"/>
      <w:r w:rsidRPr="00304F95">
        <w:rPr>
          <w:iCs/>
          <w:sz w:val="24"/>
          <w:szCs w:val="24"/>
        </w:rPr>
        <w:t xml:space="preserve"> hos rotter. Ingen tegn på </w:t>
      </w:r>
      <w:proofErr w:type="spellStart"/>
      <w:r w:rsidRPr="00304F95">
        <w:rPr>
          <w:iCs/>
          <w:sz w:val="24"/>
          <w:szCs w:val="24"/>
        </w:rPr>
        <w:t>tumorgenicitet</w:t>
      </w:r>
      <w:proofErr w:type="spellEnd"/>
      <w:r w:rsidRPr="00304F95">
        <w:rPr>
          <w:iCs/>
          <w:sz w:val="24"/>
          <w:szCs w:val="24"/>
        </w:rPr>
        <w:t xml:space="preserve"> blev fundet i nogen af studierne.</w:t>
      </w:r>
    </w:p>
    <w:p w:rsidR="00304F95" w:rsidRPr="00304F95" w:rsidRDefault="00304F95" w:rsidP="00304F95">
      <w:pPr>
        <w:tabs>
          <w:tab w:val="left" w:pos="851"/>
        </w:tabs>
        <w:ind w:left="851"/>
        <w:rPr>
          <w:iCs/>
          <w:sz w:val="24"/>
          <w:szCs w:val="24"/>
        </w:rPr>
      </w:pPr>
    </w:p>
    <w:p w:rsidR="00304F95" w:rsidRPr="00304F95" w:rsidRDefault="00304F95" w:rsidP="00304F95">
      <w:pPr>
        <w:tabs>
          <w:tab w:val="left" w:pos="851"/>
        </w:tabs>
        <w:ind w:left="851"/>
        <w:rPr>
          <w:sz w:val="24"/>
          <w:szCs w:val="24"/>
        </w:rPr>
      </w:pPr>
      <w:r w:rsidRPr="00304F95">
        <w:rPr>
          <w:sz w:val="24"/>
          <w:szCs w:val="24"/>
          <w:u w:val="single"/>
        </w:rPr>
        <w:t>Fertilitet</w:t>
      </w:r>
    </w:p>
    <w:p w:rsidR="00304F95" w:rsidRPr="00304F95" w:rsidRDefault="00304F95" w:rsidP="00304F95">
      <w:pPr>
        <w:tabs>
          <w:tab w:val="left" w:pos="851"/>
        </w:tabs>
        <w:ind w:left="851"/>
        <w:rPr>
          <w:sz w:val="24"/>
          <w:szCs w:val="24"/>
        </w:rPr>
      </w:pPr>
      <w:r w:rsidRPr="00304F95">
        <w:rPr>
          <w:sz w:val="24"/>
          <w:szCs w:val="24"/>
        </w:rPr>
        <w:t xml:space="preserve">Effekten af </w:t>
      </w:r>
      <w:proofErr w:type="spellStart"/>
      <w:r w:rsidRPr="00304F95">
        <w:rPr>
          <w:sz w:val="24"/>
          <w:szCs w:val="24"/>
        </w:rPr>
        <w:t>sumatriptan</w:t>
      </w:r>
      <w:proofErr w:type="spellEnd"/>
      <w:r w:rsidRPr="00304F95">
        <w:rPr>
          <w:sz w:val="24"/>
          <w:szCs w:val="24"/>
        </w:rPr>
        <w:t>/</w:t>
      </w:r>
      <w:proofErr w:type="spellStart"/>
      <w:r w:rsidRPr="00304F95">
        <w:rPr>
          <w:sz w:val="24"/>
          <w:szCs w:val="24"/>
        </w:rPr>
        <w:t>naproxen</w:t>
      </w:r>
      <w:proofErr w:type="spellEnd"/>
      <w:r w:rsidRPr="00304F95">
        <w:rPr>
          <w:sz w:val="24"/>
          <w:szCs w:val="24"/>
        </w:rPr>
        <w:t>-kombinationen på fertiliteten hos dyr er ikke blevet undersøgt.</w:t>
      </w:r>
    </w:p>
    <w:p w:rsidR="00304F95" w:rsidRPr="00304F95" w:rsidRDefault="00304F95" w:rsidP="00304F95">
      <w:pPr>
        <w:tabs>
          <w:tab w:val="left" w:pos="851"/>
        </w:tabs>
        <w:ind w:left="851"/>
        <w:rPr>
          <w:sz w:val="24"/>
          <w:szCs w:val="24"/>
        </w:rPr>
      </w:pPr>
    </w:p>
    <w:p w:rsidR="00304F95" w:rsidRPr="00304F95" w:rsidRDefault="00304F95" w:rsidP="00304F95">
      <w:pPr>
        <w:tabs>
          <w:tab w:val="left" w:pos="851"/>
        </w:tabs>
        <w:ind w:left="851"/>
        <w:rPr>
          <w:sz w:val="24"/>
          <w:szCs w:val="24"/>
        </w:rPr>
      </w:pPr>
      <w:r w:rsidRPr="00304F95">
        <w:rPr>
          <w:sz w:val="24"/>
          <w:szCs w:val="24"/>
        </w:rPr>
        <w:t xml:space="preserve">I et studie, hvor han- og hunrotter blev doseret dagligt med oral </w:t>
      </w:r>
      <w:proofErr w:type="spellStart"/>
      <w:r w:rsidRPr="00304F95">
        <w:rPr>
          <w:sz w:val="24"/>
          <w:szCs w:val="24"/>
        </w:rPr>
        <w:t>sumatriptan</w:t>
      </w:r>
      <w:proofErr w:type="spellEnd"/>
      <w:r w:rsidRPr="00304F95">
        <w:rPr>
          <w:sz w:val="24"/>
          <w:szCs w:val="24"/>
        </w:rPr>
        <w:t xml:space="preserve"> før og under hele parringsperioden, var der et behandlingsrelateret fald i fertilitet sekundært til et fald i parring hos dyr behandlet med 50 og 500 mg/kg/dag. Den højeste dosis uden effekt for dette fund var 5 mg/kg/dag eller ca. halvdelen af den humane orale dosis på 100 mg på mg/m</w:t>
      </w:r>
      <w:r w:rsidRPr="00304F95">
        <w:rPr>
          <w:sz w:val="24"/>
          <w:szCs w:val="24"/>
          <w:vertAlign w:val="superscript"/>
        </w:rPr>
        <w:t>2</w:t>
      </w:r>
      <w:r w:rsidRPr="00304F95">
        <w:rPr>
          <w:sz w:val="24"/>
          <w:szCs w:val="24"/>
        </w:rPr>
        <w:t xml:space="preserve">-basis. I et lignende studie af </w:t>
      </w:r>
      <w:proofErr w:type="spellStart"/>
      <w:r w:rsidRPr="00304F95">
        <w:rPr>
          <w:sz w:val="24"/>
          <w:szCs w:val="24"/>
        </w:rPr>
        <w:t>sumatriptan</w:t>
      </w:r>
      <w:proofErr w:type="spellEnd"/>
      <w:r w:rsidRPr="00304F95">
        <w:rPr>
          <w:sz w:val="24"/>
          <w:szCs w:val="24"/>
        </w:rPr>
        <w:t xml:space="preserve"> administreret subkutan, var der ingen tegn på nedsat fertilitet ved doser op til 60 mg/kg/dag, den maksimale testede dosis, hvilket svarer til ca. 6 gange den humane orale dosis på 100 mg på mg /m</w:t>
      </w:r>
      <w:r w:rsidRPr="00304F95">
        <w:rPr>
          <w:sz w:val="24"/>
          <w:szCs w:val="24"/>
          <w:vertAlign w:val="superscript"/>
        </w:rPr>
        <w:t>2</w:t>
      </w:r>
      <w:r w:rsidRPr="00304F95">
        <w:rPr>
          <w:sz w:val="24"/>
          <w:szCs w:val="24"/>
        </w:rPr>
        <w:t xml:space="preserve">-basis. Oral </w:t>
      </w:r>
      <w:r w:rsidRPr="00304F95">
        <w:rPr>
          <w:sz w:val="24"/>
          <w:szCs w:val="24"/>
        </w:rPr>
        <w:lastRenderedPageBreak/>
        <w:t xml:space="preserve">administration af en maksimalt tolereret dosis af </w:t>
      </w:r>
      <w:proofErr w:type="spellStart"/>
      <w:r w:rsidRPr="00304F95">
        <w:rPr>
          <w:sz w:val="24"/>
          <w:szCs w:val="24"/>
        </w:rPr>
        <w:t>naproxen</w:t>
      </w:r>
      <w:proofErr w:type="spellEnd"/>
      <w:r w:rsidRPr="00304F95">
        <w:rPr>
          <w:sz w:val="24"/>
          <w:szCs w:val="24"/>
        </w:rPr>
        <w:t xml:space="preserve"> til han- og hunrotter, før og under parring, havde ingen negative virkninger på fertilitet eller reproduktionsevne. </w:t>
      </w:r>
      <w:proofErr w:type="spellStart"/>
      <w:r w:rsidRPr="00304F95">
        <w:rPr>
          <w:sz w:val="24"/>
          <w:szCs w:val="24"/>
        </w:rPr>
        <w:t>Naproxens</w:t>
      </w:r>
      <w:proofErr w:type="spellEnd"/>
      <w:r w:rsidRPr="00304F95">
        <w:rPr>
          <w:sz w:val="24"/>
          <w:szCs w:val="24"/>
        </w:rPr>
        <w:t xml:space="preserve"> </w:t>
      </w:r>
      <w:proofErr w:type="spellStart"/>
      <w:r w:rsidRPr="00304F95">
        <w:rPr>
          <w:i/>
          <w:iCs/>
          <w:sz w:val="24"/>
          <w:szCs w:val="24"/>
        </w:rPr>
        <w:t>steady-state</w:t>
      </w:r>
      <w:proofErr w:type="spellEnd"/>
      <w:r w:rsidRPr="00304F95">
        <w:rPr>
          <w:sz w:val="24"/>
          <w:szCs w:val="24"/>
        </w:rPr>
        <w:t xml:space="preserve"> AUC blev estimeret til at være omkring 0,6 - 0,8 den humane eksponering for </w:t>
      </w:r>
      <w:proofErr w:type="spellStart"/>
      <w:r w:rsidRPr="00304F95">
        <w:rPr>
          <w:sz w:val="24"/>
          <w:szCs w:val="24"/>
        </w:rPr>
        <w:t>naproxen</w:t>
      </w:r>
      <w:proofErr w:type="spellEnd"/>
      <w:r w:rsidRPr="00304F95">
        <w:rPr>
          <w:sz w:val="24"/>
          <w:szCs w:val="24"/>
        </w:rPr>
        <w:t xml:space="preserve"> efter en enkelt </w:t>
      </w:r>
      <w:proofErr w:type="spellStart"/>
      <w:r w:rsidRPr="00304F95">
        <w:rPr>
          <w:sz w:val="24"/>
          <w:szCs w:val="24"/>
        </w:rPr>
        <w:t>sumatriptan</w:t>
      </w:r>
      <w:proofErr w:type="spellEnd"/>
      <w:r w:rsidRPr="00304F95">
        <w:rPr>
          <w:sz w:val="24"/>
          <w:szCs w:val="24"/>
        </w:rPr>
        <w:t>/</w:t>
      </w:r>
      <w:proofErr w:type="spellStart"/>
      <w:r w:rsidRPr="00304F95">
        <w:rPr>
          <w:sz w:val="24"/>
          <w:szCs w:val="24"/>
        </w:rPr>
        <w:t>naproxen</w:t>
      </w:r>
      <w:proofErr w:type="spellEnd"/>
      <w:r w:rsidRPr="00304F95">
        <w:rPr>
          <w:sz w:val="24"/>
          <w:szCs w:val="24"/>
        </w:rPr>
        <w:t>-tablet.</w:t>
      </w:r>
    </w:p>
    <w:p w:rsidR="00304F95" w:rsidRPr="00304F95" w:rsidRDefault="00304F95" w:rsidP="00304F95">
      <w:pPr>
        <w:tabs>
          <w:tab w:val="left" w:pos="851"/>
        </w:tabs>
        <w:ind w:left="851"/>
        <w:rPr>
          <w:sz w:val="24"/>
          <w:szCs w:val="24"/>
        </w:rPr>
      </w:pPr>
    </w:p>
    <w:p w:rsidR="00304F95" w:rsidRPr="00304F95" w:rsidRDefault="00304F95" w:rsidP="00304F95">
      <w:pPr>
        <w:tabs>
          <w:tab w:val="left" w:pos="851"/>
        </w:tabs>
        <w:ind w:left="851"/>
        <w:rPr>
          <w:sz w:val="24"/>
          <w:szCs w:val="24"/>
          <w:u w:val="single"/>
        </w:rPr>
      </w:pPr>
      <w:r w:rsidRPr="00304F95">
        <w:rPr>
          <w:sz w:val="24"/>
          <w:szCs w:val="24"/>
          <w:u w:val="single"/>
        </w:rPr>
        <w:t>Udviklingstoksicitet</w:t>
      </w:r>
    </w:p>
    <w:p w:rsidR="00304F95" w:rsidRPr="00304F95" w:rsidRDefault="00304F95" w:rsidP="00304F95">
      <w:pPr>
        <w:tabs>
          <w:tab w:val="left" w:pos="851"/>
        </w:tabs>
        <w:ind w:left="851"/>
        <w:rPr>
          <w:sz w:val="24"/>
          <w:szCs w:val="24"/>
        </w:rPr>
      </w:pPr>
      <w:r w:rsidRPr="00304F95">
        <w:rPr>
          <w:sz w:val="24"/>
          <w:szCs w:val="24"/>
        </w:rPr>
        <w:t>Udviklingstoksicitetsstudier (embryo-</w:t>
      </w:r>
      <w:proofErr w:type="spellStart"/>
      <w:r w:rsidRPr="00304F95">
        <w:rPr>
          <w:sz w:val="24"/>
          <w:szCs w:val="24"/>
        </w:rPr>
        <w:t>føtal</w:t>
      </w:r>
      <w:proofErr w:type="spellEnd"/>
      <w:r w:rsidRPr="00304F95">
        <w:rPr>
          <w:sz w:val="24"/>
          <w:szCs w:val="24"/>
        </w:rPr>
        <w:t xml:space="preserve">) med </w:t>
      </w:r>
      <w:proofErr w:type="spellStart"/>
      <w:r w:rsidRPr="00304F95">
        <w:rPr>
          <w:sz w:val="24"/>
          <w:szCs w:val="24"/>
        </w:rPr>
        <w:t>sumatriptan</w:t>
      </w:r>
      <w:proofErr w:type="spellEnd"/>
      <w:r w:rsidRPr="00304F95">
        <w:rPr>
          <w:sz w:val="24"/>
          <w:szCs w:val="24"/>
        </w:rPr>
        <w:t>/</w:t>
      </w:r>
      <w:proofErr w:type="spellStart"/>
      <w:r w:rsidRPr="00304F95">
        <w:rPr>
          <w:sz w:val="24"/>
          <w:szCs w:val="24"/>
        </w:rPr>
        <w:t>naproxen</w:t>
      </w:r>
      <w:proofErr w:type="spellEnd"/>
      <w:r w:rsidRPr="00304F95">
        <w:rPr>
          <w:sz w:val="24"/>
          <w:szCs w:val="24"/>
        </w:rPr>
        <w:t>-kombinationen blev kun udført på kaniner.</w:t>
      </w:r>
    </w:p>
    <w:p w:rsidR="00304F95" w:rsidRPr="00304F95" w:rsidRDefault="00304F95" w:rsidP="00304F95">
      <w:pPr>
        <w:tabs>
          <w:tab w:val="left" w:pos="851"/>
        </w:tabs>
        <w:ind w:left="851"/>
        <w:rPr>
          <w:sz w:val="24"/>
          <w:szCs w:val="24"/>
        </w:rPr>
      </w:pPr>
    </w:p>
    <w:p w:rsidR="00E54019" w:rsidRDefault="00304F95" w:rsidP="00304F95">
      <w:pPr>
        <w:tabs>
          <w:tab w:val="left" w:pos="851"/>
        </w:tabs>
        <w:ind w:left="851"/>
        <w:rPr>
          <w:sz w:val="24"/>
          <w:szCs w:val="24"/>
        </w:rPr>
      </w:pPr>
      <w:r w:rsidRPr="00304F95">
        <w:rPr>
          <w:sz w:val="24"/>
          <w:szCs w:val="24"/>
        </w:rPr>
        <w:t xml:space="preserve">Oral behandling af drægtige kaniner med </w:t>
      </w:r>
      <w:proofErr w:type="spellStart"/>
      <w:r w:rsidRPr="00304F95">
        <w:rPr>
          <w:sz w:val="24"/>
          <w:szCs w:val="24"/>
        </w:rPr>
        <w:t>naproxen</w:t>
      </w:r>
      <w:proofErr w:type="spellEnd"/>
      <w:r w:rsidRPr="00304F95">
        <w:rPr>
          <w:sz w:val="24"/>
          <w:szCs w:val="24"/>
        </w:rPr>
        <w:t xml:space="preserve"> og </w:t>
      </w:r>
      <w:proofErr w:type="spellStart"/>
      <w:r w:rsidRPr="00304F95">
        <w:rPr>
          <w:sz w:val="24"/>
          <w:szCs w:val="24"/>
        </w:rPr>
        <w:t>sumatriptan</w:t>
      </w:r>
      <w:proofErr w:type="spellEnd"/>
      <w:r w:rsidRPr="00304F95">
        <w:rPr>
          <w:sz w:val="24"/>
          <w:szCs w:val="24"/>
        </w:rPr>
        <w:t>/</w:t>
      </w:r>
      <w:proofErr w:type="spellStart"/>
      <w:r w:rsidRPr="00304F95">
        <w:rPr>
          <w:sz w:val="24"/>
          <w:szCs w:val="24"/>
        </w:rPr>
        <w:t>naproxen</w:t>
      </w:r>
      <w:proofErr w:type="spellEnd"/>
      <w:r w:rsidRPr="00304F95">
        <w:rPr>
          <w:sz w:val="24"/>
          <w:szCs w:val="24"/>
        </w:rPr>
        <w:t xml:space="preserve"> forårsagede </w:t>
      </w:r>
      <w:proofErr w:type="spellStart"/>
      <w:r w:rsidRPr="00304F95">
        <w:rPr>
          <w:sz w:val="24"/>
          <w:szCs w:val="24"/>
        </w:rPr>
        <w:t>maternel</w:t>
      </w:r>
      <w:proofErr w:type="spellEnd"/>
      <w:r w:rsidRPr="00304F95">
        <w:rPr>
          <w:sz w:val="24"/>
          <w:szCs w:val="24"/>
        </w:rPr>
        <w:t xml:space="preserve"> toksicitet, reduktion i fostervægt og stigninger i totale og tidlige resorptioner og </w:t>
      </w:r>
      <w:proofErr w:type="spellStart"/>
      <w:r w:rsidRPr="00304F95">
        <w:rPr>
          <w:sz w:val="24"/>
          <w:szCs w:val="24"/>
        </w:rPr>
        <w:t>føtale</w:t>
      </w:r>
      <w:proofErr w:type="spellEnd"/>
      <w:r w:rsidRPr="00304F95">
        <w:rPr>
          <w:sz w:val="24"/>
          <w:szCs w:val="24"/>
        </w:rPr>
        <w:t xml:space="preserve"> dødsfald. </w:t>
      </w:r>
      <w:proofErr w:type="spellStart"/>
      <w:r w:rsidRPr="00304F95">
        <w:rPr>
          <w:sz w:val="24"/>
          <w:szCs w:val="24"/>
        </w:rPr>
        <w:t>Maternel</w:t>
      </w:r>
      <w:proofErr w:type="spellEnd"/>
      <w:r w:rsidRPr="00304F95">
        <w:rPr>
          <w:sz w:val="24"/>
          <w:szCs w:val="24"/>
        </w:rPr>
        <w:t xml:space="preserve"> toksicitet præsenteret som nedsat kropsvægtøgning eller kropsvægttab under behandlingsperioder og reduktioner i foderforbrug. Fostervægten (væksten) blev signifikant reduceret ved alle doser administreret til moderen. Stigninger i det gennemsnitlige antal totale resorptioner pr. kuld og tidlige resorptioner pr. kuld og resorberede </w:t>
      </w:r>
      <w:proofErr w:type="spellStart"/>
      <w:r w:rsidRPr="00304F95">
        <w:rPr>
          <w:sz w:val="24"/>
          <w:szCs w:val="24"/>
        </w:rPr>
        <w:t>conceptus</w:t>
      </w:r>
      <w:proofErr w:type="spellEnd"/>
      <w:r w:rsidRPr="00304F95">
        <w:rPr>
          <w:sz w:val="24"/>
          <w:szCs w:val="24"/>
        </w:rPr>
        <w:t xml:space="preserve"> pr. kuld forekom i alle dosisgrupper. Lidt højere forekomster af tre typer af misdannelser forekom i de behandlede grupper - fusionerede </w:t>
      </w:r>
      <w:proofErr w:type="spellStart"/>
      <w:r w:rsidRPr="00304F95">
        <w:rPr>
          <w:sz w:val="24"/>
          <w:szCs w:val="24"/>
        </w:rPr>
        <w:t>halehvirvel</w:t>
      </w:r>
      <w:proofErr w:type="spellEnd"/>
      <w:r w:rsidRPr="00304F95">
        <w:rPr>
          <w:sz w:val="24"/>
          <w:szCs w:val="24"/>
        </w:rPr>
        <w:t xml:space="preserve">, isoleret </w:t>
      </w:r>
      <w:proofErr w:type="spellStart"/>
      <w:r w:rsidRPr="00304F95">
        <w:rPr>
          <w:sz w:val="24"/>
          <w:szCs w:val="24"/>
        </w:rPr>
        <w:t>interventrikulær</w:t>
      </w:r>
      <w:proofErr w:type="spellEnd"/>
      <w:r w:rsidRPr="00304F95">
        <w:rPr>
          <w:sz w:val="24"/>
          <w:szCs w:val="24"/>
        </w:rPr>
        <w:t xml:space="preserve"> septumdefekt og vedvarende </w:t>
      </w:r>
      <w:proofErr w:type="spellStart"/>
      <w:r w:rsidRPr="00304F95">
        <w:rPr>
          <w:sz w:val="24"/>
          <w:szCs w:val="24"/>
        </w:rPr>
        <w:t>truncus</w:t>
      </w:r>
      <w:proofErr w:type="spellEnd"/>
      <w:r w:rsidRPr="00304F95">
        <w:rPr>
          <w:sz w:val="24"/>
          <w:szCs w:val="24"/>
        </w:rPr>
        <w:t xml:space="preserve"> </w:t>
      </w:r>
      <w:proofErr w:type="spellStart"/>
      <w:r w:rsidRPr="00304F95">
        <w:rPr>
          <w:sz w:val="24"/>
          <w:szCs w:val="24"/>
        </w:rPr>
        <w:t>arteriosus</w:t>
      </w:r>
      <w:proofErr w:type="spellEnd"/>
      <w:r w:rsidRPr="00304F95">
        <w:rPr>
          <w:sz w:val="24"/>
          <w:szCs w:val="24"/>
        </w:rPr>
        <w:t xml:space="preserve"> med sekundær </w:t>
      </w:r>
      <w:proofErr w:type="spellStart"/>
      <w:r w:rsidRPr="00304F95">
        <w:rPr>
          <w:sz w:val="24"/>
          <w:szCs w:val="24"/>
        </w:rPr>
        <w:t>interventrikulær</w:t>
      </w:r>
      <w:proofErr w:type="spellEnd"/>
      <w:r w:rsidRPr="00304F95">
        <w:rPr>
          <w:sz w:val="24"/>
          <w:szCs w:val="24"/>
        </w:rPr>
        <w:t xml:space="preserve"> septumdefekt. </w:t>
      </w:r>
    </w:p>
    <w:p w:rsidR="00304F95" w:rsidRPr="00304F95" w:rsidRDefault="00304F95" w:rsidP="00304F95">
      <w:pPr>
        <w:tabs>
          <w:tab w:val="left" w:pos="851"/>
        </w:tabs>
        <w:ind w:left="851"/>
        <w:rPr>
          <w:sz w:val="24"/>
          <w:szCs w:val="24"/>
        </w:rPr>
      </w:pPr>
      <w:r w:rsidRPr="00304F95">
        <w:rPr>
          <w:sz w:val="24"/>
          <w:szCs w:val="24"/>
        </w:rPr>
        <w:t xml:space="preserve">NOAEL blev ikke identificeret i dette studie, og den laveste vurderede kombinationsdosis var forbundet med eksponeringen af </w:t>
      </w:r>
      <w:proofErr w:type="spellStart"/>
      <w:r w:rsidRPr="00304F95">
        <w:rPr>
          <w:sz w:val="24"/>
          <w:szCs w:val="24"/>
        </w:rPr>
        <w:t>naproxen</w:t>
      </w:r>
      <w:proofErr w:type="spellEnd"/>
      <w:r w:rsidRPr="00304F95">
        <w:rPr>
          <w:sz w:val="24"/>
          <w:szCs w:val="24"/>
        </w:rPr>
        <w:t xml:space="preserve"> (AUC) hos moderdyr mindre end eller lig med eksponering hos mennesker efter en enkelt </w:t>
      </w:r>
      <w:proofErr w:type="spellStart"/>
      <w:r w:rsidRPr="00304F95">
        <w:rPr>
          <w:sz w:val="24"/>
          <w:szCs w:val="24"/>
        </w:rPr>
        <w:t>sumatriptan</w:t>
      </w:r>
      <w:proofErr w:type="spellEnd"/>
      <w:r w:rsidRPr="00304F95">
        <w:rPr>
          <w:sz w:val="24"/>
          <w:szCs w:val="24"/>
        </w:rPr>
        <w:t>/</w:t>
      </w:r>
      <w:proofErr w:type="spellStart"/>
      <w:r w:rsidRPr="00304F95">
        <w:rPr>
          <w:sz w:val="24"/>
          <w:szCs w:val="24"/>
        </w:rPr>
        <w:t>naproxen</w:t>
      </w:r>
      <w:proofErr w:type="spellEnd"/>
      <w:r w:rsidRPr="00304F95">
        <w:rPr>
          <w:sz w:val="24"/>
          <w:szCs w:val="24"/>
        </w:rPr>
        <w:t>-tablet.</w:t>
      </w:r>
    </w:p>
    <w:p w:rsidR="00304F95" w:rsidRPr="00304F95" w:rsidRDefault="00304F95" w:rsidP="00304F95">
      <w:pPr>
        <w:tabs>
          <w:tab w:val="left" w:pos="851"/>
        </w:tabs>
        <w:ind w:left="851"/>
        <w:rPr>
          <w:sz w:val="24"/>
          <w:szCs w:val="24"/>
        </w:rPr>
      </w:pPr>
    </w:p>
    <w:p w:rsidR="00304F95" w:rsidRPr="00304F95" w:rsidRDefault="00304F95" w:rsidP="00304F95">
      <w:pPr>
        <w:tabs>
          <w:tab w:val="left" w:pos="851"/>
        </w:tabs>
        <w:ind w:left="851"/>
        <w:rPr>
          <w:sz w:val="24"/>
          <w:szCs w:val="24"/>
        </w:rPr>
      </w:pPr>
      <w:r w:rsidRPr="00304F95">
        <w:rPr>
          <w:sz w:val="24"/>
          <w:szCs w:val="24"/>
        </w:rPr>
        <w:t xml:space="preserve">I tidligere studier var oral behandling af drægtige rotter med </w:t>
      </w:r>
      <w:proofErr w:type="spellStart"/>
      <w:r w:rsidRPr="00304F95">
        <w:rPr>
          <w:sz w:val="24"/>
          <w:szCs w:val="24"/>
        </w:rPr>
        <w:t>sumatriptan</w:t>
      </w:r>
      <w:proofErr w:type="spellEnd"/>
      <w:r w:rsidRPr="00304F95">
        <w:rPr>
          <w:sz w:val="24"/>
          <w:szCs w:val="24"/>
        </w:rPr>
        <w:t xml:space="preserve"> i </w:t>
      </w:r>
      <w:proofErr w:type="spellStart"/>
      <w:r w:rsidRPr="00304F95">
        <w:rPr>
          <w:sz w:val="24"/>
          <w:szCs w:val="24"/>
        </w:rPr>
        <w:t>organogenese</w:t>
      </w:r>
      <w:proofErr w:type="spellEnd"/>
      <w:r w:rsidRPr="00304F95">
        <w:rPr>
          <w:sz w:val="24"/>
          <w:szCs w:val="24"/>
        </w:rPr>
        <w:t xml:space="preserve"> perioden forbundet med en øget forekomst af abnormiteter i </w:t>
      </w:r>
      <w:proofErr w:type="spellStart"/>
      <w:r w:rsidRPr="00304F95">
        <w:rPr>
          <w:sz w:val="24"/>
          <w:szCs w:val="24"/>
        </w:rPr>
        <w:t>cervikotorakal</w:t>
      </w:r>
      <w:proofErr w:type="spellEnd"/>
      <w:r w:rsidRPr="00304F95">
        <w:rPr>
          <w:sz w:val="24"/>
          <w:szCs w:val="24"/>
        </w:rPr>
        <w:t xml:space="preserve"> og navlestrengen, embryo/</w:t>
      </w:r>
      <w:proofErr w:type="spellStart"/>
      <w:r w:rsidRPr="00304F95">
        <w:rPr>
          <w:sz w:val="24"/>
          <w:szCs w:val="24"/>
        </w:rPr>
        <w:t>føtal</w:t>
      </w:r>
      <w:proofErr w:type="spellEnd"/>
      <w:r w:rsidRPr="00304F95">
        <w:rPr>
          <w:sz w:val="24"/>
          <w:szCs w:val="24"/>
        </w:rPr>
        <w:t xml:space="preserve"> toksicitet, en øget forekomst af misdannelsessyndrom og nedsat overlevelse hos ungerne. Den højeste dosis uden effekt var ca. 60 mg/kg/dag, hvilket er ca. 6 gange den maksimale anbefalede orale enkeltdosis til mennesker på 100 mg på mg/m</w:t>
      </w:r>
      <w:r w:rsidRPr="00304F95">
        <w:rPr>
          <w:sz w:val="24"/>
          <w:szCs w:val="24"/>
          <w:vertAlign w:val="superscript"/>
        </w:rPr>
        <w:t>2</w:t>
      </w:r>
      <w:r w:rsidRPr="00304F95">
        <w:rPr>
          <w:sz w:val="24"/>
          <w:szCs w:val="24"/>
        </w:rPr>
        <w:t xml:space="preserve">-basis. Oral behandling af drægtige rotter med </w:t>
      </w:r>
      <w:proofErr w:type="spellStart"/>
      <w:r w:rsidRPr="00304F95">
        <w:rPr>
          <w:sz w:val="24"/>
          <w:szCs w:val="24"/>
        </w:rPr>
        <w:t>naproxen</w:t>
      </w:r>
      <w:proofErr w:type="spellEnd"/>
      <w:r w:rsidRPr="00304F95">
        <w:rPr>
          <w:sz w:val="24"/>
          <w:szCs w:val="24"/>
        </w:rPr>
        <w:t xml:space="preserve"> (25 mg/kg/dag) i løbet af </w:t>
      </w:r>
      <w:proofErr w:type="spellStart"/>
      <w:r w:rsidRPr="00304F95">
        <w:rPr>
          <w:sz w:val="24"/>
          <w:szCs w:val="24"/>
        </w:rPr>
        <w:t>organogenese</w:t>
      </w:r>
      <w:proofErr w:type="spellEnd"/>
      <w:r w:rsidRPr="00304F95">
        <w:rPr>
          <w:sz w:val="24"/>
          <w:szCs w:val="24"/>
        </w:rPr>
        <w:t xml:space="preserve"> perioden var forbundet med nedsat antal levende fostre, øget præ- og postimplantationstab og en øget forekomst af halsribben sekundært til signifikant </w:t>
      </w:r>
      <w:proofErr w:type="spellStart"/>
      <w:r w:rsidRPr="00304F95">
        <w:rPr>
          <w:sz w:val="24"/>
          <w:szCs w:val="24"/>
        </w:rPr>
        <w:t>maternel</w:t>
      </w:r>
      <w:proofErr w:type="spellEnd"/>
      <w:r w:rsidRPr="00304F95">
        <w:rPr>
          <w:sz w:val="24"/>
          <w:szCs w:val="24"/>
        </w:rPr>
        <w:t xml:space="preserve"> toksicitet. </w:t>
      </w:r>
      <w:r w:rsidR="006B2ED9" w:rsidRPr="00304F95">
        <w:rPr>
          <w:sz w:val="24"/>
          <w:szCs w:val="24"/>
        </w:rPr>
        <w:t xml:space="preserve">Eksponering af drægtige moderdyr til </w:t>
      </w:r>
      <w:proofErr w:type="spellStart"/>
      <w:r w:rsidR="006B2ED9" w:rsidRPr="00304F95">
        <w:rPr>
          <w:sz w:val="24"/>
          <w:szCs w:val="24"/>
        </w:rPr>
        <w:t>naproxen</w:t>
      </w:r>
      <w:proofErr w:type="spellEnd"/>
      <w:r w:rsidR="006B2ED9" w:rsidRPr="00304F95">
        <w:rPr>
          <w:sz w:val="24"/>
          <w:szCs w:val="24"/>
        </w:rPr>
        <w:t xml:space="preserve"> ved </w:t>
      </w:r>
      <w:proofErr w:type="spellStart"/>
      <w:r w:rsidR="006B2ED9" w:rsidRPr="00304F95">
        <w:rPr>
          <w:i/>
          <w:iCs/>
          <w:sz w:val="24"/>
          <w:szCs w:val="24"/>
        </w:rPr>
        <w:t>steady-state</w:t>
      </w:r>
      <w:proofErr w:type="spellEnd"/>
      <w:r w:rsidR="006B2ED9" w:rsidRPr="00304F95">
        <w:rPr>
          <w:sz w:val="24"/>
          <w:szCs w:val="24"/>
        </w:rPr>
        <w:t xml:space="preserve"> var 0,6</w:t>
      </w:r>
      <w:r w:rsidR="006B2ED9">
        <w:rPr>
          <w:sz w:val="24"/>
          <w:szCs w:val="24"/>
        </w:rPr>
        <w:t> </w:t>
      </w:r>
      <w:r w:rsidR="006B2ED9" w:rsidRPr="00304F95">
        <w:rPr>
          <w:sz w:val="24"/>
          <w:szCs w:val="24"/>
        </w:rPr>
        <w:t xml:space="preserve">0,8 af human eksponering for </w:t>
      </w:r>
      <w:proofErr w:type="spellStart"/>
      <w:r w:rsidR="006B2ED9" w:rsidRPr="00304F95">
        <w:rPr>
          <w:sz w:val="24"/>
          <w:szCs w:val="24"/>
        </w:rPr>
        <w:t>naproxen</w:t>
      </w:r>
      <w:proofErr w:type="spellEnd"/>
      <w:r w:rsidR="006B2ED9" w:rsidRPr="00304F95">
        <w:rPr>
          <w:sz w:val="24"/>
          <w:szCs w:val="24"/>
        </w:rPr>
        <w:t xml:space="preserve"> efter en enkelt </w:t>
      </w:r>
      <w:proofErr w:type="spellStart"/>
      <w:r w:rsidR="006B2ED9" w:rsidRPr="00304F95">
        <w:rPr>
          <w:sz w:val="24"/>
          <w:szCs w:val="24"/>
        </w:rPr>
        <w:t>sumatriptan</w:t>
      </w:r>
      <w:proofErr w:type="spellEnd"/>
      <w:r w:rsidR="006B2ED9" w:rsidRPr="00304F95">
        <w:rPr>
          <w:sz w:val="24"/>
          <w:szCs w:val="24"/>
        </w:rPr>
        <w:t>/</w:t>
      </w:r>
      <w:proofErr w:type="spellStart"/>
      <w:r w:rsidR="006B2ED9" w:rsidRPr="00304F95">
        <w:rPr>
          <w:sz w:val="24"/>
          <w:szCs w:val="24"/>
        </w:rPr>
        <w:t>naproxen</w:t>
      </w:r>
      <w:proofErr w:type="spellEnd"/>
      <w:r w:rsidR="006B2ED9" w:rsidRPr="00304F95">
        <w:rPr>
          <w:sz w:val="24"/>
          <w:szCs w:val="24"/>
        </w:rPr>
        <w:t xml:space="preserve">-tablet. </w:t>
      </w:r>
      <w:proofErr w:type="spellStart"/>
      <w:r w:rsidRPr="00304F95">
        <w:rPr>
          <w:sz w:val="24"/>
          <w:szCs w:val="24"/>
        </w:rPr>
        <w:t>Føtale</w:t>
      </w:r>
      <w:proofErr w:type="spellEnd"/>
      <w:r w:rsidRPr="00304F95">
        <w:rPr>
          <w:sz w:val="24"/>
          <w:szCs w:val="24"/>
        </w:rPr>
        <w:t xml:space="preserve"> plasmakoncentrationer af </w:t>
      </w:r>
      <w:proofErr w:type="spellStart"/>
      <w:r w:rsidRPr="00304F95">
        <w:rPr>
          <w:sz w:val="24"/>
          <w:szCs w:val="24"/>
        </w:rPr>
        <w:t>naproxen</w:t>
      </w:r>
      <w:proofErr w:type="spellEnd"/>
      <w:r w:rsidRPr="00304F95">
        <w:rPr>
          <w:sz w:val="24"/>
          <w:szCs w:val="24"/>
        </w:rPr>
        <w:t xml:space="preserve"> var ca. 0,6 af de </w:t>
      </w:r>
      <w:proofErr w:type="spellStart"/>
      <w:r w:rsidRPr="00304F95">
        <w:rPr>
          <w:sz w:val="24"/>
          <w:szCs w:val="24"/>
        </w:rPr>
        <w:t>maternelle</w:t>
      </w:r>
      <w:proofErr w:type="spellEnd"/>
      <w:r w:rsidRPr="00304F95">
        <w:rPr>
          <w:sz w:val="24"/>
          <w:szCs w:val="24"/>
        </w:rPr>
        <w:t xml:space="preserve"> koncentrationer.</w:t>
      </w:r>
    </w:p>
    <w:p w:rsidR="00304F95" w:rsidRPr="00304F95" w:rsidRDefault="00304F95" w:rsidP="00304F95">
      <w:pPr>
        <w:tabs>
          <w:tab w:val="left" w:pos="851"/>
        </w:tabs>
        <w:ind w:left="851"/>
        <w:rPr>
          <w:sz w:val="24"/>
          <w:szCs w:val="24"/>
        </w:rPr>
      </w:pPr>
    </w:p>
    <w:p w:rsidR="00304F95" w:rsidRPr="00304F95" w:rsidRDefault="00304F95" w:rsidP="00304F95">
      <w:pPr>
        <w:tabs>
          <w:tab w:val="left" w:pos="851"/>
        </w:tabs>
        <w:ind w:left="851"/>
        <w:rPr>
          <w:sz w:val="24"/>
          <w:szCs w:val="24"/>
          <w:u w:val="single"/>
        </w:rPr>
      </w:pPr>
      <w:r w:rsidRPr="00304F95">
        <w:rPr>
          <w:sz w:val="24"/>
          <w:szCs w:val="24"/>
          <w:u w:val="single"/>
        </w:rPr>
        <w:t xml:space="preserve">Peri-og </w:t>
      </w:r>
      <w:proofErr w:type="spellStart"/>
      <w:r w:rsidRPr="00304F95">
        <w:rPr>
          <w:sz w:val="24"/>
          <w:szCs w:val="24"/>
          <w:u w:val="single"/>
        </w:rPr>
        <w:t>postnatale</w:t>
      </w:r>
      <w:proofErr w:type="spellEnd"/>
      <w:r w:rsidRPr="00304F95">
        <w:rPr>
          <w:sz w:val="24"/>
          <w:szCs w:val="24"/>
          <w:u w:val="single"/>
        </w:rPr>
        <w:t xml:space="preserve"> reproduktionstoksicitet</w:t>
      </w:r>
    </w:p>
    <w:p w:rsidR="00304F95" w:rsidRPr="00304F95" w:rsidRDefault="00304F95" w:rsidP="00304F95">
      <w:pPr>
        <w:tabs>
          <w:tab w:val="left" w:pos="851"/>
        </w:tabs>
        <w:ind w:left="851"/>
        <w:rPr>
          <w:sz w:val="24"/>
          <w:szCs w:val="24"/>
        </w:rPr>
      </w:pPr>
      <w:r w:rsidRPr="00304F95">
        <w:rPr>
          <w:sz w:val="24"/>
          <w:szCs w:val="24"/>
        </w:rPr>
        <w:t xml:space="preserve">Der er ikke udført prænatale og </w:t>
      </w:r>
      <w:proofErr w:type="spellStart"/>
      <w:r w:rsidRPr="00304F95">
        <w:rPr>
          <w:sz w:val="24"/>
          <w:szCs w:val="24"/>
        </w:rPr>
        <w:t>postnatale</w:t>
      </w:r>
      <w:proofErr w:type="spellEnd"/>
      <w:r w:rsidRPr="00304F95">
        <w:rPr>
          <w:sz w:val="24"/>
          <w:szCs w:val="24"/>
        </w:rPr>
        <w:t xml:space="preserve"> udviklingsstudier med </w:t>
      </w:r>
      <w:proofErr w:type="spellStart"/>
      <w:r w:rsidRPr="00304F95">
        <w:rPr>
          <w:sz w:val="24"/>
          <w:szCs w:val="24"/>
        </w:rPr>
        <w:t>sumatriptan</w:t>
      </w:r>
      <w:proofErr w:type="spellEnd"/>
      <w:r w:rsidRPr="00304F95">
        <w:rPr>
          <w:sz w:val="24"/>
          <w:szCs w:val="24"/>
        </w:rPr>
        <w:t>/</w:t>
      </w:r>
      <w:proofErr w:type="spellStart"/>
      <w:r w:rsidRPr="00304F95">
        <w:rPr>
          <w:sz w:val="24"/>
          <w:szCs w:val="24"/>
        </w:rPr>
        <w:t>naproxen</w:t>
      </w:r>
      <w:proofErr w:type="spellEnd"/>
      <w:r w:rsidRPr="00304F95">
        <w:rPr>
          <w:sz w:val="24"/>
          <w:szCs w:val="24"/>
        </w:rPr>
        <w:t>-kombinationen.</w:t>
      </w:r>
    </w:p>
    <w:p w:rsidR="00304F95" w:rsidRPr="00304F95" w:rsidRDefault="00304F95" w:rsidP="00304F95">
      <w:pPr>
        <w:tabs>
          <w:tab w:val="left" w:pos="851"/>
        </w:tabs>
        <w:ind w:left="851"/>
        <w:rPr>
          <w:sz w:val="24"/>
          <w:szCs w:val="24"/>
        </w:rPr>
      </w:pPr>
    </w:p>
    <w:p w:rsidR="00304F95" w:rsidRPr="00304F95" w:rsidRDefault="00304F95" w:rsidP="00304F95">
      <w:pPr>
        <w:tabs>
          <w:tab w:val="left" w:pos="851"/>
        </w:tabs>
        <w:ind w:left="851"/>
        <w:rPr>
          <w:sz w:val="24"/>
          <w:szCs w:val="24"/>
        </w:rPr>
      </w:pPr>
      <w:r w:rsidRPr="00304F95">
        <w:rPr>
          <w:sz w:val="24"/>
          <w:szCs w:val="24"/>
        </w:rPr>
        <w:t xml:space="preserve">Oral behandling af rotter med </w:t>
      </w:r>
      <w:proofErr w:type="spellStart"/>
      <w:r w:rsidRPr="00304F95">
        <w:rPr>
          <w:sz w:val="24"/>
          <w:szCs w:val="24"/>
        </w:rPr>
        <w:t>sumatriptan</w:t>
      </w:r>
      <w:proofErr w:type="spellEnd"/>
      <w:r w:rsidRPr="00304F95">
        <w:rPr>
          <w:sz w:val="24"/>
          <w:szCs w:val="24"/>
        </w:rPr>
        <w:t xml:space="preserve"> under den sene drægtighed og under hele diegivning, var forbundet med et fald i ungernes overlevelse. Den højeste dosis uden effekt for dette fund var 100 mg/kg/dag, ca. 10 gange den maksimale anbefalede enkelt orale dosis til mennesker på 100 mg på mg/m</w:t>
      </w:r>
      <w:r w:rsidRPr="00304F95">
        <w:rPr>
          <w:sz w:val="24"/>
          <w:szCs w:val="24"/>
          <w:vertAlign w:val="superscript"/>
        </w:rPr>
        <w:t>2</w:t>
      </w:r>
      <w:r w:rsidRPr="00304F95">
        <w:rPr>
          <w:sz w:val="24"/>
          <w:szCs w:val="24"/>
        </w:rPr>
        <w:t xml:space="preserve">-basis. Oral behandling af rotter med </w:t>
      </w:r>
      <w:proofErr w:type="spellStart"/>
      <w:r w:rsidRPr="00304F95">
        <w:rPr>
          <w:sz w:val="24"/>
          <w:szCs w:val="24"/>
        </w:rPr>
        <w:t>naproxen</w:t>
      </w:r>
      <w:proofErr w:type="spellEnd"/>
      <w:r w:rsidRPr="00304F95">
        <w:rPr>
          <w:sz w:val="24"/>
          <w:szCs w:val="24"/>
        </w:rPr>
        <w:t xml:space="preserve"> gennem hele drægtigheden og diegivningen, var forbundet med nedsat F</w:t>
      </w:r>
      <w:r w:rsidRPr="00304F95">
        <w:rPr>
          <w:sz w:val="24"/>
          <w:szCs w:val="24"/>
          <w:vertAlign w:val="subscript"/>
        </w:rPr>
        <w:t>1</w:t>
      </w:r>
      <w:r w:rsidRPr="00304F95">
        <w:rPr>
          <w:sz w:val="24"/>
          <w:szCs w:val="24"/>
        </w:rPr>
        <w:t>-levedygtighed og kropsvægt, forsinket modning og en lidt lavere F</w:t>
      </w:r>
      <w:r w:rsidRPr="00304F95">
        <w:rPr>
          <w:sz w:val="24"/>
          <w:szCs w:val="24"/>
          <w:vertAlign w:val="subscript"/>
        </w:rPr>
        <w:t>2</w:t>
      </w:r>
      <w:r w:rsidRPr="00304F95">
        <w:rPr>
          <w:sz w:val="24"/>
          <w:szCs w:val="24"/>
        </w:rPr>
        <w:t xml:space="preserve">-levende kuldstørrelse. </w:t>
      </w:r>
      <w:proofErr w:type="spellStart"/>
      <w:r w:rsidRPr="00304F95">
        <w:rPr>
          <w:sz w:val="24"/>
          <w:szCs w:val="24"/>
        </w:rPr>
        <w:t>Naproxens</w:t>
      </w:r>
      <w:proofErr w:type="spellEnd"/>
      <w:r w:rsidRPr="00304F95">
        <w:rPr>
          <w:sz w:val="24"/>
          <w:szCs w:val="24"/>
        </w:rPr>
        <w:t xml:space="preserve"> </w:t>
      </w:r>
      <w:proofErr w:type="spellStart"/>
      <w:r w:rsidRPr="00304F95">
        <w:rPr>
          <w:i/>
          <w:iCs/>
          <w:sz w:val="24"/>
          <w:szCs w:val="24"/>
        </w:rPr>
        <w:t>steady-state</w:t>
      </w:r>
      <w:proofErr w:type="spellEnd"/>
      <w:r w:rsidRPr="00304F95">
        <w:rPr>
          <w:sz w:val="24"/>
          <w:szCs w:val="24"/>
        </w:rPr>
        <w:t xml:space="preserve"> AUC for F</w:t>
      </w:r>
      <w:r w:rsidRPr="00304F95">
        <w:rPr>
          <w:sz w:val="24"/>
          <w:szCs w:val="24"/>
          <w:vertAlign w:val="subscript"/>
        </w:rPr>
        <w:t>0</w:t>
      </w:r>
      <w:r w:rsidRPr="00304F95">
        <w:rPr>
          <w:sz w:val="24"/>
          <w:szCs w:val="24"/>
        </w:rPr>
        <w:t xml:space="preserve">-moderdyr i denne undersøgelse blev estimeret til at være omkring 0,6 - 0,8 den humane eksponering for </w:t>
      </w:r>
      <w:proofErr w:type="spellStart"/>
      <w:r w:rsidRPr="00304F95">
        <w:rPr>
          <w:sz w:val="24"/>
          <w:szCs w:val="24"/>
        </w:rPr>
        <w:t>naproxen</w:t>
      </w:r>
      <w:proofErr w:type="spellEnd"/>
      <w:r w:rsidRPr="00304F95">
        <w:rPr>
          <w:sz w:val="24"/>
          <w:szCs w:val="24"/>
        </w:rPr>
        <w:t xml:space="preserve"> efter en enkelt </w:t>
      </w:r>
      <w:proofErr w:type="spellStart"/>
      <w:r w:rsidRPr="00304F95">
        <w:rPr>
          <w:sz w:val="24"/>
          <w:szCs w:val="24"/>
        </w:rPr>
        <w:t>sumatriptan</w:t>
      </w:r>
      <w:proofErr w:type="spellEnd"/>
      <w:r w:rsidRPr="00304F95">
        <w:rPr>
          <w:sz w:val="24"/>
          <w:szCs w:val="24"/>
        </w:rPr>
        <w:t>/</w:t>
      </w:r>
      <w:proofErr w:type="spellStart"/>
      <w:r w:rsidRPr="00304F95">
        <w:rPr>
          <w:sz w:val="24"/>
          <w:szCs w:val="24"/>
        </w:rPr>
        <w:t>naproxen</w:t>
      </w:r>
      <w:proofErr w:type="spellEnd"/>
      <w:r w:rsidRPr="00304F95">
        <w:rPr>
          <w:sz w:val="24"/>
          <w:szCs w:val="24"/>
        </w:rPr>
        <w:t>-tablet.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E54019" w:rsidRPr="00461009" w:rsidRDefault="00E54019" w:rsidP="00E54019">
      <w:pPr>
        <w:tabs>
          <w:tab w:val="left" w:pos="851"/>
        </w:tabs>
        <w:ind w:left="851"/>
        <w:rPr>
          <w:sz w:val="24"/>
          <w:szCs w:val="24"/>
        </w:rPr>
      </w:pPr>
      <w:proofErr w:type="spellStart"/>
      <w:r w:rsidRPr="00461009">
        <w:rPr>
          <w:sz w:val="24"/>
          <w:szCs w:val="24"/>
        </w:rPr>
        <w:t>Calciumhydrogenphosphat</w:t>
      </w:r>
      <w:proofErr w:type="spellEnd"/>
    </w:p>
    <w:p w:rsidR="00E54019" w:rsidRPr="00461009" w:rsidRDefault="00E54019" w:rsidP="00E54019">
      <w:pPr>
        <w:tabs>
          <w:tab w:val="left" w:pos="851"/>
        </w:tabs>
        <w:ind w:left="851"/>
        <w:rPr>
          <w:sz w:val="24"/>
          <w:szCs w:val="24"/>
        </w:rPr>
      </w:pPr>
      <w:r w:rsidRPr="00461009">
        <w:rPr>
          <w:sz w:val="24"/>
          <w:szCs w:val="24"/>
        </w:rPr>
        <w:t>Mikrokrystallinsk cellulose</w:t>
      </w:r>
    </w:p>
    <w:p w:rsidR="00E54019" w:rsidRPr="00787342" w:rsidRDefault="00E54019" w:rsidP="00E54019">
      <w:pPr>
        <w:tabs>
          <w:tab w:val="left" w:pos="851"/>
        </w:tabs>
        <w:ind w:left="851"/>
        <w:rPr>
          <w:sz w:val="24"/>
          <w:szCs w:val="24"/>
          <w:lang w:val="en-US"/>
        </w:rPr>
      </w:pPr>
      <w:proofErr w:type="spellStart"/>
      <w:r w:rsidRPr="00787342">
        <w:rPr>
          <w:sz w:val="24"/>
          <w:szCs w:val="24"/>
          <w:lang w:val="en-US"/>
        </w:rPr>
        <w:t>Croscarmellosenatrium</w:t>
      </w:r>
      <w:proofErr w:type="spellEnd"/>
    </w:p>
    <w:p w:rsidR="00E54019" w:rsidRPr="00787342" w:rsidRDefault="00E54019" w:rsidP="00E54019">
      <w:pPr>
        <w:tabs>
          <w:tab w:val="left" w:pos="851"/>
        </w:tabs>
        <w:ind w:left="851"/>
        <w:rPr>
          <w:sz w:val="24"/>
          <w:szCs w:val="24"/>
          <w:lang w:val="en-US"/>
        </w:rPr>
      </w:pPr>
      <w:proofErr w:type="spellStart"/>
      <w:r w:rsidRPr="00787342">
        <w:rPr>
          <w:sz w:val="24"/>
          <w:szCs w:val="24"/>
          <w:lang w:val="en-US"/>
        </w:rPr>
        <w:t>Natriumhydrogencarbonat</w:t>
      </w:r>
      <w:proofErr w:type="spellEnd"/>
    </w:p>
    <w:p w:rsidR="00E54019" w:rsidRPr="00787342" w:rsidRDefault="00E54019" w:rsidP="00E54019">
      <w:pPr>
        <w:tabs>
          <w:tab w:val="left" w:pos="851"/>
        </w:tabs>
        <w:ind w:left="851"/>
        <w:rPr>
          <w:sz w:val="24"/>
          <w:szCs w:val="24"/>
          <w:lang w:val="en-US"/>
        </w:rPr>
      </w:pPr>
      <w:proofErr w:type="spellStart"/>
      <w:r w:rsidRPr="00787342">
        <w:rPr>
          <w:sz w:val="24"/>
          <w:szCs w:val="24"/>
          <w:lang w:val="en-US"/>
        </w:rPr>
        <w:t>Povidon</w:t>
      </w:r>
      <w:proofErr w:type="spellEnd"/>
    </w:p>
    <w:p w:rsidR="00E54019" w:rsidRPr="006B1DC7" w:rsidRDefault="00E54019" w:rsidP="00E54019">
      <w:pPr>
        <w:tabs>
          <w:tab w:val="left" w:pos="851"/>
        </w:tabs>
        <w:ind w:left="851"/>
        <w:rPr>
          <w:sz w:val="24"/>
          <w:szCs w:val="24"/>
          <w:lang w:val="en-US"/>
        </w:rPr>
      </w:pPr>
      <w:proofErr w:type="spellStart"/>
      <w:r w:rsidRPr="006B1DC7">
        <w:rPr>
          <w:sz w:val="24"/>
          <w:szCs w:val="24"/>
          <w:lang w:val="en-US"/>
        </w:rPr>
        <w:t>Magnesiumstearat</w:t>
      </w:r>
      <w:proofErr w:type="spellEnd"/>
    </w:p>
    <w:p w:rsidR="00E54019" w:rsidRPr="006B1DC7" w:rsidRDefault="00E54019" w:rsidP="00E54019">
      <w:pPr>
        <w:tabs>
          <w:tab w:val="left" w:pos="851"/>
        </w:tabs>
        <w:ind w:left="851"/>
        <w:rPr>
          <w:sz w:val="24"/>
          <w:szCs w:val="24"/>
          <w:lang w:val="en-US"/>
        </w:rPr>
      </w:pPr>
      <w:r w:rsidRPr="006B1DC7">
        <w:rPr>
          <w:sz w:val="24"/>
          <w:szCs w:val="24"/>
          <w:lang w:val="en-US"/>
        </w:rPr>
        <w:t>Talcum</w:t>
      </w:r>
    </w:p>
    <w:p w:rsidR="00E54019" w:rsidRPr="006B1DC7" w:rsidRDefault="00E54019" w:rsidP="00E54019">
      <w:pPr>
        <w:tabs>
          <w:tab w:val="left" w:pos="851"/>
        </w:tabs>
        <w:ind w:left="851"/>
        <w:rPr>
          <w:sz w:val="24"/>
          <w:szCs w:val="24"/>
          <w:lang w:val="en-US"/>
        </w:rPr>
      </w:pPr>
    </w:p>
    <w:p w:rsidR="00E54019" w:rsidRPr="006B1DC7" w:rsidRDefault="00E54019" w:rsidP="00E54019">
      <w:pPr>
        <w:tabs>
          <w:tab w:val="left" w:pos="851"/>
        </w:tabs>
        <w:ind w:left="851"/>
        <w:rPr>
          <w:sz w:val="24"/>
          <w:szCs w:val="24"/>
          <w:u w:val="single"/>
          <w:lang w:val="en-US"/>
        </w:rPr>
      </w:pPr>
      <w:proofErr w:type="spellStart"/>
      <w:r w:rsidRPr="006B1DC7">
        <w:rPr>
          <w:sz w:val="24"/>
          <w:szCs w:val="24"/>
          <w:u w:val="single"/>
          <w:lang w:val="en-US"/>
        </w:rPr>
        <w:t>Overtræk</w:t>
      </w:r>
      <w:proofErr w:type="spellEnd"/>
    </w:p>
    <w:p w:rsidR="00E54019" w:rsidRPr="00833447" w:rsidRDefault="00E54019" w:rsidP="00E54019">
      <w:pPr>
        <w:tabs>
          <w:tab w:val="left" w:pos="851"/>
        </w:tabs>
        <w:ind w:left="851"/>
        <w:rPr>
          <w:sz w:val="24"/>
          <w:szCs w:val="24"/>
          <w:lang w:val="en-US"/>
          <w:rPrChange w:id="5" w:author="Alexandra Wæver" w:date="2025-02-20T09:51:00Z">
            <w:rPr>
              <w:sz w:val="24"/>
              <w:szCs w:val="24"/>
            </w:rPr>
          </w:rPrChange>
        </w:rPr>
      </w:pPr>
      <w:r w:rsidRPr="00833447">
        <w:rPr>
          <w:sz w:val="24"/>
          <w:szCs w:val="24"/>
          <w:lang w:val="en-US"/>
          <w:rPrChange w:id="6" w:author="Alexandra Wæver" w:date="2025-02-20T09:51:00Z">
            <w:rPr>
              <w:sz w:val="24"/>
              <w:szCs w:val="24"/>
            </w:rPr>
          </w:rPrChange>
        </w:rPr>
        <w:t>Hypromellose</w:t>
      </w:r>
    </w:p>
    <w:p w:rsidR="00E54019" w:rsidRPr="00833447" w:rsidRDefault="00E54019" w:rsidP="00E54019">
      <w:pPr>
        <w:tabs>
          <w:tab w:val="left" w:pos="851"/>
        </w:tabs>
        <w:ind w:left="851"/>
        <w:rPr>
          <w:sz w:val="24"/>
          <w:szCs w:val="24"/>
          <w:lang w:val="en-US"/>
          <w:rPrChange w:id="7" w:author="Alexandra Wæver" w:date="2025-02-20T09:51:00Z">
            <w:rPr>
              <w:sz w:val="24"/>
              <w:szCs w:val="24"/>
            </w:rPr>
          </w:rPrChange>
        </w:rPr>
      </w:pPr>
      <w:r w:rsidRPr="00833447">
        <w:rPr>
          <w:sz w:val="24"/>
          <w:szCs w:val="24"/>
          <w:lang w:val="en-US"/>
          <w:rPrChange w:id="8" w:author="Alexandra Wæver" w:date="2025-02-20T09:51:00Z">
            <w:rPr>
              <w:sz w:val="24"/>
              <w:szCs w:val="24"/>
            </w:rPr>
          </w:rPrChange>
        </w:rPr>
        <w:t>Titandioxid (E 171)</w:t>
      </w:r>
    </w:p>
    <w:p w:rsidR="00E54019" w:rsidRPr="00833447" w:rsidRDefault="00E54019" w:rsidP="00E54019">
      <w:pPr>
        <w:tabs>
          <w:tab w:val="left" w:pos="851"/>
        </w:tabs>
        <w:ind w:left="851"/>
        <w:rPr>
          <w:sz w:val="24"/>
          <w:szCs w:val="24"/>
          <w:lang w:val="en-US"/>
          <w:rPrChange w:id="9" w:author="Alexandra Wæver" w:date="2025-02-20T09:51:00Z">
            <w:rPr>
              <w:sz w:val="24"/>
              <w:szCs w:val="24"/>
            </w:rPr>
          </w:rPrChange>
        </w:rPr>
      </w:pPr>
      <w:r w:rsidRPr="00833447">
        <w:rPr>
          <w:sz w:val="24"/>
          <w:szCs w:val="24"/>
          <w:lang w:val="en-US"/>
          <w:rPrChange w:id="10" w:author="Alexandra Wæver" w:date="2025-02-20T09:51:00Z">
            <w:rPr>
              <w:sz w:val="24"/>
              <w:szCs w:val="24"/>
            </w:rPr>
          </w:rPrChange>
        </w:rPr>
        <w:t>Triacetin</w:t>
      </w:r>
    </w:p>
    <w:p w:rsidR="00E54019" w:rsidRPr="00833447" w:rsidRDefault="00E54019" w:rsidP="00E54019">
      <w:pPr>
        <w:tabs>
          <w:tab w:val="left" w:pos="851"/>
        </w:tabs>
        <w:ind w:left="851"/>
        <w:rPr>
          <w:sz w:val="24"/>
          <w:szCs w:val="24"/>
          <w:lang w:val="en-US"/>
          <w:rPrChange w:id="11" w:author="Alexandra Wæver" w:date="2025-02-20T09:51:00Z">
            <w:rPr>
              <w:sz w:val="24"/>
              <w:szCs w:val="24"/>
            </w:rPr>
          </w:rPrChange>
        </w:rPr>
      </w:pPr>
      <w:r w:rsidRPr="00833447">
        <w:rPr>
          <w:sz w:val="24"/>
          <w:szCs w:val="24"/>
          <w:lang w:val="en-US"/>
          <w:rPrChange w:id="12" w:author="Alexandra Wæver" w:date="2025-02-20T09:51:00Z">
            <w:rPr>
              <w:sz w:val="24"/>
              <w:szCs w:val="24"/>
            </w:rPr>
          </w:rPrChange>
        </w:rPr>
        <w:t>Indigotin (E 132) aluminiumslak</w:t>
      </w:r>
    </w:p>
    <w:p w:rsidR="009260DE" w:rsidRPr="00833447" w:rsidRDefault="009260DE" w:rsidP="009260DE">
      <w:pPr>
        <w:tabs>
          <w:tab w:val="left" w:pos="851"/>
        </w:tabs>
        <w:ind w:left="851"/>
        <w:rPr>
          <w:sz w:val="24"/>
          <w:szCs w:val="24"/>
          <w:lang w:val="en-US"/>
          <w:rPrChange w:id="13" w:author="Alexandra Wæver" w:date="2025-02-20T09:51:00Z">
            <w:rPr>
              <w:sz w:val="24"/>
              <w:szCs w:val="24"/>
            </w:rPr>
          </w:rPrChange>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461009" w:rsidRPr="00461009" w:rsidRDefault="00461009" w:rsidP="00461009">
      <w:pPr>
        <w:tabs>
          <w:tab w:val="left" w:pos="851"/>
        </w:tabs>
        <w:ind w:left="851"/>
        <w:rPr>
          <w:sz w:val="24"/>
          <w:szCs w:val="24"/>
        </w:rPr>
      </w:pPr>
      <w:r w:rsidRPr="00461009">
        <w:rPr>
          <w:sz w:val="24"/>
          <w:szCs w:val="24"/>
        </w:rPr>
        <w:t>Ikke relevant</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Default="009260DE" w:rsidP="009260DE">
      <w:pPr>
        <w:tabs>
          <w:tab w:val="left" w:pos="851"/>
        </w:tabs>
        <w:ind w:left="851" w:hanging="851"/>
        <w:rPr>
          <w:sz w:val="24"/>
          <w:szCs w:val="24"/>
        </w:rPr>
      </w:pPr>
      <w:r w:rsidRPr="00C84483">
        <w:rPr>
          <w:sz w:val="24"/>
          <w:szCs w:val="24"/>
        </w:rPr>
        <w:tab/>
      </w:r>
      <w:r w:rsidR="00C95DD7">
        <w:rPr>
          <w:sz w:val="24"/>
          <w:szCs w:val="24"/>
        </w:rPr>
        <w:t xml:space="preserve">Beholder: </w:t>
      </w:r>
      <w:r w:rsidR="00461009">
        <w:rPr>
          <w:sz w:val="24"/>
          <w:szCs w:val="24"/>
        </w:rPr>
        <w:t>3 år.</w:t>
      </w:r>
      <w:r w:rsidR="00461009">
        <w:rPr>
          <w:sz w:val="24"/>
          <w:szCs w:val="24"/>
        </w:rPr>
        <w:tab/>
      </w:r>
    </w:p>
    <w:p w:rsidR="00C95DD7" w:rsidRPr="00C84483" w:rsidRDefault="00C95DD7" w:rsidP="009260DE">
      <w:pPr>
        <w:tabs>
          <w:tab w:val="left" w:pos="851"/>
        </w:tabs>
        <w:ind w:left="851" w:hanging="851"/>
        <w:rPr>
          <w:sz w:val="24"/>
          <w:szCs w:val="24"/>
        </w:rPr>
      </w:pPr>
      <w:r>
        <w:rPr>
          <w:sz w:val="24"/>
          <w:szCs w:val="24"/>
        </w:rPr>
        <w:tab/>
        <w:t>Blister: 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61009" w:rsidRPr="00461009" w:rsidRDefault="00461009" w:rsidP="00461009">
      <w:pPr>
        <w:tabs>
          <w:tab w:val="left" w:pos="851"/>
        </w:tabs>
        <w:ind w:left="851"/>
        <w:rPr>
          <w:sz w:val="24"/>
          <w:szCs w:val="24"/>
        </w:rPr>
      </w:pPr>
      <w:r w:rsidRPr="00461009">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w:t>
      </w:r>
      <w:r w:rsidR="00E54019">
        <w:rPr>
          <w:b/>
          <w:sz w:val="24"/>
          <w:szCs w:val="24"/>
        </w:rPr>
        <w:t xml:space="preserve"> </w:t>
      </w:r>
      <w:r w:rsidRPr="00C84483">
        <w:rPr>
          <w:b/>
          <w:sz w:val="24"/>
          <w:szCs w:val="24"/>
        </w:rPr>
        <w:t>og pakningsstørrelser</w:t>
      </w:r>
    </w:p>
    <w:p w:rsidR="00774536" w:rsidRPr="00774536" w:rsidRDefault="00774536" w:rsidP="00774536">
      <w:pPr>
        <w:tabs>
          <w:tab w:val="left" w:pos="851"/>
        </w:tabs>
        <w:ind w:left="851"/>
        <w:rPr>
          <w:sz w:val="24"/>
          <w:szCs w:val="24"/>
        </w:rPr>
      </w:pPr>
      <w:r w:rsidRPr="00774536">
        <w:rPr>
          <w:sz w:val="24"/>
          <w:szCs w:val="24"/>
        </w:rPr>
        <w:t>HDPE-beholder med børnesikret polypropylen (PP) låg: 9 tabletter</w:t>
      </w:r>
    </w:p>
    <w:p w:rsidR="00774536" w:rsidRPr="00774536" w:rsidRDefault="00774536" w:rsidP="00774536">
      <w:pPr>
        <w:tabs>
          <w:tab w:val="left" w:pos="851"/>
        </w:tabs>
        <w:ind w:left="851"/>
        <w:rPr>
          <w:sz w:val="24"/>
          <w:szCs w:val="24"/>
        </w:rPr>
      </w:pPr>
      <w:r w:rsidRPr="00774536">
        <w:rPr>
          <w:sz w:val="24"/>
          <w:szCs w:val="24"/>
        </w:rPr>
        <w:t xml:space="preserve">Hver beholder indeholder tørrekapsel med </w:t>
      </w:r>
      <w:proofErr w:type="spellStart"/>
      <w:r w:rsidRPr="00774536">
        <w:rPr>
          <w:sz w:val="24"/>
          <w:szCs w:val="24"/>
        </w:rPr>
        <w:t>silicagel</w:t>
      </w:r>
      <w:proofErr w:type="spellEnd"/>
      <w:r w:rsidRPr="00774536">
        <w:rPr>
          <w:sz w:val="24"/>
          <w:szCs w:val="24"/>
        </w:rPr>
        <w:t xml:space="preserve"> og en PET-spiral.</w:t>
      </w:r>
    </w:p>
    <w:p w:rsidR="00E54689" w:rsidRPr="00774536" w:rsidRDefault="00E54689" w:rsidP="00461009">
      <w:pPr>
        <w:tabs>
          <w:tab w:val="left" w:pos="851"/>
        </w:tabs>
        <w:ind w:left="851"/>
        <w:rPr>
          <w:sz w:val="24"/>
          <w:szCs w:val="24"/>
        </w:rPr>
      </w:pPr>
    </w:p>
    <w:p w:rsidR="00C95DD7" w:rsidRDefault="006B2ED9" w:rsidP="00461009">
      <w:pPr>
        <w:tabs>
          <w:tab w:val="left" w:pos="851"/>
        </w:tabs>
        <w:ind w:left="851"/>
        <w:rPr>
          <w:sz w:val="24"/>
          <w:szCs w:val="24"/>
        </w:rPr>
      </w:pPr>
      <w:r w:rsidRPr="00774536">
        <w:rPr>
          <w:sz w:val="24"/>
          <w:szCs w:val="24"/>
        </w:rPr>
        <w:t>PVC/Al/OPA/Al-</w:t>
      </w:r>
      <w:r w:rsidRPr="00AC30CA">
        <w:rPr>
          <w:sz w:val="24"/>
          <w:szCs w:val="24"/>
        </w:rPr>
        <w:t xml:space="preserve">blister: </w:t>
      </w:r>
      <w:r w:rsidRPr="00833447">
        <w:rPr>
          <w:sz w:val="24"/>
          <w:szCs w:val="24"/>
        </w:rPr>
        <w:t>3 og</w:t>
      </w:r>
      <w:r w:rsidRPr="00AC30CA">
        <w:rPr>
          <w:sz w:val="24"/>
          <w:szCs w:val="24"/>
        </w:rPr>
        <w:t xml:space="preserve"> </w:t>
      </w:r>
      <w:r w:rsidRPr="00AE5694">
        <w:rPr>
          <w:sz w:val="24"/>
          <w:szCs w:val="24"/>
        </w:rPr>
        <w:t>9 tabletter</w:t>
      </w:r>
    </w:p>
    <w:p w:rsidR="006B2ED9" w:rsidRDefault="006B2ED9" w:rsidP="00461009">
      <w:pPr>
        <w:tabs>
          <w:tab w:val="left" w:pos="851"/>
        </w:tabs>
        <w:ind w:left="851"/>
        <w:rPr>
          <w:sz w:val="24"/>
          <w:szCs w:val="24"/>
        </w:rPr>
      </w:pPr>
    </w:p>
    <w:p w:rsidR="00461009" w:rsidRPr="00461009" w:rsidRDefault="00461009" w:rsidP="00461009">
      <w:pPr>
        <w:tabs>
          <w:tab w:val="left" w:pos="851"/>
        </w:tabs>
        <w:ind w:left="851"/>
        <w:rPr>
          <w:sz w:val="24"/>
          <w:szCs w:val="24"/>
        </w:rPr>
      </w:pPr>
      <w:r w:rsidRPr="00461009">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54019">
        <w:rPr>
          <w:b/>
          <w:sz w:val="24"/>
          <w:szCs w:val="24"/>
        </w:rPr>
        <w:t>bortskaffelse</w:t>
      </w:r>
      <w:r w:rsidRPr="00C84483">
        <w:rPr>
          <w:b/>
          <w:sz w:val="24"/>
          <w:szCs w:val="24"/>
        </w:rPr>
        <w:t xml:space="preserve"> og anden håndtering</w:t>
      </w:r>
    </w:p>
    <w:p w:rsidR="00E54689" w:rsidRPr="00E54689" w:rsidRDefault="00E54689" w:rsidP="00E54689">
      <w:pPr>
        <w:tabs>
          <w:tab w:val="left" w:pos="851"/>
        </w:tabs>
        <w:ind w:left="851"/>
        <w:rPr>
          <w:sz w:val="24"/>
          <w:szCs w:val="24"/>
        </w:rPr>
      </w:pPr>
      <w:r w:rsidRPr="00E54689">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54689" w:rsidRPr="001832F1" w:rsidRDefault="00E54689" w:rsidP="00E54689">
      <w:pPr>
        <w:tabs>
          <w:tab w:val="left" w:pos="851"/>
        </w:tabs>
        <w:ind w:left="851"/>
        <w:rPr>
          <w:sz w:val="24"/>
          <w:szCs w:val="24"/>
        </w:rPr>
      </w:pPr>
      <w:r w:rsidRPr="001832F1">
        <w:rPr>
          <w:sz w:val="24"/>
          <w:szCs w:val="24"/>
        </w:rPr>
        <w:t>Orion Corporation</w:t>
      </w:r>
    </w:p>
    <w:p w:rsidR="00E54689" w:rsidRPr="001832F1" w:rsidRDefault="00E54689" w:rsidP="00E54689">
      <w:pPr>
        <w:tabs>
          <w:tab w:val="left" w:pos="851"/>
        </w:tabs>
        <w:ind w:left="851"/>
        <w:rPr>
          <w:sz w:val="24"/>
          <w:szCs w:val="24"/>
        </w:rPr>
      </w:pPr>
      <w:proofErr w:type="spellStart"/>
      <w:r w:rsidRPr="001832F1">
        <w:rPr>
          <w:sz w:val="24"/>
          <w:szCs w:val="24"/>
        </w:rPr>
        <w:t>Orionintie</w:t>
      </w:r>
      <w:proofErr w:type="spellEnd"/>
      <w:r w:rsidRPr="001832F1">
        <w:rPr>
          <w:sz w:val="24"/>
          <w:szCs w:val="24"/>
        </w:rPr>
        <w:t xml:space="preserve"> 1 </w:t>
      </w:r>
    </w:p>
    <w:p w:rsidR="00E54689" w:rsidRPr="00833447" w:rsidRDefault="00E54689" w:rsidP="00E54689">
      <w:pPr>
        <w:tabs>
          <w:tab w:val="left" w:pos="851"/>
        </w:tabs>
        <w:ind w:left="851"/>
        <w:rPr>
          <w:sz w:val="24"/>
          <w:szCs w:val="24"/>
          <w:lang w:val="en-US"/>
          <w:rPrChange w:id="14" w:author="Alexandra Wæver" w:date="2025-02-20T09:51:00Z">
            <w:rPr>
              <w:sz w:val="24"/>
              <w:szCs w:val="24"/>
            </w:rPr>
          </w:rPrChange>
        </w:rPr>
      </w:pPr>
      <w:r w:rsidRPr="00833447">
        <w:rPr>
          <w:sz w:val="24"/>
          <w:szCs w:val="24"/>
          <w:lang w:val="en-US"/>
          <w:rPrChange w:id="15" w:author="Alexandra Wæver" w:date="2025-02-20T09:51:00Z">
            <w:rPr>
              <w:sz w:val="24"/>
              <w:szCs w:val="24"/>
            </w:rPr>
          </w:rPrChange>
        </w:rPr>
        <w:t>FI-02200 Espoo</w:t>
      </w:r>
    </w:p>
    <w:p w:rsidR="00E54689" w:rsidRPr="00E54689" w:rsidRDefault="00E54689" w:rsidP="00E54689">
      <w:pPr>
        <w:tabs>
          <w:tab w:val="left" w:pos="851"/>
        </w:tabs>
        <w:ind w:left="851"/>
        <w:rPr>
          <w:sz w:val="24"/>
          <w:szCs w:val="24"/>
          <w:lang w:val="sv-SE"/>
        </w:rPr>
      </w:pPr>
      <w:r w:rsidRPr="00E54689">
        <w:rPr>
          <w:sz w:val="24"/>
          <w:szCs w:val="24"/>
          <w:lang w:val="sv-SE"/>
        </w:rPr>
        <w:t>Finland</w:t>
      </w:r>
    </w:p>
    <w:p w:rsidR="00E54689" w:rsidRPr="00E54689" w:rsidRDefault="00E54689" w:rsidP="00E54689">
      <w:pPr>
        <w:tabs>
          <w:tab w:val="left" w:pos="851"/>
        </w:tabs>
        <w:ind w:left="851"/>
        <w:rPr>
          <w:sz w:val="24"/>
          <w:szCs w:val="24"/>
          <w:lang w:val="sv-SE"/>
        </w:rPr>
      </w:pPr>
    </w:p>
    <w:p w:rsidR="00E54689" w:rsidRPr="00833447" w:rsidRDefault="00E54689" w:rsidP="00E54689">
      <w:pPr>
        <w:tabs>
          <w:tab w:val="left" w:pos="851"/>
        </w:tabs>
        <w:ind w:left="851"/>
        <w:rPr>
          <w:b/>
          <w:sz w:val="24"/>
          <w:szCs w:val="24"/>
          <w:lang w:val="en-US"/>
          <w:rPrChange w:id="16" w:author="Alexandra Wæver" w:date="2025-02-20T09:51:00Z">
            <w:rPr>
              <w:b/>
              <w:sz w:val="24"/>
              <w:szCs w:val="24"/>
            </w:rPr>
          </w:rPrChange>
        </w:rPr>
      </w:pPr>
      <w:r w:rsidRPr="00833447">
        <w:rPr>
          <w:b/>
          <w:sz w:val="24"/>
          <w:szCs w:val="24"/>
          <w:lang w:val="en-US"/>
          <w:rPrChange w:id="17" w:author="Alexandra Wæver" w:date="2025-02-20T09:51:00Z">
            <w:rPr>
              <w:b/>
              <w:sz w:val="24"/>
              <w:szCs w:val="24"/>
            </w:rPr>
          </w:rPrChange>
        </w:rPr>
        <w:t>Repræsentant</w:t>
      </w:r>
    </w:p>
    <w:p w:rsidR="00E54689" w:rsidRPr="00833447" w:rsidRDefault="00E54689" w:rsidP="00E54689">
      <w:pPr>
        <w:tabs>
          <w:tab w:val="left" w:pos="851"/>
        </w:tabs>
        <w:ind w:left="851"/>
        <w:rPr>
          <w:sz w:val="24"/>
          <w:szCs w:val="24"/>
          <w:lang w:val="en-US"/>
          <w:rPrChange w:id="18" w:author="Alexandra Wæver" w:date="2025-02-20T09:51:00Z">
            <w:rPr>
              <w:sz w:val="24"/>
              <w:szCs w:val="24"/>
            </w:rPr>
          </w:rPrChange>
        </w:rPr>
      </w:pPr>
      <w:r w:rsidRPr="00833447">
        <w:rPr>
          <w:sz w:val="24"/>
          <w:szCs w:val="24"/>
          <w:lang w:val="en-US"/>
          <w:rPrChange w:id="19" w:author="Alexandra Wæver" w:date="2025-02-20T09:51:00Z">
            <w:rPr>
              <w:sz w:val="24"/>
              <w:szCs w:val="24"/>
            </w:rPr>
          </w:rPrChange>
        </w:rPr>
        <w:t>Orion Pharma A/S</w:t>
      </w:r>
    </w:p>
    <w:p w:rsidR="00E54689" w:rsidRPr="00E54689" w:rsidRDefault="00E54689" w:rsidP="00E54689">
      <w:pPr>
        <w:tabs>
          <w:tab w:val="left" w:pos="851"/>
        </w:tabs>
        <w:ind w:left="851"/>
        <w:rPr>
          <w:bCs/>
          <w:sz w:val="24"/>
          <w:szCs w:val="24"/>
        </w:rPr>
      </w:pPr>
      <w:r w:rsidRPr="00E54689">
        <w:rPr>
          <w:bCs/>
          <w:sz w:val="24"/>
          <w:szCs w:val="24"/>
        </w:rPr>
        <w:t>Ørestads Boulevard 73</w:t>
      </w:r>
    </w:p>
    <w:p w:rsidR="00E54689" w:rsidRPr="00E54689" w:rsidRDefault="00E54689" w:rsidP="00E54689">
      <w:pPr>
        <w:tabs>
          <w:tab w:val="left" w:pos="851"/>
        </w:tabs>
        <w:ind w:left="851"/>
        <w:rPr>
          <w:bCs/>
          <w:sz w:val="24"/>
          <w:szCs w:val="24"/>
        </w:rPr>
      </w:pPr>
      <w:r w:rsidRPr="00E54689">
        <w:rPr>
          <w:sz w:val="24"/>
          <w:szCs w:val="24"/>
        </w:rPr>
        <w:t>2300 København 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 xml:space="preserve">MARKEDSFØRINGSTILLADELSESNUMMER </w:t>
      </w:r>
      <w:r w:rsidR="00E54019">
        <w:rPr>
          <w:b/>
          <w:sz w:val="24"/>
          <w:szCs w:val="24"/>
        </w:rPr>
        <w:t>-</w:t>
      </w:r>
      <w:r w:rsidRPr="00C84483">
        <w:rPr>
          <w:b/>
          <w:sz w:val="24"/>
          <w:szCs w:val="24"/>
        </w:rPr>
        <w:t>(NUMRE)</w:t>
      </w:r>
    </w:p>
    <w:p w:rsidR="009260DE" w:rsidRPr="00C84483" w:rsidRDefault="004A2C9E" w:rsidP="009260DE">
      <w:pPr>
        <w:tabs>
          <w:tab w:val="left" w:pos="851"/>
        </w:tabs>
        <w:ind w:left="851"/>
        <w:rPr>
          <w:sz w:val="24"/>
          <w:szCs w:val="24"/>
        </w:rPr>
      </w:pPr>
      <w:r>
        <w:rPr>
          <w:sz w:val="24"/>
          <w:szCs w:val="24"/>
        </w:rPr>
        <w:t>65618</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B2733D" w:rsidP="009260DE">
      <w:pPr>
        <w:tabs>
          <w:tab w:val="left" w:pos="851"/>
        </w:tabs>
        <w:ind w:left="851"/>
        <w:rPr>
          <w:sz w:val="24"/>
          <w:szCs w:val="24"/>
        </w:rPr>
      </w:pPr>
      <w:r>
        <w:rPr>
          <w:sz w:val="24"/>
          <w:szCs w:val="24"/>
        </w:rPr>
        <w:t>21. juni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C11A2" w:rsidP="009260DE">
      <w:pPr>
        <w:tabs>
          <w:tab w:val="left" w:pos="851"/>
        </w:tabs>
        <w:ind w:left="851"/>
        <w:rPr>
          <w:sz w:val="24"/>
          <w:szCs w:val="24"/>
        </w:rPr>
      </w:pPr>
      <w:r>
        <w:rPr>
          <w:sz w:val="24"/>
          <w:szCs w:val="24"/>
        </w:rPr>
        <w:t>2</w:t>
      </w:r>
      <w:r w:rsidR="006B2ED9">
        <w:rPr>
          <w:sz w:val="24"/>
          <w:szCs w:val="24"/>
        </w:rPr>
        <w:t>0. februar</w:t>
      </w:r>
      <w:r w:rsidR="00E54019">
        <w:rPr>
          <w:sz w:val="24"/>
          <w:szCs w:val="24"/>
        </w:rPr>
        <w:t xml:space="preserve"> 202</w:t>
      </w:r>
      <w:r>
        <w:rPr>
          <w:sz w:val="24"/>
          <w:szCs w:val="24"/>
        </w:rPr>
        <w:t>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7FB" w:rsidRDefault="00AA27FB">
      <w:r>
        <w:separator/>
      </w:r>
    </w:p>
  </w:endnote>
  <w:endnote w:type="continuationSeparator" w:id="0">
    <w:p w:rsidR="00AA27FB" w:rsidRDefault="00AA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4421" w:rsidRDefault="00334421">
    <w:pPr>
      <w:pStyle w:val="Sidefod"/>
      <w:pBdr>
        <w:bottom w:val="single" w:sz="6" w:space="1" w:color="auto"/>
      </w:pBdr>
    </w:pPr>
  </w:p>
  <w:p w:rsidR="00334421" w:rsidRDefault="00334421" w:rsidP="00C42586">
    <w:pPr>
      <w:pStyle w:val="Sidefod"/>
      <w:tabs>
        <w:tab w:val="clear" w:pos="4819"/>
        <w:tab w:val="left" w:pos="8505"/>
      </w:tabs>
      <w:rPr>
        <w:i/>
        <w:sz w:val="18"/>
        <w:szCs w:val="18"/>
      </w:rPr>
    </w:pPr>
  </w:p>
  <w:p w:rsidR="00334421" w:rsidRPr="00B373D7" w:rsidRDefault="0033442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Nomigrin, filmovertrukne tabletter 85+500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7FB" w:rsidRDefault="00AA27FB">
      <w:r>
        <w:separator/>
      </w:r>
    </w:p>
  </w:footnote>
  <w:footnote w:type="continuationSeparator" w:id="0">
    <w:p w:rsidR="00AA27FB" w:rsidRDefault="00AA2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B7277D"/>
    <w:multiLevelType w:val="hybridMultilevel"/>
    <w:tmpl w:val="620CFC6C"/>
    <w:lvl w:ilvl="0" w:tplc="611E55B4">
      <w:start w:val="4"/>
      <w:numFmt w:val="bullet"/>
      <w:lvlText w:val=""/>
      <w:lvlJc w:val="left"/>
      <w:pPr>
        <w:ind w:left="1211" w:hanging="360"/>
      </w:pPr>
      <w:rPr>
        <w:rFonts w:ascii="Symbol" w:eastAsia="Times New Roman" w:hAnsi="Symbol"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a Wæver">
    <w15:presenceInfo w15:providerId="AD" w15:userId="S-1-5-21-1561890833-3024751743-706528185-16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AC"/>
    <w:rsid w:val="00007AB0"/>
    <w:rsid w:val="000259B9"/>
    <w:rsid w:val="00041491"/>
    <w:rsid w:val="00050D16"/>
    <w:rsid w:val="000730CA"/>
    <w:rsid w:val="00074F2A"/>
    <w:rsid w:val="00096620"/>
    <w:rsid w:val="000A1CA8"/>
    <w:rsid w:val="000A466B"/>
    <w:rsid w:val="000B058C"/>
    <w:rsid w:val="000E4EE6"/>
    <w:rsid w:val="00137E44"/>
    <w:rsid w:val="001454E2"/>
    <w:rsid w:val="001832F1"/>
    <w:rsid w:val="001F6784"/>
    <w:rsid w:val="00206CE8"/>
    <w:rsid w:val="0021526C"/>
    <w:rsid w:val="00283A2B"/>
    <w:rsid w:val="002B30AD"/>
    <w:rsid w:val="002C2C01"/>
    <w:rsid w:val="00304F95"/>
    <w:rsid w:val="00311BB9"/>
    <w:rsid w:val="00334421"/>
    <w:rsid w:val="00346AC1"/>
    <w:rsid w:val="003615E9"/>
    <w:rsid w:val="00384D47"/>
    <w:rsid w:val="003A29AE"/>
    <w:rsid w:val="003A32D7"/>
    <w:rsid w:val="003B4074"/>
    <w:rsid w:val="003C769A"/>
    <w:rsid w:val="003F1838"/>
    <w:rsid w:val="0045746C"/>
    <w:rsid w:val="00461009"/>
    <w:rsid w:val="0049104B"/>
    <w:rsid w:val="004A2C9E"/>
    <w:rsid w:val="004E3B12"/>
    <w:rsid w:val="00532310"/>
    <w:rsid w:val="00565F0F"/>
    <w:rsid w:val="00594A86"/>
    <w:rsid w:val="00596D86"/>
    <w:rsid w:val="005A6821"/>
    <w:rsid w:val="00615B15"/>
    <w:rsid w:val="006371A2"/>
    <w:rsid w:val="00637F5A"/>
    <w:rsid w:val="00650F06"/>
    <w:rsid w:val="006560B1"/>
    <w:rsid w:val="006756DD"/>
    <w:rsid w:val="006B2ED9"/>
    <w:rsid w:val="006E533A"/>
    <w:rsid w:val="006F7EBB"/>
    <w:rsid w:val="00715ED0"/>
    <w:rsid w:val="00737275"/>
    <w:rsid w:val="00740EEC"/>
    <w:rsid w:val="007564CF"/>
    <w:rsid w:val="00766291"/>
    <w:rsid w:val="00774536"/>
    <w:rsid w:val="0078011A"/>
    <w:rsid w:val="00782AF4"/>
    <w:rsid w:val="00785536"/>
    <w:rsid w:val="00787342"/>
    <w:rsid w:val="00790EE7"/>
    <w:rsid w:val="007B6649"/>
    <w:rsid w:val="007C773B"/>
    <w:rsid w:val="0082576E"/>
    <w:rsid w:val="00832A97"/>
    <w:rsid w:val="00833447"/>
    <w:rsid w:val="008E5254"/>
    <w:rsid w:val="00907F75"/>
    <w:rsid w:val="009260DE"/>
    <w:rsid w:val="0093258A"/>
    <w:rsid w:val="009B63E9"/>
    <w:rsid w:val="009C7BA3"/>
    <w:rsid w:val="009D1F5A"/>
    <w:rsid w:val="009D7EC3"/>
    <w:rsid w:val="00A10294"/>
    <w:rsid w:val="00A31D52"/>
    <w:rsid w:val="00A56A64"/>
    <w:rsid w:val="00AA27FB"/>
    <w:rsid w:val="00AC30CA"/>
    <w:rsid w:val="00AE5694"/>
    <w:rsid w:val="00B003BF"/>
    <w:rsid w:val="00B1613B"/>
    <w:rsid w:val="00B2733D"/>
    <w:rsid w:val="00B373D7"/>
    <w:rsid w:val="00B514E1"/>
    <w:rsid w:val="00B622B6"/>
    <w:rsid w:val="00BB1372"/>
    <w:rsid w:val="00C36276"/>
    <w:rsid w:val="00C42586"/>
    <w:rsid w:val="00C44445"/>
    <w:rsid w:val="00C60CCD"/>
    <w:rsid w:val="00C84483"/>
    <w:rsid w:val="00C95551"/>
    <w:rsid w:val="00C95DD7"/>
    <w:rsid w:val="00CB20D7"/>
    <w:rsid w:val="00CC11A2"/>
    <w:rsid w:val="00CD2582"/>
    <w:rsid w:val="00D020B0"/>
    <w:rsid w:val="00D11748"/>
    <w:rsid w:val="00D2268D"/>
    <w:rsid w:val="00D366CF"/>
    <w:rsid w:val="00D82069"/>
    <w:rsid w:val="00DB4A9D"/>
    <w:rsid w:val="00DC6EF5"/>
    <w:rsid w:val="00E0361F"/>
    <w:rsid w:val="00E108AA"/>
    <w:rsid w:val="00E3749A"/>
    <w:rsid w:val="00E411F2"/>
    <w:rsid w:val="00E54019"/>
    <w:rsid w:val="00E54689"/>
    <w:rsid w:val="00E7437F"/>
    <w:rsid w:val="00E849AC"/>
    <w:rsid w:val="00E865B8"/>
    <w:rsid w:val="00EC0B9B"/>
    <w:rsid w:val="00EC54A3"/>
    <w:rsid w:val="00ED5E9F"/>
    <w:rsid w:val="00F66D4F"/>
    <w:rsid w:val="00FB6D01"/>
    <w:rsid w:val="00FC0F38"/>
    <w:rsid w:val="00FE00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165ED-7563-4B9F-A118-F0AAC8B3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401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3Tegn">
    <w:name w:val="Overskrift 3 Tegn"/>
    <w:basedOn w:val="Standardskrifttypeiafsnit"/>
    <w:link w:val="Overskrift3"/>
    <w:rsid w:val="00650F06"/>
    <w:rPr>
      <w:rFonts w:ascii="Arial" w:hAnsi="Arial"/>
      <w:sz w:val="24"/>
      <w:lang w:eastAsia="en-US"/>
    </w:rPr>
  </w:style>
  <w:style w:type="character" w:styleId="Hyperlink">
    <w:name w:val="Hyperlink"/>
    <w:uiPriority w:val="99"/>
    <w:unhideWhenUsed/>
    <w:rsid w:val="00650F06"/>
    <w:rPr>
      <w:color w:val="0563C1"/>
      <w:u w:val="single"/>
    </w:rPr>
  </w:style>
  <w:style w:type="character" w:styleId="Ulstomtale">
    <w:name w:val="Unresolved Mention"/>
    <w:basedOn w:val="Standardskrifttypeiafsnit"/>
    <w:uiPriority w:val="99"/>
    <w:semiHidden/>
    <w:unhideWhenUsed/>
    <w:rsid w:val="00E54019"/>
    <w:rPr>
      <w:color w:val="605E5C"/>
      <w:shd w:val="clear" w:color="auto" w:fill="E1DFDD"/>
    </w:rPr>
  </w:style>
  <w:style w:type="table" w:styleId="Tabel-Gitter">
    <w:name w:val="Table Grid"/>
    <w:basedOn w:val="Tabel-Normal"/>
    <w:uiPriority w:val="59"/>
    <w:rsid w:val="00334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27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8367052">
      <w:bodyDiv w:val="1"/>
      <w:marLeft w:val="0"/>
      <w:marRight w:val="0"/>
      <w:marTop w:val="0"/>
      <w:marBottom w:val="0"/>
      <w:divBdr>
        <w:top w:val="none" w:sz="0" w:space="0" w:color="auto"/>
        <w:left w:val="none" w:sz="0" w:space="0" w:color="auto"/>
        <w:bottom w:val="none" w:sz="0" w:space="0" w:color="auto"/>
        <w:right w:val="none" w:sz="0" w:space="0" w:color="auto"/>
      </w:divBdr>
    </w:div>
    <w:div w:id="241648541">
      <w:bodyDiv w:val="1"/>
      <w:marLeft w:val="0"/>
      <w:marRight w:val="0"/>
      <w:marTop w:val="0"/>
      <w:marBottom w:val="0"/>
      <w:divBdr>
        <w:top w:val="none" w:sz="0" w:space="0" w:color="auto"/>
        <w:left w:val="none" w:sz="0" w:space="0" w:color="auto"/>
        <w:bottom w:val="none" w:sz="0" w:space="0" w:color="auto"/>
        <w:right w:val="none" w:sz="0" w:space="0" w:color="auto"/>
      </w:divBdr>
    </w:div>
    <w:div w:id="331417498">
      <w:bodyDiv w:val="1"/>
      <w:marLeft w:val="0"/>
      <w:marRight w:val="0"/>
      <w:marTop w:val="0"/>
      <w:marBottom w:val="0"/>
      <w:divBdr>
        <w:top w:val="none" w:sz="0" w:space="0" w:color="auto"/>
        <w:left w:val="none" w:sz="0" w:space="0" w:color="auto"/>
        <w:bottom w:val="none" w:sz="0" w:space="0" w:color="auto"/>
        <w:right w:val="none" w:sz="0" w:space="0" w:color="auto"/>
      </w:divBdr>
    </w:div>
    <w:div w:id="340395712">
      <w:bodyDiv w:val="1"/>
      <w:marLeft w:val="0"/>
      <w:marRight w:val="0"/>
      <w:marTop w:val="0"/>
      <w:marBottom w:val="0"/>
      <w:divBdr>
        <w:top w:val="none" w:sz="0" w:space="0" w:color="auto"/>
        <w:left w:val="none" w:sz="0" w:space="0" w:color="auto"/>
        <w:bottom w:val="none" w:sz="0" w:space="0" w:color="auto"/>
        <w:right w:val="none" w:sz="0" w:space="0" w:color="auto"/>
      </w:divBdr>
    </w:div>
    <w:div w:id="345332361">
      <w:bodyDiv w:val="1"/>
      <w:marLeft w:val="0"/>
      <w:marRight w:val="0"/>
      <w:marTop w:val="0"/>
      <w:marBottom w:val="0"/>
      <w:divBdr>
        <w:top w:val="none" w:sz="0" w:space="0" w:color="auto"/>
        <w:left w:val="none" w:sz="0" w:space="0" w:color="auto"/>
        <w:bottom w:val="none" w:sz="0" w:space="0" w:color="auto"/>
        <w:right w:val="none" w:sz="0" w:space="0" w:color="auto"/>
      </w:divBdr>
    </w:div>
    <w:div w:id="410468313">
      <w:bodyDiv w:val="1"/>
      <w:marLeft w:val="0"/>
      <w:marRight w:val="0"/>
      <w:marTop w:val="0"/>
      <w:marBottom w:val="0"/>
      <w:divBdr>
        <w:top w:val="none" w:sz="0" w:space="0" w:color="auto"/>
        <w:left w:val="none" w:sz="0" w:space="0" w:color="auto"/>
        <w:bottom w:val="none" w:sz="0" w:space="0" w:color="auto"/>
        <w:right w:val="none" w:sz="0" w:space="0" w:color="auto"/>
      </w:divBdr>
    </w:div>
    <w:div w:id="433132315">
      <w:bodyDiv w:val="1"/>
      <w:marLeft w:val="0"/>
      <w:marRight w:val="0"/>
      <w:marTop w:val="0"/>
      <w:marBottom w:val="0"/>
      <w:divBdr>
        <w:top w:val="none" w:sz="0" w:space="0" w:color="auto"/>
        <w:left w:val="none" w:sz="0" w:space="0" w:color="auto"/>
        <w:bottom w:val="none" w:sz="0" w:space="0" w:color="auto"/>
        <w:right w:val="none" w:sz="0" w:space="0" w:color="auto"/>
      </w:divBdr>
    </w:div>
    <w:div w:id="441803040">
      <w:bodyDiv w:val="1"/>
      <w:marLeft w:val="0"/>
      <w:marRight w:val="0"/>
      <w:marTop w:val="0"/>
      <w:marBottom w:val="0"/>
      <w:divBdr>
        <w:top w:val="none" w:sz="0" w:space="0" w:color="auto"/>
        <w:left w:val="none" w:sz="0" w:space="0" w:color="auto"/>
        <w:bottom w:val="none" w:sz="0" w:space="0" w:color="auto"/>
        <w:right w:val="none" w:sz="0" w:space="0" w:color="auto"/>
      </w:divBdr>
    </w:div>
    <w:div w:id="452868522">
      <w:bodyDiv w:val="1"/>
      <w:marLeft w:val="0"/>
      <w:marRight w:val="0"/>
      <w:marTop w:val="0"/>
      <w:marBottom w:val="0"/>
      <w:divBdr>
        <w:top w:val="none" w:sz="0" w:space="0" w:color="auto"/>
        <w:left w:val="none" w:sz="0" w:space="0" w:color="auto"/>
        <w:bottom w:val="none" w:sz="0" w:space="0" w:color="auto"/>
        <w:right w:val="none" w:sz="0" w:space="0" w:color="auto"/>
      </w:divBdr>
    </w:div>
    <w:div w:id="474296582">
      <w:bodyDiv w:val="1"/>
      <w:marLeft w:val="0"/>
      <w:marRight w:val="0"/>
      <w:marTop w:val="0"/>
      <w:marBottom w:val="0"/>
      <w:divBdr>
        <w:top w:val="none" w:sz="0" w:space="0" w:color="auto"/>
        <w:left w:val="none" w:sz="0" w:space="0" w:color="auto"/>
        <w:bottom w:val="none" w:sz="0" w:space="0" w:color="auto"/>
        <w:right w:val="none" w:sz="0" w:space="0" w:color="auto"/>
      </w:divBdr>
    </w:div>
    <w:div w:id="478957093">
      <w:bodyDiv w:val="1"/>
      <w:marLeft w:val="0"/>
      <w:marRight w:val="0"/>
      <w:marTop w:val="0"/>
      <w:marBottom w:val="0"/>
      <w:divBdr>
        <w:top w:val="none" w:sz="0" w:space="0" w:color="auto"/>
        <w:left w:val="none" w:sz="0" w:space="0" w:color="auto"/>
        <w:bottom w:val="none" w:sz="0" w:space="0" w:color="auto"/>
        <w:right w:val="none" w:sz="0" w:space="0" w:color="auto"/>
      </w:divBdr>
    </w:div>
    <w:div w:id="479006442">
      <w:bodyDiv w:val="1"/>
      <w:marLeft w:val="0"/>
      <w:marRight w:val="0"/>
      <w:marTop w:val="0"/>
      <w:marBottom w:val="0"/>
      <w:divBdr>
        <w:top w:val="none" w:sz="0" w:space="0" w:color="auto"/>
        <w:left w:val="none" w:sz="0" w:space="0" w:color="auto"/>
        <w:bottom w:val="none" w:sz="0" w:space="0" w:color="auto"/>
        <w:right w:val="none" w:sz="0" w:space="0" w:color="auto"/>
      </w:divBdr>
    </w:div>
    <w:div w:id="505872554">
      <w:bodyDiv w:val="1"/>
      <w:marLeft w:val="0"/>
      <w:marRight w:val="0"/>
      <w:marTop w:val="0"/>
      <w:marBottom w:val="0"/>
      <w:divBdr>
        <w:top w:val="none" w:sz="0" w:space="0" w:color="auto"/>
        <w:left w:val="none" w:sz="0" w:space="0" w:color="auto"/>
        <w:bottom w:val="none" w:sz="0" w:space="0" w:color="auto"/>
        <w:right w:val="none" w:sz="0" w:space="0" w:color="auto"/>
      </w:divBdr>
    </w:div>
    <w:div w:id="585070090">
      <w:bodyDiv w:val="1"/>
      <w:marLeft w:val="0"/>
      <w:marRight w:val="0"/>
      <w:marTop w:val="0"/>
      <w:marBottom w:val="0"/>
      <w:divBdr>
        <w:top w:val="none" w:sz="0" w:space="0" w:color="auto"/>
        <w:left w:val="none" w:sz="0" w:space="0" w:color="auto"/>
        <w:bottom w:val="none" w:sz="0" w:space="0" w:color="auto"/>
        <w:right w:val="none" w:sz="0" w:space="0" w:color="auto"/>
      </w:divBdr>
    </w:div>
    <w:div w:id="594940221">
      <w:bodyDiv w:val="1"/>
      <w:marLeft w:val="0"/>
      <w:marRight w:val="0"/>
      <w:marTop w:val="0"/>
      <w:marBottom w:val="0"/>
      <w:divBdr>
        <w:top w:val="none" w:sz="0" w:space="0" w:color="auto"/>
        <w:left w:val="none" w:sz="0" w:space="0" w:color="auto"/>
        <w:bottom w:val="none" w:sz="0" w:space="0" w:color="auto"/>
        <w:right w:val="none" w:sz="0" w:space="0" w:color="auto"/>
      </w:divBdr>
    </w:div>
    <w:div w:id="677541710">
      <w:bodyDiv w:val="1"/>
      <w:marLeft w:val="0"/>
      <w:marRight w:val="0"/>
      <w:marTop w:val="0"/>
      <w:marBottom w:val="0"/>
      <w:divBdr>
        <w:top w:val="none" w:sz="0" w:space="0" w:color="auto"/>
        <w:left w:val="none" w:sz="0" w:space="0" w:color="auto"/>
        <w:bottom w:val="none" w:sz="0" w:space="0" w:color="auto"/>
        <w:right w:val="none" w:sz="0" w:space="0" w:color="auto"/>
      </w:divBdr>
    </w:div>
    <w:div w:id="790980024">
      <w:bodyDiv w:val="1"/>
      <w:marLeft w:val="0"/>
      <w:marRight w:val="0"/>
      <w:marTop w:val="0"/>
      <w:marBottom w:val="0"/>
      <w:divBdr>
        <w:top w:val="none" w:sz="0" w:space="0" w:color="auto"/>
        <w:left w:val="none" w:sz="0" w:space="0" w:color="auto"/>
        <w:bottom w:val="none" w:sz="0" w:space="0" w:color="auto"/>
        <w:right w:val="none" w:sz="0" w:space="0" w:color="auto"/>
      </w:divBdr>
    </w:div>
    <w:div w:id="817306077">
      <w:bodyDiv w:val="1"/>
      <w:marLeft w:val="0"/>
      <w:marRight w:val="0"/>
      <w:marTop w:val="0"/>
      <w:marBottom w:val="0"/>
      <w:divBdr>
        <w:top w:val="none" w:sz="0" w:space="0" w:color="auto"/>
        <w:left w:val="none" w:sz="0" w:space="0" w:color="auto"/>
        <w:bottom w:val="none" w:sz="0" w:space="0" w:color="auto"/>
        <w:right w:val="none" w:sz="0" w:space="0" w:color="auto"/>
      </w:divBdr>
    </w:div>
    <w:div w:id="907304518">
      <w:bodyDiv w:val="1"/>
      <w:marLeft w:val="0"/>
      <w:marRight w:val="0"/>
      <w:marTop w:val="0"/>
      <w:marBottom w:val="0"/>
      <w:divBdr>
        <w:top w:val="none" w:sz="0" w:space="0" w:color="auto"/>
        <w:left w:val="none" w:sz="0" w:space="0" w:color="auto"/>
        <w:bottom w:val="none" w:sz="0" w:space="0" w:color="auto"/>
        <w:right w:val="none" w:sz="0" w:space="0" w:color="auto"/>
      </w:divBdr>
    </w:div>
    <w:div w:id="1010255282">
      <w:bodyDiv w:val="1"/>
      <w:marLeft w:val="0"/>
      <w:marRight w:val="0"/>
      <w:marTop w:val="0"/>
      <w:marBottom w:val="0"/>
      <w:divBdr>
        <w:top w:val="none" w:sz="0" w:space="0" w:color="auto"/>
        <w:left w:val="none" w:sz="0" w:space="0" w:color="auto"/>
        <w:bottom w:val="none" w:sz="0" w:space="0" w:color="auto"/>
        <w:right w:val="none" w:sz="0" w:space="0" w:color="auto"/>
      </w:divBdr>
    </w:div>
    <w:div w:id="1167594183">
      <w:bodyDiv w:val="1"/>
      <w:marLeft w:val="0"/>
      <w:marRight w:val="0"/>
      <w:marTop w:val="0"/>
      <w:marBottom w:val="0"/>
      <w:divBdr>
        <w:top w:val="none" w:sz="0" w:space="0" w:color="auto"/>
        <w:left w:val="none" w:sz="0" w:space="0" w:color="auto"/>
        <w:bottom w:val="none" w:sz="0" w:space="0" w:color="auto"/>
        <w:right w:val="none" w:sz="0" w:space="0" w:color="auto"/>
      </w:divBdr>
    </w:div>
    <w:div w:id="1221597434">
      <w:bodyDiv w:val="1"/>
      <w:marLeft w:val="0"/>
      <w:marRight w:val="0"/>
      <w:marTop w:val="0"/>
      <w:marBottom w:val="0"/>
      <w:divBdr>
        <w:top w:val="none" w:sz="0" w:space="0" w:color="auto"/>
        <w:left w:val="none" w:sz="0" w:space="0" w:color="auto"/>
        <w:bottom w:val="none" w:sz="0" w:space="0" w:color="auto"/>
        <w:right w:val="none" w:sz="0" w:space="0" w:color="auto"/>
      </w:divBdr>
    </w:div>
    <w:div w:id="1254780529">
      <w:bodyDiv w:val="1"/>
      <w:marLeft w:val="0"/>
      <w:marRight w:val="0"/>
      <w:marTop w:val="0"/>
      <w:marBottom w:val="0"/>
      <w:divBdr>
        <w:top w:val="none" w:sz="0" w:space="0" w:color="auto"/>
        <w:left w:val="none" w:sz="0" w:space="0" w:color="auto"/>
        <w:bottom w:val="none" w:sz="0" w:space="0" w:color="auto"/>
        <w:right w:val="none" w:sz="0" w:space="0" w:color="auto"/>
      </w:divBdr>
    </w:div>
    <w:div w:id="1281571289">
      <w:bodyDiv w:val="1"/>
      <w:marLeft w:val="0"/>
      <w:marRight w:val="0"/>
      <w:marTop w:val="0"/>
      <w:marBottom w:val="0"/>
      <w:divBdr>
        <w:top w:val="none" w:sz="0" w:space="0" w:color="auto"/>
        <w:left w:val="none" w:sz="0" w:space="0" w:color="auto"/>
        <w:bottom w:val="none" w:sz="0" w:space="0" w:color="auto"/>
        <w:right w:val="none" w:sz="0" w:space="0" w:color="auto"/>
      </w:divBdr>
    </w:div>
    <w:div w:id="1293633923">
      <w:bodyDiv w:val="1"/>
      <w:marLeft w:val="0"/>
      <w:marRight w:val="0"/>
      <w:marTop w:val="0"/>
      <w:marBottom w:val="0"/>
      <w:divBdr>
        <w:top w:val="none" w:sz="0" w:space="0" w:color="auto"/>
        <w:left w:val="none" w:sz="0" w:space="0" w:color="auto"/>
        <w:bottom w:val="none" w:sz="0" w:space="0" w:color="auto"/>
        <w:right w:val="none" w:sz="0" w:space="0" w:color="auto"/>
      </w:divBdr>
    </w:div>
    <w:div w:id="1321810968">
      <w:bodyDiv w:val="1"/>
      <w:marLeft w:val="0"/>
      <w:marRight w:val="0"/>
      <w:marTop w:val="0"/>
      <w:marBottom w:val="0"/>
      <w:divBdr>
        <w:top w:val="none" w:sz="0" w:space="0" w:color="auto"/>
        <w:left w:val="none" w:sz="0" w:space="0" w:color="auto"/>
        <w:bottom w:val="none" w:sz="0" w:space="0" w:color="auto"/>
        <w:right w:val="none" w:sz="0" w:space="0" w:color="auto"/>
      </w:divBdr>
    </w:div>
    <w:div w:id="1324821028">
      <w:bodyDiv w:val="1"/>
      <w:marLeft w:val="0"/>
      <w:marRight w:val="0"/>
      <w:marTop w:val="0"/>
      <w:marBottom w:val="0"/>
      <w:divBdr>
        <w:top w:val="none" w:sz="0" w:space="0" w:color="auto"/>
        <w:left w:val="none" w:sz="0" w:space="0" w:color="auto"/>
        <w:bottom w:val="none" w:sz="0" w:space="0" w:color="auto"/>
        <w:right w:val="none" w:sz="0" w:space="0" w:color="auto"/>
      </w:divBdr>
    </w:div>
    <w:div w:id="1327898448">
      <w:bodyDiv w:val="1"/>
      <w:marLeft w:val="0"/>
      <w:marRight w:val="0"/>
      <w:marTop w:val="0"/>
      <w:marBottom w:val="0"/>
      <w:divBdr>
        <w:top w:val="none" w:sz="0" w:space="0" w:color="auto"/>
        <w:left w:val="none" w:sz="0" w:space="0" w:color="auto"/>
        <w:bottom w:val="none" w:sz="0" w:space="0" w:color="auto"/>
        <w:right w:val="none" w:sz="0" w:space="0" w:color="auto"/>
      </w:divBdr>
    </w:div>
    <w:div w:id="1368796607">
      <w:bodyDiv w:val="1"/>
      <w:marLeft w:val="0"/>
      <w:marRight w:val="0"/>
      <w:marTop w:val="0"/>
      <w:marBottom w:val="0"/>
      <w:divBdr>
        <w:top w:val="none" w:sz="0" w:space="0" w:color="auto"/>
        <w:left w:val="none" w:sz="0" w:space="0" w:color="auto"/>
        <w:bottom w:val="none" w:sz="0" w:space="0" w:color="auto"/>
        <w:right w:val="none" w:sz="0" w:space="0" w:color="auto"/>
      </w:divBdr>
    </w:div>
    <w:div w:id="1457795722">
      <w:bodyDiv w:val="1"/>
      <w:marLeft w:val="0"/>
      <w:marRight w:val="0"/>
      <w:marTop w:val="0"/>
      <w:marBottom w:val="0"/>
      <w:divBdr>
        <w:top w:val="none" w:sz="0" w:space="0" w:color="auto"/>
        <w:left w:val="none" w:sz="0" w:space="0" w:color="auto"/>
        <w:bottom w:val="none" w:sz="0" w:space="0" w:color="auto"/>
        <w:right w:val="none" w:sz="0" w:space="0" w:color="auto"/>
      </w:divBdr>
    </w:div>
    <w:div w:id="1807626419">
      <w:bodyDiv w:val="1"/>
      <w:marLeft w:val="0"/>
      <w:marRight w:val="0"/>
      <w:marTop w:val="0"/>
      <w:marBottom w:val="0"/>
      <w:divBdr>
        <w:top w:val="none" w:sz="0" w:space="0" w:color="auto"/>
        <w:left w:val="none" w:sz="0" w:space="0" w:color="auto"/>
        <w:bottom w:val="none" w:sz="0" w:space="0" w:color="auto"/>
        <w:right w:val="none" w:sz="0" w:space="0" w:color="auto"/>
      </w:divBdr>
    </w:div>
    <w:div w:id="1833134074">
      <w:bodyDiv w:val="1"/>
      <w:marLeft w:val="0"/>
      <w:marRight w:val="0"/>
      <w:marTop w:val="0"/>
      <w:marBottom w:val="0"/>
      <w:divBdr>
        <w:top w:val="none" w:sz="0" w:space="0" w:color="auto"/>
        <w:left w:val="none" w:sz="0" w:space="0" w:color="auto"/>
        <w:bottom w:val="none" w:sz="0" w:space="0" w:color="auto"/>
        <w:right w:val="none" w:sz="0" w:space="0" w:color="auto"/>
      </w:divBdr>
    </w:div>
    <w:div w:id="1839037786">
      <w:bodyDiv w:val="1"/>
      <w:marLeft w:val="0"/>
      <w:marRight w:val="0"/>
      <w:marTop w:val="0"/>
      <w:marBottom w:val="0"/>
      <w:divBdr>
        <w:top w:val="none" w:sz="0" w:space="0" w:color="auto"/>
        <w:left w:val="none" w:sz="0" w:space="0" w:color="auto"/>
        <w:bottom w:val="none" w:sz="0" w:space="0" w:color="auto"/>
        <w:right w:val="none" w:sz="0" w:space="0" w:color="auto"/>
      </w:divBdr>
    </w:div>
    <w:div w:id="1868135176">
      <w:bodyDiv w:val="1"/>
      <w:marLeft w:val="0"/>
      <w:marRight w:val="0"/>
      <w:marTop w:val="0"/>
      <w:marBottom w:val="0"/>
      <w:divBdr>
        <w:top w:val="none" w:sz="0" w:space="0" w:color="auto"/>
        <w:left w:val="none" w:sz="0" w:space="0" w:color="auto"/>
        <w:bottom w:val="none" w:sz="0" w:space="0" w:color="auto"/>
        <w:right w:val="none" w:sz="0" w:space="0" w:color="auto"/>
      </w:divBdr>
    </w:div>
    <w:div w:id="1904439114">
      <w:bodyDiv w:val="1"/>
      <w:marLeft w:val="0"/>
      <w:marRight w:val="0"/>
      <w:marTop w:val="0"/>
      <w:marBottom w:val="0"/>
      <w:divBdr>
        <w:top w:val="none" w:sz="0" w:space="0" w:color="auto"/>
        <w:left w:val="none" w:sz="0" w:space="0" w:color="auto"/>
        <w:bottom w:val="none" w:sz="0" w:space="0" w:color="auto"/>
        <w:right w:val="none" w:sz="0" w:space="0" w:color="auto"/>
      </w:divBdr>
    </w:div>
    <w:div w:id="1980303691">
      <w:bodyDiv w:val="1"/>
      <w:marLeft w:val="0"/>
      <w:marRight w:val="0"/>
      <w:marTop w:val="0"/>
      <w:marBottom w:val="0"/>
      <w:divBdr>
        <w:top w:val="none" w:sz="0" w:space="0" w:color="auto"/>
        <w:left w:val="none" w:sz="0" w:space="0" w:color="auto"/>
        <w:bottom w:val="none" w:sz="0" w:space="0" w:color="auto"/>
        <w:right w:val="none" w:sz="0" w:space="0" w:color="auto"/>
      </w:divBdr>
    </w:div>
    <w:div w:id="2007900970">
      <w:bodyDiv w:val="1"/>
      <w:marLeft w:val="0"/>
      <w:marRight w:val="0"/>
      <w:marTop w:val="0"/>
      <w:marBottom w:val="0"/>
      <w:divBdr>
        <w:top w:val="none" w:sz="0" w:space="0" w:color="auto"/>
        <w:left w:val="none" w:sz="0" w:space="0" w:color="auto"/>
        <w:bottom w:val="none" w:sz="0" w:space="0" w:color="auto"/>
        <w:right w:val="none" w:sz="0" w:space="0" w:color="auto"/>
      </w:divBdr>
    </w:div>
    <w:div w:id="2020739906">
      <w:bodyDiv w:val="1"/>
      <w:marLeft w:val="0"/>
      <w:marRight w:val="0"/>
      <w:marTop w:val="0"/>
      <w:marBottom w:val="0"/>
      <w:divBdr>
        <w:top w:val="none" w:sz="0" w:space="0" w:color="auto"/>
        <w:left w:val="none" w:sz="0" w:space="0" w:color="auto"/>
        <w:bottom w:val="none" w:sz="0" w:space="0" w:color="auto"/>
        <w:right w:val="none" w:sz="0" w:space="0" w:color="auto"/>
      </w:divBdr>
    </w:div>
    <w:div w:id="2024892351">
      <w:bodyDiv w:val="1"/>
      <w:marLeft w:val="0"/>
      <w:marRight w:val="0"/>
      <w:marTop w:val="0"/>
      <w:marBottom w:val="0"/>
      <w:divBdr>
        <w:top w:val="none" w:sz="0" w:space="0" w:color="auto"/>
        <w:left w:val="none" w:sz="0" w:space="0" w:color="auto"/>
        <w:bottom w:val="none" w:sz="0" w:space="0" w:color="auto"/>
        <w:right w:val="none" w:sz="0" w:space="0" w:color="auto"/>
      </w:divBdr>
    </w:div>
    <w:div w:id="20400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8057</Words>
  <Characters>49150</Characters>
  <Application>Microsoft Office Word</Application>
  <DocSecurity>4</DocSecurity>
  <Lines>409</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2024020075 + 2024073145 punkt 4.1, 4.3, 4.4, 4.5, 4.6, 4.7, 4.8, 5.1, 5.2, 5.3, 6.1, 6.5</dc:description>
  <cp:lastModifiedBy>Alexandra Wæver</cp:lastModifiedBy>
  <cp:revision>2</cp:revision>
  <cp:lastPrinted>2012-08-22T08:53:00Z</cp:lastPrinted>
  <dcterms:created xsi:type="dcterms:W3CDTF">2025-02-20T08:52:00Z</dcterms:created>
  <dcterms:modified xsi:type="dcterms:W3CDTF">2025-02-20T08:52:00Z</dcterms:modified>
</cp:coreProperties>
</file>