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7DD" w:rsidRPr="008F49E1" w:rsidRDefault="00C747DD" w:rsidP="00C747DD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22299EA7" wp14:editId="31B83EB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C747DD" w:rsidRPr="00C84483" w:rsidRDefault="00C747DD" w:rsidP="00C747DD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5C09E6">
        <w:rPr>
          <w:szCs w:val="24"/>
        </w:rPr>
        <w:t>2</w:t>
      </w:r>
      <w:r w:rsidR="002C7E00">
        <w:rPr>
          <w:szCs w:val="24"/>
        </w:rPr>
        <w:t>5</w:t>
      </w:r>
      <w:r w:rsidR="005C09E6">
        <w:rPr>
          <w:szCs w:val="24"/>
        </w:rPr>
        <w:t>. november 2022</w:t>
      </w:r>
    </w:p>
    <w:p w:rsidR="00C747DD" w:rsidRPr="00C84483" w:rsidRDefault="00C747DD" w:rsidP="00C747DD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C747DD" w:rsidRDefault="00C747DD" w:rsidP="00C747DD">
      <w:pPr>
        <w:pStyle w:val="Titel"/>
        <w:jc w:val="left"/>
        <w:rPr>
          <w:b w:val="0"/>
          <w:szCs w:val="24"/>
        </w:rPr>
      </w:pPr>
    </w:p>
    <w:p w:rsidR="00450D8A" w:rsidRPr="00C84483" w:rsidRDefault="00450D8A" w:rsidP="00C747DD">
      <w:pPr>
        <w:pStyle w:val="Titel"/>
        <w:jc w:val="left"/>
        <w:rPr>
          <w:b w:val="0"/>
          <w:szCs w:val="24"/>
        </w:rPr>
      </w:pPr>
    </w:p>
    <w:p w:rsidR="00C747DD" w:rsidRPr="00C84483" w:rsidRDefault="00C747DD" w:rsidP="00450D8A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C747DD" w:rsidRPr="00C84483" w:rsidRDefault="00C747DD" w:rsidP="00450D8A">
      <w:pPr>
        <w:tabs>
          <w:tab w:val="left" w:pos="438"/>
        </w:tabs>
        <w:jc w:val="center"/>
        <w:rPr>
          <w:b/>
          <w:sz w:val="24"/>
          <w:szCs w:val="24"/>
        </w:rPr>
      </w:pPr>
    </w:p>
    <w:p w:rsidR="00C747DD" w:rsidRDefault="00664F34" w:rsidP="00664F34">
      <w:pPr>
        <w:tabs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747DD" w:rsidRPr="00C84483">
        <w:rPr>
          <w:b/>
          <w:sz w:val="24"/>
          <w:szCs w:val="24"/>
        </w:rPr>
        <w:t>for</w:t>
      </w:r>
    </w:p>
    <w:p w:rsidR="00C747DD" w:rsidRPr="00C84483" w:rsidRDefault="00C747DD" w:rsidP="00450D8A">
      <w:pPr>
        <w:jc w:val="center"/>
        <w:rPr>
          <w:b/>
          <w:sz w:val="24"/>
          <w:szCs w:val="24"/>
        </w:rPr>
      </w:pPr>
    </w:p>
    <w:p w:rsidR="00C747DD" w:rsidRPr="00C84483" w:rsidRDefault="00C747DD" w:rsidP="00450D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Noradrenalin "</w:t>
      </w:r>
      <w:proofErr w:type="spellStart"/>
      <w:r>
        <w:rPr>
          <w:b/>
          <w:sz w:val="24"/>
          <w:szCs w:val="24"/>
        </w:rPr>
        <w:t>Aguettant</w:t>
      </w:r>
      <w:proofErr w:type="spellEnd"/>
      <w:r>
        <w:rPr>
          <w:b/>
          <w:sz w:val="24"/>
          <w:szCs w:val="24"/>
        </w:rPr>
        <w:t>", infusionsvæske, opløsning</w:t>
      </w:r>
    </w:p>
    <w:p w:rsidR="00C747DD" w:rsidRPr="00C84483" w:rsidRDefault="00C747DD" w:rsidP="00450D8A">
      <w:pPr>
        <w:rPr>
          <w:sz w:val="24"/>
          <w:szCs w:val="24"/>
        </w:rPr>
      </w:pPr>
    </w:p>
    <w:p w:rsidR="00C747DD" w:rsidRPr="00BE282E" w:rsidRDefault="00C747DD" w:rsidP="00C747DD">
      <w:pPr>
        <w:ind w:left="851" w:hanging="851"/>
        <w:jc w:val="both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0.</w:t>
      </w:r>
      <w:r w:rsidRPr="00BE282E">
        <w:rPr>
          <w:b/>
          <w:sz w:val="24"/>
          <w:szCs w:val="24"/>
        </w:rPr>
        <w:tab/>
        <w:t>D.SP.NR.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BE282E">
        <w:rPr>
          <w:sz w:val="24"/>
          <w:szCs w:val="24"/>
        </w:rPr>
        <w:t>31432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1.</w:t>
      </w:r>
      <w:r w:rsidRPr="00BE282E">
        <w:rPr>
          <w:b/>
          <w:sz w:val="24"/>
          <w:szCs w:val="24"/>
        </w:rPr>
        <w:tab/>
        <w:t>LÆGEMIDLETS NAVN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Noradrenalin </w:t>
      </w:r>
      <w:r w:rsidR="00450D8A">
        <w:rPr>
          <w:sz w:val="24"/>
          <w:szCs w:val="24"/>
        </w:rPr>
        <w:t>"</w:t>
      </w:r>
      <w:proofErr w:type="spellStart"/>
      <w:r w:rsidR="00450D8A">
        <w:rPr>
          <w:sz w:val="24"/>
          <w:szCs w:val="24"/>
        </w:rPr>
        <w:t>Aguettant</w:t>
      </w:r>
      <w:proofErr w:type="spellEnd"/>
      <w:r w:rsidR="00450D8A">
        <w:rPr>
          <w:sz w:val="24"/>
          <w:szCs w:val="24"/>
        </w:rPr>
        <w:t>"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2.</w:t>
      </w:r>
      <w:r w:rsidRPr="00BE282E">
        <w:rPr>
          <w:b/>
          <w:sz w:val="24"/>
          <w:szCs w:val="24"/>
        </w:rPr>
        <w:tab/>
        <w:t>KVALITATIV OG KVANTITATIV SAMMENSÆTNING</w:t>
      </w:r>
    </w:p>
    <w:p w:rsidR="00C747DD" w:rsidRPr="00BE282E" w:rsidRDefault="00C747DD" w:rsidP="00C747DD">
      <w:pPr>
        <w:widowControl w:val="0"/>
        <w:ind w:left="851"/>
        <w:rPr>
          <w:bCs/>
          <w:noProof/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>1 ml infusionsvæske, opløsning indeholder 0,16 mg noradrenalin-tartrat, svarende til 0,08 mg noradrenalin-base.</w:t>
      </w:r>
    </w:p>
    <w:p w:rsidR="00C747DD" w:rsidRPr="00BE282E" w:rsidRDefault="00C747DD" w:rsidP="00C747DD">
      <w:pPr>
        <w:widowControl w:val="0"/>
        <w:ind w:left="851"/>
        <w:rPr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>1 hætteglas med 50 ml indeholder 8 mg noradrenalin-tartrat, svarende til 4 mg noradrenalin-base.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>Hjælpestoffer, som behandleren skal være opmærksom på: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>1 ml infusionsvæske, opløsning indeholder 3,5 mg svarende til 0,2 mmol natrium.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>1 hætteglas med 50 ml indeholder ca. 177,3 mg svarende til 7,7 mmol natrium.</w:t>
      </w:r>
    </w:p>
    <w:p w:rsidR="00C747DD" w:rsidRPr="00BE282E" w:rsidRDefault="00C747DD" w:rsidP="00C747DD">
      <w:pPr>
        <w:ind w:left="851"/>
        <w:outlineLvl w:val="0"/>
        <w:rPr>
          <w:noProof/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>Alle hjælpestoffer er anført under pkt. 6.1</w:t>
      </w:r>
      <w:r w:rsidR="0061678B">
        <w:rPr>
          <w:noProof/>
          <w:sz w:val="24"/>
          <w:szCs w:val="24"/>
          <w:lang w:bidi="da-DK"/>
        </w:rPr>
        <w:t>.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3.</w:t>
      </w:r>
      <w:r w:rsidRPr="00BE282E">
        <w:rPr>
          <w:b/>
          <w:sz w:val="24"/>
          <w:szCs w:val="24"/>
        </w:rPr>
        <w:tab/>
        <w:t>LÆGEMIDDELFORM</w:t>
      </w:r>
    </w:p>
    <w:p w:rsidR="00C747DD" w:rsidRPr="00BE282E" w:rsidRDefault="00C747DD" w:rsidP="00C747DD">
      <w:pPr>
        <w:ind w:left="851"/>
        <w:rPr>
          <w:noProof/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>Infusionsvæske, opløsning</w:t>
      </w:r>
    </w:p>
    <w:p w:rsidR="00C747DD" w:rsidRPr="00BE282E" w:rsidRDefault="00C747DD" w:rsidP="00C747DD">
      <w:pPr>
        <w:ind w:left="851"/>
        <w:rPr>
          <w:noProof/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>Klar, farveløs eller let gullig opløsning</w:t>
      </w:r>
    </w:p>
    <w:p w:rsidR="00C747DD" w:rsidRPr="00BE282E" w:rsidRDefault="00C747DD" w:rsidP="00C747DD">
      <w:pPr>
        <w:ind w:left="851"/>
        <w:rPr>
          <w:noProof/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>pH = 3,2-3,8</w:t>
      </w:r>
    </w:p>
    <w:p w:rsidR="00C747DD" w:rsidRPr="00BE282E" w:rsidRDefault="00C747DD" w:rsidP="00C747DD">
      <w:pPr>
        <w:ind w:left="851"/>
        <w:rPr>
          <w:noProof/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>Osmolalitet: 260-320 mOsm/kg.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4.</w:t>
      </w:r>
      <w:r w:rsidRPr="00BE282E">
        <w:rPr>
          <w:b/>
          <w:sz w:val="24"/>
          <w:szCs w:val="24"/>
        </w:rPr>
        <w:tab/>
        <w:t>KLINISKE OPLYSNINGER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BE282E">
        <w:rPr>
          <w:b/>
          <w:sz w:val="24"/>
          <w:szCs w:val="24"/>
        </w:rPr>
        <w:t>4.1</w:t>
      </w:r>
      <w:r w:rsidRPr="00BE282E">
        <w:rPr>
          <w:b/>
          <w:sz w:val="24"/>
          <w:szCs w:val="24"/>
        </w:rPr>
        <w:tab/>
        <w:t>Terapeutiske indikationer</w:t>
      </w:r>
    </w:p>
    <w:p w:rsidR="005C09E6" w:rsidRPr="00BE282E" w:rsidRDefault="005C09E6" w:rsidP="005C09E6">
      <w:pPr>
        <w:ind w:left="851"/>
        <w:rPr>
          <w:noProof/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>Noradrenalin </w:t>
      </w:r>
      <w:r>
        <w:rPr>
          <w:noProof/>
          <w:sz w:val="24"/>
          <w:szCs w:val="24"/>
          <w:lang w:bidi="da-DK"/>
        </w:rPr>
        <w:t>"Aguettant"</w:t>
      </w:r>
      <w:r w:rsidRPr="00BE282E">
        <w:rPr>
          <w:noProof/>
          <w:sz w:val="24"/>
          <w:szCs w:val="24"/>
          <w:lang w:bidi="da-DK"/>
        </w:rPr>
        <w:t xml:space="preserve"> er indiceret til voksne, som vejer mere end 50 kg, til behandling af akutte hypotensive episoder.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4.2</w:t>
      </w:r>
      <w:r w:rsidRPr="00BE282E">
        <w:rPr>
          <w:b/>
          <w:sz w:val="24"/>
          <w:szCs w:val="24"/>
        </w:rPr>
        <w:tab/>
        <w:t>Dosering og indgivelsesmåde</w:t>
      </w:r>
    </w:p>
    <w:p w:rsidR="005C09E6" w:rsidRPr="00BE282E" w:rsidRDefault="005C09E6" w:rsidP="005C09E6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>Kun til intravenøs anvendelse.</w:t>
      </w:r>
    </w:p>
    <w:p w:rsidR="005C09E6" w:rsidRPr="00BE282E" w:rsidRDefault="005C09E6" w:rsidP="005C09E6">
      <w:pPr>
        <w:ind w:left="851"/>
        <w:rPr>
          <w:sz w:val="24"/>
          <w:szCs w:val="24"/>
        </w:rPr>
      </w:pPr>
    </w:p>
    <w:p w:rsidR="005C09E6" w:rsidRPr="00BE282E" w:rsidRDefault="005C09E6" w:rsidP="005C09E6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 xml:space="preserve">Noradrenalin </w:t>
      </w:r>
      <w:r>
        <w:rPr>
          <w:sz w:val="24"/>
          <w:szCs w:val="24"/>
          <w:lang w:bidi="da-DK"/>
        </w:rPr>
        <w:t>"</w:t>
      </w:r>
      <w:proofErr w:type="spellStart"/>
      <w:r>
        <w:rPr>
          <w:sz w:val="24"/>
          <w:szCs w:val="24"/>
          <w:lang w:bidi="da-DK"/>
        </w:rPr>
        <w:t>Aguettant</w:t>
      </w:r>
      <w:proofErr w:type="spellEnd"/>
      <w:r>
        <w:rPr>
          <w:sz w:val="24"/>
          <w:szCs w:val="24"/>
          <w:lang w:bidi="da-DK"/>
        </w:rPr>
        <w:t xml:space="preserve">" </w:t>
      </w:r>
      <w:r w:rsidRPr="00BE282E">
        <w:rPr>
          <w:sz w:val="24"/>
          <w:szCs w:val="24"/>
          <w:lang w:bidi="da-DK"/>
        </w:rPr>
        <w:t xml:space="preserve">må kun administreres som intravenøs infusion via et centralt venekateter for at minimere risikoen for </w:t>
      </w:r>
      <w:proofErr w:type="spellStart"/>
      <w:r w:rsidRPr="00BE282E">
        <w:rPr>
          <w:sz w:val="24"/>
          <w:szCs w:val="24"/>
          <w:lang w:bidi="da-DK"/>
        </w:rPr>
        <w:t>ekstravasation</w:t>
      </w:r>
      <w:proofErr w:type="spellEnd"/>
      <w:r w:rsidRPr="00BE282E">
        <w:rPr>
          <w:sz w:val="24"/>
          <w:szCs w:val="24"/>
          <w:lang w:bidi="da-DK"/>
        </w:rPr>
        <w:t xml:space="preserve"> og efterfølgende vævsnekrose. </w:t>
      </w:r>
      <w:r w:rsidRPr="00BE282E">
        <w:rPr>
          <w:sz w:val="24"/>
          <w:szCs w:val="24"/>
          <w:lang w:bidi="da-DK"/>
        </w:rPr>
        <w:lastRenderedPageBreak/>
        <w:t xml:space="preserve">Noradrenalin </w:t>
      </w:r>
      <w:r>
        <w:rPr>
          <w:sz w:val="24"/>
          <w:szCs w:val="24"/>
          <w:lang w:bidi="da-DK"/>
        </w:rPr>
        <w:t>"</w:t>
      </w:r>
      <w:proofErr w:type="spellStart"/>
      <w:r>
        <w:rPr>
          <w:sz w:val="24"/>
          <w:szCs w:val="24"/>
          <w:lang w:bidi="da-DK"/>
        </w:rPr>
        <w:t>Aguettant</w:t>
      </w:r>
      <w:proofErr w:type="spellEnd"/>
      <w:r>
        <w:rPr>
          <w:sz w:val="24"/>
          <w:szCs w:val="24"/>
          <w:lang w:bidi="da-DK"/>
        </w:rPr>
        <w:t>"</w:t>
      </w:r>
      <w:r w:rsidRPr="00BE282E">
        <w:rPr>
          <w:sz w:val="24"/>
          <w:szCs w:val="24"/>
          <w:lang w:bidi="da-DK"/>
        </w:rPr>
        <w:t xml:space="preserve"> skal </w:t>
      </w:r>
      <w:proofErr w:type="spellStart"/>
      <w:r w:rsidRPr="00BE282E">
        <w:rPr>
          <w:sz w:val="24"/>
          <w:szCs w:val="24"/>
          <w:lang w:bidi="da-DK"/>
        </w:rPr>
        <w:t>infunderes</w:t>
      </w:r>
      <w:proofErr w:type="spellEnd"/>
      <w:r w:rsidRPr="00BE282E">
        <w:rPr>
          <w:sz w:val="24"/>
          <w:szCs w:val="24"/>
          <w:lang w:bidi="da-DK"/>
        </w:rPr>
        <w:t xml:space="preserve"> med kontrolleret hastighed ved hjælp af en </w:t>
      </w:r>
      <w:r w:rsidRPr="00E23F6E">
        <w:rPr>
          <w:sz w:val="24"/>
          <w:szCs w:val="24"/>
          <w:lang w:bidi="da-DK"/>
        </w:rPr>
        <w:t>infusionspumpe</w:t>
      </w:r>
      <w:r>
        <w:rPr>
          <w:sz w:val="24"/>
          <w:szCs w:val="24"/>
          <w:lang w:bidi="da-DK"/>
        </w:rPr>
        <w:t xml:space="preserve"> eller en sprøjtepumpe</w:t>
      </w:r>
      <w:r w:rsidRPr="00BE282E">
        <w:rPr>
          <w:sz w:val="24"/>
          <w:szCs w:val="24"/>
          <w:lang w:bidi="da-DK"/>
        </w:rPr>
        <w:t>.</w:t>
      </w:r>
    </w:p>
    <w:p w:rsidR="005C09E6" w:rsidRPr="00BE282E" w:rsidRDefault="005C09E6" w:rsidP="005C09E6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 xml:space="preserve">Noradrenalin </w:t>
      </w:r>
      <w:r>
        <w:rPr>
          <w:sz w:val="24"/>
          <w:szCs w:val="24"/>
          <w:lang w:bidi="da-DK"/>
        </w:rPr>
        <w:t>"</w:t>
      </w:r>
      <w:proofErr w:type="spellStart"/>
      <w:r>
        <w:rPr>
          <w:sz w:val="24"/>
          <w:szCs w:val="24"/>
          <w:lang w:bidi="da-DK"/>
        </w:rPr>
        <w:t>Aguettant</w:t>
      </w:r>
      <w:proofErr w:type="spellEnd"/>
      <w:r>
        <w:rPr>
          <w:sz w:val="24"/>
          <w:szCs w:val="24"/>
          <w:lang w:bidi="da-DK"/>
        </w:rPr>
        <w:t>"</w:t>
      </w:r>
      <w:r w:rsidRPr="00BE282E">
        <w:rPr>
          <w:sz w:val="24"/>
          <w:szCs w:val="24"/>
          <w:lang w:bidi="da-DK"/>
        </w:rPr>
        <w:t xml:space="preserve"> må ikke fortyndes før brug. Den leveres klar til brug. Den må ikke blandes med andre lægemidler.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>Kontrol af forhøjet blodtryk: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>Blodtrykket skal monitoreres nøje under behandlingen og helst ved monitorering af arterielt blodtryk. Patienten skal overvåges tæt under behandlingen med noradrenalin (</w:t>
      </w:r>
      <w:proofErr w:type="spellStart"/>
      <w:r w:rsidRPr="00BE282E">
        <w:rPr>
          <w:sz w:val="24"/>
          <w:szCs w:val="24"/>
          <w:lang w:bidi="da-DK"/>
        </w:rPr>
        <w:t>norepinephrin</w:t>
      </w:r>
      <w:proofErr w:type="spellEnd"/>
      <w:r w:rsidRPr="00BE282E">
        <w:rPr>
          <w:sz w:val="24"/>
          <w:szCs w:val="24"/>
          <w:lang w:bidi="da-DK"/>
        </w:rPr>
        <w:t>).</w:t>
      </w:r>
    </w:p>
    <w:p w:rsidR="00C747DD" w:rsidRPr="00BE282E" w:rsidRDefault="00C747DD" w:rsidP="00C747DD">
      <w:pPr>
        <w:ind w:left="851"/>
        <w:rPr>
          <w:sz w:val="24"/>
          <w:szCs w:val="24"/>
          <w:u w:val="single"/>
        </w:rPr>
      </w:pPr>
    </w:p>
    <w:p w:rsidR="00C747DD" w:rsidRPr="00BE282E" w:rsidRDefault="00C747DD" w:rsidP="00C747DD">
      <w:pPr>
        <w:ind w:left="851"/>
        <w:rPr>
          <w:sz w:val="24"/>
          <w:szCs w:val="24"/>
          <w:u w:val="single"/>
        </w:rPr>
      </w:pPr>
      <w:r w:rsidRPr="00BE282E">
        <w:rPr>
          <w:sz w:val="24"/>
          <w:szCs w:val="24"/>
          <w:u w:val="single"/>
          <w:lang w:bidi="da-DK"/>
        </w:rPr>
        <w:t>Dosering</w:t>
      </w:r>
    </w:p>
    <w:p w:rsidR="00C747DD" w:rsidRPr="00BE282E" w:rsidRDefault="00C747DD" w:rsidP="00C747DD">
      <w:pPr>
        <w:tabs>
          <w:tab w:val="left" w:pos="1304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BE282E">
        <w:rPr>
          <w:sz w:val="24"/>
          <w:szCs w:val="24"/>
          <w:u w:val="single"/>
          <w:lang w:bidi="da-DK"/>
        </w:rPr>
        <w:t>Startdosis:</w:t>
      </w:r>
    </w:p>
    <w:p w:rsidR="00C747DD" w:rsidRPr="00BE282E" w:rsidRDefault="00C747DD" w:rsidP="00C747DD">
      <w:pPr>
        <w:tabs>
          <w:tab w:val="left" w:pos="1304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 xml:space="preserve">Startdosis for noradrenalin-base er sædvanligvis 0,05-0,15 mikrogram/kg/min. </w:t>
      </w:r>
    </w:p>
    <w:p w:rsidR="00C747DD" w:rsidRPr="00BE282E" w:rsidRDefault="00C747DD" w:rsidP="00C747DD">
      <w:pPr>
        <w:tabs>
          <w:tab w:val="left" w:pos="1304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C747DD" w:rsidRPr="00BE282E" w:rsidRDefault="00C747DD" w:rsidP="00C747DD">
      <w:pPr>
        <w:tabs>
          <w:tab w:val="left" w:pos="1304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BE282E">
        <w:rPr>
          <w:sz w:val="24"/>
          <w:szCs w:val="24"/>
          <w:u w:val="single"/>
          <w:lang w:bidi="da-DK"/>
        </w:rPr>
        <w:t>Interval for vedligeholdelsesdosis:</w:t>
      </w:r>
    </w:p>
    <w:p w:rsidR="00C747DD" w:rsidRPr="00BE282E" w:rsidRDefault="00C747DD" w:rsidP="00C747DD">
      <w:pPr>
        <w:tabs>
          <w:tab w:val="left" w:pos="1304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>Det anbefalede interval for vedligeholdelsesdosis af noradrenalin-base er 0,05-1,5 mikrogram/kg/min.</w:t>
      </w:r>
    </w:p>
    <w:p w:rsidR="00C747DD" w:rsidRPr="00BE282E" w:rsidRDefault="00C747DD" w:rsidP="00C747DD">
      <w:pPr>
        <w:tabs>
          <w:tab w:val="left" w:pos="1304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5C09E6" w:rsidRPr="00BE282E" w:rsidRDefault="005C09E6" w:rsidP="005C09E6">
      <w:pPr>
        <w:tabs>
          <w:tab w:val="left" w:pos="1304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BE282E">
        <w:rPr>
          <w:sz w:val="24"/>
          <w:szCs w:val="24"/>
          <w:u w:val="single"/>
          <w:lang w:bidi="da-DK"/>
        </w:rPr>
        <w:t>Dosistitrering:</w:t>
      </w:r>
    </w:p>
    <w:p w:rsidR="005C09E6" w:rsidRPr="00BE282E" w:rsidRDefault="005C09E6" w:rsidP="005C09E6">
      <w:pPr>
        <w:tabs>
          <w:tab w:val="left" w:pos="1304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 xml:space="preserve">Noradrenalin </w:t>
      </w:r>
      <w:r>
        <w:rPr>
          <w:sz w:val="24"/>
          <w:szCs w:val="24"/>
          <w:lang w:bidi="da-DK"/>
        </w:rPr>
        <w:t>"</w:t>
      </w:r>
      <w:proofErr w:type="spellStart"/>
      <w:r>
        <w:rPr>
          <w:sz w:val="24"/>
          <w:szCs w:val="24"/>
          <w:lang w:bidi="da-DK"/>
        </w:rPr>
        <w:t>Aguettant</w:t>
      </w:r>
      <w:proofErr w:type="spellEnd"/>
      <w:r>
        <w:rPr>
          <w:sz w:val="24"/>
          <w:szCs w:val="24"/>
          <w:lang w:bidi="da-DK"/>
        </w:rPr>
        <w:t>"</w:t>
      </w:r>
      <w:r w:rsidRPr="00BE282E">
        <w:rPr>
          <w:sz w:val="24"/>
          <w:szCs w:val="24"/>
          <w:lang w:bidi="da-DK"/>
        </w:rPr>
        <w:t xml:space="preserve"> </w:t>
      </w:r>
      <w:r w:rsidRPr="00E23F6E">
        <w:rPr>
          <w:sz w:val="24"/>
          <w:szCs w:val="24"/>
          <w:lang w:bidi="da-DK"/>
        </w:rPr>
        <w:t>bør bruges med en egnet infusionspumpe</w:t>
      </w:r>
      <w:r>
        <w:rPr>
          <w:sz w:val="24"/>
          <w:szCs w:val="24"/>
          <w:lang w:bidi="da-DK"/>
        </w:rPr>
        <w:t xml:space="preserve"> eller sprøjtepumpe</w:t>
      </w:r>
      <w:r w:rsidRPr="00E23F6E">
        <w:rPr>
          <w:sz w:val="24"/>
          <w:szCs w:val="24"/>
          <w:lang w:bidi="da-DK"/>
        </w:rPr>
        <w:t>, der præcist og konsistent kan levere den mindste specificerede mængde ved en strengt kontrolleret infusionshastighed i henhold til dosistitreringsvejledningen.</w:t>
      </w:r>
    </w:p>
    <w:p w:rsidR="005C09E6" w:rsidRPr="00BE282E" w:rsidRDefault="005C09E6" w:rsidP="005C09E6">
      <w:pPr>
        <w:tabs>
          <w:tab w:val="left" w:pos="1304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 xml:space="preserve">Når en infusion af noradrenalin er etableret, skal dosis titreres i trin på 0,05-0,1 mikrogram/kg/min. nordadrenalin-base i henhold til den observerede </w:t>
      </w:r>
      <w:proofErr w:type="spellStart"/>
      <w:r w:rsidRPr="00BE282E">
        <w:rPr>
          <w:sz w:val="24"/>
          <w:szCs w:val="24"/>
          <w:lang w:bidi="da-DK"/>
        </w:rPr>
        <w:t>pressoreffekt</w:t>
      </w:r>
      <w:proofErr w:type="spellEnd"/>
      <w:r w:rsidRPr="00BE282E">
        <w:rPr>
          <w:sz w:val="24"/>
          <w:szCs w:val="24"/>
          <w:lang w:bidi="da-DK"/>
        </w:rPr>
        <w:t>. Der er stor individuel forskel på den dosis, der kræves for at opnå og vedligeholde normaltension. Målet er at etablere et lavt normalt systolisk blodtryk (100-120 mm Hg) eller at opnå et passende gennemsnitligt arterielt blodtryk (over 65 mm Hg – afhængigt af patientens tilstand).</w:t>
      </w:r>
    </w:p>
    <w:p w:rsidR="005C09E6" w:rsidRPr="00BE282E" w:rsidRDefault="005C09E6" w:rsidP="005C09E6">
      <w:pPr>
        <w:ind w:left="851"/>
        <w:jc w:val="both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 xml:space="preserve">Manuel </w:t>
      </w:r>
      <w:proofErr w:type="spellStart"/>
      <w:r w:rsidRPr="00BE282E">
        <w:rPr>
          <w:sz w:val="24"/>
          <w:szCs w:val="24"/>
          <w:lang w:bidi="da-DK"/>
        </w:rPr>
        <w:t>bolus</w:t>
      </w:r>
      <w:proofErr w:type="spellEnd"/>
      <w:r w:rsidRPr="00BE282E">
        <w:rPr>
          <w:sz w:val="24"/>
          <w:szCs w:val="24"/>
          <w:lang w:bidi="da-DK"/>
        </w:rPr>
        <w:t xml:space="preserve"> til </w:t>
      </w:r>
      <w:proofErr w:type="spellStart"/>
      <w:r w:rsidRPr="00BE282E">
        <w:rPr>
          <w:sz w:val="24"/>
          <w:szCs w:val="24"/>
          <w:lang w:bidi="da-DK"/>
        </w:rPr>
        <w:t>priming</w:t>
      </w:r>
      <w:proofErr w:type="spellEnd"/>
      <w:r w:rsidRPr="00BE282E">
        <w:rPr>
          <w:sz w:val="24"/>
          <w:szCs w:val="24"/>
          <w:lang w:bidi="da-DK"/>
        </w:rPr>
        <w:t xml:space="preserve"> ved initiering af infusion anbefales ikke. </w:t>
      </w:r>
    </w:p>
    <w:p w:rsidR="005C09E6" w:rsidRPr="00BE282E" w:rsidRDefault="005C09E6" w:rsidP="005C09E6">
      <w:pPr>
        <w:ind w:left="851"/>
        <w:jc w:val="both"/>
        <w:rPr>
          <w:sz w:val="24"/>
          <w:szCs w:val="24"/>
        </w:rPr>
      </w:pPr>
      <w:r w:rsidRPr="00E23F6E">
        <w:rPr>
          <w:sz w:val="24"/>
          <w:szCs w:val="24"/>
          <w:lang w:bidi="da-DK"/>
        </w:rPr>
        <w:t xml:space="preserve">Udvis forsigtighed, når der lægges nyt drop, for at undgå </w:t>
      </w:r>
      <w:proofErr w:type="spellStart"/>
      <w:r w:rsidRPr="00E23F6E">
        <w:rPr>
          <w:sz w:val="24"/>
          <w:szCs w:val="24"/>
          <w:lang w:bidi="da-DK"/>
        </w:rPr>
        <w:t>hæmodynamisk</w:t>
      </w:r>
      <w:proofErr w:type="spellEnd"/>
      <w:r w:rsidRPr="00E23F6E">
        <w:rPr>
          <w:sz w:val="24"/>
          <w:szCs w:val="24"/>
          <w:lang w:bidi="da-DK"/>
        </w:rPr>
        <w:t xml:space="preserve"> </w:t>
      </w:r>
      <w:r>
        <w:rPr>
          <w:sz w:val="24"/>
          <w:szCs w:val="24"/>
          <w:lang w:bidi="da-DK"/>
        </w:rPr>
        <w:t>u</w:t>
      </w:r>
      <w:r w:rsidRPr="00E23F6E">
        <w:rPr>
          <w:sz w:val="24"/>
          <w:szCs w:val="24"/>
          <w:lang w:bidi="da-DK"/>
        </w:rPr>
        <w:t>stabilitet.</w:t>
      </w:r>
      <w:r w:rsidRPr="00BE282E">
        <w:rPr>
          <w:sz w:val="24"/>
          <w:szCs w:val="24"/>
          <w:lang w:bidi="da-DK"/>
        </w:rPr>
        <w:t xml:space="preserve"> Fortsat infusion af noradrenalin med et dobbelt pumpesystem og et forlængersæt, som reducerer </w:t>
      </w:r>
      <w:proofErr w:type="spellStart"/>
      <w:r w:rsidRPr="00BE282E">
        <w:rPr>
          <w:sz w:val="24"/>
          <w:szCs w:val="24"/>
          <w:lang w:bidi="da-DK"/>
        </w:rPr>
        <w:t>dead</w:t>
      </w:r>
      <w:proofErr w:type="spellEnd"/>
      <w:r w:rsidRPr="00BE282E">
        <w:rPr>
          <w:sz w:val="24"/>
          <w:szCs w:val="24"/>
          <w:lang w:bidi="da-DK"/>
        </w:rPr>
        <w:t xml:space="preserve"> </w:t>
      </w:r>
      <w:proofErr w:type="spellStart"/>
      <w:r w:rsidRPr="00BE282E">
        <w:rPr>
          <w:sz w:val="24"/>
          <w:szCs w:val="24"/>
          <w:lang w:bidi="da-DK"/>
        </w:rPr>
        <w:t>space</w:t>
      </w:r>
      <w:proofErr w:type="spellEnd"/>
      <w:r w:rsidRPr="00BE282E">
        <w:rPr>
          <w:sz w:val="24"/>
          <w:szCs w:val="24"/>
          <w:lang w:bidi="da-DK"/>
        </w:rPr>
        <w:t>, foretrækkes.</w:t>
      </w:r>
    </w:p>
    <w:p w:rsidR="00C747DD" w:rsidRPr="00BE282E" w:rsidRDefault="00C747DD" w:rsidP="00C747DD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1527"/>
        <w:gridCol w:w="1585"/>
        <w:gridCol w:w="1527"/>
        <w:gridCol w:w="1585"/>
        <w:gridCol w:w="2076"/>
      </w:tblGrid>
      <w:tr w:rsidR="00C747DD" w:rsidRPr="00BE282E" w:rsidTr="00450D8A">
        <w:trPr>
          <w:trHeight w:val="270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DD" w:rsidRPr="00BE282E" w:rsidRDefault="00C747DD" w:rsidP="00450D8A">
            <w:pPr>
              <w:jc w:val="center"/>
              <w:rPr>
                <w:sz w:val="24"/>
                <w:szCs w:val="24"/>
              </w:rPr>
            </w:pPr>
          </w:p>
          <w:p w:rsidR="00C747DD" w:rsidRPr="00BE282E" w:rsidRDefault="00C747DD" w:rsidP="00450D8A">
            <w:pPr>
              <w:jc w:val="center"/>
              <w:rPr>
                <w:sz w:val="24"/>
                <w:szCs w:val="24"/>
                <w:lang w:val="fr-FR"/>
              </w:rPr>
            </w:pPr>
            <w:r w:rsidRPr="00BE282E">
              <w:rPr>
                <w:sz w:val="24"/>
                <w:szCs w:val="24"/>
                <w:lang w:bidi="da-DK"/>
              </w:rPr>
              <w:t xml:space="preserve">Noradrenalin </w:t>
            </w:r>
            <w:r w:rsidR="00450D8A">
              <w:rPr>
                <w:sz w:val="24"/>
                <w:szCs w:val="24"/>
                <w:lang w:bidi="da-DK"/>
              </w:rPr>
              <w:t>"</w:t>
            </w:r>
            <w:proofErr w:type="spellStart"/>
            <w:r w:rsidR="00450D8A">
              <w:rPr>
                <w:sz w:val="24"/>
                <w:szCs w:val="24"/>
                <w:lang w:bidi="da-DK"/>
              </w:rPr>
              <w:t>Aguettant</w:t>
            </w:r>
            <w:proofErr w:type="spellEnd"/>
            <w:r w:rsidR="00450D8A">
              <w:rPr>
                <w:sz w:val="24"/>
                <w:szCs w:val="24"/>
                <w:lang w:bidi="da-DK"/>
              </w:rPr>
              <w:t>"</w:t>
            </w:r>
            <w:r w:rsidRPr="00BE282E">
              <w:rPr>
                <w:sz w:val="24"/>
                <w:szCs w:val="24"/>
                <w:lang w:bidi="da-DK"/>
              </w:rPr>
              <w:t> 0,08 mg/ml, infusionsvæske, opløsning</w:t>
            </w:r>
          </w:p>
          <w:p w:rsidR="00C747DD" w:rsidRPr="00BE282E" w:rsidRDefault="00C747DD" w:rsidP="00450D8A">
            <w:pPr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C747DD" w:rsidRPr="00BE282E" w:rsidTr="00450D8A">
        <w:trPr>
          <w:trHeight w:val="270"/>
          <w:tblHeader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sz w:val="24"/>
                <w:szCs w:val="24"/>
                <w:lang w:val="en-GB"/>
              </w:rPr>
            </w:pPr>
            <w:r w:rsidRPr="00BE282E">
              <w:rPr>
                <w:sz w:val="24"/>
                <w:szCs w:val="24"/>
                <w:lang w:bidi="da-DK"/>
              </w:rPr>
              <w:t>Patientens vægt</w:t>
            </w:r>
          </w:p>
          <w:p w:rsidR="00C747DD" w:rsidRPr="00BE282E" w:rsidRDefault="00C747DD" w:rsidP="00450D8A">
            <w:pPr>
              <w:jc w:val="center"/>
              <w:rPr>
                <w:sz w:val="24"/>
                <w:szCs w:val="24"/>
              </w:rPr>
            </w:pPr>
            <w:r w:rsidRPr="00BE282E">
              <w:rPr>
                <w:sz w:val="24"/>
                <w:szCs w:val="24"/>
                <w:lang w:bidi="da-DK"/>
              </w:rPr>
              <w:t>(kg)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sz w:val="24"/>
                <w:szCs w:val="24"/>
              </w:rPr>
            </w:pPr>
            <w:r w:rsidRPr="00BE282E">
              <w:rPr>
                <w:sz w:val="24"/>
                <w:szCs w:val="24"/>
                <w:lang w:bidi="da-DK"/>
              </w:rPr>
              <w:t>Dosering (µg/kg/min) noradrenalin-base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sz w:val="24"/>
                <w:szCs w:val="24"/>
              </w:rPr>
            </w:pPr>
            <w:r w:rsidRPr="00BE282E">
              <w:rPr>
                <w:i/>
                <w:sz w:val="24"/>
                <w:szCs w:val="24"/>
                <w:lang w:bidi="da-DK"/>
              </w:rPr>
              <w:t>Dosering</w:t>
            </w:r>
          </w:p>
          <w:p w:rsidR="00C747DD" w:rsidRPr="00BE282E" w:rsidRDefault="00C747DD" w:rsidP="00450D8A">
            <w:pPr>
              <w:jc w:val="center"/>
              <w:rPr>
                <w:i/>
                <w:sz w:val="24"/>
                <w:szCs w:val="24"/>
              </w:rPr>
            </w:pPr>
            <w:r w:rsidRPr="00BE282E">
              <w:rPr>
                <w:i/>
                <w:sz w:val="24"/>
                <w:szCs w:val="24"/>
                <w:lang w:bidi="da-DK"/>
              </w:rPr>
              <w:t>(µg/kg/min) noradrenalin-</w:t>
            </w:r>
            <w:proofErr w:type="spellStart"/>
            <w:r w:rsidRPr="00BE282E">
              <w:rPr>
                <w:i/>
                <w:sz w:val="24"/>
                <w:szCs w:val="24"/>
                <w:lang w:bidi="da-DK"/>
              </w:rPr>
              <w:t>tartrat</w:t>
            </w:r>
            <w:proofErr w:type="spell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sz w:val="24"/>
                <w:szCs w:val="24"/>
                <w:lang w:val="fr-FR"/>
              </w:rPr>
            </w:pPr>
            <w:r w:rsidRPr="00071217">
              <w:rPr>
                <w:sz w:val="24"/>
                <w:lang w:val="fr-FR"/>
              </w:rPr>
              <w:t>Dosering (mg/t) noradrenalin-base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sz w:val="24"/>
                <w:szCs w:val="24"/>
                <w:lang w:val="en-GB"/>
              </w:rPr>
            </w:pPr>
            <w:r w:rsidRPr="00BE282E">
              <w:rPr>
                <w:i/>
                <w:sz w:val="24"/>
                <w:szCs w:val="24"/>
                <w:lang w:bidi="da-DK"/>
              </w:rPr>
              <w:t>Dosering (mg/t) noradrenalin-</w:t>
            </w:r>
            <w:proofErr w:type="spellStart"/>
            <w:r w:rsidRPr="00BE282E">
              <w:rPr>
                <w:i/>
                <w:sz w:val="24"/>
                <w:szCs w:val="24"/>
                <w:lang w:bidi="da-DK"/>
              </w:rPr>
              <w:t>tartrat</w:t>
            </w:r>
            <w:proofErr w:type="spellEnd"/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sz w:val="24"/>
                <w:szCs w:val="24"/>
              </w:rPr>
            </w:pPr>
            <w:r w:rsidRPr="00BE282E">
              <w:rPr>
                <w:sz w:val="24"/>
                <w:szCs w:val="24"/>
                <w:lang w:bidi="da-DK"/>
              </w:rPr>
              <w:t>Infusionshastighed (ml/t)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50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0,05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0,15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1,9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3,8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0,25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0,75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1,5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9,4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18,8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37,5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4,5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9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56,3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60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0,05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0,18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0,36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2,3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0,36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0,72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4,5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0,25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1,8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11,3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1,8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3,6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22,5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3,6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7,2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45,0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5,4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10,8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67,5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70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0,05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0,21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0,42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2,6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0,42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0,84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5,3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0,25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1,05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2,1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13,1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2,1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4,2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26,3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4,2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8,4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52,5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6,3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12,6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78,8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80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0,05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0,24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0,48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3,0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0,48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0,96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6,0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0,25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1,2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2,4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15,0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2,4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4,8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30,0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4,8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9,6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60,0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7,2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14,4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90,0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90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0,05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0,27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0,54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3,4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0,54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1,08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6,8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0,25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1,35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2,7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16,9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2,7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5,4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33,8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5,4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10,8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67,5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8,1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16,2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101,3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100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0,05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3,8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1,2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7,5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0,25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0,5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3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18,8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6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37,5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12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75,0</w:t>
            </w:r>
          </w:p>
        </w:tc>
      </w:tr>
      <w:tr w:rsidR="00C747DD" w:rsidRPr="00BE282E" w:rsidTr="00450D8A">
        <w:trPr>
          <w:trHeight w:val="27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Cs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1,5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3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color w:val="000000"/>
                <w:sz w:val="24"/>
                <w:szCs w:val="24"/>
                <w:lang w:bidi="da-DK"/>
              </w:rPr>
              <w:t>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DD" w:rsidRPr="00BE282E" w:rsidRDefault="00C747DD" w:rsidP="00450D8A">
            <w:pPr>
              <w:jc w:val="center"/>
              <w:rPr>
                <w:i/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i/>
                <w:color w:val="000000"/>
                <w:sz w:val="24"/>
                <w:szCs w:val="24"/>
                <w:lang w:bidi="da-DK"/>
              </w:rPr>
              <w:t>18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47DD" w:rsidRPr="00BE282E" w:rsidRDefault="00C747DD" w:rsidP="00450D8A">
            <w:pPr>
              <w:jc w:val="center"/>
              <w:rPr>
                <w:color w:val="000000"/>
                <w:sz w:val="24"/>
                <w:szCs w:val="24"/>
                <w:lang w:val="fr-FR" w:eastAsia="fr-FR"/>
              </w:rPr>
            </w:pPr>
            <w:r w:rsidRPr="00BE282E">
              <w:rPr>
                <w:rFonts w:eastAsia="Arial"/>
                <w:color w:val="000000"/>
                <w:sz w:val="24"/>
                <w:szCs w:val="24"/>
                <w:lang w:bidi="da-DK"/>
              </w:rPr>
              <w:t>112,5</w:t>
            </w:r>
          </w:p>
        </w:tc>
      </w:tr>
    </w:tbl>
    <w:p w:rsidR="00C747DD" w:rsidRPr="00BE282E" w:rsidRDefault="00C747DD" w:rsidP="00C747DD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lang w:val="en-GB"/>
        </w:rPr>
      </w:pPr>
      <w:r w:rsidRPr="00BE282E">
        <w:rPr>
          <w:sz w:val="24"/>
          <w:szCs w:val="24"/>
          <w:lang w:bidi="da-DK"/>
        </w:rPr>
        <w:t>t: time</w:t>
      </w:r>
    </w:p>
    <w:p w:rsidR="00C747DD" w:rsidRPr="00BE282E" w:rsidRDefault="00C747DD" w:rsidP="00C747DD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BE282E">
        <w:rPr>
          <w:sz w:val="24"/>
          <w:szCs w:val="24"/>
          <w:u w:val="single"/>
          <w:lang w:bidi="da-DK"/>
        </w:rPr>
        <w:t>Behandlingens varighed:</w:t>
      </w:r>
    </w:p>
    <w:p w:rsidR="00C747DD" w:rsidRPr="00BE282E" w:rsidRDefault="00C747DD" w:rsidP="00C747DD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BE282E">
        <w:rPr>
          <w:sz w:val="24"/>
          <w:szCs w:val="24"/>
          <w:lang w:bidi="da-DK"/>
        </w:rPr>
        <w:t>Behandling</w:t>
      </w:r>
      <w:r>
        <w:rPr>
          <w:sz w:val="24"/>
          <w:szCs w:val="24"/>
          <w:lang w:bidi="da-DK"/>
        </w:rPr>
        <w:t>en</w:t>
      </w:r>
      <w:r w:rsidRPr="00BE282E">
        <w:rPr>
          <w:sz w:val="24"/>
          <w:szCs w:val="24"/>
          <w:lang w:bidi="da-DK"/>
        </w:rPr>
        <w:t xml:space="preserve"> fortsættes, indtil der ikke længere er indikation for støtte med </w:t>
      </w:r>
      <w:proofErr w:type="spellStart"/>
      <w:r w:rsidRPr="00BE282E">
        <w:rPr>
          <w:sz w:val="24"/>
          <w:szCs w:val="24"/>
          <w:lang w:bidi="da-DK"/>
        </w:rPr>
        <w:t>vasoaktivt</w:t>
      </w:r>
      <w:proofErr w:type="spellEnd"/>
      <w:r w:rsidRPr="00BE282E">
        <w:rPr>
          <w:sz w:val="24"/>
          <w:szCs w:val="24"/>
          <w:lang w:bidi="da-DK"/>
        </w:rPr>
        <w:t xml:space="preserve"> lægemiddel i høj dosis, hvorpå infusionshastigheden gradvist sænkes, og derefter skiftes der til en infusion med lavere koncentration. Pludseligt ophør af behandlingen kan resultere i akut hypotension.</w:t>
      </w:r>
    </w:p>
    <w:p w:rsidR="00C747DD" w:rsidRPr="00BE282E" w:rsidRDefault="00C747DD" w:rsidP="00C747DD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C747DD" w:rsidRPr="00BE282E" w:rsidRDefault="00C747DD" w:rsidP="00C747DD">
      <w:pPr>
        <w:ind w:left="851"/>
        <w:rPr>
          <w:i/>
          <w:sz w:val="24"/>
          <w:szCs w:val="24"/>
        </w:rPr>
      </w:pPr>
      <w:r w:rsidRPr="00BE282E">
        <w:rPr>
          <w:i/>
          <w:sz w:val="24"/>
          <w:szCs w:val="24"/>
          <w:lang w:bidi="da-DK"/>
        </w:rPr>
        <w:t>Ældre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>Se pkt. 4.4 Særlige advarsler og forsigtighedsregler vedrørende brugen</w:t>
      </w:r>
    </w:p>
    <w:p w:rsidR="00C747DD" w:rsidRPr="00BE282E" w:rsidRDefault="00C747DD" w:rsidP="00C747DD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C747DD" w:rsidRPr="00BE282E" w:rsidRDefault="00C747DD" w:rsidP="00C747DD">
      <w:pPr>
        <w:ind w:left="851"/>
        <w:rPr>
          <w:bCs/>
          <w:i/>
          <w:iCs/>
          <w:sz w:val="24"/>
          <w:szCs w:val="24"/>
        </w:rPr>
      </w:pPr>
      <w:r w:rsidRPr="00BE282E">
        <w:rPr>
          <w:i/>
          <w:sz w:val="24"/>
          <w:szCs w:val="24"/>
          <w:lang w:bidi="da-DK"/>
        </w:rPr>
        <w:t>Pædiatrisk population</w:t>
      </w:r>
    </w:p>
    <w:p w:rsidR="00C747DD" w:rsidRPr="00BE282E" w:rsidRDefault="00C747DD" w:rsidP="00C747DD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>Noradrenalin </w:t>
      </w:r>
      <w:r w:rsidR="00450D8A">
        <w:rPr>
          <w:sz w:val="24"/>
          <w:szCs w:val="24"/>
          <w:lang w:bidi="da-DK"/>
        </w:rPr>
        <w:t>"</w:t>
      </w:r>
      <w:proofErr w:type="spellStart"/>
      <w:r w:rsidR="00450D8A">
        <w:rPr>
          <w:sz w:val="24"/>
          <w:szCs w:val="24"/>
          <w:lang w:bidi="da-DK"/>
        </w:rPr>
        <w:t>Aguettant</w:t>
      </w:r>
      <w:proofErr w:type="spellEnd"/>
      <w:r w:rsidR="00450D8A">
        <w:rPr>
          <w:sz w:val="24"/>
          <w:szCs w:val="24"/>
          <w:lang w:bidi="da-DK"/>
        </w:rPr>
        <w:t>"</w:t>
      </w:r>
      <w:r w:rsidRPr="00BE282E">
        <w:rPr>
          <w:sz w:val="24"/>
          <w:szCs w:val="24"/>
          <w:lang w:bidi="da-DK"/>
        </w:rPr>
        <w:t xml:space="preserve"> er kun indiceret til voksne.  </w:t>
      </w:r>
    </w:p>
    <w:p w:rsidR="00C747DD" w:rsidRPr="00BE282E" w:rsidRDefault="00C747DD" w:rsidP="00C747DD">
      <w:pPr>
        <w:autoSpaceDE w:val="0"/>
        <w:autoSpaceDN w:val="0"/>
        <w:adjustRightInd w:val="0"/>
        <w:ind w:left="851"/>
        <w:rPr>
          <w:i/>
          <w:noProof/>
          <w:sz w:val="24"/>
          <w:szCs w:val="24"/>
        </w:rPr>
      </w:pPr>
      <w:r>
        <w:rPr>
          <w:sz w:val="24"/>
          <w:szCs w:val="24"/>
          <w:lang w:bidi="da-DK"/>
        </w:rPr>
        <w:t>S</w:t>
      </w:r>
      <w:r w:rsidRPr="00BE282E">
        <w:rPr>
          <w:sz w:val="24"/>
          <w:szCs w:val="24"/>
          <w:lang w:bidi="da-DK"/>
        </w:rPr>
        <w:t>ikkerhed og virkning hos børn og unge er ikke klarlagt</w:t>
      </w:r>
      <w:r>
        <w:rPr>
          <w:sz w:val="24"/>
          <w:szCs w:val="24"/>
          <w:lang w:bidi="da-DK"/>
        </w:rPr>
        <w:t xml:space="preserve"> for </w:t>
      </w:r>
      <w:r w:rsidRPr="00BE282E">
        <w:rPr>
          <w:sz w:val="24"/>
          <w:szCs w:val="24"/>
          <w:lang w:bidi="da-DK"/>
        </w:rPr>
        <w:t>Noradrenalin </w:t>
      </w:r>
      <w:r w:rsidR="00450D8A">
        <w:rPr>
          <w:sz w:val="24"/>
          <w:szCs w:val="24"/>
          <w:lang w:bidi="da-DK"/>
        </w:rPr>
        <w:t>"</w:t>
      </w:r>
      <w:proofErr w:type="spellStart"/>
      <w:r w:rsidR="00450D8A">
        <w:rPr>
          <w:sz w:val="24"/>
          <w:szCs w:val="24"/>
          <w:lang w:bidi="da-DK"/>
        </w:rPr>
        <w:t>Aguettant</w:t>
      </w:r>
      <w:proofErr w:type="spellEnd"/>
      <w:r w:rsidR="00450D8A">
        <w:rPr>
          <w:sz w:val="24"/>
          <w:szCs w:val="24"/>
          <w:lang w:bidi="da-DK"/>
        </w:rPr>
        <w:t>"</w:t>
      </w:r>
      <w:r w:rsidRPr="00BE282E">
        <w:rPr>
          <w:sz w:val="24"/>
          <w:szCs w:val="24"/>
          <w:lang w:bidi="da-DK"/>
        </w:rPr>
        <w:t xml:space="preserve"> i 50 ml brug</w:t>
      </w:r>
      <w:r>
        <w:rPr>
          <w:sz w:val="24"/>
          <w:szCs w:val="24"/>
          <w:lang w:bidi="da-DK"/>
        </w:rPr>
        <w:t>sklar infusionsvæske, opløsning</w:t>
      </w:r>
      <w:r w:rsidRPr="00BE282E">
        <w:rPr>
          <w:sz w:val="24"/>
          <w:szCs w:val="24"/>
          <w:lang w:bidi="da-DK"/>
        </w:rPr>
        <w:t xml:space="preserve">. </w:t>
      </w:r>
    </w:p>
    <w:p w:rsidR="00C747DD" w:rsidRPr="00BE282E" w:rsidRDefault="00C747DD" w:rsidP="00C747DD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C747DD" w:rsidRPr="00BE282E" w:rsidRDefault="00C747DD" w:rsidP="00C747DD">
      <w:pPr>
        <w:autoSpaceDE w:val="0"/>
        <w:autoSpaceDN w:val="0"/>
        <w:adjustRightInd w:val="0"/>
        <w:ind w:left="851"/>
        <w:rPr>
          <w:i/>
          <w:noProof/>
          <w:sz w:val="24"/>
          <w:szCs w:val="24"/>
        </w:rPr>
      </w:pPr>
      <w:r w:rsidRPr="00BE282E">
        <w:rPr>
          <w:i/>
          <w:noProof/>
          <w:sz w:val="24"/>
          <w:szCs w:val="24"/>
          <w:lang w:bidi="da-DK"/>
        </w:rPr>
        <w:t>Patienter med nedsat nyre- og leverfunktion.</w:t>
      </w:r>
    </w:p>
    <w:p w:rsidR="00C747DD" w:rsidRPr="00BE282E" w:rsidRDefault="00C747DD" w:rsidP="00C747DD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>Der er ingen erfaringer med behandling af patienter med nedsat nyre- og leverfunktion.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4.3</w:t>
      </w:r>
      <w:r w:rsidRPr="00BE282E">
        <w:rPr>
          <w:b/>
          <w:sz w:val="24"/>
          <w:szCs w:val="24"/>
        </w:rPr>
        <w:tab/>
        <w:t>Kontraindikationer</w:t>
      </w:r>
    </w:p>
    <w:p w:rsidR="00C747DD" w:rsidRPr="00BE282E" w:rsidRDefault="00C747DD" w:rsidP="00C747DD">
      <w:pPr>
        <w:ind w:left="851"/>
        <w:rPr>
          <w:noProof/>
          <w:sz w:val="24"/>
          <w:szCs w:val="24"/>
          <w:lang w:val="it-IT"/>
        </w:rPr>
      </w:pPr>
      <w:r w:rsidRPr="00BE282E">
        <w:rPr>
          <w:noProof/>
          <w:sz w:val="24"/>
          <w:szCs w:val="24"/>
          <w:lang w:bidi="da-DK"/>
        </w:rPr>
        <w:t>Administration via perifer kanyle og/eller perifer vene.</w:t>
      </w:r>
    </w:p>
    <w:p w:rsidR="00C747DD" w:rsidRPr="00BE282E" w:rsidRDefault="00C747DD" w:rsidP="00C747DD">
      <w:pPr>
        <w:ind w:left="851"/>
        <w:rPr>
          <w:noProof/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>Overfølsomhed over for noradrenalin eller over for et eller flere af hjælpestofferne anført i pkt. 6.1.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4.4</w:t>
      </w:r>
      <w:r w:rsidRPr="00BE282E">
        <w:rPr>
          <w:b/>
          <w:sz w:val="24"/>
          <w:szCs w:val="24"/>
        </w:rPr>
        <w:tab/>
        <w:t>Særlige advarsler og forsigtighedsregler vedrørende brugen</w:t>
      </w:r>
    </w:p>
    <w:p w:rsidR="00C747DD" w:rsidRDefault="00C747DD" w:rsidP="00C747DD">
      <w:pPr>
        <w:ind w:left="851"/>
        <w:rPr>
          <w:sz w:val="24"/>
          <w:szCs w:val="24"/>
          <w:lang w:bidi="da-DK"/>
        </w:rPr>
      </w:pPr>
    </w:p>
    <w:p w:rsidR="00C747DD" w:rsidRPr="00E57953" w:rsidRDefault="00C747DD" w:rsidP="00C747DD">
      <w:pPr>
        <w:ind w:left="851"/>
        <w:rPr>
          <w:i/>
          <w:sz w:val="24"/>
          <w:szCs w:val="24"/>
          <w:u w:val="single"/>
          <w:lang w:eastAsia="fr-FR"/>
        </w:rPr>
      </w:pPr>
      <w:r w:rsidRPr="00E57953">
        <w:rPr>
          <w:i/>
          <w:sz w:val="24"/>
          <w:szCs w:val="24"/>
          <w:u w:val="single"/>
          <w:lang w:bidi="da-DK"/>
        </w:rPr>
        <w:t>Advarsel: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 xml:space="preserve">Noradrenalin er kontraindiceret hos </w:t>
      </w:r>
      <w:proofErr w:type="spellStart"/>
      <w:r w:rsidRPr="00BE282E">
        <w:rPr>
          <w:sz w:val="24"/>
          <w:szCs w:val="24"/>
          <w:lang w:bidi="da-DK"/>
        </w:rPr>
        <w:t>hypotensive</w:t>
      </w:r>
      <w:proofErr w:type="spellEnd"/>
      <w:r w:rsidRPr="00BE282E">
        <w:rPr>
          <w:sz w:val="24"/>
          <w:szCs w:val="24"/>
          <w:lang w:bidi="da-DK"/>
        </w:rPr>
        <w:t xml:space="preserve"> patienter, hvor kredsløbskollaps er associeret med </w:t>
      </w:r>
      <w:proofErr w:type="spellStart"/>
      <w:r w:rsidRPr="00BE282E">
        <w:rPr>
          <w:sz w:val="24"/>
          <w:szCs w:val="24"/>
          <w:lang w:bidi="da-DK"/>
        </w:rPr>
        <w:t>hypovolæmi</w:t>
      </w:r>
      <w:proofErr w:type="spellEnd"/>
      <w:r w:rsidRPr="00BE282E">
        <w:rPr>
          <w:sz w:val="24"/>
          <w:szCs w:val="24"/>
          <w:lang w:bidi="da-DK"/>
        </w:rPr>
        <w:t>, dog undtaget akut behandling for at opretholde blodforsyning til krans- og hjernearterier, indtil der kan iværksættes behandling til substitution af blodmængden.</w:t>
      </w:r>
    </w:p>
    <w:p w:rsidR="00C747DD" w:rsidRDefault="00C747DD" w:rsidP="00C747DD">
      <w:pPr>
        <w:ind w:left="851"/>
        <w:rPr>
          <w:sz w:val="24"/>
          <w:szCs w:val="24"/>
          <w:lang w:bidi="da-DK"/>
        </w:rPr>
      </w:pP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>Noradrenalin</w:t>
      </w:r>
      <w:r>
        <w:rPr>
          <w:sz w:val="24"/>
          <w:szCs w:val="24"/>
          <w:lang w:bidi="da-DK"/>
        </w:rPr>
        <w:t xml:space="preserve"> </w:t>
      </w:r>
      <w:r w:rsidR="00450D8A">
        <w:rPr>
          <w:sz w:val="24"/>
          <w:szCs w:val="24"/>
          <w:lang w:bidi="da-DK"/>
        </w:rPr>
        <w:t>"</w:t>
      </w:r>
      <w:proofErr w:type="spellStart"/>
      <w:r w:rsidR="00450D8A">
        <w:rPr>
          <w:sz w:val="24"/>
          <w:szCs w:val="24"/>
          <w:lang w:bidi="da-DK"/>
        </w:rPr>
        <w:t>Aguettant</w:t>
      </w:r>
      <w:proofErr w:type="spellEnd"/>
      <w:r w:rsidR="00450D8A">
        <w:rPr>
          <w:sz w:val="24"/>
          <w:szCs w:val="24"/>
          <w:lang w:bidi="da-DK"/>
        </w:rPr>
        <w:t>"</w:t>
      </w:r>
      <w:r w:rsidRPr="00BE282E">
        <w:rPr>
          <w:sz w:val="24"/>
          <w:szCs w:val="24"/>
          <w:lang w:bidi="da-DK"/>
        </w:rPr>
        <w:t xml:space="preserve"> er kun beregnet til infusion via et centralt venekateter. Her er risikoen for </w:t>
      </w:r>
      <w:proofErr w:type="spellStart"/>
      <w:r w:rsidRPr="00BE282E">
        <w:rPr>
          <w:sz w:val="24"/>
          <w:szCs w:val="24"/>
          <w:lang w:bidi="da-DK"/>
        </w:rPr>
        <w:t>ekstravasation</w:t>
      </w:r>
      <w:proofErr w:type="spellEnd"/>
      <w:r w:rsidRPr="00BE282E">
        <w:rPr>
          <w:sz w:val="24"/>
          <w:szCs w:val="24"/>
          <w:lang w:bidi="da-DK"/>
        </w:rPr>
        <w:t xml:space="preserve"> og efterfølgende vævsnekrose meget begrænset. Infusionsstedet skal kontrolleres hyppigt. Hvis der forekommer </w:t>
      </w:r>
      <w:proofErr w:type="spellStart"/>
      <w:r w:rsidRPr="00BE282E">
        <w:rPr>
          <w:sz w:val="24"/>
          <w:szCs w:val="24"/>
          <w:lang w:bidi="da-DK"/>
        </w:rPr>
        <w:t>ekstravasation</w:t>
      </w:r>
      <w:proofErr w:type="spellEnd"/>
      <w:r w:rsidRPr="00BE282E">
        <w:rPr>
          <w:sz w:val="24"/>
          <w:szCs w:val="24"/>
          <w:lang w:bidi="da-DK"/>
        </w:rPr>
        <w:t xml:space="preserve">, skal infusionen omgående standses, og området skal straks infiltreres med </w:t>
      </w:r>
      <w:proofErr w:type="spellStart"/>
      <w:r w:rsidRPr="00BE282E">
        <w:rPr>
          <w:sz w:val="24"/>
          <w:szCs w:val="24"/>
          <w:lang w:bidi="da-DK"/>
        </w:rPr>
        <w:t>phentolamin</w:t>
      </w:r>
      <w:proofErr w:type="spellEnd"/>
      <w:r w:rsidRPr="00BE282E">
        <w:rPr>
          <w:sz w:val="24"/>
          <w:szCs w:val="24"/>
          <w:lang w:bidi="da-DK"/>
        </w:rPr>
        <w:t>. Der overvåges tæt med henblik på forbedring, og der foretages en ny vurdering vedrørende yderligere behandling for at reversere den iskæmiske effekt.</w:t>
      </w:r>
    </w:p>
    <w:p w:rsidR="00C747DD" w:rsidRPr="00BE282E" w:rsidRDefault="00C747DD" w:rsidP="00C747DD">
      <w:pPr>
        <w:ind w:left="851"/>
        <w:rPr>
          <w:bCs/>
          <w:sz w:val="24"/>
          <w:szCs w:val="24"/>
          <w:lang w:eastAsia="fr-FR"/>
        </w:rPr>
      </w:pPr>
    </w:p>
    <w:p w:rsidR="00C747DD" w:rsidRPr="00E57953" w:rsidRDefault="00C747DD" w:rsidP="00C747DD">
      <w:pPr>
        <w:ind w:left="851"/>
        <w:rPr>
          <w:i/>
          <w:sz w:val="24"/>
          <w:szCs w:val="24"/>
          <w:u w:val="single"/>
          <w:lang w:eastAsia="fr-FR"/>
        </w:rPr>
      </w:pPr>
      <w:r w:rsidRPr="00E57953">
        <w:rPr>
          <w:i/>
          <w:sz w:val="24"/>
          <w:szCs w:val="24"/>
          <w:u w:val="single"/>
          <w:lang w:bidi="da-DK"/>
        </w:rPr>
        <w:t>Forsigtighedsregler vedrørende brugen: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</w:p>
    <w:p w:rsidR="005C09E6" w:rsidRPr="005C09E6" w:rsidRDefault="005C09E6" w:rsidP="005C09E6">
      <w:pPr>
        <w:ind w:left="851"/>
        <w:rPr>
          <w:sz w:val="24"/>
          <w:szCs w:val="24"/>
        </w:rPr>
      </w:pPr>
      <w:r w:rsidRPr="005C09E6">
        <w:rPr>
          <w:sz w:val="24"/>
          <w:szCs w:val="24"/>
          <w:lang w:bidi="da-DK"/>
        </w:rPr>
        <w:t xml:space="preserve">Generelt tilrådes forsigtighed i følgende tilfælde af hypotension og </w:t>
      </w:r>
      <w:proofErr w:type="spellStart"/>
      <w:r w:rsidRPr="005C09E6">
        <w:rPr>
          <w:sz w:val="24"/>
          <w:szCs w:val="24"/>
          <w:lang w:bidi="da-DK"/>
        </w:rPr>
        <w:t>hypoperfusion</w:t>
      </w:r>
      <w:proofErr w:type="spellEnd"/>
      <w:r w:rsidRPr="005C09E6">
        <w:rPr>
          <w:sz w:val="24"/>
          <w:szCs w:val="24"/>
          <w:lang w:bidi="da-DK"/>
        </w:rPr>
        <w:t>, hvor det kan være nødvendigt at reducere dosis af noradrenalin:</w:t>
      </w:r>
    </w:p>
    <w:p w:rsidR="00C747DD" w:rsidRPr="00E57953" w:rsidRDefault="00C747DD" w:rsidP="00C747DD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E57953">
        <w:rPr>
          <w:sz w:val="24"/>
          <w:szCs w:val="24"/>
          <w:lang w:bidi="da-DK"/>
        </w:rPr>
        <w:t xml:space="preserve">Alvorlig venstre </w:t>
      </w:r>
      <w:proofErr w:type="spellStart"/>
      <w:r w:rsidRPr="00E57953">
        <w:rPr>
          <w:sz w:val="24"/>
          <w:szCs w:val="24"/>
          <w:lang w:bidi="da-DK"/>
        </w:rPr>
        <w:t>ventrikulær</w:t>
      </w:r>
      <w:proofErr w:type="spellEnd"/>
      <w:r w:rsidRPr="00E57953">
        <w:rPr>
          <w:sz w:val="24"/>
          <w:szCs w:val="24"/>
          <w:lang w:bidi="da-DK"/>
        </w:rPr>
        <w:t xml:space="preserve"> dysfunktion associeret med </w:t>
      </w:r>
      <w:r>
        <w:rPr>
          <w:sz w:val="24"/>
          <w:szCs w:val="24"/>
          <w:lang w:bidi="da-DK"/>
        </w:rPr>
        <w:t xml:space="preserve">akut </w:t>
      </w:r>
      <w:r w:rsidRPr="00E57953">
        <w:rPr>
          <w:sz w:val="24"/>
          <w:szCs w:val="24"/>
          <w:lang w:bidi="da-DK"/>
        </w:rPr>
        <w:t xml:space="preserve">hypotension. Støttende behandling bør iværksættes samtidig med diagnostisk vurdering. Noradrenalin bør forbeholdes patienter med </w:t>
      </w:r>
      <w:proofErr w:type="spellStart"/>
      <w:r w:rsidRPr="00E57953">
        <w:rPr>
          <w:sz w:val="24"/>
          <w:szCs w:val="24"/>
          <w:lang w:bidi="da-DK"/>
        </w:rPr>
        <w:t>kardiogent</w:t>
      </w:r>
      <w:proofErr w:type="spellEnd"/>
      <w:r w:rsidRPr="00E57953">
        <w:rPr>
          <w:sz w:val="24"/>
          <w:szCs w:val="24"/>
          <w:lang w:bidi="da-DK"/>
        </w:rPr>
        <w:t xml:space="preserve"> </w:t>
      </w:r>
      <w:proofErr w:type="spellStart"/>
      <w:r w:rsidRPr="00E57953">
        <w:rPr>
          <w:sz w:val="24"/>
          <w:szCs w:val="24"/>
          <w:lang w:bidi="da-DK"/>
        </w:rPr>
        <w:t>shock</w:t>
      </w:r>
      <w:proofErr w:type="spellEnd"/>
      <w:r w:rsidRPr="00E57953">
        <w:rPr>
          <w:sz w:val="24"/>
          <w:szCs w:val="24"/>
          <w:lang w:bidi="da-DK"/>
        </w:rPr>
        <w:t xml:space="preserve"> og refraktær hypotension, især patienter uden forhøjet systemisk </w:t>
      </w:r>
      <w:proofErr w:type="spellStart"/>
      <w:r w:rsidRPr="00E57953">
        <w:rPr>
          <w:sz w:val="24"/>
          <w:szCs w:val="24"/>
          <w:lang w:bidi="da-DK"/>
        </w:rPr>
        <w:t>vaskulær</w:t>
      </w:r>
      <w:proofErr w:type="spellEnd"/>
      <w:r w:rsidRPr="00E57953">
        <w:rPr>
          <w:sz w:val="24"/>
          <w:szCs w:val="24"/>
          <w:lang w:bidi="da-DK"/>
        </w:rPr>
        <w:t xml:space="preserve"> modstand.</w:t>
      </w:r>
    </w:p>
    <w:p w:rsidR="00C747DD" w:rsidRPr="00E57953" w:rsidRDefault="00C747DD" w:rsidP="00C747DD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 w:rsidRPr="00E57953">
        <w:rPr>
          <w:sz w:val="24"/>
          <w:szCs w:val="24"/>
          <w:lang w:bidi="da-DK"/>
        </w:rPr>
        <w:t>Hypotensive</w:t>
      </w:r>
      <w:proofErr w:type="spellEnd"/>
      <w:r w:rsidRPr="00E57953">
        <w:rPr>
          <w:sz w:val="24"/>
          <w:szCs w:val="24"/>
          <w:lang w:bidi="da-DK"/>
        </w:rPr>
        <w:t xml:space="preserve"> patienter med </w:t>
      </w:r>
      <w:proofErr w:type="spellStart"/>
      <w:r w:rsidRPr="00E57953">
        <w:rPr>
          <w:sz w:val="24"/>
          <w:szCs w:val="24"/>
          <w:lang w:bidi="da-DK"/>
        </w:rPr>
        <w:t>koronar</w:t>
      </w:r>
      <w:proofErr w:type="spellEnd"/>
      <w:r w:rsidRPr="00E57953">
        <w:rPr>
          <w:sz w:val="24"/>
          <w:szCs w:val="24"/>
          <w:lang w:bidi="da-DK"/>
        </w:rPr>
        <w:t xml:space="preserve">, </w:t>
      </w:r>
      <w:proofErr w:type="spellStart"/>
      <w:r w:rsidRPr="00E57953">
        <w:rPr>
          <w:sz w:val="24"/>
          <w:szCs w:val="24"/>
          <w:lang w:bidi="da-DK"/>
        </w:rPr>
        <w:t>mesenteriel</w:t>
      </w:r>
      <w:proofErr w:type="spellEnd"/>
      <w:r w:rsidRPr="00E57953">
        <w:rPr>
          <w:sz w:val="24"/>
          <w:szCs w:val="24"/>
          <w:lang w:bidi="da-DK"/>
        </w:rPr>
        <w:t xml:space="preserve"> eller perifer </w:t>
      </w:r>
      <w:proofErr w:type="spellStart"/>
      <w:r w:rsidRPr="00E57953">
        <w:rPr>
          <w:sz w:val="24"/>
          <w:szCs w:val="24"/>
          <w:lang w:bidi="da-DK"/>
        </w:rPr>
        <w:t>vaskulær</w:t>
      </w:r>
      <w:proofErr w:type="spellEnd"/>
      <w:r w:rsidRPr="00E57953">
        <w:rPr>
          <w:sz w:val="24"/>
          <w:szCs w:val="24"/>
          <w:lang w:bidi="da-DK"/>
        </w:rPr>
        <w:t xml:space="preserve"> trombose, myokardieinfarkt eller </w:t>
      </w:r>
      <w:proofErr w:type="spellStart"/>
      <w:r w:rsidRPr="00E57953">
        <w:rPr>
          <w:sz w:val="24"/>
          <w:szCs w:val="24"/>
          <w:lang w:bidi="da-DK"/>
        </w:rPr>
        <w:t>Prinzmetals</w:t>
      </w:r>
      <w:proofErr w:type="spellEnd"/>
      <w:r w:rsidRPr="00E57953">
        <w:rPr>
          <w:sz w:val="24"/>
          <w:szCs w:val="24"/>
          <w:lang w:bidi="da-DK"/>
        </w:rPr>
        <w:t xml:space="preserve"> angina. Der skal udvises særlig forsigtighed, da noradrenalin kan forøge den associerede iskæmi og udvide infarktområdet. </w:t>
      </w:r>
    </w:p>
    <w:p w:rsidR="00C747DD" w:rsidRPr="00E57953" w:rsidRDefault="00C747DD" w:rsidP="00C747DD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E57953">
        <w:rPr>
          <w:sz w:val="24"/>
          <w:szCs w:val="24"/>
          <w:lang w:bidi="da-DK"/>
        </w:rPr>
        <w:t>Forekomst af hjerterytmeforstyrrelser under behandling med noradrenalin.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 xml:space="preserve">Der tilrådes forsigtighed hos patienter med </w:t>
      </w:r>
      <w:proofErr w:type="spellStart"/>
      <w:r w:rsidRPr="00BE282E">
        <w:rPr>
          <w:sz w:val="24"/>
          <w:szCs w:val="24"/>
          <w:lang w:bidi="da-DK"/>
        </w:rPr>
        <w:t>hyperthyroidisme</w:t>
      </w:r>
      <w:proofErr w:type="spellEnd"/>
      <w:r w:rsidRPr="00BE282E">
        <w:rPr>
          <w:sz w:val="24"/>
          <w:szCs w:val="24"/>
          <w:lang w:bidi="da-DK"/>
        </w:rPr>
        <w:t xml:space="preserve"> eller diabetes mellitus.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>I tilfælde, hvor det er nødvendigt at administrere noradrenalin samtidig med fuldblod eller plasma, skal sidstnævnte administreres i et separat drop.</w:t>
      </w:r>
    </w:p>
    <w:p w:rsidR="00C747DD" w:rsidRPr="00BE282E" w:rsidRDefault="00C747DD" w:rsidP="00C747DD">
      <w:pPr>
        <w:ind w:left="851"/>
        <w:rPr>
          <w:noProof/>
          <w:sz w:val="24"/>
          <w:szCs w:val="24"/>
        </w:rPr>
      </w:pPr>
    </w:p>
    <w:p w:rsidR="00C747DD" w:rsidRDefault="00C747DD" w:rsidP="00C747DD">
      <w:pPr>
        <w:ind w:left="851"/>
        <w:rPr>
          <w:sz w:val="24"/>
          <w:szCs w:val="24"/>
        </w:rPr>
      </w:pPr>
      <w:r w:rsidRPr="00E23F6E">
        <w:rPr>
          <w:noProof/>
          <w:sz w:val="24"/>
          <w:szCs w:val="24"/>
          <w:lang w:bidi="da-DK"/>
        </w:rPr>
        <w:t>Dette lægemiddel indholder 177,3 mg natrium pr. hætteglas svarende til 8,9 % af</w:t>
      </w:r>
      <w:r>
        <w:rPr>
          <w:noProof/>
          <w:sz w:val="24"/>
          <w:szCs w:val="24"/>
          <w:lang w:bidi="da-DK"/>
        </w:rPr>
        <w:t xml:space="preserve"> den</w:t>
      </w:r>
      <w:r w:rsidRPr="00E23F6E">
        <w:rPr>
          <w:noProof/>
          <w:sz w:val="24"/>
          <w:szCs w:val="24"/>
          <w:lang w:bidi="da-DK"/>
        </w:rPr>
        <w:t xml:space="preserve"> WHO anbefalede, ma</w:t>
      </w:r>
      <w:r>
        <w:rPr>
          <w:noProof/>
          <w:sz w:val="24"/>
          <w:szCs w:val="24"/>
          <w:lang w:bidi="da-DK"/>
        </w:rPr>
        <w:t>x</w:t>
      </w:r>
      <w:r w:rsidRPr="00E23F6E">
        <w:rPr>
          <w:noProof/>
          <w:sz w:val="24"/>
          <w:szCs w:val="24"/>
          <w:lang w:bidi="da-DK"/>
        </w:rPr>
        <w:t>imale daglige indtag</w:t>
      </w:r>
      <w:r>
        <w:rPr>
          <w:noProof/>
          <w:sz w:val="24"/>
          <w:szCs w:val="24"/>
          <w:lang w:bidi="da-DK"/>
        </w:rPr>
        <w:t>else</w:t>
      </w:r>
      <w:r w:rsidRPr="00E23F6E">
        <w:rPr>
          <w:noProof/>
          <w:sz w:val="24"/>
          <w:szCs w:val="24"/>
          <w:lang w:bidi="da-DK"/>
        </w:rPr>
        <w:t xml:space="preserve"> </w:t>
      </w:r>
      <w:r>
        <w:rPr>
          <w:noProof/>
          <w:sz w:val="24"/>
          <w:szCs w:val="24"/>
          <w:lang w:bidi="da-DK"/>
        </w:rPr>
        <w:t>af</w:t>
      </w:r>
      <w:r w:rsidRPr="00E23F6E">
        <w:rPr>
          <w:noProof/>
          <w:sz w:val="24"/>
          <w:szCs w:val="24"/>
          <w:lang w:bidi="da-DK"/>
        </w:rPr>
        <w:t xml:space="preserve"> 2 g natrium </w:t>
      </w:r>
      <w:r>
        <w:rPr>
          <w:noProof/>
          <w:sz w:val="24"/>
          <w:szCs w:val="24"/>
          <w:lang w:bidi="da-DK"/>
        </w:rPr>
        <w:t>for en</w:t>
      </w:r>
      <w:r w:rsidRPr="00E23F6E">
        <w:rPr>
          <w:noProof/>
          <w:sz w:val="24"/>
          <w:szCs w:val="24"/>
          <w:lang w:bidi="da-DK"/>
        </w:rPr>
        <w:t xml:space="preserve"> voksen.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4.5</w:t>
      </w:r>
      <w:r w:rsidRPr="00BE282E">
        <w:rPr>
          <w:b/>
          <w:sz w:val="24"/>
          <w:szCs w:val="24"/>
        </w:rPr>
        <w:tab/>
        <w:t>Interaktion med andre lægemidler og andre former for interaktion</w:t>
      </w:r>
    </w:p>
    <w:p w:rsidR="00C747DD" w:rsidRDefault="00C747DD" w:rsidP="00C747DD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bidi="da-DK"/>
        </w:rPr>
      </w:pPr>
    </w:p>
    <w:p w:rsidR="00C747DD" w:rsidRPr="00BE282E" w:rsidRDefault="00C747DD" w:rsidP="00C747DD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BE282E">
        <w:rPr>
          <w:sz w:val="24"/>
          <w:szCs w:val="24"/>
          <w:u w:val="single"/>
          <w:lang w:bidi="da-DK"/>
        </w:rPr>
        <w:t>Kombinationer, der ikke tilrådes:</w:t>
      </w:r>
    </w:p>
    <w:p w:rsidR="00C747DD" w:rsidRPr="00BE282E" w:rsidRDefault="00C747DD" w:rsidP="00C747DD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C747DD" w:rsidRPr="00080835" w:rsidRDefault="00C747DD" w:rsidP="00C747DD">
      <w:pPr>
        <w:pStyle w:val="Listeafsnit"/>
        <w:numPr>
          <w:ilvl w:val="0"/>
          <w:numId w:val="7"/>
        </w:numPr>
        <w:autoSpaceDE w:val="0"/>
        <w:autoSpaceDN w:val="0"/>
        <w:adjustRightInd w:val="0"/>
        <w:ind w:left="1276" w:hanging="425"/>
        <w:rPr>
          <w:sz w:val="24"/>
          <w:szCs w:val="24"/>
        </w:rPr>
      </w:pPr>
      <w:proofErr w:type="spellStart"/>
      <w:r w:rsidRPr="00080835">
        <w:rPr>
          <w:b/>
          <w:sz w:val="24"/>
          <w:szCs w:val="24"/>
          <w:lang w:bidi="da-DK"/>
        </w:rPr>
        <w:t>Volatile</w:t>
      </w:r>
      <w:proofErr w:type="spellEnd"/>
      <w:r w:rsidRPr="00080835">
        <w:rPr>
          <w:b/>
          <w:sz w:val="24"/>
          <w:szCs w:val="24"/>
          <w:lang w:bidi="da-DK"/>
        </w:rPr>
        <w:t xml:space="preserve"> </w:t>
      </w:r>
      <w:proofErr w:type="spellStart"/>
      <w:r w:rsidRPr="00080835">
        <w:rPr>
          <w:b/>
          <w:sz w:val="24"/>
          <w:szCs w:val="24"/>
          <w:lang w:bidi="da-DK"/>
        </w:rPr>
        <w:t>halogenerede</w:t>
      </w:r>
      <w:proofErr w:type="spellEnd"/>
      <w:r w:rsidRPr="00080835">
        <w:rPr>
          <w:b/>
          <w:sz w:val="24"/>
          <w:szCs w:val="24"/>
          <w:lang w:bidi="da-DK"/>
        </w:rPr>
        <w:t xml:space="preserve"> </w:t>
      </w:r>
      <w:proofErr w:type="spellStart"/>
      <w:r w:rsidRPr="00080835">
        <w:rPr>
          <w:b/>
          <w:sz w:val="24"/>
          <w:szCs w:val="24"/>
          <w:lang w:bidi="da-DK"/>
        </w:rPr>
        <w:t>anæstetika</w:t>
      </w:r>
      <w:proofErr w:type="spellEnd"/>
      <w:r w:rsidRPr="00080835">
        <w:rPr>
          <w:sz w:val="24"/>
          <w:szCs w:val="24"/>
          <w:lang w:bidi="da-DK"/>
        </w:rPr>
        <w:t xml:space="preserve">: alvorlig </w:t>
      </w:r>
      <w:proofErr w:type="spellStart"/>
      <w:r w:rsidRPr="00080835">
        <w:rPr>
          <w:sz w:val="24"/>
          <w:szCs w:val="24"/>
          <w:lang w:bidi="da-DK"/>
        </w:rPr>
        <w:t>ventrikulær</w:t>
      </w:r>
      <w:proofErr w:type="spellEnd"/>
      <w:r w:rsidRPr="00080835">
        <w:rPr>
          <w:sz w:val="24"/>
          <w:szCs w:val="24"/>
          <w:lang w:bidi="da-DK"/>
        </w:rPr>
        <w:t xml:space="preserve"> </w:t>
      </w:r>
      <w:proofErr w:type="spellStart"/>
      <w:r w:rsidRPr="00080835">
        <w:rPr>
          <w:sz w:val="24"/>
          <w:szCs w:val="24"/>
          <w:lang w:bidi="da-DK"/>
        </w:rPr>
        <w:t>arytmi</w:t>
      </w:r>
      <w:proofErr w:type="spellEnd"/>
      <w:r w:rsidRPr="00080835">
        <w:rPr>
          <w:sz w:val="24"/>
          <w:szCs w:val="24"/>
          <w:lang w:bidi="da-DK"/>
        </w:rPr>
        <w:t xml:space="preserve"> (forøgelse af hjertets </w:t>
      </w:r>
      <w:proofErr w:type="spellStart"/>
      <w:r w:rsidRPr="00080835">
        <w:rPr>
          <w:sz w:val="24"/>
          <w:szCs w:val="24"/>
          <w:lang w:bidi="da-DK"/>
        </w:rPr>
        <w:t>excitabilitet</w:t>
      </w:r>
      <w:proofErr w:type="spellEnd"/>
      <w:r w:rsidRPr="00080835">
        <w:rPr>
          <w:sz w:val="24"/>
          <w:szCs w:val="24"/>
          <w:lang w:bidi="da-DK"/>
        </w:rPr>
        <w:t>).</w:t>
      </w:r>
    </w:p>
    <w:p w:rsidR="00C747DD" w:rsidRPr="00080835" w:rsidRDefault="00C747DD" w:rsidP="00C747DD">
      <w:pPr>
        <w:pStyle w:val="Listeafsnit"/>
        <w:numPr>
          <w:ilvl w:val="0"/>
          <w:numId w:val="7"/>
        </w:numPr>
        <w:autoSpaceDE w:val="0"/>
        <w:autoSpaceDN w:val="0"/>
        <w:adjustRightInd w:val="0"/>
        <w:ind w:left="1276" w:hanging="425"/>
        <w:rPr>
          <w:sz w:val="24"/>
          <w:szCs w:val="24"/>
        </w:rPr>
      </w:pPr>
      <w:proofErr w:type="spellStart"/>
      <w:r w:rsidRPr="00080835">
        <w:rPr>
          <w:b/>
          <w:sz w:val="24"/>
          <w:szCs w:val="24"/>
          <w:lang w:bidi="da-DK"/>
        </w:rPr>
        <w:t>Imipramin-antidepressiva</w:t>
      </w:r>
      <w:proofErr w:type="spellEnd"/>
      <w:r w:rsidRPr="00080835">
        <w:rPr>
          <w:sz w:val="24"/>
          <w:szCs w:val="24"/>
          <w:lang w:bidi="da-DK"/>
        </w:rPr>
        <w:t xml:space="preserve">: </w:t>
      </w:r>
      <w:proofErr w:type="spellStart"/>
      <w:r w:rsidRPr="00080835">
        <w:rPr>
          <w:sz w:val="24"/>
          <w:szCs w:val="24"/>
          <w:lang w:bidi="da-DK"/>
        </w:rPr>
        <w:t>paroksysmal</w:t>
      </w:r>
      <w:proofErr w:type="spellEnd"/>
      <w:r w:rsidRPr="00080835">
        <w:rPr>
          <w:sz w:val="24"/>
          <w:szCs w:val="24"/>
          <w:lang w:bidi="da-DK"/>
        </w:rPr>
        <w:t xml:space="preserve"> hypertension med mulighed for </w:t>
      </w:r>
      <w:proofErr w:type="spellStart"/>
      <w:r w:rsidRPr="00080835">
        <w:rPr>
          <w:sz w:val="24"/>
          <w:szCs w:val="24"/>
          <w:lang w:bidi="da-DK"/>
        </w:rPr>
        <w:t>arytmi</w:t>
      </w:r>
      <w:proofErr w:type="spellEnd"/>
      <w:r w:rsidRPr="00080835">
        <w:rPr>
          <w:sz w:val="24"/>
          <w:szCs w:val="24"/>
          <w:lang w:bidi="da-DK"/>
        </w:rPr>
        <w:t xml:space="preserve"> (hæmning af </w:t>
      </w:r>
      <w:proofErr w:type="spellStart"/>
      <w:r w:rsidRPr="00080835">
        <w:rPr>
          <w:sz w:val="24"/>
          <w:szCs w:val="24"/>
          <w:lang w:bidi="da-DK"/>
        </w:rPr>
        <w:t>sympatomimetikas</w:t>
      </w:r>
      <w:proofErr w:type="spellEnd"/>
      <w:r w:rsidRPr="00080835">
        <w:rPr>
          <w:sz w:val="24"/>
          <w:szCs w:val="24"/>
          <w:lang w:bidi="da-DK"/>
        </w:rPr>
        <w:t xml:space="preserve"> indtrængen i sympatiske fibre).</w:t>
      </w:r>
    </w:p>
    <w:p w:rsidR="00C747DD" w:rsidRPr="00080835" w:rsidRDefault="00C747DD" w:rsidP="00C747DD">
      <w:pPr>
        <w:pStyle w:val="Listeafsnit"/>
        <w:numPr>
          <w:ilvl w:val="0"/>
          <w:numId w:val="7"/>
        </w:numPr>
        <w:autoSpaceDE w:val="0"/>
        <w:autoSpaceDN w:val="0"/>
        <w:adjustRightInd w:val="0"/>
        <w:ind w:left="1276" w:hanging="425"/>
        <w:rPr>
          <w:sz w:val="24"/>
          <w:szCs w:val="24"/>
        </w:rPr>
      </w:pPr>
      <w:proofErr w:type="spellStart"/>
      <w:r w:rsidRPr="00080835">
        <w:rPr>
          <w:b/>
          <w:sz w:val="24"/>
          <w:szCs w:val="24"/>
          <w:lang w:bidi="da-DK"/>
        </w:rPr>
        <w:lastRenderedPageBreak/>
        <w:t>Serotoninerge-adrenerge</w:t>
      </w:r>
      <w:proofErr w:type="spellEnd"/>
      <w:r w:rsidRPr="00080835">
        <w:rPr>
          <w:b/>
          <w:sz w:val="24"/>
          <w:szCs w:val="24"/>
          <w:lang w:bidi="da-DK"/>
        </w:rPr>
        <w:t xml:space="preserve"> </w:t>
      </w:r>
      <w:proofErr w:type="spellStart"/>
      <w:r w:rsidRPr="00080835">
        <w:rPr>
          <w:b/>
          <w:sz w:val="24"/>
          <w:szCs w:val="24"/>
          <w:lang w:bidi="da-DK"/>
        </w:rPr>
        <w:t>antidepressiva</w:t>
      </w:r>
      <w:proofErr w:type="spellEnd"/>
      <w:r w:rsidRPr="00080835">
        <w:rPr>
          <w:sz w:val="24"/>
          <w:szCs w:val="24"/>
          <w:lang w:bidi="da-DK"/>
        </w:rPr>
        <w:t xml:space="preserve">: </w:t>
      </w:r>
      <w:proofErr w:type="spellStart"/>
      <w:r w:rsidRPr="00080835">
        <w:rPr>
          <w:sz w:val="24"/>
          <w:szCs w:val="24"/>
          <w:lang w:bidi="da-DK"/>
        </w:rPr>
        <w:t>paroksysmal</w:t>
      </w:r>
      <w:proofErr w:type="spellEnd"/>
      <w:r w:rsidRPr="00080835">
        <w:rPr>
          <w:sz w:val="24"/>
          <w:szCs w:val="24"/>
          <w:lang w:bidi="da-DK"/>
        </w:rPr>
        <w:t xml:space="preserve"> hypertension med mulighed for </w:t>
      </w:r>
      <w:proofErr w:type="spellStart"/>
      <w:r w:rsidRPr="00080835">
        <w:rPr>
          <w:sz w:val="24"/>
          <w:szCs w:val="24"/>
          <w:lang w:bidi="da-DK"/>
        </w:rPr>
        <w:t>arytmi</w:t>
      </w:r>
      <w:proofErr w:type="spellEnd"/>
      <w:r w:rsidRPr="00080835">
        <w:rPr>
          <w:sz w:val="24"/>
          <w:szCs w:val="24"/>
          <w:lang w:bidi="da-DK"/>
        </w:rPr>
        <w:t xml:space="preserve"> (hæmning af </w:t>
      </w:r>
      <w:proofErr w:type="spellStart"/>
      <w:r w:rsidRPr="00080835">
        <w:rPr>
          <w:sz w:val="24"/>
          <w:szCs w:val="24"/>
          <w:lang w:bidi="da-DK"/>
        </w:rPr>
        <w:t>sympatomimetikas</w:t>
      </w:r>
      <w:proofErr w:type="spellEnd"/>
      <w:r w:rsidRPr="00080835">
        <w:rPr>
          <w:sz w:val="24"/>
          <w:szCs w:val="24"/>
          <w:lang w:bidi="da-DK"/>
        </w:rPr>
        <w:t xml:space="preserve"> indtrængen i sympatiske fibre).</w:t>
      </w:r>
    </w:p>
    <w:p w:rsidR="00C747DD" w:rsidRPr="00BE282E" w:rsidRDefault="00C747DD" w:rsidP="00C747DD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C747DD" w:rsidRPr="00BE282E" w:rsidRDefault="00C747DD" w:rsidP="00C747DD">
      <w:pPr>
        <w:ind w:left="851"/>
        <w:rPr>
          <w:sz w:val="24"/>
          <w:szCs w:val="24"/>
          <w:u w:val="single"/>
        </w:rPr>
      </w:pPr>
      <w:r w:rsidRPr="00BE282E">
        <w:rPr>
          <w:sz w:val="24"/>
          <w:szCs w:val="24"/>
          <w:u w:val="single"/>
          <w:lang w:bidi="da-DK"/>
        </w:rPr>
        <w:t>Kombinationer, som kræver forsigtighedsregler ved brug:</w:t>
      </w:r>
    </w:p>
    <w:p w:rsidR="00C747DD" w:rsidRPr="00BE282E" w:rsidRDefault="00C747DD" w:rsidP="00C747DD">
      <w:pPr>
        <w:ind w:left="851"/>
        <w:rPr>
          <w:sz w:val="24"/>
          <w:szCs w:val="24"/>
          <w:u w:val="single"/>
        </w:rPr>
      </w:pPr>
    </w:p>
    <w:p w:rsidR="00C747DD" w:rsidRPr="00080835" w:rsidRDefault="00C747DD" w:rsidP="00C747DD">
      <w:pPr>
        <w:pStyle w:val="Listeafsnit"/>
        <w:numPr>
          <w:ilvl w:val="0"/>
          <w:numId w:val="8"/>
        </w:numPr>
        <w:autoSpaceDE w:val="0"/>
        <w:autoSpaceDN w:val="0"/>
        <w:adjustRightInd w:val="0"/>
        <w:ind w:left="1276" w:hanging="425"/>
        <w:rPr>
          <w:sz w:val="24"/>
          <w:szCs w:val="24"/>
        </w:rPr>
      </w:pPr>
      <w:r w:rsidRPr="00080835">
        <w:rPr>
          <w:b/>
          <w:sz w:val="24"/>
          <w:szCs w:val="24"/>
          <w:lang w:bidi="da-DK"/>
        </w:rPr>
        <w:t>Non-selektive MAO-</w:t>
      </w:r>
      <w:proofErr w:type="spellStart"/>
      <w:r w:rsidRPr="00080835">
        <w:rPr>
          <w:b/>
          <w:sz w:val="24"/>
          <w:szCs w:val="24"/>
          <w:lang w:bidi="da-DK"/>
        </w:rPr>
        <w:t>hæmmere</w:t>
      </w:r>
      <w:proofErr w:type="spellEnd"/>
      <w:r w:rsidRPr="00080835">
        <w:rPr>
          <w:sz w:val="24"/>
          <w:szCs w:val="24"/>
          <w:lang w:bidi="da-DK"/>
        </w:rPr>
        <w:t xml:space="preserve">: forstærkning af </w:t>
      </w:r>
      <w:proofErr w:type="spellStart"/>
      <w:r w:rsidRPr="00080835">
        <w:rPr>
          <w:sz w:val="24"/>
          <w:szCs w:val="24"/>
          <w:lang w:bidi="da-DK"/>
        </w:rPr>
        <w:t>sympatomimetikas</w:t>
      </w:r>
      <w:proofErr w:type="spellEnd"/>
      <w:r w:rsidRPr="00080835">
        <w:rPr>
          <w:sz w:val="24"/>
          <w:szCs w:val="24"/>
          <w:lang w:bidi="da-DK"/>
        </w:rPr>
        <w:t xml:space="preserve"> </w:t>
      </w:r>
      <w:proofErr w:type="spellStart"/>
      <w:r w:rsidRPr="00080835">
        <w:rPr>
          <w:sz w:val="24"/>
          <w:szCs w:val="24"/>
          <w:lang w:bidi="da-DK"/>
        </w:rPr>
        <w:t>pressorvirkning</w:t>
      </w:r>
      <w:proofErr w:type="spellEnd"/>
      <w:r w:rsidRPr="00080835">
        <w:rPr>
          <w:sz w:val="24"/>
          <w:szCs w:val="24"/>
          <w:lang w:bidi="da-DK"/>
        </w:rPr>
        <w:t>, der sædvanligvis er moderat. Bør kun anvendes under tæt medicinsk overvågning.</w:t>
      </w:r>
    </w:p>
    <w:p w:rsidR="00C747DD" w:rsidRPr="00080835" w:rsidRDefault="00C747DD" w:rsidP="00C747DD">
      <w:pPr>
        <w:pStyle w:val="Listeafsnit"/>
        <w:numPr>
          <w:ilvl w:val="0"/>
          <w:numId w:val="8"/>
        </w:numPr>
        <w:autoSpaceDE w:val="0"/>
        <w:autoSpaceDN w:val="0"/>
        <w:adjustRightInd w:val="0"/>
        <w:ind w:left="1276" w:hanging="425"/>
        <w:rPr>
          <w:sz w:val="24"/>
          <w:szCs w:val="24"/>
        </w:rPr>
      </w:pPr>
      <w:r w:rsidRPr="00080835">
        <w:rPr>
          <w:b/>
          <w:sz w:val="24"/>
          <w:szCs w:val="24"/>
          <w:lang w:bidi="da-DK"/>
        </w:rPr>
        <w:t>Selektive MAO-A-</w:t>
      </w:r>
      <w:proofErr w:type="spellStart"/>
      <w:r w:rsidRPr="00080835">
        <w:rPr>
          <w:b/>
          <w:sz w:val="24"/>
          <w:szCs w:val="24"/>
          <w:lang w:bidi="da-DK"/>
        </w:rPr>
        <w:t>hæmmere</w:t>
      </w:r>
      <w:proofErr w:type="spellEnd"/>
      <w:r w:rsidRPr="00080835">
        <w:rPr>
          <w:b/>
          <w:sz w:val="24"/>
          <w:szCs w:val="24"/>
          <w:lang w:bidi="da-DK"/>
        </w:rPr>
        <w:t xml:space="preserve">, </w:t>
      </w:r>
      <w:proofErr w:type="spellStart"/>
      <w:r w:rsidRPr="00080835">
        <w:rPr>
          <w:b/>
          <w:sz w:val="24"/>
          <w:szCs w:val="24"/>
          <w:lang w:bidi="da-DK"/>
        </w:rPr>
        <w:t>linezolid</w:t>
      </w:r>
      <w:proofErr w:type="spellEnd"/>
      <w:r w:rsidRPr="00080835">
        <w:rPr>
          <w:b/>
          <w:sz w:val="24"/>
          <w:szCs w:val="24"/>
          <w:lang w:bidi="da-DK"/>
        </w:rPr>
        <w:t xml:space="preserve"> og </w:t>
      </w:r>
      <w:proofErr w:type="spellStart"/>
      <w:r w:rsidRPr="00080835">
        <w:rPr>
          <w:b/>
          <w:sz w:val="24"/>
          <w:szCs w:val="24"/>
          <w:lang w:bidi="da-DK"/>
        </w:rPr>
        <w:t>methylenblåt</w:t>
      </w:r>
      <w:proofErr w:type="spellEnd"/>
      <w:r w:rsidRPr="00080835">
        <w:rPr>
          <w:sz w:val="24"/>
          <w:szCs w:val="24"/>
          <w:lang w:bidi="da-DK"/>
        </w:rPr>
        <w:t>: ved ekstrapolering fra non-selektive MAO-</w:t>
      </w:r>
      <w:proofErr w:type="spellStart"/>
      <w:r w:rsidRPr="00080835">
        <w:rPr>
          <w:sz w:val="24"/>
          <w:szCs w:val="24"/>
          <w:lang w:bidi="da-DK"/>
        </w:rPr>
        <w:t>hæmmere</w:t>
      </w:r>
      <w:proofErr w:type="spellEnd"/>
      <w:r w:rsidRPr="00080835">
        <w:rPr>
          <w:sz w:val="24"/>
          <w:szCs w:val="24"/>
          <w:lang w:bidi="da-DK"/>
        </w:rPr>
        <w:t xml:space="preserve">, risiko for forstærkning af </w:t>
      </w:r>
      <w:proofErr w:type="spellStart"/>
      <w:r w:rsidRPr="00080835">
        <w:rPr>
          <w:sz w:val="24"/>
          <w:szCs w:val="24"/>
          <w:lang w:bidi="da-DK"/>
        </w:rPr>
        <w:t>pressorvirkning</w:t>
      </w:r>
      <w:proofErr w:type="spellEnd"/>
      <w:r w:rsidRPr="00080835">
        <w:rPr>
          <w:sz w:val="24"/>
          <w:szCs w:val="24"/>
          <w:lang w:bidi="da-DK"/>
        </w:rPr>
        <w:t>. Bør kun anvendes under tæt medicinsk overvågning.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4.6</w:t>
      </w:r>
      <w:r w:rsidRPr="00BE282E">
        <w:rPr>
          <w:b/>
          <w:sz w:val="24"/>
          <w:szCs w:val="24"/>
        </w:rPr>
        <w:tab/>
        <w:t>Graviditet og amning</w:t>
      </w:r>
    </w:p>
    <w:p w:rsidR="00C747DD" w:rsidRDefault="00C747DD" w:rsidP="00C747DD">
      <w:pPr>
        <w:ind w:left="851"/>
        <w:rPr>
          <w:sz w:val="24"/>
          <w:szCs w:val="24"/>
          <w:lang w:bidi="da-DK"/>
        </w:rPr>
      </w:pPr>
    </w:p>
    <w:p w:rsidR="00C747DD" w:rsidRPr="00080835" w:rsidRDefault="00C747DD" w:rsidP="00C747DD">
      <w:pPr>
        <w:ind w:left="851"/>
        <w:rPr>
          <w:i/>
          <w:sz w:val="24"/>
          <w:szCs w:val="24"/>
          <w:u w:val="single"/>
          <w:lang w:eastAsia="fr-FR"/>
        </w:rPr>
      </w:pPr>
      <w:r w:rsidRPr="00080835">
        <w:rPr>
          <w:i/>
          <w:sz w:val="24"/>
          <w:szCs w:val="24"/>
          <w:u w:val="single"/>
          <w:lang w:bidi="da-DK"/>
        </w:rPr>
        <w:t>Graviditet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>Noradrenalin kan på grund af sine indikationer administreres under graviditet, hvis det er nødvendigt.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 xml:space="preserve">Stoffets </w:t>
      </w:r>
      <w:proofErr w:type="spellStart"/>
      <w:r w:rsidRPr="00BE282E">
        <w:rPr>
          <w:sz w:val="24"/>
          <w:szCs w:val="24"/>
          <w:lang w:bidi="da-DK"/>
        </w:rPr>
        <w:t>farmakodynamiske</w:t>
      </w:r>
      <w:proofErr w:type="spellEnd"/>
      <w:r w:rsidRPr="00BE282E">
        <w:rPr>
          <w:sz w:val="24"/>
          <w:szCs w:val="24"/>
          <w:lang w:bidi="da-DK"/>
        </w:rPr>
        <w:t xml:space="preserve"> egenskaber skal dog tages i betragtning. Noradrenalin kan hæmme </w:t>
      </w:r>
      <w:proofErr w:type="spellStart"/>
      <w:r w:rsidRPr="00BE282E">
        <w:rPr>
          <w:sz w:val="24"/>
          <w:szCs w:val="24"/>
          <w:lang w:bidi="da-DK"/>
        </w:rPr>
        <w:t>placentaperfusionen</w:t>
      </w:r>
      <w:proofErr w:type="spellEnd"/>
      <w:r w:rsidRPr="00BE282E">
        <w:rPr>
          <w:sz w:val="24"/>
          <w:szCs w:val="24"/>
          <w:lang w:bidi="da-DK"/>
        </w:rPr>
        <w:t xml:space="preserve"> og forårsage bradykardi hos fosteret. Det kan også forårsage sammentrækninger i livmoderen og føre til kvælning af fosteret sent i graviditeten. 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</w:p>
    <w:p w:rsidR="00C747DD" w:rsidRPr="00080835" w:rsidRDefault="00C747DD" w:rsidP="00C747DD">
      <w:pPr>
        <w:ind w:left="851"/>
        <w:rPr>
          <w:i/>
          <w:sz w:val="24"/>
          <w:szCs w:val="24"/>
          <w:u w:val="single"/>
        </w:rPr>
      </w:pPr>
      <w:r w:rsidRPr="00080835">
        <w:rPr>
          <w:i/>
          <w:sz w:val="24"/>
          <w:szCs w:val="24"/>
          <w:u w:val="single"/>
          <w:lang w:bidi="da-DK"/>
        </w:rPr>
        <w:t xml:space="preserve">Amning 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>Der foreligger ingen data vedrørende anvendelse af noradrenalin under amning.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4.7</w:t>
      </w:r>
      <w:r w:rsidRPr="00BE282E">
        <w:rPr>
          <w:b/>
          <w:sz w:val="24"/>
          <w:szCs w:val="24"/>
        </w:rPr>
        <w:tab/>
        <w:t>Virkninger på evnen til at føre motorkøretøj eller betjene maskiner</w:t>
      </w:r>
    </w:p>
    <w:p w:rsidR="00C747DD" w:rsidRDefault="00C747DD" w:rsidP="00C747DD">
      <w:pPr>
        <w:ind w:left="851"/>
        <w:rPr>
          <w:noProof/>
          <w:sz w:val="24"/>
          <w:szCs w:val="24"/>
          <w:lang w:bidi="da-DK"/>
        </w:rPr>
      </w:pPr>
      <w:r>
        <w:rPr>
          <w:noProof/>
          <w:sz w:val="24"/>
          <w:szCs w:val="24"/>
          <w:lang w:bidi="da-DK"/>
        </w:rPr>
        <w:t>Ikke mærkning.</w:t>
      </w:r>
    </w:p>
    <w:p w:rsidR="00C747DD" w:rsidRPr="00BE282E" w:rsidRDefault="00C747DD" w:rsidP="00C747DD">
      <w:pPr>
        <w:ind w:left="851"/>
        <w:rPr>
          <w:noProof/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>Ikke relevant.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4.8</w:t>
      </w:r>
      <w:r w:rsidRPr="00BE282E">
        <w:rPr>
          <w:b/>
          <w:sz w:val="24"/>
          <w:szCs w:val="24"/>
        </w:rPr>
        <w:tab/>
        <w:t>Bivirkninger</w:t>
      </w:r>
    </w:p>
    <w:p w:rsidR="00C747DD" w:rsidRDefault="00C747DD" w:rsidP="00C747DD">
      <w:pPr>
        <w:ind w:left="851"/>
        <w:rPr>
          <w:sz w:val="24"/>
          <w:szCs w:val="24"/>
          <w:lang w:bidi="da-DK"/>
        </w:rPr>
      </w:pPr>
    </w:p>
    <w:p w:rsidR="00C747DD" w:rsidRPr="00CF224A" w:rsidRDefault="00C747DD" w:rsidP="00C747DD">
      <w:pPr>
        <w:ind w:left="851"/>
        <w:rPr>
          <w:i/>
          <w:sz w:val="24"/>
          <w:szCs w:val="24"/>
          <w:lang w:eastAsia="fr-FR"/>
        </w:rPr>
      </w:pPr>
      <w:r w:rsidRPr="00CF224A">
        <w:rPr>
          <w:i/>
          <w:sz w:val="24"/>
          <w:szCs w:val="24"/>
          <w:lang w:bidi="da-DK"/>
        </w:rPr>
        <w:t>Psykiske forstyrrelser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>Angst.</w:t>
      </w:r>
    </w:p>
    <w:p w:rsidR="00C747DD" w:rsidRDefault="00C747DD" w:rsidP="00C747DD">
      <w:pPr>
        <w:ind w:left="851"/>
        <w:rPr>
          <w:sz w:val="24"/>
          <w:szCs w:val="24"/>
          <w:lang w:bidi="da-DK"/>
        </w:rPr>
      </w:pPr>
    </w:p>
    <w:p w:rsidR="00C747DD" w:rsidRPr="00CF224A" w:rsidRDefault="00C747DD" w:rsidP="00C747DD">
      <w:pPr>
        <w:ind w:left="851"/>
        <w:rPr>
          <w:i/>
          <w:sz w:val="24"/>
          <w:szCs w:val="24"/>
        </w:rPr>
      </w:pPr>
      <w:r w:rsidRPr="00CF224A">
        <w:rPr>
          <w:i/>
          <w:sz w:val="24"/>
          <w:szCs w:val="24"/>
          <w:lang w:bidi="da-DK"/>
        </w:rPr>
        <w:t>Nervesystemet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 xml:space="preserve">Hovedpine, </w:t>
      </w:r>
      <w:proofErr w:type="spellStart"/>
      <w:r w:rsidRPr="00BE282E">
        <w:rPr>
          <w:sz w:val="24"/>
          <w:szCs w:val="24"/>
          <w:lang w:bidi="da-DK"/>
        </w:rPr>
        <w:t>tremor</w:t>
      </w:r>
      <w:proofErr w:type="spellEnd"/>
      <w:r w:rsidRPr="00BE282E">
        <w:rPr>
          <w:sz w:val="24"/>
          <w:szCs w:val="24"/>
          <w:lang w:bidi="da-DK"/>
        </w:rPr>
        <w:t>.</w:t>
      </w:r>
    </w:p>
    <w:p w:rsidR="00C747DD" w:rsidRDefault="00C747DD" w:rsidP="00C747DD">
      <w:pPr>
        <w:ind w:left="851"/>
        <w:rPr>
          <w:sz w:val="24"/>
          <w:szCs w:val="24"/>
          <w:lang w:bidi="da-DK"/>
        </w:rPr>
      </w:pPr>
    </w:p>
    <w:p w:rsidR="00C747DD" w:rsidRPr="00CF224A" w:rsidRDefault="00C747DD" w:rsidP="00C747DD">
      <w:pPr>
        <w:ind w:left="851"/>
        <w:rPr>
          <w:i/>
          <w:sz w:val="24"/>
          <w:szCs w:val="24"/>
        </w:rPr>
      </w:pPr>
      <w:r w:rsidRPr="00CF224A">
        <w:rPr>
          <w:i/>
          <w:sz w:val="24"/>
          <w:szCs w:val="24"/>
          <w:lang w:bidi="da-DK"/>
        </w:rPr>
        <w:t>Øjne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 xml:space="preserve">Akut </w:t>
      </w:r>
      <w:proofErr w:type="spellStart"/>
      <w:r w:rsidRPr="00BE282E">
        <w:rPr>
          <w:sz w:val="24"/>
          <w:szCs w:val="24"/>
          <w:lang w:bidi="da-DK"/>
        </w:rPr>
        <w:t>glaukom</w:t>
      </w:r>
      <w:proofErr w:type="spellEnd"/>
      <w:r w:rsidRPr="00BE282E">
        <w:rPr>
          <w:sz w:val="24"/>
          <w:szCs w:val="24"/>
          <w:lang w:bidi="da-DK"/>
        </w:rPr>
        <w:t xml:space="preserve"> (meget hyppigt hos patienter, som er anatomisk disponeret med lukning af den </w:t>
      </w:r>
      <w:proofErr w:type="spellStart"/>
      <w:r w:rsidRPr="00BE282E">
        <w:rPr>
          <w:sz w:val="24"/>
          <w:szCs w:val="24"/>
          <w:lang w:bidi="da-DK"/>
        </w:rPr>
        <w:t>iridokorneale</w:t>
      </w:r>
      <w:proofErr w:type="spellEnd"/>
      <w:r w:rsidRPr="00BE282E">
        <w:rPr>
          <w:sz w:val="24"/>
          <w:szCs w:val="24"/>
          <w:lang w:bidi="da-DK"/>
        </w:rPr>
        <w:t xml:space="preserve"> vinkel). </w:t>
      </w:r>
    </w:p>
    <w:p w:rsidR="00C747DD" w:rsidRDefault="00C747DD" w:rsidP="00C747DD">
      <w:pPr>
        <w:rPr>
          <w:sz w:val="24"/>
          <w:szCs w:val="24"/>
          <w:lang w:bidi="da-DK"/>
        </w:rPr>
      </w:pPr>
    </w:p>
    <w:p w:rsidR="00C747DD" w:rsidRDefault="00C747DD" w:rsidP="00C747DD">
      <w:pPr>
        <w:ind w:left="851"/>
        <w:rPr>
          <w:sz w:val="24"/>
          <w:szCs w:val="24"/>
          <w:lang w:bidi="da-DK"/>
        </w:rPr>
      </w:pPr>
    </w:p>
    <w:p w:rsidR="00C747DD" w:rsidRPr="00CF224A" w:rsidRDefault="00C747DD" w:rsidP="00C747DD">
      <w:pPr>
        <w:keepNext/>
        <w:ind w:left="851"/>
        <w:rPr>
          <w:i/>
          <w:sz w:val="24"/>
          <w:szCs w:val="24"/>
        </w:rPr>
      </w:pPr>
      <w:r w:rsidRPr="00CF224A">
        <w:rPr>
          <w:i/>
          <w:sz w:val="24"/>
          <w:szCs w:val="24"/>
          <w:lang w:bidi="da-DK"/>
        </w:rPr>
        <w:t>Hjerte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proofErr w:type="spellStart"/>
      <w:r w:rsidRPr="00BE282E">
        <w:rPr>
          <w:sz w:val="24"/>
          <w:szCs w:val="24"/>
          <w:lang w:bidi="da-DK"/>
        </w:rPr>
        <w:t>Takykardi</w:t>
      </w:r>
      <w:proofErr w:type="spellEnd"/>
      <w:r w:rsidRPr="00BE282E">
        <w:rPr>
          <w:sz w:val="24"/>
          <w:szCs w:val="24"/>
          <w:lang w:bidi="da-DK"/>
        </w:rPr>
        <w:t xml:space="preserve">, bradykardi (sandsynligvis en refleks som følge af blodtryksstigning), </w:t>
      </w:r>
      <w:proofErr w:type="spellStart"/>
      <w:r w:rsidRPr="00BE282E">
        <w:rPr>
          <w:sz w:val="24"/>
          <w:szCs w:val="24"/>
          <w:lang w:bidi="da-DK"/>
        </w:rPr>
        <w:t>arytmi</w:t>
      </w:r>
      <w:proofErr w:type="spellEnd"/>
      <w:r w:rsidRPr="00BE282E">
        <w:rPr>
          <w:sz w:val="24"/>
          <w:szCs w:val="24"/>
          <w:lang w:bidi="da-DK"/>
        </w:rPr>
        <w:t xml:space="preserve">, </w:t>
      </w:r>
      <w:proofErr w:type="spellStart"/>
      <w:r w:rsidRPr="00BE282E">
        <w:rPr>
          <w:sz w:val="24"/>
          <w:szCs w:val="24"/>
          <w:lang w:bidi="da-DK"/>
        </w:rPr>
        <w:t>palpitationer</w:t>
      </w:r>
      <w:proofErr w:type="spellEnd"/>
      <w:r w:rsidRPr="00BE282E">
        <w:rPr>
          <w:sz w:val="24"/>
          <w:szCs w:val="24"/>
          <w:lang w:bidi="da-DK"/>
        </w:rPr>
        <w:t xml:space="preserve">, forøget </w:t>
      </w:r>
      <w:proofErr w:type="spellStart"/>
      <w:r w:rsidRPr="00BE282E">
        <w:rPr>
          <w:sz w:val="24"/>
          <w:szCs w:val="24"/>
          <w:lang w:bidi="da-DK"/>
        </w:rPr>
        <w:t>kontraktilitet</w:t>
      </w:r>
      <w:proofErr w:type="spellEnd"/>
      <w:r w:rsidRPr="00BE282E">
        <w:rPr>
          <w:sz w:val="24"/>
          <w:szCs w:val="24"/>
          <w:lang w:bidi="da-DK"/>
        </w:rPr>
        <w:t xml:space="preserve"> i hjertemusklen som følge af den ß-</w:t>
      </w:r>
      <w:proofErr w:type="spellStart"/>
      <w:r w:rsidRPr="00BE282E">
        <w:rPr>
          <w:sz w:val="24"/>
          <w:szCs w:val="24"/>
          <w:lang w:bidi="da-DK"/>
        </w:rPr>
        <w:t>adrenerge</w:t>
      </w:r>
      <w:proofErr w:type="spellEnd"/>
      <w:r w:rsidRPr="00BE282E">
        <w:rPr>
          <w:sz w:val="24"/>
          <w:szCs w:val="24"/>
          <w:lang w:bidi="da-DK"/>
        </w:rPr>
        <w:t xml:space="preserve"> effekt på hjertet (inotrop og </w:t>
      </w:r>
      <w:proofErr w:type="spellStart"/>
      <w:r w:rsidRPr="00BE282E">
        <w:rPr>
          <w:sz w:val="24"/>
          <w:szCs w:val="24"/>
          <w:lang w:bidi="da-DK"/>
        </w:rPr>
        <w:t>kronotrop</w:t>
      </w:r>
      <w:proofErr w:type="spellEnd"/>
      <w:r w:rsidRPr="00BE282E">
        <w:rPr>
          <w:sz w:val="24"/>
          <w:szCs w:val="24"/>
          <w:lang w:bidi="da-DK"/>
        </w:rPr>
        <w:t xml:space="preserve">), akut hjerteinsufficiens, </w:t>
      </w:r>
      <w:proofErr w:type="spellStart"/>
      <w:r w:rsidRPr="00BE282E">
        <w:rPr>
          <w:sz w:val="24"/>
          <w:szCs w:val="24"/>
          <w:lang w:bidi="da-DK"/>
        </w:rPr>
        <w:t>stresskardiomyopati</w:t>
      </w:r>
      <w:proofErr w:type="spellEnd"/>
      <w:r w:rsidRPr="00BE282E">
        <w:rPr>
          <w:sz w:val="24"/>
          <w:szCs w:val="24"/>
          <w:lang w:bidi="da-DK"/>
        </w:rPr>
        <w:t>.</w:t>
      </w:r>
    </w:p>
    <w:p w:rsidR="00C747DD" w:rsidRDefault="00C747DD" w:rsidP="00C747DD">
      <w:pPr>
        <w:ind w:left="851"/>
        <w:rPr>
          <w:sz w:val="24"/>
          <w:szCs w:val="24"/>
          <w:lang w:bidi="da-DK"/>
        </w:rPr>
      </w:pPr>
    </w:p>
    <w:p w:rsidR="00C747DD" w:rsidRPr="00CF224A" w:rsidRDefault="00C747DD" w:rsidP="00C747DD">
      <w:pPr>
        <w:ind w:left="851"/>
        <w:rPr>
          <w:i/>
          <w:sz w:val="24"/>
          <w:szCs w:val="24"/>
        </w:rPr>
      </w:pPr>
      <w:proofErr w:type="spellStart"/>
      <w:r w:rsidRPr="00CF224A">
        <w:rPr>
          <w:i/>
          <w:sz w:val="24"/>
          <w:szCs w:val="24"/>
          <w:lang w:bidi="da-DK"/>
        </w:rPr>
        <w:t>Vaskulære</w:t>
      </w:r>
      <w:proofErr w:type="spellEnd"/>
      <w:r w:rsidRPr="00CF224A">
        <w:rPr>
          <w:i/>
          <w:sz w:val="24"/>
          <w:szCs w:val="24"/>
          <w:lang w:bidi="da-DK"/>
        </w:rPr>
        <w:t xml:space="preserve"> sygdomme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 xml:space="preserve">Arteriel hypertension og </w:t>
      </w:r>
      <w:proofErr w:type="spellStart"/>
      <w:r w:rsidRPr="00BE282E">
        <w:rPr>
          <w:sz w:val="24"/>
          <w:szCs w:val="24"/>
          <w:lang w:bidi="da-DK"/>
        </w:rPr>
        <w:t>vævshypoksi</w:t>
      </w:r>
      <w:proofErr w:type="spellEnd"/>
      <w:r w:rsidRPr="00BE282E">
        <w:rPr>
          <w:sz w:val="24"/>
          <w:szCs w:val="24"/>
          <w:lang w:bidi="da-DK"/>
        </w:rPr>
        <w:t xml:space="preserve">, iskæmisk læsion på grund af potent </w:t>
      </w:r>
      <w:proofErr w:type="spellStart"/>
      <w:r w:rsidRPr="00BE282E">
        <w:rPr>
          <w:sz w:val="24"/>
          <w:szCs w:val="24"/>
          <w:lang w:bidi="da-DK"/>
        </w:rPr>
        <w:t>vasokonstriktorvirkning</w:t>
      </w:r>
      <w:proofErr w:type="spellEnd"/>
      <w:r w:rsidRPr="00BE282E">
        <w:rPr>
          <w:sz w:val="24"/>
          <w:szCs w:val="24"/>
          <w:lang w:bidi="da-DK"/>
        </w:rPr>
        <w:t xml:space="preserve"> (kan resultere i kolde og blege ekstremiteter og ansigt)</w:t>
      </w:r>
      <w:r>
        <w:rPr>
          <w:sz w:val="24"/>
          <w:szCs w:val="24"/>
          <w:lang w:bidi="da-DK"/>
        </w:rPr>
        <w:t xml:space="preserve">, </w:t>
      </w:r>
      <w:r w:rsidRPr="00E23F6E">
        <w:rPr>
          <w:sz w:val="24"/>
          <w:szCs w:val="24"/>
          <w:lang w:bidi="da-DK"/>
        </w:rPr>
        <w:t>koldbrand i hænder og fødder</w:t>
      </w:r>
      <w:r w:rsidRPr="00BE282E">
        <w:rPr>
          <w:sz w:val="24"/>
          <w:szCs w:val="24"/>
          <w:lang w:bidi="da-DK"/>
        </w:rPr>
        <w:t xml:space="preserve">. </w:t>
      </w:r>
    </w:p>
    <w:p w:rsidR="00C747DD" w:rsidRDefault="00C747DD" w:rsidP="00C747DD">
      <w:pPr>
        <w:ind w:left="851"/>
        <w:rPr>
          <w:sz w:val="24"/>
          <w:szCs w:val="24"/>
          <w:lang w:bidi="da-DK"/>
        </w:rPr>
      </w:pPr>
    </w:p>
    <w:p w:rsidR="00C747DD" w:rsidRPr="00CF224A" w:rsidRDefault="00C747DD" w:rsidP="005C09E6">
      <w:pPr>
        <w:keepNext/>
        <w:ind w:left="851"/>
        <w:rPr>
          <w:i/>
          <w:sz w:val="24"/>
          <w:szCs w:val="24"/>
        </w:rPr>
      </w:pPr>
      <w:r w:rsidRPr="00CF224A">
        <w:rPr>
          <w:i/>
          <w:sz w:val="24"/>
          <w:szCs w:val="24"/>
          <w:lang w:bidi="da-DK"/>
        </w:rPr>
        <w:lastRenderedPageBreak/>
        <w:t xml:space="preserve">Luftveje, thorax og </w:t>
      </w:r>
      <w:proofErr w:type="spellStart"/>
      <w:r w:rsidRPr="00CF224A">
        <w:rPr>
          <w:i/>
          <w:sz w:val="24"/>
          <w:szCs w:val="24"/>
          <w:lang w:bidi="da-DK"/>
        </w:rPr>
        <w:t>mediastinum</w:t>
      </w:r>
      <w:proofErr w:type="spellEnd"/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 xml:space="preserve">Respirationsinsufficiens eller respirationsbesvær, dyspnø. </w:t>
      </w:r>
    </w:p>
    <w:p w:rsidR="00C747DD" w:rsidRDefault="00C747DD" w:rsidP="00C747DD">
      <w:pPr>
        <w:ind w:left="851"/>
        <w:rPr>
          <w:sz w:val="24"/>
          <w:szCs w:val="24"/>
          <w:lang w:bidi="da-DK"/>
        </w:rPr>
      </w:pPr>
    </w:p>
    <w:p w:rsidR="00C747DD" w:rsidRPr="00CF224A" w:rsidRDefault="00C747DD" w:rsidP="00C747DD">
      <w:pPr>
        <w:ind w:left="851"/>
        <w:rPr>
          <w:i/>
          <w:sz w:val="24"/>
          <w:szCs w:val="24"/>
        </w:rPr>
      </w:pPr>
      <w:r w:rsidRPr="00CF224A">
        <w:rPr>
          <w:i/>
          <w:sz w:val="24"/>
          <w:szCs w:val="24"/>
          <w:lang w:bidi="da-DK"/>
        </w:rPr>
        <w:t>Mave-tarm-kanalen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>Opkastning.</w:t>
      </w:r>
    </w:p>
    <w:p w:rsidR="00C747DD" w:rsidRDefault="00C747DD" w:rsidP="00C747DD">
      <w:pPr>
        <w:ind w:left="851"/>
        <w:rPr>
          <w:sz w:val="24"/>
          <w:szCs w:val="24"/>
          <w:lang w:bidi="da-DK"/>
        </w:rPr>
      </w:pPr>
    </w:p>
    <w:p w:rsidR="00C747DD" w:rsidRPr="00CF224A" w:rsidRDefault="00C747DD" w:rsidP="00C747DD">
      <w:pPr>
        <w:ind w:left="851"/>
        <w:rPr>
          <w:i/>
          <w:sz w:val="24"/>
          <w:szCs w:val="24"/>
        </w:rPr>
      </w:pPr>
      <w:r w:rsidRPr="00CF224A">
        <w:rPr>
          <w:i/>
          <w:sz w:val="24"/>
          <w:szCs w:val="24"/>
          <w:lang w:bidi="da-DK"/>
        </w:rPr>
        <w:t>Nyrer og urinveje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 xml:space="preserve">Urinretention. </w:t>
      </w:r>
    </w:p>
    <w:p w:rsidR="00C747DD" w:rsidRDefault="00C747DD" w:rsidP="00C747DD">
      <w:pPr>
        <w:ind w:left="851"/>
        <w:rPr>
          <w:sz w:val="24"/>
          <w:szCs w:val="24"/>
          <w:lang w:bidi="da-DK"/>
        </w:rPr>
      </w:pPr>
    </w:p>
    <w:p w:rsidR="00C747DD" w:rsidRPr="00CF224A" w:rsidRDefault="00C747DD" w:rsidP="00C747DD">
      <w:pPr>
        <w:ind w:left="851"/>
        <w:rPr>
          <w:i/>
          <w:sz w:val="24"/>
          <w:szCs w:val="24"/>
        </w:rPr>
      </w:pPr>
      <w:r w:rsidRPr="00CF224A">
        <w:rPr>
          <w:i/>
          <w:sz w:val="24"/>
          <w:szCs w:val="24"/>
          <w:lang w:bidi="da-DK"/>
        </w:rPr>
        <w:t>Almene symptomer og reaktioner på administrationsstedet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 xml:space="preserve">Lokalt: mulighed for irritation og nekrose ved injektionsstedet. 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 xml:space="preserve">Fortsat administration af </w:t>
      </w:r>
      <w:proofErr w:type="spellStart"/>
      <w:r w:rsidRPr="00BE282E">
        <w:rPr>
          <w:sz w:val="24"/>
          <w:szCs w:val="24"/>
          <w:lang w:bidi="da-DK"/>
        </w:rPr>
        <w:t>vasopressor</w:t>
      </w:r>
      <w:proofErr w:type="spellEnd"/>
      <w:r w:rsidRPr="00BE282E">
        <w:rPr>
          <w:sz w:val="24"/>
          <w:szCs w:val="24"/>
          <w:lang w:bidi="da-DK"/>
        </w:rPr>
        <w:t xml:space="preserve"> for at fastholde blodtrykket uden substitution af blodmængde kan forårsage følgende symptomer: </w:t>
      </w:r>
    </w:p>
    <w:p w:rsidR="00C747DD" w:rsidRPr="00CF224A" w:rsidRDefault="00C747DD" w:rsidP="00C747DD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CF224A">
        <w:rPr>
          <w:sz w:val="24"/>
          <w:szCs w:val="24"/>
          <w:lang w:bidi="da-DK"/>
        </w:rPr>
        <w:t xml:space="preserve">alvorlig perifer og </w:t>
      </w:r>
      <w:proofErr w:type="spellStart"/>
      <w:r w:rsidRPr="00CF224A">
        <w:rPr>
          <w:sz w:val="24"/>
          <w:szCs w:val="24"/>
          <w:lang w:bidi="da-DK"/>
        </w:rPr>
        <w:t>visceral</w:t>
      </w:r>
      <w:proofErr w:type="spellEnd"/>
      <w:r w:rsidRPr="00CF224A">
        <w:rPr>
          <w:sz w:val="24"/>
          <w:szCs w:val="24"/>
          <w:lang w:bidi="da-DK"/>
        </w:rPr>
        <w:t xml:space="preserve"> </w:t>
      </w:r>
      <w:proofErr w:type="spellStart"/>
      <w:r w:rsidRPr="00CF224A">
        <w:rPr>
          <w:sz w:val="24"/>
          <w:szCs w:val="24"/>
          <w:lang w:bidi="da-DK"/>
        </w:rPr>
        <w:t>vasokonstriktion</w:t>
      </w:r>
      <w:proofErr w:type="spellEnd"/>
      <w:r w:rsidRPr="00CF224A">
        <w:rPr>
          <w:sz w:val="24"/>
          <w:szCs w:val="24"/>
          <w:lang w:bidi="da-DK"/>
        </w:rPr>
        <w:t xml:space="preserve">, </w:t>
      </w:r>
    </w:p>
    <w:p w:rsidR="00C747DD" w:rsidRPr="00CF224A" w:rsidRDefault="00C747DD" w:rsidP="00C747DD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CF224A">
        <w:rPr>
          <w:sz w:val="24"/>
          <w:szCs w:val="24"/>
          <w:lang w:bidi="da-DK"/>
        </w:rPr>
        <w:t xml:space="preserve">fald i blodgennemstrømning i nyrerne, </w:t>
      </w:r>
    </w:p>
    <w:p w:rsidR="00C747DD" w:rsidRPr="00CF224A" w:rsidRDefault="00C747DD" w:rsidP="00C747DD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CF224A">
        <w:rPr>
          <w:sz w:val="24"/>
          <w:szCs w:val="24"/>
          <w:lang w:bidi="da-DK"/>
        </w:rPr>
        <w:t xml:space="preserve">fald i urinproduktion, </w:t>
      </w:r>
    </w:p>
    <w:p w:rsidR="00C747DD" w:rsidRPr="00CF224A" w:rsidRDefault="00C747DD" w:rsidP="00C747DD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spellStart"/>
      <w:r w:rsidRPr="00CF224A">
        <w:rPr>
          <w:sz w:val="24"/>
          <w:szCs w:val="24"/>
          <w:lang w:bidi="da-DK"/>
        </w:rPr>
        <w:t>hypoksi</w:t>
      </w:r>
      <w:proofErr w:type="spellEnd"/>
      <w:r w:rsidRPr="00CF224A">
        <w:rPr>
          <w:sz w:val="24"/>
          <w:szCs w:val="24"/>
          <w:lang w:bidi="da-DK"/>
        </w:rPr>
        <w:t>,</w:t>
      </w:r>
    </w:p>
    <w:p w:rsidR="00C747DD" w:rsidRPr="00CF224A" w:rsidRDefault="00C747DD" w:rsidP="00C747DD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CF224A">
        <w:rPr>
          <w:sz w:val="24"/>
          <w:szCs w:val="24"/>
          <w:lang w:bidi="da-DK"/>
        </w:rPr>
        <w:t xml:space="preserve">stigning i laktatniveauerne i serum. 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 xml:space="preserve">I tilfælde af hypersensitivitet eller overdosis kan følgende effekter forekomme hyppigere: hypertension, fotofobi, </w:t>
      </w:r>
      <w:proofErr w:type="spellStart"/>
      <w:r w:rsidRPr="00BE282E">
        <w:rPr>
          <w:sz w:val="24"/>
          <w:szCs w:val="24"/>
          <w:lang w:bidi="da-DK"/>
        </w:rPr>
        <w:t>retrosternale</w:t>
      </w:r>
      <w:proofErr w:type="spellEnd"/>
      <w:r w:rsidRPr="00BE282E">
        <w:rPr>
          <w:sz w:val="24"/>
          <w:szCs w:val="24"/>
          <w:lang w:bidi="da-DK"/>
        </w:rPr>
        <w:t xml:space="preserve"> smerter, </w:t>
      </w:r>
      <w:proofErr w:type="spellStart"/>
      <w:r w:rsidRPr="00BE282E">
        <w:rPr>
          <w:sz w:val="24"/>
          <w:szCs w:val="24"/>
          <w:lang w:bidi="da-DK"/>
        </w:rPr>
        <w:t>pharyngeale</w:t>
      </w:r>
      <w:proofErr w:type="spellEnd"/>
      <w:r w:rsidRPr="00BE282E">
        <w:rPr>
          <w:sz w:val="24"/>
          <w:szCs w:val="24"/>
          <w:lang w:bidi="da-DK"/>
        </w:rPr>
        <w:t xml:space="preserve"> smerter, bleghed, kraftig svedproduktion og opkastning. </w:t>
      </w:r>
    </w:p>
    <w:p w:rsidR="00C747DD" w:rsidRPr="00CF224A" w:rsidRDefault="00C747DD" w:rsidP="00C747DD">
      <w:pPr>
        <w:ind w:left="851"/>
        <w:rPr>
          <w:sz w:val="24"/>
          <w:szCs w:val="24"/>
        </w:rPr>
      </w:pPr>
    </w:p>
    <w:p w:rsidR="00C747DD" w:rsidRPr="00BE282E" w:rsidRDefault="00C747DD" w:rsidP="00C747DD">
      <w:pPr>
        <w:ind w:left="851"/>
        <w:rPr>
          <w:sz w:val="24"/>
          <w:szCs w:val="24"/>
          <w:u w:val="single"/>
        </w:rPr>
      </w:pPr>
      <w:r w:rsidRPr="00BE282E">
        <w:rPr>
          <w:sz w:val="24"/>
          <w:szCs w:val="24"/>
          <w:u w:val="single"/>
          <w:lang w:bidi="da-DK"/>
        </w:rPr>
        <w:t>Indberetning af formodede bivirkninger</w:t>
      </w:r>
    </w:p>
    <w:p w:rsidR="00C747DD" w:rsidRPr="00BE282E" w:rsidRDefault="00C747DD" w:rsidP="00C747DD">
      <w:pPr>
        <w:ind w:left="851"/>
        <w:rPr>
          <w:sz w:val="24"/>
          <w:szCs w:val="24"/>
          <w:lang w:bidi="da-DK"/>
        </w:rPr>
      </w:pPr>
      <w:r w:rsidRPr="00BE282E">
        <w:rPr>
          <w:sz w:val="24"/>
          <w:szCs w:val="24"/>
          <w:lang w:bidi="da-DK"/>
        </w:rPr>
        <w:t>Når lægemidlet er godkendt, er indberetning af formodede bivirkninger vigtig. Det muliggør løbende overvågning af benefit/</w:t>
      </w:r>
      <w:proofErr w:type="spellStart"/>
      <w:r w:rsidRPr="00BE282E">
        <w:rPr>
          <w:sz w:val="24"/>
          <w:szCs w:val="24"/>
          <w:lang w:bidi="da-DK"/>
        </w:rPr>
        <w:t>risk</w:t>
      </w:r>
      <w:proofErr w:type="spellEnd"/>
      <w:r w:rsidRPr="00BE282E">
        <w:rPr>
          <w:sz w:val="24"/>
          <w:szCs w:val="24"/>
          <w:lang w:bidi="da-DK"/>
        </w:rPr>
        <w:t xml:space="preserve">-forholdet for lægemidlet. </w:t>
      </w:r>
      <w:r w:rsidR="00BA6628">
        <w:rPr>
          <w:sz w:val="24"/>
          <w:szCs w:val="24"/>
          <w:lang w:bidi="da-DK"/>
        </w:rPr>
        <w:t>S</w:t>
      </w:r>
      <w:r w:rsidRPr="00BE282E">
        <w:rPr>
          <w:sz w:val="24"/>
          <w:szCs w:val="24"/>
          <w:lang w:bidi="da-DK"/>
        </w:rPr>
        <w:t>undhedsperson</w:t>
      </w:r>
      <w:r w:rsidR="00BA6628">
        <w:rPr>
          <w:sz w:val="24"/>
          <w:szCs w:val="24"/>
          <w:lang w:bidi="da-DK"/>
        </w:rPr>
        <w:t>er</w:t>
      </w:r>
      <w:r w:rsidRPr="00BE282E">
        <w:rPr>
          <w:sz w:val="24"/>
          <w:szCs w:val="24"/>
          <w:lang w:bidi="da-DK"/>
        </w:rPr>
        <w:t xml:space="preserve"> anmodes om at indberette alle formodede bivirkninger via:</w:t>
      </w:r>
    </w:p>
    <w:p w:rsidR="00C747DD" w:rsidRPr="00BE282E" w:rsidRDefault="00C747DD" w:rsidP="00C747DD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BE282E">
        <w:rPr>
          <w:sz w:val="24"/>
          <w:szCs w:val="24"/>
        </w:rPr>
        <w:t>Lægemiddelstyrelsen</w:t>
      </w:r>
    </w:p>
    <w:p w:rsidR="00C747DD" w:rsidRPr="00BE282E" w:rsidRDefault="00C747DD" w:rsidP="00C747DD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BE282E">
        <w:rPr>
          <w:rFonts w:eastAsia="Calibri"/>
          <w:sz w:val="24"/>
          <w:szCs w:val="24"/>
          <w:lang w:eastAsia="zh-CN"/>
        </w:rPr>
        <w:t>Axel Heides Gade 1</w:t>
      </w:r>
    </w:p>
    <w:p w:rsidR="00C747DD" w:rsidRPr="00BE282E" w:rsidRDefault="00C747DD" w:rsidP="00C747DD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BE282E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BE282E">
        <w:rPr>
          <w:rFonts w:eastAsia="Calibri"/>
          <w:sz w:val="24"/>
          <w:szCs w:val="24"/>
          <w:lang w:eastAsia="zh-CN"/>
        </w:rPr>
        <w:t>København S</w:t>
      </w:r>
    </w:p>
    <w:p w:rsidR="00C747DD" w:rsidRPr="006A7805" w:rsidRDefault="00C747DD" w:rsidP="00C747DD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6A7805">
        <w:rPr>
          <w:rFonts w:eastAsia="Calibri"/>
          <w:sz w:val="24"/>
          <w:szCs w:val="24"/>
          <w:lang w:eastAsia="zh-CN"/>
        </w:rPr>
        <w:t>Websted</w:t>
      </w:r>
      <w:r w:rsidRPr="006A7805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8" w:history="1">
        <w:r w:rsidRPr="006A7805">
          <w:rPr>
            <w:rStyle w:val="Hyperlink"/>
            <w:rFonts w:eastAsia="Calibri"/>
            <w:noProof/>
            <w:sz w:val="24"/>
            <w:szCs w:val="24"/>
            <w:lang w:eastAsia="zh-CN"/>
          </w:rPr>
          <w:t>www.meldenbivirkning.dk</w:t>
        </w:r>
      </w:hyperlink>
    </w:p>
    <w:p w:rsidR="00C747DD" w:rsidRPr="006A7805" w:rsidRDefault="00C747DD" w:rsidP="00C747DD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4.9</w:t>
      </w:r>
      <w:r w:rsidRPr="00BE282E">
        <w:rPr>
          <w:b/>
          <w:sz w:val="24"/>
          <w:szCs w:val="24"/>
        </w:rPr>
        <w:tab/>
        <w:t>Overdosering</w:t>
      </w:r>
    </w:p>
    <w:p w:rsidR="00C747DD" w:rsidRPr="00BE282E" w:rsidRDefault="00C747DD" w:rsidP="00C747DD">
      <w:pPr>
        <w:ind w:left="851"/>
        <w:rPr>
          <w:sz w:val="24"/>
          <w:szCs w:val="24"/>
          <w:lang w:eastAsia="fr-FR"/>
        </w:rPr>
      </w:pPr>
      <w:r w:rsidRPr="00BE282E">
        <w:rPr>
          <w:sz w:val="24"/>
          <w:szCs w:val="24"/>
          <w:lang w:bidi="da-DK"/>
        </w:rPr>
        <w:t xml:space="preserve">I tilfælde af overdosering kan følgende observeres: </w:t>
      </w:r>
      <w:proofErr w:type="spellStart"/>
      <w:r w:rsidRPr="00BE282E">
        <w:rPr>
          <w:sz w:val="24"/>
          <w:szCs w:val="24"/>
          <w:lang w:bidi="da-DK"/>
        </w:rPr>
        <w:t>kutan</w:t>
      </w:r>
      <w:proofErr w:type="spellEnd"/>
      <w:r w:rsidRPr="00BE282E">
        <w:rPr>
          <w:sz w:val="24"/>
          <w:szCs w:val="24"/>
          <w:lang w:bidi="da-DK"/>
        </w:rPr>
        <w:t xml:space="preserve"> </w:t>
      </w:r>
      <w:proofErr w:type="spellStart"/>
      <w:r w:rsidRPr="00BE282E">
        <w:rPr>
          <w:sz w:val="24"/>
          <w:szCs w:val="24"/>
          <w:lang w:bidi="da-DK"/>
        </w:rPr>
        <w:t>vasokonstriktion</w:t>
      </w:r>
      <w:proofErr w:type="spellEnd"/>
      <w:r w:rsidRPr="00BE282E">
        <w:rPr>
          <w:sz w:val="24"/>
          <w:szCs w:val="24"/>
          <w:lang w:bidi="da-DK"/>
        </w:rPr>
        <w:t>, decubitus, kredsløbskollaps og hypertension.</w:t>
      </w:r>
    </w:p>
    <w:p w:rsidR="00C747DD" w:rsidRDefault="00C747DD" w:rsidP="005C09E6">
      <w:pPr>
        <w:ind w:left="851"/>
        <w:rPr>
          <w:sz w:val="24"/>
          <w:szCs w:val="24"/>
        </w:rPr>
      </w:pPr>
      <w:r w:rsidRPr="00BE282E">
        <w:rPr>
          <w:sz w:val="24"/>
          <w:szCs w:val="24"/>
          <w:lang w:bidi="da-DK"/>
        </w:rPr>
        <w:t>I tilfælde af bivirkninger knyttet til en for stor dosis anbefales det at reducere dosis, hvis det er muligt.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4.10</w:t>
      </w:r>
      <w:r w:rsidRPr="00BE282E">
        <w:rPr>
          <w:b/>
          <w:sz w:val="24"/>
          <w:szCs w:val="24"/>
        </w:rPr>
        <w:tab/>
        <w:t>Udlevering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BE282E">
        <w:rPr>
          <w:sz w:val="24"/>
          <w:szCs w:val="24"/>
        </w:rPr>
        <w:t>B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5.</w:t>
      </w:r>
      <w:r w:rsidRPr="00BE282E">
        <w:rPr>
          <w:b/>
          <w:sz w:val="24"/>
          <w:szCs w:val="24"/>
        </w:rPr>
        <w:tab/>
        <w:t>FARMAKOLOGISKE EGENSKABER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5.0</w:t>
      </w:r>
      <w:r w:rsidRPr="00BE282E">
        <w:rPr>
          <w:b/>
          <w:sz w:val="24"/>
          <w:szCs w:val="24"/>
        </w:rPr>
        <w:tab/>
        <w:t>Terapeutisk klassifikation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color w:val="000000"/>
          <w:sz w:val="24"/>
          <w:szCs w:val="24"/>
          <w:lang w:bidi="da-DK"/>
        </w:rPr>
        <w:t>ATC-kode: C</w:t>
      </w:r>
      <w:r>
        <w:rPr>
          <w:color w:val="000000"/>
          <w:sz w:val="24"/>
          <w:szCs w:val="24"/>
          <w:lang w:bidi="da-DK"/>
        </w:rPr>
        <w:t xml:space="preserve"> </w:t>
      </w:r>
      <w:r w:rsidRPr="00BE282E">
        <w:rPr>
          <w:color w:val="000000"/>
          <w:sz w:val="24"/>
          <w:szCs w:val="24"/>
          <w:lang w:bidi="da-DK"/>
        </w:rPr>
        <w:t>01</w:t>
      </w:r>
      <w:r>
        <w:rPr>
          <w:color w:val="000000"/>
          <w:sz w:val="24"/>
          <w:szCs w:val="24"/>
          <w:lang w:bidi="da-DK"/>
        </w:rPr>
        <w:t xml:space="preserve"> </w:t>
      </w:r>
      <w:r w:rsidRPr="00BE282E">
        <w:rPr>
          <w:color w:val="000000"/>
          <w:sz w:val="24"/>
          <w:szCs w:val="24"/>
          <w:lang w:bidi="da-DK"/>
        </w:rPr>
        <w:t>CA</w:t>
      </w:r>
      <w:r>
        <w:rPr>
          <w:color w:val="000000"/>
          <w:sz w:val="24"/>
          <w:szCs w:val="24"/>
          <w:lang w:bidi="da-DK"/>
        </w:rPr>
        <w:t xml:space="preserve"> </w:t>
      </w:r>
      <w:r w:rsidRPr="00BE282E">
        <w:rPr>
          <w:color w:val="000000"/>
          <w:sz w:val="24"/>
          <w:szCs w:val="24"/>
          <w:lang w:bidi="da-DK"/>
        </w:rPr>
        <w:t>03</w:t>
      </w:r>
      <w:r>
        <w:rPr>
          <w:color w:val="000000"/>
          <w:sz w:val="24"/>
          <w:szCs w:val="24"/>
          <w:lang w:bidi="da-DK"/>
        </w:rPr>
        <w:t>.</w:t>
      </w:r>
      <w:r w:rsidRPr="00BE282E">
        <w:rPr>
          <w:color w:val="000000"/>
          <w:sz w:val="24"/>
          <w:szCs w:val="24"/>
          <w:lang w:bidi="da-DK"/>
        </w:rPr>
        <w:t xml:space="preserve"> </w:t>
      </w:r>
      <w:proofErr w:type="spellStart"/>
      <w:r w:rsidRPr="00BE282E">
        <w:rPr>
          <w:color w:val="000000"/>
          <w:sz w:val="24"/>
          <w:szCs w:val="24"/>
          <w:lang w:bidi="da-DK"/>
        </w:rPr>
        <w:t>Adrenerge</w:t>
      </w:r>
      <w:proofErr w:type="spellEnd"/>
      <w:r w:rsidRPr="00BE282E">
        <w:rPr>
          <w:color w:val="000000"/>
          <w:sz w:val="24"/>
          <w:szCs w:val="24"/>
          <w:lang w:bidi="da-DK"/>
        </w:rPr>
        <w:t xml:space="preserve"> og </w:t>
      </w:r>
      <w:proofErr w:type="spellStart"/>
      <w:r w:rsidRPr="00BE282E">
        <w:rPr>
          <w:color w:val="000000"/>
          <w:sz w:val="24"/>
          <w:szCs w:val="24"/>
          <w:lang w:bidi="da-DK"/>
        </w:rPr>
        <w:t>dopaminerge</w:t>
      </w:r>
      <w:proofErr w:type="spellEnd"/>
      <w:r w:rsidRPr="00BE282E">
        <w:rPr>
          <w:color w:val="000000"/>
          <w:sz w:val="24"/>
          <w:szCs w:val="24"/>
          <w:lang w:bidi="da-DK"/>
        </w:rPr>
        <w:t xml:space="preserve"> midler</w:t>
      </w:r>
      <w:r>
        <w:rPr>
          <w:color w:val="000000"/>
          <w:sz w:val="24"/>
          <w:szCs w:val="24"/>
          <w:lang w:bidi="da-DK"/>
        </w:rPr>
        <w:t>.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5.1</w:t>
      </w:r>
      <w:r w:rsidRPr="00BE282E">
        <w:rPr>
          <w:b/>
          <w:sz w:val="24"/>
          <w:szCs w:val="24"/>
        </w:rPr>
        <w:tab/>
      </w:r>
      <w:proofErr w:type="spellStart"/>
      <w:r w:rsidRPr="00BE282E">
        <w:rPr>
          <w:b/>
          <w:sz w:val="24"/>
          <w:szCs w:val="24"/>
        </w:rPr>
        <w:t>Farmakodynamiske</w:t>
      </w:r>
      <w:proofErr w:type="spellEnd"/>
      <w:r w:rsidRPr="00BE282E">
        <w:rPr>
          <w:b/>
          <w:sz w:val="24"/>
          <w:szCs w:val="24"/>
        </w:rPr>
        <w:t xml:space="preserve"> egenskaber</w:t>
      </w:r>
    </w:p>
    <w:p w:rsidR="00C747DD" w:rsidRPr="00BE282E" w:rsidRDefault="00C747DD" w:rsidP="00C747DD">
      <w:pPr>
        <w:ind w:left="851"/>
        <w:textAlignment w:val="top"/>
        <w:rPr>
          <w:color w:val="000000"/>
          <w:sz w:val="24"/>
          <w:szCs w:val="24"/>
          <w:shd w:val="clear" w:color="auto" w:fill="FFFFFF"/>
          <w:lang w:eastAsia="sv-SE"/>
        </w:rPr>
      </w:pPr>
      <w:r w:rsidRPr="00BE282E">
        <w:rPr>
          <w:color w:val="000000"/>
          <w:sz w:val="24"/>
          <w:szCs w:val="24"/>
          <w:lang w:bidi="da-DK"/>
        </w:rPr>
        <w:t xml:space="preserve">Noradrenalin giver en stærk stimulation af alfareceptorerne i blodkarrene, hvorved disse kontraheres. </w:t>
      </w:r>
      <w:r w:rsidRPr="00BE282E">
        <w:rPr>
          <w:color w:val="000000"/>
          <w:sz w:val="24"/>
          <w:szCs w:val="24"/>
          <w:shd w:val="clear" w:color="auto" w:fill="FFFFFF"/>
          <w:lang w:bidi="da-DK"/>
        </w:rPr>
        <w:t xml:space="preserve">Noradrenalin har også en effekt på beta-1-receptorerne i hjertet, hvilket fører </w:t>
      </w:r>
      <w:r w:rsidRPr="00BE282E">
        <w:rPr>
          <w:color w:val="000000"/>
          <w:sz w:val="24"/>
          <w:szCs w:val="24"/>
          <w:shd w:val="clear" w:color="auto" w:fill="FFFFFF"/>
          <w:lang w:bidi="da-DK"/>
        </w:rPr>
        <w:lastRenderedPageBreak/>
        <w:t xml:space="preserve">til en positiv inotrop og initialt positiv </w:t>
      </w:r>
      <w:proofErr w:type="spellStart"/>
      <w:r w:rsidRPr="00BE282E">
        <w:rPr>
          <w:color w:val="000000"/>
          <w:sz w:val="24"/>
          <w:szCs w:val="24"/>
          <w:shd w:val="clear" w:color="auto" w:fill="FFFFFF"/>
          <w:lang w:bidi="da-DK"/>
        </w:rPr>
        <w:t>kronotrop</w:t>
      </w:r>
      <w:proofErr w:type="spellEnd"/>
      <w:r w:rsidRPr="00BE282E">
        <w:rPr>
          <w:color w:val="000000"/>
          <w:sz w:val="24"/>
          <w:szCs w:val="24"/>
          <w:shd w:val="clear" w:color="auto" w:fill="FFFFFF"/>
          <w:lang w:bidi="da-DK"/>
        </w:rPr>
        <w:t xml:space="preserve"> effekt. Stigningen i blodtrykket kan forårsage en refleksmæssig reduktion af hjertefrekvensen. </w:t>
      </w:r>
      <w:proofErr w:type="spellStart"/>
      <w:r w:rsidRPr="00BE282E">
        <w:rPr>
          <w:color w:val="000000"/>
          <w:sz w:val="24"/>
          <w:szCs w:val="24"/>
          <w:shd w:val="clear" w:color="auto" w:fill="FFFFFF"/>
          <w:lang w:bidi="da-DK"/>
        </w:rPr>
        <w:t>Vasokonstriktion</w:t>
      </w:r>
      <w:proofErr w:type="spellEnd"/>
      <w:r w:rsidRPr="00BE282E">
        <w:rPr>
          <w:color w:val="000000"/>
          <w:sz w:val="24"/>
          <w:szCs w:val="24"/>
          <w:shd w:val="clear" w:color="auto" w:fill="FFFFFF"/>
          <w:lang w:bidi="da-DK"/>
        </w:rPr>
        <w:t xml:space="preserve"> kan føre til nedsat blodgennemstrømning i nyrer, lever, hud og glat muskulatur. Lokal konstriktion af karrene kan forårsage </w:t>
      </w:r>
      <w:proofErr w:type="spellStart"/>
      <w:r w:rsidRPr="00BE282E">
        <w:rPr>
          <w:color w:val="000000"/>
          <w:sz w:val="24"/>
          <w:szCs w:val="24"/>
          <w:shd w:val="clear" w:color="auto" w:fill="FFFFFF"/>
          <w:lang w:bidi="da-DK"/>
        </w:rPr>
        <w:t>hæmostase</w:t>
      </w:r>
      <w:proofErr w:type="spellEnd"/>
      <w:r w:rsidRPr="00BE282E">
        <w:rPr>
          <w:color w:val="000000"/>
          <w:sz w:val="24"/>
          <w:szCs w:val="24"/>
          <w:shd w:val="clear" w:color="auto" w:fill="FFFFFF"/>
          <w:lang w:bidi="da-DK"/>
        </w:rPr>
        <w:t xml:space="preserve"> og/eller nekrose.</w:t>
      </w:r>
    </w:p>
    <w:p w:rsidR="00C747DD" w:rsidRPr="00BE282E" w:rsidRDefault="00C747DD" w:rsidP="00C747DD">
      <w:pPr>
        <w:ind w:left="851"/>
        <w:textAlignment w:val="top"/>
        <w:rPr>
          <w:color w:val="000000"/>
          <w:sz w:val="24"/>
          <w:szCs w:val="24"/>
          <w:lang w:eastAsia="sv-SE"/>
        </w:rPr>
      </w:pPr>
      <w:proofErr w:type="spellStart"/>
      <w:r w:rsidRPr="00BE282E">
        <w:rPr>
          <w:color w:val="000000"/>
          <w:sz w:val="24"/>
          <w:szCs w:val="24"/>
          <w:lang w:bidi="da-DK"/>
        </w:rPr>
        <w:t>Pressoreffekten</w:t>
      </w:r>
      <w:proofErr w:type="spellEnd"/>
      <w:r w:rsidRPr="00BE282E">
        <w:rPr>
          <w:color w:val="000000"/>
          <w:sz w:val="24"/>
          <w:szCs w:val="24"/>
          <w:lang w:bidi="da-DK"/>
        </w:rPr>
        <w:t xml:space="preserve"> forsvinder 1</w:t>
      </w:r>
      <w:r w:rsidRPr="00BE282E">
        <w:rPr>
          <w:color w:val="000000"/>
          <w:sz w:val="24"/>
          <w:szCs w:val="24"/>
          <w:lang w:bidi="da-DK"/>
        </w:rPr>
        <w:noBreakHyphen/>
        <w:t xml:space="preserve">2 minutter efter ophør af infusion. </w:t>
      </w:r>
      <w:r w:rsidRPr="00BE282E">
        <w:rPr>
          <w:color w:val="000000"/>
          <w:sz w:val="24"/>
          <w:szCs w:val="24"/>
          <w:shd w:val="clear" w:color="auto" w:fill="FFFFFF"/>
          <w:lang w:bidi="da-DK"/>
        </w:rPr>
        <w:t xml:space="preserve">Udvikling af tolerans over for effekten af noradrenalin kan forekomme. 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5.2</w:t>
      </w:r>
      <w:r w:rsidRPr="00BE282E">
        <w:rPr>
          <w:b/>
          <w:sz w:val="24"/>
          <w:szCs w:val="24"/>
        </w:rPr>
        <w:tab/>
      </w:r>
      <w:proofErr w:type="spellStart"/>
      <w:r w:rsidRPr="00BE282E">
        <w:rPr>
          <w:b/>
          <w:sz w:val="24"/>
          <w:szCs w:val="24"/>
        </w:rPr>
        <w:t>Farmakokinetiske</w:t>
      </w:r>
      <w:proofErr w:type="spellEnd"/>
      <w:r w:rsidRPr="00BE282E">
        <w:rPr>
          <w:b/>
          <w:sz w:val="24"/>
          <w:szCs w:val="24"/>
        </w:rPr>
        <w:t xml:space="preserve"> egenskaber</w:t>
      </w:r>
    </w:p>
    <w:p w:rsidR="00C747DD" w:rsidRPr="00163C2F" w:rsidRDefault="00C747DD" w:rsidP="00C747DD">
      <w:pPr>
        <w:ind w:left="851"/>
        <w:rPr>
          <w:sz w:val="24"/>
          <w:szCs w:val="24"/>
          <w:lang w:eastAsia="fr-FR"/>
        </w:rPr>
      </w:pPr>
      <w:r w:rsidRPr="00163C2F">
        <w:rPr>
          <w:sz w:val="24"/>
          <w:szCs w:val="24"/>
          <w:lang w:bidi="da-DK"/>
        </w:rPr>
        <w:t xml:space="preserve">Der findes to noradrenalin-stereoisomer. Det er den biologisk aktive L-isomer, som er til stede i Noradrenalin </w:t>
      </w:r>
      <w:r w:rsidR="00450D8A">
        <w:rPr>
          <w:sz w:val="24"/>
          <w:szCs w:val="24"/>
          <w:lang w:bidi="da-DK"/>
        </w:rPr>
        <w:t>"</w:t>
      </w:r>
      <w:proofErr w:type="spellStart"/>
      <w:r w:rsidR="00450D8A">
        <w:rPr>
          <w:sz w:val="24"/>
          <w:szCs w:val="24"/>
          <w:lang w:bidi="da-DK"/>
        </w:rPr>
        <w:t>Aguettant</w:t>
      </w:r>
      <w:proofErr w:type="spellEnd"/>
      <w:r w:rsidR="00450D8A">
        <w:rPr>
          <w:sz w:val="24"/>
          <w:szCs w:val="24"/>
          <w:lang w:bidi="da-DK"/>
        </w:rPr>
        <w:t>"</w:t>
      </w:r>
      <w:r w:rsidRPr="00163C2F">
        <w:rPr>
          <w:sz w:val="24"/>
          <w:szCs w:val="24"/>
          <w:lang w:bidi="da-DK"/>
        </w:rPr>
        <w:t xml:space="preserve">. </w:t>
      </w:r>
    </w:p>
    <w:p w:rsidR="00C747DD" w:rsidRPr="00163C2F" w:rsidRDefault="00C747DD" w:rsidP="00C747DD">
      <w:pPr>
        <w:ind w:left="851"/>
        <w:rPr>
          <w:sz w:val="24"/>
          <w:szCs w:val="24"/>
        </w:rPr>
      </w:pPr>
    </w:p>
    <w:p w:rsidR="00C747DD" w:rsidRPr="00163C2F" w:rsidRDefault="00C747DD" w:rsidP="00C747DD">
      <w:pPr>
        <w:ind w:left="851"/>
        <w:rPr>
          <w:sz w:val="24"/>
          <w:szCs w:val="24"/>
        </w:rPr>
      </w:pPr>
      <w:r w:rsidRPr="00163C2F">
        <w:rPr>
          <w:sz w:val="24"/>
          <w:szCs w:val="24"/>
          <w:lang w:bidi="da-DK"/>
        </w:rPr>
        <w:t>Absorption:</w:t>
      </w:r>
    </w:p>
    <w:p w:rsidR="00C747DD" w:rsidRPr="00CF224A" w:rsidRDefault="00C747DD" w:rsidP="00C747DD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CF224A">
        <w:rPr>
          <w:sz w:val="24"/>
          <w:szCs w:val="24"/>
          <w:lang w:bidi="da-DK"/>
        </w:rPr>
        <w:t xml:space="preserve">Subkutan: Dårlig </w:t>
      </w:r>
    </w:p>
    <w:p w:rsidR="00C747DD" w:rsidRPr="00CF224A" w:rsidRDefault="00C747DD" w:rsidP="00C747DD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CF224A">
        <w:rPr>
          <w:sz w:val="24"/>
          <w:szCs w:val="24"/>
          <w:lang w:bidi="da-DK"/>
        </w:rPr>
        <w:t xml:space="preserve">Peroral: Noradrenalin inaktiveres hurtigt i mave-tarm-kanalen efter oral administration. </w:t>
      </w:r>
    </w:p>
    <w:p w:rsidR="00C747DD" w:rsidRPr="00CF224A" w:rsidRDefault="00C747DD" w:rsidP="00C747DD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CF224A">
        <w:rPr>
          <w:sz w:val="24"/>
          <w:szCs w:val="24"/>
          <w:lang w:bidi="da-DK"/>
        </w:rPr>
        <w:t xml:space="preserve">Efter intravenøs administration har noradrenalin en plasmahalveringstid på 1 til 2 minutter. </w:t>
      </w:r>
    </w:p>
    <w:p w:rsidR="00C747DD" w:rsidRPr="00163C2F" w:rsidRDefault="00C747DD" w:rsidP="00C747DD">
      <w:pPr>
        <w:ind w:left="851"/>
        <w:rPr>
          <w:sz w:val="24"/>
          <w:szCs w:val="24"/>
        </w:rPr>
      </w:pPr>
    </w:p>
    <w:p w:rsidR="00C747DD" w:rsidRPr="00163C2F" w:rsidRDefault="00C747DD" w:rsidP="00C747DD">
      <w:pPr>
        <w:ind w:left="851"/>
        <w:rPr>
          <w:sz w:val="24"/>
          <w:szCs w:val="24"/>
        </w:rPr>
      </w:pPr>
      <w:r w:rsidRPr="00163C2F">
        <w:rPr>
          <w:sz w:val="24"/>
          <w:szCs w:val="24"/>
          <w:lang w:bidi="da-DK"/>
        </w:rPr>
        <w:t>Fordeling:</w:t>
      </w:r>
    </w:p>
    <w:p w:rsidR="00C747DD" w:rsidRPr="00CF224A" w:rsidRDefault="00C747DD" w:rsidP="00C747DD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CF224A">
        <w:rPr>
          <w:sz w:val="24"/>
          <w:szCs w:val="24"/>
          <w:lang w:bidi="da-DK"/>
        </w:rPr>
        <w:t xml:space="preserve">Noradrenalin forsvinder hurtigt fra plasma gennem en kombineret cellulær genoptagelse og metabolisme. Den passerer ikke uden videre blod-hjerne-barrieren. </w:t>
      </w:r>
    </w:p>
    <w:p w:rsidR="00C747DD" w:rsidRPr="00163C2F" w:rsidRDefault="00C747DD" w:rsidP="00C747DD">
      <w:pPr>
        <w:ind w:left="851"/>
        <w:rPr>
          <w:sz w:val="24"/>
          <w:szCs w:val="24"/>
        </w:rPr>
      </w:pPr>
    </w:p>
    <w:p w:rsidR="00C747DD" w:rsidRPr="00163C2F" w:rsidRDefault="00C747DD" w:rsidP="00C747DD">
      <w:pPr>
        <w:ind w:left="851"/>
        <w:rPr>
          <w:sz w:val="24"/>
          <w:szCs w:val="24"/>
        </w:rPr>
      </w:pPr>
      <w:r w:rsidRPr="00163C2F">
        <w:rPr>
          <w:sz w:val="24"/>
          <w:szCs w:val="24"/>
          <w:lang w:bidi="da-DK"/>
        </w:rPr>
        <w:t>Biotransformation:</w:t>
      </w:r>
    </w:p>
    <w:p w:rsidR="00C747DD" w:rsidRPr="00CF224A" w:rsidRDefault="00C747DD" w:rsidP="00C747DD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  <w:lang w:val="en-US"/>
        </w:rPr>
      </w:pPr>
      <w:proofErr w:type="spellStart"/>
      <w:r w:rsidRPr="00CF224A">
        <w:rPr>
          <w:sz w:val="24"/>
          <w:szCs w:val="24"/>
          <w:lang w:val="en-US" w:bidi="da-DK"/>
        </w:rPr>
        <w:t>Methylering</w:t>
      </w:r>
      <w:proofErr w:type="spellEnd"/>
      <w:r w:rsidRPr="00CF224A">
        <w:rPr>
          <w:sz w:val="24"/>
          <w:szCs w:val="24"/>
          <w:lang w:val="en-US" w:bidi="da-DK"/>
        </w:rPr>
        <w:t xml:space="preserve"> </w:t>
      </w:r>
      <w:proofErr w:type="spellStart"/>
      <w:r w:rsidRPr="00CF224A">
        <w:rPr>
          <w:sz w:val="24"/>
          <w:szCs w:val="24"/>
          <w:lang w:val="en-US" w:bidi="da-DK"/>
        </w:rPr>
        <w:t>ved</w:t>
      </w:r>
      <w:proofErr w:type="spellEnd"/>
      <w:r w:rsidRPr="00CF224A">
        <w:rPr>
          <w:sz w:val="24"/>
          <w:szCs w:val="24"/>
          <w:lang w:val="en-US" w:bidi="da-DK"/>
        </w:rPr>
        <w:t xml:space="preserve"> catechol-o-methyltransferase, </w:t>
      </w:r>
    </w:p>
    <w:p w:rsidR="00C747DD" w:rsidRPr="00CF224A" w:rsidRDefault="00C747DD" w:rsidP="00C747DD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</w:rPr>
      </w:pPr>
      <w:proofErr w:type="spellStart"/>
      <w:r w:rsidRPr="00CF224A">
        <w:rPr>
          <w:sz w:val="24"/>
          <w:szCs w:val="24"/>
          <w:lang w:bidi="da-DK"/>
        </w:rPr>
        <w:t>Deaminering</w:t>
      </w:r>
      <w:proofErr w:type="spellEnd"/>
      <w:r w:rsidRPr="00CF224A">
        <w:rPr>
          <w:sz w:val="24"/>
          <w:szCs w:val="24"/>
          <w:lang w:bidi="da-DK"/>
        </w:rPr>
        <w:t xml:space="preserve"> ved </w:t>
      </w:r>
      <w:proofErr w:type="spellStart"/>
      <w:r w:rsidRPr="00CF224A">
        <w:rPr>
          <w:sz w:val="24"/>
          <w:szCs w:val="24"/>
          <w:lang w:bidi="da-DK"/>
        </w:rPr>
        <w:t>monoamin</w:t>
      </w:r>
      <w:proofErr w:type="spellEnd"/>
      <w:r w:rsidRPr="00CF224A">
        <w:rPr>
          <w:sz w:val="24"/>
          <w:szCs w:val="24"/>
          <w:lang w:bidi="da-DK"/>
        </w:rPr>
        <w:t xml:space="preserve">-oxidase (MAO), </w:t>
      </w:r>
    </w:p>
    <w:p w:rsidR="00C747DD" w:rsidRPr="00CF224A" w:rsidRDefault="00C747DD" w:rsidP="00C747DD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CF224A">
        <w:rPr>
          <w:sz w:val="24"/>
          <w:szCs w:val="24"/>
          <w:lang w:bidi="da-DK"/>
        </w:rPr>
        <w:t xml:space="preserve">De endelige metabolitter fra begge er 4-hydroxy-3-methoxymandelsyre, </w:t>
      </w:r>
    </w:p>
    <w:p w:rsidR="00C747DD" w:rsidRPr="00CF224A" w:rsidRDefault="00C747DD" w:rsidP="00C747DD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CF224A">
        <w:rPr>
          <w:sz w:val="24"/>
          <w:szCs w:val="24"/>
          <w:lang w:bidi="da-DK"/>
        </w:rPr>
        <w:t xml:space="preserve">De mellemliggende metabolitter omfatter </w:t>
      </w:r>
      <w:proofErr w:type="spellStart"/>
      <w:r w:rsidRPr="00CF224A">
        <w:rPr>
          <w:sz w:val="24"/>
          <w:szCs w:val="24"/>
          <w:lang w:bidi="da-DK"/>
        </w:rPr>
        <w:t>normetanephrin</w:t>
      </w:r>
      <w:proofErr w:type="spellEnd"/>
      <w:r w:rsidRPr="00CF224A">
        <w:rPr>
          <w:sz w:val="24"/>
          <w:szCs w:val="24"/>
          <w:lang w:bidi="da-DK"/>
        </w:rPr>
        <w:t xml:space="preserve"> og 3,4- </w:t>
      </w:r>
      <w:proofErr w:type="spellStart"/>
      <w:r w:rsidRPr="00CF224A">
        <w:rPr>
          <w:sz w:val="24"/>
          <w:szCs w:val="24"/>
          <w:lang w:bidi="da-DK"/>
        </w:rPr>
        <w:t>dihydroxymandelsyre</w:t>
      </w:r>
      <w:proofErr w:type="spellEnd"/>
      <w:r w:rsidRPr="00CF224A">
        <w:rPr>
          <w:sz w:val="24"/>
          <w:szCs w:val="24"/>
          <w:lang w:bidi="da-DK"/>
        </w:rPr>
        <w:t xml:space="preserve">. </w:t>
      </w:r>
    </w:p>
    <w:p w:rsidR="00C747DD" w:rsidRPr="00163C2F" w:rsidRDefault="00C747DD" w:rsidP="00C747DD">
      <w:pPr>
        <w:ind w:left="851"/>
        <w:rPr>
          <w:sz w:val="24"/>
          <w:szCs w:val="24"/>
        </w:rPr>
      </w:pPr>
    </w:p>
    <w:p w:rsidR="00C747DD" w:rsidRPr="00163C2F" w:rsidRDefault="00C747DD" w:rsidP="00C747DD">
      <w:pPr>
        <w:ind w:left="851"/>
        <w:rPr>
          <w:sz w:val="24"/>
          <w:szCs w:val="24"/>
        </w:rPr>
      </w:pPr>
      <w:r w:rsidRPr="00163C2F">
        <w:rPr>
          <w:sz w:val="24"/>
          <w:szCs w:val="24"/>
          <w:lang w:bidi="da-DK"/>
        </w:rPr>
        <w:t xml:space="preserve">Elimination: </w:t>
      </w:r>
    </w:p>
    <w:p w:rsidR="00C747DD" w:rsidRPr="00092348" w:rsidRDefault="00C747DD" w:rsidP="00C747DD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107F15">
        <w:rPr>
          <w:sz w:val="24"/>
          <w:szCs w:val="24"/>
          <w:lang w:bidi="da-DK"/>
        </w:rPr>
        <w:t xml:space="preserve">Noradrenalin elimineres hovedsageligt som </w:t>
      </w:r>
      <w:proofErr w:type="spellStart"/>
      <w:r w:rsidRPr="00107F15">
        <w:rPr>
          <w:sz w:val="24"/>
          <w:szCs w:val="24"/>
          <w:lang w:bidi="da-DK"/>
        </w:rPr>
        <w:t>glucuronid</w:t>
      </w:r>
      <w:proofErr w:type="spellEnd"/>
      <w:r w:rsidRPr="00107F15">
        <w:rPr>
          <w:sz w:val="24"/>
          <w:szCs w:val="24"/>
          <w:lang w:bidi="da-DK"/>
        </w:rPr>
        <w:t xml:space="preserve">- eller </w:t>
      </w:r>
      <w:proofErr w:type="spellStart"/>
      <w:r w:rsidRPr="00107F15">
        <w:rPr>
          <w:sz w:val="24"/>
          <w:szCs w:val="24"/>
          <w:lang w:bidi="da-DK"/>
        </w:rPr>
        <w:t>sulfatkonjugering</w:t>
      </w:r>
      <w:proofErr w:type="spellEnd"/>
      <w:r w:rsidRPr="00107F15">
        <w:rPr>
          <w:sz w:val="24"/>
          <w:szCs w:val="24"/>
          <w:lang w:bidi="da-DK"/>
        </w:rPr>
        <w:t xml:space="preserve"> af metabolitterne i urinen. </w:t>
      </w:r>
      <w:r w:rsidRPr="00092348">
        <w:rPr>
          <w:sz w:val="24"/>
          <w:szCs w:val="24"/>
          <w:lang w:bidi="da-DK"/>
        </w:rPr>
        <w:t xml:space="preserve"> 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5.3</w:t>
      </w:r>
      <w:r w:rsidRPr="00BE282E">
        <w:rPr>
          <w:b/>
          <w:sz w:val="24"/>
          <w:szCs w:val="24"/>
        </w:rPr>
        <w:tab/>
        <w:t>Prækliniske sikkerhedsdata</w:t>
      </w:r>
    </w:p>
    <w:p w:rsidR="00C747DD" w:rsidRPr="00BE282E" w:rsidRDefault="00C747DD" w:rsidP="00C747DD">
      <w:pPr>
        <w:ind w:left="851"/>
        <w:rPr>
          <w:color w:val="000000"/>
          <w:sz w:val="24"/>
          <w:szCs w:val="24"/>
          <w:lang w:eastAsia="sv-SE"/>
        </w:rPr>
      </w:pPr>
      <w:r w:rsidRPr="00BE282E">
        <w:rPr>
          <w:color w:val="000000"/>
          <w:sz w:val="24"/>
          <w:szCs w:val="24"/>
          <w:lang w:bidi="da-DK"/>
        </w:rPr>
        <w:t xml:space="preserve">De fleste af de bivirkninger, der kan tilskrives </w:t>
      </w:r>
      <w:proofErr w:type="spellStart"/>
      <w:r w:rsidRPr="00BE282E">
        <w:rPr>
          <w:color w:val="000000"/>
          <w:sz w:val="24"/>
          <w:szCs w:val="24"/>
          <w:lang w:bidi="da-DK"/>
        </w:rPr>
        <w:t>sympatomimetikum</w:t>
      </w:r>
      <w:proofErr w:type="spellEnd"/>
      <w:r w:rsidRPr="00BE282E">
        <w:rPr>
          <w:color w:val="000000"/>
          <w:sz w:val="24"/>
          <w:szCs w:val="24"/>
          <w:lang w:bidi="da-DK"/>
        </w:rPr>
        <w:t xml:space="preserve">, udspringer af overdreven stimulering af nervesystemet gennem de forskellige </w:t>
      </w:r>
      <w:proofErr w:type="spellStart"/>
      <w:r w:rsidRPr="00BE282E">
        <w:rPr>
          <w:color w:val="000000"/>
          <w:sz w:val="24"/>
          <w:szCs w:val="24"/>
          <w:lang w:bidi="da-DK"/>
        </w:rPr>
        <w:t>adrenerge</w:t>
      </w:r>
      <w:proofErr w:type="spellEnd"/>
      <w:r w:rsidRPr="00BE282E">
        <w:rPr>
          <w:color w:val="000000"/>
          <w:sz w:val="24"/>
          <w:szCs w:val="24"/>
          <w:lang w:bidi="da-DK"/>
        </w:rPr>
        <w:t xml:space="preserve"> receptorer.</w:t>
      </w:r>
    </w:p>
    <w:p w:rsidR="00C747DD" w:rsidRPr="00BE282E" w:rsidRDefault="00C747DD" w:rsidP="00C747DD">
      <w:pPr>
        <w:ind w:left="851"/>
        <w:rPr>
          <w:color w:val="000000"/>
          <w:sz w:val="24"/>
          <w:szCs w:val="24"/>
          <w:lang w:eastAsia="sv-SE"/>
        </w:rPr>
      </w:pPr>
    </w:p>
    <w:p w:rsidR="00C747DD" w:rsidRPr="00BE282E" w:rsidRDefault="00C747DD" w:rsidP="00C747DD">
      <w:pPr>
        <w:ind w:left="851"/>
        <w:rPr>
          <w:noProof/>
          <w:sz w:val="24"/>
          <w:szCs w:val="24"/>
        </w:rPr>
      </w:pPr>
      <w:r w:rsidRPr="00BE282E">
        <w:rPr>
          <w:color w:val="000000"/>
          <w:sz w:val="24"/>
          <w:szCs w:val="24"/>
          <w:lang w:bidi="da-DK"/>
        </w:rPr>
        <w:t xml:space="preserve">Noradrenalin kan hæmme </w:t>
      </w:r>
      <w:proofErr w:type="spellStart"/>
      <w:r w:rsidRPr="00BE282E">
        <w:rPr>
          <w:color w:val="000000"/>
          <w:sz w:val="24"/>
          <w:szCs w:val="24"/>
          <w:lang w:bidi="da-DK"/>
        </w:rPr>
        <w:t>placentaperfusionen</w:t>
      </w:r>
      <w:proofErr w:type="spellEnd"/>
      <w:r w:rsidRPr="00BE282E">
        <w:rPr>
          <w:color w:val="000000"/>
          <w:sz w:val="24"/>
          <w:szCs w:val="24"/>
          <w:lang w:bidi="da-DK"/>
        </w:rPr>
        <w:t xml:space="preserve"> og forårsage fatal bradykardi hos fosteret. Det kan også forårsage sammentrækninger i livmoderen og føre til kvælning af fosteret sent i graviditeten. 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6.</w:t>
      </w:r>
      <w:r w:rsidRPr="00BE282E">
        <w:rPr>
          <w:b/>
          <w:sz w:val="24"/>
          <w:szCs w:val="24"/>
        </w:rPr>
        <w:tab/>
        <w:t>FARMACEUTISKE OPLYSNINGER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6.1</w:t>
      </w:r>
      <w:r w:rsidRPr="00BE282E">
        <w:rPr>
          <w:b/>
          <w:sz w:val="24"/>
          <w:szCs w:val="24"/>
        </w:rPr>
        <w:tab/>
        <w:t>Hjælpestoffer</w:t>
      </w:r>
    </w:p>
    <w:p w:rsidR="00C747DD" w:rsidRPr="00BE282E" w:rsidRDefault="00C747DD" w:rsidP="00C747DD">
      <w:pPr>
        <w:ind w:left="851"/>
        <w:rPr>
          <w:noProof/>
          <w:sz w:val="24"/>
          <w:szCs w:val="24"/>
          <w:lang w:bidi="da-DK"/>
        </w:rPr>
      </w:pPr>
      <w:r w:rsidRPr="00BE282E">
        <w:rPr>
          <w:noProof/>
          <w:sz w:val="24"/>
          <w:szCs w:val="24"/>
          <w:lang w:bidi="da-DK"/>
        </w:rPr>
        <w:t>Natriumchlorid</w:t>
      </w:r>
    </w:p>
    <w:p w:rsidR="00C747DD" w:rsidRPr="00BE282E" w:rsidRDefault="00C747DD" w:rsidP="00C747DD">
      <w:pPr>
        <w:ind w:left="851"/>
        <w:rPr>
          <w:noProof/>
          <w:sz w:val="24"/>
          <w:szCs w:val="24"/>
          <w:lang w:bidi="da-DK"/>
        </w:rPr>
      </w:pPr>
      <w:r w:rsidRPr="00E23F6E">
        <w:rPr>
          <w:noProof/>
          <w:sz w:val="24"/>
          <w:szCs w:val="24"/>
          <w:lang w:bidi="da-DK"/>
        </w:rPr>
        <w:t>Dinatriumedetat</w:t>
      </w:r>
    </w:p>
    <w:p w:rsidR="00C747DD" w:rsidRPr="00BE282E" w:rsidRDefault="00C747DD" w:rsidP="00C747DD">
      <w:pPr>
        <w:ind w:left="851"/>
        <w:rPr>
          <w:noProof/>
          <w:sz w:val="24"/>
          <w:szCs w:val="24"/>
          <w:lang w:bidi="da-DK"/>
        </w:rPr>
      </w:pPr>
      <w:r w:rsidRPr="00BE282E">
        <w:rPr>
          <w:noProof/>
          <w:sz w:val="24"/>
          <w:szCs w:val="24"/>
          <w:lang w:bidi="da-DK"/>
        </w:rPr>
        <w:t>Saltsyre eller natriumhyroxid (regulering af pH)</w:t>
      </w:r>
    </w:p>
    <w:p w:rsidR="00C747DD" w:rsidRPr="00BE282E" w:rsidRDefault="00C747DD" w:rsidP="00C747DD">
      <w:pPr>
        <w:ind w:left="851"/>
        <w:rPr>
          <w:noProof/>
          <w:sz w:val="24"/>
          <w:szCs w:val="24"/>
          <w:lang w:bidi="da-DK"/>
        </w:rPr>
      </w:pPr>
      <w:r w:rsidRPr="00BE282E">
        <w:rPr>
          <w:noProof/>
          <w:sz w:val="24"/>
          <w:szCs w:val="24"/>
          <w:lang w:bidi="da-DK"/>
        </w:rPr>
        <w:t>Vand til injektionsvæske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5C09E6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lastRenderedPageBreak/>
        <w:t>6.2</w:t>
      </w:r>
      <w:r w:rsidRPr="00BE282E">
        <w:rPr>
          <w:b/>
          <w:sz w:val="24"/>
          <w:szCs w:val="24"/>
        </w:rPr>
        <w:tab/>
        <w:t>Uforligeligheder</w:t>
      </w:r>
    </w:p>
    <w:p w:rsidR="00C747DD" w:rsidRPr="00BE282E" w:rsidRDefault="00C747DD" w:rsidP="00C747DD">
      <w:pPr>
        <w:ind w:left="851"/>
        <w:rPr>
          <w:noProof/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>Dette lægemiddel må ikke blandes med andre lægemidler.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6.3</w:t>
      </w:r>
      <w:r w:rsidRPr="00BE282E">
        <w:rPr>
          <w:b/>
          <w:sz w:val="24"/>
          <w:szCs w:val="24"/>
        </w:rPr>
        <w:tab/>
        <w:t>Opbevaringstid</w:t>
      </w:r>
    </w:p>
    <w:p w:rsidR="00C747DD" w:rsidRPr="00BE282E" w:rsidRDefault="00C747DD" w:rsidP="00C747DD">
      <w:pPr>
        <w:ind w:left="851" w:hanging="851"/>
        <w:rPr>
          <w:noProof/>
          <w:sz w:val="24"/>
          <w:szCs w:val="24"/>
        </w:rPr>
      </w:pPr>
      <w:r w:rsidRPr="00BE282E">
        <w:rPr>
          <w:sz w:val="24"/>
          <w:szCs w:val="24"/>
        </w:rPr>
        <w:tab/>
      </w:r>
      <w:r w:rsidRPr="00BE282E">
        <w:rPr>
          <w:noProof/>
          <w:sz w:val="24"/>
          <w:szCs w:val="24"/>
          <w:lang w:bidi="da-DK"/>
        </w:rPr>
        <w:t>18 måneder.</w:t>
      </w:r>
    </w:p>
    <w:p w:rsidR="00C747DD" w:rsidRPr="00BE282E" w:rsidRDefault="00C747DD" w:rsidP="00C747DD">
      <w:pPr>
        <w:ind w:left="851"/>
        <w:rPr>
          <w:noProof/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>Efter første anbrud skal produktet anvendes straks.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6.4</w:t>
      </w:r>
      <w:r w:rsidRPr="00BE282E">
        <w:rPr>
          <w:b/>
          <w:sz w:val="24"/>
          <w:szCs w:val="24"/>
        </w:rPr>
        <w:tab/>
        <w:t>Særlige opbevaringsforhold</w:t>
      </w:r>
    </w:p>
    <w:p w:rsidR="00C747DD" w:rsidRPr="00BE282E" w:rsidRDefault="00C747DD" w:rsidP="00C747DD">
      <w:pPr>
        <w:ind w:left="851"/>
        <w:rPr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>Må ikke opbevares ved temperaturer over 25 °C. Opbevar hætteglasset i den ydre karton for at beskytte mod lys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6.5</w:t>
      </w:r>
      <w:r w:rsidRPr="00BE282E">
        <w:rPr>
          <w:b/>
          <w:sz w:val="24"/>
          <w:szCs w:val="24"/>
        </w:rPr>
        <w:tab/>
        <w:t>Emballagetyper og pakningsstørrelser</w:t>
      </w:r>
    </w:p>
    <w:p w:rsidR="00C747DD" w:rsidRPr="00BE282E" w:rsidRDefault="00C747DD" w:rsidP="00C747DD">
      <w:pPr>
        <w:ind w:left="851"/>
        <w:rPr>
          <w:noProof/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 xml:space="preserve">Klart hætteglas </w:t>
      </w:r>
      <w:r w:rsidRPr="00E23F6E">
        <w:rPr>
          <w:noProof/>
          <w:sz w:val="24"/>
          <w:szCs w:val="24"/>
          <w:lang w:bidi="da-DK"/>
        </w:rPr>
        <w:t>type II</w:t>
      </w:r>
      <w:r>
        <w:rPr>
          <w:noProof/>
          <w:sz w:val="24"/>
          <w:szCs w:val="24"/>
          <w:lang w:bidi="da-DK"/>
        </w:rPr>
        <w:t>,</w:t>
      </w:r>
      <w:r w:rsidRPr="00E23F6E">
        <w:rPr>
          <w:noProof/>
          <w:sz w:val="24"/>
          <w:szCs w:val="24"/>
          <w:lang w:bidi="da-DK"/>
        </w:rPr>
        <w:t xml:space="preserve"> </w:t>
      </w:r>
      <w:r w:rsidRPr="00BE282E">
        <w:rPr>
          <w:noProof/>
          <w:sz w:val="24"/>
          <w:szCs w:val="24"/>
          <w:lang w:bidi="da-DK"/>
        </w:rPr>
        <w:t>lukket med en bromobutylprop type I og en aluminiumshætte med 50 ml infusionsvæske, opløsning i pakningsstørrelser med 1, 10 og 25 hætteglas.</w:t>
      </w:r>
    </w:p>
    <w:p w:rsidR="00C747DD" w:rsidRPr="00BE282E" w:rsidRDefault="00C747DD" w:rsidP="00C747DD">
      <w:pPr>
        <w:ind w:left="851"/>
        <w:rPr>
          <w:noProof/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>Ikke alle pakningsstørrelser er nødvendigvis markedsført.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6.6</w:t>
      </w:r>
      <w:r w:rsidRPr="00BE282E">
        <w:rPr>
          <w:b/>
          <w:sz w:val="24"/>
          <w:szCs w:val="24"/>
        </w:rPr>
        <w:tab/>
        <w:t>Regler for destruktion og anden håndtering</w:t>
      </w:r>
    </w:p>
    <w:p w:rsidR="005C09E6" w:rsidRPr="00BE282E" w:rsidRDefault="005C09E6" w:rsidP="005C09E6">
      <w:pPr>
        <w:ind w:left="851"/>
        <w:rPr>
          <w:noProof/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>Kun til engangsbrug. Ubrugt indhold kasseres.</w:t>
      </w:r>
    </w:p>
    <w:p w:rsidR="005C09E6" w:rsidRDefault="005C09E6" w:rsidP="005C09E6">
      <w:pPr>
        <w:ind w:left="851"/>
        <w:rPr>
          <w:noProof/>
          <w:sz w:val="24"/>
          <w:szCs w:val="24"/>
          <w:lang w:bidi="da-DK"/>
        </w:rPr>
      </w:pPr>
      <w:r w:rsidRPr="00BE282E">
        <w:rPr>
          <w:noProof/>
          <w:sz w:val="24"/>
          <w:szCs w:val="24"/>
          <w:lang w:bidi="da-DK"/>
        </w:rPr>
        <w:t xml:space="preserve">Noradrenalin </w:t>
      </w:r>
      <w:r>
        <w:rPr>
          <w:noProof/>
          <w:sz w:val="24"/>
          <w:szCs w:val="24"/>
          <w:lang w:bidi="da-DK"/>
        </w:rPr>
        <w:t>"Aguettant"</w:t>
      </w:r>
      <w:r w:rsidRPr="00BE282E">
        <w:rPr>
          <w:noProof/>
          <w:sz w:val="24"/>
          <w:szCs w:val="24"/>
          <w:lang w:bidi="da-DK"/>
        </w:rPr>
        <w:t xml:space="preserve"> er allerede fortyndet og klar til brug.  Det skal anvendes uden forudgående fortynding. </w:t>
      </w:r>
      <w:r w:rsidRPr="00E23F6E">
        <w:rPr>
          <w:noProof/>
          <w:sz w:val="24"/>
          <w:szCs w:val="24"/>
          <w:lang w:bidi="da-DK"/>
        </w:rPr>
        <w:t>Bør bruges sammen med en egnet infusionspumpe</w:t>
      </w:r>
      <w:r>
        <w:rPr>
          <w:noProof/>
          <w:sz w:val="24"/>
          <w:szCs w:val="24"/>
          <w:lang w:bidi="da-DK"/>
        </w:rPr>
        <w:t xml:space="preserve"> eller sprøjtepumpe</w:t>
      </w:r>
      <w:r w:rsidRPr="00E23F6E">
        <w:rPr>
          <w:noProof/>
          <w:sz w:val="24"/>
          <w:szCs w:val="24"/>
          <w:lang w:bidi="da-DK"/>
        </w:rPr>
        <w:t>, der præcist og konsistent kan levere den mindste specificerede mængde ved en strengt kontrolleret infusionshastighed i henhold til dosistitreringsvejledningen i afsnit 4.2.</w:t>
      </w:r>
      <w:r w:rsidRPr="00BE282E">
        <w:rPr>
          <w:noProof/>
          <w:sz w:val="24"/>
          <w:szCs w:val="24"/>
          <w:lang w:bidi="da-DK"/>
        </w:rPr>
        <w:t xml:space="preserve"> </w:t>
      </w:r>
    </w:p>
    <w:p w:rsidR="005C09E6" w:rsidRPr="00BE282E" w:rsidRDefault="005C09E6" w:rsidP="005C09E6">
      <w:pPr>
        <w:ind w:left="851"/>
        <w:rPr>
          <w:noProof/>
          <w:sz w:val="24"/>
          <w:szCs w:val="24"/>
        </w:rPr>
      </w:pPr>
      <w:r w:rsidRPr="00BE282E">
        <w:rPr>
          <w:noProof/>
          <w:sz w:val="24"/>
          <w:szCs w:val="24"/>
          <w:lang w:bidi="da-DK"/>
        </w:rPr>
        <w:t>Dette lægemiddel må ikke anvendes, hvis opløsningen er mørkere end let gullig eller lyserød i farven, eller hvis den indeholder bundfald.</w:t>
      </w:r>
    </w:p>
    <w:p w:rsidR="005C09E6" w:rsidRPr="00BE282E" w:rsidRDefault="005C09E6" w:rsidP="005C09E6">
      <w:pPr>
        <w:ind w:left="851"/>
        <w:rPr>
          <w:noProof/>
          <w:sz w:val="24"/>
          <w:szCs w:val="24"/>
        </w:rPr>
      </w:pPr>
      <w:r w:rsidRPr="00BE282E">
        <w:rPr>
          <w:sz w:val="24"/>
          <w:szCs w:val="24"/>
          <w:lang w:bidi="da-DK"/>
        </w:rPr>
        <w:t>Den sterile opløsning må ikke anvendes, hvis den ikke er klar og indeholder partikler, eller hvis anbrudssikringen ikke er intakt.</w:t>
      </w:r>
    </w:p>
    <w:p w:rsidR="005C09E6" w:rsidRDefault="005C09E6" w:rsidP="005C09E6">
      <w:pPr>
        <w:tabs>
          <w:tab w:val="left" w:pos="851"/>
        </w:tabs>
        <w:ind w:left="851"/>
        <w:jc w:val="both"/>
        <w:rPr>
          <w:sz w:val="24"/>
          <w:szCs w:val="24"/>
          <w:lang w:bidi="da-DK"/>
        </w:rPr>
      </w:pPr>
      <w:r w:rsidRPr="00BE282E">
        <w:rPr>
          <w:sz w:val="24"/>
          <w:szCs w:val="24"/>
          <w:lang w:bidi="da-DK"/>
        </w:rPr>
        <w:t>Ikke anvendt lægemiddel samt affald heraf skal bortskaffes i henhold til lokale retningslinjer.</w:t>
      </w:r>
    </w:p>
    <w:p w:rsidR="00C747DD" w:rsidRPr="00BE282E" w:rsidRDefault="00C747DD" w:rsidP="00C747DD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7.</w:t>
      </w:r>
      <w:r w:rsidRPr="00BE282E">
        <w:rPr>
          <w:b/>
          <w:sz w:val="24"/>
          <w:szCs w:val="24"/>
        </w:rPr>
        <w:tab/>
        <w:t>INDEHAVER AF MARKEDSFØRINGSTILLADELSEN</w:t>
      </w:r>
    </w:p>
    <w:p w:rsidR="00C747DD" w:rsidRPr="00BE282E" w:rsidRDefault="00C747DD" w:rsidP="00C747DD">
      <w:pPr>
        <w:ind w:left="851"/>
        <w:rPr>
          <w:sz w:val="24"/>
          <w:szCs w:val="24"/>
          <w:lang w:val="fr-FR"/>
        </w:rPr>
      </w:pPr>
      <w:proofErr w:type="spellStart"/>
      <w:r w:rsidRPr="0012627F">
        <w:rPr>
          <w:sz w:val="24"/>
          <w:szCs w:val="24"/>
          <w:lang w:bidi="da-DK"/>
        </w:rPr>
        <w:t>Laboratoire</w:t>
      </w:r>
      <w:proofErr w:type="spellEnd"/>
      <w:r w:rsidRPr="0012627F">
        <w:rPr>
          <w:sz w:val="24"/>
          <w:szCs w:val="24"/>
          <w:lang w:bidi="da-DK"/>
        </w:rPr>
        <w:t xml:space="preserve"> </w:t>
      </w:r>
      <w:proofErr w:type="spellStart"/>
      <w:r w:rsidRPr="0012627F">
        <w:rPr>
          <w:sz w:val="24"/>
          <w:szCs w:val="24"/>
          <w:lang w:bidi="da-DK"/>
        </w:rPr>
        <w:t>Aguettant</w:t>
      </w:r>
      <w:proofErr w:type="spellEnd"/>
    </w:p>
    <w:p w:rsidR="00C747DD" w:rsidRPr="00BE282E" w:rsidRDefault="00C747DD" w:rsidP="00C747DD">
      <w:pPr>
        <w:ind w:left="851"/>
        <w:rPr>
          <w:sz w:val="24"/>
          <w:szCs w:val="24"/>
          <w:lang w:val="fr-FR"/>
        </w:rPr>
      </w:pPr>
      <w:r w:rsidRPr="0012627F">
        <w:rPr>
          <w:sz w:val="24"/>
          <w:szCs w:val="24"/>
          <w:lang w:bidi="da-DK"/>
        </w:rPr>
        <w:t xml:space="preserve">1, </w:t>
      </w:r>
      <w:proofErr w:type="spellStart"/>
      <w:r w:rsidRPr="0012627F">
        <w:rPr>
          <w:sz w:val="24"/>
          <w:szCs w:val="24"/>
          <w:lang w:bidi="da-DK"/>
        </w:rPr>
        <w:t>rue</w:t>
      </w:r>
      <w:proofErr w:type="spellEnd"/>
      <w:r w:rsidRPr="0012627F">
        <w:rPr>
          <w:sz w:val="24"/>
          <w:szCs w:val="24"/>
          <w:lang w:bidi="da-DK"/>
        </w:rPr>
        <w:t xml:space="preserve"> Alexander Fleming</w:t>
      </w:r>
    </w:p>
    <w:p w:rsidR="00C747DD" w:rsidRPr="00BE282E" w:rsidRDefault="00C747DD" w:rsidP="00C747DD">
      <w:pPr>
        <w:ind w:left="851"/>
        <w:rPr>
          <w:sz w:val="24"/>
          <w:szCs w:val="24"/>
          <w:lang w:val="fr-FR"/>
        </w:rPr>
      </w:pPr>
      <w:r w:rsidRPr="00BE282E">
        <w:rPr>
          <w:sz w:val="24"/>
          <w:szCs w:val="24"/>
          <w:lang w:bidi="da-DK"/>
        </w:rPr>
        <w:t>69007 L</w:t>
      </w:r>
      <w:r>
        <w:rPr>
          <w:sz w:val="24"/>
          <w:szCs w:val="24"/>
          <w:lang w:bidi="da-DK"/>
        </w:rPr>
        <w:t>yon</w:t>
      </w:r>
    </w:p>
    <w:p w:rsidR="00C747DD" w:rsidRPr="00BE282E" w:rsidRDefault="00C747DD" w:rsidP="00C747DD">
      <w:pPr>
        <w:ind w:left="851"/>
        <w:rPr>
          <w:noProof/>
          <w:sz w:val="24"/>
          <w:szCs w:val="24"/>
          <w:lang w:val="fr-FR"/>
        </w:rPr>
      </w:pPr>
      <w:r w:rsidRPr="00BE282E">
        <w:rPr>
          <w:sz w:val="24"/>
          <w:szCs w:val="24"/>
          <w:lang w:bidi="da-DK"/>
        </w:rPr>
        <w:t>F</w:t>
      </w:r>
      <w:r>
        <w:rPr>
          <w:sz w:val="24"/>
          <w:szCs w:val="24"/>
          <w:lang w:bidi="da-DK"/>
        </w:rPr>
        <w:t>rankrig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8.</w:t>
      </w:r>
      <w:r w:rsidRPr="00BE282E">
        <w:rPr>
          <w:b/>
          <w:sz w:val="24"/>
          <w:szCs w:val="24"/>
        </w:rPr>
        <w:tab/>
        <w:t>MARKEDSFØRINGSTILLADELSESNUMMER (NUMRE)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B4757">
        <w:rPr>
          <w:sz w:val="24"/>
          <w:szCs w:val="24"/>
        </w:rPr>
        <w:t>62045</w:t>
      </w:r>
    </w:p>
    <w:p w:rsidR="00C747DD" w:rsidRDefault="00C747DD" w:rsidP="00C747DD">
      <w:pPr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9.</w:t>
      </w:r>
      <w:r w:rsidRPr="00BE282E">
        <w:rPr>
          <w:b/>
          <w:sz w:val="24"/>
          <w:szCs w:val="24"/>
        </w:rPr>
        <w:tab/>
        <w:t>DATO FOR FØRSTE MARKEDSFØRINGSTILLADELSE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10. april 2019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747DD" w:rsidRPr="00BE282E" w:rsidRDefault="00C747DD" w:rsidP="00C747D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E282E">
        <w:rPr>
          <w:b/>
          <w:sz w:val="24"/>
          <w:szCs w:val="24"/>
        </w:rPr>
        <w:t>10.</w:t>
      </w:r>
      <w:r w:rsidRPr="00BE282E">
        <w:rPr>
          <w:b/>
          <w:sz w:val="24"/>
          <w:szCs w:val="24"/>
        </w:rPr>
        <w:tab/>
        <w:t>DATO FOR ÆNDRING AF TEKSTEN</w:t>
      </w:r>
    </w:p>
    <w:p w:rsidR="00C747DD" w:rsidRPr="00BE282E" w:rsidRDefault="00C747DD" w:rsidP="00C747DD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C09E6">
        <w:rPr>
          <w:sz w:val="24"/>
          <w:szCs w:val="24"/>
        </w:rPr>
        <w:t>2</w:t>
      </w:r>
      <w:r w:rsidR="002C7E00">
        <w:rPr>
          <w:sz w:val="24"/>
          <w:szCs w:val="24"/>
        </w:rPr>
        <w:t>5</w:t>
      </w:r>
      <w:bookmarkStart w:id="0" w:name="_GoBack"/>
      <w:bookmarkEnd w:id="0"/>
      <w:r w:rsidR="005C09E6">
        <w:rPr>
          <w:sz w:val="24"/>
          <w:szCs w:val="24"/>
        </w:rPr>
        <w:t>. november 2022</w:t>
      </w:r>
    </w:p>
    <w:p w:rsidR="00C747DD" w:rsidRPr="008328D2" w:rsidRDefault="00C747DD" w:rsidP="00C747DD"/>
    <w:p w:rsidR="00C747DD" w:rsidRPr="00AC49B6" w:rsidRDefault="00C747DD" w:rsidP="00C747DD"/>
    <w:p w:rsidR="009260DE" w:rsidRPr="00C747DD" w:rsidRDefault="009260DE" w:rsidP="00C747DD"/>
    <w:sectPr w:rsidR="009260DE" w:rsidRPr="00C747DD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D8A" w:rsidRDefault="00450D8A">
      <w:r>
        <w:separator/>
      </w:r>
    </w:p>
  </w:endnote>
  <w:endnote w:type="continuationSeparator" w:id="0">
    <w:p w:rsidR="00450D8A" w:rsidRDefault="0045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D8A" w:rsidRDefault="00450D8A">
    <w:pPr>
      <w:pStyle w:val="Sidefod"/>
      <w:pBdr>
        <w:bottom w:val="single" w:sz="6" w:space="1" w:color="auto"/>
      </w:pBdr>
    </w:pPr>
  </w:p>
  <w:p w:rsidR="00450D8A" w:rsidRDefault="00450D8A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450D8A" w:rsidRPr="00B373D7" w:rsidRDefault="00450D8A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1678B">
      <w:rPr>
        <w:i/>
        <w:noProof/>
        <w:sz w:val="18"/>
        <w:szCs w:val="18"/>
      </w:rPr>
      <w:t>Noradrenalin Aguettant, infusionsvæske, opløsning 0,08 mg-ml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D8A" w:rsidRDefault="00450D8A">
      <w:r>
        <w:separator/>
      </w:r>
    </w:p>
  </w:footnote>
  <w:footnote w:type="continuationSeparator" w:id="0">
    <w:p w:rsidR="00450D8A" w:rsidRDefault="00450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D4F"/>
    <w:multiLevelType w:val="hybridMultilevel"/>
    <w:tmpl w:val="0994D892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DEAC041E"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2E1334"/>
    <w:multiLevelType w:val="hybridMultilevel"/>
    <w:tmpl w:val="C6AC348C"/>
    <w:lvl w:ilvl="0" w:tplc="0406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F007454"/>
    <w:multiLevelType w:val="hybridMultilevel"/>
    <w:tmpl w:val="07664DFC"/>
    <w:lvl w:ilvl="0" w:tplc="72301B2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39C5F8D"/>
    <w:multiLevelType w:val="hybridMultilevel"/>
    <w:tmpl w:val="2906229C"/>
    <w:lvl w:ilvl="0" w:tplc="0406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8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EC74543"/>
    <w:multiLevelType w:val="hybridMultilevel"/>
    <w:tmpl w:val="D4B265CE"/>
    <w:lvl w:ilvl="0" w:tplc="0406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0" w15:restartNumberingAfterBreak="0">
    <w:nsid w:val="6B306CEE"/>
    <w:multiLevelType w:val="hybridMultilevel"/>
    <w:tmpl w:val="6E529A4C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0665502"/>
    <w:multiLevelType w:val="hybridMultilevel"/>
    <w:tmpl w:val="C914A022"/>
    <w:lvl w:ilvl="0" w:tplc="72301B2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DD"/>
    <w:rsid w:val="00024CF4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71AA0"/>
    <w:rsid w:val="00206CE8"/>
    <w:rsid w:val="0021526C"/>
    <w:rsid w:val="00283A2B"/>
    <w:rsid w:val="002B30AD"/>
    <w:rsid w:val="002C2C01"/>
    <w:rsid w:val="002C7E00"/>
    <w:rsid w:val="00326CE7"/>
    <w:rsid w:val="003A29AE"/>
    <w:rsid w:val="003A32D7"/>
    <w:rsid w:val="003B4074"/>
    <w:rsid w:val="003C769A"/>
    <w:rsid w:val="003F1838"/>
    <w:rsid w:val="003F7451"/>
    <w:rsid w:val="00450D8A"/>
    <w:rsid w:val="00453511"/>
    <w:rsid w:val="0045746C"/>
    <w:rsid w:val="0049104B"/>
    <w:rsid w:val="004E3B12"/>
    <w:rsid w:val="00532310"/>
    <w:rsid w:val="00560ECC"/>
    <w:rsid w:val="00565F0F"/>
    <w:rsid w:val="00594A86"/>
    <w:rsid w:val="00596D86"/>
    <w:rsid w:val="005C09E6"/>
    <w:rsid w:val="0061678B"/>
    <w:rsid w:val="00637F5A"/>
    <w:rsid w:val="006560B1"/>
    <w:rsid w:val="00664F34"/>
    <w:rsid w:val="006756DD"/>
    <w:rsid w:val="00737275"/>
    <w:rsid w:val="00740EEC"/>
    <w:rsid w:val="0078011A"/>
    <w:rsid w:val="00782AF4"/>
    <w:rsid w:val="00790EE7"/>
    <w:rsid w:val="007B6649"/>
    <w:rsid w:val="007C51AE"/>
    <w:rsid w:val="0081546F"/>
    <w:rsid w:val="0082576E"/>
    <w:rsid w:val="008B4757"/>
    <w:rsid w:val="00907F75"/>
    <w:rsid w:val="009260DE"/>
    <w:rsid w:val="0093258A"/>
    <w:rsid w:val="009C7BA3"/>
    <w:rsid w:val="009D1F5A"/>
    <w:rsid w:val="00B003BF"/>
    <w:rsid w:val="00B373D7"/>
    <w:rsid w:val="00BA6628"/>
    <w:rsid w:val="00C36276"/>
    <w:rsid w:val="00C42586"/>
    <w:rsid w:val="00C60CCD"/>
    <w:rsid w:val="00C747D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75DB2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5712F"/>
  <w15:chartTrackingRefBased/>
  <w15:docId w15:val="{4DC06B86-8D59-4185-A8BC-867FFFF1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C747DD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7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4</TotalTime>
  <Pages>8</Pages>
  <Words>1877</Words>
  <Characters>12594</Characters>
  <Application>Microsoft Office Word</Application>
  <DocSecurity>0</DocSecurity>
  <Lines>104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Aabo Würtz</dc:creator>
  <cp:keywords/>
  <dc:description>2022040742 - pkt. 4.1, 4.2, 4.4, 6.6</dc:description>
  <cp:lastModifiedBy>Line Aaboe Würtz</cp:lastModifiedBy>
  <cp:revision>5</cp:revision>
  <cp:lastPrinted>2012-08-22T08:53:00Z</cp:lastPrinted>
  <dcterms:created xsi:type="dcterms:W3CDTF">2022-11-22T23:08:00Z</dcterms:created>
  <dcterms:modified xsi:type="dcterms:W3CDTF">2022-11-25T10:56:00Z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