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C84483" w:rsidRDefault="0021526C" w:rsidP="002C4962">
      <w:pPr>
        <w:rPr>
          <w:b/>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D239AF">
        <w:rPr>
          <w:szCs w:val="24"/>
        </w:rPr>
        <w:t>15. juli 2022</w:t>
      </w:r>
    </w:p>
    <w:p w:rsidR="009260DE" w:rsidRPr="00C84483" w:rsidRDefault="009260DE" w:rsidP="009260DE">
      <w:pPr>
        <w:pStyle w:val="Titel"/>
        <w:tabs>
          <w:tab w:val="left" w:pos="8222"/>
        </w:tabs>
        <w:jc w:val="left"/>
        <w:rPr>
          <w:b w:val="0"/>
          <w:szCs w:val="24"/>
        </w:rPr>
      </w:pPr>
    </w:p>
    <w:p w:rsidR="004F65E8" w:rsidRDefault="004F65E8" w:rsidP="009260DE">
      <w:pPr>
        <w:pStyle w:val="Titel"/>
        <w:jc w:val="left"/>
        <w:rPr>
          <w:b w:val="0"/>
          <w:szCs w:val="24"/>
        </w:rPr>
      </w:pPr>
    </w:p>
    <w:p w:rsidR="002C4962" w:rsidRPr="00C84483" w:rsidRDefault="002C4962"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3F3DAD" w:rsidP="009260DE">
      <w:pPr>
        <w:jc w:val="center"/>
        <w:rPr>
          <w:b/>
          <w:sz w:val="24"/>
          <w:szCs w:val="24"/>
        </w:rPr>
      </w:pPr>
      <w:r>
        <w:rPr>
          <w:b/>
          <w:sz w:val="24"/>
          <w:szCs w:val="24"/>
        </w:rPr>
        <w:t>Noradrenalin "</w:t>
      </w:r>
      <w:proofErr w:type="spellStart"/>
      <w:r>
        <w:rPr>
          <w:b/>
          <w:sz w:val="24"/>
          <w:szCs w:val="24"/>
        </w:rPr>
        <w:t>Kalceks</w:t>
      </w:r>
      <w:proofErr w:type="spellEnd"/>
      <w:r>
        <w:rPr>
          <w:b/>
          <w:sz w:val="24"/>
          <w:szCs w:val="24"/>
        </w:rPr>
        <w:t>", koncentrat til infusionsvæske,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1F6922" w:rsidP="009260DE">
      <w:pPr>
        <w:tabs>
          <w:tab w:val="left" w:pos="851"/>
        </w:tabs>
        <w:ind w:left="851"/>
        <w:rPr>
          <w:sz w:val="24"/>
          <w:szCs w:val="24"/>
        </w:rPr>
      </w:pPr>
      <w:r>
        <w:rPr>
          <w:sz w:val="24"/>
          <w:szCs w:val="24"/>
        </w:rPr>
        <w:t>31661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1F6922" w:rsidRDefault="001F6922" w:rsidP="009260DE">
      <w:pPr>
        <w:tabs>
          <w:tab w:val="left" w:pos="851"/>
        </w:tabs>
        <w:ind w:left="851"/>
        <w:rPr>
          <w:sz w:val="24"/>
          <w:szCs w:val="24"/>
        </w:rPr>
      </w:pPr>
      <w:r w:rsidRPr="001F6922">
        <w:rPr>
          <w:sz w:val="24"/>
          <w:szCs w:val="24"/>
        </w:rPr>
        <w:t>Noradrenalin "</w:t>
      </w:r>
      <w:proofErr w:type="spellStart"/>
      <w:r w:rsidRPr="001F6922">
        <w:rPr>
          <w:sz w:val="24"/>
          <w:szCs w:val="24"/>
        </w:rPr>
        <w:t>Kalceks</w:t>
      </w:r>
      <w:proofErr w:type="spellEnd"/>
      <w:r w:rsidRPr="001F6922">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1F6922" w:rsidRDefault="001F6922" w:rsidP="001F6922">
      <w:pPr>
        <w:tabs>
          <w:tab w:val="left" w:pos="851"/>
        </w:tabs>
        <w:ind w:left="851"/>
        <w:rPr>
          <w:sz w:val="24"/>
          <w:szCs w:val="24"/>
        </w:rPr>
      </w:pPr>
      <w:r w:rsidRPr="001F6922">
        <w:rPr>
          <w:sz w:val="24"/>
          <w:szCs w:val="24"/>
        </w:rPr>
        <w:t xml:space="preserve">1 ml koncentrat til infusionsvæske, opløsning, indeholder </w:t>
      </w:r>
      <w:proofErr w:type="spellStart"/>
      <w:r w:rsidRPr="001F6922">
        <w:rPr>
          <w:sz w:val="24"/>
          <w:szCs w:val="24"/>
        </w:rPr>
        <w:t>noradrenalintartrat</w:t>
      </w:r>
      <w:proofErr w:type="spellEnd"/>
      <w:r w:rsidRPr="001F6922">
        <w:rPr>
          <w:sz w:val="24"/>
          <w:szCs w:val="24"/>
        </w:rPr>
        <w:t xml:space="preserve"> svarende til 1</w:t>
      </w:r>
      <w:r w:rsidR="002C4962">
        <w:rPr>
          <w:sz w:val="24"/>
          <w:szCs w:val="24"/>
        </w:rPr>
        <w:t> </w:t>
      </w:r>
      <w:r w:rsidRPr="001F6922">
        <w:rPr>
          <w:sz w:val="24"/>
          <w:szCs w:val="24"/>
        </w:rPr>
        <w:t>mg noradrenalin.</w:t>
      </w:r>
    </w:p>
    <w:p w:rsidR="001F6922" w:rsidRPr="001F6922" w:rsidRDefault="001F6922" w:rsidP="001F6922">
      <w:pPr>
        <w:tabs>
          <w:tab w:val="left" w:pos="851"/>
        </w:tabs>
        <w:ind w:left="851"/>
        <w:rPr>
          <w:sz w:val="24"/>
          <w:szCs w:val="24"/>
        </w:rPr>
      </w:pPr>
    </w:p>
    <w:p w:rsidR="001F6922" w:rsidRDefault="00E36C3C" w:rsidP="00E36C3C">
      <w:pPr>
        <w:tabs>
          <w:tab w:val="left" w:pos="851"/>
        </w:tabs>
        <w:ind w:left="1134" w:hanging="283"/>
        <w:rPr>
          <w:sz w:val="24"/>
          <w:szCs w:val="24"/>
        </w:rPr>
      </w:pPr>
      <w:r>
        <w:rPr>
          <w:sz w:val="24"/>
          <w:szCs w:val="24"/>
        </w:rPr>
        <w:t>-</w:t>
      </w:r>
      <w:r>
        <w:rPr>
          <w:sz w:val="24"/>
          <w:szCs w:val="24"/>
        </w:rPr>
        <w:tab/>
      </w:r>
      <w:r w:rsidR="001F6922" w:rsidRPr="00E36C3C">
        <w:rPr>
          <w:sz w:val="24"/>
          <w:szCs w:val="24"/>
        </w:rPr>
        <w:t xml:space="preserve">Hver ampul med 2 ml koncentrat til infusionsvæske, opløsning, indeholder </w:t>
      </w:r>
      <w:proofErr w:type="spellStart"/>
      <w:r w:rsidR="001F6922" w:rsidRPr="00E36C3C">
        <w:rPr>
          <w:sz w:val="24"/>
          <w:szCs w:val="24"/>
        </w:rPr>
        <w:t>noradrenalintartrat</w:t>
      </w:r>
      <w:proofErr w:type="spellEnd"/>
      <w:r w:rsidR="001F6922" w:rsidRPr="00E36C3C">
        <w:rPr>
          <w:sz w:val="24"/>
          <w:szCs w:val="24"/>
        </w:rPr>
        <w:t xml:space="preserve"> svarende til 2 mg noradrenalin.</w:t>
      </w:r>
    </w:p>
    <w:p w:rsidR="001F6922" w:rsidRDefault="00E36C3C" w:rsidP="00E36C3C">
      <w:pPr>
        <w:tabs>
          <w:tab w:val="left" w:pos="851"/>
        </w:tabs>
        <w:ind w:left="1134" w:hanging="283"/>
        <w:rPr>
          <w:sz w:val="24"/>
          <w:szCs w:val="24"/>
        </w:rPr>
      </w:pPr>
      <w:r>
        <w:rPr>
          <w:sz w:val="24"/>
          <w:szCs w:val="24"/>
        </w:rPr>
        <w:t>-</w:t>
      </w:r>
      <w:r>
        <w:rPr>
          <w:sz w:val="24"/>
          <w:szCs w:val="24"/>
        </w:rPr>
        <w:tab/>
      </w:r>
      <w:r w:rsidR="001F6922" w:rsidRPr="001F6922">
        <w:rPr>
          <w:sz w:val="24"/>
          <w:szCs w:val="24"/>
        </w:rPr>
        <w:t xml:space="preserve">Hver ampul med 4 ml koncentrat til infusionsvæske, opløsning, indeholder </w:t>
      </w:r>
      <w:proofErr w:type="spellStart"/>
      <w:r w:rsidR="001F6922" w:rsidRPr="001F6922">
        <w:rPr>
          <w:sz w:val="24"/>
          <w:szCs w:val="24"/>
        </w:rPr>
        <w:t>noradrenalintartrat</w:t>
      </w:r>
      <w:proofErr w:type="spellEnd"/>
      <w:r w:rsidR="001F6922" w:rsidRPr="001F6922">
        <w:rPr>
          <w:sz w:val="24"/>
          <w:szCs w:val="24"/>
        </w:rPr>
        <w:t xml:space="preserve"> svarende til 4 mg noradrenalin.</w:t>
      </w:r>
    </w:p>
    <w:p w:rsidR="001F6922" w:rsidRDefault="00E36C3C" w:rsidP="00E36C3C">
      <w:pPr>
        <w:tabs>
          <w:tab w:val="left" w:pos="851"/>
        </w:tabs>
        <w:ind w:left="1134" w:hanging="283"/>
        <w:rPr>
          <w:sz w:val="24"/>
          <w:szCs w:val="24"/>
        </w:rPr>
      </w:pPr>
      <w:r>
        <w:rPr>
          <w:sz w:val="24"/>
          <w:szCs w:val="24"/>
        </w:rPr>
        <w:t>-</w:t>
      </w:r>
      <w:r>
        <w:rPr>
          <w:sz w:val="24"/>
          <w:szCs w:val="24"/>
        </w:rPr>
        <w:tab/>
      </w:r>
      <w:r w:rsidR="001F6922" w:rsidRPr="001F6922">
        <w:rPr>
          <w:sz w:val="24"/>
          <w:szCs w:val="24"/>
        </w:rPr>
        <w:t xml:space="preserve">Hver ampul med 5 ml koncentrat til infusionsvæske, opløsning, indeholder </w:t>
      </w:r>
      <w:proofErr w:type="spellStart"/>
      <w:r w:rsidR="001F6922" w:rsidRPr="001F6922">
        <w:rPr>
          <w:sz w:val="24"/>
          <w:szCs w:val="24"/>
        </w:rPr>
        <w:t>noradrenalintartrat</w:t>
      </w:r>
      <w:proofErr w:type="spellEnd"/>
      <w:r w:rsidR="001F6922" w:rsidRPr="001F6922">
        <w:rPr>
          <w:sz w:val="24"/>
          <w:szCs w:val="24"/>
        </w:rPr>
        <w:t xml:space="preserve"> svarende til 5 mg noradrenalin.</w:t>
      </w:r>
    </w:p>
    <w:p w:rsidR="001F6922" w:rsidRDefault="00E36C3C" w:rsidP="00E36C3C">
      <w:pPr>
        <w:tabs>
          <w:tab w:val="left" w:pos="851"/>
        </w:tabs>
        <w:ind w:left="1134" w:hanging="283"/>
        <w:rPr>
          <w:sz w:val="24"/>
          <w:szCs w:val="24"/>
        </w:rPr>
      </w:pPr>
      <w:r>
        <w:rPr>
          <w:sz w:val="24"/>
          <w:szCs w:val="24"/>
        </w:rPr>
        <w:t>-</w:t>
      </w:r>
      <w:r>
        <w:rPr>
          <w:sz w:val="24"/>
          <w:szCs w:val="24"/>
        </w:rPr>
        <w:tab/>
      </w:r>
      <w:r w:rsidR="001F6922" w:rsidRPr="001F6922">
        <w:rPr>
          <w:sz w:val="24"/>
          <w:szCs w:val="24"/>
        </w:rPr>
        <w:t xml:space="preserve">Hver ampul med 8 ml koncentrat til infusionsvæske, opløsning, indeholder </w:t>
      </w:r>
      <w:proofErr w:type="spellStart"/>
      <w:r w:rsidR="001F6922" w:rsidRPr="001F6922">
        <w:rPr>
          <w:sz w:val="24"/>
          <w:szCs w:val="24"/>
        </w:rPr>
        <w:t>noradrenalintartrat</w:t>
      </w:r>
      <w:proofErr w:type="spellEnd"/>
      <w:r w:rsidR="001F6922" w:rsidRPr="001F6922">
        <w:rPr>
          <w:sz w:val="24"/>
          <w:szCs w:val="24"/>
        </w:rPr>
        <w:t xml:space="preserve"> svarende til 8 mg noradrenalin.</w:t>
      </w:r>
    </w:p>
    <w:p w:rsidR="001F6922" w:rsidRPr="001F6922" w:rsidRDefault="00E36C3C" w:rsidP="00E36C3C">
      <w:pPr>
        <w:tabs>
          <w:tab w:val="left" w:pos="851"/>
        </w:tabs>
        <w:ind w:left="1134" w:hanging="283"/>
        <w:rPr>
          <w:sz w:val="24"/>
          <w:szCs w:val="24"/>
        </w:rPr>
      </w:pPr>
      <w:r>
        <w:rPr>
          <w:sz w:val="24"/>
          <w:szCs w:val="24"/>
        </w:rPr>
        <w:t>-</w:t>
      </w:r>
      <w:r>
        <w:rPr>
          <w:sz w:val="24"/>
          <w:szCs w:val="24"/>
        </w:rPr>
        <w:tab/>
      </w:r>
      <w:r w:rsidR="001F6922" w:rsidRPr="001F6922">
        <w:rPr>
          <w:sz w:val="24"/>
          <w:szCs w:val="24"/>
        </w:rPr>
        <w:t xml:space="preserve">Hver ampul med 10 ml koncentrat til infusionsvæske, opløsning, indeholder </w:t>
      </w:r>
      <w:proofErr w:type="spellStart"/>
      <w:r w:rsidR="001F6922" w:rsidRPr="001F6922">
        <w:rPr>
          <w:sz w:val="24"/>
          <w:szCs w:val="24"/>
        </w:rPr>
        <w:t>noradrenalintartrat</w:t>
      </w:r>
      <w:proofErr w:type="spellEnd"/>
      <w:r w:rsidR="001F6922" w:rsidRPr="001F6922">
        <w:rPr>
          <w:sz w:val="24"/>
          <w:szCs w:val="24"/>
        </w:rPr>
        <w:t xml:space="preserve"> svarende til 10 mg noradrenalin.</w:t>
      </w:r>
    </w:p>
    <w:p w:rsidR="001F6922" w:rsidRPr="001F6922" w:rsidRDefault="001F6922" w:rsidP="001F6922">
      <w:pPr>
        <w:tabs>
          <w:tab w:val="left" w:pos="851"/>
        </w:tabs>
        <w:ind w:left="851"/>
        <w:rPr>
          <w:sz w:val="24"/>
          <w:szCs w:val="24"/>
        </w:rPr>
      </w:pPr>
    </w:p>
    <w:p w:rsidR="001F6922" w:rsidRPr="001F6922" w:rsidRDefault="001F6922" w:rsidP="001F6922">
      <w:pPr>
        <w:tabs>
          <w:tab w:val="left" w:pos="851"/>
        </w:tabs>
        <w:ind w:left="851"/>
        <w:rPr>
          <w:sz w:val="24"/>
          <w:szCs w:val="24"/>
        </w:rPr>
      </w:pPr>
      <w:r w:rsidRPr="001F6922">
        <w:rPr>
          <w:sz w:val="24"/>
          <w:szCs w:val="24"/>
        </w:rPr>
        <w:t xml:space="preserve">Ved fortynding som anbefalet indeholder hver ml opløsning </w:t>
      </w:r>
      <w:proofErr w:type="spellStart"/>
      <w:r w:rsidRPr="001F6922">
        <w:rPr>
          <w:sz w:val="24"/>
          <w:szCs w:val="24"/>
        </w:rPr>
        <w:t>noradrenalintartrat</w:t>
      </w:r>
      <w:proofErr w:type="spellEnd"/>
      <w:r w:rsidRPr="001F6922">
        <w:rPr>
          <w:sz w:val="24"/>
          <w:szCs w:val="24"/>
        </w:rPr>
        <w:t xml:space="preserve"> svarende til 40 mikrogram noradrenalin.</w:t>
      </w:r>
    </w:p>
    <w:p w:rsidR="001F6922" w:rsidRPr="001F6922" w:rsidRDefault="001F6922" w:rsidP="001F6922">
      <w:pPr>
        <w:tabs>
          <w:tab w:val="left" w:pos="851"/>
        </w:tabs>
        <w:ind w:left="851"/>
        <w:rPr>
          <w:sz w:val="24"/>
          <w:szCs w:val="24"/>
        </w:rPr>
      </w:pPr>
    </w:p>
    <w:p w:rsidR="001F6922" w:rsidRPr="001F6922" w:rsidRDefault="001F6922" w:rsidP="001F6922">
      <w:pPr>
        <w:tabs>
          <w:tab w:val="left" w:pos="851"/>
        </w:tabs>
        <w:ind w:left="851"/>
        <w:rPr>
          <w:sz w:val="24"/>
          <w:szCs w:val="24"/>
          <w:u w:val="single"/>
        </w:rPr>
      </w:pPr>
      <w:r w:rsidRPr="001F6922">
        <w:rPr>
          <w:sz w:val="24"/>
          <w:szCs w:val="24"/>
          <w:u w:val="single"/>
        </w:rPr>
        <w:t>Hjælpestof, som behandleren skal være opmærksom på</w:t>
      </w:r>
    </w:p>
    <w:p w:rsidR="001F6922" w:rsidRDefault="002D43C1" w:rsidP="002D43C1">
      <w:pPr>
        <w:tabs>
          <w:tab w:val="left" w:pos="1134"/>
        </w:tabs>
        <w:ind w:left="1134" w:hanging="283"/>
        <w:rPr>
          <w:sz w:val="24"/>
          <w:szCs w:val="24"/>
        </w:rPr>
      </w:pPr>
      <w:r>
        <w:rPr>
          <w:sz w:val="24"/>
          <w:szCs w:val="24"/>
        </w:rPr>
        <w:t>-</w:t>
      </w:r>
      <w:r>
        <w:rPr>
          <w:sz w:val="24"/>
          <w:szCs w:val="24"/>
        </w:rPr>
        <w:tab/>
      </w:r>
      <w:r w:rsidR="001F6922" w:rsidRPr="001F6922">
        <w:rPr>
          <w:sz w:val="24"/>
          <w:szCs w:val="24"/>
        </w:rPr>
        <w:t>8 ml koncentrat til infusionsvæske, opløsning, indeholder 26,4 mg (eller 1,12 mmol) natrium.</w:t>
      </w:r>
    </w:p>
    <w:p w:rsidR="001F6922" w:rsidRPr="001F6922" w:rsidRDefault="002D43C1" w:rsidP="002D43C1">
      <w:pPr>
        <w:tabs>
          <w:tab w:val="left" w:pos="1134"/>
        </w:tabs>
        <w:ind w:left="1134" w:hanging="283"/>
        <w:rPr>
          <w:sz w:val="24"/>
          <w:szCs w:val="24"/>
        </w:rPr>
      </w:pPr>
      <w:r>
        <w:rPr>
          <w:sz w:val="24"/>
          <w:szCs w:val="24"/>
        </w:rPr>
        <w:t>-</w:t>
      </w:r>
      <w:r>
        <w:rPr>
          <w:sz w:val="24"/>
          <w:szCs w:val="24"/>
        </w:rPr>
        <w:tab/>
      </w:r>
      <w:r w:rsidR="001F6922" w:rsidRPr="001F6922">
        <w:rPr>
          <w:sz w:val="24"/>
          <w:szCs w:val="24"/>
        </w:rPr>
        <w:t>10 ml koncentrat til infusionsvæske, opløsning, indeholder 33 mg (eller 1,40 mmol) natrium.</w:t>
      </w:r>
    </w:p>
    <w:p w:rsidR="001F6922" w:rsidRPr="001F6922" w:rsidRDefault="001F6922" w:rsidP="001F6922">
      <w:pPr>
        <w:tabs>
          <w:tab w:val="left" w:pos="851"/>
        </w:tabs>
        <w:ind w:left="851"/>
        <w:rPr>
          <w:sz w:val="24"/>
          <w:szCs w:val="24"/>
        </w:rPr>
      </w:pPr>
    </w:p>
    <w:p w:rsidR="001F6922" w:rsidRPr="001F6922" w:rsidRDefault="001F6922" w:rsidP="001F6922">
      <w:pPr>
        <w:tabs>
          <w:tab w:val="left" w:pos="851"/>
        </w:tabs>
        <w:ind w:left="851"/>
        <w:rPr>
          <w:sz w:val="24"/>
          <w:szCs w:val="24"/>
        </w:rPr>
      </w:pPr>
      <w:r w:rsidRPr="001F6922">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9579FF" w:rsidRPr="009579FF" w:rsidRDefault="009579FF" w:rsidP="009579FF">
      <w:pPr>
        <w:tabs>
          <w:tab w:val="left" w:pos="851"/>
        </w:tabs>
        <w:ind w:left="851"/>
        <w:rPr>
          <w:sz w:val="24"/>
          <w:szCs w:val="24"/>
        </w:rPr>
      </w:pPr>
      <w:r w:rsidRPr="009579FF">
        <w:rPr>
          <w:sz w:val="24"/>
          <w:szCs w:val="24"/>
        </w:rPr>
        <w:t>Koncentrat til infusionsvæske, opløsning (sterilt koncentrat)</w:t>
      </w:r>
    </w:p>
    <w:p w:rsidR="009579FF" w:rsidRPr="009579FF" w:rsidRDefault="009579FF" w:rsidP="009579FF">
      <w:pPr>
        <w:tabs>
          <w:tab w:val="left" w:pos="851"/>
        </w:tabs>
        <w:ind w:left="851"/>
        <w:rPr>
          <w:sz w:val="24"/>
          <w:szCs w:val="24"/>
        </w:rPr>
      </w:pPr>
    </w:p>
    <w:p w:rsidR="009579FF" w:rsidRPr="009579FF" w:rsidRDefault="009579FF" w:rsidP="009579FF">
      <w:pPr>
        <w:tabs>
          <w:tab w:val="left" w:pos="851"/>
        </w:tabs>
        <w:ind w:left="851"/>
        <w:rPr>
          <w:sz w:val="24"/>
          <w:szCs w:val="24"/>
        </w:rPr>
      </w:pPr>
      <w:r w:rsidRPr="009579FF">
        <w:rPr>
          <w:sz w:val="24"/>
          <w:szCs w:val="24"/>
        </w:rPr>
        <w:t xml:space="preserve">Klar, farveløs eller gullig opløsning, </w:t>
      </w:r>
      <w:r w:rsidR="00073980">
        <w:rPr>
          <w:sz w:val="24"/>
          <w:szCs w:val="24"/>
        </w:rPr>
        <w:t>næsten</w:t>
      </w:r>
      <w:r w:rsidRPr="009579FF">
        <w:rPr>
          <w:sz w:val="24"/>
          <w:szCs w:val="24"/>
        </w:rPr>
        <w:t xml:space="preserve"> fri for synlige partikler.</w:t>
      </w:r>
    </w:p>
    <w:p w:rsidR="009579FF" w:rsidRPr="009579FF" w:rsidRDefault="009579FF" w:rsidP="009579FF">
      <w:pPr>
        <w:tabs>
          <w:tab w:val="left" w:pos="851"/>
        </w:tabs>
        <w:ind w:left="851"/>
        <w:rPr>
          <w:sz w:val="24"/>
          <w:szCs w:val="24"/>
        </w:rPr>
      </w:pPr>
      <w:r w:rsidRPr="009579FF">
        <w:rPr>
          <w:sz w:val="24"/>
          <w:szCs w:val="24"/>
        </w:rPr>
        <w:t>pH varierer mellem 3,0 og 4,0.</w:t>
      </w:r>
    </w:p>
    <w:p w:rsidR="009579FF" w:rsidRPr="009579FF" w:rsidRDefault="009579FF" w:rsidP="009579FF">
      <w:pPr>
        <w:tabs>
          <w:tab w:val="left" w:pos="851"/>
        </w:tabs>
        <w:ind w:left="851"/>
        <w:rPr>
          <w:sz w:val="24"/>
          <w:szCs w:val="24"/>
          <w:lang w:val="nb-NO"/>
        </w:rPr>
      </w:pPr>
      <w:r w:rsidRPr="009579FF">
        <w:rPr>
          <w:sz w:val="24"/>
          <w:szCs w:val="24"/>
          <w:lang w:val="nb-NO"/>
        </w:rPr>
        <w:t>Osmolalitet 260</w:t>
      </w:r>
      <w:r w:rsidRPr="009579FF">
        <w:rPr>
          <w:sz w:val="24"/>
          <w:szCs w:val="24"/>
          <w:lang w:val="nb-NO"/>
        </w:rPr>
        <w:noBreakHyphen/>
        <w:t>310 mOsm/kg.</w:t>
      </w:r>
    </w:p>
    <w:p w:rsidR="009260DE" w:rsidRPr="009579FF" w:rsidRDefault="009260DE" w:rsidP="009260DE">
      <w:pPr>
        <w:tabs>
          <w:tab w:val="left" w:pos="851"/>
        </w:tabs>
        <w:ind w:left="851"/>
        <w:rPr>
          <w:sz w:val="24"/>
          <w:szCs w:val="24"/>
          <w:lang w:val="nb-NO"/>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DA5FEA" w:rsidRPr="00DA5FEA" w:rsidRDefault="00DA5FEA" w:rsidP="00DA5FEA">
      <w:pPr>
        <w:tabs>
          <w:tab w:val="left" w:pos="851"/>
        </w:tabs>
        <w:ind w:left="851"/>
        <w:rPr>
          <w:sz w:val="24"/>
          <w:szCs w:val="24"/>
        </w:rPr>
      </w:pPr>
      <w:r w:rsidRPr="00DA5FEA">
        <w:rPr>
          <w:sz w:val="24"/>
          <w:szCs w:val="24"/>
        </w:rPr>
        <w:t xml:space="preserve">Noradrenalin </w:t>
      </w:r>
      <w:r>
        <w:rPr>
          <w:sz w:val="24"/>
          <w:szCs w:val="24"/>
        </w:rPr>
        <w:t>"</w:t>
      </w:r>
      <w:proofErr w:type="spellStart"/>
      <w:r w:rsidRPr="00DA5FEA">
        <w:rPr>
          <w:sz w:val="24"/>
          <w:szCs w:val="24"/>
        </w:rPr>
        <w:t>Kalceks</w:t>
      </w:r>
      <w:proofErr w:type="spellEnd"/>
      <w:r w:rsidR="00362B6C">
        <w:rPr>
          <w:sz w:val="24"/>
          <w:szCs w:val="24"/>
        </w:rPr>
        <w:t>",</w:t>
      </w:r>
      <w:r w:rsidRPr="00DA5FEA">
        <w:rPr>
          <w:sz w:val="24"/>
          <w:szCs w:val="24"/>
        </w:rPr>
        <w:t xml:space="preserve"> koncentrat til infusionsvæske, opløsning </w:t>
      </w:r>
      <w:r w:rsidR="00362B6C" w:rsidRPr="00DA5FEA">
        <w:rPr>
          <w:sz w:val="24"/>
          <w:szCs w:val="24"/>
        </w:rPr>
        <w:t xml:space="preserve">1 mg/ml </w:t>
      </w:r>
      <w:r w:rsidRPr="00DA5FEA">
        <w:rPr>
          <w:sz w:val="24"/>
          <w:szCs w:val="24"/>
        </w:rPr>
        <w:t>anbefales til voksne til behandling som kriseforanstaltning ved reetablering af blodtrykket i tilfælde af akut hypotension.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362B6C" w:rsidRPr="00362B6C" w:rsidRDefault="00362B6C" w:rsidP="00362B6C">
      <w:pPr>
        <w:tabs>
          <w:tab w:val="left" w:pos="851"/>
        </w:tabs>
        <w:ind w:left="851"/>
        <w:rPr>
          <w:b/>
          <w:bCs/>
          <w:sz w:val="24"/>
          <w:szCs w:val="24"/>
        </w:rPr>
      </w:pPr>
    </w:p>
    <w:p w:rsidR="00362B6C" w:rsidRPr="00CD73BA" w:rsidRDefault="00362B6C" w:rsidP="00362B6C">
      <w:pPr>
        <w:tabs>
          <w:tab w:val="left" w:pos="851"/>
        </w:tabs>
        <w:ind w:left="851"/>
        <w:rPr>
          <w:b/>
          <w:sz w:val="24"/>
          <w:szCs w:val="24"/>
        </w:rPr>
      </w:pPr>
      <w:r w:rsidRPr="00CD73BA">
        <w:rPr>
          <w:b/>
          <w:sz w:val="24"/>
          <w:szCs w:val="24"/>
        </w:rPr>
        <w:t>Dosering</w:t>
      </w:r>
    </w:p>
    <w:p w:rsidR="00362B6C" w:rsidRPr="00362B6C" w:rsidRDefault="00362B6C" w:rsidP="00362B6C">
      <w:pPr>
        <w:tabs>
          <w:tab w:val="left" w:pos="851"/>
        </w:tabs>
        <w:ind w:left="851"/>
        <w:rPr>
          <w:sz w:val="24"/>
          <w:szCs w:val="24"/>
        </w:rPr>
      </w:pPr>
    </w:p>
    <w:p w:rsidR="00362B6C" w:rsidRPr="00CD73BA" w:rsidRDefault="00362B6C" w:rsidP="00362B6C">
      <w:pPr>
        <w:tabs>
          <w:tab w:val="left" w:pos="851"/>
        </w:tabs>
        <w:ind w:left="851"/>
        <w:rPr>
          <w:iCs/>
          <w:sz w:val="24"/>
          <w:szCs w:val="24"/>
          <w:u w:val="single"/>
        </w:rPr>
      </w:pPr>
      <w:r w:rsidRPr="00CD73BA">
        <w:rPr>
          <w:iCs/>
          <w:sz w:val="24"/>
          <w:szCs w:val="24"/>
          <w:u w:val="single"/>
        </w:rPr>
        <w:t>Voksne</w:t>
      </w:r>
    </w:p>
    <w:p w:rsidR="00362B6C" w:rsidRPr="00362B6C" w:rsidRDefault="00362B6C" w:rsidP="00362B6C">
      <w:pPr>
        <w:tabs>
          <w:tab w:val="left" w:pos="851"/>
        </w:tabs>
        <w:ind w:left="851"/>
        <w:rPr>
          <w:sz w:val="24"/>
          <w:szCs w:val="24"/>
        </w:rPr>
      </w:pPr>
      <w:r w:rsidRPr="00362B6C">
        <w:rPr>
          <w:sz w:val="24"/>
          <w:szCs w:val="24"/>
        </w:rPr>
        <w:t>Tilsæt 2 ml Noradrenalin "</w:t>
      </w:r>
      <w:proofErr w:type="spellStart"/>
      <w:r w:rsidRPr="00362B6C">
        <w:rPr>
          <w:sz w:val="24"/>
          <w:szCs w:val="24"/>
        </w:rPr>
        <w:t>Kalceks</w:t>
      </w:r>
      <w:proofErr w:type="spellEnd"/>
      <w:r w:rsidRPr="00362B6C">
        <w:rPr>
          <w:sz w:val="24"/>
          <w:szCs w:val="24"/>
        </w:rPr>
        <w:t>" til 48 ml 50 mg/ml (5</w:t>
      </w:r>
      <w:r w:rsidR="004427BA">
        <w:rPr>
          <w:sz w:val="24"/>
          <w:szCs w:val="24"/>
        </w:rPr>
        <w:t xml:space="preserve"> %</w:t>
      </w:r>
      <w:r w:rsidRPr="00362B6C">
        <w:rPr>
          <w:sz w:val="24"/>
          <w:szCs w:val="24"/>
        </w:rPr>
        <w:t xml:space="preserve">) </w:t>
      </w:r>
      <w:proofErr w:type="spellStart"/>
      <w:r w:rsidRPr="00362B6C">
        <w:rPr>
          <w:sz w:val="24"/>
          <w:szCs w:val="24"/>
        </w:rPr>
        <w:t>glucose</w:t>
      </w:r>
      <w:proofErr w:type="spellEnd"/>
      <w:r w:rsidRPr="00362B6C">
        <w:rPr>
          <w:sz w:val="24"/>
          <w:szCs w:val="24"/>
        </w:rPr>
        <w:t xml:space="preserve"> (eller anden i pkt. 6.6 nævnte opløsninger til fortynding) til indgivelse med sprøjtepumpe. Infusionsopløsningens færdige koncentration er 80 mg/liter </w:t>
      </w:r>
      <w:proofErr w:type="spellStart"/>
      <w:r w:rsidRPr="00362B6C">
        <w:rPr>
          <w:sz w:val="24"/>
          <w:szCs w:val="24"/>
        </w:rPr>
        <w:t>noradrenalintartrat</w:t>
      </w:r>
      <w:proofErr w:type="spellEnd"/>
      <w:r w:rsidRPr="00362B6C">
        <w:rPr>
          <w:sz w:val="24"/>
          <w:szCs w:val="24"/>
        </w:rPr>
        <w:t>, hvilket er ækvivalent med 40 mg/liter noradrenalin. Hvis der anvendes andre fortyndinger, skal beregningen kontrolleres nøje, inden behandlingen påbegyndes.</w:t>
      </w:r>
    </w:p>
    <w:p w:rsidR="00362B6C" w:rsidRPr="00362B6C" w:rsidRDefault="00362B6C" w:rsidP="00362B6C">
      <w:pPr>
        <w:tabs>
          <w:tab w:val="left" w:pos="851"/>
        </w:tabs>
        <w:ind w:left="851"/>
        <w:rPr>
          <w:sz w:val="24"/>
          <w:szCs w:val="24"/>
        </w:rPr>
      </w:pPr>
    </w:p>
    <w:p w:rsidR="00362B6C" w:rsidRPr="00362B6C" w:rsidRDefault="00362B6C" w:rsidP="00362B6C">
      <w:pPr>
        <w:tabs>
          <w:tab w:val="left" w:pos="851"/>
        </w:tabs>
        <w:ind w:left="851"/>
        <w:rPr>
          <w:i/>
          <w:iCs/>
          <w:sz w:val="24"/>
          <w:szCs w:val="24"/>
        </w:rPr>
      </w:pPr>
      <w:r w:rsidRPr="00362B6C">
        <w:rPr>
          <w:i/>
          <w:iCs/>
          <w:sz w:val="24"/>
          <w:szCs w:val="24"/>
        </w:rPr>
        <w:t>Initial infusionshastighed</w:t>
      </w:r>
    </w:p>
    <w:p w:rsidR="00362B6C" w:rsidRPr="00362B6C" w:rsidRDefault="00362B6C" w:rsidP="00362B6C">
      <w:pPr>
        <w:tabs>
          <w:tab w:val="left" w:pos="851"/>
        </w:tabs>
        <w:ind w:left="851"/>
        <w:rPr>
          <w:sz w:val="24"/>
          <w:szCs w:val="24"/>
        </w:rPr>
      </w:pPr>
      <w:r w:rsidRPr="00362B6C">
        <w:rPr>
          <w:sz w:val="24"/>
          <w:szCs w:val="24"/>
        </w:rPr>
        <w:t xml:space="preserve">Den indledende infusionshastighed skal være mellem 10 ml/time og 20 ml/time (0,16 ml/minut til 0,32 ml/min). Dette svarer til 0,8 mg/time til 1,6 mg/time </w:t>
      </w:r>
      <w:proofErr w:type="spellStart"/>
      <w:r w:rsidRPr="00362B6C">
        <w:rPr>
          <w:sz w:val="24"/>
          <w:szCs w:val="24"/>
        </w:rPr>
        <w:t>noradrenalintartrat</w:t>
      </w:r>
      <w:proofErr w:type="spellEnd"/>
      <w:r w:rsidRPr="00362B6C">
        <w:rPr>
          <w:sz w:val="24"/>
          <w:szCs w:val="24"/>
        </w:rPr>
        <w:t xml:space="preserve"> (eller 0,4 mg/time til 0,8 mg/time noradrenalin).</w:t>
      </w:r>
    </w:p>
    <w:p w:rsidR="00362B6C" w:rsidRPr="00362B6C" w:rsidRDefault="00362B6C" w:rsidP="00362B6C">
      <w:pPr>
        <w:tabs>
          <w:tab w:val="left" w:pos="851"/>
        </w:tabs>
        <w:ind w:left="851"/>
        <w:rPr>
          <w:sz w:val="24"/>
          <w:szCs w:val="24"/>
        </w:rPr>
      </w:pPr>
    </w:p>
    <w:p w:rsidR="00362B6C" w:rsidRPr="00362B6C" w:rsidRDefault="00362B6C" w:rsidP="00362B6C">
      <w:pPr>
        <w:tabs>
          <w:tab w:val="left" w:pos="851"/>
        </w:tabs>
        <w:ind w:left="851"/>
        <w:rPr>
          <w:i/>
          <w:iCs/>
          <w:sz w:val="24"/>
          <w:szCs w:val="24"/>
        </w:rPr>
      </w:pPr>
      <w:r w:rsidRPr="00362B6C">
        <w:rPr>
          <w:i/>
          <w:iCs/>
          <w:sz w:val="24"/>
          <w:szCs w:val="24"/>
        </w:rPr>
        <w:t>Dosistitrering</w:t>
      </w:r>
    </w:p>
    <w:p w:rsidR="00362B6C" w:rsidRPr="00362B6C" w:rsidRDefault="00362B6C" w:rsidP="00362B6C">
      <w:pPr>
        <w:tabs>
          <w:tab w:val="left" w:pos="851"/>
        </w:tabs>
        <w:ind w:left="851"/>
        <w:rPr>
          <w:sz w:val="24"/>
          <w:szCs w:val="24"/>
        </w:rPr>
      </w:pPr>
      <w:r w:rsidRPr="00362B6C">
        <w:rPr>
          <w:sz w:val="24"/>
          <w:szCs w:val="24"/>
        </w:rPr>
        <w:t xml:space="preserve">Når en infusion af noradrenalin er etableret, skal dosis titreres i henhold til den observerede </w:t>
      </w:r>
      <w:proofErr w:type="spellStart"/>
      <w:r w:rsidRPr="00362B6C">
        <w:rPr>
          <w:sz w:val="24"/>
          <w:szCs w:val="24"/>
        </w:rPr>
        <w:t>pressoreffekt</w:t>
      </w:r>
      <w:proofErr w:type="spellEnd"/>
      <w:r w:rsidRPr="00362B6C">
        <w:rPr>
          <w:sz w:val="24"/>
          <w:szCs w:val="24"/>
        </w:rPr>
        <w:t>. Der er stor individuel forskel på den dosis, der kræves for at opnå og vedligeholde normaltension. Målet er at etablere et lavt normalt systolisk blodtryk (100-120 mm Hg) eller at opnå et passende gennemsnitligt arterielt blodtryk (over 65-80 mm Hg – afhængigt af patientens tilstand).</w:t>
      </w:r>
    </w:p>
    <w:p w:rsidR="00362B6C" w:rsidRPr="00362B6C" w:rsidRDefault="00362B6C" w:rsidP="00362B6C">
      <w:pPr>
        <w:tabs>
          <w:tab w:val="left" w:pos="851"/>
        </w:tabs>
        <w:ind w:left="851"/>
        <w:rPr>
          <w:sz w:val="24"/>
          <w:szCs w:val="24"/>
        </w:rPr>
      </w:pPr>
    </w:p>
    <w:p w:rsidR="00362B6C" w:rsidRPr="00362B6C" w:rsidRDefault="00362B6C" w:rsidP="00921534">
      <w:pPr>
        <w:tabs>
          <w:tab w:val="left" w:pos="851"/>
          <w:tab w:val="left" w:pos="1843"/>
        </w:tabs>
        <w:ind w:left="851"/>
        <w:rPr>
          <w:bCs/>
          <w:sz w:val="24"/>
          <w:szCs w:val="24"/>
        </w:rPr>
      </w:pPr>
      <w:r w:rsidRPr="00362B6C">
        <w:rPr>
          <w:bCs/>
          <w:i/>
          <w:sz w:val="24"/>
          <w:szCs w:val="24"/>
        </w:rPr>
        <w:t>Tabel 1</w:t>
      </w:r>
      <w:r w:rsidRPr="00362B6C">
        <w:rPr>
          <w:bCs/>
          <w:sz w:val="24"/>
          <w:szCs w:val="24"/>
        </w:rPr>
        <w:tab/>
      </w:r>
      <w:r w:rsidRPr="00362B6C">
        <w:rPr>
          <w:sz w:val="24"/>
          <w:szCs w:val="24"/>
        </w:rPr>
        <w:t>Dosistitrering af noradrenalin-infusionsvæske, opløsning</w:t>
      </w:r>
    </w:p>
    <w:p w:rsidR="00362B6C" w:rsidRPr="00362B6C" w:rsidRDefault="00362B6C" w:rsidP="00362B6C">
      <w:pPr>
        <w:tabs>
          <w:tab w:val="left" w:pos="851"/>
        </w:tabs>
        <w:ind w:left="851"/>
        <w:rPr>
          <w:sz w:val="24"/>
          <w:szCs w:val="24"/>
        </w:rPr>
      </w:pPr>
    </w:p>
    <w:tbl>
      <w:tblPr>
        <w:tblW w:w="865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079"/>
        <w:gridCol w:w="2598"/>
        <w:gridCol w:w="2127"/>
        <w:gridCol w:w="6"/>
      </w:tblGrid>
      <w:tr w:rsidR="00362B6C" w:rsidRPr="00362B6C" w:rsidTr="00921534">
        <w:trPr>
          <w:trHeight w:val="567"/>
        </w:trPr>
        <w:tc>
          <w:tcPr>
            <w:tcW w:w="8653" w:type="dxa"/>
            <w:gridSpan w:val="5"/>
            <w:tcBorders>
              <w:top w:val="single" w:sz="4"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r w:rsidRPr="00362B6C">
              <w:rPr>
                <w:sz w:val="24"/>
                <w:szCs w:val="24"/>
              </w:rPr>
              <w:t>Noradrenalin infusionsopløsning</w:t>
            </w:r>
          </w:p>
          <w:p w:rsidR="00362B6C" w:rsidRPr="00362B6C" w:rsidRDefault="00362B6C" w:rsidP="00921534">
            <w:pPr>
              <w:ind w:left="64"/>
              <w:rPr>
                <w:sz w:val="24"/>
                <w:szCs w:val="24"/>
              </w:rPr>
            </w:pPr>
            <w:r w:rsidRPr="00362B6C">
              <w:rPr>
                <w:sz w:val="24"/>
                <w:szCs w:val="24"/>
              </w:rPr>
              <w:t>40 mg/l (40 µg/ml) noradrenalin</w:t>
            </w:r>
          </w:p>
        </w:tc>
      </w:tr>
      <w:tr w:rsidR="00362B6C" w:rsidRPr="00362B6C" w:rsidTr="00921534">
        <w:trPr>
          <w:gridAfter w:val="1"/>
          <w:wAfter w:w="6" w:type="dxa"/>
        </w:trPr>
        <w:tc>
          <w:tcPr>
            <w:tcW w:w="1843" w:type="dxa"/>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ind w:left="64"/>
              <w:rPr>
                <w:sz w:val="24"/>
                <w:szCs w:val="24"/>
              </w:rPr>
            </w:pPr>
            <w:r w:rsidRPr="00362B6C">
              <w:rPr>
                <w:sz w:val="24"/>
                <w:szCs w:val="24"/>
              </w:rPr>
              <w:t>Patientens vægt</w:t>
            </w:r>
          </w:p>
        </w:tc>
        <w:tc>
          <w:tcPr>
            <w:tcW w:w="2079" w:type="dxa"/>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Dosis (</w:t>
            </w:r>
            <w:proofErr w:type="spellStart"/>
            <w:r w:rsidRPr="00362B6C">
              <w:rPr>
                <w:sz w:val="24"/>
                <w:szCs w:val="24"/>
              </w:rPr>
              <w:t>μg</w:t>
            </w:r>
            <w:proofErr w:type="spellEnd"/>
            <w:r w:rsidRPr="00362B6C">
              <w:rPr>
                <w:sz w:val="24"/>
                <w:szCs w:val="24"/>
              </w:rPr>
              <w:t xml:space="preserve">/kg/min) noradrenalin </w:t>
            </w:r>
          </w:p>
        </w:tc>
        <w:tc>
          <w:tcPr>
            <w:tcW w:w="2598" w:type="dxa"/>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Dosering</w:t>
            </w:r>
            <w:r w:rsidR="00921534">
              <w:rPr>
                <w:sz w:val="24"/>
                <w:szCs w:val="24"/>
              </w:rPr>
              <w:t xml:space="preserve"> </w:t>
            </w:r>
            <w:r w:rsidRPr="00362B6C">
              <w:rPr>
                <w:sz w:val="24"/>
                <w:szCs w:val="24"/>
              </w:rPr>
              <w:t>(mg/time)</w:t>
            </w:r>
          </w:p>
          <w:p w:rsidR="00362B6C" w:rsidRPr="00362B6C" w:rsidRDefault="00362B6C" w:rsidP="00921534">
            <w:pPr>
              <w:tabs>
                <w:tab w:val="left" w:pos="851"/>
              </w:tabs>
              <w:ind w:left="64"/>
              <w:rPr>
                <w:sz w:val="24"/>
                <w:szCs w:val="24"/>
              </w:rPr>
            </w:pPr>
            <w:r w:rsidRPr="00362B6C">
              <w:rPr>
                <w:sz w:val="24"/>
                <w:szCs w:val="24"/>
              </w:rPr>
              <w:t xml:space="preserve">noradrenalin </w:t>
            </w:r>
          </w:p>
        </w:tc>
        <w:tc>
          <w:tcPr>
            <w:tcW w:w="2127" w:type="dxa"/>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Infusionshastighed</w:t>
            </w:r>
          </w:p>
          <w:p w:rsidR="00362B6C" w:rsidRPr="00362B6C" w:rsidRDefault="00362B6C" w:rsidP="00921534">
            <w:pPr>
              <w:tabs>
                <w:tab w:val="left" w:pos="851"/>
              </w:tabs>
              <w:ind w:left="64"/>
              <w:rPr>
                <w:sz w:val="24"/>
                <w:szCs w:val="24"/>
              </w:rPr>
            </w:pPr>
            <w:r w:rsidRPr="00362B6C">
              <w:rPr>
                <w:sz w:val="24"/>
                <w:szCs w:val="24"/>
              </w:rPr>
              <w:t>(ml/time)</w:t>
            </w:r>
          </w:p>
        </w:tc>
      </w:tr>
      <w:tr w:rsidR="00362B6C" w:rsidRPr="00362B6C" w:rsidTr="00921534">
        <w:trPr>
          <w:gridAfter w:val="1"/>
          <w:wAfter w:w="6" w:type="dxa"/>
        </w:trPr>
        <w:tc>
          <w:tcPr>
            <w:tcW w:w="1843" w:type="dxa"/>
            <w:vMerge w:val="restart"/>
            <w:tcBorders>
              <w:top w:val="single" w:sz="12" w:space="0" w:color="auto"/>
              <w:left w:val="single" w:sz="4" w:space="0" w:color="auto"/>
              <w:bottom w:val="single" w:sz="12" w:space="0" w:color="auto"/>
              <w:right w:val="single" w:sz="4" w:space="0" w:color="auto"/>
            </w:tcBorders>
          </w:tcPr>
          <w:p w:rsidR="00362B6C" w:rsidRPr="00362B6C" w:rsidRDefault="00362B6C" w:rsidP="00921534">
            <w:pPr>
              <w:ind w:left="64"/>
              <w:rPr>
                <w:sz w:val="24"/>
                <w:szCs w:val="24"/>
              </w:rPr>
            </w:pPr>
            <w:r w:rsidRPr="00362B6C">
              <w:rPr>
                <w:sz w:val="24"/>
                <w:szCs w:val="24"/>
              </w:rPr>
              <w:t>40 kg</w:t>
            </w:r>
          </w:p>
          <w:p w:rsidR="00362B6C" w:rsidRPr="00362B6C" w:rsidRDefault="00362B6C" w:rsidP="00921534">
            <w:pPr>
              <w:ind w:left="64"/>
              <w:rPr>
                <w:sz w:val="24"/>
                <w:szCs w:val="24"/>
                <w:lang w:val="en-GB"/>
              </w:rPr>
            </w:pPr>
          </w:p>
          <w:p w:rsidR="00362B6C" w:rsidRPr="00362B6C" w:rsidRDefault="00362B6C" w:rsidP="00921534">
            <w:pPr>
              <w:ind w:left="64"/>
              <w:rPr>
                <w:sz w:val="24"/>
                <w:szCs w:val="24"/>
                <w:lang w:val="en-GB"/>
              </w:rPr>
            </w:pPr>
          </w:p>
        </w:tc>
        <w:tc>
          <w:tcPr>
            <w:tcW w:w="2079"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0,05</w:t>
            </w:r>
          </w:p>
        </w:tc>
        <w:tc>
          <w:tcPr>
            <w:tcW w:w="2598"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0,12</w:t>
            </w:r>
          </w:p>
        </w:tc>
        <w:tc>
          <w:tcPr>
            <w:tcW w:w="2127"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3,0</w:t>
            </w:r>
          </w:p>
        </w:tc>
      </w:tr>
      <w:tr w:rsidR="00362B6C" w:rsidRPr="00362B6C" w:rsidTr="00921534">
        <w:trPr>
          <w:gridAfter w:val="1"/>
          <w:wAfter w:w="6" w:type="dxa"/>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lang w:val="en-GB"/>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0,24</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6,0</w:t>
            </w:r>
          </w:p>
        </w:tc>
      </w:tr>
      <w:tr w:rsidR="00362B6C" w:rsidRPr="00362B6C" w:rsidTr="00921534">
        <w:trPr>
          <w:gridAfter w:val="1"/>
          <w:wAfter w:w="6" w:type="dxa"/>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lang w:val="en-GB"/>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0,60</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15,0</w:t>
            </w:r>
          </w:p>
        </w:tc>
      </w:tr>
      <w:tr w:rsidR="00362B6C" w:rsidRPr="00362B6C" w:rsidTr="00921534">
        <w:trPr>
          <w:gridAfter w:val="1"/>
          <w:wAfter w:w="6" w:type="dxa"/>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lang w:val="en-GB"/>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30,0</w:t>
            </w:r>
          </w:p>
        </w:tc>
      </w:tr>
      <w:tr w:rsidR="00362B6C" w:rsidRPr="00362B6C" w:rsidTr="00921534">
        <w:trPr>
          <w:gridAfter w:val="1"/>
          <w:wAfter w:w="6" w:type="dxa"/>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lang w:val="en-GB"/>
              </w:rPr>
            </w:pPr>
          </w:p>
        </w:tc>
        <w:tc>
          <w:tcPr>
            <w:tcW w:w="2079"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w:t>
            </w:r>
          </w:p>
        </w:tc>
        <w:tc>
          <w:tcPr>
            <w:tcW w:w="2598"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2,4</w:t>
            </w:r>
          </w:p>
        </w:tc>
        <w:tc>
          <w:tcPr>
            <w:tcW w:w="2127"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60</w:t>
            </w:r>
          </w:p>
        </w:tc>
      </w:tr>
      <w:tr w:rsidR="00362B6C" w:rsidRPr="00362B6C" w:rsidTr="00921534">
        <w:trPr>
          <w:gridAfter w:val="1"/>
          <w:wAfter w:w="6" w:type="dxa"/>
          <w:trHeight w:val="283"/>
        </w:trPr>
        <w:tc>
          <w:tcPr>
            <w:tcW w:w="1843" w:type="dxa"/>
            <w:vMerge w:val="restart"/>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ind w:left="64"/>
              <w:rPr>
                <w:sz w:val="24"/>
                <w:szCs w:val="24"/>
              </w:rPr>
            </w:pPr>
            <w:r w:rsidRPr="00362B6C">
              <w:rPr>
                <w:sz w:val="24"/>
                <w:szCs w:val="24"/>
              </w:rPr>
              <w:t>50 kg</w:t>
            </w:r>
          </w:p>
        </w:tc>
        <w:tc>
          <w:tcPr>
            <w:tcW w:w="2079"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0,05</w:t>
            </w:r>
          </w:p>
        </w:tc>
        <w:tc>
          <w:tcPr>
            <w:tcW w:w="2598"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0,15</w:t>
            </w:r>
          </w:p>
        </w:tc>
        <w:tc>
          <w:tcPr>
            <w:tcW w:w="2127"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0,3</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0,75</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18,75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1,5</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w:t>
            </w:r>
          </w:p>
        </w:tc>
        <w:tc>
          <w:tcPr>
            <w:tcW w:w="2598"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w:t>
            </w:r>
          </w:p>
        </w:tc>
        <w:tc>
          <w:tcPr>
            <w:tcW w:w="2127"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75</w:t>
            </w:r>
          </w:p>
        </w:tc>
      </w:tr>
      <w:tr w:rsidR="00362B6C" w:rsidRPr="00362B6C" w:rsidTr="00921534">
        <w:trPr>
          <w:gridAfter w:val="1"/>
          <w:wAfter w:w="6" w:type="dxa"/>
          <w:trHeight w:val="283"/>
        </w:trPr>
        <w:tc>
          <w:tcPr>
            <w:tcW w:w="1843" w:type="dxa"/>
            <w:vMerge w:val="restart"/>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ind w:left="64"/>
              <w:rPr>
                <w:sz w:val="24"/>
                <w:szCs w:val="24"/>
              </w:rPr>
            </w:pPr>
            <w:r w:rsidRPr="00362B6C">
              <w:rPr>
                <w:sz w:val="24"/>
                <w:szCs w:val="24"/>
              </w:rPr>
              <w:t>60 kg</w:t>
            </w:r>
          </w:p>
        </w:tc>
        <w:tc>
          <w:tcPr>
            <w:tcW w:w="2079"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0,05</w:t>
            </w:r>
          </w:p>
        </w:tc>
        <w:tc>
          <w:tcPr>
            <w:tcW w:w="2598"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0,18</w:t>
            </w:r>
          </w:p>
        </w:tc>
        <w:tc>
          <w:tcPr>
            <w:tcW w:w="2127"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4,5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0,36</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9</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0,9</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22,5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1,8</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45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w:t>
            </w:r>
          </w:p>
        </w:tc>
        <w:tc>
          <w:tcPr>
            <w:tcW w:w="2598"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3,6</w:t>
            </w:r>
          </w:p>
        </w:tc>
        <w:tc>
          <w:tcPr>
            <w:tcW w:w="2127"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90</w:t>
            </w:r>
          </w:p>
        </w:tc>
      </w:tr>
      <w:tr w:rsidR="00362B6C" w:rsidRPr="00362B6C" w:rsidTr="00921534">
        <w:trPr>
          <w:gridAfter w:val="1"/>
          <w:wAfter w:w="6" w:type="dxa"/>
          <w:trHeight w:val="283"/>
        </w:trPr>
        <w:tc>
          <w:tcPr>
            <w:tcW w:w="1843" w:type="dxa"/>
            <w:vMerge w:val="restart"/>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ind w:left="64"/>
              <w:rPr>
                <w:sz w:val="24"/>
                <w:szCs w:val="24"/>
              </w:rPr>
            </w:pPr>
            <w:r w:rsidRPr="00362B6C">
              <w:rPr>
                <w:sz w:val="24"/>
                <w:szCs w:val="24"/>
              </w:rPr>
              <w:t>70 kg</w:t>
            </w:r>
          </w:p>
        </w:tc>
        <w:tc>
          <w:tcPr>
            <w:tcW w:w="2079"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0,05</w:t>
            </w:r>
          </w:p>
        </w:tc>
        <w:tc>
          <w:tcPr>
            <w:tcW w:w="2598"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0,21</w:t>
            </w:r>
          </w:p>
        </w:tc>
        <w:tc>
          <w:tcPr>
            <w:tcW w:w="2127"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5,25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0,42</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10,5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1,05</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26,25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2,1</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52,5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w:t>
            </w:r>
          </w:p>
        </w:tc>
        <w:tc>
          <w:tcPr>
            <w:tcW w:w="2598"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4,2</w:t>
            </w:r>
          </w:p>
        </w:tc>
        <w:tc>
          <w:tcPr>
            <w:tcW w:w="2127"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105</w:t>
            </w:r>
          </w:p>
        </w:tc>
      </w:tr>
      <w:tr w:rsidR="00362B6C" w:rsidRPr="00362B6C" w:rsidTr="00921534">
        <w:trPr>
          <w:gridAfter w:val="1"/>
          <w:wAfter w:w="6" w:type="dxa"/>
          <w:trHeight w:val="283"/>
        </w:trPr>
        <w:tc>
          <w:tcPr>
            <w:tcW w:w="1843" w:type="dxa"/>
            <w:vMerge w:val="restart"/>
            <w:tcBorders>
              <w:top w:val="single" w:sz="12" w:space="0" w:color="auto"/>
              <w:left w:val="single" w:sz="4" w:space="0" w:color="auto"/>
              <w:bottom w:val="single" w:sz="12" w:space="0" w:color="auto"/>
              <w:right w:val="single" w:sz="4" w:space="0" w:color="auto"/>
            </w:tcBorders>
            <w:hideMark/>
          </w:tcPr>
          <w:p w:rsidR="00362B6C" w:rsidRPr="00362B6C" w:rsidRDefault="00362B6C" w:rsidP="00921534">
            <w:pPr>
              <w:ind w:left="64"/>
              <w:rPr>
                <w:sz w:val="24"/>
                <w:szCs w:val="24"/>
              </w:rPr>
            </w:pPr>
            <w:r w:rsidRPr="00362B6C">
              <w:rPr>
                <w:sz w:val="24"/>
                <w:szCs w:val="24"/>
              </w:rPr>
              <w:t>80 kg</w:t>
            </w:r>
          </w:p>
        </w:tc>
        <w:tc>
          <w:tcPr>
            <w:tcW w:w="2079"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0,05</w:t>
            </w:r>
          </w:p>
        </w:tc>
        <w:tc>
          <w:tcPr>
            <w:tcW w:w="2598"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0,24</w:t>
            </w:r>
          </w:p>
        </w:tc>
        <w:tc>
          <w:tcPr>
            <w:tcW w:w="2127"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6</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0,48</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12</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1,2</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30</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2,4</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60</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12"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w:t>
            </w:r>
          </w:p>
        </w:tc>
        <w:tc>
          <w:tcPr>
            <w:tcW w:w="2598"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4,8</w:t>
            </w:r>
          </w:p>
        </w:tc>
        <w:tc>
          <w:tcPr>
            <w:tcW w:w="2127" w:type="dxa"/>
            <w:tcBorders>
              <w:top w:val="single" w:sz="4" w:space="0" w:color="auto"/>
              <w:left w:val="single" w:sz="4" w:space="0" w:color="auto"/>
              <w:bottom w:val="single" w:sz="12"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120</w:t>
            </w:r>
          </w:p>
        </w:tc>
      </w:tr>
      <w:tr w:rsidR="00362B6C" w:rsidRPr="00362B6C" w:rsidTr="00921534">
        <w:trPr>
          <w:gridAfter w:val="1"/>
          <w:wAfter w:w="6" w:type="dxa"/>
          <w:trHeight w:val="283"/>
        </w:trPr>
        <w:tc>
          <w:tcPr>
            <w:tcW w:w="1843" w:type="dxa"/>
            <w:vMerge w:val="restart"/>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ind w:left="64"/>
              <w:rPr>
                <w:sz w:val="24"/>
                <w:szCs w:val="24"/>
              </w:rPr>
            </w:pPr>
            <w:r w:rsidRPr="00362B6C">
              <w:rPr>
                <w:sz w:val="24"/>
                <w:szCs w:val="24"/>
              </w:rPr>
              <w:t>90 kg</w:t>
            </w:r>
          </w:p>
        </w:tc>
        <w:tc>
          <w:tcPr>
            <w:tcW w:w="2079"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0,05</w:t>
            </w:r>
          </w:p>
        </w:tc>
        <w:tc>
          <w:tcPr>
            <w:tcW w:w="2598"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0,27</w:t>
            </w:r>
          </w:p>
        </w:tc>
        <w:tc>
          <w:tcPr>
            <w:tcW w:w="2127" w:type="dxa"/>
            <w:tcBorders>
              <w:top w:val="single" w:sz="12"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6,75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4"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0,54</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13,5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4"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0,25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1,35</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33,75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4"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0,5</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2,7</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67,5</w:t>
            </w:r>
          </w:p>
        </w:tc>
      </w:tr>
      <w:tr w:rsidR="00362B6C" w:rsidRPr="00362B6C" w:rsidTr="00921534">
        <w:trPr>
          <w:gridAfter w:val="1"/>
          <w:wAfter w:w="6" w:type="dxa"/>
          <w:trHeight w:val="283"/>
        </w:trPr>
        <w:tc>
          <w:tcPr>
            <w:tcW w:w="1843" w:type="dxa"/>
            <w:vMerge/>
            <w:tcBorders>
              <w:top w:val="single" w:sz="12" w:space="0" w:color="auto"/>
              <w:left w:val="single" w:sz="4" w:space="0" w:color="auto"/>
              <w:bottom w:val="single" w:sz="4" w:space="0" w:color="auto"/>
              <w:right w:val="single" w:sz="4" w:space="0" w:color="auto"/>
            </w:tcBorders>
            <w:vAlign w:val="center"/>
            <w:hideMark/>
          </w:tcPr>
          <w:p w:rsidR="00362B6C" w:rsidRPr="00362B6C" w:rsidRDefault="00362B6C" w:rsidP="00921534">
            <w:pPr>
              <w:ind w:left="64"/>
              <w:rPr>
                <w:sz w:val="24"/>
                <w:szCs w:val="24"/>
              </w:rPr>
            </w:pPr>
          </w:p>
        </w:tc>
        <w:tc>
          <w:tcPr>
            <w:tcW w:w="2079"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w:t>
            </w:r>
          </w:p>
        </w:tc>
        <w:tc>
          <w:tcPr>
            <w:tcW w:w="2598"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5,4</w:t>
            </w:r>
          </w:p>
        </w:tc>
        <w:tc>
          <w:tcPr>
            <w:tcW w:w="2127" w:type="dxa"/>
            <w:tcBorders>
              <w:top w:val="single" w:sz="4" w:space="0" w:color="auto"/>
              <w:left w:val="single" w:sz="4" w:space="0" w:color="auto"/>
              <w:bottom w:val="single" w:sz="4" w:space="0" w:color="auto"/>
              <w:right w:val="single" w:sz="4" w:space="0" w:color="auto"/>
            </w:tcBorders>
            <w:hideMark/>
          </w:tcPr>
          <w:p w:rsidR="00362B6C" w:rsidRPr="00362B6C" w:rsidRDefault="00362B6C" w:rsidP="00921534">
            <w:pPr>
              <w:tabs>
                <w:tab w:val="left" w:pos="851"/>
              </w:tabs>
              <w:ind w:left="64"/>
              <w:rPr>
                <w:sz w:val="24"/>
                <w:szCs w:val="24"/>
              </w:rPr>
            </w:pPr>
            <w:r w:rsidRPr="00362B6C">
              <w:rPr>
                <w:sz w:val="24"/>
                <w:szCs w:val="24"/>
              </w:rPr>
              <w:t>135</w:t>
            </w:r>
          </w:p>
        </w:tc>
      </w:tr>
    </w:tbl>
    <w:p w:rsidR="00362B6C" w:rsidRPr="00362B6C" w:rsidRDefault="00362B6C" w:rsidP="00362B6C">
      <w:pPr>
        <w:tabs>
          <w:tab w:val="left" w:pos="851"/>
        </w:tabs>
        <w:ind w:left="851"/>
        <w:rPr>
          <w:sz w:val="24"/>
          <w:szCs w:val="24"/>
          <w:lang w:val="en-GB"/>
        </w:rPr>
      </w:pPr>
    </w:p>
    <w:p w:rsidR="00362B6C" w:rsidRPr="00362B6C" w:rsidRDefault="00362B6C" w:rsidP="00362B6C">
      <w:pPr>
        <w:tabs>
          <w:tab w:val="left" w:pos="851"/>
        </w:tabs>
        <w:ind w:left="851"/>
        <w:rPr>
          <w:i/>
          <w:iCs/>
          <w:sz w:val="24"/>
          <w:szCs w:val="24"/>
        </w:rPr>
      </w:pPr>
      <w:r w:rsidRPr="00362B6C">
        <w:rPr>
          <w:i/>
          <w:iCs/>
          <w:sz w:val="24"/>
          <w:szCs w:val="24"/>
        </w:rPr>
        <w:t>Behandlingens varighed og overvågning</w:t>
      </w:r>
    </w:p>
    <w:p w:rsidR="00362B6C" w:rsidRPr="00362B6C" w:rsidRDefault="00362B6C" w:rsidP="00362B6C">
      <w:pPr>
        <w:tabs>
          <w:tab w:val="left" w:pos="851"/>
        </w:tabs>
        <w:ind w:left="851"/>
        <w:rPr>
          <w:sz w:val="24"/>
          <w:szCs w:val="24"/>
        </w:rPr>
      </w:pPr>
      <w:r w:rsidRPr="00362B6C">
        <w:rPr>
          <w:sz w:val="24"/>
          <w:szCs w:val="24"/>
        </w:rPr>
        <w:t xml:space="preserve">Behandlingen fortsættes, indtil der kan opretholdes tilstrækkeligt blodtryk og </w:t>
      </w:r>
      <w:proofErr w:type="spellStart"/>
      <w:r w:rsidRPr="00362B6C">
        <w:rPr>
          <w:sz w:val="24"/>
          <w:szCs w:val="24"/>
        </w:rPr>
        <w:t>vævsperfusion</w:t>
      </w:r>
      <w:proofErr w:type="spellEnd"/>
      <w:r w:rsidRPr="00362B6C">
        <w:rPr>
          <w:sz w:val="24"/>
          <w:szCs w:val="24"/>
        </w:rPr>
        <w:t xml:space="preserve"> uden behandling. Patienten skal overvåges nøje under hele </w:t>
      </w:r>
      <w:proofErr w:type="spellStart"/>
      <w:r w:rsidRPr="00362B6C">
        <w:rPr>
          <w:sz w:val="24"/>
          <w:szCs w:val="24"/>
        </w:rPr>
        <w:t>noradrenalinbehandlingens</w:t>
      </w:r>
      <w:proofErr w:type="spellEnd"/>
      <w:r w:rsidRPr="00362B6C">
        <w:rPr>
          <w:sz w:val="24"/>
          <w:szCs w:val="24"/>
        </w:rPr>
        <w:t xml:space="preserve"> varigheden.</w:t>
      </w:r>
    </w:p>
    <w:p w:rsidR="00362B6C" w:rsidRPr="00362B6C" w:rsidRDefault="00362B6C" w:rsidP="00362B6C">
      <w:pPr>
        <w:tabs>
          <w:tab w:val="left" w:pos="851"/>
        </w:tabs>
        <w:ind w:left="851"/>
        <w:rPr>
          <w:sz w:val="24"/>
          <w:szCs w:val="24"/>
        </w:rPr>
      </w:pPr>
      <w:r w:rsidRPr="00362B6C">
        <w:rPr>
          <w:sz w:val="24"/>
          <w:szCs w:val="24"/>
        </w:rPr>
        <w:t>Noradrenalin må kun administreres af sundhedspersoner, der er bekendt med dets anvendelse og har passende faciliteter til tilstrækkelig overvågning af patienten.</w:t>
      </w:r>
    </w:p>
    <w:p w:rsidR="00362B6C" w:rsidRPr="00362B6C" w:rsidRDefault="00362B6C" w:rsidP="00362B6C">
      <w:pPr>
        <w:tabs>
          <w:tab w:val="left" w:pos="851"/>
        </w:tabs>
        <w:ind w:left="851"/>
        <w:rPr>
          <w:sz w:val="24"/>
          <w:szCs w:val="24"/>
        </w:rPr>
      </w:pPr>
    </w:p>
    <w:p w:rsidR="00362B6C" w:rsidRPr="00362B6C" w:rsidRDefault="00362B6C" w:rsidP="00362B6C">
      <w:pPr>
        <w:tabs>
          <w:tab w:val="left" w:pos="851"/>
        </w:tabs>
        <w:ind w:left="851"/>
        <w:rPr>
          <w:i/>
          <w:iCs/>
          <w:sz w:val="24"/>
          <w:szCs w:val="24"/>
        </w:rPr>
      </w:pPr>
      <w:proofErr w:type="spellStart"/>
      <w:r w:rsidRPr="00362B6C">
        <w:rPr>
          <w:i/>
          <w:iCs/>
          <w:sz w:val="24"/>
          <w:szCs w:val="24"/>
        </w:rPr>
        <w:t>Seponering</w:t>
      </w:r>
      <w:proofErr w:type="spellEnd"/>
      <w:r w:rsidRPr="00362B6C">
        <w:rPr>
          <w:i/>
          <w:iCs/>
          <w:sz w:val="24"/>
          <w:szCs w:val="24"/>
        </w:rPr>
        <w:t xml:space="preserve"> af behandling</w:t>
      </w:r>
    </w:p>
    <w:p w:rsidR="00362B6C" w:rsidRPr="00362B6C" w:rsidRDefault="00362B6C" w:rsidP="00362B6C">
      <w:pPr>
        <w:tabs>
          <w:tab w:val="left" w:pos="851"/>
        </w:tabs>
        <w:ind w:left="851"/>
        <w:rPr>
          <w:sz w:val="24"/>
          <w:szCs w:val="24"/>
        </w:rPr>
      </w:pPr>
      <w:r w:rsidRPr="00362B6C">
        <w:rPr>
          <w:sz w:val="24"/>
          <w:szCs w:val="24"/>
        </w:rPr>
        <w:t xml:space="preserve">Infusioner bør gradvist nedtrappes, da pludselig </w:t>
      </w:r>
      <w:proofErr w:type="spellStart"/>
      <w:r w:rsidRPr="00362B6C">
        <w:rPr>
          <w:sz w:val="24"/>
          <w:szCs w:val="24"/>
        </w:rPr>
        <w:t>seponering</w:t>
      </w:r>
      <w:proofErr w:type="spellEnd"/>
      <w:r w:rsidRPr="00362B6C">
        <w:rPr>
          <w:sz w:val="24"/>
          <w:szCs w:val="24"/>
        </w:rPr>
        <w:t xml:space="preserve"> af behandlingen kan forårsage akut hypotension.</w:t>
      </w:r>
    </w:p>
    <w:p w:rsidR="00362B6C" w:rsidRPr="00362B6C" w:rsidRDefault="00362B6C" w:rsidP="00362B6C">
      <w:pPr>
        <w:tabs>
          <w:tab w:val="left" w:pos="851"/>
        </w:tabs>
        <w:ind w:left="851"/>
        <w:rPr>
          <w:sz w:val="24"/>
          <w:szCs w:val="24"/>
        </w:rPr>
      </w:pPr>
    </w:p>
    <w:p w:rsidR="00362B6C" w:rsidRPr="00803A2E" w:rsidRDefault="00362B6C" w:rsidP="00362B6C">
      <w:pPr>
        <w:tabs>
          <w:tab w:val="left" w:pos="851"/>
        </w:tabs>
        <w:ind w:left="851"/>
        <w:rPr>
          <w:iCs/>
          <w:sz w:val="24"/>
          <w:szCs w:val="24"/>
          <w:u w:val="single"/>
        </w:rPr>
      </w:pPr>
      <w:r w:rsidRPr="00803A2E">
        <w:rPr>
          <w:iCs/>
          <w:sz w:val="24"/>
          <w:szCs w:val="24"/>
          <w:u w:val="single"/>
        </w:rPr>
        <w:t>Nedsat lever-/nyrefunktion</w:t>
      </w:r>
    </w:p>
    <w:p w:rsidR="00362B6C" w:rsidRPr="00362B6C" w:rsidRDefault="00362B6C" w:rsidP="00362B6C">
      <w:pPr>
        <w:tabs>
          <w:tab w:val="left" w:pos="851"/>
        </w:tabs>
        <w:ind w:left="851"/>
        <w:rPr>
          <w:sz w:val="24"/>
          <w:szCs w:val="24"/>
        </w:rPr>
      </w:pPr>
      <w:r w:rsidRPr="00362B6C">
        <w:rPr>
          <w:sz w:val="24"/>
          <w:szCs w:val="24"/>
        </w:rPr>
        <w:t>Der foreligger ingen erfaringer med behandling af patienter med nedsat nyre- eller leverfunktion.</w:t>
      </w:r>
    </w:p>
    <w:p w:rsidR="00362B6C" w:rsidRPr="00362B6C" w:rsidRDefault="00362B6C" w:rsidP="00362B6C">
      <w:pPr>
        <w:tabs>
          <w:tab w:val="left" w:pos="851"/>
        </w:tabs>
        <w:ind w:left="851"/>
        <w:rPr>
          <w:sz w:val="24"/>
          <w:szCs w:val="24"/>
        </w:rPr>
      </w:pPr>
    </w:p>
    <w:p w:rsidR="00362B6C" w:rsidRPr="00803A2E" w:rsidRDefault="00362B6C" w:rsidP="00362B6C">
      <w:pPr>
        <w:tabs>
          <w:tab w:val="left" w:pos="851"/>
        </w:tabs>
        <w:ind w:left="851"/>
        <w:rPr>
          <w:iCs/>
          <w:sz w:val="24"/>
          <w:szCs w:val="24"/>
          <w:u w:val="single"/>
        </w:rPr>
      </w:pPr>
      <w:r w:rsidRPr="00803A2E">
        <w:rPr>
          <w:iCs/>
          <w:sz w:val="24"/>
          <w:szCs w:val="24"/>
          <w:u w:val="single"/>
        </w:rPr>
        <w:t>Ældre</w:t>
      </w:r>
    </w:p>
    <w:p w:rsidR="00362B6C" w:rsidRPr="00362B6C" w:rsidRDefault="00362B6C" w:rsidP="00362B6C">
      <w:pPr>
        <w:tabs>
          <w:tab w:val="left" w:pos="851"/>
        </w:tabs>
        <w:ind w:left="851"/>
        <w:rPr>
          <w:sz w:val="24"/>
          <w:szCs w:val="24"/>
        </w:rPr>
      </w:pPr>
      <w:r w:rsidRPr="00362B6C">
        <w:rPr>
          <w:sz w:val="24"/>
          <w:szCs w:val="24"/>
        </w:rPr>
        <w:t>Generelt bør der udvises forsigtighed ved dosisvalg til en ældre patient, startende i den lave ende af doseringsområdet for at afspejle den større hyppighed af nedsat lever-, nyre- eller hjertefunktion og samtidig sygdom eller anden lægemiddelbehandling.</w:t>
      </w:r>
    </w:p>
    <w:p w:rsidR="00362B6C" w:rsidRPr="00362B6C" w:rsidRDefault="00362B6C" w:rsidP="00362B6C">
      <w:pPr>
        <w:tabs>
          <w:tab w:val="left" w:pos="851"/>
        </w:tabs>
        <w:ind w:left="851"/>
        <w:rPr>
          <w:sz w:val="24"/>
          <w:szCs w:val="24"/>
        </w:rPr>
      </w:pPr>
    </w:p>
    <w:p w:rsidR="00362B6C" w:rsidRPr="00803A2E" w:rsidRDefault="00362B6C" w:rsidP="00362B6C">
      <w:pPr>
        <w:tabs>
          <w:tab w:val="left" w:pos="851"/>
        </w:tabs>
        <w:ind w:left="851"/>
        <w:rPr>
          <w:iCs/>
          <w:sz w:val="24"/>
          <w:szCs w:val="24"/>
          <w:u w:val="single"/>
        </w:rPr>
      </w:pPr>
      <w:r w:rsidRPr="00803A2E">
        <w:rPr>
          <w:iCs/>
          <w:sz w:val="24"/>
          <w:szCs w:val="24"/>
          <w:u w:val="single"/>
        </w:rPr>
        <w:t>Pædiatrisk population</w:t>
      </w:r>
    </w:p>
    <w:p w:rsidR="00362B6C" w:rsidRPr="00362B6C" w:rsidRDefault="00362B6C" w:rsidP="00362B6C">
      <w:pPr>
        <w:tabs>
          <w:tab w:val="left" w:pos="851"/>
        </w:tabs>
        <w:ind w:left="851"/>
        <w:rPr>
          <w:sz w:val="24"/>
          <w:szCs w:val="24"/>
        </w:rPr>
      </w:pPr>
      <w:r w:rsidRPr="00362B6C">
        <w:rPr>
          <w:sz w:val="24"/>
          <w:szCs w:val="24"/>
        </w:rPr>
        <w:t>Noradrenalins sikkerhed og virkning hos børn under 18 år er endnu ikke klarlagt. Der foreligger ingen data.</w:t>
      </w:r>
    </w:p>
    <w:p w:rsidR="00146DFA" w:rsidRDefault="00146DFA">
      <w:pPr>
        <w:rPr>
          <w:sz w:val="24"/>
          <w:szCs w:val="24"/>
        </w:rPr>
      </w:pPr>
      <w:r>
        <w:rPr>
          <w:sz w:val="24"/>
          <w:szCs w:val="24"/>
        </w:rPr>
        <w:br w:type="page"/>
      </w:r>
    </w:p>
    <w:p w:rsidR="00362B6C" w:rsidRPr="00362B6C" w:rsidRDefault="00362B6C" w:rsidP="00362B6C">
      <w:pPr>
        <w:tabs>
          <w:tab w:val="left" w:pos="851"/>
        </w:tabs>
        <w:ind w:left="851"/>
        <w:rPr>
          <w:sz w:val="24"/>
          <w:szCs w:val="24"/>
        </w:rPr>
      </w:pPr>
    </w:p>
    <w:p w:rsidR="00362B6C" w:rsidRPr="00803A2E" w:rsidRDefault="00362B6C" w:rsidP="00362B6C">
      <w:pPr>
        <w:tabs>
          <w:tab w:val="left" w:pos="851"/>
        </w:tabs>
        <w:ind w:left="851"/>
        <w:rPr>
          <w:b/>
          <w:iCs/>
          <w:sz w:val="24"/>
          <w:szCs w:val="24"/>
        </w:rPr>
      </w:pPr>
      <w:r w:rsidRPr="00803A2E">
        <w:rPr>
          <w:b/>
          <w:iCs/>
          <w:sz w:val="24"/>
          <w:szCs w:val="24"/>
        </w:rPr>
        <w:t>Administration</w:t>
      </w:r>
    </w:p>
    <w:p w:rsidR="00362B6C" w:rsidRPr="00362B6C" w:rsidRDefault="00362B6C" w:rsidP="00362B6C">
      <w:pPr>
        <w:tabs>
          <w:tab w:val="left" w:pos="851"/>
        </w:tabs>
        <w:ind w:left="851"/>
        <w:rPr>
          <w:sz w:val="24"/>
          <w:szCs w:val="24"/>
        </w:rPr>
      </w:pPr>
    </w:p>
    <w:p w:rsidR="00362B6C" w:rsidRPr="00803A2E" w:rsidRDefault="00362B6C" w:rsidP="00362B6C">
      <w:pPr>
        <w:tabs>
          <w:tab w:val="left" w:pos="851"/>
        </w:tabs>
        <w:ind w:left="851"/>
        <w:rPr>
          <w:sz w:val="24"/>
          <w:szCs w:val="24"/>
          <w:u w:val="single"/>
        </w:rPr>
      </w:pPr>
      <w:r w:rsidRPr="00803A2E">
        <w:rPr>
          <w:sz w:val="24"/>
          <w:szCs w:val="24"/>
          <w:u w:val="single"/>
        </w:rPr>
        <w:t>Indgivelsesmåde</w:t>
      </w:r>
    </w:p>
    <w:p w:rsidR="00362B6C" w:rsidRPr="00362B6C" w:rsidRDefault="00362B6C" w:rsidP="00362B6C">
      <w:pPr>
        <w:tabs>
          <w:tab w:val="left" w:pos="851"/>
        </w:tabs>
        <w:ind w:left="851"/>
        <w:rPr>
          <w:sz w:val="24"/>
          <w:szCs w:val="24"/>
        </w:rPr>
      </w:pPr>
      <w:r w:rsidRPr="00362B6C">
        <w:rPr>
          <w:sz w:val="24"/>
          <w:szCs w:val="24"/>
        </w:rPr>
        <w:t>Til intravenøs anvendelse efter fortynding.</w:t>
      </w:r>
    </w:p>
    <w:p w:rsidR="00362B6C" w:rsidRPr="00362B6C" w:rsidRDefault="00362B6C" w:rsidP="00362B6C">
      <w:pPr>
        <w:tabs>
          <w:tab w:val="left" w:pos="851"/>
        </w:tabs>
        <w:ind w:left="851"/>
        <w:rPr>
          <w:sz w:val="24"/>
          <w:szCs w:val="24"/>
        </w:rPr>
      </w:pPr>
    </w:p>
    <w:p w:rsidR="00362B6C" w:rsidRPr="00362B6C" w:rsidRDefault="00362B6C" w:rsidP="00362B6C">
      <w:pPr>
        <w:tabs>
          <w:tab w:val="left" w:pos="851"/>
        </w:tabs>
        <w:ind w:left="851"/>
        <w:rPr>
          <w:sz w:val="24"/>
          <w:szCs w:val="24"/>
        </w:rPr>
      </w:pPr>
      <w:r w:rsidRPr="00362B6C">
        <w:rPr>
          <w:sz w:val="24"/>
          <w:szCs w:val="24"/>
        </w:rPr>
        <w:t>Noradrenalin "</w:t>
      </w:r>
      <w:proofErr w:type="spellStart"/>
      <w:r w:rsidRPr="00362B6C">
        <w:rPr>
          <w:sz w:val="24"/>
          <w:szCs w:val="24"/>
        </w:rPr>
        <w:t>Kalceks</w:t>
      </w:r>
      <w:proofErr w:type="spellEnd"/>
      <w:r w:rsidRPr="00362B6C">
        <w:rPr>
          <w:sz w:val="24"/>
          <w:szCs w:val="24"/>
        </w:rPr>
        <w:t xml:space="preserve">" skal fortyndes og indgives via et centralt venekateter. Infusionen skal </w:t>
      </w:r>
      <w:proofErr w:type="spellStart"/>
      <w:r w:rsidRPr="00362B6C">
        <w:rPr>
          <w:sz w:val="24"/>
          <w:szCs w:val="24"/>
        </w:rPr>
        <w:t>infunderes</w:t>
      </w:r>
      <w:proofErr w:type="spellEnd"/>
      <w:r w:rsidRPr="00362B6C">
        <w:rPr>
          <w:sz w:val="24"/>
          <w:szCs w:val="24"/>
        </w:rPr>
        <w:t xml:space="preserve"> med kontrolleret hastighed enten ved hjælp af en sprøjtepumpe, en infusionspumpe eller en dråbetæller.</w:t>
      </w:r>
    </w:p>
    <w:p w:rsidR="00362B6C" w:rsidRPr="00362B6C" w:rsidRDefault="00362B6C" w:rsidP="00362B6C">
      <w:pPr>
        <w:tabs>
          <w:tab w:val="left" w:pos="851"/>
        </w:tabs>
        <w:ind w:left="851"/>
        <w:rPr>
          <w:sz w:val="24"/>
          <w:szCs w:val="24"/>
        </w:rPr>
      </w:pPr>
      <w:r w:rsidRPr="00362B6C">
        <w:rPr>
          <w:sz w:val="24"/>
          <w:szCs w:val="24"/>
        </w:rPr>
        <w:t>For instruktioner om fortynding af lægemidlet før administration</w:t>
      </w:r>
      <w:r w:rsidR="00CD73BA">
        <w:rPr>
          <w:sz w:val="24"/>
          <w:szCs w:val="24"/>
        </w:rPr>
        <w:t>,</w:t>
      </w:r>
      <w:r w:rsidRPr="00362B6C">
        <w:rPr>
          <w:sz w:val="24"/>
          <w:szCs w:val="24"/>
        </w:rPr>
        <w:t xml:space="preserve">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182F0C" w:rsidRPr="00182F0C" w:rsidRDefault="00182F0C" w:rsidP="00182F0C">
      <w:pPr>
        <w:tabs>
          <w:tab w:val="left" w:pos="851"/>
        </w:tabs>
        <w:ind w:left="851"/>
        <w:rPr>
          <w:sz w:val="24"/>
          <w:szCs w:val="24"/>
        </w:rPr>
      </w:pPr>
      <w:r w:rsidRPr="00182F0C">
        <w:rPr>
          <w:sz w:val="24"/>
          <w:szCs w:val="24"/>
        </w:rPr>
        <w:t>Overfølsomhed over for det aktive stof eller over for et eller flere af hjælpestofferne anført i pkt. 6.1.</w:t>
      </w:r>
    </w:p>
    <w:p w:rsidR="00182F0C" w:rsidRPr="00182F0C" w:rsidRDefault="00182F0C" w:rsidP="00182F0C">
      <w:pPr>
        <w:tabs>
          <w:tab w:val="left" w:pos="851"/>
        </w:tabs>
        <w:ind w:left="851"/>
        <w:rPr>
          <w:sz w:val="24"/>
          <w:szCs w:val="24"/>
        </w:rPr>
      </w:pPr>
      <w:r w:rsidRPr="00182F0C">
        <w:rPr>
          <w:sz w:val="24"/>
          <w:szCs w:val="24"/>
        </w:rPr>
        <w:t>Hypotension som følge af nedsat blodvolumen (</w:t>
      </w:r>
      <w:proofErr w:type="spellStart"/>
      <w:r w:rsidRPr="00182F0C">
        <w:rPr>
          <w:sz w:val="24"/>
          <w:szCs w:val="24"/>
        </w:rPr>
        <w:t>hypovolæmi</w:t>
      </w:r>
      <w:proofErr w:type="spellEnd"/>
      <w:r w:rsidRPr="00182F0C">
        <w:rPr>
          <w:sz w:val="24"/>
          <w:szCs w:val="24"/>
        </w:rPr>
        <w:t>).</w:t>
      </w:r>
    </w:p>
    <w:p w:rsidR="00182F0C" w:rsidRPr="00182F0C" w:rsidRDefault="00182F0C" w:rsidP="00182F0C">
      <w:pPr>
        <w:tabs>
          <w:tab w:val="left" w:pos="851"/>
        </w:tabs>
        <w:ind w:left="851"/>
        <w:rPr>
          <w:sz w:val="24"/>
          <w:szCs w:val="24"/>
        </w:rPr>
      </w:pPr>
      <w:r w:rsidRPr="00182F0C">
        <w:rPr>
          <w:sz w:val="24"/>
          <w:szCs w:val="24"/>
        </w:rPr>
        <w:t xml:space="preserve">Må ikke anvendes sammen med </w:t>
      </w:r>
      <w:proofErr w:type="spellStart"/>
      <w:r w:rsidRPr="00182F0C">
        <w:rPr>
          <w:sz w:val="24"/>
          <w:szCs w:val="24"/>
        </w:rPr>
        <w:t>anæstetika</w:t>
      </w:r>
      <w:proofErr w:type="spellEnd"/>
      <w:r w:rsidRPr="00182F0C">
        <w:rPr>
          <w:sz w:val="24"/>
          <w:szCs w:val="24"/>
        </w:rPr>
        <w:t xml:space="preserve"> med </w:t>
      </w:r>
      <w:proofErr w:type="spellStart"/>
      <w:r w:rsidRPr="00182F0C">
        <w:rPr>
          <w:sz w:val="24"/>
          <w:szCs w:val="24"/>
        </w:rPr>
        <w:t>cyclopropan</w:t>
      </w:r>
      <w:proofErr w:type="spellEnd"/>
      <w:r w:rsidRPr="00182F0C">
        <w:rPr>
          <w:sz w:val="24"/>
          <w:szCs w:val="24"/>
        </w:rPr>
        <w:t xml:space="preserve"> og </w:t>
      </w:r>
      <w:proofErr w:type="spellStart"/>
      <w:r w:rsidRPr="00182F0C">
        <w:rPr>
          <w:sz w:val="24"/>
          <w:szCs w:val="24"/>
        </w:rPr>
        <w:t>halothan</w:t>
      </w:r>
      <w:proofErr w:type="spellEnd"/>
      <w:r w:rsidRPr="00182F0C">
        <w:rPr>
          <w:sz w:val="24"/>
          <w:szCs w:val="24"/>
        </w:rPr>
        <w:t>. Se pkt. 4.5 vedr. interaktioner.</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Brug af </w:t>
      </w:r>
      <w:proofErr w:type="spellStart"/>
      <w:r w:rsidRPr="00182F0C">
        <w:rPr>
          <w:sz w:val="24"/>
          <w:szCs w:val="24"/>
        </w:rPr>
        <w:t>pressoraminer</w:t>
      </w:r>
      <w:proofErr w:type="spellEnd"/>
      <w:r w:rsidRPr="00182F0C">
        <w:rPr>
          <w:sz w:val="24"/>
          <w:szCs w:val="24"/>
        </w:rPr>
        <w:t xml:space="preserve"> under anæstesi med </w:t>
      </w:r>
      <w:proofErr w:type="spellStart"/>
      <w:r w:rsidRPr="00182F0C">
        <w:rPr>
          <w:sz w:val="24"/>
          <w:szCs w:val="24"/>
        </w:rPr>
        <w:t>cyclopropan</w:t>
      </w:r>
      <w:proofErr w:type="spellEnd"/>
      <w:r w:rsidRPr="00182F0C">
        <w:rPr>
          <w:sz w:val="24"/>
          <w:szCs w:val="24"/>
        </w:rPr>
        <w:t xml:space="preserve"> eller </w:t>
      </w:r>
      <w:proofErr w:type="spellStart"/>
      <w:r w:rsidRPr="00182F0C">
        <w:rPr>
          <w:sz w:val="24"/>
          <w:szCs w:val="24"/>
        </w:rPr>
        <w:t>halothan</w:t>
      </w:r>
      <w:proofErr w:type="spellEnd"/>
      <w:r w:rsidRPr="00182F0C">
        <w:rPr>
          <w:sz w:val="24"/>
          <w:szCs w:val="24"/>
        </w:rPr>
        <w:t xml:space="preserve"> kan forårsage alvorlige </w:t>
      </w:r>
      <w:proofErr w:type="spellStart"/>
      <w:r w:rsidRPr="00182F0C">
        <w:rPr>
          <w:sz w:val="24"/>
          <w:szCs w:val="24"/>
        </w:rPr>
        <w:t>hjertearytmier</w:t>
      </w:r>
      <w:proofErr w:type="spellEnd"/>
      <w:r w:rsidRPr="00182F0C">
        <w:rPr>
          <w:sz w:val="24"/>
          <w:szCs w:val="24"/>
        </w:rPr>
        <w:t xml:space="preserve">. På grund af en eventuel øget risiko for ventrikelflimmer skal noradrenalin anvendes med forsigtighed til patienter, der får disse eller andre hjertesensibiliserende stoffer eller udviser markant </w:t>
      </w:r>
      <w:proofErr w:type="spellStart"/>
      <w:r w:rsidRPr="00182F0C">
        <w:rPr>
          <w:sz w:val="24"/>
          <w:szCs w:val="24"/>
        </w:rPr>
        <w:t>hypoksi</w:t>
      </w:r>
      <w:proofErr w:type="spellEnd"/>
      <w:r w:rsidRPr="00182F0C">
        <w:rPr>
          <w:sz w:val="24"/>
          <w:szCs w:val="24"/>
        </w:rPr>
        <w:t xml:space="preserve"> eller </w:t>
      </w:r>
      <w:proofErr w:type="spellStart"/>
      <w:r w:rsidRPr="00182F0C">
        <w:rPr>
          <w:sz w:val="24"/>
          <w:szCs w:val="24"/>
        </w:rPr>
        <w:t>hyperkapni</w:t>
      </w:r>
      <w:proofErr w:type="spellEnd"/>
      <w:r w:rsidRPr="00182F0C">
        <w:rPr>
          <w:sz w:val="24"/>
          <w:szCs w:val="24"/>
        </w:rPr>
        <w:t>.</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Indgivelse bør undgås i vener i nedre lemmer hos ældre og hos patienter med </w:t>
      </w:r>
      <w:proofErr w:type="spellStart"/>
      <w:r w:rsidRPr="00182F0C">
        <w:rPr>
          <w:sz w:val="24"/>
          <w:szCs w:val="24"/>
        </w:rPr>
        <w:t>okklusive</w:t>
      </w:r>
      <w:proofErr w:type="spellEnd"/>
      <w:r w:rsidRPr="00182F0C">
        <w:rPr>
          <w:sz w:val="24"/>
          <w:szCs w:val="24"/>
        </w:rPr>
        <w:t xml:space="preserve"> sygdomme på grund af mulig </w:t>
      </w:r>
      <w:proofErr w:type="spellStart"/>
      <w:r w:rsidRPr="00182F0C">
        <w:rPr>
          <w:sz w:val="24"/>
          <w:szCs w:val="24"/>
        </w:rPr>
        <w:t>vasokonstriktion</w:t>
      </w:r>
      <w:proofErr w:type="spellEnd"/>
      <w:r w:rsidRPr="00182F0C">
        <w:rPr>
          <w:sz w:val="24"/>
          <w:szCs w:val="24"/>
        </w:rPr>
        <w:t xml:space="preserve"> (se pkt.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182F0C" w:rsidRPr="00182F0C" w:rsidRDefault="00182F0C" w:rsidP="00182F0C">
      <w:pPr>
        <w:tabs>
          <w:tab w:val="left" w:pos="851"/>
        </w:tabs>
        <w:ind w:left="851"/>
        <w:rPr>
          <w:sz w:val="24"/>
          <w:szCs w:val="24"/>
        </w:rPr>
      </w:pPr>
      <w:r w:rsidRPr="00182F0C">
        <w:rPr>
          <w:sz w:val="24"/>
          <w:szCs w:val="24"/>
        </w:rPr>
        <w:t>Må ikke anvendes ufortyndet.</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Noradrenalin må ikke gives til patienter, der er </w:t>
      </w:r>
      <w:proofErr w:type="spellStart"/>
      <w:r w:rsidRPr="00182F0C">
        <w:rPr>
          <w:sz w:val="24"/>
          <w:szCs w:val="24"/>
        </w:rPr>
        <w:t>hypotensive</w:t>
      </w:r>
      <w:proofErr w:type="spellEnd"/>
      <w:r w:rsidRPr="00182F0C">
        <w:rPr>
          <w:sz w:val="24"/>
          <w:szCs w:val="24"/>
        </w:rPr>
        <w:t xml:space="preserve"> pga. </w:t>
      </w:r>
      <w:proofErr w:type="spellStart"/>
      <w:r w:rsidRPr="00182F0C">
        <w:rPr>
          <w:sz w:val="24"/>
          <w:szCs w:val="24"/>
        </w:rPr>
        <w:t>hypovolæmi</w:t>
      </w:r>
      <w:proofErr w:type="spellEnd"/>
      <w:r w:rsidRPr="00182F0C">
        <w:rPr>
          <w:sz w:val="24"/>
          <w:szCs w:val="24"/>
        </w:rPr>
        <w:t>, dog undtaget akut behandling for at opretholde blodforsyning til krans- og hjernearterier, indtil der kan iværksættes behandling til substitution af blodvolumen.</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Noradrenalin må kun anvendes sammen med passende substitution af blodvolumen.</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Hvis noradrenalin administreres kontinuerligt til opretholdelse af blodtryk i mangel på substitution af blodvolumen, kan følgende forekomme: alvorlig perifer og </w:t>
      </w:r>
      <w:proofErr w:type="spellStart"/>
      <w:r w:rsidRPr="00182F0C">
        <w:rPr>
          <w:sz w:val="24"/>
          <w:szCs w:val="24"/>
        </w:rPr>
        <w:t>visceral</w:t>
      </w:r>
      <w:proofErr w:type="spellEnd"/>
      <w:r w:rsidRPr="00182F0C">
        <w:rPr>
          <w:sz w:val="24"/>
          <w:szCs w:val="24"/>
        </w:rPr>
        <w:t xml:space="preserve"> </w:t>
      </w:r>
      <w:proofErr w:type="spellStart"/>
      <w:r w:rsidRPr="00182F0C">
        <w:rPr>
          <w:sz w:val="24"/>
          <w:szCs w:val="24"/>
        </w:rPr>
        <w:t>vasokonstriktion</w:t>
      </w:r>
      <w:proofErr w:type="spellEnd"/>
      <w:r w:rsidRPr="00182F0C">
        <w:rPr>
          <w:sz w:val="24"/>
          <w:szCs w:val="24"/>
        </w:rPr>
        <w:t xml:space="preserve">, fald i blodgennemstrømning i nyrerne og i urinproduktion, </w:t>
      </w:r>
      <w:proofErr w:type="spellStart"/>
      <w:r w:rsidRPr="00182F0C">
        <w:rPr>
          <w:sz w:val="24"/>
          <w:szCs w:val="24"/>
        </w:rPr>
        <w:t>vævshypoksi</w:t>
      </w:r>
      <w:proofErr w:type="spellEnd"/>
      <w:r w:rsidRPr="00182F0C">
        <w:rPr>
          <w:sz w:val="24"/>
          <w:szCs w:val="24"/>
        </w:rPr>
        <w:t xml:space="preserve">, </w:t>
      </w:r>
      <w:proofErr w:type="spellStart"/>
      <w:r w:rsidRPr="00182F0C">
        <w:rPr>
          <w:sz w:val="24"/>
          <w:szCs w:val="24"/>
        </w:rPr>
        <w:t>lactatacidose</w:t>
      </w:r>
      <w:proofErr w:type="spellEnd"/>
      <w:r w:rsidRPr="00182F0C">
        <w:rPr>
          <w:sz w:val="24"/>
          <w:szCs w:val="24"/>
        </w:rPr>
        <w:t>.</w:t>
      </w:r>
    </w:p>
    <w:p w:rsidR="00182F0C" w:rsidRPr="00182F0C" w:rsidRDefault="00182F0C" w:rsidP="00182F0C">
      <w:pPr>
        <w:tabs>
          <w:tab w:val="left" w:pos="851"/>
        </w:tabs>
        <w:ind w:left="851"/>
        <w:rPr>
          <w:sz w:val="24"/>
          <w:szCs w:val="24"/>
        </w:rPr>
      </w:pPr>
      <w:r w:rsidRPr="00182F0C">
        <w:rPr>
          <w:sz w:val="24"/>
          <w:szCs w:val="24"/>
        </w:rPr>
        <w:br/>
        <w:t>Substitution af blodvolumen kan administreres før og/eller samtidig med dette lægemiddel. Hvis fuldblod eller plasma er indikeret for at øge blodvolumen, skal det administreres separat (</w:t>
      </w:r>
      <w:r w:rsidR="0094279D">
        <w:rPr>
          <w:sz w:val="24"/>
          <w:szCs w:val="24"/>
        </w:rPr>
        <w:t>f.eks.</w:t>
      </w:r>
      <w:r w:rsidRPr="00182F0C">
        <w:rPr>
          <w:sz w:val="24"/>
          <w:szCs w:val="24"/>
        </w:rPr>
        <w:t xml:space="preserve"> hvis det gives samtidig, skal der anvendes Y-slanger og individuelle beholdere).</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Langvarig administration af enhver potent </w:t>
      </w:r>
      <w:proofErr w:type="spellStart"/>
      <w:r w:rsidRPr="00182F0C">
        <w:rPr>
          <w:sz w:val="24"/>
          <w:szCs w:val="24"/>
        </w:rPr>
        <w:t>vasopressor</w:t>
      </w:r>
      <w:proofErr w:type="spellEnd"/>
      <w:r w:rsidRPr="00182F0C">
        <w:rPr>
          <w:sz w:val="24"/>
          <w:szCs w:val="24"/>
        </w:rPr>
        <w:t xml:space="preserve"> kan forårsage reduktion af plasmavolumen, som derfor konstant bør korrigeres ved hjælp af passende behandling med væske- og elektrolytsubstitution. Hvis plasmavolumen ikke korrigeres, kan hypotension gentage sig, når noradrenalin seponeres, eller blodtrykket kan opretholdes med risiko for alvorlig perifer og </w:t>
      </w:r>
      <w:proofErr w:type="spellStart"/>
      <w:r w:rsidRPr="00182F0C">
        <w:rPr>
          <w:sz w:val="24"/>
          <w:szCs w:val="24"/>
        </w:rPr>
        <w:t>visceral</w:t>
      </w:r>
      <w:proofErr w:type="spellEnd"/>
      <w:r w:rsidRPr="00182F0C">
        <w:rPr>
          <w:sz w:val="24"/>
          <w:szCs w:val="24"/>
        </w:rPr>
        <w:t xml:space="preserve"> </w:t>
      </w:r>
      <w:proofErr w:type="spellStart"/>
      <w:r w:rsidRPr="00182F0C">
        <w:rPr>
          <w:sz w:val="24"/>
          <w:szCs w:val="24"/>
        </w:rPr>
        <w:t>vasokonstriktion</w:t>
      </w:r>
      <w:proofErr w:type="spellEnd"/>
      <w:r w:rsidRPr="00182F0C">
        <w:rPr>
          <w:sz w:val="24"/>
          <w:szCs w:val="24"/>
        </w:rPr>
        <w:t xml:space="preserve"> (</w:t>
      </w:r>
      <w:r w:rsidR="0094279D">
        <w:rPr>
          <w:sz w:val="24"/>
          <w:szCs w:val="24"/>
        </w:rPr>
        <w:t>f.eks.</w:t>
      </w:r>
      <w:r w:rsidRPr="00182F0C">
        <w:rPr>
          <w:sz w:val="24"/>
          <w:szCs w:val="24"/>
        </w:rPr>
        <w:t xml:space="preserve"> nedsat </w:t>
      </w:r>
      <w:proofErr w:type="spellStart"/>
      <w:r w:rsidRPr="00182F0C">
        <w:rPr>
          <w:sz w:val="24"/>
          <w:szCs w:val="24"/>
        </w:rPr>
        <w:t>renal</w:t>
      </w:r>
      <w:proofErr w:type="spellEnd"/>
      <w:r w:rsidRPr="00182F0C">
        <w:rPr>
          <w:sz w:val="24"/>
          <w:szCs w:val="24"/>
        </w:rPr>
        <w:t xml:space="preserve"> perfusion) med formindskelse i blodgennemstrømning og </w:t>
      </w:r>
      <w:proofErr w:type="spellStart"/>
      <w:r w:rsidRPr="00182F0C">
        <w:rPr>
          <w:sz w:val="24"/>
          <w:szCs w:val="24"/>
        </w:rPr>
        <w:t>vævsperfusion</w:t>
      </w:r>
      <w:proofErr w:type="spellEnd"/>
      <w:r w:rsidRPr="00182F0C">
        <w:rPr>
          <w:sz w:val="24"/>
          <w:szCs w:val="24"/>
        </w:rPr>
        <w:t xml:space="preserve"> med efterfølgende </w:t>
      </w:r>
      <w:proofErr w:type="spellStart"/>
      <w:r w:rsidRPr="00182F0C">
        <w:rPr>
          <w:sz w:val="24"/>
          <w:szCs w:val="24"/>
        </w:rPr>
        <w:t>vævshypoksi</w:t>
      </w:r>
      <w:proofErr w:type="spellEnd"/>
      <w:r w:rsidRPr="00182F0C">
        <w:rPr>
          <w:sz w:val="24"/>
          <w:szCs w:val="24"/>
        </w:rPr>
        <w:t xml:space="preserve"> </w:t>
      </w:r>
      <w:r w:rsidRPr="00182F0C">
        <w:rPr>
          <w:sz w:val="24"/>
          <w:szCs w:val="24"/>
        </w:rPr>
        <w:lastRenderedPageBreak/>
        <w:t xml:space="preserve">og </w:t>
      </w:r>
      <w:proofErr w:type="spellStart"/>
      <w:r w:rsidRPr="00182F0C">
        <w:rPr>
          <w:sz w:val="24"/>
          <w:szCs w:val="24"/>
        </w:rPr>
        <w:t>lactatacidose</w:t>
      </w:r>
      <w:proofErr w:type="spellEnd"/>
      <w:r w:rsidRPr="00182F0C">
        <w:rPr>
          <w:sz w:val="24"/>
          <w:szCs w:val="24"/>
        </w:rPr>
        <w:t xml:space="preserve"> og mulig iskæmisk læsion. Der er sjældne indberetninger om gangræn af ekstremiteter. </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Når noradrenalin </w:t>
      </w:r>
      <w:proofErr w:type="spellStart"/>
      <w:r w:rsidRPr="00182F0C">
        <w:rPr>
          <w:sz w:val="24"/>
          <w:szCs w:val="24"/>
        </w:rPr>
        <w:t>infunderes</w:t>
      </w:r>
      <w:proofErr w:type="spellEnd"/>
      <w:r w:rsidRPr="00182F0C">
        <w:rPr>
          <w:sz w:val="24"/>
          <w:szCs w:val="24"/>
        </w:rPr>
        <w:t xml:space="preserve">, bør blodtrykket og blodgennemstrømning kontrolleres hyppigt for at undgå hypertension, som kan være associeret med bradykardi såvel som hovedpine og perifer iskæmi, herunder sjældent gangræn i ekstremiteterne. </w:t>
      </w:r>
      <w:proofErr w:type="spellStart"/>
      <w:r w:rsidRPr="00182F0C">
        <w:rPr>
          <w:sz w:val="24"/>
          <w:szCs w:val="24"/>
        </w:rPr>
        <w:t>Ekstravasation</w:t>
      </w:r>
      <w:proofErr w:type="spellEnd"/>
      <w:r w:rsidRPr="00182F0C">
        <w:rPr>
          <w:sz w:val="24"/>
          <w:szCs w:val="24"/>
        </w:rPr>
        <w:t xml:space="preserve"> kan forårsage lokal vævsnekrose (se punktet '</w:t>
      </w:r>
      <w:proofErr w:type="spellStart"/>
      <w:r w:rsidRPr="00182F0C">
        <w:rPr>
          <w:iCs/>
          <w:sz w:val="24"/>
          <w:szCs w:val="24"/>
        </w:rPr>
        <w:t>Ekstravasation</w:t>
      </w:r>
      <w:proofErr w:type="spellEnd"/>
      <w:r w:rsidRPr="00182F0C">
        <w:rPr>
          <w:iCs/>
          <w:sz w:val="24"/>
          <w:szCs w:val="24"/>
        </w:rPr>
        <w:t>’ nedenfor)</w:t>
      </w:r>
      <w:r w:rsidRPr="00182F0C">
        <w:rPr>
          <w:sz w:val="24"/>
          <w:szCs w:val="24"/>
        </w:rPr>
        <w:t>.</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Forsigtighed tilrådes hos patienter med omfattende nedsat funktion af venstre ventrikel forbundet med akut hypotension. Understøttende behandling bør iværksættes samtidig med diagnostisk vurdering. Noradrenalin bør forbeholdes patienter med </w:t>
      </w:r>
      <w:proofErr w:type="spellStart"/>
      <w:r w:rsidRPr="00182F0C">
        <w:rPr>
          <w:sz w:val="24"/>
          <w:szCs w:val="24"/>
        </w:rPr>
        <w:t>kardiogent</w:t>
      </w:r>
      <w:proofErr w:type="spellEnd"/>
      <w:r w:rsidRPr="00182F0C">
        <w:rPr>
          <w:sz w:val="24"/>
          <w:szCs w:val="24"/>
        </w:rPr>
        <w:t xml:space="preserve"> </w:t>
      </w:r>
      <w:proofErr w:type="spellStart"/>
      <w:r w:rsidR="001F22FD">
        <w:rPr>
          <w:sz w:val="24"/>
          <w:szCs w:val="24"/>
        </w:rPr>
        <w:t>shock</w:t>
      </w:r>
      <w:proofErr w:type="spellEnd"/>
      <w:r w:rsidRPr="00182F0C">
        <w:rPr>
          <w:sz w:val="24"/>
          <w:szCs w:val="24"/>
        </w:rPr>
        <w:t xml:space="preserve"> og refraktær hypotension, især patienter uden forhøjet systemisk karmodstand.</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Forstyrrelser i hjerterytmen opstået under behandlingen bør foranledige en reduktion af dosis.</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Der kan opstå </w:t>
      </w:r>
      <w:proofErr w:type="spellStart"/>
      <w:r w:rsidRPr="00182F0C">
        <w:rPr>
          <w:sz w:val="24"/>
          <w:szCs w:val="24"/>
        </w:rPr>
        <w:t>hjertearytmi</w:t>
      </w:r>
      <w:proofErr w:type="spellEnd"/>
      <w:r w:rsidRPr="00182F0C">
        <w:rPr>
          <w:sz w:val="24"/>
          <w:szCs w:val="24"/>
        </w:rPr>
        <w:t>, når noradrenalin bruges i forbindelse med hjerte</w:t>
      </w:r>
      <w:r w:rsidR="0094279D">
        <w:rPr>
          <w:sz w:val="24"/>
          <w:szCs w:val="24"/>
        </w:rPr>
        <w:softHyphen/>
      </w:r>
      <w:r w:rsidRPr="00182F0C">
        <w:rPr>
          <w:sz w:val="24"/>
          <w:szCs w:val="24"/>
        </w:rPr>
        <w:t xml:space="preserve">sensibiliserende midler, og det kan være mere forventeligt hos patienter med </w:t>
      </w:r>
      <w:proofErr w:type="spellStart"/>
      <w:r w:rsidRPr="00182F0C">
        <w:rPr>
          <w:sz w:val="24"/>
          <w:szCs w:val="24"/>
        </w:rPr>
        <w:t>hypoksi</w:t>
      </w:r>
      <w:proofErr w:type="spellEnd"/>
      <w:r w:rsidRPr="00182F0C">
        <w:rPr>
          <w:sz w:val="24"/>
          <w:szCs w:val="24"/>
        </w:rPr>
        <w:t xml:space="preserve"> eller </w:t>
      </w:r>
      <w:proofErr w:type="spellStart"/>
      <w:r w:rsidRPr="00182F0C">
        <w:rPr>
          <w:sz w:val="24"/>
          <w:szCs w:val="24"/>
        </w:rPr>
        <w:t>hyperkapni</w:t>
      </w:r>
      <w:proofErr w:type="spellEnd"/>
      <w:r w:rsidRPr="00182F0C">
        <w:rPr>
          <w:sz w:val="24"/>
          <w:szCs w:val="24"/>
        </w:rPr>
        <w:t>.</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Der skal udvises særlig forsigtighed hos patienter med </w:t>
      </w:r>
      <w:proofErr w:type="spellStart"/>
      <w:r w:rsidRPr="00182F0C">
        <w:rPr>
          <w:sz w:val="24"/>
          <w:szCs w:val="24"/>
        </w:rPr>
        <w:t>koronar</w:t>
      </w:r>
      <w:proofErr w:type="spellEnd"/>
      <w:r w:rsidRPr="00182F0C">
        <w:rPr>
          <w:sz w:val="24"/>
          <w:szCs w:val="24"/>
        </w:rPr>
        <w:t xml:space="preserve">, </w:t>
      </w:r>
      <w:proofErr w:type="spellStart"/>
      <w:r w:rsidRPr="00182F0C">
        <w:rPr>
          <w:sz w:val="24"/>
          <w:szCs w:val="24"/>
        </w:rPr>
        <w:t>mesenteriel</w:t>
      </w:r>
      <w:proofErr w:type="spellEnd"/>
      <w:r w:rsidRPr="00182F0C">
        <w:rPr>
          <w:sz w:val="24"/>
          <w:szCs w:val="24"/>
        </w:rPr>
        <w:t xml:space="preserve"> eller perifer </w:t>
      </w:r>
      <w:proofErr w:type="spellStart"/>
      <w:r w:rsidRPr="00182F0C">
        <w:rPr>
          <w:sz w:val="24"/>
          <w:szCs w:val="24"/>
        </w:rPr>
        <w:t>vaskulær</w:t>
      </w:r>
      <w:proofErr w:type="spellEnd"/>
      <w:r w:rsidRPr="00182F0C">
        <w:rPr>
          <w:sz w:val="24"/>
          <w:szCs w:val="24"/>
        </w:rPr>
        <w:t xml:space="preserve"> trombose, da noradrenalin kan forøge den associerede iskæmi og udvide infarktområdet, medmindre administration af noradrenalin er nødvendig som livreddende procedure. En lignende forsigtighed skal overholdes hos patienter med hypotension efter myokardieinfarkt og hos patienter med angina, især </w:t>
      </w:r>
      <w:proofErr w:type="spellStart"/>
      <w:r w:rsidRPr="00182F0C">
        <w:rPr>
          <w:sz w:val="24"/>
          <w:szCs w:val="24"/>
        </w:rPr>
        <w:t>Prinzmetal’s</w:t>
      </w:r>
      <w:proofErr w:type="spellEnd"/>
      <w:r w:rsidRPr="00182F0C">
        <w:rPr>
          <w:sz w:val="24"/>
          <w:szCs w:val="24"/>
        </w:rPr>
        <w:t xml:space="preserve"> angina, diabetes, hypertension eller </w:t>
      </w:r>
      <w:proofErr w:type="spellStart"/>
      <w:r w:rsidRPr="00182F0C">
        <w:rPr>
          <w:sz w:val="24"/>
          <w:szCs w:val="24"/>
        </w:rPr>
        <w:t>hyperthyreoidisme</w:t>
      </w:r>
      <w:proofErr w:type="spellEnd"/>
      <w:r w:rsidRPr="00182F0C">
        <w:rPr>
          <w:sz w:val="24"/>
          <w:szCs w:val="24"/>
        </w:rPr>
        <w:t xml:space="preserve"> (se pkt. 4.8).</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Der skal udvises særlig forsigtighed hos patienter med leversvigt, svært nedsat nyrefunktion, iskæmiske hjertesygdomme og forhøjet </w:t>
      </w:r>
      <w:proofErr w:type="spellStart"/>
      <w:r w:rsidRPr="00182F0C">
        <w:rPr>
          <w:sz w:val="24"/>
          <w:szCs w:val="24"/>
        </w:rPr>
        <w:t>intrakranielt</w:t>
      </w:r>
      <w:proofErr w:type="spellEnd"/>
      <w:r w:rsidRPr="00182F0C">
        <w:rPr>
          <w:sz w:val="24"/>
          <w:szCs w:val="24"/>
        </w:rPr>
        <w:t xml:space="preserve"> tryk. Overdosering eller konventionelle doser til overfølsomme personer (</w:t>
      </w:r>
      <w:r w:rsidR="0094279D">
        <w:rPr>
          <w:sz w:val="24"/>
          <w:szCs w:val="24"/>
        </w:rPr>
        <w:t>f.eks.</w:t>
      </w:r>
      <w:r w:rsidRPr="00182F0C">
        <w:rPr>
          <w:sz w:val="24"/>
          <w:szCs w:val="24"/>
        </w:rPr>
        <w:t xml:space="preserve"> </w:t>
      </w:r>
      <w:proofErr w:type="spellStart"/>
      <w:r w:rsidRPr="00182F0C">
        <w:rPr>
          <w:sz w:val="24"/>
          <w:szCs w:val="24"/>
        </w:rPr>
        <w:t>hypertyreoide</w:t>
      </w:r>
      <w:proofErr w:type="spellEnd"/>
      <w:r w:rsidRPr="00182F0C">
        <w:rPr>
          <w:sz w:val="24"/>
          <w:szCs w:val="24"/>
        </w:rPr>
        <w:t xml:space="preserve"> patienter) kan medføre svær hypertension med risiko for voldsom hovedpine, fotofobi, jagende </w:t>
      </w:r>
      <w:proofErr w:type="spellStart"/>
      <w:r w:rsidRPr="00182F0C">
        <w:rPr>
          <w:sz w:val="24"/>
          <w:szCs w:val="24"/>
        </w:rPr>
        <w:t>retrosternale</w:t>
      </w:r>
      <w:proofErr w:type="spellEnd"/>
      <w:r w:rsidRPr="00182F0C">
        <w:rPr>
          <w:sz w:val="24"/>
          <w:szCs w:val="24"/>
        </w:rPr>
        <w:t xml:space="preserve"> smerter, bleghed, kraftig svedproduktion og opkastning. Hypertension kan i sidste ende føre til akut lungeødem, </w:t>
      </w:r>
      <w:proofErr w:type="spellStart"/>
      <w:r w:rsidRPr="00182F0C">
        <w:rPr>
          <w:sz w:val="24"/>
          <w:szCs w:val="24"/>
        </w:rPr>
        <w:t>arytmi</w:t>
      </w:r>
      <w:proofErr w:type="spellEnd"/>
      <w:r w:rsidRPr="00182F0C">
        <w:rPr>
          <w:sz w:val="24"/>
          <w:szCs w:val="24"/>
        </w:rPr>
        <w:t xml:space="preserve"> eller hjertestop.</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Der skal udvises omhu hos diabetikere, da det øger niveauet af blodsukker (på grund af den </w:t>
      </w:r>
      <w:proofErr w:type="spellStart"/>
      <w:r w:rsidRPr="00182F0C">
        <w:rPr>
          <w:sz w:val="24"/>
          <w:szCs w:val="24"/>
        </w:rPr>
        <w:t>glykogenolytiske</w:t>
      </w:r>
      <w:proofErr w:type="spellEnd"/>
      <w:r w:rsidRPr="00182F0C">
        <w:rPr>
          <w:sz w:val="24"/>
          <w:szCs w:val="24"/>
        </w:rPr>
        <w:t xml:space="preserve"> virkning i leveren og hæmning af insulinfrigivelse fra bugspytkirtlen).</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Ældre kan være særligt følsomme over for virkningerne af noradrenalin på grund af den større hyppighed af nedsat lever-, nyre- eller hjertedysfunktion og samtidig sygdom eller anden lægemiddelterapi.</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Brug af noradrenalin til børn frarådes (se pkt. 4.2 og 5.2).</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Noradrenalin må kun anvendes af læger, der er bekendt med de selektive indikationer for brugen. </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Hvor det er angivet, skal passende substitutionsbehandling af blod eller væske sammen med anvendelse af rygleje med elevation af benene indledes og vedligeholdes før og/eller under behandling med dette lægemiddel. Ved infusion af noradrenalin skal blodtryk og blodgennemstrømning kontrolleres hyppigt for at undgå hypertension. Det er derfor ønskeligt at registrere blodtrykket hvert andet minut fra tidspunkt for indgivelsesstart, </w:t>
      </w:r>
      <w:r w:rsidRPr="00182F0C">
        <w:rPr>
          <w:sz w:val="24"/>
          <w:szCs w:val="24"/>
        </w:rPr>
        <w:lastRenderedPageBreak/>
        <w:t xml:space="preserve">indtil det ønskede blodtryk er opnået og derefter hvert femte minut, hvis indgivelsen skal fortsættes. Blodgennemstrømningen skal overvåges konstant, og patienten må aldrig efterlades uden opsyn, mens vedkommende får noradrenalin. Hypertension kan i sidste ende føre til akut lungeødem, </w:t>
      </w:r>
      <w:proofErr w:type="spellStart"/>
      <w:r w:rsidRPr="00182F0C">
        <w:rPr>
          <w:sz w:val="24"/>
          <w:szCs w:val="24"/>
        </w:rPr>
        <w:t>arytmi</w:t>
      </w:r>
      <w:proofErr w:type="spellEnd"/>
      <w:r w:rsidRPr="00182F0C">
        <w:rPr>
          <w:sz w:val="24"/>
          <w:szCs w:val="24"/>
        </w:rPr>
        <w:t xml:space="preserve"> eller hjertestop.</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 xml:space="preserve">Infusionen af noradrenalin skal stoppes gradvist, da pludselig </w:t>
      </w:r>
      <w:proofErr w:type="spellStart"/>
      <w:r w:rsidRPr="00182F0C">
        <w:rPr>
          <w:sz w:val="24"/>
          <w:szCs w:val="24"/>
        </w:rPr>
        <w:t>seponering</w:t>
      </w:r>
      <w:proofErr w:type="spellEnd"/>
      <w:r w:rsidRPr="00182F0C">
        <w:rPr>
          <w:sz w:val="24"/>
          <w:szCs w:val="24"/>
        </w:rPr>
        <w:t xml:space="preserve"> kan give et katastrofalt fald i blodtrykket.</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iCs/>
          <w:sz w:val="24"/>
          <w:szCs w:val="24"/>
          <w:u w:val="single"/>
        </w:rPr>
      </w:pPr>
      <w:proofErr w:type="spellStart"/>
      <w:r w:rsidRPr="00182F0C">
        <w:rPr>
          <w:iCs/>
          <w:sz w:val="24"/>
          <w:szCs w:val="24"/>
          <w:u w:val="single"/>
        </w:rPr>
        <w:t>Ekstravasation</w:t>
      </w:r>
      <w:proofErr w:type="spellEnd"/>
    </w:p>
    <w:p w:rsidR="00182F0C" w:rsidRPr="00182F0C" w:rsidRDefault="00182F0C" w:rsidP="00182F0C">
      <w:pPr>
        <w:tabs>
          <w:tab w:val="left" w:pos="851"/>
        </w:tabs>
        <w:ind w:left="851"/>
        <w:rPr>
          <w:sz w:val="24"/>
          <w:szCs w:val="24"/>
        </w:rPr>
      </w:pPr>
      <w:r w:rsidRPr="00182F0C">
        <w:rPr>
          <w:sz w:val="24"/>
          <w:szCs w:val="24"/>
        </w:rPr>
        <w:t xml:space="preserve">Infusionsstedet bør kontrolleres ofte for fri blodgennemstrømning. Der skal udvises omhu for at undgå </w:t>
      </w:r>
      <w:proofErr w:type="spellStart"/>
      <w:r w:rsidRPr="00182F0C">
        <w:rPr>
          <w:sz w:val="24"/>
          <w:szCs w:val="24"/>
        </w:rPr>
        <w:t>ekstravasation</w:t>
      </w:r>
      <w:proofErr w:type="spellEnd"/>
      <w:r w:rsidRPr="00182F0C">
        <w:rPr>
          <w:sz w:val="24"/>
          <w:szCs w:val="24"/>
        </w:rPr>
        <w:t xml:space="preserve"> af noradrenalin i vævene, da der kan opstå lokal nekrose som følge af lægemidlets </w:t>
      </w:r>
      <w:proofErr w:type="spellStart"/>
      <w:r w:rsidRPr="00182F0C">
        <w:rPr>
          <w:sz w:val="24"/>
          <w:szCs w:val="24"/>
        </w:rPr>
        <w:t>vasokonstriktive</w:t>
      </w:r>
      <w:proofErr w:type="spellEnd"/>
      <w:r w:rsidRPr="00182F0C">
        <w:rPr>
          <w:sz w:val="24"/>
          <w:szCs w:val="24"/>
        </w:rPr>
        <w:t xml:space="preserve"> virkning. Blegning langs den </w:t>
      </w:r>
      <w:proofErr w:type="spellStart"/>
      <w:r w:rsidRPr="00182F0C">
        <w:rPr>
          <w:sz w:val="24"/>
          <w:szCs w:val="24"/>
        </w:rPr>
        <w:t>infunderede</w:t>
      </w:r>
      <w:proofErr w:type="spellEnd"/>
      <w:r w:rsidRPr="00182F0C">
        <w:rPr>
          <w:sz w:val="24"/>
          <w:szCs w:val="24"/>
        </w:rPr>
        <w:t xml:space="preserve"> vene, undertiden uden åbenlys </w:t>
      </w:r>
      <w:proofErr w:type="spellStart"/>
      <w:r w:rsidRPr="00182F0C">
        <w:rPr>
          <w:sz w:val="24"/>
          <w:szCs w:val="24"/>
        </w:rPr>
        <w:t>ekstravasation</w:t>
      </w:r>
      <w:proofErr w:type="spellEnd"/>
      <w:r w:rsidRPr="00182F0C">
        <w:rPr>
          <w:sz w:val="24"/>
          <w:szCs w:val="24"/>
        </w:rPr>
        <w:t xml:space="preserve">, er blevet tilskrevet </w:t>
      </w:r>
      <w:proofErr w:type="spellStart"/>
      <w:r w:rsidRPr="00182F0C">
        <w:rPr>
          <w:i/>
          <w:sz w:val="24"/>
          <w:szCs w:val="24"/>
        </w:rPr>
        <w:t>vasa</w:t>
      </w:r>
      <w:proofErr w:type="spellEnd"/>
      <w:r w:rsidRPr="00182F0C">
        <w:rPr>
          <w:i/>
          <w:sz w:val="24"/>
          <w:szCs w:val="24"/>
        </w:rPr>
        <w:t xml:space="preserve"> </w:t>
      </w:r>
      <w:proofErr w:type="spellStart"/>
      <w:r w:rsidRPr="00182F0C">
        <w:rPr>
          <w:i/>
          <w:sz w:val="24"/>
          <w:szCs w:val="24"/>
        </w:rPr>
        <w:t>vasorum</w:t>
      </w:r>
      <w:proofErr w:type="spellEnd"/>
      <w:r w:rsidRPr="00182F0C">
        <w:rPr>
          <w:i/>
          <w:sz w:val="24"/>
          <w:szCs w:val="24"/>
        </w:rPr>
        <w:t>-</w:t>
      </w:r>
      <w:r w:rsidRPr="00182F0C">
        <w:rPr>
          <w:sz w:val="24"/>
          <w:szCs w:val="24"/>
        </w:rPr>
        <w:t xml:space="preserve">konstriktion med øget permeabilitet af venevæggen, hvilket tillader en vis lækage. Dette kan i sjældne tilfælde udvikle sig til overfladisk hudnekrose, især under infusion i </w:t>
      </w:r>
      <w:proofErr w:type="spellStart"/>
      <w:r w:rsidRPr="00182F0C">
        <w:rPr>
          <w:sz w:val="24"/>
          <w:szCs w:val="24"/>
        </w:rPr>
        <w:t>benvener</w:t>
      </w:r>
      <w:proofErr w:type="spellEnd"/>
      <w:r w:rsidRPr="00182F0C">
        <w:rPr>
          <w:sz w:val="24"/>
          <w:szCs w:val="24"/>
        </w:rPr>
        <w:t xml:space="preserve"> hos ældre patienter eller hos dem, der lider af </w:t>
      </w:r>
      <w:proofErr w:type="spellStart"/>
      <w:r w:rsidRPr="00182F0C">
        <w:rPr>
          <w:sz w:val="24"/>
          <w:szCs w:val="24"/>
        </w:rPr>
        <w:t>obliterende</w:t>
      </w:r>
      <w:proofErr w:type="spellEnd"/>
      <w:r w:rsidRPr="00182F0C">
        <w:rPr>
          <w:sz w:val="24"/>
          <w:szCs w:val="24"/>
        </w:rPr>
        <w:t xml:space="preserve"> karlidelse. Hvis der forekommer blegning, bør det overvejes at ændre infusionsstedet med intervaller for at lade virkningerne af lokal </w:t>
      </w:r>
      <w:proofErr w:type="spellStart"/>
      <w:r w:rsidRPr="00182F0C">
        <w:rPr>
          <w:sz w:val="24"/>
          <w:szCs w:val="24"/>
        </w:rPr>
        <w:t>vasokonstriktion</w:t>
      </w:r>
      <w:proofErr w:type="spellEnd"/>
      <w:r w:rsidRPr="00182F0C">
        <w:rPr>
          <w:sz w:val="24"/>
          <w:szCs w:val="24"/>
        </w:rPr>
        <w:t xml:space="preserve"> aftage.</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iCs/>
          <w:sz w:val="24"/>
          <w:szCs w:val="24"/>
          <w:u w:val="single"/>
        </w:rPr>
      </w:pPr>
      <w:r w:rsidRPr="00182F0C">
        <w:rPr>
          <w:iCs/>
          <w:sz w:val="24"/>
          <w:szCs w:val="24"/>
          <w:u w:val="single"/>
        </w:rPr>
        <w:t xml:space="preserve">VIGTIGT – Modgift ved iskæmisk </w:t>
      </w:r>
      <w:proofErr w:type="spellStart"/>
      <w:r w:rsidRPr="00182F0C">
        <w:rPr>
          <w:iCs/>
          <w:sz w:val="24"/>
          <w:szCs w:val="24"/>
          <w:u w:val="single"/>
        </w:rPr>
        <w:t>ekstravasation</w:t>
      </w:r>
      <w:proofErr w:type="spellEnd"/>
    </w:p>
    <w:p w:rsidR="00182F0C" w:rsidRPr="00182F0C" w:rsidRDefault="00182F0C" w:rsidP="00182F0C">
      <w:pPr>
        <w:tabs>
          <w:tab w:val="left" w:pos="851"/>
        </w:tabs>
        <w:ind w:left="851"/>
        <w:rPr>
          <w:sz w:val="24"/>
          <w:szCs w:val="24"/>
        </w:rPr>
      </w:pPr>
      <w:r w:rsidRPr="00182F0C">
        <w:rPr>
          <w:sz w:val="24"/>
          <w:szCs w:val="24"/>
        </w:rPr>
        <w:t xml:space="preserve">For at forhindre afstødning og nekrose i områder, hvor </w:t>
      </w:r>
      <w:proofErr w:type="spellStart"/>
      <w:r w:rsidRPr="00182F0C">
        <w:rPr>
          <w:sz w:val="24"/>
          <w:szCs w:val="24"/>
        </w:rPr>
        <w:t>ekstravasation</w:t>
      </w:r>
      <w:proofErr w:type="spellEnd"/>
      <w:r w:rsidRPr="00182F0C">
        <w:rPr>
          <w:sz w:val="24"/>
          <w:szCs w:val="24"/>
        </w:rPr>
        <w:t xml:space="preserve"> har fundet sted, skal området infiltreres hurtigst muligt med 10 ml til 15 ml saltvandsopløsning indeholdende fra 5 til 10 mg </w:t>
      </w:r>
      <w:proofErr w:type="spellStart"/>
      <w:r w:rsidRPr="00182F0C">
        <w:rPr>
          <w:sz w:val="24"/>
          <w:szCs w:val="24"/>
        </w:rPr>
        <w:t>phentolamin</w:t>
      </w:r>
      <w:proofErr w:type="spellEnd"/>
      <w:r w:rsidRPr="00182F0C">
        <w:rPr>
          <w:sz w:val="24"/>
          <w:szCs w:val="24"/>
        </w:rPr>
        <w:t xml:space="preserve">, et </w:t>
      </w:r>
      <w:proofErr w:type="spellStart"/>
      <w:r w:rsidRPr="00182F0C">
        <w:rPr>
          <w:sz w:val="24"/>
          <w:szCs w:val="24"/>
        </w:rPr>
        <w:t>adrenergt</w:t>
      </w:r>
      <w:proofErr w:type="spellEnd"/>
      <w:r w:rsidRPr="00182F0C">
        <w:rPr>
          <w:sz w:val="24"/>
          <w:szCs w:val="24"/>
        </w:rPr>
        <w:t xml:space="preserve"> blokerende middel. Der skal anvendes en sprøjte med en fin </w:t>
      </w:r>
      <w:proofErr w:type="spellStart"/>
      <w:r w:rsidRPr="00182F0C">
        <w:rPr>
          <w:sz w:val="24"/>
          <w:szCs w:val="24"/>
        </w:rPr>
        <w:t>hypodermisk</w:t>
      </w:r>
      <w:proofErr w:type="spellEnd"/>
      <w:r w:rsidRPr="00182F0C">
        <w:rPr>
          <w:sz w:val="24"/>
          <w:szCs w:val="24"/>
        </w:rPr>
        <w:t xml:space="preserve"> kanyle og opløsningen infiltreres liberalt i hele området, hvilket let kan identificeres ved dets kolde, hårde og blege udseende. </w:t>
      </w:r>
      <w:proofErr w:type="spellStart"/>
      <w:r w:rsidRPr="00182F0C">
        <w:rPr>
          <w:sz w:val="24"/>
          <w:szCs w:val="24"/>
        </w:rPr>
        <w:t>Sympatikusblokade</w:t>
      </w:r>
      <w:proofErr w:type="spellEnd"/>
      <w:r w:rsidRPr="00182F0C">
        <w:rPr>
          <w:sz w:val="24"/>
          <w:szCs w:val="24"/>
        </w:rPr>
        <w:t xml:space="preserve"> med </w:t>
      </w:r>
      <w:proofErr w:type="spellStart"/>
      <w:r w:rsidRPr="00182F0C">
        <w:rPr>
          <w:sz w:val="24"/>
          <w:szCs w:val="24"/>
        </w:rPr>
        <w:t>phentolamin</w:t>
      </w:r>
      <w:proofErr w:type="spellEnd"/>
      <w:r w:rsidRPr="00182F0C">
        <w:rPr>
          <w:sz w:val="24"/>
          <w:szCs w:val="24"/>
        </w:rPr>
        <w:t xml:space="preserve"> forårsager øjeblikkelige og iøjnefaldende lokale </w:t>
      </w:r>
      <w:proofErr w:type="spellStart"/>
      <w:r w:rsidRPr="00182F0C">
        <w:rPr>
          <w:sz w:val="24"/>
          <w:szCs w:val="24"/>
        </w:rPr>
        <w:t>hyperæmiske</w:t>
      </w:r>
      <w:proofErr w:type="spellEnd"/>
      <w:r w:rsidRPr="00182F0C">
        <w:rPr>
          <w:sz w:val="24"/>
          <w:szCs w:val="24"/>
        </w:rPr>
        <w:t xml:space="preserve"> ændringer, hvis området infiltreres inden for 12 timer. </w:t>
      </w:r>
      <w:proofErr w:type="spellStart"/>
      <w:r w:rsidRPr="00182F0C">
        <w:rPr>
          <w:sz w:val="24"/>
          <w:szCs w:val="24"/>
        </w:rPr>
        <w:t>Phentolamin</w:t>
      </w:r>
      <w:proofErr w:type="spellEnd"/>
      <w:r w:rsidRPr="00182F0C">
        <w:rPr>
          <w:sz w:val="24"/>
          <w:szCs w:val="24"/>
        </w:rPr>
        <w:t xml:space="preserve"> skal gives så hurtigt som muligt efter at </w:t>
      </w:r>
      <w:proofErr w:type="spellStart"/>
      <w:r w:rsidRPr="00182F0C">
        <w:rPr>
          <w:sz w:val="24"/>
          <w:szCs w:val="24"/>
        </w:rPr>
        <w:t>ekstravasationen</w:t>
      </w:r>
      <w:proofErr w:type="spellEnd"/>
      <w:r w:rsidRPr="00182F0C">
        <w:rPr>
          <w:sz w:val="24"/>
          <w:szCs w:val="24"/>
        </w:rPr>
        <w:t xml:space="preserve"> opdages, og infusionen skal stoppes.</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iCs/>
          <w:sz w:val="24"/>
          <w:szCs w:val="24"/>
          <w:u w:val="single"/>
        </w:rPr>
      </w:pPr>
      <w:r w:rsidRPr="00182F0C">
        <w:rPr>
          <w:iCs/>
          <w:sz w:val="24"/>
          <w:szCs w:val="24"/>
          <w:u w:val="single"/>
        </w:rPr>
        <w:t>Hjælpestoffer</w:t>
      </w:r>
    </w:p>
    <w:p w:rsidR="00182F0C" w:rsidRPr="00182F0C" w:rsidRDefault="00182F0C" w:rsidP="00182F0C">
      <w:pPr>
        <w:tabs>
          <w:tab w:val="left" w:pos="851"/>
        </w:tabs>
        <w:ind w:left="851"/>
        <w:rPr>
          <w:sz w:val="24"/>
          <w:szCs w:val="24"/>
        </w:rPr>
      </w:pPr>
      <w:r w:rsidRPr="00182F0C">
        <w:rPr>
          <w:sz w:val="24"/>
          <w:szCs w:val="24"/>
        </w:rPr>
        <w:t>Ampuller, der indeholder 1 ml, 2 ml, 4 ml eller 5 ml koncentrat til infusionsvæske, opløsning, indeholder mindre end 1 mmol natrium (23 mg) pr. ampul, dvs. det er i det væsentlige 'natriumfrit'.</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Hver ampul med 8 ml koncentrat til infusionsvæske, opløsning, indeholder 26,4 mg (1,12 mmol) natrium, svarende til 1,32</w:t>
      </w:r>
      <w:r w:rsidR="004427BA">
        <w:rPr>
          <w:sz w:val="24"/>
          <w:szCs w:val="24"/>
        </w:rPr>
        <w:t xml:space="preserve"> %</w:t>
      </w:r>
      <w:r w:rsidRPr="00182F0C">
        <w:rPr>
          <w:sz w:val="24"/>
          <w:szCs w:val="24"/>
        </w:rPr>
        <w:t xml:space="preserve"> af den WHO anbefalede, maximale daglige indtagelse af 2 g natrium for en voksen.</w:t>
      </w:r>
    </w:p>
    <w:p w:rsidR="00182F0C" w:rsidRPr="00182F0C" w:rsidRDefault="00182F0C" w:rsidP="00182F0C">
      <w:pPr>
        <w:tabs>
          <w:tab w:val="left" w:pos="851"/>
        </w:tabs>
        <w:ind w:left="851"/>
        <w:rPr>
          <w:sz w:val="24"/>
          <w:szCs w:val="24"/>
        </w:rPr>
      </w:pPr>
    </w:p>
    <w:p w:rsidR="00182F0C" w:rsidRPr="00182F0C" w:rsidRDefault="00182F0C" w:rsidP="00182F0C">
      <w:pPr>
        <w:tabs>
          <w:tab w:val="left" w:pos="851"/>
        </w:tabs>
        <w:ind w:left="851"/>
        <w:rPr>
          <w:sz w:val="24"/>
          <w:szCs w:val="24"/>
        </w:rPr>
      </w:pPr>
      <w:r w:rsidRPr="00182F0C">
        <w:rPr>
          <w:sz w:val="24"/>
          <w:szCs w:val="24"/>
        </w:rPr>
        <w:t>Hver ampul med 10 ml koncentrat til infusionsvæske, opløsning, indeholder 33 mg (1,40 mmol) natrium, svarende til 1,65</w:t>
      </w:r>
      <w:r w:rsidR="004427BA">
        <w:rPr>
          <w:sz w:val="24"/>
          <w:szCs w:val="24"/>
        </w:rPr>
        <w:t xml:space="preserve"> %</w:t>
      </w:r>
      <w:r w:rsidRPr="00182F0C">
        <w:rPr>
          <w:sz w:val="24"/>
          <w:szCs w:val="24"/>
        </w:rPr>
        <w:t xml:space="preserve"> af den WHO anbefalede, maximale daglige indtagelse af 2 g natrium for en voksen.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u w:val="single"/>
        </w:rPr>
      </w:pPr>
      <w:r w:rsidRPr="003C3067">
        <w:rPr>
          <w:sz w:val="24"/>
          <w:szCs w:val="24"/>
          <w:u w:val="single"/>
        </w:rPr>
        <w:t>Kombinationer, der frarådes</w:t>
      </w:r>
    </w:p>
    <w:p w:rsidR="003C3067" w:rsidRPr="003C3067" w:rsidRDefault="003C3067" w:rsidP="00A0072E">
      <w:pPr>
        <w:numPr>
          <w:ilvl w:val="0"/>
          <w:numId w:val="8"/>
        </w:numPr>
        <w:tabs>
          <w:tab w:val="left" w:pos="851"/>
        </w:tabs>
        <w:ind w:left="1134" w:hanging="283"/>
        <w:rPr>
          <w:sz w:val="24"/>
          <w:szCs w:val="24"/>
        </w:rPr>
      </w:pPr>
      <w:proofErr w:type="spellStart"/>
      <w:r w:rsidRPr="003C3067">
        <w:rPr>
          <w:sz w:val="24"/>
          <w:szCs w:val="24"/>
        </w:rPr>
        <w:t>Volatile</w:t>
      </w:r>
      <w:proofErr w:type="spellEnd"/>
      <w:r w:rsidRPr="003C3067">
        <w:rPr>
          <w:sz w:val="24"/>
          <w:szCs w:val="24"/>
        </w:rPr>
        <w:t xml:space="preserve"> </w:t>
      </w:r>
      <w:proofErr w:type="spellStart"/>
      <w:r w:rsidRPr="003C3067">
        <w:rPr>
          <w:sz w:val="24"/>
          <w:szCs w:val="24"/>
        </w:rPr>
        <w:t>halogenerede</w:t>
      </w:r>
      <w:proofErr w:type="spellEnd"/>
      <w:r w:rsidRPr="003C3067">
        <w:rPr>
          <w:sz w:val="24"/>
          <w:szCs w:val="24"/>
        </w:rPr>
        <w:t xml:space="preserve"> </w:t>
      </w:r>
      <w:proofErr w:type="spellStart"/>
      <w:r w:rsidRPr="003C3067">
        <w:rPr>
          <w:sz w:val="24"/>
          <w:szCs w:val="24"/>
        </w:rPr>
        <w:t>anæstetika</w:t>
      </w:r>
      <w:proofErr w:type="spellEnd"/>
      <w:r w:rsidRPr="003C3067">
        <w:rPr>
          <w:sz w:val="24"/>
          <w:szCs w:val="24"/>
        </w:rPr>
        <w:t xml:space="preserve">: alvorlig </w:t>
      </w:r>
      <w:proofErr w:type="spellStart"/>
      <w:r w:rsidRPr="003C3067">
        <w:rPr>
          <w:sz w:val="24"/>
          <w:szCs w:val="24"/>
        </w:rPr>
        <w:t>ventrikulær</w:t>
      </w:r>
      <w:proofErr w:type="spellEnd"/>
      <w:r w:rsidRPr="003C3067">
        <w:rPr>
          <w:sz w:val="24"/>
          <w:szCs w:val="24"/>
        </w:rPr>
        <w:t xml:space="preserve"> </w:t>
      </w:r>
      <w:proofErr w:type="spellStart"/>
      <w:r w:rsidRPr="003C3067">
        <w:rPr>
          <w:sz w:val="24"/>
          <w:szCs w:val="24"/>
        </w:rPr>
        <w:t>arytmi</w:t>
      </w:r>
      <w:proofErr w:type="spellEnd"/>
      <w:r w:rsidRPr="003C3067">
        <w:rPr>
          <w:sz w:val="24"/>
          <w:szCs w:val="24"/>
        </w:rPr>
        <w:t xml:space="preserve"> (forøgelse af hjertets </w:t>
      </w:r>
      <w:proofErr w:type="spellStart"/>
      <w:r w:rsidRPr="003C3067">
        <w:rPr>
          <w:sz w:val="24"/>
          <w:szCs w:val="24"/>
        </w:rPr>
        <w:t>excitabilitet</w:t>
      </w:r>
      <w:proofErr w:type="spellEnd"/>
      <w:r w:rsidRPr="003C3067">
        <w:rPr>
          <w:sz w:val="24"/>
          <w:szCs w:val="24"/>
        </w:rPr>
        <w:t>).</w:t>
      </w:r>
    </w:p>
    <w:p w:rsidR="003C3067" w:rsidRPr="003C3067" w:rsidRDefault="003C3067" w:rsidP="00A0072E">
      <w:pPr>
        <w:numPr>
          <w:ilvl w:val="0"/>
          <w:numId w:val="8"/>
        </w:numPr>
        <w:tabs>
          <w:tab w:val="left" w:pos="851"/>
        </w:tabs>
        <w:ind w:left="1134" w:hanging="283"/>
        <w:rPr>
          <w:sz w:val="24"/>
          <w:szCs w:val="24"/>
        </w:rPr>
      </w:pPr>
      <w:proofErr w:type="spellStart"/>
      <w:r w:rsidRPr="003C3067">
        <w:rPr>
          <w:sz w:val="24"/>
          <w:szCs w:val="24"/>
        </w:rPr>
        <w:t>Imipramin-antidepressiva</w:t>
      </w:r>
      <w:proofErr w:type="spellEnd"/>
      <w:r w:rsidRPr="003C3067">
        <w:rPr>
          <w:sz w:val="24"/>
          <w:szCs w:val="24"/>
        </w:rPr>
        <w:t xml:space="preserve">: </w:t>
      </w:r>
      <w:proofErr w:type="spellStart"/>
      <w:r w:rsidRPr="003C3067">
        <w:rPr>
          <w:sz w:val="24"/>
          <w:szCs w:val="24"/>
        </w:rPr>
        <w:t>paroksysmal</w:t>
      </w:r>
      <w:proofErr w:type="spellEnd"/>
      <w:r w:rsidRPr="003C3067">
        <w:rPr>
          <w:sz w:val="24"/>
          <w:szCs w:val="24"/>
        </w:rPr>
        <w:t xml:space="preserve"> hypertension med mulighed for </w:t>
      </w:r>
      <w:proofErr w:type="spellStart"/>
      <w:r w:rsidRPr="003C3067">
        <w:rPr>
          <w:sz w:val="24"/>
          <w:szCs w:val="24"/>
        </w:rPr>
        <w:t>arytmi</w:t>
      </w:r>
      <w:proofErr w:type="spellEnd"/>
      <w:r w:rsidRPr="003C3067">
        <w:rPr>
          <w:sz w:val="24"/>
          <w:szCs w:val="24"/>
        </w:rPr>
        <w:t xml:space="preserve"> (hæmning af </w:t>
      </w:r>
      <w:proofErr w:type="spellStart"/>
      <w:r w:rsidRPr="003C3067">
        <w:rPr>
          <w:sz w:val="24"/>
          <w:szCs w:val="24"/>
        </w:rPr>
        <w:t>sympatomimetikas</w:t>
      </w:r>
      <w:proofErr w:type="spellEnd"/>
      <w:r w:rsidRPr="003C3067">
        <w:rPr>
          <w:sz w:val="24"/>
          <w:szCs w:val="24"/>
        </w:rPr>
        <w:t xml:space="preserve"> indtrængen i sympatiske fibre).</w:t>
      </w:r>
    </w:p>
    <w:p w:rsidR="003C3067" w:rsidRPr="003C3067" w:rsidRDefault="003C3067" w:rsidP="00A0072E">
      <w:pPr>
        <w:numPr>
          <w:ilvl w:val="0"/>
          <w:numId w:val="8"/>
        </w:numPr>
        <w:tabs>
          <w:tab w:val="left" w:pos="851"/>
        </w:tabs>
        <w:ind w:left="1134" w:hanging="283"/>
        <w:rPr>
          <w:sz w:val="24"/>
          <w:szCs w:val="24"/>
        </w:rPr>
      </w:pPr>
      <w:proofErr w:type="spellStart"/>
      <w:r w:rsidRPr="003C3067">
        <w:rPr>
          <w:sz w:val="24"/>
          <w:szCs w:val="24"/>
        </w:rPr>
        <w:t>Serotoninerge-adrenerge</w:t>
      </w:r>
      <w:proofErr w:type="spellEnd"/>
      <w:r w:rsidRPr="003C3067">
        <w:rPr>
          <w:sz w:val="24"/>
          <w:szCs w:val="24"/>
        </w:rPr>
        <w:t xml:space="preserve"> </w:t>
      </w:r>
      <w:proofErr w:type="spellStart"/>
      <w:r w:rsidRPr="003C3067">
        <w:rPr>
          <w:sz w:val="24"/>
          <w:szCs w:val="24"/>
        </w:rPr>
        <w:t>antidepressiva</w:t>
      </w:r>
      <w:proofErr w:type="spellEnd"/>
      <w:r w:rsidRPr="003C3067">
        <w:rPr>
          <w:sz w:val="24"/>
          <w:szCs w:val="24"/>
        </w:rPr>
        <w:t xml:space="preserve">: </w:t>
      </w:r>
      <w:proofErr w:type="spellStart"/>
      <w:r w:rsidRPr="003C3067">
        <w:rPr>
          <w:sz w:val="24"/>
          <w:szCs w:val="24"/>
        </w:rPr>
        <w:t>paroksysmal</w:t>
      </w:r>
      <w:proofErr w:type="spellEnd"/>
      <w:r w:rsidRPr="003C3067">
        <w:rPr>
          <w:sz w:val="24"/>
          <w:szCs w:val="24"/>
        </w:rPr>
        <w:t xml:space="preserve"> hypertension med mulighed for </w:t>
      </w:r>
      <w:proofErr w:type="spellStart"/>
      <w:r w:rsidRPr="003C3067">
        <w:rPr>
          <w:sz w:val="24"/>
          <w:szCs w:val="24"/>
        </w:rPr>
        <w:t>arytmi</w:t>
      </w:r>
      <w:proofErr w:type="spellEnd"/>
      <w:r w:rsidRPr="003C3067">
        <w:rPr>
          <w:sz w:val="24"/>
          <w:szCs w:val="24"/>
        </w:rPr>
        <w:t xml:space="preserve"> (hæmning af </w:t>
      </w:r>
      <w:proofErr w:type="spellStart"/>
      <w:r w:rsidRPr="003C3067">
        <w:rPr>
          <w:sz w:val="24"/>
          <w:szCs w:val="24"/>
        </w:rPr>
        <w:t>sympatomimetikas</w:t>
      </w:r>
      <w:proofErr w:type="spellEnd"/>
      <w:r w:rsidRPr="003C3067">
        <w:rPr>
          <w:sz w:val="24"/>
          <w:szCs w:val="24"/>
        </w:rPr>
        <w:t xml:space="preserve"> indtrængen i sympatiske fibre).</w:t>
      </w:r>
    </w:p>
    <w:p w:rsidR="003C3067" w:rsidRPr="003C3067" w:rsidRDefault="003C3067" w:rsidP="00A0072E">
      <w:pPr>
        <w:numPr>
          <w:ilvl w:val="0"/>
          <w:numId w:val="8"/>
        </w:numPr>
        <w:tabs>
          <w:tab w:val="left" w:pos="851"/>
        </w:tabs>
        <w:ind w:left="1134" w:hanging="283"/>
        <w:rPr>
          <w:sz w:val="24"/>
          <w:szCs w:val="24"/>
        </w:rPr>
      </w:pPr>
      <w:r w:rsidRPr="003C3067">
        <w:rPr>
          <w:sz w:val="24"/>
          <w:szCs w:val="24"/>
        </w:rPr>
        <w:lastRenderedPageBreak/>
        <w:t>Digitalisglykosider.</w:t>
      </w:r>
    </w:p>
    <w:p w:rsidR="003C3067" w:rsidRPr="003C3067" w:rsidRDefault="003C3067" w:rsidP="00A0072E">
      <w:pPr>
        <w:numPr>
          <w:ilvl w:val="0"/>
          <w:numId w:val="8"/>
        </w:numPr>
        <w:tabs>
          <w:tab w:val="left" w:pos="851"/>
        </w:tabs>
        <w:ind w:left="1134" w:hanging="283"/>
        <w:rPr>
          <w:sz w:val="24"/>
          <w:szCs w:val="24"/>
        </w:rPr>
      </w:pPr>
      <w:proofErr w:type="spellStart"/>
      <w:r w:rsidRPr="003C3067">
        <w:rPr>
          <w:sz w:val="24"/>
          <w:szCs w:val="24"/>
        </w:rPr>
        <w:t>Levodopa</w:t>
      </w:r>
      <w:proofErr w:type="spellEnd"/>
      <w:r w:rsidRPr="003C3067">
        <w:rPr>
          <w:sz w:val="24"/>
          <w:szCs w:val="24"/>
        </w:rPr>
        <w:t>.</w:t>
      </w:r>
    </w:p>
    <w:p w:rsidR="003C3067" w:rsidRPr="003C3067" w:rsidRDefault="003C3067" w:rsidP="00A0072E">
      <w:pPr>
        <w:numPr>
          <w:ilvl w:val="0"/>
          <w:numId w:val="8"/>
        </w:numPr>
        <w:tabs>
          <w:tab w:val="left" w:pos="851"/>
        </w:tabs>
        <w:ind w:left="1134" w:hanging="283"/>
        <w:rPr>
          <w:sz w:val="24"/>
          <w:szCs w:val="24"/>
        </w:rPr>
      </w:pPr>
      <w:proofErr w:type="spellStart"/>
      <w:r w:rsidRPr="003C3067">
        <w:rPr>
          <w:sz w:val="24"/>
          <w:szCs w:val="24"/>
        </w:rPr>
        <w:t>Chlorpheniraminhydrochlorid</w:t>
      </w:r>
      <w:proofErr w:type="spellEnd"/>
      <w:r w:rsidRPr="003C3067">
        <w:rPr>
          <w:sz w:val="24"/>
          <w:szCs w:val="24"/>
        </w:rPr>
        <w:t xml:space="preserve">, </w:t>
      </w:r>
      <w:proofErr w:type="spellStart"/>
      <w:r w:rsidRPr="003C3067">
        <w:rPr>
          <w:sz w:val="24"/>
          <w:szCs w:val="24"/>
        </w:rPr>
        <w:t>tripelennaminhydrochlorid</w:t>
      </w:r>
      <w:proofErr w:type="spellEnd"/>
      <w:r w:rsidRPr="003C3067">
        <w:rPr>
          <w:sz w:val="24"/>
          <w:szCs w:val="24"/>
        </w:rPr>
        <w:t xml:space="preserve"> og </w:t>
      </w:r>
      <w:proofErr w:type="spellStart"/>
      <w:r w:rsidRPr="003C3067">
        <w:rPr>
          <w:sz w:val="24"/>
          <w:szCs w:val="24"/>
        </w:rPr>
        <w:t>desipramin</w:t>
      </w:r>
      <w:proofErr w:type="spellEnd"/>
      <w:r w:rsidRPr="003C3067">
        <w:rPr>
          <w:sz w:val="24"/>
          <w:szCs w:val="24"/>
        </w:rPr>
        <w:t>: øger toksiciteten af noradrenalin markant.</w:t>
      </w:r>
    </w:p>
    <w:p w:rsidR="003C3067" w:rsidRPr="003C3067" w:rsidRDefault="003C3067" w:rsidP="00A0072E">
      <w:pPr>
        <w:numPr>
          <w:ilvl w:val="0"/>
          <w:numId w:val="8"/>
        </w:numPr>
        <w:tabs>
          <w:tab w:val="left" w:pos="851"/>
        </w:tabs>
        <w:ind w:left="1134" w:hanging="283"/>
        <w:rPr>
          <w:sz w:val="24"/>
          <w:szCs w:val="24"/>
        </w:rPr>
      </w:pPr>
      <w:r w:rsidRPr="003C3067">
        <w:rPr>
          <w:sz w:val="24"/>
          <w:szCs w:val="24"/>
        </w:rPr>
        <w:t xml:space="preserve">Antihistaminer, da nogle kan blokere indtagelsen af </w:t>
      </w:r>
      <w:proofErr w:type="spellStart"/>
      <w:r w:rsidRPr="003C3067">
        <w:rPr>
          <w:sz w:val="24"/>
          <w:szCs w:val="24"/>
        </w:rPr>
        <w:t>katecholaminer</w:t>
      </w:r>
      <w:proofErr w:type="spellEnd"/>
      <w:r w:rsidRPr="003C3067">
        <w:rPr>
          <w:sz w:val="24"/>
          <w:szCs w:val="24"/>
        </w:rPr>
        <w:t xml:space="preserve"> af perifert væv og øge toksiciteten af injiceret noradrenalin.</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rPr>
      </w:pPr>
      <w:r w:rsidRPr="003C3067">
        <w:rPr>
          <w:sz w:val="24"/>
          <w:szCs w:val="24"/>
        </w:rPr>
        <w:t xml:space="preserve">Brug af </w:t>
      </w:r>
      <w:proofErr w:type="spellStart"/>
      <w:r w:rsidRPr="003C3067">
        <w:rPr>
          <w:sz w:val="24"/>
          <w:szCs w:val="24"/>
        </w:rPr>
        <w:t>pressoraminer</w:t>
      </w:r>
      <w:proofErr w:type="spellEnd"/>
      <w:r w:rsidRPr="003C3067">
        <w:rPr>
          <w:sz w:val="24"/>
          <w:szCs w:val="24"/>
        </w:rPr>
        <w:t xml:space="preserve"> sammen med </w:t>
      </w:r>
      <w:proofErr w:type="spellStart"/>
      <w:r w:rsidRPr="003C3067">
        <w:rPr>
          <w:sz w:val="24"/>
          <w:szCs w:val="24"/>
        </w:rPr>
        <w:t>cyclopropan</w:t>
      </w:r>
      <w:proofErr w:type="spellEnd"/>
      <w:r w:rsidRPr="003C3067">
        <w:rPr>
          <w:sz w:val="24"/>
          <w:szCs w:val="24"/>
        </w:rPr>
        <w:t xml:space="preserve">, </w:t>
      </w:r>
      <w:proofErr w:type="spellStart"/>
      <w:r w:rsidRPr="003C3067">
        <w:rPr>
          <w:sz w:val="24"/>
          <w:szCs w:val="24"/>
        </w:rPr>
        <w:t>halothan</w:t>
      </w:r>
      <w:proofErr w:type="spellEnd"/>
      <w:r w:rsidRPr="003C3067">
        <w:rPr>
          <w:sz w:val="24"/>
          <w:szCs w:val="24"/>
        </w:rPr>
        <w:t xml:space="preserve">, </w:t>
      </w:r>
      <w:proofErr w:type="spellStart"/>
      <w:r w:rsidRPr="003C3067">
        <w:rPr>
          <w:sz w:val="24"/>
          <w:szCs w:val="24"/>
        </w:rPr>
        <w:t>chloroform</w:t>
      </w:r>
      <w:proofErr w:type="spellEnd"/>
      <w:r w:rsidRPr="003C3067">
        <w:rPr>
          <w:sz w:val="24"/>
          <w:szCs w:val="24"/>
        </w:rPr>
        <w:t xml:space="preserve">, </w:t>
      </w:r>
      <w:proofErr w:type="spellStart"/>
      <w:r w:rsidRPr="003C3067">
        <w:rPr>
          <w:sz w:val="24"/>
          <w:szCs w:val="24"/>
        </w:rPr>
        <w:t>enfluran</w:t>
      </w:r>
      <w:proofErr w:type="spellEnd"/>
      <w:r w:rsidRPr="003C3067">
        <w:rPr>
          <w:sz w:val="24"/>
          <w:szCs w:val="24"/>
        </w:rPr>
        <w:t xml:space="preserve"> eller andre </w:t>
      </w:r>
      <w:proofErr w:type="spellStart"/>
      <w:r w:rsidRPr="003C3067">
        <w:rPr>
          <w:sz w:val="24"/>
          <w:szCs w:val="24"/>
        </w:rPr>
        <w:t>halogenerede</w:t>
      </w:r>
      <w:proofErr w:type="spellEnd"/>
      <w:r w:rsidRPr="003C3067">
        <w:rPr>
          <w:sz w:val="24"/>
          <w:szCs w:val="24"/>
        </w:rPr>
        <w:t xml:space="preserve"> </w:t>
      </w:r>
      <w:proofErr w:type="spellStart"/>
      <w:r w:rsidRPr="003C3067">
        <w:rPr>
          <w:sz w:val="24"/>
          <w:szCs w:val="24"/>
        </w:rPr>
        <w:t>anæstetika</w:t>
      </w:r>
      <w:proofErr w:type="spellEnd"/>
      <w:r w:rsidRPr="003C3067">
        <w:rPr>
          <w:sz w:val="24"/>
          <w:szCs w:val="24"/>
        </w:rPr>
        <w:t xml:space="preserve"> kan forårsage alvorlige </w:t>
      </w:r>
      <w:proofErr w:type="spellStart"/>
      <w:r w:rsidRPr="003C3067">
        <w:rPr>
          <w:sz w:val="24"/>
          <w:szCs w:val="24"/>
        </w:rPr>
        <w:t>hjertearytmier</w:t>
      </w:r>
      <w:proofErr w:type="spellEnd"/>
      <w:r w:rsidRPr="003C3067">
        <w:rPr>
          <w:sz w:val="24"/>
          <w:szCs w:val="24"/>
        </w:rPr>
        <w:t xml:space="preserve">. På grund af en eventuel øget risiko for ventrikelflimmer skal noradrenalin anvendes med forsigtighed til patienter, der får disse eller andre hjertesensibiliserende stoffer eller udviser markant </w:t>
      </w:r>
      <w:proofErr w:type="spellStart"/>
      <w:r w:rsidRPr="003C3067">
        <w:rPr>
          <w:sz w:val="24"/>
          <w:szCs w:val="24"/>
        </w:rPr>
        <w:t>hypoksi</w:t>
      </w:r>
      <w:proofErr w:type="spellEnd"/>
      <w:r w:rsidRPr="003C3067">
        <w:rPr>
          <w:sz w:val="24"/>
          <w:szCs w:val="24"/>
        </w:rPr>
        <w:t xml:space="preserve"> eller </w:t>
      </w:r>
      <w:proofErr w:type="spellStart"/>
      <w:r w:rsidRPr="003C3067">
        <w:rPr>
          <w:sz w:val="24"/>
          <w:szCs w:val="24"/>
        </w:rPr>
        <w:t>hyperkapni</w:t>
      </w:r>
      <w:proofErr w:type="spellEnd"/>
      <w:r w:rsidRPr="003C3067">
        <w:rPr>
          <w:sz w:val="24"/>
          <w:szCs w:val="24"/>
        </w:rPr>
        <w:t>.</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u w:val="single"/>
        </w:rPr>
      </w:pPr>
      <w:r w:rsidRPr="003C3067">
        <w:rPr>
          <w:sz w:val="24"/>
          <w:szCs w:val="24"/>
          <w:u w:val="single"/>
        </w:rPr>
        <w:t>Kombinationer, som kræver forsigtighedsregler ved brug</w:t>
      </w:r>
    </w:p>
    <w:p w:rsidR="003C3067" w:rsidRPr="003C3067" w:rsidRDefault="003C3067" w:rsidP="00A0072E">
      <w:pPr>
        <w:numPr>
          <w:ilvl w:val="0"/>
          <w:numId w:val="9"/>
        </w:numPr>
        <w:tabs>
          <w:tab w:val="left" w:pos="851"/>
        </w:tabs>
        <w:ind w:left="1134" w:hanging="283"/>
        <w:rPr>
          <w:sz w:val="24"/>
          <w:szCs w:val="24"/>
        </w:rPr>
      </w:pPr>
      <w:r w:rsidRPr="003C3067">
        <w:rPr>
          <w:sz w:val="24"/>
          <w:szCs w:val="24"/>
        </w:rPr>
        <w:t>Non-selektive MAO-</w:t>
      </w:r>
      <w:proofErr w:type="spellStart"/>
      <w:r w:rsidRPr="003C3067">
        <w:rPr>
          <w:sz w:val="24"/>
          <w:szCs w:val="24"/>
        </w:rPr>
        <w:t>hæmmere</w:t>
      </w:r>
      <w:proofErr w:type="spellEnd"/>
      <w:r w:rsidRPr="003C3067">
        <w:rPr>
          <w:sz w:val="24"/>
          <w:szCs w:val="24"/>
        </w:rPr>
        <w:t xml:space="preserve">: forstærkning af </w:t>
      </w:r>
      <w:proofErr w:type="spellStart"/>
      <w:r w:rsidRPr="003C3067">
        <w:rPr>
          <w:sz w:val="24"/>
          <w:szCs w:val="24"/>
        </w:rPr>
        <w:t>sympatomimetikas</w:t>
      </w:r>
      <w:proofErr w:type="spellEnd"/>
      <w:r w:rsidRPr="003C3067">
        <w:rPr>
          <w:sz w:val="24"/>
          <w:szCs w:val="24"/>
        </w:rPr>
        <w:t xml:space="preserve"> </w:t>
      </w:r>
      <w:proofErr w:type="spellStart"/>
      <w:r w:rsidRPr="003C3067">
        <w:rPr>
          <w:sz w:val="24"/>
          <w:szCs w:val="24"/>
        </w:rPr>
        <w:t>pressorvirkning</w:t>
      </w:r>
      <w:proofErr w:type="spellEnd"/>
      <w:r w:rsidRPr="003C3067">
        <w:rPr>
          <w:sz w:val="24"/>
          <w:szCs w:val="24"/>
        </w:rPr>
        <w:t>, der sædvanligvis er moderat. Bør kun anvendes under tæt medicinsk overvågning.</w:t>
      </w:r>
    </w:p>
    <w:p w:rsidR="003C3067" w:rsidRPr="003C3067" w:rsidRDefault="003C3067" w:rsidP="00A0072E">
      <w:pPr>
        <w:numPr>
          <w:ilvl w:val="0"/>
          <w:numId w:val="9"/>
        </w:numPr>
        <w:tabs>
          <w:tab w:val="left" w:pos="851"/>
        </w:tabs>
        <w:ind w:left="1134" w:hanging="283"/>
        <w:rPr>
          <w:sz w:val="24"/>
          <w:szCs w:val="24"/>
        </w:rPr>
      </w:pPr>
      <w:r w:rsidRPr="003C3067">
        <w:rPr>
          <w:sz w:val="24"/>
          <w:szCs w:val="24"/>
        </w:rPr>
        <w:t>Selektive MAO-A-</w:t>
      </w:r>
      <w:proofErr w:type="spellStart"/>
      <w:r w:rsidRPr="003C3067">
        <w:rPr>
          <w:sz w:val="24"/>
          <w:szCs w:val="24"/>
        </w:rPr>
        <w:t>hæmmere</w:t>
      </w:r>
      <w:proofErr w:type="spellEnd"/>
      <w:r w:rsidRPr="003C3067">
        <w:rPr>
          <w:sz w:val="24"/>
          <w:szCs w:val="24"/>
        </w:rPr>
        <w:t xml:space="preserve">, </w:t>
      </w:r>
      <w:proofErr w:type="spellStart"/>
      <w:r w:rsidRPr="003C3067">
        <w:rPr>
          <w:sz w:val="24"/>
          <w:szCs w:val="24"/>
        </w:rPr>
        <w:t>linezolid</w:t>
      </w:r>
      <w:proofErr w:type="spellEnd"/>
      <w:r w:rsidRPr="003C3067">
        <w:rPr>
          <w:sz w:val="24"/>
          <w:szCs w:val="24"/>
        </w:rPr>
        <w:t xml:space="preserve"> og </w:t>
      </w:r>
      <w:proofErr w:type="spellStart"/>
      <w:r w:rsidRPr="003C3067">
        <w:rPr>
          <w:sz w:val="24"/>
          <w:szCs w:val="24"/>
        </w:rPr>
        <w:t>methylenblåt</w:t>
      </w:r>
      <w:proofErr w:type="spellEnd"/>
      <w:r w:rsidRPr="003C3067">
        <w:rPr>
          <w:sz w:val="24"/>
          <w:szCs w:val="24"/>
        </w:rPr>
        <w:t>: ved ekstrapolering fra non-selektive MAO-</w:t>
      </w:r>
      <w:proofErr w:type="spellStart"/>
      <w:r w:rsidRPr="003C3067">
        <w:rPr>
          <w:sz w:val="24"/>
          <w:szCs w:val="24"/>
        </w:rPr>
        <w:t>hæmmere</w:t>
      </w:r>
      <w:proofErr w:type="spellEnd"/>
      <w:r w:rsidRPr="003C3067">
        <w:rPr>
          <w:sz w:val="24"/>
          <w:szCs w:val="24"/>
        </w:rPr>
        <w:t xml:space="preserve">, risiko for forstærkning af </w:t>
      </w:r>
      <w:proofErr w:type="spellStart"/>
      <w:r w:rsidRPr="003C3067">
        <w:rPr>
          <w:sz w:val="24"/>
          <w:szCs w:val="24"/>
        </w:rPr>
        <w:t>pressorvirkning</w:t>
      </w:r>
      <w:proofErr w:type="spellEnd"/>
      <w:r w:rsidRPr="003C3067">
        <w:rPr>
          <w:sz w:val="24"/>
          <w:szCs w:val="24"/>
        </w:rPr>
        <w:t>. Bør kun anvendes under tæt medicinsk overvågning.</w:t>
      </w:r>
    </w:p>
    <w:p w:rsidR="003C3067" w:rsidRPr="003C3067" w:rsidRDefault="003C3067" w:rsidP="00A0072E">
      <w:pPr>
        <w:numPr>
          <w:ilvl w:val="0"/>
          <w:numId w:val="9"/>
        </w:numPr>
        <w:tabs>
          <w:tab w:val="left" w:pos="851"/>
        </w:tabs>
        <w:ind w:left="1134" w:hanging="283"/>
        <w:rPr>
          <w:sz w:val="24"/>
          <w:szCs w:val="24"/>
        </w:rPr>
      </w:pPr>
      <w:proofErr w:type="spellStart"/>
      <w:r w:rsidRPr="003C3067">
        <w:rPr>
          <w:sz w:val="24"/>
          <w:szCs w:val="24"/>
        </w:rPr>
        <w:t>Linezolid</w:t>
      </w:r>
      <w:proofErr w:type="spellEnd"/>
      <w:r w:rsidRPr="003C3067">
        <w:rPr>
          <w:sz w:val="24"/>
          <w:szCs w:val="24"/>
        </w:rPr>
        <w:t>: ved ekstrapolering fra non-selektive MAO-</w:t>
      </w:r>
      <w:proofErr w:type="spellStart"/>
      <w:r w:rsidRPr="003C3067">
        <w:rPr>
          <w:sz w:val="24"/>
          <w:szCs w:val="24"/>
        </w:rPr>
        <w:t>hæmmere</w:t>
      </w:r>
      <w:proofErr w:type="spellEnd"/>
      <w:r w:rsidRPr="003C3067">
        <w:rPr>
          <w:sz w:val="24"/>
          <w:szCs w:val="24"/>
        </w:rPr>
        <w:t xml:space="preserve">: risiko for forstærkning af </w:t>
      </w:r>
      <w:proofErr w:type="spellStart"/>
      <w:r w:rsidRPr="003C3067">
        <w:rPr>
          <w:sz w:val="24"/>
          <w:szCs w:val="24"/>
        </w:rPr>
        <w:t>pressorvirkning</w:t>
      </w:r>
      <w:proofErr w:type="spellEnd"/>
      <w:r w:rsidRPr="003C3067">
        <w:rPr>
          <w:sz w:val="24"/>
          <w:szCs w:val="24"/>
        </w:rPr>
        <w:t>. Bør kun anvendes under tæt medicinsk overvågning.</w:t>
      </w:r>
    </w:p>
    <w:p w:rsidR="003C3067" w:rsidRPr="003C3067" w:rsidRDefault="003C3067" w:rsidP="003C3067">
      <w:pPr>
        <w:tabs>
          <w:tab w:val="left" w:pos="851"/>
        </w:tabs>
        <w:ind w:left="851"/>
        <w:rPr>
          <w:sz w:val="24"/>
          <w:szCs w:val="24"/>
        </w:rPr>
      </w:pPr>
      <w:r w:rsidRPr="003C3067">
        <w:rPr>
          <w:sz w:val="24"/>
          <w:szCs w:val="24"/>
        </w:rPr>
        <w:t>Noradrenalin skal anvendes med ekstrem forsigtighed hos patienter, der får MAO-</w:t>
      </w:r>
      <w:proofErr w:type="spellStart"/>
      <w:r w:rsidRPr="003C3067">
        <w:rPr>
          <w:sz w:val="24"/>
          <w:szCs w:val="24"/>
        </w:rPr>
        <w:t>hæmmere</w:t>
      </w:r>
      <w:proofErr w:type="spellEnd"/>
      <w:r w:rsidRPr="003C3067">
        <w:rPr>
          <w:sz w:val="24"/>
          <w:szCs w:val="24"/>
        </w:rPr>
        <w:t xml:space="preserve"> eller inden for 14 dage efter ophør af en sådan behandling.</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rPr>
      </w:pPr>
      <w:r w:rsidRPr="003C3067">
        <w:rPr>
          <w:sz w:val="24"/>
          <w:szCs w:val="24"/>
        </w:rPr>
        <w:t xml:space="preserve">Virkningerne af noradrenalin kan forstærkes af </w:t>
      </w:r>
      <w:proofErr w:type="spellStart"/>
      <w:r w:rsidRPr="003C3067">
        <w:rPr>
          <w:sz w:val="24"/>
          <w:szCs w:val="24"/>
        </w:rPr>
        <w:t>guanethidin</w:t>
      </w:r>
      <w:proofErr w:type="spellEnd"/>
      <w:r w:rsidRPr="003C3067">
        <w:rPr>
          <w:sz w:val="24"/>
          <w:szCs w:val="24"/>
        </w:rPr>
        <w:t xml:space="preserve">, </w:t>
      </w:r>
      <w:proofErr w:type="spellStart"/>
      <w:r w:rsidRPr="003C3067">
        <w:rPr>
          <w:sz w:val="24"/>
          <w:szCs w:val="24"/>
        </w:rPr>
        <w:t>guanadrel</w:t>
      </w:r>
      <w:proofErr w:type="spellEnd"/>
      <w:r w:rsidRPr="003C3067">
        <w:rPr>
          <w:sz w:val="24"/>
          <w:szCs w:val="24"/>
        </w:rPr>
        <w:t xml:space="preserve">, </w:t>
      </w:r>
      <w:proofErr w:type="spellStart"/>
      <w:r w:rsidRPr="003C3067">
        <w:rPr>
          <w:sz w:val="24"/>
          <w:szCs w:val="24"/>
        </w:rPr>
        <w:t>reserpin</w:t>
      </w:r>
      <w:proofErr w:type="spellEnd"/>
      <w:r w:rsidRPr="003C3067">
        <w:rPr>
          <w:sz w:val="24"/>
          <w:szCs w:val="24"/>
        </w:rPr>
        <w:t xml:space="preserve">, </w:t>
      </w:r>
      <w:proofErr w:type="spellStart"/>
      <w:r w:rsidRPr="003C3067">
        <w:rPr>
          <w:sz w:val="24"/>
          <w:szCs w:val="24"/>
        </w:rPr>
        <w:t>methyldopa</w:t>
      </w:r>
      <w:proofErr w:type="spellEnd"/>
      <w:r w:rsidRPr="003C3067">
        <w:rPr>
          <w:sz w:val="24"/>
          <w:szCs w:val="24"/>
        </w:rPr>
        <w:t xml:space="preserve"> eller tricykliske </w:t>
      </w:r>
      <w:proofErr w:type="spellStart"/>
      <w:r w:rsidRPr="003C3067">
        <w:rPr>
          <w:sz w:val="24"/>
          <w:szCs w:val="24"/>
        </w:rPr>
        <w:t>antidepressiva</w:t>
      </w:r>
      <w:proofErr w:type="spellEnd"/>
      <w:r w:rsidRPr="003C3067">
        <w:rPr>
          <w:sz w:val="24"/>
          <w:szCs w:val="24"/>
        </w:rPr>
        <w:t xml:space="preserve">, amfetamin, doxapram, </w:t>
      </w:r>
      <w:proofErr w:type="spellStart"/>
      <w:r w:rsidRPr="003C3067">
        <w:rPr>
          <w:sz w:val="24"/>
          <w:szCs w:val="24"/>
        </w:rPr>
        <w:t>mazindol</w:t>
      </w:r>
      <w:proofErr w:type="spellEnd"/>
      <w:r w:rsidRPr="003C3067">
        <w:rPr>
          <w:sz w:val="24"/>
          <w:szCs w:val="24"/>
        </w:rPr>
        <w:t xml:space="preserve">, </w:t>
      </w:r>
      <w:proofErr w:type="spellStart"/>
      <w:r w:rsidRPr="003C3067">
        <w:rPr>
          <w:sz w:val="24"/>
          <w:szCs w:val="24"/>
        </w:rPr>
        <w:t>rauwolfiaalkaloider</w:t>
      </w:r>
      <w:proofErr w:type="spellEnd"/>
      <w:r w:rsidRPr="003C3067">
        <w:rPr>
          <w:sz w:val="24"/>
          <w:szCs w:val="24"/>
        </w:rPr>
        <w:t>.</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rPr>
      </w:pPr>
      <w:r w:rsidRPr="003C3067">
        <w:rPr>
          <w:sz w:val="24"/>
          <w:szCs w:val="24"/>
        </w:rPr>
        <w:t>Forsigtighed er påkrævet ved brug af noradrenalin sammen med alfa- og betablokkere, da det kan medføre alvorlig hypertension.</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rPr>
      </w:pPr>
      <w:r w:rsidRPr="003C3067">
        <w:rPr>
          <w:sz w:val="24"/>
          <w:szCs w:val="24"/>
        </w:rPr>
        <w:t xml:space="preserve">Forsigtighed er påkrævet ved brug af noradrenalin sammen med følgende lægemidler, da de kan forårsage øgede hjertevirkninger: </w:t>
      </w:r>
      <w:proofErr w:type="spellStart"/>
      <w:r w:rsidRPr="003C3067">
        <w:rPr>
          <w:sz w:val="24"/>
          <w:szCs w:val="24"/>
        </w:rPr>
        <w:t>thyroideahormoner</w:t>
      </w:r>
      <w:proofErr w:type="spellEnd"/>
      <w:r w:rsidRPr="003C3067">
        <w:rPr>
          <w:sz w:val="24"/>
          <w:szCs w:val="24"/>
        </w:rPr>
        <w:t xml:space="preserve">, </w:t>
      </w:r>
      <w:proofErr w:type="spellStart"/>
      <w:r w:rsidRPr="003C3067">
        <w:rPr>
          <w:sz w:val="24"/>
          <w:szCs w:val="24"/>
        </w:rPr>
        <w:t>hjerteglycosider</w:t>
      </w:r>
      <w:proofErr w:type="spellEnd"/>
      <w:r w:rsidRPr="003C3067">
        <w:rPr>
          <w:sz w:val="24"/>
          <w:szCs w:val="24"/>
        </w:rPr>
        <w:t xml:space="preserve">, </w:t>
      </w:r>
      <w:proofErr w:type="spellStart"/>
      <w:r w:rsidRPr="003C3067">
        <w:rPr>
          <w:sz w:val="24"/>
          <w:szCs w:val="24"/>
        </w:rPr>
        <w:t>antiarytmika</w:t>
      </w:r>
      <w:proofErr w:type="spellEnd"/>
      <w:r w:rsidRPr="003C3067">
        <w:rPr>
          <w:sz w:val="24"/>
          <w:szCs w:val="24"/>
        </w:rPr>
        <w:t>.</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rPr>
      </w:pPr>
      <w:proofErr w:type="spellStart"/>
      <w:r w:rsidRPr="003C3067">
        <w:rPr>
          <w:sz w:val="24"/>
          <w:szCs w:val="24"/>
        </w:rPr>
        <w:t>Ergotalkaloider</w:t>
      </w:r>
      <w:proofErr w:type="spellEnd"/>
      <w:r w:rsidRPr="003C3067">
        <w:rPr>
          <w:sz w:val="24"/>
          <w:szCs w:val="24"/>
        </w:rPr>
        <w:t xml:space="preserve"> (</w:t>
      </w:r>
      <w:proofErr w:type="spellStart"/>
      <w:r w:rsidRPr="003C3067">
        <w:rPr>
          <w:sz w:val="24"/>
          <w:szCs w:val="24"/>
        </w:rPr>
        <w:t>ergoloidmesylater</w:t>
      </w:r>
      <w:proofErr w:type="spellEnd"/>
      <w:r w:rsidRPr="003C3067">
        <w:rPr>
          <w:sz w:val="24"/>
          <w:szCs w:val="24"/>
        </w:rPr>
        <w:t xml:space="preserve">, </w:t>
      </w:r>
      <w:proofErr w:type="spellStart"/>
      <w:r w:rsidRPr="003C3067">
        <w:rPr>
          <w:sz w:val="24"/>
          <w:szCs w:val="24"/>
        </w:rPr>
        <w:t>ergotamin</w:t>
      </w:r>
      <w:proofErr w:type="spellEnd"/>
      <w:r w:rsidRPr="003C3067">
        <w:rPr>
          <w:sz w:val="24"/>
          <w:szCs w:val="24"/>
        </w:rPr>
        <w:t xml:space="preserve">, </w:t>
      </w:r>
      <w:proofErr w:type="spellStart"/>
      <w:r w:rsidRPr="003C3067">
        <w:rPr>
          <w:sz w:val="24"/>
          <w:szCs w:val="24"/>
        </w:rPr>
        <w:t>dihydroergotamin</w:t>
      </w:r>
      <w:proofErr w:type="spellEnd"/>
      <w:r w:rsidRPr="003C3067">
        <w:rPr>
          <w:sz w:val="24"/>
          <w:szCs w:val="24"/>
        </w:rPr>
        <w:t xml:space="preserve">, </w:t>
      </w:r>
      <w:proofErr w:type="spellStart"/>
      <w:r w:rsidRPr="003C3067">
        <w:rPr>
          <w:sz w:val="24"/>
          <w:szCs w:val="24"/>
        </w:rPr>
        <w:t>ergometrin</w:t>
      </w:r>
      <w:proofErr w:type="spellEnd"/>
      <w:r w:rsidRPr="003C3067">
        <w:rPr>
          <w:sz w:val="24"/>
          <w:szCs w:val="24"/>
        </w:rPr>
        <w:t xml:space="preserve">, </w:t>
      </w:r>
      <w:proofErr w:type="spellStart"/>
      <w:r w:rsidRPr="003C3067">
        <w:rPr>
          <w:sz w:val="24"/>
          <w:szCs w:val="24"/>
        </w:rPr>
        <w:t>methylergometrin</w:t>
      </w:r>
      <w:proofErr w:type="spellEnd"/>
      <w:r w:rsidRPr="003C3067">
        <w:rPr>
          <w:sz w:val="24"/>
          <w:szCs w:val="24"/>
        </w:rPr>
        <w:t xml:space="preserve"> og </w:t>
      </w:r>
      <w:proofErr w:type="spellStart"/>
      <w:r w:rsidRPr="003C3067">
        <w:rPr>
          <w:sz w:val="24"/>
          <w:szCs w:val="24"/>
        </w:rPr>
        <w:t>methysergid</w:t>
      </w:r>
      <w:proofErr w:type="spellEnd"/>
      <w:r w:rsidRPr="003C3067">
        <w:rPr>
          <w:sz w:val="24"/>
          <w:szCs w:val="24"/>
        </w:rPr>
        <w:t xml:space="preserve">) eller </w:t>
      </w:r>
      <w:proofErr w:type="spellStart"/>
      <w:r w:rsidRPr="003C3067">
        <w:rPr>
          <w:sz w:val="24"/>
          <w:szCs w:val="24"/>
        </w:rPr>
        <w:t>oxytocin</w:t>
      </w:r>
      <w:proofErr w:type="spellEnd"/>
      <w:r w:rsidRPr="003C3067">
        <w:rPr>
          <w:sz w:val="24"/>
          <w:szCs w:val="24"/>
        </w:rPr>
        <w:t xml:space="preserve"> kan fremme den </w:t>
      </w:r>
      <w:proofErr w:type="spellStart"/>
      <w:r w:rsidRPr="003C3067">
        <w:rPr>
          <w:sz w:val="24"/>
          <w:szCs w:val="24"/>
        </w:rPr>
        <w:t>vasopressoriske</w:t>
      </w:r>
      <w:proofErr w:type="spellEnd"/>
      <w:r w:rsidRPr="003C3067">
        <w:rPr>
          <w:sz w:val="24"/>
          <w:szCs w:val="24"/>
        </w:rPr>
        <w:t xml:space="preserve"> og </w:t>
      </w:r>
      <w:proofErr w:type="spellStart"/>
      <w:r w:rsidRPr="003C3067">
        <w:rPr>
          <w:sz w:val="24"/>
          <w:szCs w:val="24"/>
        </w:rPr>
        <w:t>vasokonstriktive</w:t>
      </w:r>
      <w:proofErr w:type="spellEnd"/>
      <w:r w:rsidRPr="003C3067">
        <w:rPr>
          <w:sz w:val="24"/>
          <w:szCs w:val="24"/>
        </w:rPr>
        <w:t xml:space="preserve"> effekt.</w:t>
      </w:r>
    </w:p>
    <w:p w:rsidR="003C3067" w:rsidRPr="003C3067" w:rsidRDefault="003C3067" w:rsidP="003C3067">
      <w:pPr>
        <w:tabs>
          <w:tab w:val="left" w:pos="851"/>
        </w:tabs>
        <w:ind w:left="851"/>
        <w:rPr>
          <w:sz w:val="24"/>
          <w:szCs w:val="24"/>
        </w:rPr>
      </w:pPr>
    </w:p>
    <w:p w:rsidR="003C3067" w:rsidRPr="003C3067" w:rsidRDefault="003C3067" w:rsidP="003C3067">
      <w:pPr>
        <w:tabs>
          <w:tab w:val="left" w:pos="851"/>
        </w:tabs>
        <w:ind w:left="851"/>
        <w:rPr>
          <w:sz w:val="24"/>
          <w:szCs w:val="24"/>
        </w:rPr>
      </w:pPr>
      <w:r w:rsidRPr="003C3067">
        <w:rPr>
          <w:sz w:val="24"/>
          <w:szCs w:val="24"/>
        </w:rPr>
        <w:t xml:space="preserve">Samtidig administration af </w:t>
      </w:r>
      <w:proofErr w:type="spellStart"/>
      <w:r w:rsidRPr="003C3067">
        <w:rPr>
          <w:sz w:val="24"/>
          <w:szCs w:val="24"/>
        </w:rPr>
        <w:t>propofol</w:t>
      </w:r>
      <w:proofErr w:type="spellEnd"/>
      <w:r w:rsidRPr="003C3067">
        <w:rPr>
          <w:sz w:val="24"/>
          <w:szCs w:val="24"/>
        </w:rPr>
        <w:t xml:space="preserve"> og noradrenalin kan føre til </w:t>
      </w:r>
      <w:proofErr w:type="spellStart"/>
      <w:r w:rsidRPr="003C3067">
        <w:rPr>
          <w:sz w:val="24"/>
          <w:szCs w:val="24"/>
        </w:rPr>
        <w:t>propofolinfusionssyndrom</w:t>
      </w:r>
      <w:proofErr w:type="spellEnd"/>
      <w:r w:rsidRPr="003C3067">
        <w:rPr>
          <w:sz w:val="24"/>
          <w:szCs w:val="24"/>
        </w:rPr>
        <w:t xml:space="preserve"> (PRIS).</w:t>
      </w:r>
    </w:p>
    <w:p w:rsidR="003C3067" w:rsidRPr="003C3067" w:rsidRDefault="003C3067" w:rsidP="003C3067">
      <w:pPr>
        <w:tabs>
          <w:tab w:val="left" w:pos="851"/>
        </w:tabs>
        <w:ind w:left="851"/>
        <w:rPr>
          <w:sz w:val="24"/>
          <w:szCs w:val="24"/>
        </w:rPr>
      </w:pPr>
      <w:proofErr w:type="spellStart"/>
      <w:r w:rsidRPr="003C3067">
        <w:rPr>
          <w:sz w:val="24"/>
          <w:szCs w:val="24"/>
        </w:rPr>
        <w:t>Desmopressin</w:t>
      </w:r>
      <w:proofErr w:type="spellEnd"/>
      <w:r w:rsidRPr="003C3067">
        <w:rPr>
          <w:sz w:val="24"/>
          <w:szCs w:val="24"/>
        </w:rPr>
        <w:t xml:space="preserve"> eller </w:t>
      </w:r>
      <w:proofErr w:type="spellStart"/>
      <w:r w:rsidRPr="003C3067">
        <w:rPr>
          <w:sz w:val="24"/>
          <w:szCs w:val="24"/>
        </w:rPr>
        <w:t>vasopressin</w:t>
      </w:r>
      <w:proofErr w:type="spellEnd"/>
      <w:r w:rsidRPr="003C3067">
        <w:rPr>
          <w:sz w:val="24"/>
          <w:szCs w:val="24"/>
        </w:rPr>
        <w:t>: dets antidiuretiske virkning mindskes.</w:t>
      </w:r>
    </w:p>
    <w:p w:rsidR="003C3067" w:rsidRPr="003C3067" w:rsidRDefault="003C3067" w:rsidP="003C3067">
      <w:pPr>
        <w:tabs>
          <w:tab w:val="left" w:pos="851"/>
        </w:tabs>
        <w:ind w:left="851"/>
        <w:rPr>
          <w:sz w:val="24"/>
          <w:szCs w:val="24"/>
        </w:rPr>
      </w:pPr>
      <w:proofErr w:type="spellStart"/>
      <w:r w:rsidRPr="003C3067">
        <w:rPr>
          <w:sz w:val="24"/>
          <w:szCs w:val="24"/>
        </w:rPr>
        <w:t>Lithium</w:t>
      </w:r>
      <w:proofErr w:type="spellEnd"/>
      <w:r w:rsidRPr="003C3067">
        <w:rPr>
          <w:sz w:val="24"/>
          <w:szCs w:val="24"/>
        </w:rPr>
        <w:t xml:space="preserve"> mindsker virkningen af noradrenalin.</w:t>
      </w:r>
    </w:p>
    <w:p w:rsidR="003C3067" w:rsidRPr="003C3067" w:rsidRDefault="003C3067" w:rsidP="003C3067">
      <w:pPr>
        <w:tabs>
          <w:tab w:val="left" w:pos="851"/>
        </w:tabs>
        <w:ind w:left="851"/>
        <w:rPr>
          <w:sz w:val="24"/>
          <w:szCs w:val="24"/>
        </w:rPr>
      </w:pPr>
    </w:p>
    <w:p w:rsidR="003C3067" w:rsidRPr="00A0072E" w:rsidRDefault="003C3067" w:rsidP="00A0072E">
      <w:pPr>
        <w:tabs>
          <w:tab w:val="left" w:pos="851"/>
        </w:tabs>
        <w:ind w:left="851"/>
        <w:rPr>
          <w:sz w:val="24"/>
          <w:szCs w:val="24"/>
        </w:rPr>
      </w:pPr>
      <w:r w:rsidRPr="003C3067">
        <w:rPr>
          <w:sz w:val="24"/>
          <w:szCs w:val="24"/>
        </w:rPr>
        <w:t>Dette lægemiddel må ikke anvendes samtidig med andre lægemidler, med undtagelse af de, der er nævnt i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3C06C8" w:rsidRPr="003C06C8" w:rsidRDefault="003C06C8" w:rsidP="003C06C8">
      <w:pPr>
        <w:tabs>
          <w:tab w:val="left" w:pos="851"/>
        </w:tabs>
        <w:ind w:left="851"/>
        <w:rPr>
          <w:iCs/>
          <w:sz w:val="24"/>
          <w:szCs w:val="24"/>
        </w:rPr>
      </w:pPr>
    </w:p>
    <w:p w:rsidR="003C06C8" w:rsidRPr="003C06C8" w:rsidRDefault="003C06C8" w:rsidP="003C06C8">
      <w:pPr>
        <w:tabs>
          <w:tab w:val="left" w:pos="851"/>
        </w:tabs>
        <w:ind w:left="851"/>
        <w:rPr>
          <w:iCs/>
          <w:sz w:val="24"/>
          <w:szCs w:val="24"/>
          <w:u w:val="single"/>
        </w:rPr>
      </w:pPr>
      <w:r w:rsidRPr="003C06C8">
        <w:rPr>
          <w:iCs/>
          <w:sz w:val="24"/>
          <w:szCs w:val="24"/>
          <w:u w:val="single"/>
        </w:rPr>
        <w:t>Fertilitet</w:t>
      </w:r>
    </w:p>
    <w:p w:rsidR="003C06C8" w:rsidRPr="003C06C8" w:rsidRDefault="003C06C8" w:rsidP="003C06C8">
      <w:pPr>
        <w:tabs>
          <w:tab w:val="left" w:pos="851"/>
        </w:tabs>
        <w:ind w:left="851"/>
        <w:rPr>
          <w:sz w:val="24"/>
          <w:szCs w:val="24"/>
        </w:rPr>
      </w:pPr>
      <w:r w:rsidRPr="003C06C8">
        <w:rPr>
          <w:sz w:val="24"/>
          <w:szCs w:val="24"/>
        </w:rPr>
        <w:t>Der er ikke udført undersøgelser for at indsamle fertilitetsdata for noradrenalin.</w:t>
      </w:r>
    </w:p>
    <w:p w:rsidR="003C06C8" w:rsidRPr="003C06C8" w:rsidRDefault="003C06C8" w:rsidP="003C06C8">
      <w:pPr>
        <w:tabs>
          <w:tab w:val="left" w:pos="851"/>
        </w:tabs>
        <w:ind w:left="851"/>
        <w:rPr>
          <w:iCs/>
          <w:sz w:val="24"/>
          <w:szCs w:val="24"/>
          <w:u w:val="single"/>
        </w:rPr>
      </w:pPr>
    </w:p>
    <w:p w:rsidR="003C06C8" w:rsidRPr="003C06C8" w:rsidRDefault="003C06C8" w:rsidP="003C06C8">
      <w:pPr>
        <w:tabs>
          <w:tab w:val="left" w:pos="851"/>
        </w:tabs>
        <w:ind w:left="851"/>
        <w:rPr>
          <w:iCs/>
          <w:sz w:val="24"/>
          <w:szCs w:val="24"/>
          <w:u w:val="single"/>
        </w:rPr>
      </w:pPr>
      <w:r w:rsidRPr="003C06C8">
        <w:rPr>
          <w:iCs/>
          <w:sz w:val="24"/>
          <w:szCs w:val="24"/>
          <w:u w:val="single"/>
        </w:rPr>
        <w:t>Graviditet</w:t>
      </w:r>
    </w:p>
    <w:p w:rsidR="003C06C8" w:rsidRPr="003C06C8" w:rsidRDefault="003C06C8" w:rsidP="003C06C8">
      <w:pPr>
        <w:tabs>
          <w:tab w:val="left" w:pos="851"/>
        </w:tabs>
        <w:ind w:left="851"/>
        <w:rPr>
          <w:sz w:val="24"/>
          <w:szCs w:val="24"/>
        </w:rPr>
      </w:pPr>
      <w:r w:rsidRPr="003C06C8">
        <w:rPr>
          <w:sz w:val="24"/>
          <w:szCs w:val="24"/>
        </w:rPr>
        <w:t xml:space="preserve">Noradrenalin kan hæmme </w:t>
      </w:r>
      <w:proofErr w:type="spellStart"/>
      <w:r w:rsidRPr="003C06C8">
        <w:rPr>
          <w:sz w:val="24"/>
          <w:szCs w:val="24"/>
        </w:rPr>
        <w:t>placentaperfusionen</w:t>
      </w:r>
      <w:proofErr w:type="spellEnd"/>
      <w:r w:rsidRPr="003C06C8">
        <w:rPr>
          <w:sz w:val="24"/>
          <w:szCs w:val="24"/>
        </w:rPr>
        <w:t xml:space="preserve"> og forårsage bradykardi hos fosteret. Det kan også forårsage sammentrækninger i livmoderen og føre til kvælning af fosteret sent i graviditeten. Disse eventuelle risici for fosteret bør derfor opvejes i mod den potentielle fordel for moderen.</w:t>
      </w:r>
    </w:p>
    <w:p w:rsidR="003C06C8" w:rsidRPr="003C06C8" w:rsidRDefault="003C06C8" w:rsidP="003C06C8">
      <w:pPr>
        <w:tabs>
          <w:tab w:val="left" w:pos="851"/>
        </w:tabs>
        <w:ind w:left="851"/>
        <w:rPr>
          <w:sz w:val="24"/>
          <w:szCs w:val="24"/>
        </w:rPr>
      </w:pPr>
    </w:p>
    <w:p w:rsidR="003C06C8" w:rsidRPr="003C06C8" w:rsidRDefault="003C06C8" w:rsidP="003C06C8">
      <w:pPr>
        <w:tabs>
          <w:tab w:val="left" w:pos="851"/>
        </w:tabs>
        <w:ind w:left="851"/>
        <w:rPr>
          <w:iCs/>
          <w:sz w:val="24"/>
          <w:szCs w:val="24"/>
          <w:u w:val="single"/>
        </w:rPr>
      </w:pPr>
      <w:r w:rsidRPr="003C06C8">
        <w:rPr>
          <w:iCs/>
          <w:sz w:val="24"/>
          <w:szCs w:val="24"/>
          <w:u w:val="single"/>
        </w:rPr>
        <w:t>Amning</w:t>
      </w:r>
    </w:p>
    <w:p w:rsidR="003C06C8" w:rsidRPr="003C06C8" w:rsidRDefault="003C06C8" w:rsidP="003C06C8">
      <w:pPr>
        <w:tabs>
          <w:tab w:val="left" w:pos="851"/>
        </w:tabs>
        <w:ind w:left="851"/>
        <w:rPr>
          <w:sz w:val="24"/>
          <w:szCs w:val="24"/>
        </w:rPr>
      </w:pPr>
      <w:r w:rsidRPr="003C06C8">
        <w:rPr>
          <w:sz w:val="24"/>
          <w:szCs w:val="24"/>
        </w:rPr>
        <w:t>Det vides ikke om dette lægemiddel udskilles i modermælk. Eftersom mange lægemidler udskilles i modermælk, bør der udvises forsigtighed, når noradrenalin administreres til ammende kvinder.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3C06C8" w:rsidRPr="003C06C8" w:rsidRDefault="003C06C8" w:rsidP="003C06C8">
      <w:pPr>
        <w:tabs>
          <w:tab w:val="left" w:pos="851"/>
        </w:tabs>
        <w:ind w:left="851"/>
        <w:rPr>
          <w:sz w:val="24"/>
          <w:szCs w:val="24"/>
        </w:rPr>
      </w:pPr>
      <w:r w:rsidRPr="003C06C8">
        <w:rPr>
          <w:sz w:val="24"/>
          <w:szCs w:val="24"/>
        </w:rPr>
        <w:t>Ikke mærkning.</w:t>
      </w:r>
    </w:p>
    <w:p w:rsidR="003C06C8" w:rsidRPr="003C06C8" w:rsidRDefault="003C06C8" w:rsidP="003C06C8">
      <w:pPr>
        <w:tabs>
          <w:tab w:val="left" w:pos="851"/>
        </w:tabs>
        <w:ind w:left="851"/>
        <w:rPr>
          <w:sz w:val="24"/>
          <w:szCs w:val="24"/>
        </w:rPr>
      </w:pPr>
      <w:r w:rsidRPr="003C06C8">
        <w:rPr>
          <w:sz w:val="24"/>
          <w:szCs w:val="24"/>
        </w:rPr>
        <w:t>Der er ikke foretaget undersøgelser af indflydelsen på evnen til at føre motorkøretøj eller betjene maskiner. Det frarådes derfor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3C06C8" w:rsidRPr="003C06C8" w:rsidRDefault="003C06C8" w:rsidP="003C06C8">
      <w:pPr>
        <w:pStyle w:val="Sidehoved"/>
        <w:tabs>
          <w:tab w:val="left" w:pos="851"/>
        </w:tabs>
        <w:ind w:left="851"/>
        <w:rPr>
          <w:szCs w:val="24"/>
        </w:rPr>
      </w:pPr>
      <w:r w:rsidRPr="003C06C8">
        <w:rPr>
          <w:szCs w:val="24"/>
        </w:rPr>
        <w:t>Tabel 2 viser bivirkninger, der er opstået efter behandling med noradrenalin. Disse data er hovedsageligt blevet indsamlet fra spontane indberetninger, og på grund af problemer i beregningen af indberetningshyppigheder fra spontane indberetninger er hyppigheden af de anførte bivirkninger angivet som 'ikke kendt' (kan ikke estimeres ud fra forhåndenværende data). Bivirkningerne er angivet med faldende hyppighed inden for hver systemorganklasse.</w:t>
      </w:r>
    </w:p>
    <w:p w:rsidR="003C06C8" w:rsidRPr="003C06C8" w:rsidRDefault="003C06C8" w:rsidP="003C06C8">
      <w:pPr>
        <w:pStyle w:val="Sidehoved"/>
        <w:tabs>
          <w:tab w:val="left" w:pos="851"/>
        </w:tabs>
        <w:ind w:left="851"/>
        <w:rPr>
          <w:szCs w:val="24"/>
        </w:rPr>
      </w:pPr>
    </w:p>
    <w:p w:rsidR="003C06C8" w:rsidRPr="003C06C8" w:rsidRDefault="003C06C8" w:rsidP="00990DA7">
      <w:pPr>
        <w:pStyle w:val="Sidehoved"/>
        <w:tabs>
          <w:tab w:val="left" w:pos="1843"/>
        </w:tabs>
        <w:ind w:left="851"/>
        <w:rPr>
          <w:szCs w:val="24"/>
        </w:rPr>
      </w:pPr>
      <w:r w:rsidRPr="003C06C8">
        <w:rPr>
          <w:bCs/>
          <w:i/>
          <w:szCs w:val="24"/>
        </w:rPr>
        <w:t>Tabel 2</w:t>
      </w:r>
      <w:r w:rsidRPr="003C06C8">
        <w:rPr>
          <w:bCs/>
          <w:szCs w:val="24"/>
        </w:rPr>
        <w:tab/>
      </w:r>
      <w:r w:rsidRPr="003C06C8">
        <w:rPr>
          <w:szCs w:val="24"/>
        </w:rPr>
        <w:t>Indberettede bivirkninger for noradrenalin via spontane indberetninger</w:t>
      </w:r>
    </w:p>
    <w:p w:rsidR="003C06C8" w:rsidRPr="003C06C8" w:rsidRDefault="003C06C8" w:rsidP="003C06C8">
      <w:pPr>
        <w:pStyle w:val="Sidehoved"/>
        <w:ind w:left="851"/>
        <w:rPr>
          <w:szCs w:val="24"/>
        </w:rPr>
      </w:pPr>
    </w:p>
    <w:tbl>
      <w:tblPr>
        <w:tblW w:w="8931"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5245"/>
      </w:tblGrid>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33"/>
              <w:rPr>
                <w:szCs w:val="24"/>
              </w:rPr>
            </w:pPr>
            <w:proofErr w:type="spellStart"/>
            <w:r w:rsidRPr="003C06C8">
              <w:rPr>
                <w:b/>
                <w:bCs/>
                <w:szCs w:val="24"/>
              </w:rPr>
              <w:t>MedDRA</w:t>
            </w:r>
            <w:proofErr w:type="spellEnd"/>
            <w:r w:rsidRPr="003C06C8">
              <w:rPr>
                <w:b/>
                <w:bCs/>
                <w:szCs w:val="24"/>
              </w:rPr>
              <w:t xml:space="preserve"> systemorganklasse</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b/>
                <w:bCs/>
                <w:szCs w:val="24"/>
              </w:rPr>
            </w:pPr>
            <w:r w:rsidRPr="003C06C8">
              <w:rPr>
                <w:b/>
                <w:bCs/>
                <w:szCs w:val="24"/>
              </w:rPr>
              <w:t>Bivirkninger</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szCs w:val="24"/>
              </w:rPr>
            </w:pPr>
            <w:r w:rsidRPr="003C06C8">
              <w:rPr>
                <w:bCs/>
                <w:szCs w:val="24"/>
              </w:rPr>
              <w:t>Psykiske forstyrrelser</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szCs w:val="24"/>
              </w:rPr>
            </w:pPr>
            <w:r w:rsidRPr="003C06C8">
              <w:rPr>
                <w:szCs w:val="24"/>
              </w:rPr>
              <w:t xml:space="preserve">Angst, </w:t>
            </w:r>
            <w:proofErr w:type="spellStart"/>
            <w:r w:rsidRPr="003C06C8">
              <w:rPr>
                <w:szCs w:val="24"/>
              </w:rPr>
              <w:t>insomnia</w:t>
            </w:r>
            <w:proofErr w:type="spellEnd"/>
            <w:r w:rsidRPr="003C06C8">
              <w:rPr>
                <w:szCs w:val="24"/>
              </w:rPr>
              <w:t>, forvirring, svaghed, psykose</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szCs w:val="24"/>
              </w:rPr>
            </w:pPr>
            <w:r w:rsidRPr="003C06C8">
              <w:rPr>
                <w:bCs/>
                <w:szCs w:val="24"/>
              </w:rPr>
              <w:t>Nervesystemet</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szCs w:val="24"/>
              </w:rPr>
            </w:pPr>
            <w:r w:rsidRPr="003C06C8">
              <w:rPr>
                <w:szCs w:val="24"/>
              </w:rPr>
              <w:t xml:space="preserve">Transitorisk hovedpine, </w:t>
            </w:r>
            <w:proofErr w:type="spellStart"/>
            <w:r w:rsidRPr="003C06C8">
              <w:rPr>
                <w:szCs w:val="24"/>
              </w:rPr>
              <w:t>tremor</w:t>
            </w:r>
            <w:proofErr w:type="spellEnd"/>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szCs w:val="24"/>
              </w:rPr>
            </w:pPr>
            <w:r w:rsidRPr="003C06C8">
              <w:rPr>
                <w:bCs/>
                <w:szCs w:val="24"/>
              </w:rPr>
              <w:t>Hjerte</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szCs w:val="24"/>
              </w:rPr>
            </w:pPr>
            <w:r w:rsidRPr="003C06C8">
              <w:rPr>
                <w:szCs w:val="24"/>
              </w:rPr>
              <w:t>Bradykardi</w:t>
            </w:r>
            <w:r w:rsidRPr="003C06C8">
              <w:rPr>
                <w:szCs w:val="24"/>
                <w:vertAlign w:val="superscript"/>
              </w:rPr>
              <w:t>1</w:t>
            </w:r>
            <w:r w:rsidRPr="003C06C8">
              <w:rPr>
                <w:szCs w:val="24"/>
              </w:rPr>
              <w:t xml:space="preserve">, </w:t>
            </w:r>
            <w:proofErr w:type="spellStart"/>
            <w:r w:rsidRPr="003C06C8">
              <w:rPr>
                <w:szCs w:val="24"/>
              </w:rPr>
              <w:t>arytmi</w:t>
            </w:r>
            <w:proofErr w:type="spellEnd"/>
            <w:r w:rsidRPr="003C06C8">
              <w:rPr>
                <w:szCs w:val="24"/>
              </w:rPr>
              <w:t xml:space="preserve">, ændring i EKG, </w:t>
            </w:r>
            <w:proofErr w:type="spellStart"/>
            <w:r w:rsidRPr="003C06C8">
              <w:rPr>
                <w:szCs w:val="24"/>
              </w:rPr>
              <w:t>takykardi</w:t>
            </w:r>
            <w:proofErr w:type="spellEnd"/>
            <w:r w:rsidRPr="003C06C8">
              <w:rPr>
                <w:szCs w:val="24"/>
              </w:rPr>
              <w:t xml:space="preserve">, </w:t>
            </w:r>
            <w:proofErr w:type="spellStart"/>
            <w:r w:rsidRPr="003C06C8">
              <w:rPr>
                <w:szCs w:val="24"/>
              </w:rPr>
              <w:t>kardiogent</w:t>
            </w:r>
            <w:proofErr w:type="spellEnd"/>
            <w:r w:rsidRPr="003C06C8">
              <w:rPr>
                <w:szCs w:val="24"/>
              </w:rPr>
              <w:t xml:space="preserve"> </w:t>
            </w:r>
            <w:proofErr w:type="spellStart"/>
            <w:r w:rsidR="00990DA7">
              <w:rPr>
                <w:szCs w:val="24"/>
              </w:rPr>
              <w:t>shock</w:t>
            </w:r>
            <w:proofErr w:type="spellEnd"/>
            <w:r w:rsidRPr="003C06C8">
              <w:rPr>
                <w:szCs w:val="24"/>
              </w:rPr>
              <w:t xml:space="preserve">, stressudløst hjertesvigt, </w:t>
            </w:r>
            <w:proofErr w:type="spellStart"/>
            <w:r w:rsidRPr="003C06C8">
              <w:rPr>
                <w:szCs w:val="24"/>
              </w:rPr>
              <w:t>palpitationer</w:t>
            </w:r>
            <w:proofErr w:type="spellEnd"/>
            <w:r w:rsidRPr="003C06C8">
              <w:rPr>
                <w:szCs w:val="24"/>
              </w:rPr>
              <w:t xml:space="preserve">, forøget </w:t>
            </w:r>
            <w:proofErr w:type="spellStart"/>
            <w:r w:rsidRPr="003C06C8">
              <w:rPr>
                <w:szCs w:val="24"/>
              </w:rPr>
              <w:t>kontraktilitet</w:t>
            </w:r>
            <w:proofErr w:type="spellEnd"/>
            <w:r w:rsidRPr="003C06C8">
              <w:rPr>
                <w:szCs w:val="24"/>
              </w:rPr>
              <w:t xml:space="preserve"> i hjertemusklen som følge af den ß-</w:t>
            </w:r>
            <w:proofErr w:type="spellStart"/>
            <w:r w:rsidRPr="003C06C8">
              <w:rPr>
                <w:szCs w:val="24"/>
              </w:rPr>
              <w:t>adrenerge</w:t>
            </w:r>
            <w:proofErr w:type="spellEnd"/>
            <w:r w:rsidRPr="003C06C8">
              <w:rPr>
                <w:szCs w:val="24"/>
              </w:rPr>
              <w:t xml:space="preserve"> virkning på hjertet (inotrop og </w:t>
            </w:r>
            <w:proofErr w:type="spellStart"/>
            <w:r w:rsidRPr="003C06C8">
              <w:rPr>
                <w:szCs w:val="24"/>
              </w:rPr>
              <w:t>kronotrop</w:t>
            </w:r>
            <w:proofErr w:type="spellEnd"/>
            <w:r w:rsidRPr="003C06C8">
              <w:rPr>
                <w:szCs w:val="24"/>
              </w:rPr>
              <w:t>)</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szCs w:val="24"/>
              </w:rPr>
            </w:pPr>
            <w:proofErr w:type="spellStart"/>
            <w:r w:rsidRPr="003C06C8">
              <w:rPr>
                <w:bCs/>
                <w:szCs w:val="24"/>
              </w:rPr>
              <w:t>Vaskulære</w:t>
            </w:r>
            <w:proofErr w:type="spellEnd"/>
            <w:r w:rsidRPr="003C06C8">
              <w:rPr>
                <w:bCs/>
                <w:szCs w:val="24"/>
              </w:rPr>
              <w:t xml:space="preserve"> sygdomme</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szCs w:val="24"/>
              </w:rPr>
            </w:pPr>
            <w:r w:rsidRPr="003C06C8">
              <w:rPr>
                <w:szCs w:val="24"/>
              </w:rPr>
              <w:t>Hypertension, perifer iskæmi</w:t>
            </w:r>
            <w:r w:rsidRPr="003C06C8">
              <w:rPr>
                <w:szCs w:val="24"/>
                <w:vertAlign w:val="superscript"/>
              </w:rPr>
              <w:t>2</w:t>
            </w:r>
            <w:r w:rsidRPr="003C06C8">
              <w:rPr>
                <w:szCs w:val="24"/>
              </w:rPr>
              <w:t xml:space="preserve"> inklusive gangræn i ekstremiteterne, </w:t>
            </w:r>
            <w:proofErr w:type="spellStart"/>
            <w:r w:rsidRPr="003C06C8">
              <w:rPr>
                <w:szCs w:val="24"/>
              </w:rPr>
              <w:t>volumendepletering</w:t>
            </w:r>
            <w:proofErr w:type="spellEnd"/>
            <w:r w:rsidRPr="003C06C8">
              <w:rPr>
                <w:szCs w:val="24"/>
              </w:rPr>
              <w:t xml:space="preserve"> i plasma ved langvarig brug, iskæmisk læsion på grund af potent </w:t>
            </w:r>
            <w:proofErr w:type="spellStart"/>
            <w:r w:rsidRPr="003C06C8">
              <w:rPr>
                <w:szCs w:val="24"/>
              </w:rPr>
              <w:t>vasokonstriktorvirkning</w:t>
            </w:r>
            <w:proofErr w:type="spellEnd"/>
            <w:r w:rsidRPr="003C06C8">
              <w:rPr>
                <w:szCs w:val="24"/>
              </w:rPr>
              <w:t xml:space="preserve"> (kan resultere i kolde og blege ekstremiteter)</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bCs/>
                <w:szCs w:val="24"/>
              </w:rPr>
            </w:pPr>
            <w:r w:rsidRPr="003C06C8">
              <w:rPr>
                <w:bCs/>
                <w:szCs w:val="24"/>
              </w:rPr>
              <w:t>Mave-tarm-kanalen</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bCs/>
                <w:szCs w:val="24"/>
              </w:rPr>
            </w:pPr>
            <w:r w:rsidRPr="003C06C8">
              <w:rPr>
                <w:bCs/>
                <w:szCs w:val="24"/>
              </w:rPr>
              <w:t>Kvalme, opkastning</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bCs/>
                <w:szCs w:val="24"/>
              </w:rPr>
            </w:pPr>
            <w:r w:rsidRPr="003C06C8">
              <w:rPr>
                <w:bCs/>
                <w:szCs w:val="24"/>
              </w:rPr>
              <w:t>Hud og subkutane væv</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bCs/>
                <w:szCs w:val="24"/>
              </w:rPr>
            </w:pPr>
            <w:r w:rsidRPr="003C06C8">
              <w:rPr>
                <w:bCs/>
                <w:szCs w:val="24"/>
              </w:rPr>
              <w:t xml:space="preserve">Bleghed, </w:t>
            </w:r>
            <w:proofErr w:type="spellStart"/>
            <w:r w:rsidRPr="003C06C8">
              <w:rPr>
                <w:bCs/>
                <w:szCs w:val="24"/>
              </w:rPr>
              <w:t>skarifikation</w:t>
            </w:r>
            <w:proofErr w:type="spellEnd"/>
            <w:r w:rsidRPr="003C06C8">
              <w:rPr>
                <w:bCs/>
                <w:szCs w:val="24"/>
              </w:rPr>
              <w:t xml:space="preserve"> af huden, blålig hudfarve, hedetur eller hudrødme, hududslæt, nældefeber eller kløe</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bCs/>
                <w:szCs w:val="24"/>
              </w:rPr>
            </w:pPr>
            <w:r w:rsidRPr="003C06C8">
              <w:rPr>
                <w:bCs/>
                <w:szCs w:val="24"/>
              </w:rPr>
              <w:t>Nyrer og urinveje</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bCs/>
                <w:szCs w:val="24"/>
              </w:rPr>
            </w:pPr>
            <w:r w:rsidRPr="003C06C8">
              <w:rPr>
                <w:bCs/>
                <w:szCs w:val="24"/>
              </w:rPr>
              <w:t>Urinretention</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szCs w:val="24"/>
              </w:rPr>
            </w:pPr>
            <w:r w:rsidRPr="003C06C8">
              <w:rPr>
                <w:bCs/>
                <w:szCs w:val="24"/>
              </w:rPr>
              <w:t xml:space="preserve">Luftveje, thorax og </w:t>
            </w:r>
            <w:proofErr w:type="spellStart"/>
            <w:r w:rsidRPr="003C06C8">
              <w:rPr>
                <w:bCs/>
                <w:szCs w:val="24"/>
              </w:rPr>
              <w:t>mediastinum</w:t>
            </w:r>
            <w:proofErr w:type="spellEnd"/>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szCs w:val="24"/>
              </w:rPr>
            </w:pPr>
            <w:r w:rsidRPr="003C06C8">
              <w:rPr>
                <w:szCs w:val="24"/>
              </w:rPr>
              <w:t>Dyspnø</w:t>
            </w:r>
          </w:p>
        </w:tc>
      </w:tr>
      <w:tr w:rsidR="003C06C8" w:rsidRPr="003C06C8" w:rsidTr="00990DA7">
        <w:tc>
          <w:tcPr>
            <w:tcW w:w="3686"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tabs>
                <w:tab w:val="left" w:pos="851"/>
              </w:tabs>
              <w:ind w:left="33"/>
              <w:rPr>
                <w:szCs w:val="24"/>
              </w:rPr>
            </w:pPr>
            <w:r w:rsidRPr="003C06C8">
              <w:rPr>
                <w:bCs/>
                <w:szCs w:val="24"/>
              </w:rPr>
              <w:t>Almene symptomer og reaktioner på administrationsstedet</w:t>
            </w:r>
          </w:p>
        </w:tc>
        <w:tc>
          <w:tcPr>
            <w:tcW w:w="5245" w:type="dxa"/>
            <w:tcBorders>
              <w:top w:val="single" w:sz="4" w:space="0" w:color="auto"/>
              <w:left w:val="single" w:sz="4" w:space="0" w:color="auto"/>
              <w:bottom w:val="single" w:sz="4" w:space="0" w:color="auto"/>
              <w:right w:val="single" w:sz="4" w:space="0" w:color="auto"/>
            </w:tcBorders>
            <w:hideMark/>
          </w:tcPr>
          <w:p w:rsidR="003C06C8" w:rsidRPr="003C06C8" w:rsidRDefault="003C06C8" w:rsidP="00990DA7">
            <w:pPr>
              <w:pStyle w:val="Sidehoved"/>
              <w:ind w:left="28"/>
              <w:rPr>
                <w:szCs w:val="24"/>
              </w:rPr>
            </w:pPr>
            <w:proofErr w:type="spellStart"/>
            <w:r w:rsidRPr="003C06C8">
              <w:rPr>
                <w:szCs w:val="24"/>
              </w:rPr>
              <w:t>Extravasation</w:t>
            </w:r>
            <w:proofErr w:type="spellEnd"/>
            <w:r w:rsidRPr="003C06C8">
              <w:rPr>
                <w:szCs w:val="24"/>
              </w:rPr>
              <w:t>, nekrose på injektionsstedet</w:t>
            </w:r>
          </w:p>
        </w:tc>
      </w:tr>
    </w:tbl>
    <w:p w:rsidR="003C06C8" w:rsidRPr="001F22FD" w:rsidRDefault="003C06C8" w:rsidP="001F22FD">
      <w:pPr>
        <w:pStyle w:val="Sidehoved"/>
        <w:tabs>
          <w:tab w:val="left" w:pos="1134"/>
        </w:tabs>
        <w:ind w:left="851"/>
        <w:rPr>
          <w:sz w:val="22"/>
          <w:szCs w:val="22"/>
        </w:rPr>
      </w:pPr>
      <w:r w:rsidRPr="001F22FD">
        <w:rPr>
          <w:sz w:val="22"/>
          <w:szCs w:val="22"/>
          <w:vertAlign w:val="superscript"/>
        </w:rPr>
        <w:t>1</w:t>
      </w:r>
      <w:r w:rsidRPr="001F22FD">
        <w:rPr>
          <w:sz w:val="22"/>
          <w:szCs w:val="22"/>
        </w:rPr>
        <w:tab/>
        <w:t>Bradykardi, sandsynligvis som følgeresultat af stigning i blodtrykket</w:t>
      </w:r>
    </w:p>
    <w:p w:rsidR="003C06C8" w:rsidRPr="001F22FD" w:rsidRDefault="003C06C8" w:rsidP="001F22FD">
      <w:pPr>
        <w:pStyle w:val="Sidehoved"/>
        <w:tabs>
          <w:tab w:val="left" w:pos="1134"/>
        </w:tabs>
        <w:ind w:left="851"/>
        <w:rPr>
          <w:sz w:val="22"/>
          <w:szCs w:val="22"/>
        </w:rPr>
      </w:pPr>
      <w:r w:rsidRPr="001F22FD">
        <w:rPr>
          <w:sz w:val="22"/>
          <w:szCs w:val="22"/>
          <w:vertAlign w:val="superscript"/>
        </w:rPr>
        <w:t>2</w:t>
      </w:r>
      <w:r w:rsidRPr="001F22FD">
        <w:rPr>
          <w:sz w:val="22"/>
          <w:szCs w:val="22"/>
        </w:rPr>
        <w:tab/>
        <w:t xml:space="preserve">Iskæmi på grund af potent </w:t>
      </w:r>
      <w:proofErr w:type="spellStart"/>
      <w:r w:rsidRPr="001F22FD">
        <w:rPr>
          <w:sz w:val="22"/>
          <w:szCs w:val="22"/>
        </w:rPr>
        <w:t>vasokonstriktorvirkning</w:t>
      </w:r>
      <w:proofErr w:type="spellEnd"/>
      <w:r w:rsidRPr="001F22FD">
        <w:rPr>
          <w:sz w:val="22"/>
          <w:szCs w:val="22"/>
        </w:rPr>
        <w:t xml:space="preserve"> og </w:t>
      </w:r>
      <w:proofErr w:type="spellStart"/>
      <w:r w:rsidRPr="001F22FD">
        <w:rPr>
          <w:sz w:val="22"/>
          <w:szCs w:val="22"/>
        </w:rPr>
        <w:t>vævshypoksi</w:t>
      </w:r>
      <w:proofErr w:type="spellEnd"/>
    </w:p>
    <w:p w:rsidR="003C06C8" w:rsidRPr="003C06C8" w:rsidRDefault="003C06C8" w:rsidP="003C06C8">
      <w:pPr>
        <w:pStyle w:val="Sidehoved"/>
        <w:tabs>
          <w:tab w:val="left" w:pos="851"/>
        </w:tabs>
        <w:ind w:left="851"/>
        <w:rPr>
          <w:szCs w:val="24"/>
        </w:rPr>
      </w:pPr>
    </w:p>
    <w:p w:rsidR="003C06C8" w:rsidRPr="003C06C8" w:rsidRDefault="003C06C8" w:rsidP="003C06C8">
      <w:pPr>
        <w:pStyle w:val="Sidehoved"/>
        <w:tabs>
          <w:tab w:val="left" w:pos="851"/>
        </w:tabs>
        <w:ind w:left="851"/>
        <w:rPr>
          <w:szCs w:val="24"/>
        </w:rPr>
      </w:pPr>
      <w:r w:rsidRPr="003C06C8">
        <w:rPr>
          <w:szCs w:val="24"/>
        </w:rPr>
        <w:lastRenderedPageBreak/>
        <w:t xml:space="preserve">Fortsat administration af </w:t>
      </w:r>
      <w:proofErr w:type="spellStart"/>
      <w:r w:rsidRPr="003C06C8">
        <w:rPr>
          <w:szCs w:val="24"/>
        </w:rPr>
        <w:t>vasopressor</w:t>
      </w:r>
      <w:proofErr w:type="spellEnd"/>
      <w:r w:rsidRPr="003C06C8">
        <w:rPr>
          <w:szCs w:val="24"/>
        </w:rPr>
        <w:t xml:space="preserve"> for at fastholde blodtrykket uden substitution af blodvolumen kan forårsage følgende symptomer: </w:t>
      </w:r>
    </w:p>
    <w:p w:rsidR="003C06C8" w:rsidRPr="003C06C8" w:rsidRDefault="003C06C8" w:rsidP="003C06C8">
      <w:pPr>
        <w:pStyle w:val="Sidehoved"/>
        <w:numPr>
          <w:ilvl w:val="0"/>
          <w:numId w:val="10"/>
        </w:numPr>
        <w:tabs>
          <w:tab w:val="left" w:pos="851"/>
        </w:tabs>
        <w:ind w:left="1134" w:hanging="283"/>
        <w:rPr>
          <w:szCs w:val="24"/>
        </w:rPr>
      </w:pPr>
      <w:r w:rsidRPr="003C06C8">
        <w:rPr>
          <w:szCs w:val="24"/>
        </w:rPr>
        <w:t xml:space="preserve">svær perifer og </w:t>
      </w:r>
      <w:proofErr w:type="spellStart"/>
      <w:r w:rsidRPr="003C06C8">
        <w:rPr>
          <w:szCs w:val="24"/>
        </w:rPr>
        <w:t>visceral</w:t>
      </w:r>
      <w:proofErr w:type="spellEnd"/>
      <w:r w:rsidRPr="003C06C8">
        <w:rPr>
          <w:szCs w:val="24"/>
        </w:rPr>
        <w:t xml:space="preserve"> </w:t>
      </w:r>
      <w:proofErr w:type="spellStart"/>
      <w:r w:rsidRPr="003C06C8">
        <w:rPr>
          <w:szCs w:val="24"/>
        </w:rPr>
        <w:t>vasokonstriktion</w:t>
      </w:r>
      <w:proofErr w:type="spellEnd"/>
      <w:r w:rsidRPr="003C06C8">
        <w:rPr>
          <w:szCs w:val="24"/>
        </w:rPr>
        <w:t xml:space="preserve"> </w:t>
      </w:r>
    </w:p>
    <w:p w:rsidR="003C06C8" w:rsidRPr="003C06C8" w:rsidRDefault="003C06C8" w:rsidP="003C06C8">
      <w:pPr>
        <w:pStyle w:val="Sidehoved"/>
        <w:numPr>
          <w:ilvl w:val="0"/>
          <w:numId w:val="10"/>
        </w:numPr>
        <w:tabs>
          <w:tab w:val="left" w:pos="851"/>
        </w:tabs>
        <w:ind w:left="1134" w:hanging="283"/>
        <w:rPr>
          <w:szCs w:val="24"/>
        </w:rPr>
      </w:pPr>
      <w:r w:rsidRPr="003C06C8">
        <w:rPr>
          <w:szCs w:val="24"/>
        </w:rPr>
        <w:t xml:space="preserve">nedsat blodgennemstrømning i nyrerne </w:t>
      </w:r>
    </w:p>
    <w:p w:rsidR="003C06C8" w:rsidRPr="003C06C8" w:rsidRDefault="003C06C8" w:rsidP="003C06C8">
      <w:pPr>
        <w:pStyle w:val="Sidehoved"/>
        <w:numPr>
          <w:ilvl w:val="0"/>
          <w:numId w:val="10"/>
        </w:numPr>
        <w:tabs>
          <w:tab w:val="left" w:pos="851"/>
        </w:tabs>
        <w:ind w:left="1134" w:hanging="283"/>
        <w:rPr>
          <w:szCs w:val="24"/>
        </w:rPr>
      </w:pPr>
      <w:r w:rsidRPr="003C06C8">
        <w:rPr>
          <w:szCs w:val="24"/>
        </w:rPr>
        <w:t xml:space="preserve">nedsat urinproduktion </w:t>
      </w:r>
    </w:p>
    <w:p w:rsidR="003C06C8" w:rsidRPr="003C06C8" w:rsidRDefault="003C06C8" w:rsidP="003C06C8">
      <w:pPr>
        <w:pStyle w:val="Sidehoved"/>
        <w:numPr>
          <w:ilvl w:val="0"/>
          <w:numId w:val="10"/>
        </w:numPr>
        <w:tabs>
          <w:tab w:val="left" w:pos="851"/>
        </w:tabs>
        <w:ind w:left="1134" w:hanging="283"/>
        <w:rPr>
          <w:szCs w:val="24"/>
        </w:rPr>
      </w:pPr>
      <w:proofErr w:type="spellStart"/>
      <w:r w:rsidRPr="003C06C8">
        <w:rPr>
          <w:szCs w:val="24"/>
        </w:rPr>
        <w:t>hypoksi</w:t>
      </w:r>
      <w:proofErr w:type="spellEnd"/>
    </w:p>
    <w:p w:rsidR="003C06C8" w:rsidRPr="003C06C8" w:rsidRDefault="003C06C8" w:rsidP="003C06C8">
      <w:pPr>
        <w:pStyle w:val="Sidehoved"/>
        <w:numPr>
          <w:ilvl w:val="0"/>
          <w:numId w:val="10"/>
        </w:numPr>
        <w:tabs>
          <w:tab w:val="left" w:pos="851"/>
        </w:tabs>
        <w:ind w:left="1134" w:hanging="283"/>
        <w:rPr>
          <w:szCs w:val="24"/>
        </w:rPr>
      </w:pPr>
      <w:r w:rsidRPr="003C06C8">
        <w:rPr>
          <w:szCs w:val="24"/>
        </w:rPr>
        <w:t xml:space="preserve">stigning i laktatniveauerne i serum. </w:t>
      </w:r>
    </w:p>
    <w:p w:rsidR="003C06C8" w:rsidRPr="003C06C8" w:rsidRDefault="003C06C8" w:rsidP="003C06C8">
      <w:pPr>
        <w:pStyle w:val="Sidehoved"/>
        <w:tabs>
          <w:tab w:val="left" w:pos="851"/>
        </w:tabs>
        <w:ind w:left="851"/>
        <w:rPr>
          <w:szCs w:val="24"/>
        </w:rPr>
      </w:pPr>
    </w:p>
    <w:p w:rsidR="003C06C8" w:rsidRPr="003C06C8" w:rsidRDefault="003C06C8" w:rsidP="003C06C8">
      <w:pPr>
        <w:pStyle w:val="Sidehoved"/>
        <w:tabs>
          <w:tab w:val="left" w:pos="851"/>
        </w:tabs>
        <w:ind w:left="851"/>
        <w:rPr>
          <w:szCs w:val="24"/>
        </w:rPr>
      </w:pPr>
      <w:r w:rsidRPr="003C06C8">
        <w:rPr>
          <w:szCs w:val="24"/>
        </w:rPr>
        <w:t xml:space="preserve">I tilfælde af overfølsomhed eller overdosis kan følgende bivirkninger forekomme hyppigere: </w:t>
      </w:r>
      <w:r w:rsidR="001F22FD">
        <w:rPr>
          <w:szCs w:val="24"/>
        </w:rPr>
        <w:t>H</w:t>
      </w:r>
      <w:r w:rsidRPr="003C06C8">
        <w:rPr>
          <w:szCs w:val="24"/>
        </w:rPr>
        <w:t xml:space="preserve">ypertension, fotofobi, </w:t>
      </w:r>
      <w:proofErr w:type="spellStart"/>
      <w:r w:rsidRPr="003C06C8">
        <w:rPr>
          <w:szCs w:val="24"/>
        </w:rPr>
        <w:t>retrosternale</w:t>
      </w:r>
      <w:proofErr w:type="spellEnd"/>
      <w:r w:rsidRPr="003C06C8">
        <w:rPr>
          <w:szCs w:val="24"/>
        </w:rPr>
        <w:t xml:space="preserve"> smerter, </w:t>
      </w:r>
      <w:proofErr w:type="spellStart"/>
      <w:r w:rsidRPr="003C06C8">
        <w:rPr>
          <w:szCs w:val="24"/>
        </w:rPr>
        <w:t>pharyngeale</w:t>
      </w:r>
      <w:proofErr w:type="spellEnd"/>
      <w:r w:rsidRPr="003C06C8">
        <w:rPr>
          <w:szCs w:val="24"/>
        </w:rPr>
        <w:t xml:space="preserve"> smerter, bleghed, kraftig svedproduktion og opkastning.</w:t>
      </w:r>
    </w:p>
    <w:p w:rsidR="003C06C8" w:rsidRPr="003C06C8" w:rsidRDefault="003C06C8" w:rsidP="003C06C8">
      <w:pPr>
        <w:pStyle w:val="Sidehoved"/>
        <w:tabs>
          <w:tab w:val="left" w:pos="851"/>
        </w:tabs>
        <w:ind w:left="851"/>
        <w:rPr>
          <w:szCs w:val="24"/>
        </w:rPr>
      </w:pPr>
    </w:p>
    <w:p w:rsidR="003C06C8" w:rsidRPr="003C06C8" w:rsidRDefault="003C06C8" w:rsidP="003C06C8">
      <w:pPr>
        <w:pStyle w:val="Sidehoved"/>
        <w:tabs>
          <w:tab w:val="left" w:pos="851"/>
        </w:tabs>
        <w:ind w:left="851"/>
        <w:rPr>
          <w:szCs w:val="24"/>
        </w:rPr>
      </w:pPr>
      <w:proofErr w:type="spellStart"/>
      <w:r w:rsidRPr="003C06C8">
        <w:rPr>
          <w:szCs w:val="24"/>
        </w:rPr>
        <w:t>Vasopressoreffekten</w:t>
      </w:r>
      <w:proofErr w:type="spellEnd"/>
      <w:r w:rsidRPr="003C06C8">
        <w:rPr>
          <w:szCs w:val="24"/>
        </w:rPr>
        <w:t xml:space="preserve"> (som følge af den </w:t>
      </w:r>
      <w:proofErr w:type="spellStart"/>
      <w:r w:rsidRPr="003C06C8">
        <w:rPr>
          <w:szCs w:val="24"/>
        </w:rPr>
        <w:t>adrenergiske</w:t>
      </w:r>
      <w:proofErr w:type="spellEnd"/>
      <w:r w:rsidRPr="003C06C8">
        <w:rPr>
          <w:szCs w:val="24"/>
        </w:rPr>
        <w:t xml:space="preserve"> virkning på karrene) kan reduceres ved samtidig administration af et alfa-blokerende middel (</w:t>
      </w:r>
      <w:proofErr w:type="spellStart"/>
      <w:r w:rsidRPr="003C06C8">
        <w:rPr>
          <w:szCs w:val="24"/>
        </w:rPr>
        <w:t>phentolaminmesilat</w:t>
      </w:r>
      <w:proofErr w:type="spellEnd"/>
      <w:r w:rsidRPr="003C06C8">
        <w:rPr>
          <w:szCs w:val="24"/>
        </w:rPr>
        <w:t>), mens administration af et beta-blokerende middel (</w:t>
      </w:r>
      <w:proofErr w:type="spellStart"/>
      <w:r w:rsidRPr="003C06C8">
        <w:rPr>
          <w:szCs w:val="24"/>
        </w:rPr>
        <w:t>propranolol</w:t>
      </w:r>
      <w:proofErr w:type="spellEnd"/>
      <w:r w:rsidRPr="003C06C8">
        <w:rPr>
          <w:szCs w:val="24"/>
        </w:rPr>
        <w:t xml:space="preserve">) kan resultere i en reduktion af den stimulerende virkning af produktet på hjertet og i en forøgelse af </w:t>
      </w:r>
      <w:proofErr w:type="spellStart"/>
      <w:r w:rsidRPr="003C06C8">
        <w:rPr>
          <w:szCs w:val="24"/>
        </w:rPr>
        <w:t>hypertensoreffekten</w:t>
      </w:r>
      <w:proofErr w:type="spellEnd"/>
      <w:r w:rsidRPr="003C06C8">
        <w:rPr>
          <w:szCs w:val="24"/>
        </w:rPr>
        <w:t xml:space="preserve"> (gennem reduktion af </w:t>
      </w:r>
      <w:proofErr w:type="spellStart"/>
      <w:r w:rsidRPr="003C06C8">
        <w:rPr>
          <w:szCs w:val="24"/>
        </w:rPr>
        <w:t>arteriolar</w:t>
      </w:r>
      <w:proofErr w:type="spellEnd"/>
      <w:r w:rsidRPr="003C06C8">
        <w:rPr>
          <w:szCs w:val="24"/>
        </w:rPr>
        <w:t xml:space="preserve"> dilatation), som følge af beta</w:t>
      </w:r>
      <w:r w:rsidRPr="003C06C8">
        <w:rPr>
          <w:szCs w:val="24"/>
        </w:rPr>
        <w:noBreakHyphen/>
        <w:t xml:space="preserve">1 </w:t>
      </w:r>
      <w:proofErr w:type="spellStart"/>
      <w:r w:rsidRPr="003C06C8">
        <w:rPr>
          <w:szCs w:val="24"/>
        </w:rPr>
        <w:t>adrenerg</w:t>
      </w:r>
      <w:proofErr w:type="spellEnd"/>
      <w:r w:rsidRPr="003C06C8">
        <w:rPr>
          <w:szCs w:val="24"/>
        </w:rPr>
        <w:t xml:space="preserve"> stimulering. </w:t>
      </w:r>
    </w:p>
    <w:p w:rsidR="003C06C8" w:rsidRPr="003C06C8" w:rsidRDefault="003C06C8" w:rsidP="003C06C8">
      <w:pPr>
        <w:pStyle w:val="Sidehoved"/>
        <w:tabs>
          <w:tab w:val="left" w:pos="851"/>
        </w:tabs>
        <w:ind w:left="851"/>
        <w:rPr>
          <w:szCs w:val="24"/>
        </w:rPr>
      </w:pPr>
    </w:p>
    <w:p w:rsidR="003C06C8" w:rsidRPr="003C06C8" w:rsidRDefault="003C06C8" w:rsidP="003C06C8">
      <w:pPr>
        <w:pStyle w:val="Sidehoved"/>
        <w:tabs>
          <w:tab w:val="left" w:pos="851"/>
        </w:tabs>
        <w:ind w:left="851"/>
        <w:rPr>
          <w:szCs w:val="24"/>
        </w:rPr>
      </w:pPr>
      <w:r w:rsidRPr="003C06C8">
        <w:rPr>
          <w:szCs w:val="24"/>
        </w:rPr>
        <w:t xml:space="preserve">Langvarig administration af noradrenalin kan forårsage reduktion af plasmavolumen, som derfor konstant bør korrigeres ved hjælp af passende behandling med væske- og elektrolytsubstitution. Hvis plasmavolumen ikke korrigeres, kan hypotension gentage sig, når noradrenalin-infusionen seponeres, eller blodtrykket kan opretholdes med risikoen for svær perifer og </w:t>
      </w:r>
      <w:proofErr w:type="spellStart"/>
      <w:r w:rsidRPr="003C06C8">
        <w:rPr>
          <w:szCs w:val="24"/>
        </w:rPr>
        <w:t>visceral</w:t>
      </w:r>
      <w:proofErr w:type="spellEnd"/>
      <w:r w:rsidRPr="003C06C8">
        <w:rPr>
          <w:szCs w:val="24"/>
        </w:rPr>
        <w:t xml:space="preserve"> </w:t>
      </w:r>
      <w:proofErr w:type="spellStart"/>
      <w:r w:rsidRPr="003C06C8">
        <w:rPr>
          <w:szCs w:val="24"/>
        </w:rPr>
        <w:t>vasokonstriktion</w:t>
      </w:r>
      <w:proofErr w:type="spellEnd"/>
      <w:r w:rsidRPr="003C06C8">
        <w:rPr>
          <w:szCs w:val="24"/>
        </w:rPr>
        <w:t xml:space="preserve"> med reduktion i blodgennemstrømning.</w:t>
      </w:r>
    </w:p>
    <w:p w:rsidR="003C06C8" w:rsidRPr="003C06C8" w:rsidRDefault="003C06C8" w:rsidP="003C06C8">
      <w:pPr>
        <w:pStyle w:val="Sidehoved"/>
        <w:ind w:left="851"/>
        <w:rPr>
          <w:szCs w:val="24"/>
        </w:rPr>
      </w:pPr>
    </w:p>
    <w:p w:rsidR="003C06C8" w:rsidRPr="003C06C8" w:rsidRDefault="003C06C8" w:rsidP="003C06C8">
      <w:pPr>
        <w:pStyle w:val="Sidehoved"/>
        <w:tabs>
          <w:tab w:val="left" w:pos="851"/>
        </w:tabs>
        <w:ind w:left="851"/>
        <w:rPr>
          <w:szCs w:val="24"/>
        </w:rPr>
      </w:pPr>
      <w:r w:rsidRPr="003C06C8">
        <w:rPr>
          <w:szCs w:val="24"/>
        </w:rPr>
        <w:t>Der kan forekomme hypertension, hvilket kan være forbundet med bradykardi såvel som hovedpine og perifer iskæmi, inklusive gangræn i ekstremiteterne.</w:t>
      </w:r>
    </w:p>
    <w:p w:rsidR="003C06C8" w:rsidRPr="003C06C8" w:rsidRDefault="003C06C8" w:rsidP="003C06C8">
      <w:pPr>
        <w:pStyle w:val="Sidehoved"/>
        <w:tabs>
          <w:tab w:val="left" w:pos="851"/>
        </w:tabs>
        <w:ind w:left="851"/>
        <w:rPr>
          <w:szCs w:val="24"/>
        </w:rPr>
      </w:pPr>
    </w:p>
    <w:p w:rsidR="003C06C8" w:rsidRPr="003C06C8" w:rsidRDefault="003C06C8" w:rsidP="003C06C8">
      <w:pPr>
        <w:pStyle w:val="Sidehoved"/>
        <w:tabs>
          <w:tab w:val="left" w:pos="851"/>
        </w:tabs>
        <w:ind w:left="851"/>
        <w:rPr>
          <w:szCs w:val="24"/>
          <w:u w:val="single"/>
        </w:rPr>
      </w:pPr>
      <w:r w:rsidRPr="003C06C8">
        <w:rPr>
          <w:szCs w:val="24"/>
          <w:u w:val="single"/>
        </w:rPr>
        <w:t>Indberetning af formodede bivirkninger</w:t>
      </w:r>
    </w:p>
    <w:p w:rsidR="003C06C8" w:rsidRPr="003C06C8" w:rsidRDefault="003C06C8" w:rsidP="003C06C8">
      <w:pPr>
        <w:pStyle w:val="Sidehoved"/>
        <w:tabs>
          <w:tab w:val="left" w:pos="851"/>
        </w:tabs>
        <w:ind w:left="851"/>
        <w:rPr>
          <w:szCs w:val="24"/>
        </w:rPr>
      </w:pPr>
      <w:r w:rsidRPr="003C06C8">
        <w:rPr>
          <w:szCs w:val="24"/>
        </w:rPr>
        <w:t>Når lægemidlet er godkendt, er indberetning af formodede bivirkninger vigtig. Det muliggør løbende overvågning af benefit/</w:t>
      </w:r>
      <w:proofErr w:type="spellStart"/>
      <w:r w:rsidRPr="003C06C8">
        <w:rPr>
          <w:szCs w:val="24"/>
        </w:rPr>
        <w:t>risk</w:t>
      </w:r>
      <w:proofErr w:type="spellEnd"/>
      <w:r w:rsidRPr="003C06C8">
        <w:rPr>
          <w:szCs w:val="24"/>
        </w:rPr>
        <w:t xml:space="preserve">-forholdet for lægemidlet. Sundhedspersoner anmodes om at indberette alle formodede bivirkninger via </w:t>
      </w:r>
    </w:p>
    <w:p w:rsidR="003C06C8" w:rsidRPr="003C06C8" w:rsidRDefault="003C06C8" w:rsidP="003C06C8">
      <w:pPr>
        <w:pStyle w:val="Sidehoved"/>
        <w:tabs>
          <w:tab w:val="left" w:pos="851"/>
        </w:tabs>
        <w:ind w:left="851"/>
        <w:rPr>
          <w:szCs w:val="24"/>
        </w:rPr>
      </w:pPr>
      <w:r w:rsidRPr="003C06C8">
        <w:rPr>
          <w:szCs w:val="24"/>
        </w:rPr>
        <w:br/>
        <w:t>Lægemiddelstyrelsen</w:t>
      </w:r>
    </w:p>
    <w:p w:rsidR="003C06C8" w:rsidRPr="003C06C8" w:rsidRDefault="003C06C8" w:rsidP="003C06C8">
      <w:pPr>
        <w:pStyle w:val="Sidehoved"/>
        <w:tabs>
          <w:tab w:val="left" w:pos="851"/>
        </w:tabs>
        <w:ind w:left="851"/>
        <w:rPr>
          <w:szCs w:val="24"/>
        </w:rPr>
      </w:pPr>
      <w:r w:rsidRPr="003C06C8">
        <w:rPr>
          <w:szCs w:val="24"/>
        </w:rPr>
        <w:t>Axel Heides Gade 1</w:t>
      </w:r>
    </w:p>
    <w:p w:rsidR="003C06C8" w:rsidRPr="003C06C8" w:rsidRDefault="003C06C8" w:rsidP="003C06C8">
      <w:pPr>
        <w:pStyle w:val="Sidehoved"/>
        <w:tabs>
          <w:tab w:val="left" w:pos="851"/>
        </w:tabs>
        <w:ind w:left="851"/>
        <w:rPr>
          <w:szCs w:val="24"/>
        </w:rPr>
      </w:pPr>
      <w:r w:rsidRPr="003C06C8">
        <w:rPr>
          <w:szCs w:val="24"/>
        </w:rPr>
        <w:t>DK-2300 København S</w:t>
      </w:r>
    </w:p>
    <w:p w:rsidR="003C06C8" w:rsidRPr="00A85ED3" w:rsidRDefault="003C06C8" w:rsidP="003C06C8">
      <w:pPr>
        <w:pStyle w:val="Sidehoved"/>
        <w:tabs>
          <w:tab w:val="left" w:pos="851"/>
        </w:tabs>
        <w:ind w:left="851"/>
        <w:rPr>
          <w:szCs w:val="24"/>
        </w:rPr>
      </w:pPr>
      <w:r w:rsidRPr="00A85ED3">
        <w:rPr>
          <w:szCs w:val="24"/>
        </w:rPr>
        <w:t>Websted: www.meldenbivirkning.dk</w:t>
      </w:r>
    </w:p>
    <w:p w:rsidR="009260DE" w:rsidRPr="00A85ED3" w:rsidRDefault="009260DE" w:rsidP="009260DE">
      <w:pPr>
        <w:pStyle w:val="Sidehoved"/>
        <w:tabs>
          <w:tab w:val="left" w:pos="851"/>
        </w:tabs>
        <w:ind w:left="851"/>
        <w:rPr>
          <w:szCs w:val="24"/>
        </w:rPr>
      </w:pPr>
    </w:p>
    <w:p w:rsidR="009260DE" w:rsidRPr="00A85ED3" w:rsidRDefault="009260DE" w:rsidP="009260DE">
      <w:pPr>
        <w:tabs>
          <w:tab w:val="left" w:pos="851"/>
        </w:tabs>
        <w:ind w:left="851" w:hanging="851"/>
        <w:rPr>
          <w:b/>
          <w:sz w:val="24"/>
          <w:szCs w:val="24"/>
        </w:rPr>
      </w:pPr>
      <w:r w:rsidRPr="00A85ED3">
        <w:rPr>
          <w:b/>
          <w:sz w:val="24"/>
          <w:szCs w:val="24"/>
        </w:rPr>
        <w:t>4.9</w:t>
      </w:r>
      <w:r w:rsidRPr="00A85ED3">
        <w:rPr>
          <w:b/>
          <w:sz w:val="24"/>
          <w:szCs w:val="24"/>
        </w:rPr>
        <w:tab/>
        <w:t>Overdosering</w:t>
      </w:r>
    </w:p>
    <w:p w:rsidR="00E06BE3" w:rsidRDefault="00E06BE3" w:rsidP="00E06BE3">
      <w:pPr>
        <w:tabs>
          <w:tab w:val="left" w:pos="851"/>
        </w:tabs>
        <w:ind w:left="851"/>
        <w:rPr>
          <w:sz w:val="24"/>
          <w:szCs w:val="24"/>
          <w:u w:val="single"/>
        </w:rPr>
      </w:pPr>
    </w:p>
    <w:p w:rsidR="00E06BE3" w:rsidRPr="00E06BE3" w:rsidRDefault="00E06BE3" w:rsidP="00E06BE3">
      <w:pPr>
        <w:tabs>
          <w:tab w:val="left" w:pos="851"/>
        </w:tabs>
        <w:ind w:left="851"/>
        <w:rPr>
          <w:sz w:val="24"/>
          <w:szCs w:val="24"/>
          <w:u w:val="single"/>
        </w:rPr>
      </w:pPr>
      <w:r w:rsidRPr="00E06BE3">
        <w:rPr>
          <w:sz w:val="24"/>
          <w:szCs w:val="24"/>
          <w:u w:val="single"/>
        </w:rPr>
        <w:t>Symptomer</w:t>
      </w:r>
    </w:p>
    <w:p w:rsidR="00E06BE3" w:rsidRPr="00E06BE3" w:rsidRDefault="00E06BE3" w:rsidP="00E06BE3">
      <w:pPr>
        <w:tabs>
          <w:tab w:val="left" w:pos="851"/>
        </w:tabs>
        <w:ind w:left="851"/>
        <w:rPr>
          <w:sz w:val="24"/>
          <w:szCs w:val="24"/>
        </w:rPr>
      </w:pPr>
      <w:r w:rsidRPr="00E06BE3">
        <w:rPr>
          <w:sz w:val="24"/>
          <w:szCs w:val="24"/>
        </w:rPr>
        <w:t xml:space="preserve">Overdosering kan medføre hovedpine, svær hypertension, reflektorisk bradykardi, markant stigning i perifer modstand og nedsat hjerteproduktion. Disse kan ledsages af voldsom hovedpine, hjerneblødning, fotofobi, </w:t>
      </w:r>
      <w:proofErr w:type="spellStart"/>
      <w:r w:rsidRPr="00E06BE3">
        <w:rPr>
          <w:sz w:val="24"/>
          <w:szCs w:val="24"/>
        </w:rPr>
        <w:t>retrosternal</w:t>
      </w:r>
      <w:proofErr w:type="spellEnd"/>
      <w:r w:rsidRPr="00E06BE3">
        <w:rPr>
          <w:sz w:val="24"/>
          <w:szCs w:val="24"/>
        </w:rPr>
        <w:t xml:space="preserve"> smerte, bleghed, feber, kraftig svedproduktion, lungeødem og opkastning.</w:t>
      </w:r>
    </w:p>
    <w:p w:rsidR="00E06BE3" w:rsidRPr="00E06BE3" w:rsidRDefault="00E06BE3" w:rsidP="00E06BE3">
      <w:pPr>
        <w:tabs>
          <w:tab w:val="left" w:pos="851"/>
        </w:tabs>
        <w:ind w:left="851"/>
        <w:rPr>
          <w:sz w:val="24"/>
          <w:szCs w:val="24"/>
        </w:rPr>
      </w:pPr>
    </w:p>
    <w:p w:rsidR="00E06BE3" w:rsidRPr="00E06BE3" w:rsidRDefault="00E06BE3" w:rsidP="00E06BE3">
      <w:pPr>
        <w:tabs>
          <w:tab w:val="left" w:pos="851"/>
        </w:tabs>
        <w:ind w:left="851"/>
        <w:rPr>
          <w:sz w:val="24"/>
          <w:szCs w:val="24"/>
          <w:u w:val="single"/>
        </w:rPr>
      </w:pPr>
      <w:r w:rsidRPr="00E06BE3">
        <w:rPr>
          <w:sz w:val="24"/>
          <w:szCs w:val="24"/>
          <w:u w:val="single"/>
        </w:rPr>
        <w:t>Behandling</w:t>
      </w:r>
    </w:p>
    <w:p w:rsidR="00E06BE3" w:rsidRPr="00E06BE3" w:rsidRDefault="00E06BE3" w:rsidP="00E06BE3">
      <w:pPr>
        <w:tabs>
          <w:tab w:val="left" w:pos="851"/>
        </w:tabs>
        <w:ind w:left="851"/>
        <w:rPr>
          <w:sz w:val="24"/>
          <w:szCs w:val="24"/>
        </w:rPr>
      </w:pPr>
      <w:r w:rsidRPr="00E06BE3">
        <w:rPr>
          <w:sz w:val="24"/>
          <w:szCs w:val="24"/>
        </w:rPr>
        <w:t xml:space="preserve">I tilfælde af utilsigtet overdosis, bevidnet af </w:t>
      </w:r>
      <w:proofErr w:type="spellStart"/>
      <w:r w:rsidRPr="00E06BE3">
        <w:rPr>
          <w:sz w:val="24"/>
          <w:szCs w:val="24"/>
        </w:rPr>
        <w:t>ekscessiv</w:t>
      </w:r>
      <w:proofErr w:type="spellEnd"/>
      <w:r w:rsidRPr="00E06BE3">
        <w:rPr>
          <w:sz w:val="24"/>
          <w:szCs w:val="24"/>
        </w:rPr>
        <w:t xml:space="preserve"> forhøjelse af blodtrykket, skal lægemidlet seponeres, indtil patientens tilstand stabiliseres.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06BE3"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E06BE3" w:rsidRPr="00E06BE3" w:rsidRDefault="00542360" w:rsidP="00E06BE3">
      <w:pPr>
        <w:tabs>
          <w:tab w:val="left" w:pos="851"/>
        </w:tabs>
        <w:ind w:left="851"/>
        <w:rPr>
          <w:bCs/>
          <w:sz w:val="24"/>
          <w:szCs w:val="24"/>
        </w:rPr>
      </w:pPr>
      <w:r w:rsidRPr="00E06BE3">
        <w:rPr>
          <w:bCs/>
          <w:sz w:val="24"/>
          <w:szCs w:val="24"/>
        </w:rPr>
        <w:t>ATC-kode</w:t>
      </w:r>
      <w:r w:rsidR="00E06BE3" w:rsidRPr="00E06BE3">
        <w:rPr>
          <w:bCs/>
          <w:sz w:val="24"/>
          <w:szCs w:val="24"/>
        </w:rPr>
        <w:t>: C</w:t>
      </w:r>
      <w:r w:rsidR="00E06BE3">
        <w:rPr>
          <w:bCs/>
          <w:sz w:val="24"/>
          <w:szCs w:val="24"/>
        </w:rPr>
        <w:t xml:space="preserve"> </w:t>
      </w:r>
      <w:r w:rsidR="00E06BE3" w:rsidRPr="00E06BE3">
        <w:rPr>
          <w:bCs/>
          <w:sz w:val="24"/>
          <w:szCs w:val="24"/>
        </w:rPr>
        <w:t>01</w:t>
      </w:r>
      <w:r w:rsidR="00E06BE3">
        <w:rPr>
          <w:bCs/>
          <w:sz w:val="24"/>
          <w:szCs w:val="24"/>
        </w:rPr>
        <w:t xml:space="preserve"> </w:t>
      </w:r>
      <w:r w:rsidR="00E06BE3" w:rsidRPr="00E06BE3">
        <w:rPr>
          <w:bCs/>
          <w:sz w:val="24"/>
          <w:szCs w:val="24"/>
        </w:rPr>
        <w:t>CA</w:t>
      </w:r>
      <w:r w:rsidR="00E06BE3">
        <w:rPr>
          <w:bCs/>
          <w:sz w:val="24"/>
          <w:szCs w:val="24"/>
        </w:rPr>
        <w:t xml:space="preserve"> </w:t>
      </w:r>
      <w:r w:rsidR="00E06BE3" w:rsidRPr="00E06BE3">
        <w:rPr>
          <w:bCs/>
          <w:sz w:val="24"/>
          <w:szCs w:val="24"/>
        </w:rPr>
        <w:t xml:space="preserve">03. Hjertestimulerende midler, </w:t>
      </w:r>
      <w:proofErr w:type="spellStart"/>
      <w:r w:rsidR="00E06BE3" w:rsidRPr="00E06BE3">
        <w:rPr>
          <w:bCs/>
          <w:sz w:val="24"/>
          <w:szCs w:val="24"/>
        </w:rPr>
        <w:t>adrenerge</w:t>
      </w:r>
      <w:proofErr w:type="spellEnd"/>
      <w:r w:rsidR="00E06BE3" w:rsidRPr="00E06BE3">
        <w:rPr>
          <w:bCs/>
          <w:sz w:val="24"/>
          <w:szCs w:val="24"/>
        </w:rPr>
        <w:t xml:space="preserve"> og </w:t>
      </w:r>
      <w:proofErr w:type="spellStart"/>
      <w:r w:rsidR="00E06BE3" w:rsidRPr="00E06BE3">
        <w:rPr>
          <w:bCs/>
          <w:sz w:val="24"/>
          <w:szCs w:val="24"/>
        </w:rPr>
        <w:t>dopaminerge</w:t>
      </w:r>
      <w:proofErr w:type="spellEnd"/>
      <w:r w:rsidR="00E06BE3" w:rsidRPr="00E06BE3">
        <w:rPr>
          <w:bCs/>
          <w:sz w:val="24"/>
          <w:szCs w:val="24"/>
        </w:rPr>
        <w:t xml:space="preserve"> midler.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06BE3" w:rsidRPr="00E06BE3" w:rsidRDefault="00E06BE3" w:rsidP="00E06BE3">
      <w:pPr>
        <w:tabs>
          <w:tab w:val="left" w:pos="851"/>
        </w:tabs>
        <w:ind w:left="851"/>
        <w:rPr>
          <w:sz w:val="24"/>
          <w:szCs w:val="24"/>
        </w:rPr>
      </w:pPr>
      <w:r w:rsidRPr="00E06BE3">
        <w:rPr>
          <w:sz w:val="24"/>
          <w:szCs w:val="24"/>
        </w:rPr>
        <w:t xml:space="preserve">Noradrenalin har en meget potent virkning på alfa-receptorer og en mere moderat virkning på beta-1-receptorer. Noradrenalin forårsager generaliseret </w:t>
      </w:r>
      <w:proofErr w:type="spellStart"/>
      <w:r w:rsidRPr="00E06BE3">
        <w:rPr>
          <w:sz w:val="24"/>
          <w:szCs w:val="24"/>
        </w:rPr>
        <w:t>vasokonstriktion</w:t>
      </w:r>
      <w:proofErr w:type="spellEnd"/>
      <w:r w:rsidRPr="00E06BE3">
        <w:rPr>
          <w:sz w:val="24"/>
          <w:szCs w:val="24"/>
        </w:rPr>
        <w:t xml:space="preserve">, bortset fra </w:t>
      </w:r>
      <w:proofErr w:type="spellStart"/>
      <w:r w:rsidRPr="00E06BE3">
        <w:rPr>
          <w:sz w:val="24"/>
          <w:szCs w:val="24"/>
        </w:rPr>
        <w:t>koronarkarrene</w:t>
      </w:r>
      <w:proofErr w:type="spellEnd"/>
      <w:r w:rsidRPr="00E06BE3">
        <w:rPr>
          <w:sz w:val="24"/>
          <w:szCs w:val="24"/>
        </w:rPr>
        <w:t xml:space="preserve">, som det indirekte </w:t>
      </w:r>
      <w:proofErr w:type="spellStart"/>
      <w:r w:rsidRPr="00E06BE3">
        <w:rPr>
          <w:sz w:val="24"/>
          <w:szCs w:val="24"/>
        </w:rPr>
        <w:t>dilaterer</w:t>
      </w:r>
      <w:proofErr w:type="spellEnd"/>
      <w:r w:rsidRPr="00E06BE3">
        <w:rPr>
          <w:sz w:val="24"/>
          <w:szCs w:val="24"/>
        </w:rPr>
        <w:t xml:space="preserve"> ved at øge iltforbruget. Dette fører til en øgning i (og hvis </w:t>
      </w:r>
      <w:proofErr w:type="spellStart"/>
      <w:r w:rsidRPr="00E06BE3">
        <w:rPr>
          <w:sz w:val="24"/>
          <w:szCs w:val="24"/>
        </w:rPr>
        <w:t>vagus</w:t>
      </w:r>
      <w:proofErr w:type="spellEnd"/>
      <w:r w:rsidRPr="00E06BE3">
        <w:rPr>
          <w:sz w:val="24"/>
          <w:szCs w:val="24"/>
        </w:rPr>
        <w:t xml:space="preserve"> ikke hæmmes, i hyppigheden af) den </w:t>
      </w:r>
      <w:proofErr w:type="spellStart"/>
      <w:r w:rsidRPr="00E06BE3">
        <w:rPr>
          <w:sz w:val="24"/>
          <w:szCs w:val="24"/>
        </w:rPr>
        <w:t>myocardiale</w:t>
      </w:r>
      <w:proofErr w:type="spellEnd"/>
      <w:r w:rsidRPr="00E06BE3">
        <w:rPr>
          <w:sz w:val="24"/>
          <w:szCs w:val="24"/>
        </w:rPr>
        <w:t xml:space="preserve"> sammentrækningskraft. Perifer modstand øges, og diastolisk og systolisk blodtryk øges.</w:t>
      </w:r>
    </w:p>
    <w:p w:rsidR="00E06BE3" w:rsidRPr="00E06BE3" w:rsidRDefault="00E06BE3" w:rsidP="00E06BE3">
      <w:pPr>
        <w:tabs>
          <w:tab w:val="left" w:pos="851"/>
        </w:tabs>
        <w:ind w:left="851"/>
        <w:rPr>
          <w:sz w:val="24"/>
          <w:szCs w:val="24"/>
        </w:rPr>
      </w:pPr>
      <w:r w:rsidRPr="00E06BE3">
        <w:rPr>
          <w:sz w:val="24"/>
          <w:szCs w:val="24"/>
        </w:rPr>
        <w:t xml:space="preserve">Den </w:t>
      </w:r>
      <w:proofErr w:type="spellStart"/>
      <w:r w:rsidRPr="00E06BE3">
        <w:rPr>
          <w:sz w:val="24"/>
          <w:szCs w:val="24"/>
        </w:rPr>
        <w:t>vaskulære</w:t>
      </w:r>
      <w:proofErr w:type="spellEnd"/>
      <w:r w:rsidRPr="00E06BE3">
        <w:rPr>
          <w:sz w:val="24"/>
          <w:szCs w:val="24"/>
        </w:rPr>
        <w:t xml:space="preserve"> påvirkning med de normalt anvendte kliniske doseringer stammer fra samtidig stimulering af alfa- og beta-</w:t>
      </w:r>
      <w:proofErr w:type="spellStart"/>
      <w:r w:rsidRPr="00E06BE3">
        <w:rPr>
          <w:sz w:val="24"/>
          <w:szCs w:val="24"/>
        </w:rPr>
        <w:t>adrenergiske</w:t>
      </w:r>
      <w:proofErr w:type="spellEnd"/>
      <w:r w:rsidRPr="00E06BE3">
        <w:rPr>
          <w:sz w:val="24"/>
          <w:szCs w:val="24"/>
        </w:rPr>
        <w:t xml:space="preserve"> receptorer i hjertesystemet samt i det </w:t>
      </w:r>
      <w:proofErr w:type="spellStart"/>
      <w:r w:rsidRPr="00E06BE3">
        <w:rPr>
          <w:sz w:val="24"/>
          <w:szCs w:val="24"/>
        </w:rPr>
        <w:t>vaskulære</w:t>
      </w:r>
      <w:proofErr w:type="spellEnd"/>
      <w:r w:rsidRPr="00E06BE3">
        <w:rPr>
          <w:sz w:val="24"/>
          <w:szCs w:val="24"/>
        </w:rPr>
        <w:t xml:space="preserve"> system. Bortset fra i hjertet påvirker det overvejende alfa-receptorerne. Dette fører til en øgning i (og hvis </w:t>
      </w:r>
      <w:proofErr w:type="spellStart"/>
      <w:r w:rsidRPr="00E06BE3">
        <w:rPr>
          <w:sz w:val="24"/>
          <w:szCs w:val="24"/>
        </w:rPr>
        <w:t>vagus</w:t>
      </w:r>
      <w:proofErr w:type="spellEnd"/>
      <w:r w:rsidRPr="00E06BE3">
        <w:rPr>
          <w:sz w:val="24"/>
          <w:szCs w:val="24"/>
        </w:rPr>
        <w:t xml:space="preserve"> ikke hæmmes, i hyppigheden af) den </w:t>
      </w:r>
      <w:proofErr w:type="spellStart"/>
      <w:r w:rsidRPr="00E06BE3">
        <w:rPr>
          <w:sz w:val="24"/>
          <w:szCs w:val="24"/>
        </w:rPr>
        <w:t>myocardiale</w:t>
      </w:r>
      <w:proofErr w:type="spellEnd"/>
      <w:r w:rsidRPr="00E06BE3">
        <w:rPr>
          <w:sz w:val="24"/>
          <w:szCs w:val="24"/>
        </w:rPr>
        <w:t xml:space="preserve"> sammentrækningskraft. Perifer modstand øges og diastolisk og systolisk blodtryk øges.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E943EC" w:rsidRPr="00E943EC" w:rsidRDefault="00E943EC" w:rsidP="00E943EC">
      <w:pPr>
        <w:tabs>
          <w:tab w:val="left" w:pos="851"/>
        </w:tabs>
        <w:ind w:left="851"/>
        <w:rPr>
          <w:sz w:val="24"/>
          <w:szCs w:val="24"/>
        </w:rPr>
      </w:pPr>
      <w:r w:rsidRPr="00E943EC">
        <w:rPr>
          <w:sz w:val="24"/>
          <w:szCs w:val="24"/>
        </w:rPr>
        <w:t>Der findes to noradrenalin-stereoisomer. Det er den biologisk aktive L-isomer, som er til stede i Noradrenalin "</w:t>
      </w:r>
      <w:proofErr w:type="spellStart"/>
      <w:r w:rsidRPr="00E943EC">
        <w:rPr>
          <w:sz w:val="24"/>
          <w:szCs w:val="24"/>
        </w:rPr>
        <w:t>Kalceks</w:t>
      </w:r>
      <w:proofErr w:type="spellEnd"/>
      <w:r w:rsidRPr="00E943EC">
        <w:rPr>
          <w:sz w:val="24"/>
          <w:szCs w:val="24"/>
        </w:rPr>
        <w:t>" 1 mg/ml, koncentrat til infusionsvæske, opløsning.</w:t>
      </w:r>
    </w:p>
    <w:p w:rsidR="00E943EC" w:rsidRPr="00E943EC" w:rsidRDefault="00E943EC" w:rsidP="00E943EC">
      <w:pPr>
        <w:tabs>
          <w:tab w:val="left" w:pos="851"/>
        </w:tabs>
        <w:ind w:left="851"/>
        <w:rPr>
          <w:sz w:val="24"/>
          <w:szCs w:val="24"/>
        </w:rPr>
      </w:pPr>
    </w:p>
    <w:p w:rsidR="00E943EC" w:rsidRPr="00E943EC" w:rsidRDefault="00E943EC" w:rsidP="00E943EC">
      <w:pPr>
        <w:tabs>
          <w:tab w:val="left" w:pos="851"/>
        </w:tabs>
        <w:ind w:left="851"/>
        <w:rPr>
          <w:sz w:val="24"/>
          <w:szCs w:val="24"/>
          <w:u w:val="single"/>
        </w:rPr>
      </w:pPr>
      <w:r w:rsidRPr="00E943EC">
        <w:rPr>
          <w:sz w:val="24"/>
          <w:szCs w:val="24"/>
          <w:u w:val="single"/>
        </w:rPr>
        <w:t>Absorption</w:t>
      </w:r>
    </w:p>
    <w:p w:rsidR="00E943EC" w:rsidRPr="00E943EC" w:rsidRDefault="00E943EC" w:rsidP="00FB0E34">
      <w:pPr>
        <w:numPr>
          <w:ilvl w:val="0"/>
          <w:numId w:val="11"/>
        </w:numPr>
        <w:tabs>
          <w:tab w:val="left" w:pos="851"/>
        </w:tabs>
        <w:ind w:left="1134" w:hanging="283"/>
        <w:rPr>
          <w:sz w:val="24"/>
          <w:szCs w:val="24"/>
        </w:rPr>
      </w:pPr>
      <w:r w:rsidRPr="00E943EC">
        <w:rPr>
          <w:sz w:val="24"/>
          <w:szCs w:val="24"/>
        </w:rPr>
        <w:t>Subkutant: Dårlig</w:t>
      </w:r>
    </w:p>
    <w:p w:rsidR="00E943EC" w:rsidRPr="00E943EC" w:rsidRDefault="00E943EC" w:rsidP="00FB0E34">
      <w:pPr>
        <w:numPr>
          <w:ilvl w:val="0"/>
          <w:numId w:val="11"/>
        </w:numPr>
        <w:tabs>
          <w:tab w:val="left" w:pos="851"/>
        </w:tabs>
        <w:ind w:left="1134" w:hanging="283"/>
        <w:rPr>
          <w:sz w:val="24"/>
          <w:szCs w:val="24"/>
        </w:rPr>
      </w:pPr>
      <w:r w:rsidRPr="00E943EC">
        <w:rPr>
          <w:sz w:val="24"/>
          <w:szCs w:val="24"/>
        </w:rPr>
        <w:t>Oral: Noradrenalin inaktiveres hurtigt i mave-tarm-kanalen efter oral administration.</w:t>
      </w:r>
    </w:p>
    <w:p w:rsidR="00E943EC" w:rsidRPr="00E943EC" w:rsidRDefault="00E943EC" w:rsidP="00FB0E34">
      <w:pPr>
        <w:numPr>
          <w:ilvl w:val="0"/>
          <w:numId w:val="11"/>
        </w:numPr>
        <w:tabs>
          <w:tab w:val="left" w:pos="851"/>
        </w:tabs>
        <w:ind w:left="1134" w:hanging="283"/>
        <w:rPr>
          <w:sz w:val="24"/>
          <w:szCs w:val="24"/>
        </w:rPr>
      </w:pPr>
      <w:r w:rsidRPr="00E943EC">
        <w:rPr>
          <w:sz w:val="24"/>
          <w:szCs w:val="24"/>
        </w:rPr>
        <w:t>Efter intravenøs administration har noradrenalin en plasmahalveringstid på 1 til 2 minutter.</w:t>
      </w:r>
    </w:p>
    <w:p w:rsidR="00E943EC" w:rsidRPr="00E943EC" w:rsidRDefault="00E943EC" w:rsidP="00E943EC">
      <w:pPr>
        <w:tabs>
          <w:tab w:val="left" w:pos="851"/>
        </w:tabs>
        <w:ind w:left="851"/>
        <w:rPr>
          <w:sz w:val="24"/>
          <w:szCs w:val="24"/>
        </w:rPr>
      </w:pPr>
    </w:p>
    <w:p w:rsidR="00E943EC" w:rsidRPr="00E943EC" w:rsidRDefault="00E943EC" w:rsidP="00E943EC">
      <w:pPr>
        <w:tabs>
          <w:tab w:val="left" w:pos="851"/>
        </w:tabs>
        <w:ind w:left="851"/>
        <w:rPr>
          <w:sz w:val="24"/>
          <w:szCs w:val="24"/>
          <w:u w:val="single"/>
        </w:rPr>
      </w:pPr>
      <w:r w:rsidRPr="00E943EC">
        <w:rPr>
          <w:sz w:val="24"/>
          <w:szCs w:val="24"/>
          <w:u w:val="single"/>
        </w:rPr>
        <w:t>Fordeling</w:t>
      </w:r>
    </w:p>
    <w:p w:rsidR="00E943EC" w:rsidRPr="00E943EC" w:rsidRDefault="00E943EC" w:rsidP="00E943EC">
      <w:pPr>
        <w:tabs>
          <w:tab w:val="left" w:pos="851"/>
        </w:tabs>
        <w:ind w:left="851"/>
        <w:rPr>
          <w:sz w:val="24"/>
          <w:szCs w:val="24"/>
        </w:rPr>
      </w:pPr>
      <w:r w:rsidRPr="00E943EC">
        <w:rPr>
          <w:sz w:val="24"/>
          <w:szCs w:val="24"/>
        </w:rPr>
        <w:t>Noradrenalin forsvinder hurtigt fra plasma gennem en kombineret cellulær genoptagelse og metabolisme. Den passerer ikke uden videre blod-hjerne-barrieren.</w:t>
      </w:r>
    </w:p>
    <w:p w:rsidR="00E943EC" w:rsidRPr="00E943EC" w:rsidRDefault="00E943EC" w:rsidP="00E943EC">
      <w:pPr>
        <w:tabs>
          <w:tab w:val="left" w:pos="851"/>
        </w:tabs>
        <w:ind w:left="851"/>
        <w:rPr>
          <w:sz w:val="24"/>
          <w:szCs w:val="24"/>
        </w:rPr>
      </w:pPr>
    </w:p>
    <w:p w:rsidR="00E943EC" w:rsidRPr="00E943EC" w:rsidRDefault="00E943EC" w:rsidP="00E943EC">
      <w:pPr>
        <w:tabs>
          <w:tab w:val="left" w:pos="851"/>
        </w:tabs>
        <w:ind w:left="851"/>
        <w:rPr>
          <w:sz w:val="24"/>
          <w:szCs w:val="24"/>
          <w:u w:val="single"/>
        </w:rPr>
      </w:pPr>
      <w:r w:rsidRPr="00E943EC">
        <w:rPr>
          <w:sz w:val="24"/>
          <w:szCs w:val="24"/>
          <w:u w:val="single"/>
        </w:rPr>
        <w:t>Biotransformation</w:t>
      </w:r>
    </w:p>
    <w:p w:rsidR="00E943EC" w:rsidRPr="00E943EC" w:rsidRDefault="00E943EC" w:rsidP="00FB0E34">
      <w:pPr>
        <w:numPr>
          <w:ilvl w:val="0"/>
          <w:numId w:val="12"/>
        </w:numPr>
        <w:tabs>
          <w:tab w:val="left" w:pos="851"/>
        </w:tabs>
        <w:ind w:left="1134" w:hanging="283"/>
        <w:rPr>
          <w:sz w:val="24"/>
          <w:szCs w:val="24"/>
          <w:lang w:val="en-US"/>
        </w:rPr>
      </w:pPr>
      <w:proofErr w:type="spellStart"/>
      <w:r w:rsidRPr="00E943EC">
        <w:rPr>
          <w:sz w:val="24"/>
          <w:szCs w:val="24"/>
          <w:lang w:val="en-US"/>
        </w:rPr>
        <w:t>Methylering</w:t>
      </w:r>
      <w:proofErr w:type="spellEnd"/>
      <w:r w:rsidRPr="00E943EC">
        <w:rPr>
          <w:sz w:val="24"/>
          <w:szCs w:val="24"/>
          <w:lang w:val="en-US"/>
        </w:rPr>
        <w:t xml:space="preserve"> </w:t>
      </w:r>
      <w:proofErr w:type="spellStart"/>
      <w:r w:rsidRPr="00E943EC">
        <w:rPr>
          <w:sz w:val="24"/>
          <w:szCs w:val="24"/>
          <w:lang w:val="en-US"/>
        </w:rPr>
        <w:t>ved</w:t>
      </w:r>
      <w:proofErr w:type="spellEnd"/>
      <w:r w:rsidRPr="00E943EC">
        <w:rPr>
          <w:sz w:val="24"/>
          <w:szCs w:val="24"/>
          <w:lang w:val="en-US"/>
        </w:rPr>
        <w:t xml:space="preserve"> catechol-o-methyltransferase </w:t>
      </w:r>
    </w:p>
    <w:p w:rsidR="00E943EC" w:rsidRPr="00E943EC" w:rsidRDefault="00E943EC" w:rsidP="00FB0E34">
      <w:pPr>
        <w:numPr>
          <w:ilvl w:val="0"/>
          <w:numId w:val="12"/>
        </w:numPr>
        <w:tabs>
          <w:tab w:val="left" w:pos="851"/>
        </w:tabs>
        <w:ind w:left="1134" w:hanging="283"/>
        <w:rPr>
          <w:sz w:val="24"/>
          <w:szCs w:val="24"/>
        </w:rPr>
      </w:pPr>
      <w:proofErr w:type="spellStart"/>
      <w:r w:rsidRPr="00E943EC">
        <w:rPr>
          <w:sz w:val="24"/>
          <w:szCs w:val="24"/>
        </w:rPr>
        <w:t>Deaminering</w:t>
      </w:r>
      <w:proofErr w:type="spellEnd"/>
      <w:r w:rsidRPr="00E943EC">
        <w:rPr>
          <w:sz w:val="24"/>
          <w:szCs w:val="24"/>
        </w:rPr>
        <w:t xml:space="preserve"> ved </w:t>
      </w:r>
      <w:proofErr w:type="spellStart"/>
      <w:r w:rsidRPr="00E943EC">
        <w:rPr>
          <w:sz w:val="24"/>
          <w:szCs w:val="24"/>
        </w:rPr>
        <w:t>monoamin</w:t>
      </w:r>
      <w:proofErr w:type="spellEnd"/>
      <w:r w:rsidRPr="00E943EC">
        <w:rPr>
          <w:sz w:val="24"/>
          <w:szCs w:val="24"/>
        </w:rPr>
        <w:t xml:space="preserve">-oxidase (MAO) </w:t>
      </w:r>
    </w:p>
    <w:p w:rsidR="00E943EC" w:rsidRPr="00E943EC" w:rsidRDefault="00E943EC" w:rsidP="00FB0E34">
      <w:pPr>
        <w:numPr>
          <w:ilvl w:val="0"/>
          <w:numId w:val="12"/>
        </w:numPr>
        <w:tabs>
          <w:tab w:val="left" w:pos="851"/>
        </w:tabs>
        <w:ind w:left="1134" w:hanging="283"/>
        <w:rPr>
          <w:sz w:val="24"/>
          <w:szCs w:val="24"/>
        </w:rPr>
      </w:pPr>
      <w:r w:rsidRPr="00E943EC">
        <w:rPr>
          <w:sz w:val="24"/>
          <w:szCs w:val="24"/>
        </w:rPr>
        <w:t>De endelige metabolit fra begge er 4-hydroxy-3-methoxymandelsyre</w:t>
      </w:r>
    </w:p>
    <w:p w:rsidR="00E943EC" w:rsidRPr="00E943EC" w:rsidRDefault="00E943EC" w:rsidP="00FB0E34">
      <w:pPr>
        <w:numPr>
          <w:ilvl w:val="0"/>
          <w:numId w:val="12"/>
        </w:numPr>
        <w:tabs>
          <w:tab w:val="left" w:pos="851"/>
        </w:tabs>
        <w:ind w:left="1134" w:hanging="283"/>
        <w:rPr>
          <w:sz w:val="24"/>
          <w:szCs w:val="24"/>
        </w:rPr>
      </w:pPr>
      <w:r w:rsidRPr="00E943EC">
        <w:rPr>
          <w:sz w:val="24"/>
          <w:szCs w:val="24"/>
        </w:rPr>
        <w:t xml:space="preserve">De mellemliggende metabolitter omfatter </w:t>
      </w:r>
      <w:proofErr w:type="spellStart"/>
      <w:r w:rsidRPr="00E943EC">
        <w:rPr>
          <w:sz w:val="24"/>
          <w:szCs w:val="24"/>
        </w:rPr>
        <w:t>normetanephrin</w:t>
      </w:r>
      <w:proofErr w:type="spellEnd"/>
      <w:r w:rsidRPr="00E943EC">
        <w:rPr>
          <w:sz w:val="24"/>
          <w:szCs w:val="24"/>
        </w:rPr>
        <w:t xml:space="preserve"> og 3,4-dihydroxymandelsyre.</w:t>
      </w:r>
    </w:p>
    <w:p w:rsidR="00E943EC" w:rsidRPr="00E943EC" w:rsidRDefault="00E943EC" w:rsidP="00E943EC">
      <w:pPr>
        <w:tabs>
          <w:tab w:val="left" w:pos="851"/>
        </w:tabs>
        <w:ind w:left="851"/>
        <w:rPr>
          <w:sz w:val="24"/>
          <w:szCs w:val="24"/>
        </w:rPr>
      </w:pPr>
    </w:p>
    <w:p w:rsidR="00E943EC" w:rsidRPr="00E943EC" w:rsidRDefault="00E943EC" w:rsidP="00E943EC">
      <w:pPr>
        <w:tabs>
          <w:tab w:val="left" w:pos="851"/>
        </w:tabs>
        <w:ind w:left="851"/>
        <w:rPr>
          <w:sz w:val="24"/>
          <w:szCs w:val="24"/>
          <w:u w:val="single"/>
        </w:rPr>
      </w:pPr>
      <w:r w:rsidRPr="00E943EC">
        <w:rPr>
          <w:sz w:val="24"/>
          <w:szCs w:val="24"/>
          <w:u w:val="single"/>
        </w:rPr>
        <w:t>Elimination</w:t>
      </w:r>
    </w:p>
    <w:p w:rsidR="00E943EC" w:rsidRPr="00E943EC" w:rsidRDefault="00E943EC" w:rsidP="00E943EC">
      <w:pPr>
        <w:tabs>
          <w:tab w:val="left" w:pos="851"/>
        </w:tabs>
        <w:ind w:left="851"/>
        <w:rPr>
          <w:sz w:val="24"/>
          <w:szCs w:val="24"/>
        </w:rPr>
      </w:pPr>
      <w:r w:rsidRPr="00E943EC">
        <w:rPr>
          <w:sz w:val="24"/>
          <w:szCs w:val="24"/>
        </w:rPr>
        <w:t xml:space="preserve">Noradrenalin elimineres hovedsageligt som </w:t>
      </w:r>
      <w:proofErr w:type="spellStart"/>
      <w:r w:rsidRPr="00E943EC">
        <w:rPr>
          <w:sz w:val="24"/>
          <w:szCs w:val="24"/>
        </w:rPr>
        <w:t>glucuronid</w:t>
      </w:r>
      <w:proofErr w:type="spellEnd"/>
      <w:r w:rsidRPr="00E943EC">
        <w:rPr>
          <w:sz w:val="24"/>
          <w:szCs w:val="24"/>
        </w:rPr>
        <w:t xml:space="preserve">- eller </w:t>
      </w:r>
      <w:proofErr w:type="spellStart"/>
      <w:r w:rsidRPr="00E943EC">
        <w:rPr>
          <w:sz w:val="24"/>
          <w:szCs w:val="24"/>
        </w:rPr>
        <w:t>sulfatkonjugering</w:t>
      </w:r>
      <w:proofErr w:type="spellEnd"/>
      <w:r w:rsidRPr="00E943EC">
        <w:rPr>
          <w:sz w:val="24"/>
          <w:szCs w:val="24"/>
        </w:rPr>
        <w:t xml:space="preserve"> af metabolitterne i urinen.</w:t>
      </w:r>
    </w:p>
    <w:p w:rsidR="00E943EC" w:rsidRPr="00E943EC" w:rsidRDefault="00E943EC" w:rsidP="00E943EC">
      <w:pPr>
        <w:tabs>
          <w:tab w:val="left" w:pos="851"/>
        </w:tabs>
        <w:ind w:left="851"/>
        <w:rPr>
          <w:sz w:val="24"/>
          <w:szCs w:val="24"/>
        </w:rPr>
      </w:pPr>
      <w:r w:rsidRPr="00E943EC">
        <w:rPr>
          <w:sz w:val="24"/>
          <w:szCs w:val="24"/>
        </w:rPr>
        <w:t>Op til 16</w:t>
      </w:r>
      <w:r w:rsidR="004427BA">
        <w:rPr>
          <w:sz w:val="24"/>
          <w:szCs w:val="24"/>
        </w:rPr>
        <w:t xml:space="preserve"> %</w:t>
      </w:r>
      <w:r w:rsidRPr="00E943EC">
        <w:rPr>
          <w:sz w:val="24"/>
          <w:szCs w:val="24"/>
        </w:rPr>
        <w:t xml:space="preserve"> af en intravenøs dosis udskilles uændret i urinen med </w:t>
      </w:r>
      <w:proofErr w:type="spellStart"/>
      <w:r w:rsidRPr="00E943EC">
        <w:rPr>
          <w:sz w:val="24"/>
          <w:szCs w:val="24"/>
        </w:rPr>
        <w:t>methylerede</w:t>
      </w:r>
      <w:proofErr w:type="spellEnd"/>
      <w:r w:rsidRPr="00E943EC">
        <w:rPr>
          <w:sz w:val="24"/>
          <w:szCs w:val="24"/>
        </w:rPr>
        <w:t xml:space="preserve"> og </w:t>
      </w:r>
      <w:proofErr w:type="spellStart"/>
      <w:r w:rsidRPr="00E943EC">
        <w:rPr>
          <w:sz w:val="24"/>
          <w:szCs w:val="24"/>
        </w:rPr>
        <w:t>deaminerede</w:t>
      </w:r>
      <w:proofErr w:type="spellEnd"/>
      <w:r w:rsidRPr="00E943EC">
        <w:rPr>
          <w:sz w:val="24"/>
          <w:szCs w:val="24"/>
        </w:rPr>
        <w:t xml:space="preserve"> metabolitter i frie og konjugerede former.</w:t>
      </w:r>
    </w:p>
    <w:p w:rsidR="00E943EC" w:rsidRPr="00E943EC" w:rsidRDefault="00E943EC" w:rsidP="00E943EC">
      <w:pPr>
        <w:tabs>
          <w:tab w:val="left" w:pos="851"/>
        </w:tabs>
        <w:ind w:left="851"/>
        <w:rPr>
          <w:sz w:val="24"/>
          <w:szCs w:val="24"/>
        </w:rPr>
      </w:pPr>
    </w:p>
    <w:p w:rsidR="00E943EC" w:rsidRPr="00E943EC" w:rsidRDefault="00E943EC" w:rsidP="00E943EC">
      <w:pPr>
        <w:tabs>
          <w:tab w:val="left" w:pos="851"/>
        </w:tabs>
        <w:ind w:left="851"/>
        <w:rPr>
          <w:bCs/>
          <w:i/>
          <w:iCs/>
          <w:sz w:val="24"/>
          <w:szCs w:val="24"/>
        </w:rPr>
      </w:pPr>
      <w:r w:rsidRPr="00E943EC">
        <w:rPr>
          <w:bCs/>
          <w:i/>
          <w:iCs/>
          <w:sz w:val="24"/>
          <w:szCs w:val="24"/>
        </w:rPr>
        <w:t>Pædiatrisk population</w:t>
      </w:r>
    </w:p>
    <w:p w:rsidR="00E943EC" w:rsidRPr="00E943EC" w:rsidRDefault="00E943EC" w:rsidP="00E943EC">
      <w:pPr>
        <w:tabs>
          <w:tab w:val="left" w:pos="851"/>
        </w:tabs>
        <w:ind w:left="851"/>
        <w:rPr>
          <w:sz w:val="24"/>
          <w:szCs w:val="24"/>
        </w:rPr>
      </w:pPr>
      <w:r w:rsidRPr="00E943EC">
        <w:rPr>
          <w:sz w:val="24"/>
          <w:szCs w:val="24"/>
        </w:rPr>
        <w:t xml:space="preserve">Der foreligger ingen data om </w:t>
      </w:r>
      <w:proofErr w:type="spellStart"/>
      <w:r w:rsidRPr="00E943EC">
        <w:rPr>
          <w:sz w:val="24"/>
          <w:szCs w:val="24"/>
        </w:rPr>
        <w:t>farmakokinetiske</w:t>
      </w:r>
      <w:proofErr w:type="spellEnd"/>
      <w:r w:rsidRPr="00E943EC">
        <w:rPr>
          <w:sz w:val="24"/>
          <w:szCs w:val="24"/>
        </w:rPr>
        <w:t xml:space="preserve"> undersøgelser i pædiatriske aldersgrupper.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FB0E34" w:rsidRPr="00FB0E34" w:rsidRDefault="00FB0E34" w:rsidP="00FB0E34">
      <w:pPr>
        <w:tabs>
          <w:tab w:val="left" w:pos="851"/>
        </w:tabs>
        <w:ind w:left="851"/>
        <w:rPr>
          <w:sz w:val="24"/>
          <w:szCs w:val="24"/>
        </w:rPr>
      </w:pPr>
      <w:r w:rsidRPr="00FB0E34">
        <w:rPr>
          <w:sz w:val="24"/>
          <w:szCs w:val="24"/>
        </w:rPr>
        <w:t xml:space="preserve">De fleste af de bivirkninger, der kan tilskrives </w:t>
      </w:r>
      <w:proofErr w:type="spellStart"/>
      <w:r w:rsidRPr="00FB0E34">
        <w:rPr>
          <w:sz w:val="24"/>
          <w:szCs w:val="24"/>
        </w:rPr>
        <w:t>sympatomimetikum</w:t>
      </w:r>
      <w:proofErr w:type="spellEnd"/>
      <w:r w:rsidRPr="00FB0E34">
        <w:rPr>
          <w:sz w:val="24"/>
          <w:szCs w:val="24"/>
        </w:rPr>
        <w:t xml:space="preserve">, udspringer af overdreven stimulering af nervesystemet via de forskellige </w:t>
      </w:r>
      <w:proofErr w:type="spellStart"/>
      <w:r w:rsidRPr="00FB0E34">
        <w:rPr>
          <w:sz w:val="24"/>
          <w:szCs w:val="24"/>
        </w:rPr>
        <w:t>adrenerge</w:t>
      </w:r>
      <w:proofErr w:type="spellEnd"/>
      <w:r w:rsidRPr="00FB0E34">
        <w:rPr>
          <w:sz w:val="24"/>
          <w:szCs w:val="24"/>
        </w:rPr>
        <w:t xml:space="preserve"> receptorer.</w:t>
      </w:r>
    </w:p>
    <w:p w:rsidR="00FB0E34" w:rsidRPr="00FB0E34" w:rsidRDefault="00FB0E34" w:rsidP="00FB0E34">
      <w:pPr>
        <w:tabs>
          <w:tab w:val="left" w:pos="851"/>
        </w:tabs>
        <w:ind w:left="851"/>
        <w:rPr>
          <w:sz w:val="24"/>
          <w:szCs w:val="24"/>
        </w:rPr>
      </w:pPr>
    </w:p>
    <w:p w:rsidR="00FB0E34" w:rsidRPr="00FB0E34" w:rsidRDefault="00FB0E34" w:rsidP="00FB0E34">
      <w:pPr>
        <w:tabs>
          <w:tab w:val="left" w:pos="851"/>
        </w:tabs>
        <w:ind w:left="851"/>
        <w:rPr>
          <w:sz w:val="24"/>
          <w:szCs w:val="24"/>
        </w:rPr>
      </w:pPr>
      <w:r w:rsidRPr="00FB0E34">
        <w:rPr>
          <w:sz w:val="24"/>
          <w:szCs w:val="24"/>
        </w:rPr>
        <w:t xml:space="preserve">Noradrenalin kan hæmme </w:t>
      </w:r>
      <w:proofErr w:type="spellStart"/>
      <w:r w:rsidRPr="00FB0E34">
        <w:rPr>
          <w:sz w:val="24"/>
          <w:szCs w:val="24"/>
        </w:rPr>
        <w:t>placentaperfusionen</w:t>
      </w:r>
      <w:proofErr w:type="spellEnd"/>
      <w:r w:rsidRPr="00FB0E34">
        <w:rPr>
          <w:sz w:val="24"/>
          <w:szCs w:val="24"/>
        </w:rPr>
        <w:t xml:space="preserve"> og forårsage bradykardi hos fosteret. Det kan også forårsage sammentrækninger i livmoderen og føre til kvælning af fosteret sent i graviditeten.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AC159A" w:rsidRPr="00AC159A" w:rsidRDefault="00AC159A" w:rsidP="00AC159A">
      <w:pPr>
        <w:tabs>
          <w:tab w:val="left" w:pos="851"/>
        </w:tabs>
        <w:ind w:left="851"/>
        <w:rPr>
          <w:sz w:val="24"/>
          <w:szCs w:val="24"/>
        </w:rPr>
      </w:pPr>
      <w:proofErr w:type="spellStart"/>
      <w:r w:rsidRPr="00AC159A">
        <w:rPr>
          <w:sz w:val="24"/>
          <w:szCs w:val="24"/>
        </w:rPr>
        <w:t>Natriumchlorid</w:t>
      </w:r>
      <w:proofErr w:type="spellEnd"/>
    </w:p>
    <w:p w:rsidR="00AC159A" w:rsidRPr="00AC159A" w:rsidRDefault="00AC159A" w:rsidP="00AC159A">
      <w:pPr>
        <w:tabs>
          <w:tab w:val="left" w:pos="851"/>
        </w:tabs>
        <w:ind w:left="851"/>
        <w:rPr>
          <w:sz w:val="24"/>
          <w:szCs w:val="24"/>
        </w:rPr>
      </w:pPr>
      <w:r w:rsidRPr="00AC159A">
        <w:rPr>
          <w:sz w:val="24"/>
          <w:szCs w:val="24"/>
        </w:rPr>
        <w:t>Saltsyre (til pH-justering)</w:t>
      </w:r>
    </w:p>
    <w:p w:rsidR="00AC159A" w:rsidRPr="00AC159A" w:rsidRDefault="00AC159A" w:rsidP="00AC159A">
      <w:pPr>
        <w:tabs>
          <w:tab w:val="left" w:pos="851"/>
        </w:tabs>
        <w:ind w:left="851"/>
        <w:rPr>
          <w:sz w:val="24"/>
          <w:szCs w:val="24"/>
        </w:rPr>
      </w:pPr>
      <w:r w:rsidRPr="00AC159A">
        <w:rPr>
          <w:sz w:val="24"/>
          <w:szCs w:val="24"/>
        </w:rPr>
        <w:t>Vand til injektionsvæsker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C159A" w:rsidRPr="00AC159A" w:rsidRDefault="00AC159A" w:rsidP="00AC159A">
      <w:pPr>
        <w:tabs>
          <w:tab w:val="left" w:pos="851"/>
        </w:tabs>
        <w:ind w:left="851"/>
        <w:rPr>
          <w:sz w:val="24"/>
          <w:szCs w:val="24"/>
        </w:rPr>
      </w:pPr>
      <w:r w:rsidRPr="00AC159A">
        <w:rPr>
          <w:sz w:val="24"/>
          <w:szCs w:val="24"/>
        </w:rPr>
        <w:t xml:space="preserve">Der er indberetninger om, at infusionsopløsninger, der indeholder </w:t>
      </w:r>
      <w:proofErr w:type="spellStart"/>
      <w:r w:rsidRPr="00AC159A">
        <w:rPr>
          <w:sz w:val="24"/>
          <w:szCs w:val="24"/>
        </w:rPr>
        <w:t>noradrenalintartrat</w:t>
      </w:r>
      <w:proofErr w:type="spellEnd"/>
      <w:r w:rsidRPr="00AC159A">
        <w:rPr>
          <w:sz w:val="24"/>
          <w:szCs w:val="24"/>
        </w:rPr>
        <w:t xml:space="preserve">, er uforligelige med følgende stoffer: </w:t>
      </w:r>
      <w:r w:rsidR="00E16E92">
        <w:rPr>
          <w:sz w:val="24"/>
          <w:szCs w:val="24"/>
        </w:rPr>
        <w:t>J</w:t>
      </w:r>
      <w:r w:rsidRPr="00AC159A">
        <w:rPr>
          <w:sz w:val="24"/>
          <w:szCs w:val="24"/>
        </w:rPr>
        <w:t xml:space="preserve">ernsalte, alkalier og oxidationsmidler, barbiturater, </w:t>
      </w:r>
      <w:proofErr w:type="spellStart"/>
      <w:r w:rsidRPr="00AC159A">
        <w:rPr>
          <w:sz w:val="24"/>
          <w:szCs w:val="24"/>
        </w:rPr>
        <w:t>chlorpheniramin</w:t>
      </w:r>
      <w:proofErr w:type="spellEnd"/>
      <w:r w:rsidRPr="00AC159A">
        <w:rPr>
          <w:sz w:val="24"/>
          <w:szCs w:val="24"/>
        </w:rPr>
        <w:t xml:space="preserve">, </w:t>
      </w:r>
      <w:proofErr w:type="spellStart"/>
      <w:r w:rsidRPr="00AC159A">
        <w:rPr>
          <w:sz w:val="24"/>
          <w:szCs w:val="24"/>
        </w:rPr>
        <w:t>chlorothiazid</w:t>
      </w:r>
      <w:proofErr w:type="spellEnd"/>
      <w:r w:rsidRPr="00AC159A">
        <w:rPr>
          <w:sz w:val="24"/>
          <w:szCs w:val="24"/>
        </w:rPr>
        <w:t xml:space="preserve">, </w:t>
      </w:r>
      <w:proofErr w:type="spellStart"/>
      <w:r w:rsidRPr="00AC159A">
        <w:rPr>
          <w:sz w:val="24"/>
          <w:szCs w:val="24"/>
        </w:rPr>
        <w:t>nitrofurantoin</w:t>
      </w:r>
      <w:proofErr w:type="spellEnd"/>
      <w:r w:rsidRPr="00AC159A">
        <w:rPr>
          <w:sz w:val="24"/>
          <w:szCs w:val="24"/>
        </w:rPr>
        <w:t xml:space="preserve">, </w:t>
      </w:r>
      <w:proofErr w:type="spellStart"/>
      <w:r w:rsidRPr="00AC159A">
        <w:rPr>
          <w:sz w:val="24"/>
          <w:szCs w:val="24"/>
        </w:rPr>
        <w:t>novobiocin</w:t>
      </w:r>
      <w:proofErr w:type="spellEnd"/>
      <w:r w:rsidRPr="00AC159A">
        <w:rPr>
          <w:sz w:val="24"/>
          <w:szCs w:val="24"/>
        </w:rPr>
        <w:t xml:space="preserve">, </w:t>
      </w:r>
      <w:proofErr w:type="spellStart"/>
      <w:r w:rsidRPr="00AC159A">
        <w:rPr>
          <w:sz w:val="24"/>
          <w:szCs w:val="24"/>
        </w:rPr>
        <w:t>phenytoin</w:t>
      </w:r>
      <w:proofErr w:type="spellEnd"/>
      <w:r w:rsidRPr="00AC159A">
        <w:rPr>
          <w:sz w:val="24"/>
          <w:szCs w:val="24"/>
        </w:rPr>
        <w:t xml:space="preserve">, </w:t>
      </w:r>
      <w:proofErr w:type="spellStart"/>
      <w:r w:rsidRPr="00AC159A">
        <w:rPr>
          <w:sz w:val="24"/>
          <w:szCs w:val="24"/>
        </w:rPr>
        <w:t>natriumbicarbonat</w:t>
      </w:r>
      <w:proofErr w:type="spellEnd"/>
      <w:r w:rsidRPr="00AC159A">
        <w:rPr>
          <w:sz w:val="24"/>
          <w:szCs w:val="24"/>
        </w:rPr>
        <w:t xml:space="preserve">, </w:t>
      </w:r>
      <w:proofErr w:type="spellStart"/>
      <w:r w:rsidRPr="00AC159A">
        <w:rPr>
          <w:sz w:val="24"/>
          <w:szCs w:val="24"/>
        </w:rPr>
        <w:t>natriumiodid</w:t>
      </w:r>
      <w:proofErr w:type="spellEnd"/>
      <w:r w:rsidRPr="00AC159A">
        <w:rPr>
          <w:sz w:val="24"/>
          <w:szCs w:val="24"/>
        </w:rPr>
        <w:t xml:space="preserve">, streptomycin, </w:t>
      </w:r>
      <w:proofErr w:type="spellStart"/>
      <w:r w:rsidRPr="00AC159A">
        <w:rPr>
          <w:sz w:val="24"/>
          <w:szCs w:val="24"/>
        </w:rPr>
        <w:t>sulfadiazin</w:t>
      </w:r>
      <w:proofErr w:type="spellEnd"/>
      <w:r w:rsidRPr="00AC159A">
        <w:rPr>
          <w:sz w:val="24"/>
          <w:szCs w:val="24"/>
        </w:rPr>
        <w:t xml:space="preserve">, </w:t>
      </w:r>
      <w:proofErr w:type="spellStart"/>
      <w:r w:rsidRPr="00AC159A">
        <w:rPr>
          <w:sz w:val="24"/>
          <w:szCs w:val="24"/>
        </w:rPr>
        <w:t>sulfafurazol</w:t>
      </w:r>
      <w:proofErr w:type="spellEnd"/>
      <w:r w:rsidRPr="00AC159A">
        <w:rPr>
          <w:sz w:val="24"/>
          <w:szCs w:val="24"/>
        </w:rPr>
        <w:t>.</w:t>
      </w:r>
    </w:p>
    <w:p w:rsidR="00AC159A" w:rsidRPr="00AC159A" w:rsidRDefault="00AC159A" w:rsidP="00AC159A">
      <w:pPr>
        <w:tabs>
          <w:tab w:val="left" w:pos="851"/>
        </w:tabs>
        <w:ind w:left="851"/>
        <w:rPr>
          <w:sz w:val="24"/>
          <w:szCs w:val="24"/>
        </w:rPr>
      </w:pPr>
    </w:p>
    <w:p w:rsidR="00AC159A" w:rsidRPr="00AC159A" w:rsidRDefault="00AC159A" w:rsidP="00AC159A">
      <w:pPr>
        <w:tabs>
          <w:tab w:val="left" w:pos="851"/>
        </w:tabs>
        <w:ind w:left="851"/>
        <w:rPr>
          <w:sz w:val="24"/>
          <w:szCs w:val="24"/>
        </w:rPr>
      </w:pPr>
      <w:r w:rsidRPr="00AC159A">
        <w:rPr>
          <w:sz w:val="24"/>
          <w:szCs w:val="24"/>
        </w:rPr>
        <w:t>Dette lægemiddel må ikke anvendes samtidig med andre lægemidler, med undtagelse af de, der er nævnt i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120351" w:rsidRDefault="00120351" w:rsidP="00C531E5">
      <w:pPr>
        <w:tabs>
          <w:tab w:val="left" w:pos="851"/>
        </w:tabs>
        <w:ind w:left="851"/>
        <w:rPr>
          <w:sz w:val="24"/>
          <w:szCs w:val="24"/>
          <w:u w:val="single"/>
        </w:rPr>
      </w:pPr>
    </w:p>
    <w:p w:rsidR="00C531E5" w:rsidRPr="00E16E92" w:rsidRDefault="00C531E5" w:rsidP="00C531E5">
      <w:pPr>
        <w:tabs>
          <w:tab w:val="left" w:pos="851"/>
        </w:tabs>
        <w:ind w:left="851"/>
        <w:rPr>
          <w:sz w:val="24"/>
          <w:szCs w:val="24"/>
        </w:rPr>
      </w:pPr>
      <w:r w:rsidRPr="00890E64">
        <w:rPr>
          <w:sz w:val="24"/>
          <w:szCs w:val="24"/>
          <w:u w:val="single"/>
        </w:rPr>
        <w:t>Uåbnet</w:t>
      </w:r>
    </w:p>
    <w:p w:rsidR="00C531E5" w:rsidRPr="002F0199" w:rsidRDefault="00C531E5" w:rsidP="00C531E5">
      <w:pPr>
        <w:tabs>
          <w:tab w:val="left" w:pos="851"/>
        </w:tabs>
        <w:ind w:left="851"/>
        <w:rPr>
          <w:sz w:val="24"/>
          <w:szCs w:val="24"/>
        </w:rPr>
      </w:pPr>
      <w:r w:rsidRPr="002F0199">
        <w:rPr>
          <w:sz w:val="24"/>
          <w:szCs w:val="24"/>
        </w:rPr>
        <w:t>1 ml, 2 ml: 18 </w:t>
      </w:r>
      <w:r w:rsidRPr="00E16E92">
        <w:rPr>
          <w:sz w:val="24"/>
          <w:szCs w:val="24"/>
        </w:rPr>
        <w:t>måneder</w:t>
      </w:r>
    </w:p>
    <w:p w:rsidR="00C531E5" w:rsidRPr="002F0199" w:rsidRDefault="00C531E5" w:rsidP="00C531E5">
      <w:pPr>
        <w:tabs>
          <w:tab w:val="left" w:pos="851"/>
        </w:tabs>
        <w:ind w:left="851"/>
        <w:rPr>
          <w:sz w:val="24"/>
          <w:szCs w:val="24"/>
        </w:rPr>
      </w:pPr>
      <w:r w:rsidRPr="002F0199">
        <w:rPr>
          <w:sz w:val="24"/>
          <w:szCs w:val="24"/>
        </w:rPr>
        <w:t xml:space="preserve">4 ml, 5 ml, 8 ml, 10 ml: </w:t>
      </w:r>
      <w:r>
        <w:rPr>
          <w:sz w:val="24"/>
          <w:szCs w:val="24"/>
        </w:rPr>
        <w:t>2 år</w:t>
      </w:r>
    </w:p>
    <w:p w:rsidR="00E16E92" w:rsidRPr="00C531E5" w:rsidRDefault="00E16E92" w:rsidP="00E16E92">
      <w:pPr>
        <w:tabs>
          <w:tab w:val="left" w:pos="851"/>
        </w:tabs>
        <w:ind w:left="851"/>
        <w:rPr>
          <w:sz w:val="24"/>
          <w:szCs w:val="24"/>
        </w:rPr>
      </w:pPr>
    </w:p>
    <w:p w:rsidR="00E16E92" w:rsidRPr="00E16E92" w:rsidRDefault="00E16E92" w:rsidP="00E16E92">
      <w:pPr>
        <w:tabs>
          <w:tab w:val="left" w:pos="851"/>
        </w:tabs>
        <w:ind w:left="851"/>
        <w:rPr>
          <w:sz w:val="24"/>
          <w:szCs w:val="24"/>
          <w:u w:val="single"/>
        </w:rPr>
      </w:pPr>
      <w:r>
        <w:rPr>
          <w:sz w:val="24"/>
          <w:szCs w:val="24"/>
          <w:u w:val="single"/>
        </w:rPr>
        <w:t>E</w:t>
      </w:r>
      <w:r w:rsidRPr="00E16E92">
        <w:rPr>
          <w:sz w:val="24"/>
          <w:szCs w:val="24"/>
          <w:u w:val="single"/>
        </w:rPr>
        <w:t>fter anbrud af ampul</w:t>
      </w:r>
    </w:p>
    <w:p w:rsidR="00E16E92" w:rsidRPr="00E16E92" w:rsidRDefault="00E16E92" w:rsidP="00E16E92">
      <w:pPr>
        <w:tabs>
          <w:tab w:val="left" w:pos="851"/>
        </w:tabs>
        <w:ind w:left="851"/>
        <w:rPr>
          <w:sz w:val="24"/>
          <w:szCs w:val="24"/>
        </w:rPr>
      </w:pPr>
      <w:r w:rsidRPr="00E16E92">
        <w:rPr>
          <w:sz w:val="24"/>
          <w:szCs w:val="24"/>
        </w:rPr>
        <w:t>Efter anbrud skal den fortyndede opløsning klargøres omgående.</w:t>
      </w:r>
    </w:p>
    <w:p w:rsidR="00E16E92" w:rsidRPr="00E16E92" w:rsidRDefault="00E16E92" w:rsidP="00E16E92">
      <w:pPr>
        <w:tabs>
          <w:tab w:val="left" w:pos="851"/>
        </w:tabs>
        <w:ind w:left="851"/>
        <w:rPr>
          <w:sz w:val="24"/>
          <w:szCs w:val="24"/>
        </w:rPr>
      </w:pPr>
    </w:p>
    <w:p w:rsidR="00E16E92" w:rsidRPr="00E16E92" w:rsidRDefault="00E16E92" w:rsidP="00E16E92">
      <w:pPr>
        <w:tabs>
          <w:tab w:val="left" w:pos="851"/>
        </w:tabs>
        <w:ind w:left="851"/>
        <w:rPr>
          <w:sz w:val="24"/>
          <w:szCs w:val="24"/>
          <w:u w:val="single"/>
        </w:rPr>
      </w:pPr>
      <w:r w:rsidRPr="00E16E92">
        <w:rPr>
          <w:sz w:val="24"/>
          <w:szCs w:val="24"/>
          <w:u w:val="single"/>
        </w:rPr>
        <w:t>Holdbarhed efter fortynding</w:t>
      </w:r>
    </w:p>
    <w:p w:rsidR="00E16E92" w:rsidRPr="00E16E92" w:rsidRDefault="00E16E92" w:rsidP="00E16E92">
      <w:pPr>
        <w:tabs>
          <w:tab w:val="left" w:pos="851"/>
        </w:tabs>
        <w:ind w:left="851"/>
        <w:rPr>
          <w:sz w:val="24"/>
          <w:szCs w:val="24"/>
        </w:rPr>
      </w:pPr>
      <w:r w:rsidRPr="00E16E92">
        <w:rPr>
          <w:sz w:val="24"/>
          <w:szCs w:val="24"/>
        </w:rPr>
        <w:t>Kemisk og fysisk stabilitet efter åbning er dokumenteret i 48 timer/dage ved 25</w:t>
      </w:r>
      <w:r>
        <w:rPr>
          <w:sz w:val="24"/>
          <w:szCs w:val="24"/>
        </w:rPr>
        <w:t xml:space="preserve"> </w:t>
      </w:r>
      <w:r w:rsidRPr="00E16E92">
        <w:rPr>
          <w:sz w:val="24"/>
          <w:szCs w:val="24"/>
        </w:rPr>
        <w:t>°C og</w:t>
      </w:r>
      <w:r w:rsidR="00530E87">
        <w:rPr>
          <w:sz w:val="24"/>
          <w:szCs w:val="24"/>
        </w:rPr>
        <w:t xml:space="preserve"> </w:t>
      </w:r>
      <w:r w:rsidRPr="00E16E92">
        <w:rPr>
          <w:sz w:val="24"/>
          <w:szCs w:val="24"/>
        </w:rPr>
        <w:t>2-8</w:t>
      </w:r>
      <w:r w:rsidR="00120351">
        <w:rPr>
          <w:sz w:val="24"/>
          <w:szCs w:val="24"/>
        </w:rPr>
        <w:t> </w:t>
      </w:r>
      <w:r w:rsidRPr="00E16E92">
        <w:rPr>
          <w:sz w:val="24"/>
          <w:szCs w:val="24"/>
        </w:rPr>
        <w:t xml:space="preserve">°C, når lægemidlet er opløst med 4 mg/liter og 40 mg/liter noradrenalin i </w:t>
      </w:r>
      <w:proofErr w:type="spellStart"/>
      <w:r w:rsidRPr="00E16E92">
        <w:rPr>
          <w:sz w:val="24"/>
          <w:szCs w:val="24"/>
        </w:rPr>
        <w:t>natriumchloridopløsning</w:t>
      </w:r>
      <w:proofErr w:type="spellEnd"/>
      <w:r w:rsidRPr="00E16E92">
        <w:rPr>
          <w:sz w:val="24"/>
          <w:szCs w:val="24"/>
        </w:rPr>
        <w:t xml:space="preserve"> 9 mg/ml (0,9</w:t>
      </w:r>
      <w:r w:rsidR="004427BA">
        <w:rPr>
          <w:sz w:val="24"/>
          <w:szCs w:val="24"/>
        </w:rPr>
        <w:t xml:space="preserve"> %</w:t>
      </w:r>
      <w:r w:rsidRPr="00E16E92">
        <w:rPr>
          <w:sz w:val="24"/>
          <w:szCs w:val="24"/>
        </w:rPr>
        <w:t xml:space="preserve">) eller </w:t>
      </w:r>
      <w:proofErr w:type="spellStart"/>
      <w:r w:rsidRPr="00E16E92">
        <w:rPr>
          <w:sz w:val="24"/>
          <w:szCs w:val="24"/>
        </w:rPr>
        <w:t>glucoseopløsning</w:t>
      </w:r>
      <w:proofErr w:type="spellEnd"/>
      <w:r w:rsidRPr="00E16E92">
        <w:rPr>
          <w:sz w:val="24"/>
          <w:szCs w:val="24"/>
        </w:rPr>
        <w:t xml:space="preserve"> 50 mg/ml (5</w:t>
      </w:r>
      <w:r w:rsidR="004427BA">
        <w:rPr>
          <w:sz w:val="24"/>
          <w:szCs w:val="24"/>
        </w:rPr>
        <w:t xml:space="preserve"> %</w:t>
      </w:r>
      <w:r w:rsidRPr="00E16E92">
        <w:rPr>
          <w:sz w:val="24"/>
          <w:szCs w:val="24"/>
        </w:rPr>
        <w:t xml:space="preserve">) eller </w:t>
      </w:r>
      <w:proofErr w:type="spellStart"/>
      <w:r w:rsidRPr="00E16E92">
        <w:rPr>
          <w:sz w:val="24"/>
          <w:szCs w:val="24"/>
        </w:rPr>
        <w:t>natriumchlorid</w:t>
      </w:r>
      <w:proofErr w:type="spellEnd"/>
      <w:r w:rsidRPr="00E16E92">
        <w:rPr>
          <w:sz w:val="24"/>
          <w:szCs w:val="24"/>
        </w:rPr>
        <w:t xml:space="preserve"> 9 mg/ml (0,9</w:t>
      </w:r>
      <w:r w:rsidR="004427BA">
        <w:rPr>
          <w:sz w:val="24"/>
          <w:szCs w:val="24"/>
        </w:rPr>
        <w:t xml:space="preserve"> %</w:t>
      </w:r>
      <w:r w:rsidRPr="00E16E92">
        <w:rPr>
          <w:sz w:val="24"/>
          <w:szCs w:val="24"/>
        </w:rPr>
        <w:t xml:space="preserve">) med </w:t>
      </w:r>
      <w:proofErr w:type="spellStart"/>
      <w:r w:rsidRPr="00E16E92">
        <w:rPr>
          <w:sz w:val="24"/>
          <w:szCs w:val="24"/>
        </w:rPr>
        <w:t>glucoseopløsning</w:t>
      </w:r>
      <w:proofErr w:type="spellEnd"/>
      <w:r w:rsidRPr="00E16E92">
        <w:rPr>
          <w:sz w:val="24"/>
          <w:szCs w:val="24"/>
        </w:rPr>
        <w:t xml:space="preserve"> 50 mg/ml (5</w:t>
      </w:r>
      <w:r w:rsidR="004427BA">
        <w:rPr>
          <w:sz w:val="24"/>
          <w:szCs w:val="24"/>
        </w:rPr>
        <w:t xml:space="preserve"> %</w:t>
      </w:r>
      <w:r w:rsidRPr="00E16E92">
        <w:rPr>
          <w:sz w:val="24"/>
          <w:szCs w:val="24"/>
        </w:rPr>
        <w:t>).</w:t>
      </w:r>
    </w:p>
    <w:p w:rsidR="00E16E92" w:rsidRPr="00E16E92" w:rsidRDefault="00E16E92" w:rsidP="00E16E92">
      <w:pPr>
        <w:tabs>
          <w:tab w:val="left" w:pos="851"/>
        </w:tabs>
        <w:ind w:left="851"/>
        <w:rPr>
          <w:sz w:val="24"/>
          <w:szCs w:val="24"/>
        </w:rPr>
      </w:pPr>
    </w:p>
    <w:p w:rsidR="00E16E92" w:rsidRPr="00E16E92" w:rsidRDefault="00E16E92" w:rsidP="00E16E92">
      <w:pPr>
        <w:tabs>
          <w:tab w:val="left" w:pos="851"/>
        </w:tabs>
        <w:ind w:left="851"/>
        <w:rPr>
          <w:sz w:val="24"/>
          <w:szCs w:val="24"/>
        </w:rPr>
      </w:pPr>
      <w:r w:rsidRPr="00E16E92">
        <w:rPr>
          <w:sz w:val="24"/>
          <w:szCs w:val="24"/>
        </w:rPr>
        <w:t>Ud fra et mikrobiologisk synspunkt skal den fortyndede opløsning bruges med det samme. Anvendelse af andre opbevaringstider og -betingelser er på brugerens eget ansvar og må ikke overstige 24 timer ved 2 til 8</w:t>
      </w:r>
      <w:r w:rsidR="008C3080">
        <w:rPr>
          <w:sz w:val="24"/>
          <w:szCs w:val="24"/>
        </w:rPr>
        <w:t xml:space="preserve"> </w:t>
      </w:r>
      <w:r w:rsidRPr="00E16E92">
        <w:rPr>
          <w:sz w:val="24"/>
          <w:szCs w:val="24"/>
        </w:rPr>
        <w:t xml:space="preserve">°C, med mindre </w:t>
      </w:r>
      <w:proofErr w:type="spellStart"/>
      <w:r w:rsidRPr="00E16E92">
        <w:rPr>
          <w:sz w:val="24"/>
          <w:szCs w:val="24"/>
        </w:rPr>
        <w:t>rekonstitutionen</w:t>
      </w:r>
      <w:proofErr w:type="spellEnd"/>
      <w:r w:rsidRPr="00E16E92">
        <w:rPr>
          <w:sz w:val="24"/>
          <w:szCs w:val="24"/>
        </w:rPr>
        <w:t xml:space="preserve"> er udført under kontrollerede og validerede aseptiske betingelser.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C3080" w:rsidRPr="008C3080" w:rsidRDefault="008C3080" w:rsidP="008C3080">
      <w:pPr>
        <w:tabs>
          <w:tab w:val="left" w:pos="851"/>
        </w:tabs>
        <w:ind w:left="851"/>
        <w:rPr>
          <w:sz w:val="24"/>
          <w:szCs w:val="24"/>
        </w:rPr>
      </w:pPr>
      <w:r w:rsidRPr="008C3080">
        <w:rPr>
          <w:sz w:val="24"/>
          <w:szCs w:val="24"/>
        </w:rPr>
        <w:t>Må ikke opbevares ved temperaturer over 25 °C.</w:t>
      </w:r>
    </w:p>
    <w:p w:rsidR="008C3080" w:rsidRDefault="008C3080" w:rsidP="008C3080">
      <w:pPr>
        <w:tabs>
          <w:tab w:val="left" w:pos="851"/>
        </w:tabs>
        <w:ind w:left="851"/>
        <w:rPr>
          <w:sz w:val="24"/>
          <w:szCs w:val="24"/>
        </w:rPr>
      </w:pPr>
      <w:r w:rsidRPr="008C3080">
        <w:rPr>
          <w:sz w:val="24"/>
          <w:szCs w:val="24"/>
        </w:rPr>
        <w:t>Opbevar ampullen i den ydre karton for at beskytte mod lys.</w:t>
      </w:r>
    </w:p>
    <w:p w:rsidR="00C26678" w:rsidRDefault="00C26678" w:rsidP="008C3080">
      <w:pPr>
        <w:tabs>
          <w:tab w:val="left" w:pos="851"/>
        </w:tabs>
        <w:ind w:left="851"/>
        <w:rPr>
          <w:sz w:val="24"/>
          <w:szCs w:val="24"/>
        </w:rPr>
      </w:pPr>
    </w:p>
    <w:p w:rsidR="00C26678" w:rsidRPr="00C26678" w:rsidRDefault="00C26678" w:rsidP="00C26678">
      <w:pPr>
        <w:tabs>
          <w:tab w:val="left" w:pos="851"/>
        </w:tabs>
        <w:ind w:left="851"/>
        <w:rPr>
          <w:sz w:val="24"/>
          <w:szCs w:val="24"/>
        </w:rPr>
      </w:pPr>
      <w:r w:rsidRPr="00C26678">
        <w:rPr>
          <w:sz w:val="24"/>
          <w:szCs w:val="24"/>
        </w:rPr>
        <w:t>Se pkt. 6.3 for oplysninger om opbevaringsforhold efter fortynding af lægemidlet.</w:t>
      </w:r>
    </w:p>
    <w:p w:rsidR="008C3080" w:rsidRPr="008C3080" w:rsidRDefault="008C3080" w:rsidP="008C308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C26678" w:rsidRPr="00C26678" w:rsidRDefault="00C26678" w:rsidP="00C26678">
      <w:pPr>
        <w:tabs>
          <w:tab w:val="left" w:pos="851"/>
        </w:tabs>
        <w:ind w:left="851"/>
        <w:rPr>
          <w:sz w:val="24"/>
          <w:szCs w:val="24"/>
        </w:rPr>
      </w:pPr>
      <w:r w:rsidRPr="00C26678">
        <w:rPr>
          <w:sz w:val="24"/>
          <w:szCs w:val="24"/>
        </w:rPr>
        <w:t>1 ml, 2 ml, 4 ml, 5 ml, 8 ml eller 10 ml opløsning fyldt i farveløse glasampuller, der åbnes med et enkelt vrid. Ampullerne er pakket i beskyttende foring og anbragt i kartonboks.</w:t>
      </w:r>
    </w:p>
    <w:p w:rsidR="00C26678" w:rsidRPr="00C26678" w:rsidRDefault="00C26678" w:rsidP="00C26678">
      <w:pPr>
        <w:tabs>
          <w:tab w:val="left" w:pos="851"/>
        </w:tabs>
        <w:ind w:left="851"/>
        <w:rPr>
          <w:sz w:val="24"/>
          <w:szCs w:val="24"/>
        </w:rPr>
      </w:pPr>
    </w:p>
    <w:p w:rsidR="00C26678" w:rsidRPr="00C26678" w:rsidRDefault="00C26678" w:rsidP="00C26678">
      <w:pPr>
        <w:tabs>
          <w:tab w:val="left" w:pos="851"/>
        </w:tabs>
        <w:ind w:left="851"/>
        <w:rPr>
          <w:sz w:val="24"/>
          <w:szCs w:val="24"/>
        </w:rPr>
      </w:pPr>
      <w:r w:rsidRPr="00C26678">
        <w:rPr>
          <w:sz w:val="24"/>
          <w:szCs w:val="24"/>
        </w:rPr>
        <w:lastRenderedPageBreak/>
        <w:t xml:space="preserve">Pakningsstørrelser: 5 </w:t>
      </w:r>
      <w:r w:rsidR="000F5D8C">
        <w:rPr>
          <w:sz w:val="24"/>
          <w:szCs w:val="24"/>
        </w:rPr>
        <w:t>og</w:t>
      </w:r>
      <w:r w:rsidRPr="00C26678">
        <w:rPr>
          <w:sz w:val="24"/>
          <w:szCs w:val="24"/>
        </w:rPr>
        <w:t xml:space="preserve"> 10 ampuller</w:t>
      </w:r>
      <w:r w:rsidR="000F5D8C">
        <w:rPr>
          <w:sz w:val="24"/>
          <w:szCs w:val="24"/>
        </w:rPr>
        <w:t>.</w:t>
      </w:r>
    </w:p>
    <w:p w:rsidR="00C26678" w:rsidRPr="00C26678" w:rsidRDefault="00C26678" w:rsidP="00C26678">
      <w:pPr>
        <w:tabs>
          <w:tab w:val="left" w:pos="851"/>
        </w:tabs>
        <w:ind w:left="851"/>
        <w:rPr>
          <w:sz w:val="24"/>
          <w:szCs w:val="24"/>
        </w:rPr>
      </w:pPr>
      <w:r w:rsidRPr="00C26678">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0F5D8C" w:rsidRPr="000F5D8C" w:rsidRDefault="000F5D8C" w:rsidP="00784920">
      <w:pPr>
        <w:tabs>
          <w:tab w:val="left" w:pos="851"/>
        </w:tabs>
        <w:ind w:left="851"/>
        <w:rPr>
          <w:sz w:val="24"/>
          <w:szCs w:val="24"/>
        </w:rPr>
      </w:pPr>
      <w:r w:rsidRPr="000F5D8C">
        <w:rPr>
          <w:sz w:val="24"/>
          <w:szCs w:val="24"/>
        </w:rPr>
        <w:t>Kun til engangsbrug. Al ubrugt indhold skal bortskaffes.</w:t>
      </w:r>
    </w:p>
    <w:p w:rsidR="000F5D8C" w:rsidRPr="000F5D8C" w:rsidRDefault="000F5D8C" w:rsidP="00784920">
      <w:pPr>
        <w:tabs>
          <w:tab w:val="left" w:pos="851"/>
        </w:tabs>
        <w:ind w:left="851"/>
        <w:rPr>
          <w:sz w:val="24"/>
          <w:szCs w:val="24"/>
        </w:rPr>
      </w:pPr>
    </w:p>
    <w:p w:rsidR="000F5D8C" w:rsidRPr="000F5D8C" w:rsidRDefault="000F5D8C" w:rsidP="00784920">
      <w:pPr>
        <w:tabs>
          <w:tab w:val="left" w:pos="851"/>
        </w:tabs>
        <w:ind w:left="851"/>
        <w:rPr>
          <w:sz w:val="24"/>
          <w:szCs w:val="24"/>
        </w:rPr>
      </w:pPr>
      <w:r w:rsidRPr="000F5D8C">
        <w:rPr>
          <w:sz w:val="24"/>
          <w:szCs w:val="24"/>
        </w:rPr>
        <w:t>Undersøg opløsningen visuelt før anvendelse. Opløsningen må ikke bruges, hvis den indeholder synlige partikler/faste stoffer.</w:t>
      </w:r>
    </w:p>
    <w:p w:rsidR="000F5D8C" w:rsidRPr="000F5D8C" w:rsidRDefault="000F5D8C" w:rsidP="00784920">
      <w:pPr>
        <w:tabs>
          <w:tab w:val="left" w:pos="851"/>
        </w:tabs>
        <w:ind w:left="851"/>
        <w:rPr>
          <w:sz w:val="24"/>
          <w:szCs w:val="24"/>
        </w:rPr>
      </w:pPr>
    </w:p>
    <w:p w:rsidR="000F5D8C" w:rsidRPr="000F5D8C" w:rsidRDefault="000F5D8C" w:rsidP="00784920">
      <w:pPr>
        <w:tabs>
          <w:tab w:val="left" w:pos="851"/>
        </w:tabs>
        <w:ind w:left="851"/>
        <w:rPr>
          <w:sz w:val="24"/>
          <w:szCs w:val="24"/>
        </w:rPr>
      </w:pPr>
      <w:r w:rsidRPr="000F5D8C">
        <w:rPr>
          <w:sz w:val="24"/>
          <w:szCs w:val="24"/>
        </w:rPr>
        <w:t>Brug ikke infusionsopløsningen, hvis den har en brun farve.</w:t>
      </w:r>
    </w:p>
    <w:p w:rsidR="000F5D8C" w:rsidRPr="000F5D8C" w:rsidRDefault="000F5D8C" w:rsidP="00784920">
      <w:pPr>
        <w:tabs>
          <w:tab w:val="left" w:pos="851"/>
        </w:tabs>
        <w:ind w:left="851"/>
        <w:rPr>
          <w:sz w:val="24"/>
          <w:szCs w:val="24"/>
        </w:rPr>
      </w:pPr>
    </w:p>
    <w:p w:rsidR="000F5D8C" w:rsidRPr="00AE18CC" w:rsidRDefault="000F5D8C" w:rsidP="00784920">
      <w:pPr>
        <w:tabs>
          <w:tab w:val="left" w:pos="851"/>
        </w:tabs>
        <w:ind w:left="851"/>
        <w:rPr>
          <w:sz w:val="24"/>
          <w:szCs w:val="24"/>
          <w:u w:val="single"/>
        </w:rPr>
      </w:pPr>
      <w:r w:rsidRPr="00AE18CC">
        <w:rPr>
          <w:sz w:val="24"/>
          <w:szCs w:val="24"/>
          <w:u w:val="single"/>
        </w:rPr>
        <w:t>Fortyndes før brug med</w:t>
      </w:r>
    </w:p>
    <w:p w:rsidR="000F5D8C" w:rsidRPr="000F5D8C" w:rsidRDefault="000F5D8C" w:rsidP="00784920">
      <w:pPr>
        <w:numPr>
          <w:ilvl w:val="0"/>
          <w:numId w:val="13"/>
        </w:numPr>
        <w:tabs>
          <w:tab w:val="left" w:pos="851"/>
        </w:tabs>
        <w:ind w:left="1134" w:hanging="283"/>
        <w:rPr>
          <w:sz w:val="24"/>
          <w:szCs w:val="24"/>
        </w:rPr>
      </w:pPr>
      <w:r w:rsidRPr="000F5D8C">
        <w:rPr>
          <w:sz w:val="24"/>
          <w:szCs w:val="24"/>
        </w:rPr>
        <w:t>50 mg/ml (5</w:t>
      </w:r>
      <w:r w:rsidR="004427BA">
        <w:rPr>
          <w:sz w:val="24"/>
          <w:szCs w:val="24"/>
        </w:rPr>
        <w:t xml:space="preserve"> %</w:t>
      </w:r>
      <w:r w:rsidRPr="000F5D8C">
        <w:rPr>
          <w:sz w:val="24"/>
          <w:szCs w:val="24"/>
        </w:rPr>
        <w:t xml:space="preserve">) </w:t>
      </w:r>
      <w:proofErr w:type="spellStart"/>
      <w:r w:rsidRPr="000F5D8C">
        <w:rPr>
          <w:sz w:val="24"/>
          <w:szCs w:val="24"/>
        </w:rPr>
        <w:t>glucoseopløsning</w:t>
      </w:r>
      <w:proofErr w:type="spellEnd"/>
      <w:r w:rsidRPr="000F5D8C">
        <w:rPr>
          <w:sz w:val="24"/>
          <w:szCs w:val="24"/>
        </w:rPr>
        <w:t xml:space="preserve"> eller</w:t>
      </w:r>
    </w:p>
    <w:p w:rsidR="000F5D8C" w:rsidRPr="000F5D8C" w:rsidRDefault="000F5D8C" w:rsidP="00784920">
      <w:pPr>
        <w:numPr>
          <w:ilvl w:val="0"/>
          <w:numId w:val="13"/>
        </w:numPr>
        <w:tabs>
          <w:tab w:val="left" w:pos="851"/>
        </w:tabs>
        <w:ind w:left="1134" w:hanging="283"/>
        <w:rPr>
          <w:sz w:val="24"/>
          <w:szCs w:val="24"/>
        </w:rPr>
      </w:pPr>
      <w:r w:rsidRPr="000F5D8C">
        <w:rPr>
          <w:sz w:val="24"/>
          <w:szCs w:val="24"/>
        </w:rPr>
        <w:t>9 mg/ml (0,9</w:t>
      </w:r>
      <w:r w:rsidR="004427BA">
        <w:rPr>
          <w:sz w:val="24"/>
          <w:szCs w:val="24"/>
        </w:rPr>
        <w:t xml:space="preserve"> %</w:t>
      </w:r>
      <w:r w:rsidRPr="000F5D8C">
        <w:rPr>
          <w:sz w:val="24"/>
          <w:szCs w:val="24"/>
        </w:rPr>
        <w:t xml:space="preserve">) </w:t>
      </w:r>
      <w:proofErr w:type="spellStart"/>
      <w:r w:rsidRPr="000F5D8C">
        <w:rPr>
          <w:sz w:val="24"/>
          <w:szCs w:val="24"/>
        </w:rPr>
        <w:t>natriumchlorid</w:t>
      </w:r>
      <w:proofErr w:type="spellEnd"/>
    </w:p>
    <w:p w:rsidR="000F5D8C" w:rsidRPr="000F5D8C" w:rsidRDefault="000F5D8C" w:rsidP="00784920">
      <w:pPr>
        <w:numPr>
          <w:ilvl w:val="0"/>
          <w:numId w:val="13"/>
        </w:numPr>
        <w:tabs>
          <w:tab w:val="left" w:pos="851"/>
        </w:tabs>
        <w:ind w:left="1134" w:hanging="283"/>
        <w:rPr>
          <w:sz w:val="24"/>
          <w:szCs w:val="24"/>
        </w:rPr>
      </w:pPr>
      <w:r w:rsidRPr="000F5D8C">
        <w:rPr>
          <w:sz w:val="24"/>
          <w:szCs w:val="24"/>
        </w:rPr>
        <w:t>9 mg/ml (0,9</w:t>
      </w:r>
      <w:r w:rsidR="004427BA">
        <w:rPr>
          <w:sz w:val="24"/>
          <w:szCs w:val="24"/>
        </w:rPr>
        <w:t xml:space="preserve"> %</w:t>
      </w:r>
      <w:r w:rsidRPr="000F5D8C">
        <w:rPr>
          <w:sz w:val="24"/>
          <w:szCs w:val="24"/>
        </w:rPr>
        <w:t xml:space="preserve">) </w:t>
      </w:r>
      <w:proofErr w:type="spellStart"/>
      <w:r w:rsidRPr="000F5D8C">
        <w:rPr>
          <w:sz w:val="24"/>
          <w:szCs w:val="24"/>
        </w:rPr>
        <w:t>natriumchlorid</w:t>
      </w:r>
      <w:proofErr w:type="spellEnd"/>
      <w:r w:rsidRPr="000F5D8C">
        <w:rPr>
          <w:sz w:val="24"/>
          <w:szCs w:val="24"/>
        </w:rPr>
        <w:t xml:space="preserve"> med 50 mg/ml (5</w:t>
      </w:r>
      <w:r w:rsidR="004427BA">
        <w:rPr>
          <w:sz w:val="24"/>
          <w:szCs w:val="24"/>
        </w:rPr>
        <w:t xml:space="preserve"> %</w:t>
      </w:r>
      <w:r w:rsidRPr="000F5D8C">
        <w:rPr>
          <w:sz w:val="24"/>
          <w:szCs w:val="24"/>
        </w:rPr>
        <w:t xml:space="preserve">) </w:t>
      </w:r>
      <w:proofErr w:type="spellStart"/>
      <w:r w:rsidRPr="000F5D8C">
        <w:rPr>
          <w:sz w:val="24"/>
          <w:szCs w:val="24"/>
        </w:rPr>
        <w:t>glucoseopløsning</w:t>
      </w:r>
      <w:proofErr w:type="spellEnd"/>
      <w:r w:rsidRPr="000F5D8C">
        <w:rPr>
          <w:sz w:val="24"/>
          <w:szCs w:val="24"/>
        </w:rPr>
        <w:t>.</w:t>
      </w:r>
    </w:p>
    <w:p w:rsidR="000F5D8C" w:rsidRPr="000F5D8C" w:rsidRDefault="000F5D8C" w:rsidP="00784920">
      <w:pPr>
        <w:tabs>
          <w:tab w:val="left" w:pos="851"/>
        </w:tabs>
        <w:ind w:left="851"/>
        <w:rPr>
          <w:sz w:val="24"/>
          <w:szCs w:val="24"/>
        </w:rPr>
      </w:pPr>
    </w:p>
    <w:p w:rsidR="000F5D8C" w:rsidRPr="000F5D8C" w:rsidRDefault="000F5D8C" w:rsidP="00784920">
      <w:pPr>
        <w:tabs>
          <w:tab w:val="left" w:pos="851"/>
        </w:tabs>
        <w:ind w:left="851"/>
        <w:rPr>
          <w:sz w:val="24"/>
          <w:szCs w:val="24"/>
        </w:rPr>
      </w:pPr>
      <w:r w:rsidRPr="000F5D8C">
        <w:rPr>
          <w:sz w:val="24"/>
          <w:szCs w:val="24"/>
        </w:rPr>
        <w:t xml:space="preserve">Tilsæt enten 2 ml koncentrat til 48 ml </w:t>
      </w:r>
      <w:proofErr w:type="spellStart"/>
      <w:r w:rsidRPr="000F5D8C">
        <w:rPr>
          <w:sz w:val="24"/>
          <w:szCs w:val="24"/>
        </w:rPr>
        <w:t>glucoseopløsning</w:t>
      </w:r>
      <w:proofErr w:type="spellEnd"/>
      <w:r w:rsidRPr="000F5D8C">
        <w:rPr>
          <w:sz w:val="24"/>
          <w:szCs w:val="24"/>
        </w:rPr>
        <w:t xml:space="preserve"> 50 mg/ml (5</w:t>
      </w:r>
      <w:r w:rsidR="004427BA">
        <w:rPr>
          <w:sz w:val="24"/>
          <w:szCs w:val="24"/>
        </w:rPr>
        <w:t xml:space="preserve"> %</w:t>
      </w:r>
      <w:r w:rsidRPr="000F5D8C">
        <w:rPr>
          <w:sz w:val="24"/>
          <w:szCs w:val="24"/>
        </w:rPr>
        <w:t xml:space="preserve">) (eller en af de øvrige ovenstående opløsninger til fortynding) til indgivelse med sprøjtepumpe, eller tilsæt 20 ml koncentrat til 480 ml </w:t>
      </w:r>
      <w:proofErr w:type="spellStart"/>
      <w:r w:rsidRPr="000F5D8C">
        <w:rPr>
          <w:sz w:val="24"/>
          <w:szCs w:val="24"/>
        </w:rPr>
        <w:t>glucoseopløsning</w:t>
      </w:r>
      <w:proofErr w:type="spellEnd"/>
      <w:r w:rsidRPr="000F5D8C">
        <w:rPr>
          <w:sz w:val="24"/>
          <w:szCs w:val="24"/>
        </w:rPr>
        <w:t xml:space="preserve"> 50 mg/ml (5</w:t>
      </w:r>
      <w:r w:rsidR="004427BA">
        <w:rPr>
          <w:sz w:val="24"/>
          <w:szCs w:val="24"/>
        </w:rPr>
        <w:t xml:space="preserve"> %</w:t>
      </w:r>
      <w:r w:rsidRPr="000F5D8C">
        <w:rPr>
          <w:sz w:val="24"/>
          <w:szCs w:val="24"/>
        </w:rPr>
        <w:t xml:space="preserve">) (eller en af de øvrige ovenstående opløsninger til fortynding) til indgivelse med dråbetæller. I begge tilfælde skal infusionsopløsningens færdige koncentration være 40 mg/liter noradrenalin (hvilket er ækvivalent med 80 mg/liter </w:t>
      </w:r>
      <w:proofErr w:type="spellStart"/>
      <w:r w:rsidRPr="000F5D8C">
        <w:rPr>
          <w:sz w:val="24"/>
          <w:szCs w:val="24"/>
        </w:rPr>
        <w:t>noradrenalintartrat</w:t>
      </w:r>
      <w:proofErr w:type="spellEnd"/>
      <w:r w:rsidRPr="000F5D8C">
        <w:rPr>
          <w:sz w:val="24"/>
          <w:szCs w:val="24"/>
        </w:rPr>
        <w:t>). Der kan også anvendes andre fortyndinger end 40 mg/liter noradrenalin (se pkt. 4.2). Hvis der anvendes andre fortyndinger end 40 mg/liter noradrenalin, skal beregningen af infusionshastighed kontrolleres omhyggeligt, inden behandlingen påbegyndes.</w:t>
      </w:r>
    </w:p>
    <w:p w:rsidR="000F5D8C" w:rsidRPr="000F5D8C" w:rsidRDefault="000F5D8C" w:rsidP="00784920">
      <w:pPr>
        <w:tabs>
          <w:tab w:val="left" w:pos="851"/>
        </w:tabs>
        <w:ind w:left="851"/>
        <w:rPr>
          <w:sz w:val="24"/>
          <w:szCs w:val="24"/>
        </w:rPr>
      </w:pPr>
    </w:p>
    <w:p w:rsidR="000F5D8C" w:rsidRPr="000F5D8C" w:rsidRDefault="000F5D8C" w:rsidP="00784920">
      <w:pPr>
        <w:tabs>
          <w:tab w:val="left" w:pos="851"/>
        </w:tabs>
        <w:ind w:left="851"/>
        <w:rPr>
          <w:sz w:val="24"/>
          <w:szCs w:val="24"/>
        </w:rPr>
      </w:pPr>
      <w:r w:rsidRPr="000F5D8C">
        <w:rPr>
          <w:sz w:val="24"/>
          <w:szCs w:val="24"/>
        </w:rPr>
        <w:t xml:space="preserve">Produktet er kompatibelt med infusionsposer af </w:t>
      </w:r>
      <w:proofErr w:type="spellStart"/>
      <w:r w:rsidRPr="000F5D8C">
        <w:rPr>
          <w:sz w:val="24"/>
          <w:szCs w:val="24"/>
        </w:rPr>
        <w:t>polyvinylchlorid</w:t>
      </w:r>
      <w:proofErr w:type="spellEnd"/>
      <w:r w:rsidRPr="000F5D8C">
        <w:rPr>
          <w:sz w:val="24"/>
          <w:szCs w:val="24"/>
        </w:rPr>
        <w:t xml:space="preserve"> (PVC), </w:t>
      </w:r>
      <w:proofErr w:type="spellStart"/>
      <w:r w:rsidRPr="000F5D8C">
        <w:rPr>
          <w:sz w:val="24"/>
          <w:szCs w:val="24"/>
        </w:rPr>
        <w:t>ethylvinylacetat</w:t>
      </w:r>
      <w:proofErr w:type="spellEnd"/>
      <w:r w:rsidRPr="000F5D8C">
        <w:rPr>
          <w:sz w:val="24"/>
          <w:szCs w:val="24"/>
        </w:rPr>
        <w:t xml:space="preserve"> (EVA) eller </w:t>
      </w:r>
      <w:proofErr w:type="spellStart"/>
      <w:r w:rsidRPr="000F5D8C">
        <w:rPr>
          <w:sz w:val="24"/>
          <w:szCs w:val="24"/>
        </w:rPr>
        <w:t>polyethylen</w:t>
      </w:r>
      <w:proofErr w:type="spellEnd"/>
      <w:r w:rsidRPr="000F5D8C">
        <w:rPr>
          <w:sz w:val="24"/>
          <w:szCs w:val="24"/>
        </w:rPr>
        <w:t xml:space="preserve"> (PE).</w:t>
      </w:r>
    </w:p>
    <w:p w:rsidR="000F5D8C" w:rsidRPr="000F5D8C" w:rsidRDefault="000F5D8C" w:rsidP="00784920">
      <w:pPr>
        <w:tabs>
          <w:tab w:val="left" w:pos="851"/>
        </w:tabs>
        <w:ind w:left="851"/>
        <w:rPr>
          <w:sz w:val="24"/>
          <w:szCs w:val="24"/>
        </w:rPr>
      </w:pPr>
    </w:p>
    <w:p w:rsidR="000F5D8C" w:rsidRPr="000F5D8C" w:rsidRDefault="000F5D8C" w:rsidP="00784920">
      <w:pPr>
        <w:tabs>
          <w:tab w:val="left" w:pos="851"/>
        </w:tabs>
        <w:ind w:left="851"/>
        <w:rPr>
          <w:sz w:val="24"/>
          <w:szCs w:val="24"/>
        </w:rPr>
      </w:pPr>
      <w:r w:rsidRPr="000F5D8C">
        <w:rPr>
          <w:sz w:val="24"/>
          <w:szCs w:val="24"/>
        </w:rPr>
        <w:t>Ikke anvendt lægemiddel samt affald heraf skal bortskaffes i henhold til lokale retningslinjer.</w:t>
      </w:r>
    </w:p>
    <w:p w:rsidR="009260DE" w:rsidRPr="00C84483" w:rsidRDefault="009260DE" w:rsidP="00784920">
      <w:pPr>
        <w:tabs>
          <w:tab w:val="left" w:pos="851"/>
        </w:tabs>
        <w:ind w:left="851"/>
        <w:rPr>
          <w:sz w:val="24"/>
          <w:szCs w:val="24"/>
        </w:rPr>
      </w:pPr>
    </w:p>
    <w:p w:rsidR="009260DE" w:rsidRPr="00C84483" w:rsidRDefault="009260DE" w:rsidP="0078492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1954B1" w:rsidRPr="00A85ED3" w:rsidRDefault="001954B1" w:rsidP="001954B1">
      <w:pPr>
        <w:tabs>
          <w:tab w:val="left" w:pos="851"/>
        </w:tabs>
        <w:ind w:left="851"/>
        <w:rPr>
          <w:sz w:val="24"/>
          <w:szCs w:val="24"/>
        </w:rPr>
      </w:pPr>
      <w:r w:rsidRPr="00A85ED3">
        <w:rPr>
          <w:sz w:val="24"/>
          <w:szCs w:val="24"/>
        </w:rPr>
        <w:t xml:space="preserve">AS </w:t>
      </w:r>
      <w:proofErr w:type="spellStart"/>
      <w:r w:rsidRPr="00A85ED3">
        <w:rPr>
          <w:sz w:val="24"/>
          <w:szCs w:val="24"/>
        </w:rPr>
        <w:t>Kalceks</w:t>
      </w:r>
      <w:proofErr w:type="spellEnd"/>
    </w:p>
    <w:p w:rsidR="00884BBE" w:rsidRPr="00A85ED3" w:rsidRDefault="004A5875" w:rsidP="001954B1">
      <w:pPr>
        <w:tabs>
          <w:tab w:val="left" w:pos="851"/>
        </w:tabs>
        <w:ind w:left="851"/>
        <w:rPr>
          <w:sz w:val="24"/>
          <w:szCs w:val="24"/>
        </w:rPr>
      </w:pPr>
      <w:proofErr w:type="spellStart"/>
      <w:r w:rsidRPr="004A5875">
        <w:rPr>
          <w:sz w:val="24"/>
          <w:szCs w:val="24"/>
        </w:rPr>
        <w:t>Krustpils</w:t>
      </w:r>
      <w:proofErr w:type="spellEnd"/>
      <w:r w:rsidRPr="004A5875">
        <w:rPr>
          <w:sz w:val="24"/>
          <w:szCs w:val="24"/>
        </w:rPr>
        <w:t xml:space="preserve"> </w:t>
      </w:r>
      <w:proofErr w:type="spellStart"/>
      <w:r w:rsidRPr="004A5875">
        <w:rPr>
          <w:sz w:val="24"/>
          <w:szCs w:val="24"/>
        </w:rPr>
        <w:t>iela</w:t>
      </w:r>
      <w:proofErr w:type="spellEnd"/>
      <w:r w:rsidRPr="004A5875">
        <w:rPr>
          <w:sz w:val="24"/>
          <w:szCs w:val="24"/>
        </w:rPr>
        <w:t xml:space="preserve"> 71E</w:t>
      </w:r>
    </w:p>
    <w:p w:rsidR="00884BBE" w:rsidRPr="00A85ED3" w:rsidRDefault="001954B1" w:rsidP="001954B1">
      <w:pPr>
        <w:tabs>
          <w:tab w:val="left" w:pos="851"/>
        </w:tabs>
        <w:ind w:left="851"/>
        <w:rPr>
          <w:sz w:val="24"/>
          <w:szCs w:val="24"/>
        </w:rPr>
      </w:pPr>
      <w:r w:rsidRPr="00A85ED3">
        <w:rPr>
          <w:sz w:val="24"/>
          <w:szCs w:val="24"/>
        </w:rPr>
        <w:t>LV</w:t>
      </w:r>
      <w:r w:rsidRPr="00A85ED3">
        <w:rPr>
          <w:sz w:val="24"/>
          <w:szCs w:val="24"/>
        </w:rPr>
        <w:noBreakHyphen/>
        <w:t>1057</w:t>
      </w:r>
      <w:r w:rsidR="00884BBE" w:rsidRPr="00A85ED3">
        <w:rPr>
          <w:sz w:val="24"/>
          <w:szCs w:val="24"/>
        </w:rPr>
        <w:t xml:space="preserve"> Riga</w:t>
      </w:r>
    </w:p>
    <w:p w:rsidR="001954B1" w:rsidRPr="00A85ED3" w:rsidRDefault="001954B1" w:rsidP="001954B1">
      <w:pPr>
        <w:tabs>
          <w:tab w:val="left" w:pos="851"/>
        </w:tabs>
        <w:ind w:left="851"/>
        <w:rPr>
          <w:sz w:val="24"/>
          <w:szCs w:val="24"/>
        </w:rPr>
      </w:pPr>
      <w:r w:rsidRPr="00A85ED3">
        <w:rPr>
          <w:sz w:val="24"/>
          <w:szCs w:val="24"/>
        </w:rPr>
        <w:t>Letland</w:t>
      </w:r>
    </w:p>
    <w:p w:rsidR="009260DE" w:rsidRPr="00A85ED3" w:rsidRDefault="009260DE" w:rsidP="00784920">
      <w:pPr>
        <w:tabs>
          <w:tab w:val="left" w:pos="851"/>
        </w:tabs>
        <w:ind w:left="851"/>
        <w:rPr>
          <w:sz w:val="24"/>
          <w:szCs w:val="24"/>
        </w:rPr>
      </w:pPr>
    </w:p>
    <w:p w:rsidR="009260DE" w:rsidRPr="00C84483" w:rsidRDefault="009260DE" w:rsidP="00784920">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884BBE" w:rsidP="009260DE">
      <w:pPr>
        <w:tabs>
          <w:tab w:val="left" w:pos="851"/>
        </w:tabs>
        <w:ind w:left="851"/>
        <w:rPr>
          <w:sz w:val="24"/>
          <w:szCs w:val="24"/>
        </w:rPr>
      </w:pPr>
      <w:r>
        <w:rPr>
          <w:sz w:val="24"/>
          <w:szCs w:val="24"/>
        </w:rPr>
        <w:t>62814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3135B" w:rsidP="009260DE">
      <w:pPr>
        <w:tabs>
          <w:tab w:val="left" w:pos="851"/>
        </w:tabs>
        <w:ind w:left="851"/>
        <w:rPr>
          <w:sz w:val="24"/>
          <w:szCs w:val="24"/>
        </w:rPr>
      </w:pPr>
      <w:r>
        <w:rPr>
          <w:sz w:val="24"/>
          <w:szCs w:val="24"/>
        </w:rPr>
        <w:t>5</w:t>
      </w:r>
      <w:r w:rsidR="00A85ED3">
        <w:rPr>
          <w:sz w:val="24"/>
          <w:szCs w:val="24"/>
        </w:rPr>
        <w:t>. maj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530E87" w:rsidP="009260DE">
      <w:pPr>
        <w:tabs>
          <w:tab w:val="left" w:pos="851"/>
        </w:tabs>
        <w:ind w:left="851"/>
        <w:rPr>
          <w:sz w:val="24"/>
          <w:szCs w:val="24"/>
        </w:rPr>
      </w:pPr>
      <w:r>
        <w:rPr>
          <w:sz w:val="24"/>
          <w:szCs w:val="24"/>
        </w:rPr>
        <w:t>15. juli 2022</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5D8C" w:rsidRDefault="000F5D8C">
      <w:r>
        <w:separator/>
      </w:r>
    </w:p>
  </w:endnote>
  <w:endnote w:type="continuationSeparator" w:id="0">
    <w:p w:rsidR="000F5D8C" w:rsidRDefault="000F5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D8C" w:rsidRDefault="000F5D8C">
    <w:pPr>
      <w:pStyle w:val="Sidefod"/>
      <w:pBdr>
        <w:bottom w:val="single" w:sz="6" w:space="1" w:color="auto"/>
      </w:pBdr>
    </w:pPr>
  </w:p>
  <w:p w:rsidR="000F5D8C" w:rsidRDefault="000F5D8C" w:rsidP="00C42586">
    <w:pPr>
      <w:pStyle w:val="Sidefod"/>
      <w:tabs>
        <w:tab w:val="clear" w:pos="4819"/>
        <w:tab w:val="left" w:pos="8505"/>
      </w:tabs>
      <w:rPr>
        <w:i/>
        <w:sz w:val="18"/>
        <w:szCs w:val="18"/>
      </w:rPr>
    </w:pPr>
  </w:p>
  <w:p w:rsidR="000F5D8C" w:rsidRPr="00B373D7" w:rsidRDefault="000F5D8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Noradrenalin Kalceks, koncentrat til infusionsvæske, opløsning 1 mg-ml</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5D8C" w:rsidRDefault="000F5D8C">
      <w:r>
        <w:separator/>
      </w:r>
    </w:p>
  </w:footnote>
  <w:footnote w:type="continuationSeparator" w:id="0">
    <w:p w:rsidR="000F5D8C" w:rsidRDefault="000F5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271B8"/>
    <w:multiLevelType w:val="hybridMultilevel"/>
    <w:tmpl w:val="FADEBD48"/>
    <w:lvl w:ilvl="0" w:tplc="FFFFFFFF">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28B7554"/>
    <w:multiLevelType w:val="hybridMultilevel"/>
    <w:tmpl w:val="DE5879D0"/>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2A80FEE"/>
    <w:multiLevelType w:val="hybridMultilevel"/>
    <w:tmpl w:val="B2608AE4"/>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4DE5BFD"/>
    <w:multiLevelType w:val="hybridMultilevel"/>
    <w:tmpl w:val="67361E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4220F1"/>
    <w:multiLevelType w:val="hybridMultilevel"/>
    <w:tmpl w:val="34E23FA8"/>
    <w:lvl w:ilvl="0" w:tplc="5A5CF712">
      <w:start w:val="1"/>
      <w:numFmt w:val="bullet"/>
      <w:lvlText w:val="-"/>
      <w:lvlJc w:val="left"/>
      <w:pPr>
        <w:ind w:left="720" w:hanging="360"/>
      </w:pPr>
      <w:rPr>
        <w:rFonts w:ascii="Courier New" w:hAnsi="Courier New" w:cs="Times New Roman" w:hint="default"/>
      </w:rPr>
    </w:lvl>
    <w:lvl w:ilvl="1" w:tplc="27740116">
      <w:start w:val="1"/>
      <w:numFmt w:val="bullet"/>
      <w:lvlText w:val="o"/>
      <w:lvlJc w:val="left"/>
      <w:pPr>
        <w:ind w:left="1440" w:hanging="360"/>
      </w:pPr>
      <w:rPr>
        <w:rFonts w:ascii="Courier New" w:hAnsi="Courier New" w:cs="Courier New" w:hint="default"/>
      </w:rPr>
    </w:lvl>
    <w:lvl w:ilvl="2" w:tplc="0CEE7464">
      <w:start w:val="1"/>
      <w:numFmt w:val="bullet"/>
      <w:lvlText w:val=""/>
      <w:lvlJc w:val="left"/>
      <w:pPr>
        <w:ind w:left="2160" w:hanging="360"/>
      </w:pPr>
      <w:rPr>
        <w:rFonts w:ascii="Wingdings" w:hAnsi="Wingdings" w:hint="default"/>
      </w:rPr>
    </w:lvl>
    <w:lvl w:ilvl="3" w:tplc="B1E66EB0">
      <w:start w:val="1"/>
      <w:numFmt w:val="bullet"/>
      <w:lvlText w:val=""/>
      <w:lvlJc w:val="left"/>
      <w:pPr>
        <w:ind w:left="2880" w:hanging="360"/>
      </w:pPr>
      <w:rPr>
        <w:rFonts w:ascii="Symbol" w:hAnsi="Symbol" w:hint="default"/>
      </w:rPr>
    </w:lvl>
    <w:lvl w:ilvl="4" w:tplc="E6BE8726">
      <w:start w:val="1"/>
      <w:numFmt w:val="bullet"/>
      <w:lvlText w:val="o"/>
      <w:lvlJc w:val="left"/>
      <w:pPr>
        <w:ind w:left="3600" w:hanging="360"/>
      </w:pPr>
      <w:rPr>
        <w:rFonts w:ascii="Courier New" w:hAnsi="Courier New" w:cs="Courier New" w:hint="default"/>
      </w:rPr>
    </w:lvl>
    <w:lvl w:ilvl="5" w:tplc="4A84037E">
      <w:start w:val="1"/>
      <w:numFmt w:val="bullet"/>
      <w:lvlText w:val=""/>
      <w:lvlJc w:val="left"/>
      <w:pPr>
        <w:ind w:left="4320" w:hanging="360"/>
      </w:pPr>
      <w:rPr>
        <w:rFonts w:ascii="Wingdings" w:hAnsi="Wingdings" w:hint="default"/>
      </w:rPr>
    </w:lvl>
    <w:lvl w:ilvl="6" w:tplc="7BE8EDAC">
      <w:start w:val="1"/>
      <w:numFmt w:val="bullet"/>
      <w:lvlText w:val=""/>
      <w:lvlJc w:val="left"/>
      <w:pPr>
        <w:ind w:left="5040" w:hanging="360"/>
      </w:pPr>
      <w:rPr>
        <w:rFonts w:ascii="Symbol" w:hAnsi="Symbol" w:hint="default"/>
      </w:rPr>
    </w:lvl>
    <w:lvl w:ilvl="7" w:tplc="63483CAC">
      <w:start w:val="1"/>
      <w:numFmt w:val="bullet"/>
      <w:lvlText w:val="o"/>
      <w:lvlJc w:val="left"/>
      <w:pPr>
        <w:ind w:left="5760" w:hanging="360"/>
      </w:pPr>
      <w:rPr>
        <w:rFonts w:ascii="Courier New" w:hAnsi="Courier New" w:cs="Courier New" w:hint="default"/>
      </w:rPr>
    </w:lvl>
    <w:lvl w:ilvl="8" w:tplc="FAB6C294">
      <w:start w:val="1"/>
      <w:numFmt w:val="bullet"/>
      <w:lvlText w:val=""/>
      <w:lvlJc w:val="left"/>
      <w:pPr>
        <w:ind w:left="6480" w:hanging="360"/>
      </w:pPr>
      <w:rPr>
        <w:rFonts w:ascii="Wingdings" w:hAnsi="Wingdings" w:hint="default"/>
      </w:rPr>
    </w:lvl>
  </w:abstractNum>
  <w:abstractNum w:abstractNumId="10" w15:restartNumberingAfterBreak="0">
    <w:nsid w:val="634C29BC"/>
    <w:multiLevelType w:val="hybridMultilevel"/>
    <w:tmpl w:val="78D034DE"/>
    <w:lvl w:ilvl="0" w:tplc="F08486C6">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6DB91055"/>
    <w:multiLevelType w:val="hybridMultilevel"/>
    <w:tmpl w:val="D1649564"/>
    <w:lvl w:ilvl="0" w:tplc="5A5CF712">
      <w:start w:val="1"/>
      <w:numFmt w:val="bullet"/>
      <w:lvlText w:val="-"/>
      <w:lvlJc w:val="left"/>
      <w:pPr>
        <w:ind w:left="720" w:hanging="360"/>
      </w:pPr>
      <w:rPr>
        <w:rFonts w:ascii="Courier New" w:hAnsi="Courier New" w:cs="Times New Roman" w:hint="default"/>
      </w:rPr>
    </w:lvl>
    <w:lvl w:ilvl="1" w:tplc="151E8A00">
      <w:start w:val="1"/>
      <w:numFmt w:val="bullet"/>
      <w:lvlText w:val="o"/>
      <w:lvlJc w:val="left"/>
      <w:pPr>
        <w:ind w:left="1440" w:hanging="360"/>
      </w:pPr>
      <w:rPr>
        <w:rFonts w:ascii="Courier New" w:hAnsi="Courier New" w:cs="Courier New" w:hint="default"/>
      </w:rPr>
    </w:lvl>
    <w:lvl w:ilvl="2" w:tplc="C734ACEE">
      <w:start w:val="1"/>
      <w:numFmt w:val="bullet"/>
      <w:lvlText w:val=""/>
      <w:lvlJc w:val="left"/>
      <w:pPr>
        <w:ind w:left="2160" w:hanging="360"/>
      </w:pPr>
      <w:rPr>
        <w:rFonts w:ascii="Wingdings" w:hAnsi="Wingdings" w:hint="default"/>
      </w:rPr>
    </w:lvl>
    <w:lvl w:ilvl="3" w:tplc="D3AE35FE">
      <w:start w:val="1"/>
      <w:numFmt w:val="bullet"/>
      <w:lvlText w:val=""/>
      <w:lvlJc w:val="left"/>
      <w:pPr>
        <w:ind w:left="2880" w:hanging="360"/>
      </w:pPr>
      <w:rPr>
        <w:rFonts w:ascii="Symbol" w:hAnsi="Symbol" w:hint="default"/>
      </w:rPr>
    </w:lvl>
    <w:lvl w:ilvl="4" w:tplc="D7848EA4">
      <w:start w:val="1"/>
      <w:numFmt w:val="bullet"/>
      <w:lvlText w:val="o"/>
      <w:lvlJc w:val="left"/>
      <w:pPr>
        <w:ind w:left="3600" w:hanging="360"/>
      </w:pPr>
      <w:rPr>
        <w:rFonts w:ascii="Courier New" w:hAnsi="Courier New" w:cs="Courier New" w:hint="default"/>
      </w:rPr>
    </w:lvl>
    <w:lvl w:ilvl="5" w:tplc="95F8D2A2">
      <w:start w:val="1"/>
      <w:numFmt w:val="bullet"/>
      <w:lvlText w:val=""/>
      <w:lvlJc w:val="left"/>
      <w:pPr>
        <w:ind w:left="4320" w:hanging="360"/>
      </w:pPr>
      <w:rPr>
        <w:rFonts w:ascii="Wingdings" w:hAnsi="Wingdings" w:hint="default"/>
      </w:rPr>
    </w:lvl>
    <w:lvl w:ilvl="6" w:tplc="2DB4BA72">
      <w:start w:val="1"/>
      <w:numFmt w:val="bullet"/>
      <w:lvlText w:val=""/>
      <w:lvlJc w:val="left"/>
      <w:pPr>
        <w:ind w:left="5040" w:hanging="360"/>
      </w:pPr>
      <w:rPr>
        <w:rFonts w:ascii="Symbol" w:hAnsi="Symbol" w:hint="default"/>
      </w:rPr>
    </w:lvl>
    <w:lvl w:ilvl="7" w:tplc="4CA6FD1A">
      <w:start w:val="1"/>
      <w:numFmt w:val="bullet"/>
      <w:lvlText w:val="o"/>
      <w:lvlJc w:val="left"/>
      <w:pPr>
        <w:ind w:left="5760" w:hanging="360"/>
      </w:pPr>
      <w:rPr>
        <w:rFonts w:ascii="Courier New" w:hAnsi="Courier New" w:cs="Courier New" w:hint="default"/>
      </w:rPr>
    </w:lvl>
    <w:lvl w:ilvl="8" w:tplc="830E3E78">
      <w:start w:val="1"/>
      <w:numFmt w:val="bullet"/>
      <w:lvlText w:val=""/>
      <w:lvlJc w:val="left"/>
      <w:pPr>
        <w:ind w:left="6480" w:hanging="360"/>
      </w:pPr>
      <w:rPr>
        <w:rFonts w:ascii="Wingdings" w:hAnsi="Wingdings" w:hint="default"/>
      </w:rPr>
    </w:lvl>
  </w:abstractNum>
  <w:abstractNum w:abstractNumId="12" w15:restartNumberingAfterBreak="0">
    <w:nsid w:val="7E7F22EA"/>
    <w:multiLevelType w:val="hybridMultilevel"/>
    <w:tmpl w:val="21AAE5F4"/>
    <w:lvl w:ilvl="0" w:tplc="5A5CF712">
      <w:start w:val="1"/>
      <w:numFmt w:val="bullet"/>
      <w:lvlText w:val="-"/>
      <w:lvlJc w:val="left"/>
      <w:pPr>
        <w:ind w:left="720" w:hanging="360"/>
      </w:pPr>
      <w:rPr>
        <w:rFonts w:ascii="Courier New" w:hAnsi="Courier New"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0"/>
  </w:num>
  <w:num w:numId="8">
    <w:abstractNumId w:val="9"/>
  </w:num>
  <w:num w:numId="9">
    <w:abstractNumId w:val="11"/>
  </w:num>
  <w:num w:numId="10">
    <w:abstractNumId w:val="12"/>
  </w:num>
  <w:num w:numId="11">
    <w:abstractNumId w:val="3"/>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40A"/>
    <w:rsid w:val="000259B9"/>
    <w:rsid w:val="00041491"/>
    <w:rsid w:val="00050D16"/>
    <w:rsid w:val="00073980"/>
    <w:rsid w:val="00074F2A"/>
    <w:rsid w:val="000A1CA8"/>
    <w:rsid w:val="000A466B"/>
    <w:rsid w:val="000B058C"/>
    <w:rsid w:val="000E4EE6"/>
    <w:rsid w:val="000F5D8C"/>
    <w:rsid w:val="00107BF4"/>
    <w:rsid w:val="00120351"/>
    <w:rsid w:val="001454E2"/>
    <w:rsid w:val="00146DFA"/>
    <w:rsid w:val="00182F0C"/>
    <w:rsid w:val="001954B1"/>
    <w:rsid w:val="001F22FD"/>
    <w:rsid w:val="001F6922"/>
    <w:rsid w:val="00206CE8"/>
    <w:rsid w:val="0021526C"/>
    <w:rsid w:val="0026040A"/>
    <w:rsid w:val="00283A2B"/>
    <w:rsid w:val="002B30AD"/>
    <w:rsid w:val="002C2C01"/>
    <w:rsid w:val="002C4962"/>
    <w:rsid w:val="002D43C1"/>
    <w:rsid w:val="00362B6C"/>
    <w:rsid w:val="003A29AE"/>
    <w:rsid w:val="003A32D7"/>
    <w:rsid w:val="003B4074"/>
    <w:rsid w:val="003C06C8"/>
    <w:rsid w:val="003C3067"/>
    <w:rsid w:val="003C769A"/>
    <w:rsid w:val="003F1838"/>
    <w:rsid w:val="003F3DAD"/>
    <w:rsid w:val="004427BA"/>
    <w:rsid w:val="0045746C"/>
    <w:rsid w:val="0049104B"/>
    <w:rsid w:val="004A5875"/>
    <w:rsid w:val="004E3B12"/>
    <w:rsid w:val="004F65E8"/>
    <w:rsid w:val="00530E87"/>
    <w:rsid w:val="00532310"/>
    <w:rsid w:val="00542360"/>
    <w:rsid w:val="00565F0F"/>
    <w:rsid w:val="00594A86"/>
    <w:rsid w:val="00596D86"/>
    <w:rsid w:val="00637F5A"/>
    <w:rsid w:val="006560B1"/>
    <w:rsid w:val="006756DD"/>
    <w:rsid w:val="00737275"/>
    <w:rsid w:val="00740EEC"/>
    <w:rsid w:val="007716C7"/>
    <w:rsid w:val="0078011A"/>
    <w:rsid w:val="00782AF4"/>
    <w:rsid w:val="00784920"/>
    <w:rsid w:val="00790EE7"/>
    <w:rsid w:val="007B6649"/>
    <w:rsid w:val="007F0F62"/>
    <w:rsid w:val="00803A2E"/>
    <w:rsid w:val="008044EE"/>
    <w:rsid w:val="0082576E"/>
    <w:rsid w:val="00872B6F"/>
    <w:rsid w:val="00884BBE"/>
    <w:rsid w:val="008C3080"/>
    <w:rsid w:val="00907F75"/>
    <w:rsid w:val="00921534"/>
    <w:rsid w:val="009260DE"/>
    <w:rsid w:val="00931976"/>
    <w:rsid w:val="0093258A"/>
    <w:rsid w:val="0094279D"/>
    <w:rsid w:val="009579FF"/>
    <w:rsid w:val="00971272"/>
    <w:rsid w:val="00990DA7"/>
    <w:rsid w:val="009C7BA3"/>
    <w:rsid w:val="009D1F5A"/>
    <w:rsid w:val="00A0072E"/>
    <w:rsid w:val="00A34F2B"/>
    <w:rsid w:val="00A85ED3"/>
    <w:rsid w:val="00AC159A"/>
    <w:rsid w:val="00AE18CC"/>
    <w:rsid w:val="00B003BF"/>
    <w:rsid w:val="00B3135B"/>
    <w:rsid w:val="00B373D7"/>
    <w:rsid w:val="00C26678"/>
    <w:rsid w:val="00C36276"/>
    <w:rsid w:val="00C42586"/>
    <w:rsid w:val="00C531E5"/>
    <w:rsid w:val="00C60CCD"/>
    <w:rsid w:val="00C84483"/>
    <w:rsid w:val="00C95551"/>
    <w:rsid w:val="00CB20D7"/>
    <w:rsid w:val="00CD73BA"/>
    <w:rsid w:val="00D020B0"/>
    <w:rsid w:val="00D11748"/>
    <w:rsid w:val="00D239AF"/>
    <w:rsid w:val="00D366CF"/>
    <w:rsid w:val="00D93CB6"/>
    <w:rsid w:val="00DA5FEA"/>
    <w:rsid w:val="00E06BE3"/>
    <w:rsid w:val="00E108AA"/>
    <w:rsid w:val="00E16E92"/>
    <w:rsid w:val="00E36C3C"/>
    <w:rsid w:val="00E3749A"/>
    <w:rsid w:val="00E7437F"/>
    <w:rsid w:val="00E865B8"/>
    <w:rsid w:val="00E943EC"/>
    <w:rsid w:val="00EC0B9B"/>
    <w:rsid w:val="00ED5E9F"/>
    <w:rsid w:val="00F23CFF"/>
    <w:rsid w:val="00F66D4F"/>
    <w:rsid w:val="00FB0E3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EEC21E"/>
  <w15:chartTrackingRefBased/>
  <w15:docId w15:val="{D28AEC1E-E7AC-4652-99F5-F7A3DFDD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F6922"/>
    <w:pPr>
      <w:ind w:left="720"/>
      <w:contextualSpacing/>
    </w:pPr>
  </w:style>
  <w:style w:type="character" w:styleId="Hyperlink">
    <w:name w:val="Hyperlink"/>
    <w:basedOn w:val="Standardskrifttypeiafsnit"/>
    <w:uiPriority w:val="99"/>
    <w:unhideWhenUsed/>
    <w:rsid w:val="003C06C8"/>
    <w:rPr>
      <w:color w:val="0563C1" w:themeColor="hyperlink"/>
      <w:u w:val="single"/>
    </w:rPr>
  </w:style>
  <w:style w:type="character" w:styleId="Ulstomtale">
    <w:name w:val="Unresolved Mention"/>
    <w:basedOn w:val="Standardskrifttypeiafsnit"/>
    <w:uiPriority w:val="99"/>
    <w:semiHidden/>
    <w:unhideWhenUsed/>
    <w:rsid w:val="003C0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30182">
      <w:bodyDiv w:val="1"/>
      <w:marLeft w:val="0"/>
      <w:marRight w:val="0"/>
      <w:marTop w:val="0"/>
      <w:marBottom w:val="0"/>
      <w:divBdr>
        <w:top w:val="none" w:sz="0" w:space="0" w:color="auto"/>
        <w:left w:val="none" w:sz="0" w:space="0" w:color="auto"/>
        <w:bottom w:val="none" w:sz="0" w:space="0" w:color="auto"/>
        <w:right w:val="none" w:sz="0" w:space="0" w:color="auto"/>
      </w:divBdr>
    </w:div>
    <w:div w:id="956361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4291397">
      <w:bodyDiv w:val="1"/>
      <w:marLeft w:val="0"/>
      <w:marRight w:val="0"/>
      <w:marTop w:val="0"/>
      <w:marBottom w:val="0"/>
      <w:divBdr>
        <w:top w:val="none" w:sz="0" w:space="0" w:color="auto"/>
        <w:left w:val="none" w:sz="0" w:space="0" w:color="auto"/>
        <w:bottom w:val="none" w:sz="0" w:space="0" w:color="auto"/>
        <w:right w:val="none" w:sz="0" w:space="0" w:color="auto"/>
      </w:divBdr>
    </w:div>
    <w:div w:id="285818807">
      <w:bodyDiv w:val="1"/>
      <w:marLeft w:val="0"/>
      <w:marRight w:val="0"/>
      <w:marTop w:val="0"/>
      <w:marBottom w:val="0"/>
      <w:divBdr>
        <w:top w:val="none" w:sz="0" w:space="0" w:color="auto"/>
        <w:left w:val="none" w:sz="0" w:space="0" w:color="auto"/>
        <w:bottom w:val="none" w:sz="0" w:space="0" w:color="auto"/>
        <w:right w:val="none" w:sz="0" w:space="0" w:color="auto"/>
      </w:divBdr>
    </w:div>
    <w:div w:id="305669774">
      <w:bodyDiv w:val="1"/>
      <w:marLeft w:val="0"/>
      <w:marRight w:val="0"/>
      <w:marTop w:val="0"/>
      <w:marBottom w:val="0"/>
      <w:divBdr>
        <w:top w:val="none" w:sz="0" w:space="0" w:color="auto"/>
        <w:left w:val="none" w:sz="0" w:space="0" w:color="auto"/>
        <w:bottom w:val="none" w:sz="0" w:space="0" w:color="auto"/>
        <w:right w:val="none" w:sz="0" w:space="0" w:color="auto"/>
      </w:divBdr>
    </w:div>
    <w:div w:id="366836345">
      <w:bodyDiv w:val="1"/>
      <w:marLeft w:val="0"/>
      <w:marRight w:val="0"/>
      <w:marTop w:val="0"/>
      <w:marBottom w:val="0"/>
      <w:divBdr>
        <w:top w:val="none" w:sz="0" w:space="0" w:color="auto"/>
        <w:left w:val="none" w:sz="0" w:space="0" w:color="auto"/>
        <w:bottom w:val="none" w:sz="0" w:space="0" w:color="auto"/>
        <w:right w:val="none" w:sz="0" w:space="0" w:color="auto"/>
      </w:divBdr>
    </w:div>
    <w:div w:id="384067586">
      <w:bodyDiv w:val="1"/>
      <w:marLeft w:val="0"/>
      <w:marRight w:val="0"/>
      <w:marTop w:val="0"/>
      <w:marBottom w:val="0"/>
      <w:divBdr>
        <w:top w:val="none" w:sz="0" w:space="0" w:color="auto"/>
        <w:left w:val="none" w:sz="0" w:space="0" w:color="auto"/>
        <w:bottom w:val="none" w:sz="0" w:space="0" w:color="auto"/>
        <w:right w:val="none" w:sz="0" w:space="0" w:color="auto"/>
      </w:divBdr>
    </w:div>
    <w:div w:id="441730954">
      <w:bodyDiv w:val="1"/>
      <w:marLeft w:val="0"/>
      <w:marRight w:val="0"/>
      <w:marTop w:val="0"/>
      <w:marBottom w:val="0"/>
      <w:divBdr>
        <w:top w:val="none" w:sz="0" w:space="0" w:color="auto"/>
        <w:left w:val="none" w:sz="0" w:space="0" w:color="auto"/>
        <w:bottom w:val="none" w:sz="0" w:space="0" w:color="auto"/>
        <w:right w:val="none" w:sz="0" w:space="0" w:color="auto"/>
      </w:divBdr>
    </w:div>
    <w:div w:id="477377649">
      <w:bodyDiv w:val="1"/>
      <w:marLeft w:val="0"/>
      <w:marRight w:val="0"/>
      <w:marTop w:val="0"/>
      <w:marBottom w:val="0"/>
      <w:divBdr>
        <w:top w:val="none" w:sz="0" w:space="0" w:color="auto"/>
        <w:left w:val="none" w:sz="0" w:space="0" w:color="auto"/>
        <w:bottom w:val="none" w:sz="0" w:space="0" w:color="auto"/>
        <w:right w:val="none" w:sz="0" w:space="0" w:color="auto"/>
      </w:divBdr>
    </w:div>
    <w:div w:id="536430645">
      <w:bodyDiv w:val="1"/>
      <w:marLeft w:val="0"/>
      <w:marRight w:val="0"/>
      <w:marTop w:val="0"/>
      <w:marBottom w:val="0"/>
      <w:divBdr>
        <w:top w:val="none" w:sz="0" w:space="0" w:color="auto"/>
        <w:left w:val="none" w:sz="0" w:space="0" w:color="auto"/>
        <w:bottom w:val="none" w:sz="0" w:space="0" w:color="auto"/>
        <w:right w:val="none" w:sz="0" w:space="0" w:color="auto"/>
      </w:divBdr>
    </w:div>
    <w:div w:id="588394361">
      <w:bodyDiv w:val="1"/>
      <w:marLeft w:val="0"/>
      <w:marRight w:val="0"/>
      <w:marTop w:val="0"/>
      <w:marBottom w:val="0"/>
      <w:divBdr>
        <w:top w:val="none" w:sz="0" w:space="0" w:color="auto"/>
        <w:left w:val="none" w:sz="0" w:space="0" w:color="auto"/>
        <w:bottom w:val="none" w:sz="0" w:space="0" w:color="auto"/>
        <w:right w:val="none" w:sz="0" w:space="0" w:color="auto"/>
      </w:divBdr>
    </w:div>
    <w:div w:id="639262972">
      <w:bodyDiv w:val="1"/>
      <w:marLeft w:val="0"/>
      <w:marRight w:val="0"/>
      <w:marTop w:val="0"/>
      <w:marBottom w:val="0"/>
      <w:divBdr>
        <w:top w:val="none" w:sz="0" w:space="0" w:color="auto"/>
        <w:left w:val="none" w:sz="0" w:space="0" w:color="auto"/>
        <w:bottom w:val="none" w:sz="0" w:space="0" w:color="auto"/>
        <w:right w:val="none" w:sz="0" w:space="0" w:color="auto"/>
      </w:divBdr>
    </w:div>
    <w:div w:id="743259832">
      <w:bodyDiv w:val="1"/>
      <w:marLeft w:val="0"/>
      <w:marRight w:val="0"/>
      <w:marTop w:val="0"/>
      <w:marBottom w:val="0"/>
      <w:divBdr>
        <w:top w:val="none" w:sz="0" w:space="0" w:color="auto"/>
        <w:left w:val="none" w:sz="0" w:space="0" w:color="auto"/>
        <w:bottom w:val="none" w:sz="0" w:space="0" w:color="auto"/>
        <w:right w:val="none" w:sz="0" w:space="0" w:color="auto"/>
      </w:divBdr>
    </w:div>
    <w:div w:id="840118143">
      <w:bodyDiv w:val="1"/>
      <w:marLeft w:val="0"/>
      <w:marRight w:val="0"/>
      <w:marTop w:val="0"/>
      <w:marBottom w:val="0"/>
      <w:divBdr>
        <w:top w:val="none" w:sz="0" w:space="0" w:color="auto"/>
        <w:left w:val="none" w:sz="0" w:space="0" w:color="auto"/>
        <w:bottom w:val="none" w:sz="0" w:space="0" w:color="auto"/>
        <w:right w:val="none" w:sz="0" w:space="0" w:color="auto"/>
      </w:divBdr>
    </w:div>
    <w:div w:id="914050812">
      <w:bodyDiv w:val="1"/>
      <w:marLeft w:val="0"/>
      <w:marRight w:val="0"/>
      <w:marTop w:val="0"/>
      <w:marBottom w:val="0"/>
      <w:divBdr>
        <w:top w:val="none" w:sz="0" w:space="0" w:color="auto"/>
        <w:left w:val="none" w:sz="0" w:space="0" w:color="auto"/>
        <w:bottom w:val="none" w:sz="0" w:space="0" w:color="auto"/>
        <w:right w:val="none" w:sz="0" w:space="0" w:color="auto"/>
      </w:divBdr>
    </w:div>
    <w:div w:id="936014812">
      <w:bodyDiv w:val="1"/>
      <w:marLeft w:val="0"/>
      <w:marRight w:val="0"/>
      <w:marTop w:val="0"/>
      <w:marBottom w:val="0"/>
      <w:divBdr>
        <w:top w:val="none" w:sz="0" w:space="0" w:color="auto"/>
        <w:left w:val="none" w:sz="0" w:space="0" w:color="auto"/>
        <w:bottom w:val="none" w:sz="0" w:space="0" w:color="auto"/>
        <w:right w:val="none" w:sz="0" w:space="0" w:color="auto"/>
      </w:divBdr>
    </w:div>
    <w:div w:id="946426773">
      <w:bodyDiv w:val="1"/>
      <w:marLeft w:val="0"/>
      <w:marRight w:val="0"/>
      <w:marTop w:val="0"/>
      <w:marBottom w:val="0"/>
      <w:divBdr>
        <w:top w:val="none" w:sz="0" w:space="0" w:color="auto"/>
        <w:left w:val="none" w:sz="0" w:space="0" w:color="auto"/>
        <w:bottom w:val="none" w:sz="0" w:space="0" w:color="auto"/>
        <w:right w:val="none" w:sz="0" w:space="0" w:color="auto"/>
      </w:divBdr>
    </w:div>
    <w:div w:id="1004672096">
      <w:bodyDiv w:val="1"/>
      <w:marLeft w:val="0"/>
      <w:marRight w:val="0"/>
      <w:marTop w:val="0"/>
      <w:marBottom w:val="0"/>
      <w:divBdr>
        <w:top w:val="none" w:sz="0" w:space="0" w:color="auto"/>
        <w:left w:val="none" w:sz="0" w:space="0" w:color="auto"/>
        <w:bottom w:val="none" w:sz="0" w:space="0" w:color="auto"/>
        <w:right w:val="none" w:sz="0" w:space="0" w:color="auto"/>
      </w:divBdr>
    </w:div>
    <w:div w:id="1014187876">
      <w:bodyDiv w:val="1"/>
      <w:marLeft w:val="0"/>
      <w:marRight w:val="0"/>
      <w:marTop w:val="0"/>
      <w:marBottom w:val="0"/>
      <w:divBdr>
        <w:top w:val="none" w:sz="0" w:space="0" w:color="auto"/>
        <w:left w:val="none" w:sz="0" w:space="0" w:color="auto"/>
        <w:bottom w:val="none" w:sz="0" w:space="0" w:color="auto"/>
        <w:right w:val="none" w:sz="0" w:space="0" w:color="auto"/>
      </w:divBdr>
    </w:div>
    <w:div w:id="1100952117">
      <w:bodyDiv w:val="1"/>
      <w:marLeft w:val="0"/>
      <w:marRight w:val="0"/>
      <w:marTop w:val="0"/>
      <w:marBottom w:val="0"/>
      <w:divBdr>
        <w:top w:val="none" w:sz="0" w:space="0" w:color="auto"/>
        <w:left w:val="none" w:sz="0" w:space="0" w:color="auto"/>
        <w:bottom w:val="none" w:sz="0" w:space="0" w:color="auto"/>
        <w:right w:val="none" w:sz="0" w:space="0" w:color="auto"/>
      </w:divBdr>
    </w:div>
    <w:div w:id="1121998608">
      <w:bodyDiv w:val="1"/>
      <w:marLeft w:val="0"/>
      <w:marRight w:val="0"/>
      <w:marTop w:val="0"/>
      <w:marBottom w:val="0"/>
      <w:divBdr>
        <w:top w:val="none" w:sz="0" w:space="0" w:color="auto"/>
        <w:left w:val="none" w:sz="0" w:space="0" w:color="auto"/>
        <w:bottom w:val="none" w:sz="0" w:space="0" w:color="auto"/>
        <w:right w:val="none" w:sz="0" w:space="0" w:color="auto"/>
      </w:divBdr>
    </w:div>
    <w:div w:id="1216577156">
      <w:bodyDiv w:val="1"/>
      <w:marLeft w:val="0"/>
      <w:marRight w:val="0"/>
      <w:marTop w:val="0"/>
      <w:marBottom w:val="0"/>
      <w:divBdr>
        <w:top w:val="none" w:sz="0" w:space="0" w:color="auto"/>
        <w:left w:val="none" w:sz="0" w:space="0" w:color="auto"/>
        <w:bottom w:val="none" w:sz="0" w:space="0" w:color="auto"/>
        <w:right w:val="none" w:sz="0" w:space="0" w:color="auto"/>
      </w:divBdr>
    </w:div>
    <w:div w:id="1250851204">
      <w:bodyDiv w:val="1"/>
      <w:marLeft w:val="0"/>
      <w:marRight w:val="0"/>
      <w:marTop w:val="0"/>
      <w:marBottom w:val="0"/>
      <w:divBdr>
        <w:top w:val="none" w:sz="0" w:space="0" w:color="auto"/>
        <w:left w:val="none" w:sz="0" w:space="0" w:color="auto"/>
        <w:bottom w:val="none" w:sz="0" w:space="0" w:color="auto"/>
        <w:right w:val="none" w:sz="0" w:space="0" w:color="auto"/>
      </w:divBdr>
    </w:div>
    <w:div w:id="1252813916">
      <w:bodyDiv w:val="1"/>
      <w:marLeft w:val="0"/>
      <w:marRight w:val="0"/>
      <w:marTop w:val="0"/>
      <w:marBottom w:val="0"/>
      <w:divBdr>
        <w:top w:val="none" w:sz="0" w:space="0" w:color="auto"/>
        <w:left w:val="none" w:sz="0" w:space="0" w:color="auto"/>
        <w:bottom w:val="none" w:sz="0" w:space="0" w:color="auto"/>
        <w:right w:val="none" w:sz="0" w:space="0" w:color="auto"/>
      </w:divBdr>
    </w:div>
    <w:div w:id="1272397392">
      <w:bodyDiv w:val="1"/>
      <w:marLeft w:val="0"/>
      <w:marRight w:val="0"/>
      <w:marTop w:val="0"/>
      <w:marBottom w:val="0"/>
      <w:divBdr>
        <w:top w:val="none" w:sz="0" w:space="0" w:color="auto"/>
        <w:left w:val="none" w:sz="0" w:space="0" w:color="auto"/>
        <w:bottom w:val="none" w:sz="0" w:space="0" w:color="auto"/>
        <w:right w:val="none" w:sz="0" w:space="0" w:color="auto"/>
      </w:divBdr>
    </w:div>
    <w:div w:id="1291666689">
      <w:bodyDiv w:val="1"/>
      <w:marLeft w:val="0"/>
      <w:marRight w:val="0"/>
      <w:marTop w:val="0"/>
      <w:marBottom w:val="0"/>
      <w:divBdr>
        <w:top w:val="none" w:sz="0" w:space="0" w:color="auto"/>
        <w:left w:val="none" w:sz="0" w:space="0" w:color="auto"/>
        <w:bottom w:val="none" w:sz="0" w:space="0" w:color="auto"/>
        <w:right w:val="none" w:sz="0" w:space="0" w:color="auto"/>
      </w:divBdr>
    </w:div>
    <w:div w:id="1301378149">
      <w:bodyDiv w:val="1"/>
      <w:marLeft w:val="0"/>
      <w:marRight w:val="0"/>
      <w:marTop w:val="0"/>
      <w:marBottom w:val="0"/>
      <w:divBdr>
        <w:top w:val="none" w:sz="0" w:space="0" w:color="auto"/>
        <w:left w:val="none" w:sz="0" w:space="0" w:color="auto"/>
        <w:bottom w:val="none" w:sz="0" w:space="0" w:color="auto"/>
        <w:right w:val="none" w:sz="0" w:space="0" w:color="auto"/>
      </w:divBdr>
    </w:div>
    <w:div w:id="1329560315">
      <w:bodyDiv w:val="1"/>
      <w:marLeft w:val="0"/>
      <w:marRight w:val="0"/>
      <w:marTop w:val="0"/>
      <w:marBottom w:val="0"/>
      <w:divBdr>
        <w:top w:val="none" w:sz="0" w:space="0" w:color="auto"/>
        <w:left w:val="none" w:sz="0" w:space="0" w:color="auto"/>
        <w:bottom w:val="none" w:sz="0" w:space="0" w:color="auto"/>
        <w:right w:val="none" w:sz="0" w:space="0" w:color="auto"/>
      </w:divBdr>
    </w:div>
    <w:div w:id="1423835540">
      <w:bodyDiv w:val="1"/>
      <w:marLeft w:val="0"/>
      <w:marRight w:val="0"/>
      <w:marTop w:val="0"/>
      <w:marBottom w:val="0"/>
      <w:divBdr>
        <w:top w:val="none" w:sz="0" w:space="0" w:color="auto"/>
        <w:left w:val="none" w:sz="0" w:space="0" w:color="auto"/>
        <w:bottom w:val="none" w:sz="0" w:space="0" w:color="auto"/>
        <w:right w:val="none" w:sz="0" w:space="0" w:color="auto"/>
      </w:divBdr>
    </w:div>
    <w:div w:id="1442846745">
      <w:bodyDiv w:val="1"/>
      <w:marLeft w:val="0"/>
      <w:marRight w:val="0"/>
      <w:marTop w:val="0"/>
      <w:marBottom w:val="0"/>
      <w:divBdr>
        <w:top w:val="none" w:sz="0" w:space="0" w:color="auto"/>
        <w:left w:val="none" w:sz="0" w:space="0" w:color="auto"/>
        <w:bottom w:val="none" w:sz="0" w:space="0" w:color="auto"/>
        <w:right w:val="none" w:sz="0" w:space="0" w:color="auto"/>
      </w:divBdr>
    </w:div>
    <w:div w:id="1631864751">
      <w:bodyDiv w:val="1"/>
      <w:marLeft w:val="0"/>
      <w:marRight w:val="0"/>
      <w:marTop w:val="0"/>
      <w:marBottom w:val="0"/>
      <w:divBdr>
        <w:top w:val="none" w:sz="0" w:space="0" w:color="auto"/>
        <w:left w:val="none" w:sz="0" w:space="0" w:color="auto"/>
        <w:bottom w:val="none" w:sz="0" w:space="0" w:color="auto"/>
        <w:right w:val="none" w:sz="0" w:space="0" w:color="auto"/>
      </w:divBdr>
    </w:div>
    <w:div w:id="1660305606">
      <w:bodyDiv w:val="1"/>
      <w:marLeft w:val="0"/>
      <w:marRight w:val="0"/>
      <w:marTop w:val="0"/>
      <w:marBottom w:val="0"/>
      <w:divBdr>
        <w:top w:val="none" w:sz="0" w:space="0" w:color="auto"/>
        <w:left w:val="none" w:sz="0" w:space="0" w:color="auto"/>
        <w:bottom w:val="none" w:sz="0" w:space="0" w:color="auto"/>
        <w:right w:val="none" w:sz="0" w:space="0" w:color="auto"/>
      </w:divBdr>
    </w:div>
    <w:div w:id="1685128539">
      <w:bodyDiv w:val="1"/>
      <w:marLeft w:val="0"/>
      <w:marRight w:val="0"/>
      <w:marTop w:val="0"/>
      <w:marBottom w:val="0"/>
      <w:divBdr>
        <w:top w:val="none" w:sz="0" w:space="0" w:color="auto"/>
        <w:left w:val="none" w:sz="0" w:space="0" w:color="auto"/>
        <w:bottom w:val="none" w:sz="0" w:space="0" w:color="auto"/>
        <w:right w:val="none" w:sz="0" w:space="0" w:color="auto"/>
      </w:divBdr>
    </w:div>
    <w:div w:id="1691029753">
      <w:bodyDiv w:val="1"/>
      <w:marLeft w:val="0"/>
      <w:marRight w:val="0"/>
      <w:marTop w:val="0"/>
      <w:marBottom w:val="0"/>
      <w:divBdr>
        <w:top w:val="none" w:sz="0" w:space="0" w:color="auto"/>
        <w:left w:val="none" w:sz="0" w:space="0" w:color="auto"/>
        <w:bottom w:val="none" w:sz="0" w:space="0" w:color="auto"/>
        <w:right w:val="none" w:sz="0" w:space="0" w:color="auto"/>
      </w:divBdr>
    </w:div>
    <w:div w:id="1711107098">
      <w:bodyDiv w:val="1"/>
      <w:marLeft w:val="0"/>
      <w:marRight w:val="0"/>
      <w:marTop w:val="0"/>
      <w:marBottom w:val="0"/>
      <w:divBdr>
        <w:top w:val="none" w:sz="0" w:space="0" w:color="auto"/>
        <w:left w:val="none" w:sz="0" w:space="0" w:color="auto"/>
        <w:bottom w:val="none" w:sz="0" w:space="0" w:color="auto"/>
        <w:right w:val="none" w:sz="0" w:space="0" w:color="auto"/>
      </w:divBdr>
    </w:div>
    <w:div w:id="1785076492">
      <w:bodyDiv w:val="1"/>
      <w:marLeft w:val="0"/>
      <w:marRight w:val="0"/>
      <w:marTop w:val="0"/>
      <w:marBottom w:val="0"/>
      <w:divBdr>
        <w:top w:val="none" w:sz="0" w:space="0" w:color="auto"/>
        <w:left w:val="none" w:sz="0" w:space="0" w:color="auto"/>
        <w:bottom w:val="none" w:sz="0" w:space="0" w:color="auto"/>
        <w:right w:val="none" w:sz="0" w:space="0" w:color="auto"/>
      </w:divBdr>
    </w:div>
    <w:div w:id="1891838073">
      <w:bodyDiv w:val="1"/>
      <w:marLeft w:val="0"/>
      <w:marRight w:val="0"/>
      <w:marTop w:val="0"/>
      <w:marBottom w:val="0"/>
      <w:divBdr>
        <w:top w:val="none" w:sz="0" w:space="0" w:color="auto"/>
        <w:left w:val="none" w:sz="0" w:space="0" w:color="auto"/>
        <w:bottom w:val="none" w:sz="0" w:space="0" w:color="auto"/>
        <w:right w:val="none" w:sz="0" w:space="0" w:color="auto"/>
      </w:divBdr>
    </w:div>
    <w:div w:id="1951354057">
      <w:bodyDiv w:val="1"/>
      <w:marLeft w:val="0"/>
      <w:marRight w:val="0"/>
      <w:marTop w:val="0"/>
      <w:marBottom w:val="0"/>
      <w:divBdr>
        <w:top w:val="none" w:sz="0" w:space="0" w:color="auto"/>
        <w:left w:val="none" w:sz="0" w:space="0" w:color="auto"/>
        <w:bottom w:val="none" w:sz="0" w:space="0" w:color="auto"/>
        <w:right w:val="none" w:sz="0" w:space="0" w:color="auto"/>
      </w:divBdr>
    </w:div>
    <w:div w:id="1967274020">
      <w:bodyDiv w:val="1"/>
      <w:marLeft w:val="0"/>
      <w:marRight w:val="0"/>
      <w:marTop w:val="0"/>
      <w:marBottom w:val="0"/>
      <w:divBdr>
        <w:top w:val="none" w:sz="0" w:space="0" w:color="auto"/>
        <w:left w:val="none" w:sz="0" w:space="0" w:color="auto"/>
        <w:bottom w:val="none" w:sz="0" w:space="0" w:color="auto"/>
        <w:right w:val="none" w:sz="0" w:space="0" w:color="auto"/>
      </w:divBdr>
    </w:div>
    <w:div w:id="1993632918">
      <w:bodyDiv w:val="1"/>
      <w:marLeft w:val="0"/>
      <w:marRight w:val="0"/>
      <w:marTop w:val="0"/>
      <w:marBottom w:val="0"/>
      <w:divBdr>
        <w:top w:val="none" w:sz="0" w:space="0" w:color="auto"/>
        <w:left w:val="none" w:sz="0" w:space="0" w:color="auto"/>
        <w:bottom w:val="none" w:sz="0" w:space="0" w:color="auto"/>
        <w:right w:val="none" w:sz="0" w:space="0" w:color="auto"/>
      </w:divBdr>
    </w:div>
    <w:div w:id="2001499928">
      <w:bodyDiv w:val="1"/>
      <w:marLeft w:val="0"/>
      <w:marRight w:val="0"/>
      <w:marTop w:val="0"/>
      <w:marBottom w:val="0"/>
      <w:divBdr>
        <w:top w:val="none" w:sz="0" w:space="0" w:color="auto"/>
        <w:left w:val="none" w:sz="0" w:space="0" w:color="auto"/>
        <w:bottom w:val="none" w:sz="0" w:space="0" w:color="auto"/>
        <w:right w:val="none" w:sz="0" w:space="0" w:color="auto"/>
      </w:divBdr>
    </w:div>
    <w:div w:id="2013752408">
      <w:bodyDiv w:val="1"/>
      <w:marLeft w:val="0"/>
      <w:marRight w:val="0"/>
      <w:marTop w:val="0"/>
      <w:marBottom w:val="0"/>
      <w:divBdr>
        <w:top w:val="none" w:sz="0" w:space="0" w:color="auto"/>
        <w:left w:val="none" w:sz="0" w:space="0" w:color="auto"/>
        <w:bottom w:val="none" w:sz="0" w:space="0" w:color="auto"/>
        <w:right w:val="none" w:sz="0" w:space="0" w:color="auto"/>
      </w:divBdr>
    </w:div>
    <w:div w:id="2041321800">
      <w:bodyDiv w:val="1"/>
      <w:marLeft w:val="0"/>
      <w:marRight w:val="0"/>
      <w:marTop w:val="0"/>
      <w:marBottom w:val="0"/>
      <w:divBdr>
        <w:top w:val="none" w:sz="0" w:space="0" w:color="auto"/>
        <w:left w:val="none" w:sz="0" w:space="0" w:color="auto"/>
        <w:bottom w:val="none" w:sz="0" w:space="0" w:color="auto"/>
        <w:right w:val="none" w:sz="0" w:space="0" w:color="auto"/>
      </w:divBdr>
    </w:div>
    <w:div w:id="2048606334">
      <w:bodyDiv w:val="1"/>
      <w:marLeft w:val="0"/>
      <w:marRight w:val="0"/>
      <w:marTop w:val="0"/>
      <w:marBottom w:val="0"/>
      <w:divBdr>
        <w:top w:val="none" w:sz="0" w:space="0" w:color="auto"/>
        <w:left w:val="none" w:sz="0" w:space="0" w:color="auto"/>
        <w:bottom w:val="none" w:sz="0" w:space="0" w:color="auto"/>
        <w:right w:val="none" w:sz="0" w:space="0" w:color="auto"/>
      </w:divBdr>
    </w:div>
    <w:div w:id="2054378152">
      <w:bodyDiv w:val="1"/>
      <w:marLeft w:val="0"/>
      <w:marRight w:val="0"/>
      <w:marTop w:val="0"/>
      <w:marBottom w:val="0"/>
      <w:divBdr>
        <w:top w:val="none" w:sz="0" w:space="0" w:color="auto"/>
        <w:left w:val="none" w:sz="0" w:space="0" w:color="auto"/>
        <w:bottom w:val="none" w:sz="0" w:space="0" w:color="auto"/>
        <w:right w:val="none" w:sz="0" w:space="0" w:color="auto"/>
      </w:divBdr>
    </w:div>
    <w:div w:id="2085949635">
      <w:bodyDiv w:val="1"/>
      <w:marLeft w:val="0"/>
      <w:marRight w:val="0"/>
      <w:marTop w:val="0"/>
      <w:marBottom w:val="0"/>
      <w:divBdr>
        <w:top w:val="none" w:sz="0" w:space="0" w:color="auto"/>
        <w:left w:val="none" w:sz="0" w:space="0" w:color="auto"/>
        <w:bottom w:val="none" w:sz="0" w:space="0" w:color="auto"/>
        <w:right w:val="none" w:sz="0" w:space="0" w:color="auto"/>
      </w:divBdr>
    </w:div>
    <w:div w:id="20983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3494</Words>
  <Characters>23302</Characters>
  <Application>Microsoft Office Word</Application>
  <DocSecurity>0</DocSecurity>
  <Lines>194</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2022031375, var. 7, pkt. 6.3 holdbarhed ændret for 4 ml, 5 ml, 8 ml, 10 ml fra 18 mdr. til 2 år</dc:description>
  <cp:lastModifiedBy>Gitte Jørgensen</cp:lastModifiedBy>
  <cp:revision>6</cp:revision>
  <cp:lastPrinted>2012-08-22T08:53:00Z</cp:lastPrinted>
  <dcterms:created xsi:type="dcterms:W3CDTF">2022-07-15T11:58:00Z</dcterms:created>
  <dcterms:modified xsi:type="dcterms:W3CDTF">2022-07-15T12:04:00Z</dcterms:modified>
</cp:coreProperties>
</file>