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70C1F" w14:textId="77777777" w:rsidR="004A3BF4" w:rsidRPr="002136E6" w:rsidRDefault="00056601" w:rsidP="004A3BF4">
      <w:pPr>
        <w:rPr>
          <w:sz w:val="24"/>
          <w:szCs w:val="24"/>
          <w:lang w:val="en-GB"/>
        </w:rPr>
      </w:pPr>
      <w:r w:rsidRPr="002136E6">
        <w:rPr>
          <w:noProof/>
          <w:sz w:val="24"/>
          <w:szCs w:val="24"/>
          <w:lang w:val="en-GB"/>
        </w:rPr>
        <w:drawing>
          <wp:inline distT="0" distB="0" distL="0" distR="0" wp14:anchorId="13D96E4B" wp14:editId="1768E5A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AE8DC01" w14:textId="77777777" w:rsidR="006B3847" w:rsidRPr="002136E6" w:rsidRDefault="006B3847" w:rsidP="006B3847">
      <w:pPr>
        <w:rPr>
          <w:sz w:val="24"/>
          <w:szCs w:val="24"/>
          <w:lang w:val="en-GB"/>
        </w:rPr>
      </w:pPr>
    </w:p>
    <w:p w14:paraId="224CC491" w14:textId="32365E9B" w:rsidR="006B3847" w:rsidRPr="00DA40BD" w:rsidRDefault="006B3847" w:rsidP="006B3847">
      <w:pPr>
        <w:tabs>
          <w:tab w:val="right" w:pos="9356"/>
        </w:tabs>
        <w:rPr>
          <w:b/>
          <w:sz w:val="24"/>
          <w:szCs w:val="24"/>
          <w:lang w:val="en-US"/>
        </w:rPr>
      </w:pPr>
      <w:r w:rsidRPr="002136E6">
        <w:rPr>
          <w:b/>
          <w:sz w:val="24"/>
          <w:szCs w:val="24"/>
          <w:lang w:val="en-GB"/>
        </w:rPr>
        <w:tab/>
      </w:r>
      <w:r w:rsidR="00DA40BD">
        <w:rPr>
          <w:b/>
          <w:sz w:val="24"/>
          <w:szCs w:val="24"/>
          <w:lang w:val="en-US"/>
        </w:rPr>
        <w:t>22 December 2022</w:t>
      </w:r>
    </w:p>
    <w:p w14:paraId="761DBCF9" w14:textId="77777777" w:rsidR="006B3847" w:rsidRPr="00DA40BD" w:rsidRDefault="006B3847" w:rsidP="006B3847">
      <w:pPr>
        <w:rPr>
          <w:sz w:val="24"/>
          <w:szCs w:val="24"/>
          <w:lang w:val="en-US"/>
        </w:rPr>
      </w:pPr>
    </w:p>
    <w:p w14:paraId="598C54B2" w14:textId="366FB37E" w:rsidR="002B0C82" w:rsidRPr="00DA40BD" w:rsidRDefault="002B0C82" w:rsidP="007C5D2A">
      <w:pPr>
        <w:rPr>
          <w:sz w:val="24"/>
          <w:szCs w:val="24"/>
          <w:lang w:val="en-US"/>
        </w:rPr>
      </w:pPr>
    </w:p>
    <w:p w14:paraId="6860BD5A" w14:textId="77777777" w:rsidR="007C5D2A" w:rsidRPr="00DA40BD" w:rsidRDefault="007C5D2A" w:rsidP="007C5D2A">
      <w:pPr>
        <w:rPr>
          <w:sz w:val="24"/>
          <w:szCs w:val="24"/>
          <w:lang w:val="en-US"/>
        </w:rPr>
      </w:pPr>
    </w:p>
    <w:p w14:paraId="624D0707" w14:textId="77777777" w:rsidR="007C5D2A" w:rsidRPr="002136E6" w:rsidRDefault="007C5D2A" w:rsidP="007C5D2A">
      <w:pPr>
        <w:jc w:val="center"/>
        <w:rPr>
          <w:b/>
          <w:sz w:val="24"/>
          <w:szCs w:val="24"/>
          <w:lang w:val="en-GB"/>
        </w:rPr>
      </w:pPr>
      <w:bookmarkStart w:id="0" w:name="_Hlk49158549"/>
      <w:r w:rsidRPr="002136E6">
        <w:rPr>
          <w:b/>
          <w:sz w:val="24"/>
          <w:szCs w:val="24"/>
          <w:lang w:val="en-GB"/>
        </w:rPr>
        <w:t>SUMMARY OF PRODUCT CHARACTERISTICS</w:t>
      </w:r>
    </w:p>
    <w:bookmarkEnd w:id="0"/>
    <w:p w14:paraId="40136F82" w14:textId="77777777" w:rsidR="007C5D2A" w:rsidRPr="002136E6" w:rsidRDefault="007C5D2A" w:rsidP="007C5D2A">
      <w:pPr>
        <w:jc w:val="center"/>
        <w:rPr>
          <w:sz w:val="24"/>
          <w:szCs w:val="24"/>
          <w:lang w:val="en-GB"/>
        </w:rPr>
      </w:pPr>
    </w:p>
    <w:p w14:paraId="44A9B182" w14:textId="77777777" w:rsidR="007C5D2A" w:rsidRPr="002136E6" w:rsidRDefault="007C5D2A" w:rsidP="007C5D2A">
      <w:pPr>
        <w:jc w:val="center"/>
        <w:rPr>
          <w:b/>
          <w:sz w:val="24"/>
          <w:szCs w:val="24"/>
          <w:lang w:val="en-GB"/>
        </w:rPr>
      </w:pPr>
      <w:r w:rsidRPr="002136E6">
        <w:rPr>
          <w:b/>
          <w:sz w:val="24"/>
          <w:szCs w:val="24"/>
          <w:lang w:val="en-GB"/>
        </w:rPr>
        <w:t>for</w:t>
      </w:r>
    </w:p>
    <w:p w14:paraId="3D0B958E" w14:textId="77777777" w:rsidR="007C5D2A" w:rsidRPr="002136E6" w:rsidRDefault="007C5D2A" w:rsidP="007C5D2A">
      <w:pPr>
        <w:jc w:val="center"/>
        <w:rPr>
          <w:sz w:val="24"/>
          <w:szCs w:val="24"/>
          <w:lang w:val="en-GB"/>
        </w:rPr>
      </w:pPr>
    </w:p>
    <w:p w14:paraId="00752D73" w14:textId="45BFEC97" w:rsidR="007C5D2A" w:rsidRPr="00E6462E" w:rsidRDefault="00EE465E" w:rsidP="007C5D2A">
      <w:pPr>
        <w:jc w:val="center"/>
        <w:rPr>
          <w:b/>
          <w:sz w:val="24"/>
          <w:szCs w:val="24"/>
          <w:lang w:val="en-US"/>
        </w:rPr>
      </w:pPr>
      <w:proofErr w:type="spellStart"/>
      <w:r w:rsidRPr="00E6462E">
        <w:rPr>
          <w:b/>
          <w:sz w:val="24"/>
          <w:szCs w:val="24"/>
          <w:lang w:val="en-US"/>
        </w:rPr>
        <w:t>Norditropin</w:t>
      </w:r>
      <w:proofErr w:type="spellEnd"/>
      <w:r w:rsidRPr="00E6462E">
        <w:rPr>
          <w:b/>
          <w:sz w:val="24"/>
          <w:szCs w:val="24"/>
          <w:lang w:val="en-US"/>
        </w:rPr>
        <w:t xml:space="preserve"> </w:t>
      </w:r>
      <w:proofErr w:type="spellStart"/>
      <w:r w:rsidRPr="00E6462E">
        <w:rPr>
          <w:b/>
          <w:sz w:val="24"/>
          <w:szCs w:val="24"/>
          <w:lang w:val="en-US"/>
        </w:rPr>
        <w:t>Nordi</w:t>
      </w:r>
      <w:r w:rsidR="00597EA9" w:rsidRPr="00E6462E">
        <w:rPr>
          <w:b/>
          <w:sz w:val="24"/>
          <w:szCs w:val="24"/>
          <w:lang w:val="en-US"/>
        </w:rPr>
        <w:t>L</w:t>
      </w:r>
      <w:r w:rsidRPr="00E6462E">
        <w:rPr>
          <w:b/>
          <w:sz w:val="24"/>
          <w:szCs w:val="24"/>
          <w:lang w:val="en-US"/>
        </w:rPr>
        <w:t>et</w:t>
      </w:r>
      <w:proofErr w:type="spellEnd"/>
      <w:r w:rsidR="008470D5" w:rsidRPr="00E6462E">
        <w:rPr>
          <w:b/>
          <w:sz w:val="24"/>
          <w:szCs w:val="24"/>
          <w:lang w:val="en-US"/>
        </w:rPr>
        <w:t>, solution for injection in pre-filled pen</w:t>
      </w:r>
    </w:p>
    <w:p w14:paraId="2A5D457B" w14:textId="77777777" w:rsidR="007C5D2A" w:rsidRPr="00E6462E" w:rsidRDefault="007C5D2A" w:rsidP="007C5D2A">
      <w:pPr>
        <w:jc w:val="both"/>
        <w:rPr>
          <w:sz w:val="24"/>
          <w:szCs w:val="24"/>
          <w:lang w:val="en-US"/>
        </w:rPr>
      </w:pPr>
    </w:p>
    <w:p w14:paraId="573F5C12" w14:textId="77777777" w:rsidR="0042292D" w:rsidRPr="00E6462E" w:rsidRDefault="0042292D" w:rsidP="007C5D2A">
      <w:pPr>
        <w:jc w:val="both"/>
        <w:rPr>
          <w:sz w:val="24"/>
          <w:szCs w:val="24"/>
          <w:lang w:val="en-US"/>
        </w:rPr>
      </w:pPr>
    </w:p>
    <w:p w14:paraId="34BC0275" w14:textId="77777777" w:rsidR="008F2F8C" w:rsidRPr="002136E6" w:rsidRDefault="008F2F8C" w:rsidP="008F2F8C">
      <w:pPr>
        <w:tabs>
          <w:tab w:val="left" w:pos="8222"/>
        </w:tabs>
        <w:ind w:left="851" w:hanging="851"/>
        <w:rPr>
          <w:b/>
          <w:sz w:val="24"/>
          <w:szCs w:val="24"/>
          <w:lang w:val="en-GB"/>
        </w:rPr>
      </w:pPr>
      <w:r w:rsidRPr="002136E6">
        <w:rPr>
          <w:b/>
          <w:sz w:val="24"/>
          <w:szCs w:val="24"/>
          <w:lang w:val="en-GB"/>
        </w:rPr>
        <w:t>0.</w:t>
      </w:r>
      <w:r w:rsidRPr="002136E6">
        <w:rPr>
          <w:b/>
          <w:sz w:val="24"/>
          <w:szCs w:val="24"/>
          <w:lang w:val="en-GB"/>
        </w:rPr>
        <w:tab/>
      </w:r>
      <w:proofErr w:type="gramStart"/>
      <w:r w:rsidRPr="002136E6">
        <w:rPr>
          <w:b/>
          <w:sz w:val="24"/>
          <w:szCs w:val="24"/>
          <w:lang w:val="en-GB"/>
        </w:rPr>
        <w:t>D.SP.NO</w:t>
      </w:r>
      <w:proofErr w:type="gramEnd"/>
      <w:r w:rsidRPr="002136E6">
        <w:rPr>
          <w:b/>
          <w:sz w:val="24"/>
          <w:szCs w:val="24"/>
          <w:lang w:val="en-GB"/>
        </w:rPr>
        <w:t>.</w:t>
      </w:r>
    </w:p>
    <w:p w14:paraId="74D46622" w14:textId="77777777" w:rsidR="00EE465E" w:rsidRPr="002136E6" w:rsidRDefault="00EE465E" w:rsidP="00EE465E">
      <w:pPr>
        <w:ind w:left="851"/>
        <w:jc w:val="both"/>
        <w:rPr>
          <w:sz w:val="24"/>
          <w:szCs w:val="24"/>
          <w:lang w:val="en-US"/>
        </w:rPr>
      </w:pPr>
      <w:r w:rsidRPr="002136E6">
        <w:rPr>
          <w:sz w:val="24"/>
          <w:szCs w:val="24"/>
          <w:lang w:val="en-US"/>
        </w:rPr>
        <w:t>06647</w:t>
      </w:r>
    </w:p>
    <w:p w14:paraId="29266065" w14:textId="77777777" w:rsidR="007C5D2A" w:rsidRPr="002136E6" w:rsidRDefault="007C5D2A" w:rsidP="007C5D2A">
      <w:pPr>
        <w:tabs>
          <w:tab w:val="left" w:pos="851"/>
        </w:tabs>
        <w:jc w:val="both"/>
        <w:rPr>
          <w:sz w:val="24"/>
          <w:szCs w:val="24"/>
          <w:lang w:val="en-GB"/>
        </w:rPr>
      </w:pPr>
    </w:p>
    <w:p w14:paraId="404CCBD2" w14:textId="77777777" w:rsidR="007C5D2A" w:rsidRPr="002136E6" w:rsidRDefault="009925C9" w:rsidP="007C5D2A">
      <w:pPr>
        <w:tabs>
          <w:tab w:val="left" w:pos="851"/>
        </w:tabs>
        <w:ind w:left="851" w:hanging="851"/>
        <w:rPr>
          <w:sz w:val="24"/>
          <w:szCs w:val="24"/>
          <w:lang w:val="en-GB"/>
        </w:rPr>
      </w:pPr>
      <w:r w:rsidRPr="002136E6">
        <w:rPr>
          <w:b/>
          <w:sz w:val="24"/>
          <w:szCs w:val="24"/>
          <w:lang w:val="en-GB"/>
        </w:rPr>
        <w:t>1.</w:t>
      </w:r>
      <w:r w:rsidR="007C5D2A" w:rsidRPr="002136E6">
        <w:rPr>
          <w:b/>
          <w:sz w:val="24"/>
          <w:szCs w:val="24"/>
          <w:lang w:val="en-GB"/>
        </w:rPr>
        <w:tab/>
        <w:t>NAME OF THE MEDICINAL PRODUCT</w:t>
      </w:r>
    </w:p>
    <w:p w14:paraId="10344E15" w14:textId="46520278" w:rsidR="00EE465E" w:rsidRPr="002136E6" w:rsidRDefault="00EE465E" w:rsidP="00EE465E">
      <w:pPr>
        <w:ind w:left="851"/>
        <w:jc w:val="both"/>
        <w:rPr>
          <w:sz w:val="24"/>
          <w:szCs w:val="24"/>
          <w:lang w:val="en-US"/>
        </w:rPr>
      </w:pPr>
      <w:proofErr w:type="spellStart"/>
      <w:r w:rsidRPr="002136E6">
        <w:rPr>
          <w:sz w:val="24"/>
          <w:szCs w:val="24"/>
          <w:lang w:val="en-US"/>
        </w:rPr>
        <w:t>Norditropin</w:t>
      </w:r>
      <w:proofErr w:type="spellEnd"/>
      <w:r w:rsidRPr="002136E6">
        <w:rPr>
          <w:sz w:val="24"/>
          <w:szCs w:val="24"/>
          <w:lang w:val="en-US"/>
        </w:rPr>
        <w:t xml:space="preserve"> </w:t>
      </w:r>
      <w:proofErr w:type="spellStart"/>
      <w:r w:rsidRPr="002136E6">
        <w:rPr>
          <w:sz w:val="24"/>
          <w:szCs w:val="24"/>
          <w:lang w:val="en-US"/>
        </w:rPr>
        <w:t>Nordi</w:t>
      </w:r>
      <w:r w:rsidR="00597EA9" w:rsidRPr="002136E6">
        <w:rPr>
          <w:sz w:val="24"/>
          <w:szCs w:val="24"/>
          <w:lang w:val="en-US"/>
        </w:rPr>
        <w:t>L</w:t>
      </w:r>
      <w:r w:rsidRPr="002136E6">
        <w:rPr>
          <w:sz w:val="24"/>
          <w:szCs w:val="24"/>
          <w:lang w:val="en-US"/>
        </w:rPr>
        <w:t>et</w:t>
      </w:r>
      <w:proofErr w:type="spellEnd"/>
    </w:p>
    <w:p w14:paraId="331FDE0A" w14:textId="77777777" w:rsidR="007C5D2A" w:rsidRPr="002136E6" w:rsidRDefault="007C5D2A" w:rsidP="004A3BF4">
      <w:pPr>
        <w:tabs>
          <w:tab w:val="left" w:pos="851"/>
        </w:tabs>
        <w:ind w:left="851"/>
        <w:rPr>
          <w:sz w:val="24"/>
          <w:szCs w:val="24"/>
          <w:lang w:val="en-GB"/>
        </w:rPr>
      </w:pPr>
    </w:p>
    <w:p w14:paraId="6895ED0A" w14:textId="77777777" w:rsidR="007C5D2A" w:rsidRPr="002136E6" w:rsidRDefault="009925C9" w:rsidP="007C5D2A">
      <w:pPr>
        <w:ind w:left="851" w:hanging="851"/>
        <w:rPr>
          <w:b/>
          <w:sz w:val="24"/>
          <w:szCs w:val="24"/>
          <w:lang w:val="en-GB"/>
        </w:rPr>
      </w:pPr>
      <w:r w:rsidRPr="002136E6">
        <w:rPr>
          <w:b/>
          <w:sz w:val="24"/>
          <w:szCs w:val="24"/>
          <w:lang w:val="en-GB"/>
        </w:rPr>
        <w:t>2.</w:t>
      </w:r>
      <w:r w:rsidR="007C5D2A" w:rsidRPr="002136E6">
        <w:rPr>
          <w:b/>
          <w:sz w:val="24"/>
          <w:szCs w:val="24"/>
          <w:lang w:val="en-GB"/>
        </w:rPr>
        <w:tab/>
        <w:t>QUALITATIVE AND QUANTITATIVE COMPOSITION</w:t>
      </w:r>
    </w:p>
    <w:p w14:paraId="0EAD9B1F" w14:textId="356500DE" w:rsidR="00374941" w:rsidRPr="002136E6" w:rsidRDefault="00374941" w:rsidP="008470D5">
      <w:pPr>
        <w:ind w:left="851"/>
        <w:rPr>
          <w:sz w:val="24"/>
          <w:szCs w:val="24"/>
          <w:lang w:val="en-GB"/>
        </w:rPr>
      </w:pP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Nordi</w:t>
      </w:r>
      <w:r w:rsidR="002453A4" w:rsidRPr="002136E6">
        <w:rPr>
          <w:sz w:val="24"/>
          <w:szCs w:val="24"/>
          <w:lang w:val="en-GB"/>
        </w:rPr>
        <w:t>L</w:t>
      </w:r>
      <w:r w:rsidRPr="002136E6">
        <w:rPr>
          <w:sz w:val="24"/>
          <w:szCs w:val="24"/>
          <w:lang w:val="en-GB"/>
        </w:rPr>
        <w:t>et</w:t>
      </w:r>
      <w:proofErr w:type="spellEnd"/>
      <w:r w:rsidRPr="002136E6">
        <w:rPr>
          <w:sz w:val="24"/>
          <w:szCs w:val="24"/>
          <w:lang w:val="en-GB"/>
        </w:rPr>
        <w:t xml:space="preserve"> 5 mg/1.5 ml</w:t>
      </w:r>
      <w:r w:rsidRPr="002136E6">
        <w:rPr>
          <w:sz w:val="24"/>
          <w:szCs w:val="24"/>
          <w:lang w:val="en-GB"/>
        </w:rPr>
        <w:cr/>
        <w:t>One ml of solution contains 3.3 mg somatropin</w:t>
      </w:r>
      <w:r w:rsidRPr="002136E6">
        <w:rPr>
          <w:sz w:val="24"/>
          <w:szCs w:val="24"/>
          <w:lang w:val="en-GB"/>
        </w:rPr>
        <w:cr/>
      </w:r>
      <w:r w:rsidRPr="002136E6">
        <w:rPr>
          <w:sz w:val="24"/>
          <w:szCs w:val="24"/>
          <w:lang w:val="en-GB"/>
        </w:rPr>
        <w:cr/>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Nordi</w:t>
      </w:r>
      <w:r w:rsidR="002453A4" w:rsidRPr="002136E6">
        <w:rPr>
          <w:sz w:val="24"/>
          <w:szCs w:val="24"/>
          <w:lang w:val="en-GB"/>
        </w:rPr>
        <w:t>L</w:t>
      </w:r>
      <w:r w:rsidRPr="002136E6">
        <w:rPr>
          <w:sz w:val="24"/>
          <w:szCs w:val="24"/>
          <w:lang w:val="en-GB"/>
        </w:rPr>
        <w:t>et</w:t>
      </w:r>
      <w:proofErr w:type="spellEnd"/>
      <w:r w:rsidRPr="002136E6">
        <w:rPr>
          <w:sz w:val="24"/>
          <w:szCs w:val="24"/>
          <w:lang w:val="en-GB"/>
        </w:rPr>
        <w:t xml:space="preserve"> 10 mg/1.5 ml</w:t>
      </w:r>
      <w:r w:rsidRPr="002136E6">
        <w:rPr>
          <w:sz w:val="24"/>
          <w:szCs w:val="24"/>
          <w:lang w:val="en-GB"/>
        </w:rPr>
        <w:cr/>
        <w:t>One ml of solution contains 6.7 mg somatropin</w:t>
      </w:r>
      <w:r w:rsidRPr="002136E6">
        <w:rPr>
          <w:sz w:val="24"/>
          <w:szCs w:val="24"/>
          <w:lang w:val="en-GB"/>
        </w:rPr>
        <w:cr/>
      </w:r>
      <w:r w:rsidRPr="002136E6">
        <w:rPr>
          <w:sz w:val="24"/>
          <w:szCs w:val="24"/>
          <w:lang w:val="en-GB"/>
        </w:rPr>
        <w:cr/>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Nordi</w:t>
      </w:r>
      <w:r w:rsidR="002453A4" w:rsidRPr="002136E6">
        <w:rPr>
          <w:sz w:val="24"/>
          <w:szCs w:val="24"/>
          <w:lang w:val="en-GB"/>
        </w:rPr>
        <w:t>L</w:t>
      </w:r>
      <w:r w:rsidRPr="002136E6">
        <w:rPr>
          <w:sz w:val="24"/>
          <w:szCs w:val="24"/>
          <w:lang w:val="en-GB"/>
        </w:rPr>
        <w:t>et</w:t>
      </w:r>
      <w:proofErr w:type="spellEnd"/>
      <w:r w:rsidRPr="002136E6">
        <w:rPr>
          <w:sz w:val="24"/>
          <w:szCs w:val="24"/>
          <w:lang w:val="en-GB"/>
        </w:rPr>
        <w:t xml:space="preserve"> 15 mg/1.5 ml</w:t>
      </w:r>
      <w:r w:rsidRPr="002136E6">
        <w:rPr>
          <w:sz w:val="24"/>
          <w:szCs w:val="24"/>
          <w:lang w:val="en-GB"/>
        </w:rPr>
        <w:cr/>
        <w:t xml:space="preserve">One ml of solution contains 10 mg somatropin </w:t>
      </w:r>
      <w:r w:rsidRPr="002136E6">
        <w:rPr>
          <w:sz w:val="24"/>
          <w:szCs w:val="24"/>
          <w:lang w:val="en-GB"/>
        </w:rPr>
        <w:cr/>
      </w:r>
    </w:p>
    <w:p w14:paraId="3524A8F0" w14:textId="075731D7" w:rsidR="00374941" w:rsidRPr="002136E6" w:rsidRDefault="00D54F5E" w:rsidP="008470D5">
      <w:pPr>
        <w:ind w:left="851"/>
        <w:rPr>
          <w:sz w:val="24"/>
          <w:szCs w:val="24"/>
          <w:lang w:val="en-GB"/>
        </w:rPr>
      </w:pPr>
      <w:r>
        <w:rPr>
          <w:sz w:val="24"/>
          <w:szCs w:val="24"/>
          <w:lang w:val="en-GB"/>
        </w:rPr>
        <w:t>s</w:t>
      </w:r>
      <w:r w:rsidR="00374941" w:rsidRPr="002136E6">
        <w:rPr>
          <w:sz w:val="24"/>
          <w:szCs w:val="24"/>
          <w:lang w:val="en-GB"/>
        </w:rPr>
        <w:t>omatropin (recombinant DNA origin produced in E-coli)</w:t>
      </w:r>
    </w:p>
    <w:p w14:paraId="5A71CD43" w14:textId="77777777" w:rsidR="00374941" w:rsidRPr="002136E6" w:rsidRDefault="00374941" w:rsidP="008470D5">
      <w:pPr>
        <w:ind w:left="851"/>
        <w:rPr>
          <w:sz w:val="24"/>
          <w:szCs w:val="24"/>
          <w:lang w:val="en-GB"/>
        </w:rPr>
      </w:pPr>
    </w:p>
    <w:p w14:paraId="5ADC6785" w14:textId="77777777" w:rsidR="00374941" w:rsidRPr="002136E6" w:rsidRDefault="00374941" w:rsidP="008470D5">
      <w:pPr>
        <w:ind w:left="851"/>
        <w:rPr>
          <w:sz w:val="24"/>
          <w:szCs w:val="24"/>
          <w:lang w:val="en-GB"/>
        </w:rPr>
      </w:pPr>
      <w:r w:rsidRPr="002136E6">
        <w:rPr>
          <w:sz w:val="24"/>
          <w:szCs w:val="24"/>
          <w:lang w:val="en-GB"/>
        </w:rPr>
        <w:t>1 mg of somatropin corresponds to 3 IU (International Unit) of somatropin</w:t>
      </w:r>
    </w:p>
    <w:p w14:paraId="547C2D89" w14:textId="77777777" w:rsidR="00374941" w:rsidRPr="002136E6" w:rsidRDefault="00374941" w:rsidP="008470D5">
      <w:pPr>
        <w:ind w:left="851"/>
        <w:rPr>
          <w:sz w:val="24"/>
          <w:szCs w:val="24"/>
          <w:lang w:val="en-GB"/>
        </w:rPr>
      </w:pPr>
    </w:p>
    <w:p w14:paraId="3AEBC0E7" w14:textId="77777777" w:rsidR="00374941" w:rsidRPr="002136E6" w:rsidRDefault="00374941" w:rsidP="008470D5">
      <w:pPr>
        <w:ind w:left="851"/>
        <w:rPr>
          <w:sz w:val="24"/>
          <w:szCs w:val="24"/>
          <w:lang w:val="en-GB"/>
        </w:rPr>
      </w:pPr>
      <w:r w:rsidRPr="002136E6">
        <w:rPr>
          <w:sz w:val="24"/>
          <w:szCs w:val="24"/>
          <w:lang w:val="en-GB"/>
        </w:rPr>
        <w:t>For the full list of excipients, see section 6.1</w:t>
      </w:r>
    </w:p>
    <w:p w14:paraId="31D3B6C7" w14:textId="77777777" w:rsidR="007C5D2A" w:rsidRPr="002136E6" w:rsidRDefault="007C5D2A" w:rsidP="004A3BF4">
      <w:pPr>
        <w:tabs>
          <w:tab w:val="left" w:pos="851"/>
        </w:tabs>
        <w:ind w:left="851"/>
        <w:rPr>
          <w:sz w:val="24"/>
          <w:szCs w:val="24"/>
          <w:lang w:val="en-GB"/>
        </w:rPr>
      </w:pPr>
    </w:p>
    <w:p w14:paraId="2217AF16" w14:textId="77777777" w:rsidR="007C5D2A" w:rsidRPr="002136E6" w:rsidRDefault="007C5D2A" w:rsidP="007C5D2A">
      <w:pPr>
        <w:tabs>
          <w:tab w:val="left" w:pos="851"/>
        </w:tabs>
        <w:ind w:left="851" w:hanging="851"/>
        <w:rPr>
          <w:b/>
          <w:sz w:val="24"/>
          <w:szCs w:val="24"/>
          <w:lang w:val="en-GB"/>
        </w:rPr>
      </w:pPr>
      <w:r w:rsidRPr="002136E6">
        <w:rPr>
          <w:b/>
          <w:sz w:val="24"/>
          <w:szCs w:val="24"/>
          <w:lang w:val="en-GB"/>
        </w:rPr>
        <w:t>3.</w:t>
      </w:r>
      <w:r w:rsidRPr="002136E6">
        <w:rPr>
          <w:b/>
          <w:sz w:val="24"/>
          <w:szCs w:val="24"/>
          <w:lang w:val="en-GB"/>
        </w:rPr>
        <w:tab/>
        <w:t>PHARMACEUTICAL FORM</w:t>
      </w:r>
    </w:p>
    <w:p w14:paraId="398BFC9C" w14:textId="77777777" w:rsidR="00374941" w:rsidRPr="002136E6" w:rsidRDefault="00374941" w:rsidP="008470D5">
      <w:pPr>
        <w:ind w:left="851"/>
        <w:rPr>
          <w:sz w:val="24"/>
          <w:szCs w:val="24"/>
          <w:lang w:val="en-GB"/>
        </w:rPr>
      </w:pPr>
      <w:r w:rsidRPr="002136E6">
        <w:rPr>
          <w:sz w:val="24"/>
          <w:szCs w:val="24"/>
          <w:lang w:val="en-GB"/>
        </w:rPr>
        <w:t>Solution for injection in pre-filled pen</w:t>
      </w:r>
    </w:p>
    <w:p w14:paraId="4A66B547" w14:textId="77777777" w:rsidR="00374941" w:rsidRPr="002136E6" w:rsidRDefault="00374941" w:rsidP="008470D5">
      <w:pPr>
        <w:ind w:left="851"/>
        <w:rPr>
          <w:sz w:val="24"/>
          <w:szCs w:val="24"/>
          <w:lang w:val="en-GB"/>
        </w:rPr>
      </w:pPr>
    </w:p>
    <w:p w14:paraId="61453F01" w14:textId="77777777" w:rsidR="00374941" w:rsidRPr="002136E6" w:rsidRDefault="00374941" w:rsidP="008470D5">
      <w:pPr>
        <w:ind w:left="851"/>
        <w:rPr>
          <w:sz w:val="24"/>
          <w:szCs w:val="24"/>
          <w:lang w:val="en-GB"/>
        </w:rPr>
      </w:pPr>
      <w:r w:rsidRPr="002136E6">
        <w:rPr>
          <w:sz w:val="24"/>
          <w:szCs w:val="24"/>
          <w:lang w:val="en-GB"/>
        </w:rPr>
        <w:t>Clear, colourless solution</w:t>
      </w:r>
    </w:p>
    <w:p w14:paraId="22D0090B" w14:textId="77777777" w:rsidR="007C5D2A" w:rsidRPr="002136E6" w:rsidRDefault="007C5D2A" w:rsidP="004A3BF4">
      <w:pPr>
        <w:tabs>
          <w:tab w:val="left" w:pos="851"/>
        </w:tabs>
        <w:ind w:left="851"/>
        <w:rPr>
          <w:sz w:val="24"/>
          <w:szCs w:val="24"/>
          <w:lang w:val="en-GB"/>
        </w:rPr>
      </w:pPr>
    </w:p>
    <w:p w14:paraId="21F7A512" w14:textId="77777777" w:rsidR="007C5D2A" w:rsidRPr="002136E6" w:rsidRDefault="007C5D2A" w:rsidP="004A3BF4">
      <w:pPr>
        <w:tabs>
          <w:tab w:val="left" w:pos="851"/>
        </w:tabs>
        <w:ind w:left="851"/>
        <w:rPr>
          <w:sz w:val="24"/>
          <w:szCs w:val="24"/>
          <w:lang w:val="en-GB"/>
        </w:rPr>
      </w:pPr>
    </w:p>
    <w:p w14:paraId="348459C0" w14:textId="77777777" w:rsidR="007C5D2A" w:rsidRPr="002136E6" w:rsidRDefault="007C5D2A" w:rsidP="007C5D2A">
      <w:pPr>
        <w:ind w:left="851" w:hanging="851"/>
        <w:rPr>
          <w:b/>
          <w:sz w:val="24"/>
          <w:szCs w:val="24"/>
          <w:lang w:val="en-GB"/>
        </w:rPr>
      </w:pPr>
      <w:r w:rsidRPr="002136E6">
        <w:rPr>
          <w:b/>
          <w:sz w:val="24"/>
          <w:szCs w:val="24"/>
          <w:lang w:val="en-GB"/>
        </w:rPr>
        <w:t>4.</w:t>
      </w:r>
      <w:r w:rsidRPr="002136E6">
        <w:rPr>
          <w:b/>
          <w:sz w:val="24"/>
          <w:szCs w:val="24"/>
          <w:lang w:val="en-GB"/>
        </w:rPr>
        <w:tab/>
        <w:t>CLINICAL PARTICULARS</w:t>
      </w:r>
    </w:p>
    <w:p w14:paraId="5473F167" w14:textId="77777777" w:rsidR="007C5D2A" w:rsidRPr="002136E6" w:rsidRDefault="007C5D2A" w:rsidP="004A3BF4">
      <w:pPr>
        <w:tabs>
          <w:tab w:val="left" w:pos="851"/>
        </w:tabs>
        <w:ind w:left="851"/>
        <w:rPr>
          <w:sz w:val="24"/>
          <w:szCs w:val="24"/>
          <w:lang w:val="en-GB"/>
        </w:rPr>
      </w:pPr>
    </w:p>
    <w:p w14:paraId="7F00EC05" w14:textId="77777777" w:rsidR="007C5D2A" w:rsidRPr="002136E6" w:rsidRDefault="007C5D2A" w:rsidP="007C5D2A">
      <w:pPr>
        <w:ind w:left="851" w:hanging="851"/>
        <w:rPr>
          <w:b/>
          <w:sz w:val="24"/>
          <w:szCs w:val="24"/>
          <w:u w:val="single"/>
          <w:lang w:val="en-GB"/>
        </w:rPr>
      </w:pPr>
      <w:r w:rsidRPr="002136E6">
        <w:rPr>
          <w:b/>
          <w:sz w:val="24"/>
          <w:szCs w:val="24"/>
          <w:lang w:val="en-GB"/>
        </w:rPr>
        <w:t>4.1</w:t>
      </w:r>
      <w:r w:rsidRPr="002136E6">
        <w:rPr>
          <w:b/>
          <w:sz w:val="24"/>
          <w:szCs w:val="24"/>
          <w:lang w:val="en-GB"/>
        </w:rPr>
        <w:tab/>
        <w:t>Therapeutic indications</w:t>
      </w:r>
    </w:p>
    <w:p w14:paraId="000FE78E" w14:textId="77777777" w:rsidR="002136E6" w:rsidRDefault="002136E6" w:rsidP="008470D5">
      <w:pPr>
        <w:ind w:left="851"/>
        <w:rPr>
          <w:sz w:val="24"/>
          <w:szCs w:val="24"/>
          <w:u w:val="single"/>
          <w:lang w:val="en-GB"/>
        </w:rPr>
      </w:pPr>
    </w:p>
    <w:p w14:paraId="1E5E8EBF" w14:textId="34DC3CA9" w:rsidR="00374941" w:rsidRPr="002136E6" w:rsidRDefault="00374941" w:rsidP="008470D5">
      <w:pPr>
        <w:ind w:left="851"/>
        <w:rPr>
          <w:sz w:val="24"/>
          <w:szCs w:val="24"/>
          <w:u w:val="single"/>
          <w:lang w:val="en-GB"/>
        </w:rPr>
      </w:pPr>
      <w:r w:rsidRPr="002136E6">
        <w:rPr>
          <w:sz w:val="24"/>
          <w:szCs w:val="24"/>
          <w:u w:val="single"/>
          <w:lang w:val="en-GB"/>
        </w:rPr>
        <w:t>Children:</w:t>
      </w:r>
    </w:p>
    <w:p w14:paraId="2C96F9F3" w14:textId="77777777" w:rsidR="00374941" w:rsidRPr="002136E6" w:rsidRDefault="00374941" w:rsidP="008470D5">
      <w:pPr>
        <w:ind w:left="851"/>
        <w:rPr>
          <w:sz w:val="24"/>
          <w:szCs w:val="24"/>
          <w:lang w:val="en-GB"/>
        </w:rPr>
      </w:pPr>
      <w:r w:rsidRPr="002136E6">
        <w:rPr>
          <w:sz w:val="24"/>
          <w:szCs w:val="24"/>
          <w:lang w:val="en-GB"/>
        </w:rPr>
        <w:t>Growth failure due to growth hormone deficiency (GHD)</w:t>
      </w:r>
    </w:p>
    <w:p w14:paraId="36FF9A79" w14:textId="77777777" w:rsidR="00374941" w:rsidRPr="002136E6" w:rsidRDefault="00374941" w:rsidP="008470D5">
      <w:pPr>
        <w:ind w:left="851"/>
        <w:rPr>
          <w:sz w:val="24"/>
          <w:szCs w:val="24"/>
          <w:lang w:val="en-GB"/>
        </w:rPr>
      </w:pPr>
    </w:p>
    <w:p w14:paraId="06D5DA78" w14:textId="77777777" w:rsidR="00374941" w:rsidRPr="002136E6" w:rsidRDefault="00374941" w:rsidP="008470D5">
      <w:pPr>
        <w:ind w:left="851"/>
        <w:rPr>
          <w:sz w:val="24"/>
          <w:szCs w:val="24"/>
          <w:lang w:val="en-GB"/>
        </w:rPr>
      </w:pPr>
      <w:r w:rsidRPr="002136E6">
        <w:rPr>
          <w:sz w:val="24"/>
          <w:szCs w:val="24"/>
          <w:lang w:val="en-GB"/>
        </w:rPr>
        <w:lastRenderedPageBreak/>
        <w:t>Growth failure in girls due to gonadal dysgenesis (Turner syndrome)</w:t>
      </w:r>
    </w:p>
    <w:p w14:paraId="552ADE25" w14:textId="77777777" w:rsidR="00374941" w:rsidRPr="002136E6" w:rsidRDefault="00374941" w:rsidP="008470D5">
      <w:pPr>
        <w:ind w:left="851"/>
        <w:rPr>
          <w:sz w:val="24"/>
          <w:szCs w:val="24"/>
          <w:lang w:val="en-GB"/>
        </w:rPr>
      </w:pPr>
    </w:p>
    <w:p w14:paraId="68992641" w14:textId="77777777" w:rsidR="00374941" w:rsidRPr="002136E6" w:rsidRDefault="00374941" w:rsidP="008470D5">
      <w:pPr>
        <w:ind w:left="851"/>
        <w:rPr>
          <w:sz w:val="24"/>
          <w:szCs w:val="24"/>
          <w:lang w:val="en-GB"/>
        </w:rPr>
      </w:pPr>
      <w:r w:rsidRPr="002136E6">
        <w:rPr>
          <w:sz w:val="24"/>
          <w:szCs w:val="24"/>
          <w:lang w:val="en-GB"/>
        </w:rPr>
        <w:t>Growth retardation in prepubertal children due to chronic renal disease</w:t>
      </w:r>
    </w:p>
    <w:p w14:paraId="565D6C45" w14:textId="77777777" w:rsidR="00374941" w:rsidRPr="002136E6" w:rsidRDefault="00374941" w:rsidP="008470D5">
      <w:pPr>
        <w:ind w:left="851"/>
        <w:rPr>
          <w:sz w:val="24"/>
          <w:szCs w:val="24"/>
          <w:lang w:val="en-GB"/>
        </w:rPr>
      </w:pPr>
    </w:p>
    <w:p w14:paraId="590F790B" w14:textId="77777777" w:rsidR="00374941" w:rsidRPr="002136E6" w:rsidRDefault="00374941" w:rsidP="008470D5">
      <w:pPr>
        <w:ind w:left="851"/>
        <w:rPr>
          <w:sz w:val="24"/>
          <w:szCs w:val="24"/>
          <w:lang w:val="en-GB"/>
        </w:rPr>
      </w:pPr>
      <w:r w:rsidRPr="002136E6">
        <w:rPr>
          <w:sz w:val="24"/>
          <w:szCs w:val="24"/>
          <w:lang w:val="en-GB"/>
        </w:rPr>
        <w:t>Growth disturbance (current height SDS &lt; -2.5 and parental adjusted height SDS &lt; -1) in short children born small for gestational age (SGA), with a birth weight and/or length below -2 SD, who failed to show catch-up growth (HV SDS &lt; 0 during the last year) by 4 years of age or later.</w:t>
      </w:r>
    </w:p>
    <w:p w14:paraId="41A37D01" w14:textId="77777777" w:rsidR="00374941" w:rsidRPr="002136E6" w:rsidRDefault="00374941" w:rsidP="008470D5">
      <w:pPr>
        <w:ind w:left="851"/>
        <w:rPr>
          <w:sz w:val="24"/>
          <w:szCs w:val="24"/>
          <w:lang w:val="en-US"/>
        </w:rPr>
      </w:pPr>
    </w:p>
    <w:p w14:paraId="37FF5951" w14:textId="77777777" w:rsidR="00374941" w:rsidRPr="002136E6" w:rsidRDefault="00374941" w:rsidP="008470D5">
      <w:pPr>
        <w:ind w:left="851"/>
        <w:rPr>
          <w:sz w:val="24"/>
          <w:szCs w:val="24"/>
          <w:lang w:val="en-US"/>
        </w:rPr>
      </w:pPr>
      <w:r w:rsidRPr="002136E6">
        <w:rPr>
          <w:sz w:val="24"/>
          <w:szCs w:val="24"/>
          <w:lang w:val="en-US"/>
        </w:rPr>
        <w:t>Growth failure due to Noonan syndrome.</w:t>
      </w:r>
    </w:p>
    <w:p w14:paraId="5A125CFA" w14:textId="77777777" w:rsidR="00374941" w:rsidRPr="002136E6" w:rsidRDefault="00374941" w:rsidP="008470D5">
      <w:pPr>
        <w:ind w:left="851"/>
        <w:rPr>
          <w:sz w:val="24"/>
          <w:szCs w:val="24"/>
          <w:lang w:val="en-US"/>
        </w:rPr>
      </w:pPr>
    </w:p>
    <w:p w14:paraId="0D85D9E3" w14:textId="77777777" w:rsidR="00374941" w:rsidRPr="002136E6" w:rsidRDefault="00374941" w:rsidP="008470D5">
      <w:pPr>
        <w:ind w:left="851"/>
        <w:rPr>
          <w:sz w:val="24"/>
          <w:szCs w:val="24"/>
          <w:u w:val="single"/>
          <w:lang w:val="en-GB"/>
        </w:rPr>
      </w:pPr>
      <w:r w:rsidRPr="002136E6">
        <w:rPr>
          <w:sz w:val="24"/>
          <w:szCs w:val="24"/>
          <w:u w:val="single"/>
          <w:lang w:val="en-GB"/>
        </w:rPr>
        <w:t>Adults:</w:t>
      </w:r>
    </w:p>
    <w:p w14:paraId="63047EA1" w14:textId="77777777" w:rsidR="00374941" w:rsidRPr="002136E6" w:rsidRDefault="00374941" w:rsidP="008470D5">
      <w:pPr>
        <w:ind w:left="851"/>
        <w:rPr>
          <w:sz w:val="24"/>
          <w:szCs w:val="24"/>
          <w:u w:val="single"/>
          <w:lang w:val="en-GB"/>
        </w:rPr>
      </w:pPr>
      <w:r w:rsidRPr="002136E6">
        <w:rPr>
          <w:sz w:val="24"/>
          <w:szCs w:val="24"/>
          <w:u w:val="single"/>
          <w:lang w:val="en-GB"/>
        </w:rPr>
        <w:t>Childhood onset growth hormone deficiency:</w:t>
      </w:r>
    </w:p>
    <w:p w14:paraId="3E7AC3ED" w14:textId="77777777" w:rsidR="00374941" w:rsidRPr="002136E6" w:rsidRDefault="00374941" w:rsidP="008470D5">
      <w:pPr>
        <w:ind w:left="851"/>
        <w:rPr>
          <w:sz w:val="24"/>
          <w:szCs w:val="24"/>
          <w:lang w:val="en-GB"/>
        </w:rPr>
      </w:pPr>
      <w:r w:rsidRPr="002136E6">
        <w:rPr>
          <w:sz w:val="24"/>
          <w:szCs w:val="24"/>
          <w:lang w:val="en-GB"/>
        </w:rPr>
        <w:t>Patients with childhood onset GHD should be re-evaluated for growth hormone secretory capacity after growth completion. Testing is not required for those with more than three pituitary hormone deficits, with severe GHD due to a defined genetic cause, due to structural hypothalamic pituitary abnormalities, due to central nervous system tumours or due to high-dose cranial irradiation, or with GHD secondary to a pituitary/hypothalamic disease or insult, if measurements of serum insulin-like growth factor 1 (IGF-1) is &lt; -2 SDS after at least four weeks off growth hormone treatment.</w:t>
      </w:r>
    </w:p>
    <w:p w14:paraId="06BB21FC" w14:textId="77777777" w:rsidR="00374941" w:rsidRPr="002136E6" w:rsidRDefault="00374941" w:rsidP="008470D5">
      <w:pPr>
        <w:ind w:left="851"/>
        <w:rPr>
          <w:sz w:val="24"/>
          <w:szCs w:val="24"/>
          <w:lang w:val="en-GB"/>
        </w:rPr>
      </w:pPr>
      <w:r w:rsidRPr="002136E6">
        <w:rPr>
          <w:sz w:val="24"/>
          <w:szCs w:val="24"/>
          <w:lang w:val="en-GB"/>
        </w:rPr>
        <w:t xml:space="preserve">In all other patients an IGF-1 measurement and one growth hormone stimulation test </w:t>
      </w:r>
      <w:proofErr w:type="gramStart"/>
      <w:r w:rsidRPr="002136E6">
        <w:rPr>
          <w:sz w:val="24"/>
          <w:szCs w:val="24"/>
          <w:lang w:val="en-GB"/>
        </w:rPr>
        <w:t>is</w:t>
      </w:r>
      <w:proofErr w:type="gramEnd"/>
      <w:r w:rsidRPr="002136E6">
        <w:rPr>
          <w:sz w:val="24"/>
          <w:szCs w:val="24"/>
          <w:lang w:val="en-GB"/>
        </w:rPr>
        <w:t xml:space="preserve"> required. </w:t>
      </w:r>
    </w:p>
    <w:p w14:paraId="54136D94" w14:textId="77777777" w:rsidR="00374941" w:rsidRPr="002136E6" w:rsidRDefault="00374941" w:rsidP="008470D5">
      <w:pPr>
        <w:ind w:left="851"/>
        <w:rPr>
          <w:sz w:val="24"/>
          <w:szCs w:val="24"/>
          <w:u w:val="single"/>
          <w:lang w:val="en-GB"/>
        </w:rPr>
      </w:pPr>
    </w:p>
    <w:p w14:paraId="085FA6FA" w14:textId="77777777" w:rsidR="00374941" w:rsidRPr="002136E6" w:rsidRDefault="00374941" w:rsidP="008470D5">
      <w:pPr>
        <w:ind w:left="851"/>
        <w:rPr>
          <w:sz w:val="24"/>
          <w:szCs w:val="24"/>
          <w:u w:val="single"/>
          <w:lang w:val="en-GB"/>
        </w:rPr>
      </w:pPr>
      <w:r w:rsidRPr="002136E6">
        <w:rPr>
          <w:sz w:val="24"/>
          <w:szCs w:val="24"/>
          <w:u w:val="single"/>
          <w:lang w:val="en-GB"/>
        </w:rPr>
        <w:t xml:space="preserve">Adult onset growth hormone deficiency: </w:t>
      </w:r>
    </w:p>
    <w:p w14:paraId="589580FD" w14:textId="77777777" w:rsidR="00374941" w:rsidRPr="002136E6" w:rsidRDefault="00374941" w:rsidP="008470D5">
      <w:pPr>
        <w:ind w:left="851"/>
        <w:rPr>
          <w:sz w:val="24"/>
          <w:szCs w:val="24"/>
          <w:lang w:val="en-GB"/>
        </w:rPr>
      </w:pPr>
      <w:r w:rsidRPr="002136E6">
        <w:rPr>
          <w:sz w:val="24"/>
          <w:szCs w:val="24"/>
          <w:lang w:val="en-GB"/>
        </w:rPr>
        <w:t>Pronounced GHD in known hypothalamic-pituitary disease, cranial irradiation and traumatic brain injury. GHD should be associated with one other deficient axis, other than prolactin. GHD should be demonstrated by one provocative test after institution of adequate replacement therapy for any other deficient axis.</w:t>
      </w:r>
    </w:p>
    <w:p w14:paraId="7A823E47" w14:textId="77777777" w:rsidR="00374941" w:rsidRPr="002136E6" w:rsidRDefault="00374941" w:rsidP="008470D5">
      <w:pPr>
        <w:ind w:left="851"/>
        <w:rPr>
          <w:sz w:val="24"/>
          <w:szCs w:val="24"/>
          <w:lang w:val="en-GB"/>
        </w:rPr>
      </w:pPr>
    </w:p>
    <w:p w14:paraId="719C17DC" w14:textId="77777777" w:rsidR="00374941" w:rsidRPr="002136E6" w:rsidRDefault="00374941" w:rsidP="008470D5">
      <w:pPr>
        <w:ind w:left="851"/>
        <w:rPr>
          <w:sz w:val="24"/>
          <w:szCs w:val="24"/>
          <w:lang w:val="en-GB"/>
        </w:rPr>
      </w:pPr>
      <w:r w:rsidRPr="002136E6">
        <w:rPr>
          <w:sz w:val="24"/>
          <w:szCs w:val="24"/>
          <w:lang w:val="en-GB"/>
        </w:rPr>
        <w:t>In adults, the insulin tolerance test is the provocative test of choice. When the insulin tolerance test is contraindicated, alternative provocative tests must be used. The combined arginine-growth hormone releasing hormone is recommended. An arginine or glucagon test may also be considered; however, these tests have less established diagnostic value than the insulin tolerance test.</w:t>
      </w:r>
    </w:p>
    <w:p w14:paraId="73CF3A25" w14:textId="77777777" w:rsidR="007C5D2A" w:rsidRPr="002136E6" w:rsidRDefault="007C5D2A" w:rsidP="00A85D26">
      <w:pPr>
        <w:tabs>
          <w:tab w:val="left" w:pos="851"/>
        </w:tabs>
        <w:ind w:left="851"/>
        <w:rPr>
          <w:sz w:val="24"/>
          <w:szCs w:val="24"/>
          <w:lang w:val="en-GB"/>
        </w:rPr>
      </w:pPr>
    </w:p>
    <w:p w14:paraId="6FF68896" w14:textId="77777777" w:rsidR="007C5D2A" w:rsidRPr="002136E6" w:rsidRDefault="009925C9" w:rsidP="007C5D2A">
      <w:pPr>
        <w:tabs>
          <w:tab w:val="left" w:pos="851"/>
        </w:tabs>
        <w:ind w:left="851" w:hanging="851"/>
        <w:rPr>
          <w:sz w:val="24"/>
          <w:szCs w:val="24"/>
          <w:lang w:val="en-GB"/>
        </w:rPr>
      </w:pPr>
      <w:r w:rsidRPr="002136E6">
        <w:rPr>
          <w:b/>
          <w:sz w:val="24"/>
          <w:szCs w:val="24"/>
          <w:lang w:val="en-GB"/>
        </w:rPr>
        <w:t>4.2</w:t>
      </w:r>
      <w:r w:rsidR="007C5D2A" w:rsidRPr="002136E6">
        <w:rPr>
          <w:b/>
          <w:sz w:val="24"/>
          <w:szCs w:val="24"/>
          <w:lang w:val="en-GB"/>
        </w:rPr>
        <w:tab/>
        <w:t>Posology and method of administration</w:t>
      </w:r>
    </w:p>
    <w:p w14:paraId="1CB75EDA" w14:textId="77777777" w:rsidR="00374941" w:rsidRPr="002136E6" w:rsidRDefault="00374941" w:rsidP="008470D5">
      <w:pPr>
        <w:ind w:left="851"/>
        <w:rPr>
          <w:sz w:val="24"/>
          <w:szCs w:val="24"/>
          <w:lang w:val="en-GB"/>
        </w:rPr>
      </w:pPr>
      <w:proofErr w:type="spellStart"/>
      <w:r w:rsidRPr="002136E6">
        <w:rPr>
          <w:sz w:val="24"/>
          <w:szCs w:val="24"/>
          <w:lang w:val="en-GB"/>
        </w:rPr>
        <w:t>Norditropin</w:t>
      </w:r>
      <w:proofErr w:type="spellEnd"/>
      <w:r w:rsidRPr="002136E6">
        <w:rPr>
          <w:sz w:val="24"/>
          <w:szCs w:val="24"/>
          <w:lang w:val="en-GB"/>
        </w:rPr>
        <w:t xml:space="preserve"> should only be prescribed by doctors with special knowledge of the therapeutic indication of use.</w:t>
      </w:r>
    </w:p>
    <w:p w14:paraId="41BEA2CB" w14:textId="77777777" w:rsidR="00374941" w:rsidRPr="002136E6" w:rsidRDefault="00374941" w:rsidP="008470D5">
      <w:pPr>
        <w:ind w:left="851"/>
        <w:rPr>
          <w:sz w:val="24"/>
          <w:szCs w:val="24"/>
          <w:lang w:val="en-GB"/>
        </w:rPr>
      </w:pPr>
    </w:p>
    <w:p w14:paraId="4978182B" w14:textId="77777777" w:rsidR="00374941" w:rsidRPr="002136E6" w:rsidRDefault="00374941" w:rsidP="008470D5">
      <w:pPr>
        <w:ind w:left="851"/>
        <w:rPr>
          <w:sz w:val="24"/>
          <w:szCs w:val="24"/>
          <w:u w:val="single"/>
          <w:lang w:val="en-US"/>
        </w:rPr>
      </w:pPr>
      <w:r w:rsidRPr="002136E6">
        <w:rPr>
          <w:sz w:val="24"/>
          <w:szCs w:val="24"/>
          <w:u w:val="single"/>
          <w:lang w:val="en-US"/>
        </w:rPr>
        <w:t>Posology</w:t>
      </w:r>
    </w:p>
    <w:p w14:paraId="1F43FBF8" w14:textId="77777777" w:rsidR="00374941" w:rsidRPr="002136E6" w:rsidRDefault="00374941" w:rsidP="008470D5">
      <w:pPr>
        <w:ind w:left="851"/>
        <w:rPr>
          <w:sz w:val="24"/>
          <w:szCs w:val="24"/>
          <w:lang w:val="en-GB"/>
        </w:rPr>
      </w:pPr>
    </w:p>
    <w:p w14:paraId="0E26247A" w14:textId="77777777" w:rsidR="00374941" w:rsidRPr="002136E6" w:rsidRDefault="00374941" w:rsidP="008470D5">
      <w:pPr>
        <w:ind w:left="851"/>
        <w:rPr>
          <w:sz w:val="24"/>
          <w:szCs w:val="24"/>
          <w:lang w:val="en-GB"/>
        </w:rPr>
      </w:pPr>
      <w:r w:rsidRPr="002136E6">
        <w:rPr>
          <w:sz w:val="24"/>
          <w:szCs w:val="24"/>
          <w:lang w:val="en-GB"/>
        </w:rPr>
        <w:t xml:space="preserve">The dosage is individual and must always be adjusted in accordance with the individual’s </w:t>
      </w:r>
      <w:r w:rsidRPr="002136E6">
        <w:rPr>
          <w:sz w:val="24"/>
          <w:szCs w:val="24"/>
          <w:lang w:val="en-US"/>
        </w:rPr>
        <w:t>clinical and biochemical</w:t>
      </w:r>
      <w:r w:rsidRPr="002136E6">
        <w:rPr>
          <w:sz w:val="24"/>
          <w:szCs w:val="24"/>
          <w:lang w:val="en-GB"/>
        </w:rPr>
        <w:t xml:space="preserve"> response to therapy.</w:t>
      </w:r>
    </w:p>
    <w:p w14:paraId="68520574" w14:textId="77777777" w:rsidR="00374941" w:rsidRPr="002136E6" w:rsidRDefault="00374941" w:rsidP="008470D5">
      <w:pPr>
        <w:ind w:left="851"/>
        <w:rPr>
          <w:sz w:val="24"/>
          <w:szCs w:val="24"/>
          <w:lang w:val="en-GB"/>
        </w:rPr>
      </w:pPr>
    </w:p>
    <w:p w14:paraId="2DA828A1" w14:textId="77777777" w:rsidR="00374941" w:rsidRPr="002136E6" w:rsidRDefault="00374941" w:rsidP="008470D5">
      <w:pPr>
        <w:ind w:left="851"/>
        <w:rPr>
          <w:sz w:val="24"/>
          <w:szCs w:val="24"/>
          <w:u w:val="single"/>
          <w:lang w:val="en-GB"/>
        </w:rPr>
      </w:pPr>
      <w:r w:rsidRPr="002136E6">
        <w:rPr>
          <w:i/>
          <w:sz w:val="24"/>
          <w:szCs w:val="24"/>
          <w:u w:val="single"/>
          <w:lang w:val="en-GB"/>
        </w:rPr>
        <w:t>Generally recommended dosages</w:t>
      </w:r>
      <w:r w:rsidRPr="002136E6">
        <w:rPr>
          <w:sz w:val="24"/>
          <w:szCs w:val="24"/>
          <w:u w:val="single"/>
          <w:lang w:val="en-GB"/>
        </w:rPr>
        <w:t>:</w:t>
      </w:r>
    </w:p>
    <w:p w14:paraId="272B7B23" w14:textId="77777777" w:rsidR="00374941" w:rsidRPr="002136E6" w:rsidRDefault="00374941" w:rsidP="008470D5">
      <w:pPr>
        <w:ind w:left="851"/>
        <w:rPr>
          <w:sz w:val="24"/>
          <w:szCs w:val="24"/>
          <w:lang w:val="en-GB"/>
        </w:rPr>
      </w:pPr>
    </w:p>
    <w:p w14:paraId="4A1FAE9A" w14:textId="77777777" w:rsidR="00374941" w:rsidRPr="002136E6" w:rsidRDefault="00374941" w:rsidP="008470D5">
      <w:pPr>
        <w:ind w:left="851"/>
        <w:rPr>
          <w:sz w:val="24"/>
          <w:szCs w:val="24"/>
          <w:u w:val="single"/>
          <w:lang w:val="en-GB"/>
        </w:rPr>
      </w:pPr>
      <w:r w:rsidRPr="002136E6">
        <w:rPr>
          <w:i/>
          <w:sz w:val="24"/>
          <w:szCs w:val="24"/>
          <w:lang w:val="en-GB"/>
        </w:rPr>
        <w:t>Paediatric population</w:t>
      </w:r>
      <w:r w:rsidRPr="002136E6">
        <w:rPr>
          <w:sz w:val="24"/>
          <w:szCs w:val="24"/>
          <w:lang w:val="en-GB"/>
        </w:rPr>
        <w:t>:</w:t>
      </w:r>
    </w:p>
    <w:p w14:paraId="3C7A2F53" w14:textId="77777777" w:rsidR="00374941" w:rsidRPr="002136E6" w:rsidRDefault="00374941" w:rsidP="008470D5">
      <w:pPr>
        <w:ind w:left="851"/>
        <w:rPr>
          <w:sz w:val="24"/>
          <w:szCs w:val="24"/>
          <w:u w:val="single"/>
          <w:lang w:val="en-GB"/>
        </w:rPr>
      </w:pPr>
      <w:r w:rsidRPr="002136E6">
        <w:rPr>
          <w:sz w:val="24"/>
          <w:szCs w:val="24"/>
          <w:u w:val="single"/>
          <w:lang w:val="en-GB"/>
        </w:rPr>
        <w:t>Growth hormone insufficiency</w:t>
      </w:r>
    </w:p>
    <w:p w14:paraId="367653C7" w14:textId="77777777" w:rsidR="00374941" w:rsidRPr="002136E6" w:rsidRDefault="00374941" w:rsidP="008470D5">
      <w:pPr>
        <w:ind w:left="851"/>
        <w:rPr>
          <w:sz w:val="24"/>
          <w:szCs w:val="24"/>
          <w:lang w:val="en-GB"/>
        </w:rPr>
      </w:pPr>
      <w:r w:rsidRPr="002136E6">
        <w:rPr>
          <w:sz w:val="24"/>
          <w:szCs w:val="24"/>
          <w:lang w:val="en-US"/>
        </w:rPr>
        <w:t>0.025</w:t>
      </w:r>
      <w:r w:rsidRPr="002136E6">
        <w:rPr>
          <w:sz w:val="24"/>
          <w:szCs w:val="24"/>
          <w:lang w:val="en-GB"/>
        </w:rPr>
        <w:noBreakHyphen/>
      </w:r>
      <w:r w:rsidRPr="002136E6">
        <w:rPr>
          <w:sz w:val="24"/>
          <w:szCs w:val="24"/>
          <w:lang w:val="en-US"/>
        </w:rPr>
        <w:t>0.035 </w:t>
      </w:r>
      <w:r w:rsidRPr="002136E6">
        <w:rPr>
          <w:sz w:val="24"/>
          <w:szCs w:val="24"/>
          <w:lang w:val="en-GB"/>
        </w:rPr>
        <w:t>m</w:t>
      </w:r>
      <w:r w:rsidRPr="002136E6">
        <w:rPr>
          <w:sz w:val="24"/>
          <w:szCs w:val="24"/>
          <w:lang w:val="en-US"/>
        </w:rPr>
        <w:t>g/</w:t>
      </w:r>
      <w:r w:rsidRPr="002136E6">
        <w:rPr>
          <w:sz w:val="24"/>
          <w:szCs w:val="24"/>
          <w:lang w:val="en-GB"/>
        </w:rPr>
        <w:t>kg/day or 0.7</w:t>
      </w:r>
      <w:r w:rsidRPr="002136E6">
        <w:rPr>
          <w:sz w:val="24"/>
          <w:szCs w:val="24"/>
          <w:lang w:val="en-GB"/>
        </w:rPr>
        <w:noBreakHyphen/>
        <w:t>1.0 mg/m</w:t>
      </w:r>
      <w:r w:rsidRPr="002136E6">
        <w:rPr>
          <w:sz w:val="24"/>
          <w:szCs w:val="24"/>
          <w:vertAlign w:val="superscript"/>
          <w:lang w:val="en-GB"/>
        </w:rPr>
        <w:t>2</w:t>
      </w:r>
      <w:r w:rsidRPr="002136E6">
        <w:rPr>
          <w:sz w:val="24"/>
          <w:szCs w:val="24"/>
          <w:lang w:val="en-GB"/>
        </w:rPr>
        <w:t>/day</w:t>
      </w:r>
    </w:p>
    <w:p w14:paraId="7478BDD9" w14:textId="77777777" w:rsidR="00374941" w:rsidRPr="002136E6" w:rsidRDefault="00374941" w:rsidP="008470D5">
      <w:pPr>
        <w:ind w:left="851"/>
        <w:rPr>
          <w:sz w:val="24"/>
          <w:szCs w:val="24"/>
          <w:lang w:val="en-GB"/>
        </w:rPr>
      </w:pPr>
      <w:r w:rsidRPr="002136E6">
        <w:rPr>
          <w:sz w:val="24"/>
          <w:szCs w:val="24"/>
          <w:lang w:val="en-GB"/>
        </w:rPr>
        <w:lastRenderedPageBreak/>
        <w:t>When GHD persists after growth completion, growth hormone treatment should be continued to achieve full somatic adult development including lean body mass and bone mineral accrual (for guidance on dosing, see Replacement therapy in adults).</w:t>
      </w:r>
    </w:p>
    <w:p w14:paraId="571835C0" w14:textId="77777777" w:rsidR="00374941" w:rsidRPr="002136E6" w:rsidRDefault="00374941" w:rsidP="008470D5">
      <w:pPr>
        <w:ind w:left="851"/>
        <w:rPr>
          <w:sz w:val="24"/>
          <w:szCs w:val="24"/>
          <w:lang w:val="en-GB"/>
        </w:rPr>
      </w:pPr>
    </w:p>
    <w:p w14:paraId="56D2F3C5" w14:textId="77777777" w:rsidR="00374941" w:rsidRPr="002136E6" w:rsidRDefault="00374941" w:rsidP="008470D5">
      <w:pPr>
        <w:ind w:left="851"/>
        <w:rPr>
          <w:sz w:val="24"/>
          <w:szCs w:val="24"/>
          <w:lang w:val="en-GB"/>
        </w:rPr>
      </w:pPr>
      <w:r w:rsidRPr="002136E6">
        <w:rPr>
          <w:sz w:val="24"/>
          <w:szCs w:val="24"/>
          <w:u w:val="single"/>
          <w:lang w:val="en-GB"/>
        </w:rPr>
        <w:t>Turner syndrome</w:t>
      </w:r>
    </w:p>
    <w:p w14:paraId="75DEB16B" w14:textId="77777777" w:rsidR="00374941" w:rsidRPr="002136E6" w:rsidRDefault="00374941" w:rsidP="008470D5">
      <w:pPr>
        <w:ind w:left="851"/>
        <w:rPr>
          <w:sz w:val="24"/>
          <w:szCs w:val="24"/>
          <w:u w:val="single"/>
          <w:lang w:val="en-GB"/>
        </w:rPr>
      </w:pPr>
      <w:r w:rsidRPr="002136E6">
        <w:rPr>
          <w:sz w:val="24"/>
          <w:szCs w:val="24"/>
          <w:lang w:val="en-US"/>
        </w:rPr>
        <w:t>0.045</w:t>
      </w:r>
      <w:r w:rsidRPr="002136E6">
        <w:rPr>
          <w:sz w:val="24"/>
          <w:szCs w:val="24"/>
          <w:lang w:val="en-US"/>
        </w:rPr>
        <w:noBreakHyphen/>
        <w:t>0.067 </w:t>
      </w:r>
      <w:r w:rsidRPr="002136E6">
        <w:rPr>
          <w:sz w:val="24"/>
          <w:szCs w:val="24"/>
          <w:lang w:val="en-GB"/>
        </w:rPr>
        <w:t>m</w:t>
      </w:r>
      <w:r w:rsidRPr="002136E6">
        <w:rPr>
          <w:sz w:val="24"/>
          <w:szCs w:val="24"/>
          <w:lang w:val="en-US"/>
        </w:rPr>
        <w:t xml:space="preserve">g/kg/day </w:t>
      </w:r>
      <w:r w:rsidRPr="002136E6">
        <w:rPr>
          <w:sz w:val="24"/>
          <w:szCs w:val="24"/>
          <w:lang w:val="en-GB"/>
        </w:rPr>
        <w:t>or 1.3</w:t>
      </w:r>
      <w:r w:rsidRPr="002136E6">
        <w:rPr>
          <w:sz w:val="24"/>
          <w:szCs w:val="24"/>
          <w:lang w:val="en-GB"/>
        </w:rPr>
        <w:noBreakHyphen/>
        <w:t>2.0 mg/m</w:t>
      </w:r>
      <w:r w:rsidRPr="002136E6">
        <w:rPr>
          <w:sz w:val="24"/>
          <w:szCs w:val="24"/>
          <w:vertAlign w:val="superscript"/>
          <w:lang w:val="en-GB"/>
        </w:rPr>
        <w:t>2</w:t>
      </w:r>
      <w:r w:rsidRPr="002136E6">
        <w:rPr>
          <w:sz w:val="24"/>
          <w:szCs w:val="24"/>
          <w:lang w:val="en-GB"/>
        </w:rPr>
        <w:t xml:space="preserve">/day </w:t>
      </w:r>
    </w:p>
    <w:p w14:paraId="7B494270" w14:textId="77777777" w:rsidR="00374941" w:rsidRPr="002136E6" w:rsidRDefault="00374941" w:rsidP="008470D5">
      <w:pPr>
        <w:ind w:left="851"/>
        <w:rPr>
          <w:sz w:val="24"/>
          <w:szCs w:val="24"/>
          <w:lang w:val="en-GB"/>
        </w:rPr>
      </w:pPr>
    </w:p>
    <w:p w14:paraId="4486CA88" w14:textId="77777777" w:rsidR="00374941" w:rsidRPr="002136E6" w:rsidRDefault="00374941" w:rsidP="008470D5">
      <w:pPr>
        <w:ind w:left="851"/>
        <w:rPr>
          <w:sz w:val="24"/>
          <w:szCs w:val="24"/>
          <w:lang w:val="en-GB"/>
        </w:rPr>
      </w:pPr>
      <w:r w:rsidRPr="002136E6">
        <w:rPr>
          <w:sz w:val="24"/>
          <w:szCs w:val="24"/>
          <w:u w:val="single"/>
          <w:lang w:val="en-GB"/>
        </w:rPr>
        <w:t>Chronic renal disease</w:t>
      </w:r>
    </w:p>
    <w:p w14:paraId="0214A963" w14:textId="77777777" w:rsidR="00374941" w:rsidRPr="002136E6" w:rsidRDefault="00374941" w:rsidP="008470D5">
      <w:pPr>
        <w:ind w:left="851"/>
        <w:rPr>
          <w:sz w:val="24"/>
          <w:szCs w:val="24"/>
          <w:u w:val="single"/>
          <w:lang w:val="en-GB"/>
        </w:rPr>
      </w:pPr>
      <w:r w:rsidRPr="002136E6">
        <w:rPr>
          <w:sz w:val="24"/>
          <w:szCs w:val="24"/>
          <w:lang w:val="en-US"/>
        </w:rPr>
        <w:t>0.050 </w:t>
      </w:r>
      <w:r w:rsidRPr="002136E6">
        <w:rPr>
          <w:sz w:val="24"/>
          <w:szCs w:val="24"/>
          <w:lang w:val="en-GB"/>
        </w:rPr>
        <w:t>m</w:t>
      </w:r>
      <w:r w:rsidRPr="002136E6">
        <w:rPr>
          <w:sz w:val="24"/>
          <w:szCs w:val="24"/>
          <w:lang w:val="en-US"/>
        </w:rPr>
        <w:t xml:space="preserve">g/kg/day </w:t>
      </w:r>
      <w:r w:rsidRPr="002136E6">
        <w:rPr>
          <w:sz w:val="24"/>
          <w:szCs w:val="24"/>
          <w:lang w:val="en-GB"/>
        </w:rPr>
        <w:t>or 1.4 mg/m</w:t>
      </w:r>
      <w:r w:rsidRPr="002136E6">
        <w:rPr>
          <w:sz w:val="24"/>
          <w:szCs w:val="24"/>
          <w:vertAlign w:val="superscript"/>
          <w:lang w:val="en-GB"/>
        </w:rPr>
        <w:t>2</w:t>
      </w:r>
      <w:r w:rsidRPr="002136E6">
        <w:rPr>
          <w:sz w:val="24"/>
          <w:szCs w:val="24"/>
          <w:lang w:val="en-GB"/>
        </w:rPr>
        <w:t>/day (see section 4.4)</w:t>
      </w:r>
    </w:p>
    <w:p w14:paraId="6DB2F69B" w14:textId="77777777" w:rsidR="00374941" w:rsidRPr="002136E6" w:rsidRDefault="00374941" w:rsidP="008470D5">
      <w:pPr>
        <w:ind w:left="851"/>
        <w:rPr>
          <w:sz w:val="24"/>
          <w:szCs w:val="24"/>
          <w:lang w:val="en-GB"/>
        </w:rPr>
      </w:pPr>
    </w:p>
    <w:p w14:paraId="05AB88A2" w14:textId="77777777" w:rsidR="00374941" w:rsidRPr="002136E6" w:rsidRDefault="00374941" w:rsidP="008470D5">
      <w:pPr>
        <w:ind w:left="851"/>
        <w:rPr>
          <w:sz w:val="24"/>
          <w:szCs w:val="24"/>
          <w:u w:val="single"/>
          <w:lang w:val="en-GB"/>
        </w:rPr>
      </w:pPr>
      <w:r w:rsidRPr="002136E6">
        <w:rPr>
          <w:sz w:val="24"/>
          <w:szCs w:val="24"/>
          <w:u w:val="single"/>
          <w:lang w:val="en-GB"/>
        </w:rPr>
        <w:t>Small for Gestational Age</w:t>
      </w:r>
    </w:p>
    <w:p w14:paraId="20A55DAF" w14:textId="77777777" w:rsidR="00374941" w:rsidRPr="002136E6" w:rsidRDefault="00374941" w:rsidP="008470D5">
      <w:pPr>
        <w:ind w:left="851"/>
        <w:rPr>
          <w:sz w:val="24"/>
          <w:szCs w:val="24"/>
          <w:lang w:val="en-GB"/>
        </w:rPr>
      </w:pPr>
      <w:r w:rsidRPr="002136E6">
        <w:rPr>
          <w:sz w:val="24"/>
          <w:szCs w:val="24"/>
          <w:lang w:val="en-US"/>
        </w:rPr>
        <w:t>0.035 </w:t>
      </w:r>
      <w:r w:rsidRPr="002136E6">
        <w:rPr>
          <w:sz w:val="24"/>
          <w:szCs w:val="24"/>
          <w:lang w:val="en-GB"/>
        </w:rPr>
        <w:t>m</w:t>
      </w:r>
      <w:r w:rsidRPr="002136E6">
        <w:rPr>
          <w:sz w:val="24"/>
          <w:szCs w:val="24"/>
          <w:lang w:val="en-US"/>
        </w:rPr>
        <w:t xml:space="preserve">g/kg/day </w:t>
      </w:r>
      <w:r w:rsidRPr="002136E6">
        <w:rPr>
          <w:sz w:val="24"/>
          <w:szCs w:val="24"/>
          <w:lang w:val="en-GB"/>
        </w:rPr>
        <w:t>or 1.0 mg/m</w:t>
      </w:r>
      <w:r w:rsidRPr="002136E6">
        <w:rPr>
          <w:sz w:val="24"/>
          <w:szCs w:val="24"/>
          <w:vertAlign w:val="superscript"/>
          <w:lang w:val="en-GB"/>
        </w:rPr>
        <w:t>2</w:t>
      </w:r>
      <w:r w:rsidRPr="002136E6">
        <w:rPr>
          <w:sz w:val="24"/>
          <w:szCs w:val="24"/>
          <w:lang w:val="en-GB"/>
        </w:rPr>
        <w:t>/day</w:t>
      </w:r>
    </w:p>
    <w:p w14:paraId="0307CA36" w14:textId="77777777" w:rsidR="00374941" w:rsidRPr="002136E6" w:rsidRDefault="00374941" w:rsidP="008470D5">
      <w:pPr>
        <w:ind w:left="851"/>
        <w:rPr>
          <w:sz w:val="24"/>
          <w:szCs w:val="24"/>
          <w:lang w:val="en-GB"/>
        </w:rPr>
      </w:pPr>
    </w:p>
    <w:p w14:paraId="5CE51F9B" w14:textId="77777777" w:rsidR="00374941" w:rsidRPr="002136E6" w:rsidRDefault="00374941" w:rsidP="008470D5">
      <w:pPr>
        <w:ind w:left="851"/>
        <w:rPr>
          <w:sz w:val="24"/>
          <w:szCs w:val="24"/>
          <w:lang w:val="en-GB"/>
        </w:rPr>
      </w:pPr>
      <w:r w:rsidRPr="002136E6">
        <w:rPr>
          <w:sz w:val="24"/>
          <w:szCs w:val="24"/>
          <w:lang w:val="en-GB"/>
        </w:rPr>
        <w:t>A dose of 0.035 mg/kg/day is usually recommended until final height is reached (see section 5.1).</w:t>
      </w:r>
    </w:p>
    <w:p w14:paraId="5CFA5AAC" w14:textId="77777777" w:rsidR="00374941" w:rsidRPr="002136E6" w:rsidRDefault="00374941" w:rsidP="008470D5">
      <w:pPr>
        <w:ind w:left="851"/>
        <w:rPr>
          <w:sz w:val="24"/>
          <w:szCs w:val="24"/>
          <w:lang w:val="en-GB"/>
        </w:rPr>
      </w:pPr>
      <w:r w:rsidRPr="002136E6">
        <w:rPr>
          <w:sz w:val="24"/>
          <w:szCs w:val="24"/>
          <w:lang w:val="en-GB"/>
        </w:rPr>
        <w:t xml:space="preserve">Treatment should be discontinued after the first year of treatment, if the height velocity SDS is below +1. </w:t>
      </w:r>
    </w:p>
    <w:p w14:paraId="0B754F68" w14:textId="77777777" w:rsidR="00374941" w:rsidRPr="002136E6" w:rsidRDefault="00374941" w:rsidP="008470D5">
      <w:pPr>
        <w:ind w:left="851"/>
        <w:rPr>
          <w:sz w:val="24"/>
          <w:szCs w:val="24"/>
          <w:lang w:val="en-GB"/>
        </w:rPr>
      </w:pPr>
      <w:r w:rsidRPr="002136E6">
        <w:rPr>
          <w:sz w:val="24"/>
          <w:szCs w:val="24"/>
          <w:lang w:val="en-GB"/>
        </w:rPr>
        <w:t>Treatment should be discontinued if height velocity is &lt; 2 cm/year and, if confirmation is required, bone age is &gt; 14 years (girls) or &gt; 16 years (boys), corresponding to closure of the epiphyseal growth plates.</w:t>
      </w:r>
    </w:p>
    <w:p w14:paraId="2E73F0DF" w14:textId="77777777" w:rsidR="00374941" w:rsidRPr="002136E6" w:rsidRDefault="00374941" w:rsidP="008470D5">
      <w:pPr>
        <w:ind w:left="851"/>
        <w:rPr>
          <w:sz w:val="24"/>
          <w:szCs w:val="24"/>
          <w:u w:val="single"/>
          <w:lang w:val="en-US"/>
        </w:rPr>
      </w:pPr>
    </w:p>
    <w:p w14:paraId="30EC554F" w14:textId="77777777" w:rsidR="00374941" w:rsidRPr="002136E6" w:rsidRDefault="00374941" w:rsidP="008470D5">
      <w:pPr>
        <w:ind w:left="851"/>
        <w:rPr>
          <w:sz w:val="24"/>
          <w:szCs w:val="24"/>
          <w:u w:val="single"/>
          <w:lang w:val="en-US"/>
        </w:rPr>
      </w:pPr>
      <w:r w:rsidRPr="002136E6">
        <w:rPr>
          <w:sz w:val="24"/>
          <w:szCs w:val="24"/>
          <w:u w:val="single"/>
          <w:lang w:val="en-US"/>
        </w:rPr>
        <w:t>Noonan syndrome:</w:t>
      </w:r>
    </w:p>
    <w:p w14:paraId="7591774F" w14:textId="77777777" w:rsidR="00374941" w:rsidRPr="002136E6" w:rsidRDefault="00374941" w:rsidP="008470D5">
      <w:pPr>
        <w:ind w:left="851"/>
        <w:rPr>
          <w:sz w:val="24"/>
          <w:szCs w:val="24"/>
          <w:lang w:val="en-GB"/>
        </w:rPr>
      </w:pPr>
      <w:r w:rsidRPr="002136E6">
        <w:rPr>
          <w:sz w:val="24"/>
          <w:szCs w:val="24"/>
          <w:lang w:val="en-GB"/>
        </w:rPr>
        <w:t>0.066 mg/kg/day is the recommended dose, however in some cases 0.033 mg/kg/day may be sufficient (see section 5.1).</w:t>
      </w:r>
    </w:p>
    <w:p w14:paraId="689B1A11" w14:textId="77777777" w:rsidR="00374941" w:rsidRPr="002136E6" w:rsidRDefault="00374941" w:rsidP="008470D5">
      <w:pPr>
        <w:ind w:left="851"/>
        <w:rPr>
          <w:sz w:val="24"/>
          <w:szCs w:val="24"/>
          <w:lang w:val="en-US"/>
        </w:rPr>
      </w:pPr>
      <w:r w:rsidRPr="002136E6">
        <w:rPr>
          <w:sz w:val="24"/>
          <w:szCs w:val="24"/>
          <w:lang w:val="en-US"/>
        </w:rPr>
        <w:t>Treatment should be discontinued at the time of epiphyseal closure (see section 4.4).</w:t>
      </w:r>
    </w:p>
    <w:p w14:paraId="2143EE7F" w14:textId="77777777" w:rsidR="00374941" w:rsidRPr="002136E6" w:rsidRDefault="00374941" w:rsidP="008470D5">
      <w:pPr>
        <w:ind w:left="851"/>
        <w:rPr>
          <w:sz w:val="24"/>
          <w:szCs w:val="24"/>
          <w:lang w:val="en-US"/>
        </w:rPr>
      </w:pPr>
    </w:p>
    <w:p w14:paraId="46213C54" w14:textId="77777777" w:rsidR="00374941" w:rsidRPr="002136E6" w:rsidRDefault="00374941" w:rsidP="008470D5">
      <w:pPr>
        <w:ind w:left="851"/>
        <w:rPr>
          <w:i/>
          <w:sz w:val="24"/>
          <w:szCs w:val="24"/>
          <w:lang w:val="en-GB"/>
        </w:rPr>
      </w:pPr>
      <w:r w:rsidRPr="002136E6">
        <w:rPr>
          <w:i/>
          <w:sz w:val="24"/>
          <w:szCs w:val="24"/>
          <w:lang w:val="en-GB"/>
        </w:rPr>
        <w:t>Adult population:</w:t>
      </w:r>
    </w:p>
    <w:p w14:paraId="04143338" w14:textId="77777777" w:rsidR="00374941" w:rsidRPr="002136E6" w:rsidRDefault="00374941" w:rsidP="008470D5">
      <w:pPr>
        <w:ind w:left="851"/>
        <w:rPr>
          <w:sz w:val="24"/>
          <w:szCs w:val="24"/>
          <w:lang w:val="en-GB"/>
        </w:rPr>
      </w:pPr>
      <w:r w:rsidRPr="002136E6">
        <w:rPr>
          <w:sz w:val="24"/>
          <w:szCs w:val="24"/>
          <w:u w:val="single"/>
          <w:lang w:val="en-GB"/>
        </w:rPr>
        <w:t>Replacement therapy in adults</w:t>
      </w:r>
    </w:p>
    <w:p w14:paraId="15FD9083" w14:textId="77777777" w:rsidR="00374941" w:rsidRPr="002136E6" w:rsidRDefault="00374941" w:rsidP="008470D5">
      <w:pPr>
        <w:ind w:left="851"/>
        <w:rPr>
          <w:sz w:val="24"/>
          <w:szCs w:val="24"/>
          <w:lang w:val="en-GB"/>
        </w:rPr>
      </w:pPr>
      <w:r w:rsidRPr="002136E6">
        <w:rPr>
          <w:sz w:val="24"/>
          <w:szCs w:val="24"/>
          <w:lang w:val="en-GB"/>
        </w:rPr>
        <w:t xml:space="preserve">The dosage must be adjusted to the need of the individual patient. </w:t>
      </w:r>
    </w:p>
    <w:p w14:paraId="3B9DA8AA" w14:textId="77777777" w:rsidR="00374941" w:rsidRPr="002136E6" w:rsidRDefault="00374941" w:rsidP="008470D5">
      <w:pPr>
        <w:ind w:left="851"/>
        <w:rPr>
          <w:sz w:val="24"/>
          <w:szCs w:val="24"/>
          <w:lang w:val="en-GB"/>
        </w:rPr>
      </w:pPr>
      <w:r w:rsidRPr="002136E6">
        <w:rPr>
          <w:sz w:val="24"/>
          <w:szCs w:val="24"/>
          <w:lang w:val="en-GB"/>
        </w:rPr>
        <w:t>In patients with childhood onset GHD, the recommended dose to restart is 0.2</w:t>
      </w:r>
      <w:r w:rsidRPr="002136E6">
        <w:rPr>
          <w:sz w:val="24"/>
          <w:szCs w:val="24"/>
          <w:lang w:val="en-GB"/>
        </w:rPr>
        <w:noBreakHyphen/>
        <w:t>0.5 mg/day with subsequent dose adjustment on the basis of IGF-1 concentration determination.</w:t>
      </w:r>
    </w:p>
    <w:p w14:paraId="2A5C48A4" w14:textId="77777777" w:rsidR="00374941" w:rsidRPr="002136E6" w:rsidRDefault="00374941" w:rsidP="008470D5">
      <w:pPr>
        <w:ind w:left="851"/>
        <w:rPr>
          <w:sz w:val="24"/>
          <w:szCs w:val="24"/>
          <w:lang w:val="en-GB"/>
        </w:rPr>
      </w:pPr>
      <w:r w:rsidRPr="002136E6">
        <w:rPr>
          <w:sz w:val="24"/>
          <w:szCs w:val="24"/>
          <w:lang w:val="en-GB"/>
        </w:rPr>
        <w:t>In patients with adult onset GHD, it is recommended to start treatment with a low dose: 0.1</w:t>
      </w:r>
      <w:r w:rsidRPr="002136E6">
        <w:rPr>
          <w:sz w:val="24"/>
          <w:szCs w:val="24"/>
          <w:lang w:val="en-GB"/>
        </w:rPr>
        <w:noBreakHyphen/>
        <w:t xml:space="preserve">0.3 mg/day. It is recommended to increase the dosage gradually at monthly intervals based on the clinical response and the patient’s experience of adverse events. Serum IGF-1 can be used as guidance for the dose titration. Women may require higher doses than men, with men showing an increasing IGF-1 sensitivity over time. This means that there is a risk that women, especially those on oral oestrogen replacement are undertreated while men are overtreated. </w:t>
      </w:r>
    </w:p>
    <w:p w14:paraId="315B8EF9" w14:textId="77777777" w:rsidR="00374941" w:rsidRPr="002136E6" w:rsidRDefault="00374941" w:rsidP="008470D5">
      <w:pPr>
        <w:ind w:left="851"/>
        <w:rPr>
          <w:sz w:val="24"/>
          <w:szCs w:val="24"/>
          <w:lang w:val="en-GB"/>
        </w:rPr>
      </w:pPr>
      <w:r w:rsidRPr="002136E6">
        <w:rPr>
          <w:sz w:val="24"/>
          <w:szCs w:val="24"/>
          <w:lang w:val="en-GB"/>
        </w:rPr>
        <w:t>Dose requirements decline with age. Maintenance dosages vary considerably from person to person, but seldom exceed 1.0 mg/day.</w:t>
      </w:r>
    </w:p>
    <w:p w14:paraId="2088C6AB" w14:textId="77777777" w:rsidR="00374941" w:rsidRPr="002136E6" w:rsidRDefault="00374941" w:rsidP="008470D5">
      <w:pPr>
        <w:ind w:left="851"/>
        <w:rPr>
          <w:sz w:val="24"/>
          <w:szCs w:val="24"/>
          <w:lang w:val="en-GB"/>
        </w:rPr>
      </w:pPr>
    </w:p>
    <w:p w14:paraId="3A3A4A4A" w14:textId="77777777" w:rsidR="00374941" w:rsidRPr="002136E6" w:rsidRDefault="00374941" w:rsidP="008470D5">
      <w:pPr>
        <w:ind w:left="851"/>
        <w:rPr>
          <w:sz w:val="24"/>
          <w:szCs w:val="24"/>
          <w:u w:val="single"/>
          <w:lang w:val="en-US"/>
        </w:rPr>
      </w:pPr>
      <w:r w:rsidRPr="002136E6">
        <w:rPr>
          <w:sz w:val="24"/>
          <w:szCs w:val="24"/>
          <w:u w:val="single"/>
          <w:lang w:val="en-US"/>
        </w:rPr>
        <w:t>Method of administration</w:t>
      </w:r>
    </w:p>
    <w:p w14:paraId="6940CD40" w14:textId="77777777" w:rsidR="00374941" w:rsidRPr="002136E6" w:rsidRDefault="00374941" w:rsidP="008470D5">
      <w:pPr>
        <w:ind w:left="851"/>
        <w:rPr>
          <w:sz w:val="24"/>
          <w:szCs w:val="24"/>
          <w:lang w:val="en-GB"/>
        </w:rPr>
      </w:pPr>
    </w:p>
    <w:p w14:paraId="760EFE51" w14:textId="77777777" w:rsidR="00374941" w:rsidRPr="002136E6" w:rsidRDefault="00374941" w:rsidP="008470D5">
      <w:pPr>
        <w:ind w:left="851"/>
        <w:rPr>
          <w:sz w:val="24"/>
          <w:szCs w:val="24"/>
          <w:lang w:val="en-GB"/>
        </w:rPr>
      </w:pPr>
      <w:r w:rsidRPr="002136E6">
        <w:rPr>
          <w:sz w:val="24"/>
          <w:szCs w:val="24"/>
          <w:lang w:val="en-GB"/>
        </w:rPr>
        <w:t>Generally, daily subcutaneous administration in the evening is recommended. The injection site should be varied to prevent lipoatrophy.</w:t>
      </w:r>
    </w:p>
    <w:p w14:paraId="1CAFA8F8" w14:textId="77777777" w:rsidR="007C5D2A" w:rsidRPr="002136E6" w:rsidRDefault="007C5D2A" w:rsidP="00A85D26">
      <w:pPr>
        <w:tabs>
          <w:tab w:val="left" w:pos="851"/>
        </w:tabs>
        <w:ind w:left="851"/>
        <w:rPr>
          <w:sz w:val="24"/>
          <w:szCs w:val="24"/>
          <w:lang w:val="en-GB"/>
        </w:rPr>
      </w:pPr>
    </w:p>
    <w:p w14:paraId="19F1E280" w14:textId="77777777" w:rsidR="007C5D2A" w:rsidRPr="002136E6" w:rsidRDefault="007C5D2A" w:rsidP="007C5D2A">
      <w:pPr>
        <w:tabs>
          <w:tab w:val="left" w:pos="851"/>
        </w:tabs>
        <w:ind w:left="851" w:hanging="851"/>
        <w:rPr>
          <w:b/>
          <w:sz w:val="24"/>
          <w:szCs w:val="24"/>
          <w:lang w:val="en-GB"/>
        </w:rPr>
      </w:pPr>
      <w:r w:rsidRPr="002136E6">
        <w:rPr>
          <w:b/>
          <w:sz w:val="24"/>
          <w:szCs w:val="24"/>
          <w:lang w:val="en-GB"/>
        </w:rPr>
        <w:t>4.3</w:t>
      </w:r>
      <w:r w:rsidRPr="002136E6">
        <w:rPr>
          <w:b/>
          <w:sz w:val="24"/>
          <w:szCs w:val="24"/>
          <w:lang w:val="en-GB"/>
        </w:rPr>
        <w:tab/>
        <w:t>Contraindications</w:t>
      </w:r>
    </w:p>
    <w:p w14:paraId="5D71FE32" w14:textId="77777777" w:rsidR="00374941" w:rsidRPr="002136E6" w:rsidRDefault="00374941" w:rsidP="008470D5">
      <w:pPr>
        <w:ind w:left="851"/>
        <w:rPr>
          <w:sz w:val="24"/>
          <w:szCs w:val="24"/>
          <w:lang w:val="en-GB"/>
        </w:rPr>
      </w:pPr>
      <w:r w:rsidRPr="002136E6">
        <w:rPr>
          <w:sz w:val="24"/>
          <w:szCs w:val="24"/>
          <w:lang w:val="en-GB"/>
        </w:rPr>
        <w:t>Hypersensitivity to the active substance or to any of the excipients listed in section 6.1.</w:t>
      </w:r>
    </w:p>
    <w:p w14:paraId="7931B71A" w14:textId="77777777" w:rsidR="00374941" w:rsidRPr="002136E6" w:rsidRDefault="00374941" w:rsidP="008470D5">
      <w:pPr>
        <w:ind w:left="851"/>
        <w:rPr>
          <w:sz w:val="24"/>
          <w:szCs w:val="24"/>
          <w:lang w:val="en-GB"/>
        </w:rPr>
      </w:pPr>
    </w:p>
    <w:p w14:paraId="034A52B7" w14:textId="77777777" w:rsidR="00374941" w:rsidRPr="002136E6" w:rsidRDefault="00374941" w:rsidP="008470D5">
      <w:pPr>
        <w:ind w:left="851"/>
        <w:rPr>
          <w:sz w:val="24"/>
          <w:szCs w:val="24"/>
          <w:lang w:val="en-GB"/>
        </w:rPr>
      </w:pPr>
      <w:r w:rsidRPr="002136E6">
        <w:rPr>
          <w:sz w:val="24"/>
          <w:szCs w:val="24"/>
          <w:lang w:val="en-GB"/>
        </w:rPr>
        <w:t xml:space="preserve">Somatropin must not be used when there is any evidence of activity of a tumour. Intracranial tumours must be inactive and </w:t>
      </w:r>
      <w:proofErr w:type="spellStart"/>
      <w:r w:rsidRPr="002136E6">
        <w:rPr>
          <w:sz w:val="24"/>
          <w:szCs w:val="24"/>
          <w:lang w:val="en-GB"/>
        </w:rPr>
        <w:t>antitumour</w:t>
      </w:r>
      <w:proofErr w:type="spellEnd"/>
      <w:r w:rsidRPr="002136E6">
        <w:rPr>
          <w:sz w:val="24"/>
          <w:szCs w:val="24"/>
          <w:lang w:val="en-GB"/>
        </w:rPr>
        <w:t xml:space="preserve"> therapy must be completed prior to </w:t>
      </w:r>
      <w:r w:rsidRPr="002136E6">
        <w:rPr>
          <w:sz w:val="24"/>
          <w:szCs w:val="24"/>
          <w:lang w:val="en-GB"/>
        </w:rPr>
        <w:lastRenderedPageBreak/>
        <w:t>starting growth hormone (GH) therapy. Treatment should be discontinued if there is evidence of tumour growth.</w:t>
      </w:r>
    </w:p>
    <w:p w14:paraId="5553EA1B" w14:textId="77777777" w:rsidR="00374941" w:rsidRPr="002136E6" w:rsidRDefault="00374941" w:rsidP="008470D5">
      <w:pPr>
        <w:ind w:left="851"/>
        <w:rPr>
          <w:sz w:val="24"/>
          <w:szCs w:val="24"/>
          <w:lang w:val="en-GB"/>
        </w:rPr>
      </w:pPr>
    </w:p>
    <w:p w14:paraId="0F48ED6C" w14:textId="77777777" w:rsidR="00374941" w:rsidRPr="002136E6" w:rsidRDefault="00374941" w:rsidP="008470D5">
      <w:pPr>
        <w:ind w:left="851"/>
        <w:rPr>
          <w:sz w:val="24"/>
          <w:szCs w:val="24"/>
          <w:lang w:val="en-GB"/>
        </w:rPr>
      </w:pPr>
      <w:r w:rsidRPr="002136E6">
        <w:rPr>
          <w:sz w:val="24"/>
          <w:szCs w:val="24"/>
          <w:lang w:val="en-GB"/>
        </w:rPr>
        <w:t>Somatropin should not be used for longitudinal growth promotion in children with closed epiphyses.</w:t>
      </w:r>
    </w:p>
    <w:p w14:paraId="7BC90A05" w14:textId="77777777" w:rsidR="00374941" w:rsidRPr="002136E6" w:rsidRDefault="00374941" w:rsidP="008470D5">
      <w:pPr>
        <w:ind w:left="851"/>
        <w:rPr>
          <w:sz w:val="24"/>
          <w:szCs w:val="24"/>
          <w:lang w:val="en-GB"/>
        </w:rPr>
      </w:pPr>
    </w:p>
    <w:p w14:paraId="6A924E16" w14:textId="77777777" w:rsidR="00374941" w:rsidRPr="002136E6" w:rsidRDefault="00374941" w:rsidP="008470D5">
      <w:pPr>
        <w:ind w:left="851"/>
        <w:rPr>
          <w:sz w:val="24"/>
          <w:szCs w:val="24"/>
          <w:lang w:val="en-GB"/>
        </w:rPr>
      </w:pPr>
      <w:r w:rsidRPr="002136E6">
        <w:rPr>
          <w:sz w:val="24"/>
          <w:szCs w:val="24"/>
          <w:lang w:val="en-GB"/>
        </w:rPr>
        <w:t>Patients with acute critical illness suffering complications following open heart surgery, abdominal surgery, multiple accidental trauma, acute respiratory failure, or similar conditions should not be treated with somatropin (see section 4.4).</w:t>
      </w:r>
    </w:p>
    <w:p w14:paraId="09CA8DF8" w14:textId="77777777" w:rsidR="00374941" w:rsidRPr="002136E6" w:rsidRDefault="00374941" w:rsidP="008470D5">
      <w:pPr>
        <w:ind w:left="851"/>
        <w:rPr>
          <w:sz w:val="24"/>
          <w:szCs w:val="24"/>
          <w:lang w:val="en-GB"/>
        </w:rPr>
      </w:pPr>
    </w:p>
    <w:p w14:paraId="3AB50CC1" w14:textId="77777777" w:rsidR="00374941" w:rsidRPr="002136E6" w:rsidRDefault="00374941" w:rsidP="008470D5">
      <w:pPr>
        <w:ind w:left="851"/>
        <w:rPr>
          <w:sz w:val="24"/>
          <w:szCs w:val="24"/>
          <w:lang w:val="en-GB"/>
        </w:rPr>
      </w:pPr>
      <w:r w:rsidRPr="002136E6">
        <w:rPr>
          <w:sz w:val="24"/>
          <w:szCs w:val="24"/>
          <w:lang w:val="en-GB"/>
        </w:rPr>
        <w:t xml:space="preserve">In children with chronic renal disease, treatment with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NordiLet</w:t>
      </w:r>
      <w:proofErr w:type="spellEnd"/>
      <w:r w:rsidRPr="002136E6">
        <w:rPr>
          <w:sz w:val="24"/>
          <w:szCs w:val="24"/>
          <w:lang w:val="en-GB"/>
        </w:rPr>
        <w:t xml:space="preserve"> should be discontinued at renal transplantation.</w:t>
      </w:r>
    </w:p>
    <w:p w14:paraId="43E5A0FD" w14:textId="77777777" w:rsidR="007C5D2A" w:rsidRPr="002136E6" w:rsidRDefault="007C5D2A" w:rsidP="003E0341">
      <w:pPr>
        <w:tabs>
          <w:tab w:val="left" w:pos="851"/>
        </w:tabs>
        <w:ind w:left="851"/>
        <w:rPr>
          <w:sz w:val="24"/>
          <w:szCs w:val="24"/>
          <w:lang w:val="en-GB"/>
        </w:rPr>
      </w:pPr>
    </w:p>
    <w:p w14:paraId="5B5DEF23" w14:textId="77777777" w:rsidR="007C5D2A" w:rsidRPr="002136E6" w:rsidRDefault="007C5D2A" w:rsidP="007C5D2A">
      <w:pPr>
        <w:tabs>
          <w:tab w:val="left" w:pos="851"/>
        </w:tabs>
        <w:rPr>
          <w:b/>
          <w:sz w:val="24"/>
          <w:szCs w:val="24"/>
          <w:lang w:val="en-GB"/>
        </w:rPr>
      </w:pPr>
      <w:r w:rsidRPr="002136E6">
        <w:rPr>
          <w:b/>
          <w:sz w:val="24"/>
          <w:szCs w:val="24"/>
          <w:lang w:val="en-GB"/>
        </w:rPr>
        <w:t>4.4</w:t>
      </w:r>
      <w:r w:rsidRPr="002136E6">
        <w:rPr>
          <w:b/>
          <w:sz w:val="24"/>
          <w:szCs w:val="24"/>
          <w:lang w:val="en-GB"/>
        </w:rPr>
        <w:tab/>
        <w:t>Special warnings and precautions for use</w:t>
      </w:r>
    </w:p>
    <w:p w14:paraId="62CC96EF" w14:textId="77777777" w:rsidR="00120EB1" w:rsidRDefault="00120EB1" w:rsidP="008470D5">
      <w:pPr>
        <w:ind w:left="851"/>
        <w:rPr>
          <w:sz w:val="24"/>
          <w:szCs w:val="24"/>
          <w:lang w:val="en-US"/>
        </w:rPr>
      </w:pPr>
    </w:p>
    <w:p w14:paraId="1D66643C" w14:textId="5D1752B3" w:rsidR="00374941" w:rsidRPr="00120EB1" w:rsidRDefault="00374941" w:rsidP="008470D5">
      <w:pPr>
        <w:ind w:left="851"/>
        <w:rPr>
          <w:sz w:val="24"/>
          <w:szCs w:val="24"/>
          <w:u w:val="single"/>
          <w:lang w:val="en-US"/>
        </w:rPr>
      </w:pPr>
      <w:r w:rsidRPr="00120EB1">
        <w:rPr>
          <w:sz w:val="24"/>
          <w:szCs w:val="24"/>
          <w:u w:val="single"/>
          <w:lang w:val="en-US"/>
        </w:rPr>
        <w:t>Traceability</w:t>
      </w:r>
    </w:p>
    <w:p w14:paraId="7C2011A2" w14:textId="77777777" w:rsidR="00374941" w:rsidRPr="002136E6" w:rsidRDefault="00374941" w:rsidP="008470D5">
      <w:pPr>
        <w:ind w:left="851"/>
        <w:rPr>
          <w:sz w:val="24"/>
          <w:szCs w:val="24"/>
          <w:lang w:val="en-US"/>
        </w:rPr>
      </w:pPr>
      <w:r w:rsidRPr="002136E6">
        <w:rPr>
          <w:sz w:val="24"/>
          <w:szCs w:val="24"/>
          <w:lang w:val="en-US"/>
        </w:rPr>
        <w:t>In order to improve the traceability of biological medicinal products, the name and the batch number of the administered product should be clearly recorded.</w:t>
      </w:r>
    </w:p>
    <w:p w14:paraId="75516AC3" w14:textId="77777777" w:rsidR="00374941" w:rsidRPr="002136E6" w:rsidRDefault="00374941" w:rsidP="008470D5">
      <w:pPr>
        <w:ind w:left="851"/>
        <w:rPr>
          <w:sz w:val="24"/>
          <w:szCs w:val="24"/>
          <w:lang w:val="en-GB"/>
        </w:rPr>
      </w:pPr>
    </w:p>
    <w:p w14:paraId="4F799EDE" w14:textId="77777777" w:rsidR="00374941" w:rsidRPr="002136E6" w:rsidRDefault="00374941" w:rsidP="008470D5">
      <w:pPr>
        <w:ind w:left="851"/>
        <w:rPr>
          <w:sz w:val="24"/>
          <w:szCs w:val="24"/>
          <w:lang w:val="en-GB"/>
        </w:rPr>
      </w:pPr>
      <w:r w:rsidRPr="002136E6">
        <w:rPr>
          <w:sz w:val="24"/>
          <w:szCs w:val="24"/>
          <w:lang w:val="en-GB"/>
        </w:rPr>
        <w:t xml:space="preserve">Children treated with somatropin should be regularly assessed by a specialist in child growth. Somatropin treatment should always be instigated by a physician with special knowledge of growth hormone insufficiency and its treatment. This is true also for the management of Turner syndrome, chronic renal disease, SGA and Noonan syndrome. Data of final adult height following the use of </w:t>
      </w:r>
      <w:proofErr w:type="spellStart"/>
      <w:r w:rsidRPr="002136E6">
        <w:rPr>
          <w:sz w:val="24"/>
          <w:szCs w:val="24"/>
          <w:lang w:val="en-GB"/>
        </w:rPr>
        <w:t>Norditropin</w:t>
      </w:r>
      <w:proofErr w:type="spellEnd"/>
      <w:r w:rsidRPr="002136E6">
        <w:rPr>
          <w:sz w:val="24"/>
          <w:szCs w:val="24"/>
          <w:lang w:val="en-GB"/>
        </w:rPr>
        <w:t xml:space="preserve"> </w:t>
      </w:r>
      <w:r w:rsidRPr="002136E6">
        <w:rPr>
          <w:sz w:val="24"/>
          <w:szCs w:val="24"/>
          <w:lang w:val="en-US"/>
        </w:rPr>
        <w:t xml:space="preserve">are limited </w:t>
      </w:r>
      <w:r w:rsidRPr="002136E6">
        <w:rPr>
          <w:sz w:val="24"/>
          <w:szCs w:val="24"/>
          <w:lang w:val="en-GB"/>
        </w:rPr>
        <w:t xml:space="preserve">for children with </w:t>
      </w:r>
      <w:r w:rsidRPr="002136E6">
        <w:rPr>
          <w:sz w:val="24"/>
          <w:szCs w:val="24"/>
          <w:lang w:val="en-US"/>
        </w:rPr>
        <w:t xml:space="preserve">Noonan Syndrome and are not available for children with </w:t>
      </w:r>
      <w:r w:rsidRPr="002136E6">
        <w:rPr>
          <w:sz w:val="24"/>
          <w:szCs w:val="24"/>
          <w:lang w:val="en-GB"/>
        </w:rPr>
        <w:t>chronic renal disease.</w:t>
      </w:r>
    </w:p>
    <w:p w14:paraId="07D09760" w14:textId="77777777" w:rsidR="00374941" w:rsidRPr="002136E6" w:rsidRDefault="00374941" w:rsidP="008470D5">
      <w:pPr>
        <w:ind w:left="851"/>
        <w:rPr>
          <w:sz w:val="24"/>
          <w:szCs w:val="24"/>
          <w:lang w:val="en-GB"/>
        </w:rPr>
      </w:pPr>
    </w:p>
    <w:p w14:paraId="684BE07D" w14:textId="77777777" w:rsidR="00374941" w:rsidRPr="002136E6" w:rsidRDefault="00374941" w:rsidP="008470D5">
      <w:pPr>
        <w:ind w:left="851"/>
        <w:rPr>
          <w:sz w:val="24"/>
          <w:szCs w:val="24"/>
          <w:lang w:val="en-GB"/>
        </w:rPr>
      </w:pPr>
      <w:r w:rsidRPr="002136E6">
        <w:rPr>
          <w:sz w:val="24"/>
          <w:szCs w:val="24"/>
          <w:lang w:val="en-GB"/>
        </w:rPr>
        <w:t>The maximum recommended daily dose should not be exceeded (see section 4.2).</w:t>
      </w:r>
    </w:p>
    <w:p w14:paraId="41F01877" w14:textId="77777777" w:rsidR="00374941" w:rsidRPr="002136E6" w:rsidRDefault="00374941" w:rsidP="008470D5">
      <w:pPr>
        <w:ind w:left="851"/>
        <w:rPr>
          <w:sz w:val="24"/>
          <w:szCs w:val="24"/>
          <w:lang w:val="en-GB"/>
        </w:rPr>
      </w:pPr>
    </w:p>
    <w:p w14:paraId="32E76D24" w14:textId="77777777" w:rsidR="00374941" w:rsidRPr="002136E6" w:rsidRDefault="00374941" w:rsidP="008470D5">
      <w:pPr>
        <w:ind w:left="851"/>
        <w:rPr>
          <w:sz w:val="24"/>
          <w:szCs w:val="24"/>
          <w:lang w:val="en-GB"/>
        </w:rPr>
      </w:pPr>
      <w:r w:rsidRPr="002136E6">
        <w:rPr>
          <w:sz w:val="24"/>
          <w:szCs w:val="24"/>
          <w:lang w:val="en-GB"/>
        </w:rPr>
        <w:t>The stimulation of longitudinal growth in children can only be expected until epiphyseal closure.</w:t>
      </w:r>
    </w:p>
    <w:p w14:paraId="7352C4BC" w14:textId="77777777" w:rsidR="00374941" w:rsidRPr="002136E6" w:rsidRDefault="00374941" w:rsidP="008470D5">
      <w:pPr>
        <w:ind w:left="851"/>
        <w:rPr>
          <w:sz w:val="24"/>
          <w:szCs w:val="24"/>
          <w:lang w:val="en-GB"/>
        </w:rPr>
      </w:pPr>
    </w:p>
    <w:p w14:paraId="49524526" w14:textId="77777777" w:rsidR="00374941" w:rsidRPr="003E6F74" w:rsidRDefault="00374941" w:rsidP="008470D5">
      <w:pPr>
        <w:ind w:left="851"/>
        <w:rPr>
          <w:i/>
          <w:sz w:val="24"/>
          <w:szCs w:val="24"/>
          <w:u w:val="single"/>
          <w:lang w:val="en-GB"/>
        </w:rPr>
      </w:pPr>
      <w:r w:rsidRPr="003E6F74">
        <w:rPr>
          <w:i/>
          <w:sz w:val="24"/>
          <w:szCs w:val="24"/>
          <w:u w:val="single"/>
          <w:lang w:val="en-GB"/>
        </w:rPr>
        <w:t>Children</w:t>
      </w:r>
    </w:p>
    <w:p w14:paraId="65ED69EE" w14:textId="77777777" w:rsidR="002136E6" w:rsidRPr="003E6F74" w:rsidRDefault="00374941" w:rsidP="008470D5">
      <w:pPr>
        <w:ind w:left="851"/>
        <w:rPr>
          <w:sz w:val="24"/>
          <w:szCs w:val="24"/>
          <w:u w:val="single"/>
          <w:lang w:val="en-GB"/>
        </w:rPr>
      </w:pPr>
      <w:r w:rsidRPr="003E6F74">
        <w:rPr>
          <w:sz w:val="24"/>
          <w:szCs w:val="24"/>
          <w:u w:val="single"/>
          <w:lang w:val="en-GB"/>
        </w:rPr>
        <w:t>Treatment of growth hormone deficiency in patients with Prader-Willi syndrome</w:t>
      </w:r>
      <w:r w:rsidR="002136E6" w:rsidRPr="003E6F74">
        <w:rPr>
          <w:sz w:val="24"/>
          <w:szCs w:val="24"/>
          <w:u w:val="single"/>
          <w:lang w:val="en-GB"/>
        </w:rPr>
        <w:t xml:space="preserve"> </w:t>
      </w:r>
    </w:p>
    <w:p w14:paraId="7DE19705" w14:textId="034E17A3" w:rsidR="00374941" w:rsidRPr="002136E6" w:rsidRDefault="00374941" w:rsidP="008470D5">
      <w:pPr>
        <w:ind w:left="851"/>
        <w:rPr>
          <w:sz w:val="24"/>
          <w:szCs w:val="24"/>
          <w:lang w:val="en-GB"/>
        </w:rPr>
      </w:pPr>
      <w:r w:rsidRPr="002136E6">
        <w:rPr>
          <w:sz w:val="24"/>
          <w:szCs w:val="24"/>
          <w:lang w:val="en-GB"/>
        </w:rPr>
        <w:t>There have been reports of sudden death after initiating somatropin therapy in patients with Prader-Willi syndrome, who had one or more of the following risk factors: severe obesity, history of upper airway obstruction or sleep apnoea, or unidentified respiratory infection.</w:t>
      </w:r>
    </w:p>
    <w:p w14:paraId="526B9805" w14:textId="77777777" w:rsidR="00374941" w:rsidRPr="002136E6" w:rsidRDefault="00374941" w:rsidP="008470D5">
      <w:pPr>
        <w:ind w:left="851"/>
        <w:rPr>
          <w:sz w:val="24"/>
          <w:szCs w:val="24"/>
          <w:lang w:val="en-GB"/>
        </w:rPr>
      </w:pPr>
    </w:p>
    <w:p w14:paraId="04B3E5BD" w14:textId="77777777" w:rsidR="00374941" w:rsidRPr="003E6F74" w:rsidRDefault="00374941" w:rsidP="008470D5">
      <w:pPr>
        <w:ind w:left="851"/>
        <w:rPr>
          <w:sz w:val="24"/>
          <w:szCs w:val="24"/>
          <w:u w:val="single"/>
          <w:lang w:val="en-GB"/>
        </w:rPr>
      </w:pPr>
      <w:r w:rsidRPr="003E6F74">
        <w:rPr>
          <w:sz w:val="24"/>
          <w:szCs w:val="24"/>
          <w:u w:val="single"/>
          <w:lang w:val="en-GB"/>
        </w:rPr>
        <w:t>Small for Gestational Age</w:t>
      </w:r>
    </w:p>
    <w:p w14:paraId="0481490C" w14:textId="77777777" w:rsidR="00374941" w:rsidRPr="002136E6" w:rsidRDefault="00374941" w:rsidP="008470D5">
      <w:pPr>
        <w:ind w:left="851"/>
        <w:rPr>
          <w:sz w:val="24"/>
          <w:szCs w:val="24"/>
          <w:lang w:val="en-GB"/>
        </w:rPr>
      </w:pPr>
      <w:r w:rsidRPr="002136E6">
        <w:rPr>
          <w:sz w:val="24"/>
          <w:szCs w:val="24"/>
          <w:lang w:val="en-GB"/>
        </w:rPr>
        <w:t>In short children born SGA other medical reasons or treatments that could explain growth disturbance should be ruled out before starting treatment.</w:t>
      </w:r>
    </w:p>
    <w:p w14:paraId="6EDC0C7A" w14:textId="77777777" w:rsidR="00374941" w:rsidRPr="002136E6" w:rsidRDefault="00374941" w:rsidP="008470D5">
      <w:pPr>
        <w:ind w:left="851"/>
        <w:rPr>
          <w:sz w:val="24"/>
          <w:szCs w:val="24"/>
          <w:lang w:val="en-GB"/>
        </w:rPr>
      </w:pPr>
    </w:p>
    <w:p w14:paraId="0AD78A3A" w14:textId="77777777" w:rsidR="00374941" w:rsidRPr="002136E6" w:rsidRDefault="00374941" w:rsidP="008470D5">
      <w:pPr>
        <w:ind w:left="851"/>
        <w:rPr>
          <w:sz w:val="24"/>
          <w:szCs w:val="24"/>
          <w:lang w:val="en-GB"/>
        </w:rPr>
      </w:pPr>
      <w:r w:rsidRPr="002136E6">
        <w:rPr>
          <w:sz w:val="24"/>
          <w:szCs w:val="24"/>
          <w:lang w:val="en-GB"/>
        </w:rPr>
        <w:t>Experience in initiating treatment in SGA patients near onset of puberty is limited. It is therefore not recommended to initiate treatment near onset of puberty.</w:t>
      </w:r>
    </w:p>
    <w:p w14:paraId="09DE87C0" w14:textId="77777777" w:rsidR="00374941" w:rsidRPr="002136E6" w:rsidRDefault="00374941" w:rsidP="008470D5">
      <w:pPr>
        <w:ind w:left="851"/>
        <w:rPr>
          <w:sz w:val="24"/>
          <w:szCs w:val="24"/>
          <w:lang w:val="en-GB"/>
        </w:rPr>
      </w:pPr>
      <w:r w:rsidRPr="002136E6">
        <w:rPr>
          <w:sz w:val="24"/>
          <w:szCs w:val="24"/>
          <w:lang w:val="en-GB"/>
        </w:rPr>
        <w:t>Experience with patients with Silver-Russell syndrome is limited.</w:t>
      </w:r>
    </w:p>
    <w:p w14:paraId="390A7876" w14:textId="77777777" w:rsidR="00374941" w:rsidRPr="002136E6" w:rsidRDefault="00374941" w:rsidP="008470D5">
      <w:pPr>
        <w:ind w:left="851"/>
        <w:rPr>
          <w:sz w:val="24"/>
          <w:szCs w:val="24"/>
          <w:lang w:val="en-GB"/>
        </w:rPr>
      </w:pPr>
    </w:p>
    <w:p w14:paraId="61BC2B0B" w14:textId="77777777" w:rsidR="00374941" w:rsidRPr="003E6F74" w:rsidRDefault="00374941" w:rsidP="008470D5">
      <w:pPr>
        <w:ind w:left="851"/>
        <w:rPr>
          <w:sz w:val="24"/>
          <w:szCs w:val="24"/>
          <w:u w:val="single"/>
          <w:lang w:val="en-GB"/>
        </w:rPr>
      </w:pPr>
      <w:r w:rsidRPr="003E6F74">
        <w:rPr>
          <w:sz w:val="24"/>
          <w:szCs w:val="24"/>
          <w:u w:val="single"/>
          <w:lang w:val="en-GB"/>
        </w:rPr>
        <w:t>Turner syndrome</w:t>
      </w:r>
    </w:p>
    <w:p w14:paraId="0ACC3F95" w14:textId="77777777" w:rsidR="00374941" w:rsidRPr="002136E6" w:rsidRDefault="00374941" w:rsidP="008470D5">
      <w:pPr>
        <w:ind w:left="851"/>
        <w:rPr>
          <w:sz w:val="24"/>
          <w:szCs w:val="24"/>
          <w:lang w:val="en-US"/>
        </w:rPr>
      </w:pPr>
      <w:r w:rsidRPr="002136E6">
        <w:rPr>
          <w:sz w:val="24"/>
          <w:szCs w:val="24"/>
          <w:lang w:val="en-US"/>
        </w:rPr>
        <w:t>Monitoring of growth of hands and feet in Turner syndrome patients treated with somatropin is recommended, and a dose reduction to the lower part of the dose range should be considered if increased growth is observed.</w:t>
      </w:r>
    </w:p>
    <w:p w14:paraId="58AFF0E6" w14:textId="77777777" w:rsidR="00374941" w:rsidRPr="002136E6" w:rsidRDefault="00374941" w:rsidP="008470D5">
      <w:pPr>
        <w:ind w:left="851"/>
        <w:rPr>
          <w:sz w:val="24"/>
          <w:szCs w:val="24"/>
          <w:lang w:val="en-GB"/>
        </w:rPr>
      </w:pPr>
    </w:p>
    <w:p w14:paraId="70B9831D" w14:textId="77777777" w:rsidR="00374941" w:rsidRPr="002136E6" w:rsidRDefault="00374941" w:rsidP="008470D5">
      <w:pPr>
        <w:ind w:left="851"/>
        <w:rPr>
          <w:sz w:val="24"/>
          <w:szCs w:val="24"/>
          <w:lang w:val="en-US"/>
        </w:rPr>
      </w:pPr>
      <w:r w:rsidRPr="002136E6">
        <w:rPr>
          <w:sz w:val="24"/>
          <w:szCs w:val="24"/>
          <w:lang w:val="en-US"/>
        </w:rPr>
        <w:lastRenderedPageBreak/>
        <w:t xml:space="preserve">Girls with Turner syndrome generally have an increased risk of otitis media, which is why </w:t>
      </w:r>
      <w:proofErr w:type="spellStart"/>
      <w:r w:rsidRPr="002136E6">
        <w:rPr>
          <w:sz w:val="24"/>
          <w:szCs w:val="24"/>
          <w:lang w:val="en-US"/>
        </w:rPr>
        <w:t>otological</w:t>
      </w:r>
      <w:proofErr w:type="spellEnd"/>
      <w:r w:rsidRPr="002136E6">
        <w:rPr>
          <w:sz w:val="24"/>
          <w:szCs w:val="24"/>
          <w:lang w:val="en-US"/>
        </w:rPr>
        <w:t xml:space="preserve"> evaluation is recommended on at least an annual basis.</w:t>
      </w:r>
    </w:p>
    <w:p w14:paraId="17E7EE64" w14:textId="77777777" w:rsidR="00374941" w:rsidRPr="002136E6" w:rsidRDefault="00374941" w:rsidP="008470D5">
      <w:pPr>
        <w:ind w:left="851"/>
        <w:rPr>
          <w:sz w:val="24"/>
          <w:szCs w:val="24"/>
          <w:lang w:val="en-US"/>
        </w:rPr>
      </w:pPr>
    </w:p>
    <w:p w14:paraId="37B139BC" w14:textId="77777777" w:rsidR="00374941" w:rsidRPr="003E6F74" w:rsidRDefault="00374941" w:rsidP="008470D5">
      <w:pPr>
        <w:ind w:left="851"/>
        <w:rPr>
          <w:sz w:val="24"/>
          <w:szCs w:val="24"/>
          <w:u w:val="single"/>
          <w:lang w:val="en-GB"/>
        </w:rPr>
      </w:pPr>
      <w:r w:rsidRPr="003E6F74">
        <w:rPr>
          <w:sz w:val="24"/>
          <w:szCs w:val="24"/>
          <w:u w:val="single"/>
          <w:lang w:val="en-GB"/>
        </w:rPr>
        <w:t>Chronic renal disease</w:t>
      </w:r>
    </w:p>
    <w:p w14:paraId="2500BF1C" w14:textId="77777777" w:rsidR="00374941" w:rsidRPr="002136E6" w:rsidRDefault="00374941" w:rsidP="008470D5">
      <w:pPr>
        <w:ind w:left="851"/>
        <w:rPr>
          <w:sz w:val="24"/>
          <w:szCs w:val="24"/>
          <w:lang w:val="en-GB"/>
        </w:rPr>
      </w:pPr>
      <w:r w:rsidRPr="002136E6">
        <w:rPr>
          <w:sz w:val="24"/>
          <w:szCs w:val="24"/>
          <w:lang w:val="en-GB"/>
        </w:rPr>
        <w:t>The dosage in children with chronic renal disease is individual and must be adjusted according to the individual response to therapy (see section 4.2). The growth disturbance should be clearly established before somatropin treatment by following growth on optimal treatment for renal disease over one year. Conservative management of uraemia with customary medicinal product and if needed dialysis should be maintained during somatropin therapy.</w:t>
      </w:r>
    </w:p>
    <w:p w14:paraId="28B05889" w14:textId="77777777" w:rsidR="00374941" w:rsidRPr="002136E6" w:rsidRDefault="00374941" w:rsidP="008470D5">
      <w:pPr>
        <w:ind w:left="851"/>
        <w:rPr>
          <w:sz w:val="24"/>
          <w:szCs w:val="24"/>
          <w:lang w:val="en-GB"/>
        </w:rPr>
      </w:pPr>
    </w:p>
    <w:p w14:paraId="10413E90" w14:textId="77777777" w:rsidR="00374941" w:rsidRPr="002136E6" w:rsidRDefault="00374941" w:rsidP="008470D5">
      <w:pPr>
        <w:ind w:left="851"/>
        <w:rPr>
          <w:sz w:val="24"/>
          <w:szCs w:val="24"/>
          <w:lang w:val="en-GB"/>
        </w:rPr>
      </w:pPr>
      <w:r w:rsidRPr="002136E6">
        <w:rPr>
          <w:sz w:val="24"/>
          <w:szCs w:val="24"/>
          <w:lang w:val="en-GB"/>
        </w:rPr>
        <w:t>Patients with chronic renal disease normally experience a decline in renal function as part of the natural course of their illness. However, as a precautionary measure during somatropin treatment, renal function should be monitored for an excessive decline or increase in the glomerular filtration rate (which could imply hyperfiltration).</w:t>
      </w:r>
    </w:p>
    <w:p w14:paraId="3209D608" w14:textId="77777777" w:rsidR="00374941" w:rsidRPr="002136E6" w:rsidRDefault="00374941" w:rsidP="008470D5">
      <w:pPr>
        <w:ind w:left="851"/>
        <w:rPr>
          <w:sz w:val="24"/>
          <w:szCs w:val="24"/>
          <w:lang w:val="en-GB"/>
        </w:rPr>
      </w:pPr>
    </w:p>
    <w:p w14:paraId="3E64C1D4" w14:textId="77777777" w:rsidR="00374941" w:rsidRPr="003E6F74" w:rsidRDefault="00374941" w:rsidP="008470D5">
      <w:pPr>
        <w:ind w:left="851"/>
        <w:rPr>
          <w:sz w:val="24"/>
          <w:szCs w:val="24"/>
          <w:u w:val="single"/>
          <w:lang w:val="en-US"/>
        </w:rPr>
      </w:pPr>
      <w:bookmarkStart w:id="1" w:name="_Hlk29370832"/>
      <w:r w:rsidRPr="003E6F74">
        <w:rPr>
          <w:sz w:val="24"/>
          <w:szCs w:val="24"/>
          <w:u w:val="single"/>
          <w:lang w:val="en-US"/>
        </w:rPr>
        <w:t>Scoliosis</w:t>
      </w:r>
    </w:p>
    <w:p w14:paraId="3A6CC273" w14:textId="77777777" w:rsidR="00374941" w:rsidRPr="002136E6" w:rsidRDefault="00374941" w:rsidP="008470D5">
      <w:pPr>
        <w:ind w:left="851"/>
        <w:rPr>
          <w:sz w:val="24"/>
          <w:szCs w:val="24"/>
          <w:lang w:val="en-US"/>
        </w:rPr>
      </w:pPr>
      <w:r w:rsidRPr="002136E6">
        <w:rPr>
          <w:sz w:val="24"/>
          <w:szCs w:val="24"/>
          <w:lang w:val="en-US"/>
        </w:rPr>
        <w:t xml:space="preserve">Scoliosis </w:t>
      </w:r>
      <w:r w:rsidRPr="002136E6">
        <w:rPr>
          <w:sz w:val="24"/>
          <w:szCs w:val="24"/>
          <w:lang w:val="en-GB"/>
        </w:rPr>
        <w:t>is known to be more frequent in some of the patient groups treated with somatropin for example Turner syndrome and Noonan syndrome. In addition, rapid growth</w:t>
      </w:r>
      <w:r w:rsidRPr="002136E6">
        <w:rPr>
          <w:sz w:val="24"/>
          <w:szCs w:val="24"/>
          <w:lang w:val="en-US"/>
        </w:rPr>
        <w:t xml:space="preserve"> in any child</w:t>
      </w:r>
      <w:r w:rsidRPr="002136E6">
        <w:rPr>
          <w:sz w:val="24"/>
          <w:szCs w:val="24"/>
          <w:lang w:val="en-GB"/>
        </w:rPr>
        <w:t xml:space="preserve"> can cause progression of scoliosis</w:t>
      </w:r>
      <w:r w:rsidRPr="002136E6">
        <w:rPr>
          <w:sz w:val="24"/>
          <w:szCs w:val="24"/>
          <w:lang w:val="en-US"/>
        </w:rPr>
        <w:t xml:space="preserve">. Somatropin has not been shown to increase the incidence or severity of scoliosis. </w:t>
      </w:r>
      <w:r w:rsidRPr="002136E6">
        <w:rPr>
          <w:sz w:val="24"/>
          <w:szCs w:val="24"/>
          <w:lang w:val="en-GB"/>
        </w:rPr>
        <w:t>Signs of scoliosis should be monitored during treatment.</w:t>
      </w:r>
    </w:p>
    <w:bookmarkEnd w:id="1"/>
    <w:p w14:paraId="796C86D9" w14:textId="77777777" w:rsidR="00374941" w:rsidRPr="002136E6" w:rsidRDefault="00374941" w:rsidP="008470D5">
      <w:pPr>
        <w:ind w:left="851"/>
        <w:rPr>
          <w:sz w:val="24"/>
          <w:szCs w:val="24"/>
          <w:lang w:val="en-GB"/>
        </w:rPr>
      </w:pPr>
    </w:p>
    <w:p w14:paraId="537E2133" w14:textId="77777777" w:rsidR="00374941" w:rsidRPr="003E6F74" w:rsidRDefault="00374941" w:rsidP="008470D5">
      <w:pPr>
        <w:ind w:left="851"/>
        <w:rPr>
          <w:sz w:val="24"/>
          <w:szCs w:val="24"/>
          <w:u w:val="single"/>
          <w:lang w:val="en-GB"/>
        </w:rPr>
      </w:pPr>
      <w:r w:rsidRPr="003E6F74">
        <w:rPr>
          <w:sz w:val="24"/>
          <w:szCs w:val="24"/>
          <w:u w:val="single"/>
          <w:lang w:val="en-GB"/>
        </w:rPr>
        <w:t>Blood glucose and insulin</w:t>
      </w:r>
    </w:p>
    <w:p w14:paraId="28CC90CC" w14:textId="77777777" w:rsidR="00374941" w:rsidRPr="002136E6" w:rsidRDefault="00374941" w:rsidP="008470D5">
      <w:pPr>
        <w:ind w:left="851"/>
        <w:rPr>
          <w:sz w:val="24"/>
          <w:szCs w:val="24"/>
          <w:lang w:val="en-GB"/>
        </w:rPr>
      </w:pPr>
      <w:r w:rsidRPr="002136E6">
        <w:rPr>
          <w:sz w:val="24"/>
          <w:szCs w:val="24"/>
          <w:lang w:val="en-GB"/>
        </w:rPr>
        <w:t>In Turner syndrome and SGA children it is recommended to measure fasting insulin and blood glucose before start of treatment and annually thereafter. In patients with increased risk of diabetes mellitus (e.g. familial history of diabetes, obesity, severe insulin resistance, acanthosis nigricans), oral glucose tolerance testing (OGTT) should be performed. If overt diabetes occurs, somatropin should not be administered.</w:t>
      </w:r>
    </w:p>
    <w:p w14:paraId="4ADBB1D5" w14:textId="77777777" w:rsidR="00374941" w:rsidRPr="002136E6" w:rsidRDefault="00374941" w:rsidP="008470D5">
      <w:pPr>
        <w:ind w:left="851"/>
        <w:rPr>
          <w:sz w:val="24"/>
          <w:szCs w:val="24"/>
          <w:lang w:val="en-GB"/>
        </w:rPr>
      </w:pPr>
    </w:p>
    <w:p w14:paraId="69421C68" w14:textId="77777777" w:rsidR="00374941" w:rsidRPr="002136E6" w:rsidRDefault="00374941" w:rsidP="008470D5">
      <w:pPr>
        <w:ind w:left="851"/>
        <w:rPr>
          <w:sz w:val="24"/>
          <w:szCs w:val="24"/>
          <w:lang w:val="en-GB"/>
        </w:rPr>
      </w:pPr>
      <w:r w:rsidRPr="002136E6">
        <w:rPr>
          <w:sz w:val="24"/>
          <w:szCs w:val="24"/>
          <w:lang w:val="en-GB"/>
        </w:rPr>
        <w:t>Somatropin has been found to influence carbohydrate metabolism, therefore, patients should be observed for evidence of glucose intolerance.</w:t>
      </w:r>
    </w:p>
    <w:p w14:paraId="2848AE6E" w14:textId="77777777" w:rsidR="00374941" w:rsidRPr="002136E6" w:rsidRDefault="00374941" w:rsidP="008470D5">
      <w:pPr>
        <w:ind w:left="851"/>
        <w:rPr>
          <w:sz w:val="24"/>
          <w:szCs w:val="24"/>
          <w:lang w:val="en-GB"/>
        </w:rPr>
      </w:pPr>
    </w:p>
    <w:p w14:paraId="075873FA" w14:textId="77777777" w:rsidR="00374941" w:rsidRPr="003E6F74" w:rsidRDefault="00374941" w:rsidP="008470D5">
      <w:pPr>
        <w:ind w:left="851"/>
        <w:rPr>
          <w:sz w:val="24"/>
          <w:szCs w:val="24"/>
          <w:u w:val="single"/>
          <w:lang w:val="en-GB"/>
        </w:rPr>
      </w:pPr>
      <w:r w:rsidRPr="003E6F74">
        <w:rPr>
          <w:sz w:val="24"/>
          <w:szCs w:val="24"/>
          <w:u w:val="single"/>
          <w:lang w:val="en-GB"/>
        </w:rPr>
        <w:t>IGF-1</w:t>
      </w:r>
    </w:p>
    <w:p w14:paraId="6765F245" w14:textId="77777777" w:rsidR="00374941" w:rsidRPr="002136E6" w:rsidRDefault="00374941" w:rsidP="008470D5">
      <w:pPr>
        <w:ind w:left="851"/>
        <w:rPr>
          <w:sz w:val="24"/>
          <w:szCs w:val="24"/>
          <w:lang w:val="en-US"/>
        </w:rPr>
      </w:pPr>
      <w:r w:rsidRPr="002136E6">
        <w:rPr>
          <w:sz w:val="24"/>
          <w:szCs w:val="24"/>
          <w:lang w:val="en-GB"/>
        </w:rPr>
        <w:t>In Turner syndrome and SGA children it is recommended to measure the IGF-1 level before start of treatment and twice a year thereafter. If on repeated measurements IGF-1 levels exceed +2 SD compared to references for age and pubertal status,</w:t>
      </w:r>
      <w:r w:rsidRPr="002136E6">
        <w:rPr>
          <w:sz w:val="24"/>
          <w:szCs w:val="24"/>
          <w:lang w:val="en-US"/>
        </w:rPr>
        <w:t xml:space="preserve"> the dose should be reduced to achieve an IGF-1 level within the normal range.</w:t>
      </w:r>
    </w:p>
    <w:p w14:paraId="4D0C2099" w14:textId="77777777" w:rsidR="00374941" w:rsidRPr="002136E6" w:rsidRDefault="00374941" w:rsidP="008470D5">
      <w:pPr>
        <w:ind w:left="851"/>
        <w:rPr>
          <w:sz w:val="24"/>
          <w:szCs w:val="24"/>
          <w:lang w:val="en-GB"/>
        </w:rPr>
      </w:pPr>
      <w:r w:rsidRPr="002136E6">
        <w:rPr>
          <w:sz w:val="24"/>
          <w:szCs w:val="24"/>
          <w:lang w:val="en-GB"/>
        </w:rPr>
        <w:t>Some of the height gain obtained with treating short children born SGA with somatropin may be lost if treatment is stopped before final height is reached.</w:t>
      </w:r>
    </w:p>
    <w:p w14:paraId="654B7E1F" w14:textId="77777777" w:rsidR="00374941" w:rsidRPr="002136E6" w:rsidRDefault="00374941" w:rsidP="008470D5">
      <w:pPr>
        <w:ind w:left="851"/>
        <w:rPr>
          <w:sz w:val="24"/>
          <w:szCs w:val="24"/>
          <w:lang w:val="en-GB"/>
        </w:rPr>
      </w:pPr>
    </w:p>
    <w:p w14:paraId="1C3264B9" w14:textId="77777777" w:rsidR="00374941" w:rsidRPr="003E6F74" w:rsidRDefault="00374941" w:rsidP="008470D5">
      <w:pPr>
        <w:ind w:left="851"/>
        <w:rPr>
          <w:i/>
          <w:sz w:val="24"/>
          <w:szCs w:val="24"/>
          <w:u w:val="single"/>
          <w:lang w:val="en-GB"/>
        </w:rPr>
      </w:pPr>
      <w:r w:rsidRPr="003E6F74">
        <w:rPr>
          <w:i/>
          <w:sz w:val="24"/>
          <w:szCs w:val="24"/>
          <w:u w:val="single"/>
          <w:lang w:val="en-GB"/>
        </w:rPr>
        <w:t>Adults</w:t>
      </w:r>
    </w:p>
    <w:p w14:paraId="544ED18A" w14:textId="77777777" w:rsidR="00374941" w:rsidRPr="003E6F74" w:rsidRDefault="00374941" w:rsidP="008470D5">
      <w:pPr>
        <w:ind w:left="851"/>
        <w:rPr>
          <w:sz w:val="24"/>
          <w:szCs w:val="24"/>
          <w:u w:val="single"/>
          <w:lang w:val="en-GB"/>
        </w:rPr>
      </w:pPr>
      <w:r w:rsidRPr="003E6F74">
        <w:rPr>
          <w:sz w:val="24"/>
          <w:szCs w:val="24"/>
          <w:u w:val="single"/>
          <w:lang w:val="en-GB"/>
        </w:rPr>
        <w:t>Growth hormone deficiency in adults</w:t>
      </w:r>
    </w:p>
    <w:p w14:paraId="6EC98E25" w14:textId="77777777" w:rsidR="00374941" w:rsidRPr="002136E6" w:rsidRDefault="00374941" w:rsidP="008470D5">
      <w:pPr>
        <w:ind w:left="851"/>
        <w:rPr>
          <w:sz w:val="24"/>
          <w:szCs w:val="24"/>
          <w:lang w:val="en-GB"/>
        </w:rPr>
      </w:pPr>
      <w:r w:rsidRPr="002136E6">
        <w:rPr>
          <w:sz w:val="24"/>
          <w:szCs w:val="24"/>
          <w:lang w:val="en-GB"/>
        </w:rPr>
        <w:t>Growth hormone deficiency in adults is a lifelong disease and needs to be treated accordingly, however, experience in patients older than 60 years and in patients with more than five years of treatment in adult growth hormone deficiency is still limited.</w:t>
      </w:r>
    </w:p>
    <w:p w14:paraId="455F1AAD" w14:textId="77777777" w:rsidR="00374941" w:rsidRPr="002136E6" w:rsidRDefault="00374941" w:rsidP="008470D5">
      <w:pPr>
        <w:ind w:left="851"/>
        <w:rPr>
          <w:sz w:val="24"/>
          <w:szCs w:val="24"/>
          <w:lang w:val="en-GB"/>
        </w:rPr>
      </w:pPr>
    </w:p>
    <w:p w14:paraId="6C8F34CA" w14:textId="77777777" w:rsidR="00374941" w:rsidRPr="003E6F74" w:rsidRDefault="00374941" w:rsidP="008470D5">
      <w:pPr>
        <w:ind w:left="851"/>
        <w:rPr>
          <w:i/>
          <w:sz w:val="24"/>
          <w:szCs w:val="24"/>
          <w:u w:val="single"/>
          <w:lang w:val="en-US"/>
        </w:rPr>
      </w:pPr>
      <w:r w:rsidRPr="003E6F74">
        <w:rPr>
          <w:i/>
          <w:sz w:val="24"/>
          <w:szCs w:val="24"/>
          <w:u w:val="single"/>
          <w:lang w:val="en-US"/>
        </w:rPr>
        <w:t>Adults and Children</w:t>
      </w:r>
    </w:p>
    <w:p w14:paraId="4CE91055" w14:textId="77777777" w:rsidR="00374941" w:rsidRPr="003E6F74" w:rsidRDefault="00374941" w:rsidP="008470D5">
      <w:pPr>
        <w:ind w:left="851"/>
        <w:rPr>
          <w:sz w:val="24"/>
          <w:szCs w:val="24"/>
          <w:u w:val="single"/>
          <w:lang w:val="en-US"/>
        </w:rPr>
      </w:pPr>
      <w:r w:rsidRPr="003E6F74">
        <w:rPr>
          <w:sz w:val="24"/>
          <w:szCs w:val="24"/>
          <w:u w:val="single"/>
          <w:lang w:val="en-US"/>
        </w:rPr>
        <w:t>Pancreatitis</w:t>
      </w:r>
    </w:p>
    <w:p w14:paraId="24247CE6" w14:textId="77777777" w:rsidR="00374941" w:rsidRPr="002136E6" w:rsidRDefault="00374941" w:rsidP="008470D5">
      <w:pPr>
        <w:ind w:left="851"/>
        <w:rPr>
          <w:sz w:val="24"/>
          <w:szCs w:val="24"/>
          <w:lang w:val="en-GB"/>
        </w:rPr>
      </w:pPr>
      <w:r w:rsidRPr="002136E6">
        <w:rPr>
          <w:sz w:val="24"/>
          <w:szCs w:val="24"/>
          <w:lang w:val="en-GB"/>
        </w:rPr>
        <w:t>Although rare, pancreatitis should be considered in somatropin-treated patients who develop abdominal pain, especially in children.</w:t>
      </w:r>
    </w:p>
    <w:p w14:paraId="26D84C3D" w14:textId="77777777" w:rsidR="00374941" w:rsidRPr="002136E6" w:rsidRDefault="00374941" w:rsidP="008470D5">
      <w:pPr>
        <w:ind w:left="851"/>
        <w:rPr>
          <w:i/>
          <w:iCs/>
          <w:sz w:val="24"/>
          <w:szCs w:val="24"/>
          <w:lang w:val="en-GB"/>
        </w:rPr>
      </w:pPr>
    </w:p>
    <w:p w14:paraId="52F17AFA" w14:textId="77777777" w:rsidR="00374941" w:rsidRPr="003E6F74" w:rsidRDefault="00374941" w:rsidP="008470D5">
      <w:pPr>
        <w:ind w:left="851"/>
        <w:rPr>
          <w:i/>
          <w:sz w:val="24"/>
          <w:szCs w:val="24"/>
          <w:u w:val="single"/>
          <w:lang w:val="en-GB"/>
        </w:rPr>
      </w:pPr>
      <w:r w:rsidRPr="003E6F74">
        <w:rPr>
          <w:i/>
          <w:sz w:val="24"/>
          <w:szCs w:val="24"/>
          <w:u w:val="single"/>
          <w:lang w:val="en-GB"/>
        </w:rPr>
        <w:t>General</w:t>
      </w:r>
    </w:p>
    <w:p w14:paraId="1507B937" w14:textId="77777777" w:rsidR="00374941" w:rsidRPr="003E6F74" w:rsidRDefault="00374941" w:rsidP="008470D5">
      <w:pPr>
        <w:ind w:left="851"/>
        <w:rPr>
          <w:sz w:val="24"/>
          <w:szCs w:val="24"/>
          <w:u w:val="single"/>
          <w:lang w:val="en-GB"/>
        </w:rPr>
      </w:pPr>
      <w:r w:rsidRPr="003E6F74">
        <w:rPr>
          <w:sz w:val="24"/>
          <w:szCs w:val="24"/>
          <w:u w:val="single"/>
          <w:lang w:val="en-GB"/>
        </w:rPr>
        <w:t xml:space="preserve">Neoplasms </w:t>
      </w:r>
    </w:p>
    <w:p w14:paraId="64593823" w14:textId="77777777" w:rsidR="00374941" w:rsidRPr="002136E6" w:rsidRDefault="00374941" w:rsidP="008470D5">
      <w:pPr>
        <w:ind w:left="851"/>
        <w:rPr>
          <w:sz w:val="24"/>
          <w:szCs w:val="24"/>
          <w:lang w:val="en-GB"/>
        </w:rPr>
      </w:pPr>
      <w:r w:rsidRPr="002136E6">
        <w:rPr>
          <w:sz w:val="24"/>
          <w:szCs w:val="24"/>
          <w:lang w:val="en-GB"/>
        </w:rPr>
        <w:t xml:space="preserve">There is no evidence for increased risk of new primary cancers in children or in adults treated with somatropin. </w:t>
      </w:r>
    </w:p>
    <w:p w14:paraId="4DCB89A8" w14:textId="77777777" w:rsidR="00374941" w:rsidRPr="002136E6" w:rsidRDefault="00374941" w:rsidP="008470D5">
      <w:pPr>
        <w:ind w:left="851"/>
        <w:rPr>
          <w:sz w:val="24"/>
          <w:szCs w:val="24"/>
          <w:lang w:val="en-GB"/>
        </w:rPr>
      </w:pPr>
    </w:p>
    <w:p w14:paraId="146CBDF0" w14:textId="77777777" w:rsidR="00374941" w:rsidRPr="002136E6" w:rsidRDefault="00374941" w:rsidP="008470D5">
      <w:pPr>
        <w:ind w:left="851"/>
        <w:rPr>
          <w:sz w:val="24"/>
          <w:szCs w:val="24"/>
          <w:lang w:val="en-GB"/>
        </w:rPr>
      </w:pPr>
      <w:r w:rsidRPr="002136E6">
        <w:rPr>
          <w:sz w:val="24"/>
          <w:szCs w:val="24"/>
          <w:lang w:val="en-GB"/>
        </w:rPr>
        <w:t xml:space="preserve">In patients in complete remission from tumours or malignant disease, somatropin therapy has not been associated with an increased relapse rate. </w:t>
      </w:r>
    </w:p>
    <w:p w14:paraId="2ABF53BD" w14:textId="77777777" w:rsidR="00374941" w:rsidRPr="002136E6" w:rsidRDefault="00374941" w:rsidP="008470D5">
      <w:pPr>
        <w:ind w:left="851"/>
        <w:rPr>
          <w:sz w:val="24"/>
          <w:szCs w:val="24"/>
          <w:lang w:val="en-GB"/>
        </w:rPr>
      </w:pPr>
    </w:p>
    <w:p w14:paraId="08FC524E" w14:textId="77777777" w:rsidR="00374941" w:rsidRPr="002136E6" w:rsidRDefault="00374941" w:rsidP="008470D5">
      <w:pPr>
        <w:ind w:left="851"/>
        <w:rPr>
          <w:sz w:val="24"/>
          <w:szCs w:val="24"/>
          <w:lang w:val="en-GB"/>
        </w:rPr>
      </w:pPr>
      <w:r w:rsidRPr="002136E6">
        <w:rPr>
          <w:sz w:val="24"/>
          <w:szCs w:val="24"/>
          <w:lang w:val="en-GB"/>
        </w:rPr>
        <w:t xml:space="preserve">An overall slight increase in second neoplasms has been observed in childhood cancer survivors treated with growth hormone, with the most frequent being intracranial tumours. The dominant risk factor for second neoplasms seems to be prior exposure to radiation. </w:t>
      </w:r>
    </w:p>
    <w:p w14:paraId="52EE293D" w14:textId="77777777" w:rsidR="00374941" w:rsidRPr="002136E6" w:rsidRDefault="00374941" w:rsidP="008470D5">
      <w:pPr>
        <w:ind w:left="851"/>
        <w:rPr>
          <w:sz w:val="24"/>
          <w:szCs w:val="24"/>
          <w:lang w:val="en-GB"/>
        </w:rPr>
      </w:pPr>
    </w:p>
    <w:p w14:paraId="15B0FE20" w14:textId="77777777" w:rsidR="00374941" w:rsidRPr="002136E6" w:rsidRDefault="00374941" w:rsidP="008470D5">
      <w:pPr>
        <w:ind w:left="851"/>
        <w:rPr>
          <w:sz w:val="24"/>
          <w:szCs w:val="24"/>
          <w:lang w:val="en-GB"/>
        </w:rPr>
      </w:pPr>
      <w:r w:rsidRPr="002136E6">
        <w:rPr>
          <w:sz w:val="24"/>
          <w:szCs w:val="24"/>
          <w:lang w:val="en-GB"/>
        </w:rPr>
        <w:t xml:space="preserve">Patients who have achieved complete remission of malignant disease should be followed closely for relapse after commencement of somatropin therapy. </w:t>
      </w:r>
    </w:p>
    <w:p w14:paraId="4211D9DB" w14:textId="77777777" w:rsidR="00374941" w:rsidRPr="002136E6" w:rsidRDefault="00374941" w:rsidP="008470D5">
      <w:pPr>
        <w:ind w:left="851"/>
        <w:rPr>
          <w:sz w:val="24"/>
          <w:szCs w:val="24"/>
          <w:lang w:val="en-GB"/>
        </w:rPr>
      </w:pPr>
    </w:p>
    <w:p w14:paraId="41DF844B" w14:textId="77777777" w:rsidR="00374941" w:rsidRPr="003E6F74" w:rsidRDefault="00374941" w:rsidP="008470D5">
      <w:pPr>
        <w:ind w:left="851"/>
        <w:rPr>
          <w:sz w:val="24"/>
          <w:szCs w:val="24"/>
          <w:u w:val="single"/>
          <w:lang w:val="en-GB"/>
        </w:rPr>
      </w:pPr>
      <w:r w:rsidRPr="003E6F74">
        <w:rPr>
          <w:sz w:val="24"/>
          <w:szCs w:val="24"/>
          <w:u w:val="single"/>
          <w:lang w:val="en-GB"/>
        </w:rPr>
        <w:t>Leukaemia</w:t>
      </w:r>
    </w:p>
    <w:p w14:paraId="36E31401" w14:textId="77777777" w:rsidR="00374941" w:rsidRPr="002136E6" w:rsidRDefault="00374941" w:rsidP="008470D5">
      <w:pPr>
        <w:ind w:left="851"/>
        <w:rPr>
          <w:sz w:val="24"/>
          <w:szCs w:val="24"/>
          <w:lang w:val="en-GB"/>
        </w:rPr>
      </w:pPr>
      <w:r w:rsidRPr="002136E6">
        <w:rPr>
          <w:sz w:val="24"/>
          <w:szCs w:val="24"/>
          <w:lang w:val="en-GB"/>
        </w:rPr>
        <w:t>Leukaemia has been reported in a small number of growth hormone deficient patients, some of whom have been treated with somatropin. However, there is no evidence that leukaemia incidence is increased in somatropin recipients without predisposition factors.</w:t>
      </w:r>
    </w:p>
    <w:p w14:paraId="40832D46" w14:textId="77777777" w:rsidR="00374941" w:rsidRPr="002136E6" w:rsidRDefault="00374941" w:rsidP="008470D5">
      <w:pPr>
        <w:ind w:left="851"/>
        <w:rPr>
          <w:sz w:val="24"/>
          <w:szCs w:val="24"/>
          <w:lang w:val="en-GB"/>
        </w:rPr>
      </w:pPr>
    </w:p>
    <w:p w14:paraId="036CB824" w14:textId="77777777" w:rsidR="00374941" w:rsidRPr="0083111E" w:rsidRDefault="00374941" w:rsidP="008470D5">
      <w:pPr>
        <w:ind w:left="851"/>
        <w:rPr>
          <w:sz w:val="24"/>
          <w:szCs w:val="24"/>
          <w:u w:val="single"/>
          <w:lang w:val="en-GB"/>
        </w:rPr>
      </w:pPr>
      <w:r w:rsidRPr="0083111E">
        <w:rPr>
          <w:sz w:val="24"/>
          <w:szCs w:val="24"/>
          <w:u w:val="single"/>
          <w:lang w:val="en-GB"/>
        </w:rPr>
        <w:t>Benign intracranial hypertension</w:t>
      </w:r>
    </w:p>
    <w:p w14:paraId="7CE0EB28" w14:textId="77777777" w:rsidR="00374941" w:rsidRPr="002136E6" w:rsidRDefault="00374941" w:rsidP="008470D5">
      <w:pPr>
        <w:ind w:left="851"/>
        <w:rPr>
          <w:sz w:val="24"/>
          <w:szCs w:val="24"/>
          <w:lang w:val="en-GB"/>
        </w:rPr>
      </w:pPr>
      <w:r w:rsidRPr="002136E6">
        <w:rPr>
          <w:sz w:val="24"/>
          <w:szCs w:val="24"/>
          <w:lang w:val="en-GB"/>
        </w:rPr>
        <w:t xml:space="preserve">In the event of severe or recurrent headache, visual problems, nausea, and/or vomiting, a </w:t>
      </w:r>
      <w:proofErr w:type="spellStart"/>
      <w:r w:rsidRPr="002136E6">
        <w:rPr>
          <w:sz w:val="24"/>
          <w:szCs w:val="24"/>
          <w:lang w:val="en-GB"/>
        </w:rPr>
        <w:t>funduscopy</w:t>
      </w:r>
      <w:proofErr w:type="spellEnd"/>
      <w:r w:rsidRPr="002136E6">
        <w:rPr>
          <w:sz w:val="24"/>
          <w:szCs w:val="24"/>
          <w:lang w:val="en-GB"/>
        </w:rPr>
        <w:t xml:space="preserve"> for </w:t>
      </w:r>
      <w:proofErr w:type="spellStart"/>
      <w:r w:rsidRPr="002136E6">
        <w:rPr>
          <w:sz w:val="24"/>
          <w:szCs w:val="24"/>
          <w:lang w:val="en-GB"/>
        </w:rPr>
        <w:t>papilloedema</w:t>
      </w:r>
      <w:proofErr w:type="spellEnd"/>
      <w:r w:rsidRPr="002136E6">
        <w:rPr>
          <w:sz w:val="24"/>
          <w:szCs w:val="24"/>
          <w:lang w:val="en-GB"/>
        </w:rPr>
        <w:t xml:space="preserve"> is recommended. If </w:t>
      </w:r>
      <w:proofErr w:type="spellStart"/>
      <w:r w:rsidRPr="002136E6">
        <w:rPr>
          <w:sz w:val="24"/>
          <w:szCs w:val="24"/>
          <w:lang w:val="en-GB"/>
        </w:rPr>
        <w:t>papilloedema</w:t>
      </w:r>
      <w:proofErr w:type="spellEnd"/>
      <w:r w:rsidRPr="002136E6">
        <w:rPr>
          <w:sz w:val="24"/>
          <w:szCs w:val="24"/>
          <w:lang w:val="en-GB"/>
        </w:rPr>
        <w:t xml:space="preserve"> is confirmed, a diagnosis of benign intracranial hypertension should be considered and if appropriate the somatropin treatment should be discontinued.</w:t>
      </w:r>
    </w:p>
    <w:p w14:paraId="5BAA5291" w14:textId="77777777" w:rsidR="00374941" w:rsidRPr="002136E6" w:rsidRDefault="00374941" w:rsidP="008470D5">
      <w:pPr>
        <w:ind w:left="851"/>
        <w:rPr>
          <w:sz w:val="24"/>
          <w:szCs w:val="24"/>
          <w:lang w:val="en-GB"/>
        </w:rPr>
      </w:pPr>
    </w:p>
    <w:p w14:paraId="302E7A64" w14:textId="77777777" w:rsidR="00374941" w:rsidRPr="002136E6" w:rsidRDefault="00374941" w:rsidP="008470D5">
      <w:pPr>
        <w:ind w:left="851"/>
        <w:rPr>
          <w:sz w:val="24"/>
          <w:szCs w:val="24"/>
          <w:lang w:val="en-GB"/>
        </w:rPr>
      </w:pPr>
      <w:r w:rsidRPr="002136E6">
        <w:rPr>
          <w:sz w:val="24"/>
          <w:szCs w:val="24"/>
          <w:lang w:val="en-GB"/>
        </w:rPr>
        <w:t>At present there is insufficient evidence to guide clinical decision making in patients with resolved intracranial hypertension. If somatropin treatment is restarted, careful monitoring for symptoms of intracranial hypertension is necessary.</w:t>
      </w:r>
    </w:p>
    <w:p w14:paraId="021A0F85" w14:textId="77777777" w:rsidR="00374941" w:rsidRPr="002136E6" w:rsidRDefault="00374941" w:rsidP="008470D5">
      <w:pPr>
        <w:ind w:left="851"/>
        <w:rPr>
          <w:sz w:val="24"/>
          <w:szCs w:val="24"/>
          <w:lang w:val="en-GB"/>
        </w:rPr>
      </w:pPr>
    </w:p>
    <w:p w14:paraId="3CD215D7" w14:textId="77777777" w:rsidR="00374941" w:rsidRPr="002136E6" w:rsidRDefault="00374941" w:rsidP="008470D5">
      <w:pPr>
        <w:ind w:left="851"/>
        <w:rPr>
          <w:sz w:val="24"/>
          <w:szCs w:val="24"/>
          <w:lang w:val="en-GB"/>
        </w:rPr>
      </w:pPr>
      <w:r w:rsidRPr="002136E6">
        <w:rPr>
          <w:sz w:val="24"/>
          <w:szCs w:val="24"/>
          <w:lang w:val="en-GB"/>
        </w:rPr>
        <w:t>Patients with growth hormone deficiency secondary to an intracranial lesion should be examined frequently for progression or recurrence of the underlying disease process.</w:t>
      </w:r>
    </w:p>
    <w:p w14:paraId="629CBF9C" w14:textId="77777777" w:rsidR="00374941" w:rsidRPr="002136E6" w:rsidRDefault="00374941" w:rsidP="008470D5">
      <w:pPr>
        <w:ind w:left="851"/>
        <w:rPr>
          <w:sz w:val="24"/>
          <w:szCs w:val="24"/>
          <w:lang w:val="en-GB"/>
        </w:rPr>
      </w:pPr>
    </w:p>
    <w:p w14:paraId="326FA0BC" w14:textId="77777777" w:rsidR="00374941" w:rsidRPr="0083111E" w:rsidRDefault="00374941" w:rsidP="008470D5">
      <w:pPr>
        <w:ind w:left="851"/>
        <w:rPr>
          <w:sz w:val="24"/>
          <w:szCs w:val="24"/>
          <w:u w:val="single"/>
          <w:lang w:val="en-GB"/>
        </w:rPr>
      </w:pPr>
      <w:r w:rsidRPr="0083111E">
        <w:rPr>
          <w:sz w:val="24"/>
          <w:szCs w:val="24"/>
          <w:u w:val="single"/>
          <w:lang w:val="en-GB"/>
        </w:rPr>
        <w:t>Thyroid function</w:t>
      </w:r>
    </w:p>
    <w:p w14:paraId="7F7616B2" w14:textId="77777777" w:rsidR="00374941" w:rsidRPr="002136E6" w:rsidRDefault="00374941" w:rsidP="008470D5">
      <w:pPr>
        <w:ind w:left="851"/>
        <w:rPr>
          <w:sz w:val="24"/>
          <w:szCs w:val="24"/>
          <w:lang w:val="en-GB"/>
        </w:rPr>
      </w:pPr>
      <w:r w:rsidRPr="002136E6">
        <w:rPr>
          <w:sz w:val="24"/>
          <w:szCs w:val="24"/>
          <w:lang w:val="en-GB"/>
        </w:rPr>
        <w:t>Somatropin increases the extrathyroidal conversion of T4 to T3 and may, as such, unmask incipient hypothyroidism. Monitoring of thyroid function should therefore be conducted in all patients. In patients with hypopituitarism, standard replacement therapy must be closely monitored when somatropin therapy is administered.</w:t>
      </w:r>
    </w:p>
    <w:p w14:paraId="7051B906" w14:textId="77777777" w:rsidR="00374941" w:rsidRPr="002136E6" w:rsidRDefault="00374941" w:rsidP="008470D5">
      <w:pPr>
        <w:ind w:left="851"/>
        <w:rPr>
          <w:sz w:val="24"/>
          <w:szCs w:val="24"/>
          <w:lang w:val="en-GB"/>
        </w:rPr>
      </w:pPr>
    </w:p>
    <w:p w14:paraId="0A341FE2" w14:textId="77777777" w:rsidR="00374941" w:rsidRPr="002136E6" w:rsidRDefault="00374941" w:rsidP="008470D5">
      <w:pPr>
        <w:ind w:left="851"/>
        <w:rPr>
          <w:sz w:val="24"/>
          <w:szCs w:val="24"/>
          <w:lang w:val="en-GB"/>
        </w:rPr>
      </w:pPr>
      <w:r w:rsidRPr="002136E6">
        <w:rPr>
          <w:sz w:val="24"/>
          <w:szCs w:val="24"/>
          <w:lang w:val="en-GB"/>
        </w:rPr>
        <w:t>In patients with a pituitary disease in progression, hypothyroidism may develop.</w:t>
      </w:r>
    </w:p>
    <w:p w14:paraId="0CB7C898" w14:textId="77777777" w:rsidR="00374941" w:rsidRPr="002136E6" w:rsidRDefault="00374941" w:rsidP="008470D5">
      <w:pPr>
        <w:ind w:left="851"/>
        <w:rPr>
          <w:sz w:val="24"/>
          <w:szCs w:val="24"/>
          <w:lang w:val="en-GB"/>
        </w:rPr>
      </w:pPr>
      <w:r w:rsidRPr="002136E6">
        <w:rPr>
          <w:sz w:val="24"/>
          <w:szCs w:val="24"/>
          <w:lang w:val="en-GB"/>
        </w:rPr>
        <w:t>Patients with Turner syndrome have an increased risk of developing primary hypothyroidism associated with anti-thyroid antibodies. As hypothyroidism interferes with the response to somatropin therapy, patients should have their thyroid function tested regularly and should receive replacement therapy with thyroid hormone when indicated.</w:t>
      </w:r>
    </w:p>
    <w:p w14:paraId="01971822" w14:textId="77777777" w:rsidR="00374941" w:rsidRPr="002136E6" w:rsidRDefault="00374941" w:rsidP="008470D5">
      <w:pPr>
        <w:ind w:left="851"/>
        <w:rPr>
          <w:sz w:val="24"/>
          <w:szCs w:val="24"/>
          <w:lang w:val="en-GB"/>
        </w:rPr>
      </w:pPr>
    </w:p>
    <w:p w14:paraId="1C858A93" w14:textId="77777777" w:rsidR="00374941" w:rsidRPr="0083111E" w:rsidRDefault="00374941" w:rsidP="008470D5">
      <w:pPr>
        <w:ind w:left="851"/>
        <w:rPr>
          <w:sz w:val="24"/>
          <w:szCs w:val="24"/>
          <w:u w:val="single"/>
          <w:lang w:val="en-GB"/>
        </w:rPr>
      </w:pPr>
      <w:r w:rsidRPr="0083111E">
        <w:rPr>
          <w:sz w:val="24"/>
          <w:szCs w:val="24"/>
          <w:u w:val="single"/>
          <w:lang w:val="en-GB"/>
        </w:rPr>
        <w:t>Insulin sensitivity</w:t>
      </w:r>
    </w:p>
    <w:p w14:paraId="4A21E20D" w14:textId="77777777" w:rsidR="00374941" w:rsidRPr="002136E6" w:rsidRDefault="00374941" w:rsidP="008470D5">
      <w:pPr>
        <w:ind w:left="851"/>
        <w:rPr>
          <w:sz w:val="24"/>
          <w:szCs w:val="24"/>
          <w:lang w:val="en-GB"/>
        </w:rPr>
      </w:pPr>
      <w:r w:rsidRPr="002136E6">
        <w:rPr>
          <w:sz w:val="24"/>
          <w:szCs w:val="24"/>
          <w:lang w:val="en-GB"/>
        </w:rPr>
        <w:t xml:space="preserve">Because somatropin may reduce insulin sensitivity, patients should be monitored for evidence of glucose intolerance (see section 4.5). For patients with diabetes mellitus, the insulin dose may require adjustment after somatropin containing product therapy is </w:t>
      </w:r>
      <w:r w:rsidRPr="002136E6">
        <w:rPr>
          <w:sz w:val="24"/>
          <w:szCs w:val="24"/>
          <w:lang w:val="en-GB"/>
        </w:rPr>
        <w:lastRenderedPageBreak/>
        <w:t>instituted. Patients with diabetes or glucose intolerance should be monitored closely during somatropin therapy.</w:t>
      </w:r>
    </w:p>
    <w:p w14:paraId="10E9D7FE" w14:textId="77777777" w:rsidR="00374941" w:rsidRPr="002136E6" w:rsidRDefault="00374941" w:rsidP="008470D5">
      <w:pPr>
        <w:ind w:left="851"/>
        <w:rPr>
          <w:sz w:val="24"/>
          <w:szCs w:val="24"/>
          <w:lang w:val="en-GB"/>
        </w:rPr>
      </w:pPr>
    </w:p>
    <w:p w14:paraId="760FDD2C" w14:textId="77777777" w:rsidR="00374941" w:rsidRPr="0083111E" w:rsidRDefault="00374941" w:rsidP="008470D5">
      <w:pPr>
        <w:ind w:left="851"/>
        <w:rPr>
          <w:sz w:val="24"/>
          <w:szCs w:val="24"/>
          <w:u w:val="single"/>
          <w:lang w:val="en-GB"/>
        </w:rPr>
      </w:pPr>
      <w:r w:rsidRPr="0083111E">
        <w:rPr>
          <w:sz w:val="24"/>
          <w:szCs w:val="24"/>
          <w:u w:val="single"/>
          <w:lang w:val="en-GB"/>
        </w:rPr>
        <w:t>Antibodies</w:t>
      </w:r>
    </w:p>
    <w:p w14:paraId="59A4E023" w14:textId="77777777" w:rsidR="00374941" w:rsidRPr="002136E6" w:rsidRDefault="00374941" w:rsidP="008470D5">
      <w:pPr>
        <w:ind w:left="851"/>
        <w:rPr>
          <w:sz w:val="24"/>
          <w:szCs w:val="24"/>
          <w:lang w:val="en-GB"/>
        </w:rPr>
      </w:pPr>
      <w:r w:rsidRPr="002136E6">
        <w:rPr>
          <w:sz w:val="24"/>
          <w:szCs w:val="24"/>
          <w:lang w:val="en-GB"/>
        </w:rPr>
        <w:t>As with all somatropin containing products, a small percentage of patients may develop antibodies to somatropin. The binding capacity of these antibodies is low, and there is no effect on growth rate. Testing for antibodies to somatropin should be carried out in any patient who fails to respond to therapy.</w:t>
      </w:r>
    </w:p>
    <w:p w14:paraId="253781FF" w14:textId="77777777" w:rsidR="00374941" w:rsidRPr="002136E6" w:rsidRDefault="00374941" w:rsidP="008470D5">
      <w:pPr>
        <w:ind w:left="851"/>
        <w:rPr>
          <w:sz w:val="24"/>
          <w:szCs w:val="24"/>
          <w:lang w:val="en-GB"/>
        </w:rPr>
      </w:pPr>
    </w:p>
    <w:p w14:paraId="5D82E0F6" w14:textId="77777777" w:rsidR="00374941" w:rsidRPr="0083111E" w:rsidRDefault="00374941" w:rsidP="008470D5">
      <w:pPr>
        <w:ind w:left="851"/>
        <w:rPr>
          <w:sz w:val="24"/>
          <w:szCs w:val="24"/>
          <w:u w:val="single"/>
          <w:lang w:val="en-GB"/>
        </w:rPr>
      </w:pPr>
      <w:r w:rsidRPr="0083111E">
        <w:rPr>
          <w:sz w:val="24"/>
          <w:szCs w:val="24"/>
          <w:u w:val="single"/>
          <w:lang w:val="en-GB"/>
        </w:rPr>
        <w:t>Acute adrenal insufficiency</w:t>
      </w:r>
    </w:p>
    <w:p w14:paraId="00FD2898" w14:textId="77777777" w:rsidR="00374941" w:rsidRPr="002136E6" w:rsidRDefault="00374941" w:rsidP="008470D5">
      <w:pPr>
        <w:ind w:left="851"/>
        <w:rPr>
          <w:sz w:val="24"/>
          <w:szCs w:val="24"/>
          <w:lang w:val="en-GB"/>
        </w:rPr>
      </w:pPr>
      <w:r w:rsidRPr="002136E6">
        <w:rPr>
          <w:sz w:val="24"/>
          <w:szCs w:val="24"/>
          <w:lang w:val="en-GB"/>
        </w:rPr>
        <w:t>Introduction of somatropin treatment may result in inhibition of 11βHSD-1 and reduced serum cortisol concentrations. In patients treated with somatropin, previously undiagnosed central (secondary) hypoadrenalism may be unmasked and glucocorticoid replacement may be required. In addition, patients treated with glucocorticoid replacement therapy for previously diagnosed hypoadrenalism may require an increase in their maintenance or stress doses, following initiation of somatropin treatment (see section 4.5).</w:t>
      </w:r>
    </w:p>
    <w:p w14:paraId="0B0AFFED" w14:textId="77777777" w:rsidR="00374941" w:rsidRPr="002136E6" w:rsidRDefault="00374941" w:rsidP="008470D5">
      <w:pPr>
        <w:ind w:left="851"/>
        <w:rPr>
          <w:sz w:val="24"/>
          <w:szCs w:val="24"/>
          <w:lang w:val="en-GB"/>
        </w:rPr>
      </w:pPr>
    </w:p>
    <w:p w14:paraId="4008DD1F" w14:textId="77777777" w:rsidR="00374941" w:rsidRPr="0083111E" w:rsidRDefault="00374941" w:rsidP="008470D5">
      <w:pPr>
        <w:ind w:left="851"/>
        <w:rPr>
          <w:sz w:val="24"/>
          <w:szCs w:val="24"/>
          <w:u w:val="single"/>
          <w:lang w:val="en-GB"/>
        </w:rPr>
      </w:pPr>
      <w:r w:rsidRPr="0083111E">
        <w:rPr>
          <w:sz w:val="24"/>
          <w:szCs w:val="24"/>
          <w:u w:val="single"/>
          <w:lang w:val="en-GB"/>
        </w:rPr>
        <w:t>Use with oral oestrogen therapy</w:t>
      </w:r>
    </w:p>
    <w:p w14:paraId="2F17D22E" w14:textId="77777777" w:rsidR="00374941" w:rsidRPr="002136E6" w:rsidRDefault="00374941" w:rsidP="008470D5">
      <w:pPr>
        <w:ind w:left="851"/>
        <w:rPr>
          <w:sz w:val="24"/>
          <w:szCs w:val="24"/>
          <w:lang w:val="en-GB"/>
        </w:rPr>
      </w:pPr>
      <w:r w:rsidRPr="002136E6">
        <w:rPr>
          <w:sz w:val="24"/>
          <w:szCs w:val="24"/>
          <w:lang w:val="en-GB"/>
        </w:rPr>
        <w:t>If a woman taking somatropin begins oral oestrogen therapy, the dose of somatropin may need to be increased to maintain the serum IGF-1 levels within the normal age-appropriate range. Conversely, if a woman on somatropin discontinues oral oestrogen therapy, the dose of somatropin may need to be reduced to avoid excess of growth hormone and/or side effects (see section 4.5).</w:t>
      </w:r>
    </w:p>
    <w:p w14:paraId="3FE6FDB0" w14:textId="77777777" w:rsidR="00374941" w:rsidRPr="002136E6" w:rsidRDefault="00374941" w:rsidP="008470D5">
      <w:pPr>
        <w:ind w:left="851"/>
        <w:rPr>
          <w:sz w:val="24"/>
          <w:szCs w:val="24"/>
          <w:lang w:val="en-GB"/>
        </w:rPr>
      </w:pPr>
    </w:p>
    <w:p w14:paraId="1B9F0DA6" w14:textId="77777777" w:rsidR="00374941" w:rsidRPr="0072697C" w:rsidRDefault="00374941" w:rsidP="008470D5">
      <w:pPr>
        <w:ind w:left="851"/>
        <w:rPr>
          <w:sz w:val="24"/>
          <w:szCs w:val="24"/>
          <w:u w:val="single"/>
          <w:lang w:val="en-GB"/>
        </w:rPr>
      </w:pPr>
      <w:r w:rsidRPr="0072697C">
        <w:rPr>
          <w:sz w:val="24"/>
          <w:szCs w:val="24"/>
          <w:u w:val="single"/>
          <w:lang w:val="en-GB"/>
        </w:rPr>
        <w:t>Slipped capital femoral epiphysis</w:t>
      </w:r>
    </w:p>
    <w:p w14:paraId="3FDB626F" w14:textId="77777777" w:rsidR="00374941" w:rsidRPr="002136E6" w:rsidRDefault="00374941" w:rsidP="008470D5">
      <w:pPr>
        <w:ind w:left="851"/>
        <w:rPr>
          <w:sz w:val="24"/>
          <w:szCs w:val="24"/>
          <w:lang w:val="en-GB"/>
        </w:rPr>
      </w:pPr>
      <w:r w:rsidRPr="002136E6">
        <w:rPr>
          <w:sz w:val="24"/>
          <w:szCs w:val="24"/>
          <w:lang w:val="en-GB"/>
        </w:rPr>
        <w:t>In patients with endocrine disorders, including growth hormone deficiency, slipped epiphyses of the hip may occur more frequently than in the general population. A patient treated with somatropin who develops a limp or complains of hip or knee pain should be evaluated by a physician.</w:t>
      </w:r>
    </w:p>
    <w:p w14:paraId="5E5C20F4" w14:textId="77777777" w:rsidR="00374941" w:rsidRPr="002136E6" w:rsidRDefault="00374941" w:rsidP="008470D5">
      <w:pPr>
        <w:ind w:left="851"/>
        <w:rPr>
          <w:sz w:val="24"/>
          <w:szCs w:val="24"/>
          <w:lang w:val="en-GB"/>
        </w:rPr>
      </w:pPr>
    </w:p>
    <w:p w14:paraId="0F69084F" w14:textId="77777777" w:rsidR="00374941" w:rsidRPr="0072697C" w:rsidRDefault="00374941" w:rsidP="008470D5">
      <w:pPr>
        <w:ind w:left="851"/>
        <w:rPr>
          <w:i/>
          <w:sz w:val="24"/>
          <w:szCs w:val="24"/>
          <w:u w:val="single"/>
          <w:lang w:val="en-US"/>
        </w:rPr>
      </w:pPr>
      <w:r w:rsidRPr="0072697C">
        <w:rPr>
          <w:i/>
          <w:sz w:val="24"/>
          <w:szCs w:val="24"/>
          <w:u w:val="single"/>
          <w:lang w:val="en-US"/>
        </w:rPr>
        <w:t>Clinical trial experience</w:t>
      </w:r>
    </w:p>
    <w:p w14:paraId="4B70861B" w14:textId="77777777" w:rsidR="00374941" w:rsidRPr="002136E6" w:rsidRDefault="00374941" w:rsidP="008470D5">
      <w:pPr>
        <w:ind w:left="851"/>
        <w:rPr>
          <w:sz w:val="24"/>
          <w:szCs w:val="24"/>
          <w:lang w:val="en-US"/>
        </w:rPr>
      </w:pPr>
      <w:r w:rsidRPr="002136E6">
        <w:rPr>
          <w:sz w:val="24"/>
          <w:szCs w:val="24"/>
          <w:lang w:val="en-US"/>
        </w:rPr>
        <w:t>Two placebo-controlled clinical trials of patients in intensive care units have demonstrated an increased mortality among patients suffering from acute critical illness due to complications following open heart or abdominal surgery, multiple accidental trauma or acute respiratory failure, who were treated with somatropin in high doses (5.3</w:t>
      </w:r>
      <w:r w:rsidRPr="002136E6">
        <w:rPr>
          <w:sz w:val="24"/>
          <w:szCs w:val="24"/>
          <w:lang w:val="en-US"/>
        </w:rPr>
        <w:noBreakHyphen/>
        <w:t>8 mg/day). The safety of continuing somatropin treatment in patients receiving replacement doses for approved indications who concurrently develop these illnesses has not been established. Therefore, the potential benefit of treatment continuation with somatropin in patients having acute critical illnesses should be weighed against the potential risk.</w:t>
      </w:r>
    </w:p>
    <w:p w14:paraId="36D5979F" w14:textId="77777777" w:rsidR="00374941" w:rsidRPr="002136E6" w:rsidRDefault="00374941" w:rsidP="008470D5">
      <w:pPr>
        <w:ind w:left="851"/>
        <w:rPr>
          <w:sz w:val="24"/>
          <w:szCs w:val="24"/>
          <w:lang w:val="en-US"/>
        </w:rPr>
      </w:pPr>
    </w:p>
    <w:p w14:paraId="3B26721F" w14:textId="77777777" w:rsidR="00374941" w:rsidRPr="002136E6" w:rsidRDefault="00374941" w:rsidP="008470D5">
      <w:pPr>
        <w:ind w:left="851"/>
        <w:rPr>
          <w:sz w:val="24"/>
          <w:szCs w:val="24"/>
          <w:lang w:val="en-US"/>
        </w:rPr>
      </w:pPr>
      <w:r w:rsidRPr="002136E6">
        <w:rPr>
          <w:sz w:val="24"/>
          <w:szCs w:val="24"/>
          <w:lang w:val="en-US"/>
        </w:rPr>
        <w:t xml:space="preserve">One open-label, </w:t>
      </w:r>
      <w:proofErr w:type="spellStart"/>
      <w:r w:rsidRPr="002136E6">
        <w:rPr>
          <w:sz w:val="24"/>
          <w:szCs w:val="24"/>
          <w:lang w:val="en-US"/>
        </w:rPr>
        <w:t>randomised</w:t>
      </w:r>
      <w:proofErr w:type="spellEnd"/>
      <w:r w:rsidRPr="002136E6">
        <w:rPr>
          <w:sz w:val="24"/>
          <w:szCs w:val="24"/>
          <w:lang w:val="en-US"/>
        </w:rPr>
        <w:t xml:space="preserve"> clinical trial (dose range 0.045</w:t>
      </w:r>
      <w:r w:rsidRPr="002136E6">
        <w:rPr>
          <w:sz w:val="24"/>
          <w:szCs w:val="24"/>
          <w:lang w:val="en-US"/>
        </w:rPr>
        <w:noBreakHyphen/>
        <w:t>0.090 mg/kg/day) with patients with Turner syndrome indicated a tendency for a dose-dependent risk of otitis externa and otitis media. The increase in ear infections did not result in more ear operations/tube insertions compared to the lower dose group in the trial.</w:t>
      </w:r>
    </w:p>
    <w:p w14:paraId="4CF4F46A" w14:textId="77777777" w:rsidR="00374941" w:rsidRPr="002136E6" w:rsidRDefault="00374941" w:rsidP="008470D5">
      <w:pPr>
        <w:ind w:left="851"/>
        <w:rPr>
          <w:sz w:val="24"/>
          <w:szCs w:val="24"/>
          <w:lang w:val="en-US"/>
        </w:rPr>
      </w:pPr>
    </w:p>
    <w:p w14:paraId="6C516896" w14:textId="77777777" w:rsidR="00374941" w:rsidRPr="0072697C" w:rsidRDefault="00374941" w:rsidP="008470D5">
      <w:pPr>
        <w:ind w:left="851"/>
        <w:rPr>
          <w:sz w:val="24"/>
          <w:szCs w:val="24"/>
          <w:u w:val="single"/>
          <w:lang w:val="en-US"/>
        </w:rPr>
      </w:pPr>
      <w:r w:rsidRPr="0072697C">
        <w:rPr>
          <w:sz w:val="24"/>
          <w:szCs w:val="24"/>
          <w:u w:val="single"/>
          <w:lang w:val="en-US"/>
        </w:rPr>
        <w:t>Excipients</w:t>
      </w:r>
    </w:p>
    <w:p w14:paraId="0A2639C8" w14:textId="77777777" w:rsidR="00374941" w:rsidRPr="002136E6" w:rsidRDefault="00374941" w:rsidP="008470D5">
      <w:pPr>
        <w:ind w:left="851"/>
        <w:rPr>
          <w:sz w:val="24"/>
          <w:szCs w:val="24"/>
          <w:lang w:val="en-US"/>
        </w:rPr>
      </w:pPr>
      <w:proofErr w:type="spellStart"/>
      <w:r w:rsidRPr="002136E6">
        <w:rPr>
          <w:sz w:val="24"/>
          <w:szCs w:val="24"/>
          <w:lang w:val="en-US"/>
        </w:rPr>
        <w:t>Norditropin</w:t>
      </w:r>
      <w:proofErr w:type="spellEnd"/>
      <w:r w:rsidRPr="002136E6">
        <w:rPr>
          <w:sz w:val="24"/>
          <w:szCs w:val="24"/>
          <w:lang w:val="en-US"/>
        </w:rPr>
        <w:t xml:space="preserve"> contains less than 1 mmol sodium (23 mg) per 1.5 ml, that is to say essentially ‘sodium-free’.</w:t>
      </w:r>
    </w:p>
    <w:p w14:paraId="09BFFE02" w14:textId="2E60D1B1" w:rsidR="00E6462E" w:rsidRDefault="00E6462E">
      <w:pPr>
        <w:rPr>
          <w:sz w:val="24"/>
          <w:szCs w:val="24"/>
          <w:lang w:val="en-GB"/>
        </w:rPr>
      </w:pPr>
      <w:r>
        <w:rPr>
          <w:sz w:val="24"/>
          <w:szCs w:val="24"/>
          <w:lang w:val="en-GB"/>
        </w:rPr>
        <w:br w:type="page"/>
      </w:r>
    </w:p>
    <w:p w14:paraId="53594ABE" w14:textId="77777777" w:rsidR="007C5D2A" w:rsidRPr="002136E6" w:rsidRDefault="007C5D2A" w:rsidP="003E0341">
      <w:pPr>
        <w:tabs>
          <w:tab w:val="left" w:pos="851"/>
        </w:tabs>
        <w:ind w:left="851"/>
        <w:rPr>
          <w:sz w:val="24"/>
          <w:szCs w:val="24"/>
          <w:lang w:val="en-GB"/>
        </w:rPr>
      </w:pPr>
    </w:p>
    <w:p w14:paraId="25804D2C" w14:textId="77777777" w:rsidR="007C5D2A" w:rsidRPr="002136E6" w:rsidRDefault="007C5D2A" w:rsidP="007C5D2A">
      <w:pPr>
        <w:ind w:left="851" w:hanging="851"/>
        <w:rPr>
          <w:b/>
          <w:sz w:val="24"/>
          <w:szCs w:val="24"/>
          <w:lang w:val="en-GB"/>
        </w:rPr>
      </w:pPr>
      <w:r w:rsidRPr="002136E6">
        <w:rPr>
          <w:b/>
          <w:sz w:val="24"/>
          <w:szCs w:val="24"/>
          <w:lang w:val="en-GB"/>
        </w:rPr>
        <w:t>4.5</w:t>
      </w:r>
      <w:r w:rsidRPr="002136E6">
        <w:rPr>
          <w:b/>
          <w:sz w:val="24"/>
          <w:szCs w:val="24"/>
          <w:lang w:val="en-GB"/>
        </w:rPr>
        <w:tab/>
        <w:t>Interaction with other medicinal products and other forms of interaction</w:t>
      </w:r>
    </w:p>
    <w:p w14:paraId="6A87E01A" w14:textId="77777777" w:rsidR="00374941" w:rsidRPr="002136E6" w:rsidRDefault="00374941" w:rsidP="008470D5">
      <w:pPr>
        <w:ind w:left="851"/>
        <w:rPr>
          <w:sz w:val="24"/>
          <w:szCs w:val="24"/>
          <w:lang w:val="en-GB"/>
        </w:rPr>
      </w:pPr>
      <w:r w:rsidRPr="002136E6">
        <w:rPr>
          <w:sz w:val="24"/>
          <w:szCs w:val="24"/>
          <w:lang w:val="en-GB"/>
        </w:rPr>
        <w:t xml:space="preserve">Concomitant treatment with glucocorticoids inhibits the growth-promoting effect of </w:t>
      </w:r>
      <w:proofErr w:type="spellStart"/>
      <w:r w:rsidRPr="002136E6">
        <w:rPr>
          <w:sz w:val="24"/>
          <w:szCs w:val="24"/>
          <w:lang w:val="en-GB"/>
        </w:rPr>
        <w:t>Norditropin</w:t>
      </w:r>
      <w:proofErr w:type="spellEnd"/>
      <w:r w:rsidRPr="002136E6">
        <w:rPr>
          <w:sz w:val="24"/>
          <w:szCs w:val="24"/>
          <w:lang w:val="en-GB"/>
        </w:rPr>
        <w:t>. Patients with ACTH deficiency should have their glucocorticoid replacement therapy carefully adjusted to avoid any inhibitory effect on growth.</w:t>
      </w:r>
    </w:p>
    <w:p w14:paraId="79AD25E0" w14:textId="77777777" w:rsidR="00374941" w:rsidRPr="002136E6" w:rsidRDefault="00374941" w:rsidP="008470D5">
      <w:pPr>
        <w:ind w:left="851"/>
        <w:rPr>
          <w:i/>
          <w:sz w:val="24"/>
          <w:szCs w:val="24"/>
          <w:lang w:val="en-GB"/>
        </w:rPr>
      </w:pPr>
      <w:r w:rsidRPr="002136E6">
        <w:rPr>
          <w:sz w:val="24"/>
          <w:szCs w:val="24"/>
          <w:lang w:val="en-GB"/>
        </w:rPr>
        <w:t>Growth hormone decreases the conversion of cortisone to cortisol and may unmask previously undiscovered central hypoadrenalism or render low glucocorticoid replacement doses ineffective (see section 4.4).</w:t>
      </w:r>
    </w:p>
    <w:p w14:paraId="0292F9D1" w14:textId="77777777" w:rsidR="00374941" w:rsidRPr="002136E6" w:rsidRDefault="00374941" w:rsidP="008470D5">
      <w:pPr>
        <w:ind w:left="851"/>
        <w:rPr>
          <w:sz w:val="24"/>
          <w:szCs w:val="24"/>
          <w:lang w:val="en-US"/>
        </w:rPr>
      </w:pPr>
    </w:p>
    <w:p w14:paraId="5B8668B8" w14:textId="77777777" w:rsidR="00374941" w:rsidRPr="002136E6" w:rsidRDefault="00374941" w:rsidP="008470D5">
      <w:pPr>
        <w:ind w:left="851"/>
        <w:rPr>
          <w:sz w:val="24"/>
          <w:szCs w:val="24"/>
          <w:lang w:val="en-US"/>
        </w:rPr>
      </w:pPr>
      <w:r w:rsidRPr="002136E6">
        <w:rPr>
          <w:sz w:val="24"/>
          <w:szCs w:val="24"/>
          <w:lang w:val="en-GB"/>
        </w:rPr>
        <w:t>In women on oral oestrogen replacement, a higher dose of growth hormone may be required to achieve the treatment goal (see section 4.4)</w:t>
      </w:r>
      <w:r w:rsidRPr="002136E6">
        <w:rPr>
          <w:b/>
          <w:sz w:val="24"/>
          <w:szCs w:val="24"/>
          <w:lang w:val="en-GB"/>
        </w:rPr>
        <w:t>.</w:t>
      </w:r>
    </w:p>
    <w:p w14:paraId="4E6C319D" w14:textId="77777777" w:rsidR="00374941" w:rsidRPr="002136E6" w:rsidRDefault="00374941" w:rsidP="008470D5">
      <w:pPr>
        <w:ind w:left="851"/>
        <w:rPr>
          <w:sz w:val="24"/>
          <w:szCs w:val="24"/>
          <w:lang w:val="en-US"/>
        </w:rPr>
      </w:pPr>
    </w:p>
    <w:p w14:paraId="27B82B8E" w14:textId="77777777" w:rsidR="00374941" w:rsidRPr="002136E6" w:rsidRDefault="00374941" w:rsidP="008470D5">
      <w:pPr>
        <w:ind w:left="851"/>
        <w:rPr>
          <w:sz w:val="24"/>
          <w:szCs w:val="24"/>
          <w:lang w:val="en-GB"/>
        </w:rPr>
      </w:pPr>
      <w:r w:rsidRPr="002136E6">
        <w:rPr>
          <w:sz w:val="24"/>
          <w:szCs w:val="24"/>
          <w:lang w:val="en-GB"/>
        </w:rPr>
        <w:t>Data from an interaction study performed in growth hormone deficient adults suggest that somatropin administration may increase the clearance of compounds known to be metabolised by cytochrome P450 isoenzymes. The clearance of compounds metabolised by cytochrome P450 3A4 (e.g. sex steroids, corticosteroids, anticonvulsants and cyclosporine) may be especially increased resulting in lower plasma levels of these compounds. The clinical significance of this is unknown.</w:t>
      </w:r>
    </w:p>
    <w:p w14:paraId="5F6BA00E" w14:textId="77777777" w:rsidR="00374941" w:rsidRPr="002136E6" w:rsidRDefault="00374941" w:rsidP="008470D5">
      <w:pPr>
        <w:ind w:left="851"/>
        <w:rPr>
          <w:sz w:val="24"/>
          <w:szCs w:val="24"/>
          <w:lang w:val="en-GB"/>
        </w:rPr>
      </w:pPr>
    </w:p>
    <w:p w14:paraId="3EE81F23" w14:textId="77777777" w:rsidR="00374941" w:rsidRPr="002136E6" w:rsidRDefault="00374941" w:rsidP="008470D5">
      <w:pPr>
        <w:tabs>
          <w:tab w:val="left" w:pos="372"/>
          <w:tab w:val="left" w:pos="486"/>
          <w:tab w:val="left" w:pos="600"/>
          <w:tab w:val="left" w:pos="714"/>
          <w:tab w:val="left" w:pos="822"/>
          <w:tab w:val="left" w:pos="936"/>
          <w:tab w:val="left" w:pos="1050"/>
          <w:tab w:val="left" w:pos="2976"/>
          <w:tab w:val="left" w:pos="3828"/>
          <w:tab w:val="left" w:pos="4110"/>
          <w:tab w:val="left" w:pos="5532"/>
        </w:tabs>
        <w:ind w:left="851"/>
        <w:rPr>
          <w:sz w:val="24"/>
          <w:szCs w:val="24"/>
          <w:lang w:val="en-GB"/>
        </w:rPr>
      </w:pPr>
      <w:r w:rsidRPr="002136E6">
        <w:rPr>
          <w:sz w:val="24"/>
          <w:szCs w:val="24"/>
          <w:lang w:val="en-GB"/>
        </w:rPr>
        <w:t xml:space="preserve">The effect of somatropin on final height can also be influenced by additional therapy with other hormones, e.g. gonadotropin, anabolic steroids, oestrogen, and thyroid hormone. </w:t>
      </w:r>
    </w:p>
    <w:p w14:paraId="69FF6AB0" w14:textId="77777777" w:rsidR="00374941" w:rsidRPr="002136E6" w:rsidRDefault="00374941" w:rsidP="008470D5">
      <w:pPr>
        <w:ind w:left="851"/>
        <w:rPr>
          <w:sz w:val="24"/>
          <w:szCs w:val="24"/>
          <w:lang w:val="en-GB"/>
        </w:rPr>
      </w:pPr>
    </w:p>
    <w:p w14:paraId="06ACCE23" w14:textId="77777777" w:rsidR="00374941" w:rsidRPr="002136E6" w:rsidRDefault="00374941" w:rsidP="008470D5">
      <w:pPr>
        <w:ind w:left="851"/>
        <w:rPr>
          <w:sz w:val="24"/>
          <w:szCs w:val="24"/>
          <w:lang w:val="en-US"/>
        </w:rPr>
      </w:pPr>
      <w:r w:rsidRPr="002136E6">
        <w:rPr>
          <w:sz w:val="24"/>
          <w:szCs w:val="24"/>
          <w:lang w:val="en-US"/>
        </w:rPr>
        <w:t xml:space="preserve">In insulin treated </w:t>
      </w:r>
      <w:proofErr w:type="gramStart"/>
      <w:r w:rsidRPr="002136E6">
        <w:rPr>
          <w:sz w:val="24"/>
          <w:szCs w:val="24"/>
          <w:lang w:val="en-US"/>
        </w:rPr>
        <w:t>patients</w:t>
      </w:r>
      <w:proofErr w:type="gramEnd"/>
      <w:r w:rsidRPr="002136E6">
        <w:rPr>
          <w:sz w:val="24"/>
          <w:szCs w:val="24"/>
          <w:lang w:val="en-US"/>
        </w:rPr>
        <w:t xml:space="preserve"> adjustment of insulin dose may be needed after initiation of somatropin treatment (see section 4.4).</w:t>
      </w:r>
    </w:p>
    <w:p w14:paraId="2E6CD348" w14:textId="77777777" w:rsidR="00374941" w:rsidRPr="002136E6" w:rsidRDefault="00374941" w:rsidP="008470D5">
      <w:pPr>
        <w:ind w:left="851"/>
        <w:rPr>
          <w:sz w:val="24"/>
          <w:szCs w:val="24"/>
          <w:lang w:val="en-US"/>
        </w:rPr>
      </w:pPr>
    </w:p>
    <w:p w14:paraId="1FF23E56" w14:textId="77777777" w:rsidR="00374941" w:rsidRPr="002136E6" w:rsidRDefault="00374941" w:rsidP="008470D5">
      <w:pPr>
        <w:ind w:left="851"/>
        <w:rPr>
          <w:sz w:val="24"/>
          <w:szCs w:val="24"/>
          <w:u w:val="single"/>
          <w:lang w:val="en-US"/>
        </w:rPr>
      </w:pPr>
      <w:r w:rsidRPr="002136E6">
        <w:rPr>
          <w:sz w:val="24"/>
          <w:szCs w:val="24"/>
          <w:u w:val="single"/>
          <w:lang w:val="en-US"/>
        </w:rPr>
        <w:t>Paediatric population</w:t>
      </w:r>
    </w:p>
    <w:p w14:paraId="2B4E202B" w14:textId="77777777" w:rsidR="00374941" w:rsidRPr="002136E6" w:rsidRDefault="00374941" w:rsidP="008470D5">
      <w:pPr>
        <w:ind w:left="851"/>
        <w:rPr>
          <w:sz w:val="24"/>
          <w:szCs w:val="24"/>
          <w:u w:val="single"/>
          <w:lang w:val="en-US"/>
        </w:rPr>
      </w:pPr>
    </w:p>
    <w:p w14:paraId="6F34CA90" w14:textId="77777777" w:rsidR="00374941" w:rsidRPr="002136E6" w:rsidRDefault="00374941" w:rsidP="008470D5">
      <w:pPr>
        <w:ind w:left="851"/>
        <w:rPr>
          <w:sz w:val="24"/>
          <w:szCs w:val="24"/>
          <w:lang w:val="en-US"/>
        </w:rPr>
      </w:pPr>
      <w:r w:rsidRPr="002136E6">
        <w:rPr>
          <w:sz w:val="24"/>
          <w:szCs w:val="24"/>
          <w:lang w:val="en-US"/>
        </w:rPr>
        <w:t>Interaction studies have only been performed in adults.</w:t>
      </w:r>
    </w:p>
    <w:p w14:paraId="6FC08788" w14:textId="77777777" w:rsidR="007C5D2A" w:rsidRPr="002136E6" w:rsidRDefault="007C5D2A" w:rsidP="003E0341">
      <w:pPr>
        <w:tabs>
          <w:tab w:val="left" w:pos="851"/>
        </w:tabs>
        <w:ind w:left="851"/>
        <w:rPr>
          <w:sz w:val="24"/>
          <w:szCs w:val="24"/>
          <w:lang w:val="en-GB"/>
        </w:rPr>
      </w:pPr>
    </w:p>
    <w:p w14:paraId="481C5D79" w14:textId="77777777" w:rsidR="007C5D2A" w:rsidRPr="002136E6" w:rsidRDefault="007C5D2A" w:rsidP="007C5D2A">
      <w:pPr>
        <w:tabs>
          <w:tab w:val="left" w:pos="851"/>
        </w:tabs>
        <w:ind w:left="851" w:hanging="851"/>
        <w:rPr>
          <w:b/>
          <w:sz w:val="24"/>
          <w:szCs w:val="24"/>
          <w:lang w:val="en-GB"/>
        </w:rPr>
      </w:pPr>
      <w:r w:rsidRPr="002136E6">
        <w:rPr>
          <w:b/>
          <w:sz w:val="24"/>
          <w:szCs w:val="24"/>
          <w:lang w:val="en-GB"/>
        </w:rPr>
        <w:t>4.6</w:t>
      </w:r>
      <w:r w:rsidRPr="002136E6">
        <w:rPr>
          <w:b/>
          <w:sz w:val="24"/>
          <w:szCs w:val="24"/>
          <w:lang w:val="en-GB"/>
        </w:rPr>
        <w:tab/>
      </w:r>
      <w:r w:rsidR="004860D3" w:rsidRPr="002136E6">
        <w:rPr>
          <w:b/>
          <w:sz w:val="24"/>
          <w:szCs w:val="24"/>
          <w:lang w:val="en-GB"/>
        </w:rPr>
        <w:t>Fertility, p</w:t>
      </w:r>
      <w:r w:rsidRPr="002136E6">
        <w:rPr>
          <w:b/>
          <w:sz w:val="24"/>
          <w:szCs w:val="24"/>
          <w:lang w:val="en-GB"/>
        </w:rPr>
        <w:t>regnancy and lactation</w:t>
      </w:r>
    </w:p>
    <w:p w14:paraId="7A67D20F" w14:textId="77777777" w:rsidR="0072697C" w:rsidRDefault="0072697C" w:rsidP="00597EA9">
      <w:pPr>
        <w:ind w:left="851"/>
        <w:rPr>
          <w:sz w:val="24"/>
          <w:szCs w:val="24"/>
          <w:u w:val="single"/>
          <w:lang w:val="en-GB"/>
        </w:rPr>
      </w:pPr>
    </w:p>
    <w:p w14:paraId="6EB26519" w14:textId="01E2F1ED" w:rsidR="00374941" w:rsidRPr="002136E6" w:rsidRDefault="00374941" w:rsidP="00597EA9">
      <w:pPr>
        <w:ind w:left="851"/>
        <w:rPr>
          <w:sz w:val="24"/>
          <w:szCs w:val="24"/>
          <w:u w:val="single"/>
          <w:lang w:val="en-GB"/>
        </w:rPr>
      </w:pPr>
      <w:r w:rsidRPr="002136E6">
        <w:rPr>
          <w:sz w:val="24"/>
          <w:szCs w:val="24"/>
          <w:u w:val="single"/>
          <w:lang w:val="en-GB"/>
        </w:rPr>
        <w:t>Pregnancy</w:t>
      </w:r>
    </w:p>
    <w:p w14:paraId="4CDD5B4E" w14:textId="77777777" w:rsidR="00374941" w:rsidRPr="002136E6" w:rsidRDefault="00374941" w:rsidP="00597EA9">
      <w:pPr>
        <w:ind w:left="851"/>
        <w:rPr>
          <w:sz w:val="24"/>
          <w:szCs w:val="24"/>
          <w:lang w:val="en-GB"/>
        </w:rPr>
      </w:pPr>
    </w:p>
    <w:p w14:paraId="6304967A" w14:textId="77777777" w:rsidR="00374941" w:rsidRPr="002136E6" w:rsidRDefault="00374941" w:rsidP="00597EA9">
      <w:pPr>
        <w:ind w:left="851"/>
        <w:rPr>
          <w:sz w:val="24"/>
          <w:szCs w:val="24"/>
          <w:lang w:val="en-GB"/>
        </w:rPr>
      </w:pPr>
      <w:r w:rsidRPr="002136E6">
        <w:rPr>
          <w:sz w:val="24"/>
          <w:szCs w:val="24"/>
          <w:lang w:val="en-GB"/>
        </w:rPr>
        <w:t>Animal studies are insufficient with regard to effects on pregnancy, embryo-foetal development, parturition, or postnatal development. No clinical data on exposed pregnancies are available.</w:t>
      </w:r>
    </w:p>
    <w:p w14:paraId="420DA9AD" w14:textId="77777777" w:rsidR="00374941" w:rsidRPr="002136E6" w:rsidRDefault="00374941" w:rsidP="00597EA9">
      <w:pPr>
        <w:ind w:left="851"/>
        <w:rPr>
          <w:sz w:val="24"/>
          <w:szCs w:val="24"/>
          <w:lang w:val="en-GB"/>
        </w:rPr>
      </w:pPr>
      <w:r w:rsidRPr="002136E6">
        <w:rPr>
          <w:sz w:val="24"/>
          <w:szCs w:val="24"/>
          <w:lang w:val="en-GB"/>
        </w:rPr>
        <w:t>Therefore, somatropin containing products are not recommended during pregnancy and in women of childbearing potential not using contraception.</w:t>
      </w:r>
    </w:p>
    <w:p w14:paraId="21332625" w14:textId="77777777" w:rsidR="00374941" w:rsidRPr="002136E6" w:rsidRDefault="00374941" w:rsidP="00597EA9">
      <w:pPr>
        <w:ind w:left="851"/>
        <w:rPr>
          <w:sz w:val="24"/>
          <w:szCs w:val="24"/>
          <w:lang w:val="en-GB"/>
        </w:rPr>
      </w:pPr>
    </w:p>
    <w:p w14:paraId="424B1A2E" w14:textId="77777777" w:rsidR="00374941" w:rsidRPr="002136E6" w:rsidRDefault="00374941" w:rsidP="00597EA9">
      <w:pPr>
        <w:ind w:left="851"/>
        <w:rPr>
          <w:sz w:val="24"/>
          <w:szCs w:val="24"/>
          <w:u w:val="single"/>
          <w:lang w:val="en-GB"/>
        </w:rPr>
      </w:pPr>
      <w:r w:rsidRPr="002136E6">
        <w:rPr>
          <w:sz w:val="24"/>
          <w:szCs w:val="24"/>
          <w:u w:val="single"/>
          <w:lang w:val="en-GB"/>
        </w:rPr>
        <w:t>Breast-feeding</w:t>
      </w:r>
    </w:p>
    <w:p w14:paraId="56382E27" w14:textId="77777777" w:rsidR="00374941" w:rsidRPr="002136E6" w:rsidRDefault="00374941" w:rsidP="00597EA9">
      <w:pPr>
        <w:ind w:left="851"/>
        <w:rPr>
          <w:sz w:val="24"/>
          <w:szCs w:val="24"/>
          <w:lang w:val="en-GB"/>
        </w:rPr>
      </w:pPr>
    </w:p>
    <w:p w14:paraId="444F6708" w14:textId="6005C5A0" w:rsidR="00374941" w:rsidRPr="002136E6" w:rsidRDefault="00374941" w:rsidP="00597EA9">
      <w:pPr>
        <w:ind w:left="851"/>
        <w:rPr>
          <w:sz w:val="24"/>
          <w:szCs w:val="24"/>
          <w:lang w:val="en-GB"/>
        </w:rPr>
      </w:pPr>
      <w:r w:rsidRPr="002136E6">
        <w:rPr>
          <w:sz w:val="24"/>
          <w:szCs w:val="24"/>
          <w:lang w:val="en-GB"/>
        </w:rPr>
        <w:t>There have been no clinical studies conducted with somatropin containing products in breast-feeding women. It is not known whether somatropin is excreted in human milk. Therefore</w:t>
      </w:r>
      <w:r w:rsidR="002136E6">
        <w:rPr>
          <w:sz w:val="24"/>
          <w:szCs w:val="24"/>
          <w:lang w:val="en-GB"/>
        </w:rPr>
        <w:t>,</w:t>
      </w:r>
      <w:r w:rsidRPr="002136E6">
        <w:rPr>
          <w:sz w:val="24"/>
          <w:szCs w:val="24"/>
          <w:lang w:val="en-GB"/>
        </w:rPr>
        <w:t xml:space="preserve"> caution should be exercised when somatropin containing products are administered to breast-feeding women.</w:t>
      </w:r>
    </w:p>
    <w:p w14:paraId="35308815" w14:textId="77777777" w:rsidR="00374941" w:rsidRPr="002136E6" w:rsidRDefault="00374941" w:rsidP="00597EA9">
      <w:pPr>
        <w:ind w:left="851"/>
        <w:rPr>
          <w:sz w:val="24"/>
          <w:szCs w:val="24"/>
          <w:lang w:val="en-GB"/>
        </w:rPr>
      </w:pPr>
    </w:p>
    <w:p w14:paraId="21E14FDE" w14:textId="77777777" w:rsidR="00374941" w:rsidRPr="002136E6" w:rsidRDefault="00374941" w:rsidP="00597EA9">
      <w:pPr>
        <w:ind w:left="851"/>
        <w:rPr>
          <w:sz w:val="24"/>
          <w:szCs w:val="24"/>
          <w:u w:val="single"/>
          <w:lang w:val="en-GB"/>
        </w:rPr>
      </w:pPr>
      <w:r w:rsidRPr="002136E6">
        <w:rPr>
          <w:sz w:val="24"/>
          <w:szCs w:val="24"/>
          <w:u w:val="single"/>
          <w:lang w:val="en-GB"/>
        </w:rPr>
        <w:t>Fertility</w:t>
      </w:r>
    </w:p>
    <w:p w14:paraId="5BC1C100" w14:textId="77777777" w:rsidR="00374941" w:rsidRPr="002136E6" w:rsidRDefault="00374941" w:rsidP="00597EA9">
      <w:pPr>
        <w:ind w:left="851"/>
        <w:rPr>
          <w:sz w:val="24"/>
          <w:szCs w:val="24"/>
          <w:lang w:val="en-GB"/>
        </w:rPr>
      </w:pPr>
    </w:p>
    <w:p w14:paraId="33161689" w14:textId="77777777" w:rsidR="00374941" w:rsidRPr="002136E6" w:rsidRDefault="00374941" w:rsidP="00597EA9">
      <w:pPr>
        <w:ind w:left="851"/>
        <w:rPr>
          <w:sz w:val="24"/>
          <w:szCs w:val="24"/>
          <w:lang w:val="en-GB"/>
        </w:rPr>
      </w:pPr>
      <w:r w:rsidRPr="002136E6">
        <w:rPr>
          <w:sz w:val="24"/>
          <w:szCs w:val="24"/>
          <w:lang w:val="en-GB"/>
        </w:rPr>
        <w:t xml:space="preserve">Fertility studies with </w:t>
      </w:r>
      <w:proofErr w:type="spellStart"/>
      <w:r w:rsidRPr="002136E6">
        <w:rPr>
          <w:sz w:val="24"/>
          <w:szCs w:val="24"/>
          <w:lang w:val="en-GB"/>
        </w:rPr>
        <w:t>Norditropin</w:t>
      </w:r>
      <w:proofErr w:type="spellEnd"/>
      <w:r w:rsidRPr="002136E6">
        <w:rPr>
          <w:sz w:val="24"/>
          <w:szCs w:val="24"/>
          <w:lang w:val="en-GB"/>
        </w:rPr>
        <w:t xml:space="preserve"> have not been performed.</w:t>
      </w:r>
    </w:p>
    <w:p w14:paraId="012C5152" w14:textId="239533E4" w:rsidR="00E6462E" w:rsidRDefault="00E6462E">
      <w:pPr>
        <w:rPr>
          <w:sz w:val="24"/>
          <w:szCs w:val="24"/>
          <w:lang w:val="en-GB"/>
        </w:rPr>
      </w:pPr>
      <w:r>
        <w:rPr>
          <w:sz w:val="24"/>
          <w:szCs w:val="24"/>
          <w:lang w:val="en-GB"/>
        </w:rPr>
        <w:br w:type="page"/>
      </w:r>
    </w:p>
    <w:p w14:paraId="2DF475A4" w14:textId="77777777" w:rsidR="007C5D2A" w:rsidRPr="002136E6" w:rsidRDefault="007C5D2A" w:rsidP="003E0341">
      <w:pPr>
        <w:tabs>
          <w:tab w:val="left" w:pos="851"/>
        </w:tabs>
        <w:ind w:left="851"/>
        <w:rPr>
          <w:sz w:val="24"/>
          <w:szCs w:val="24"/>
          <w:lang w:val="en-GB"/>
        </w:rPr>
      </w:pPr>
    </w:p>
    <w:p w14:paraId="1C385B95" w14:textId="77777777" w:rsidR="007C5D2A" w:rsidRPr="002136E6" w:rsidRDefault="007C5D2A" w:rsidP="007C5D2A">
      <w:pPr>
        <w:tabs>
          <w:tab w:val="left" w:pos="851"/>
        </w:tabs>
        <w:ind w:left="851" w:hanging="851"/>
        <w:rPr>
          <w:b/>
          <w:sz w:val="24"/>
          <w:szCs w:val="24"/>
          <w:lang w:val="en-GB"/>
        </w:rPr>
      </w:pPr>
      <w:r w:rsidRPr="002136E6">
        <w:rPr>
          <w:b/>
          <w:sz w:val="24"/>
          <w:szCs w:val="24"/>
          <w:lang w:val="en-GB"/>
        </w:rPr>
        <w:t>4.7</w:t>
      </w:r>
      <w:r w:rsidRPr="002136E6">
        <w:rPr>
          <w:b/>
          <w:sz w:val="24"/>
          <w:szCs w:val="24"/>
          <w:lang w:val="en-GB"/>
        </w:rPr>
        <w:tab/>
        <w:t>Effects on ability to drive and use machines</w:t>
      </w:r>
    </w:p>
    <w:p w14:paraId="335D182B" w14:textId="77777777" w:rsidR="002453A4" w:rsidRPr="002136E6" w:rsidRDefault="002453A4" w:rsidP="002453A4">
      <w:pPr>
        <w:ind w:left="851"/>
        <w:rPr>
          <w:sz w:val="24"/>
          <w:szCs w:val="24"/>
          <w:lang w:val="en-GB"/>
        </w:rPr>
      </w:pPr>
      <w:r w:rsidRPr="002136E6">
        <w:rPr>
          <w:sz w:val="24"/>
          <w:szCs w:val="24"/>
          <w:lang w:val="en-GB"/>
        </w:rPr>
        <w:t>No traffic warning.</w:t>
      </w:r>
    </w:p>
    <w:p w14:paraId="0DB73250" w14:textId="0338C152" w:rsidR="00374941" w:rsidRPr="002136E6" w:rsidRDefault="00374941" w:rsidP="002453A4">
      <w:pPr>
        <w:ind w:left="851"/>
        <w:rPr>
          <w:sz w:val="24"/>
          <w:szCs w:val="24"/>
          <w:lang w:val="en-GB"/>
        </w:rPr>
      </w:pP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NordiLet</w:t>
      </w:r>
      <w:proofErr w:type="spellEnd"/>
      <w:r w:rsidRPr="002136E6">
        <w:rPr>
          <w:sz w:val="24"/>
          <w:szCs w:val="24"/>
          <w:lang w:val="en-GB"/>
        </w:rPr>
        <w:t xml:space="preserve"> has no or negligible influence on the ability to drive and use machines.</w:t>
      </w:r>
    </w:p>
    <w:p w14:paraId="56D95C7C" w14:textId="77777777" w:rsidR="007C5D2A" w:rsidRPr="002136E6" w:rsidRDefault="007C5D2A" w:rsidP="003E0341">
      <w:pPr>
        <w:tabs>
          <w:tab w:val="left" w:pos="851"/>
        </w:tabs>
        <w:ind w:left="851"/>
        <w:rPr>
          <w:sz w:val="24"/>
          <w:szCs w:val="24"/>
          <w:lang w:val="en-GB"/>
        </w:rPr>
      </w:pPr>
    </w:p>
    <w:p w14:paraId="6BBDD6EA" w14:textId="77777777" w:rsidR="007C5D2A" w:rsidRPr="002136E6" w:rsidRDefault="007C5D2A" w:rsidP="007C5D2A">
      <w:pPr>
        <w:tabs>
          <w:tab w:val="left" w:pos="851"/>
        </w:tabs>
        <w:ind w:left="851" w:hanging="851"/>
        <w:rPr>
          <w:b/>
          <w:sz w:val="24"/>
          <w:szCs w:val="24"/>
          <w:lang w:val="en-GB"/>
        </w:rPr>
      </w:pPr>
      <w:r w:rsidRPr="002136E6">
        <w:rPr>
          <w:b/>
          <w:sz w:val="24"/>
          <w:szCs w:val="24"/>
          <w:lang w:val="en-GB"/>
        </w:rPr>
        <w:t>4.8</w:t>
      </w:r>
      <w:r w:rsidRPr="002136E6">
        <w:rPr>
          <w:b/>
          <w:sz w:val="24"/>
          <w:szCs w:val="24"/>
          <w:lang w:val="en-GB"/>
        </w:rPr>
        <w:tab/>
        <w:t>Undesirable effects</w:t>
      </w:r>
    </w:p>
    <w:p w14:paraId="183555D7" w14:textId="77777777" w:rsidR="00374941" w:rsidRPr="002136E6" w:rsidRDefault="00374941" w:rsidP="002453A4">
      <w:pPr>
        <w:ind w:left="851"/>
        <w:rPr>
          <w:sz w:val="24"/>
          <w:szCs w:val="24"/>
          <w:lang w:val="en-GB"/>
        </w:rPr>
      </w:pPr>
      <w:r w:rsidRPr="002136E6">
        <w:rPr>
          <w:sz w:val="24"/>
          <w:szCs w:val="24"/>
          <w:lang w:val="en-GB"/>
        </w:rPr>
        <w:t>Growth hormone deficient patients are characterised by extracellular volume deficit. When treatment with somatropin is initiated, this deficit is corrected. Fluid retention with peripheral oedema may occur especially in adults. Carpal tunnel syndrome is uncommon, but may be seen in adults. The symptoms are usually transient, dose dependent and may require transient dose reduction.</w:t>
      </w:r>
    </w:p>
    <w:p w14:paraId="512ACE14" w14:textId="77777777" w:rsidR="00374941" w:rsidRPr="002136E6" w:rsidRDefault="00374941" w:rsidP="002453A4">
      <w:pPr>
        <w:ind w:left="851"/>
        <w:rPr>
          <w:sz w:val="24"/>
          <w:szCs w:val="24"/>
          <w:lang w:val="en-GB"/>
        </w:rPr>
      </w:pPr>
      <w:r w:rsidRPr="002136E6">
        <w:rPr>
          <w:sz w:val="24"/>
          <w:szCs w:val="24"/>
          <w:lang w:val="en-GB"/>
        </w:rPr>
        <w:t xml:space="preserve">Mild arthralgia, muscle pain and </w:t>
      </w:r>
      <w:proofErr w:type="spellStart"/>
      <w:r w:rsidRPr="002136E6">
        <w:rPr>
          <w:sz w:val="24"/>
          <w:szCs w:val="24"/>
          <w:lang w:val="en-GB"/>
        </w:rPr>
        <w:t>paresthesia</w:t>
      </w:r>
      <w:proofErr w:type="spellEnd"/>
      <w:r w:rsidRPr="002136E6">
        <w:rPr>
          <w:sz w:val="24"/>
          <w:szCs w:val="24"/>
          <w:lang w:val="en-GB"/>
        </w:rPr>
        <w:t xml:space="preserve"> may also occur but are usually self-limiting.</w:t>
      </w:r>
    </w:p>
    <w:p w14:paraId="7230BF36" w14:textId="77777777" w:rsidR="00374941" w:rsidRPr="002136E6" w:rsidRDefault="00374941" w:rsidP="002453A4">
      <w:pPr>
        <w:ind w:left="851"/>
        <w:rPr>
          <w:sz w:val="24"/>
          <w:szCs w:val="24"/>
          <w:lang w:val="en-GB"/>
        </w:rPr>
      </w:pPr>
    </w:p>
    <w:p w14:paraId="532474AD" w14:textId="77777777" w:rsidR="00374941" w:rsidRPr="002136E6" w:rsidRDefault="00374941" w:rsidP="002453A4">
      <w:pPr>
        <w:ind w:left="851"/>
        <w:rPr>
          <w:sz w:val="24"/>
          <w:szCs w:val="24"/>
          <w:lang w:val="en-GB"/>
        </w:rPr>
      </w:pPr>
      <w:r w:rsidRPr="002136E6">
        <w:rPr>
          <w:sz w:val="24"/>
          <w:szCs w:val="24"/>
          <w:lang w:val="en-GB"/>
        </w:rPr>
        <w:t>Adverse reactions in children are uncommon or rare.</w:t>
      </w:r>
    </w:p>
    <w:p w14:paraId="389CE6A4" w14:textId="77777777" w:rsidR="00374941" w:rsidRPr="002136E6" w:rsidRDefault="00374941" w:rsidP="002453A4">
      <w:pPr>
        <w:ind w:left="851"/>
        <w:rPr>
          <w:sz w:val="24"/>
          <w:szCs w:val="24"/>
          <w:lang w:val="en-GB"/>
        </w:rPr>
      </w:pPr>
    </w:p>
    <w:p w14:paraId="7648FA97" w14:textId="77777777" w:rsidR="00374941" w:rsidRPr="002136E6" w:rsidRDefault="00374941" w:rsidP="002453A4">
      <w:pPr>
        <w:ind w:left="851"/>
        <w:rPr>
          <w:sz w:val="24"/>
          <w:szCs w:val="24"/>
        </w:rPr>
      </w:pPr>
      <w:proofErr w:type="spellStart"/>
      <w:r w:rsidRPr="002136E6">
        <w:rPr>
          <w:sz w:val="24"/>
          <w:szCs w:val="24"/>
        </w:rPr>
        <w:t>Clinical</w:t>
      </w:r>
      <w:proofErr w:type="spellEnd"/>
      <w:r w:rsidRPr="002136E6">
        <w:rPr>
          <w:sz w:val="24"/>
          <w:szCs w:val="24"/>
        </w:rPr>
        <w:t xml:space="preserve"> </w:t>
      </w:r>
      <w:proofErr w:type="spellStart"/>
      <w:r w:rsidRPr="002136E6">
        <w:rPr>
          <w:sz w:val="24"/>
          <w:szCs w:val="24"/>
        </w:rPr>
        <w:t>trial</w:t>
      </w:r>
      <w:proofErr w:type="spellEnd"/>
      <w:r w:rsidRPr="002136E6">
        <w:rPr>
          <w:sz w:val="24"/>
          <w:szCs w:val="24"/>
        </w:rPr>
        <w:t xml:space="preserve"> </w:t>
      </w:r>
      <w:proofErr w:type="spellStart"/>
      <w:r w:rsidRPr="002136E6">
        <w:rPr>
          <w:sz w:val="24"/>
          <w:szCs w:val="24"/>
        </w:rPr>
        <w:t>experience</w:t>
      </w:r>
      <w:proofErr w:type="spellEnd"/>
      <w:r w:rsidRPr="002136E6">
        <w:rPr>
          <w:sz w:val="24"/>
          <w:szCs w:val="24"/>
        </w:rPr>
        <w:t>:</w:t>
      </w:r>
    </w:p>
    <w:p w14:paraId="68C26AF7" w14:textId="77777777" w:rsidR="00374941" w:rsidRPr="002136E6" w:rsidRDefault="00374941" w:rsidP="0037494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587"/>
        <w:gridCol w:w="1768"/>
        <w:gridCol w:w="1872"/>
        <w:gridCol w:w="2118"/>
      </w:tblGrid>
      <w:tr w:rsidR="00374941" w:rsidRPr="00E6462E" w14:paraId="7ABCA702" w14:textId="77777777" w:rsidTr="002453A4">
        <w:tc>
          <w:tcPr>
            <w:tcW w:w="1186" w:type="pct"/>
            <w:shd w:val="clear" w:color="auto" w:fill="auto"/>
          </w:tcPr>
          <w:p w14:paraId="058E662B" w14:textId="77777777" w:rsidR="00374941" w:rsidRPr="00E6462E" w:rsidRDefault="00374941" w:rsidP="00F930DD">
            <w:pPr>
              <w:spacing w:after="240" w:line="264" w:lineRule="auto"/>
              <w:rPr>
                <w:sz w:val="22"/>
                <w:szCs w:val="22"/>
              </w:rPr>
            </w:pPr>
            <w:r w:rsidRPr="00E6462E">
              <w:rPr>
                <w:sz w:val="22"/>
                <w:szCs w:val="22"/>
              </w:rPr>
              <w:t xml:space="preserve">System organ </w:t>
            </w:r>
            <w:proofErr w:type="spellStart"/>
            <w:r w:rsidRPr="00E6462E">
              <w:rPr>
                <w:sz w:val="22"/>
                <w:szCs w:val="22"/>
              </w:rPr>
              <w:t>classes</w:t>
            </w:r>
            <w:proofErr w:type="spellEnd"/>
          </w:p>
        </w:tc>
        <w:tc>
          <w:tcPr>
            <w:tcW w:w="824" w:type="pct"/>
            <w:shd w:val="clear" w:color="auto" w:fill="auto"/>
          </w:tcPr>
          <w:p w14:paraId="42F22A55" w14:textId="77777777" w:rsidR="00374941" w:rsidRPr="00E6462E" w:rsidRDefault="00374941" w:rsidP="00F930DD">
            <w:pPr>
              <w:spacing w:after="240" w:line="264" w:lineRule="auto"/>
              <w:rPr>
                <w:sz w:val="22"/>
                <w:szCs w:val="22"/>
              </w:rPr>
            </w:pPr>
            <w:proofErr w:type="spellStart"/>
            <w:r w:rsidRPr="00E6462E">
              <w:rPr>
                <w:sz w:val="22"/>
                <w:szCs w:val="22"/>
              </w:rPr>
              <w:t>Very</w:t>
            </w:r>
            <w:proofErr w:type="spellEnd"/>
            <w:r w:rsidRPr="00E6462E">
              <w:rPr>
                <w:sz w:val="22"/>
                <w:szCs w:val="22"/>
              </w:rPr>
              <w:t xml:space="preserve"> common</w:t>
            </w:r>
            <w:r w:rsidRPr="00E6462E">
              <w:rPr>
                <w:sz w:val="22"/>
                <w:szCs w:val="22"/>
              </w:rPr>
              <w:br/>
              <w:t>(≥ 1/10)</w:t>
            </w:r>
          </w:p>
        </w:tc>
        <w:tc>
          <w:tcPr>
            <w:tcW w:w="918" w:type="pct"/>
            <w:shd w:val="clear" w:color="auto" w:fill="auto"/>
          </w:tcPr>
          <w:p w14:paraId="5F4EC6E2" w14:textId="77777777" w:rsidR="00374941" w:rsidRPr="00E6462E" w:rsidRDefault="00374941" w:rsidP="00F930DD">
            <w:pPr>
              <w:spacing w:after="240" w:line="264" w:lineRule="auto"/>
              <w:rPr>
                <w:sz w:val="22"/>
                <w:szCs w:val="22"/>
              </w:rPr>
            </w:pPr>
            <w:r w:rsidRPr="00E6462E">
              <w:rPr>
                <w:sz w:val="22"/>
                <w:szCs w:val="22"/>
              </w:rPr>
              <w:t>Common</w:t>
            </w:r>
            <w:r w:rsidRPr="00E6462E">
              <w:rPr>
                <w:sz w:val="22"/>
                <w:szCs w:val="22"/>
              </w:rPr>
              <w:br/>
              <w:t>(≥ 1/100 to &lt; 1/10)</w:t>
            </w:r>
          </w:p>
        </w:tc>
        <w:tc>
          <w:tcPr>
            <w:tcW w:w="972" w:type="pct"/>
            <w:shd w:val="clear" w:color="auto" w:fill="auto"/>
          </w:tcPr>
          <w:p w14:paraId="6C30BB4B" w14:textId="77777777" w:rsidR="00374941" w:rsidRPr="00E6462E" w:rsidRDefault="00374941" w:rsidP="00F930DD">
            <w:pPr>
              <w:spacing w:after="240" w:line="264" w:lineRule="auto"/>
              <w:rPr>
                <w:sz w:val="22"/>
                <w:szCs w:val="22"/>
              </w:rPr>
            </w:pPr>
            <w:proofErr w:type="spellStart"/>
            <w:r w:rsidRPr="00E6462E">
              <w:rPr>
                <w:sz w:val="22"/>
                <w:szCs w:val="22"/>
              </w:rPr>
              <w:t>Uncommon</w:t>
            </w:r>
            <w:proofErr w:type="spellEnd"/>
            <w:r w:rsidRPr="00E6462E">
              <w:rPr>
                <w:sz w:val="22"/>
                <w:szCs w:val="22"/>
              </w:rPr>
              <w:br/>
              <w:t>(≥ 1/1,000 to &lt; 1/100)</w:t>
            </w:r>
          </w:p>
        </w:tc>
        <w:tc>
          <w:tcPr>
            <w:tcW w:w="1100" w:type="pct"/>
            <w:shd w:val="clear" w:color="auto" w:fill="auto"/>
          </w:tcPr>
          <w:p w14:paraId="248E1B5E" w14:textId="77777777" w:rsidR="00374941" w:rsidRPr="00E6462E" w:rsidRDefault="00374941" w:rsidP="00F930DD">
            <w:pPr>
              <w:spacing w:after="240" w:line="264" w:lineRule="auto"/>
              <w:rPr>
                <w:sz w:val="22"/>
                <w:szCs w:val="22"/>
              </w:rPr>
            </w:pPr>
            <w:r w:rsidRPr="00E6462E">
              <w:rPr>
                <w:sz w:val="22"/>
                <w:szCs w:val="22"/>
              </w:rPr>
              <w:t>Rare</w:t>
            </w:r>
            <w:r w:rsidRPr="00E6462E">
              <w:rPr>
                <w:sz w:val="22"/>
                <w:szCs w:val="22"/>
              </w:rPr>
              <w:br/>
              <w:t>(≥ 1/10,000 to &lt; 1/1,000)</w:t>
            </w:r>
          </w:p>
        </w:tc>
      </w:tr>
      <w:tr w:rsidR="00374941" w:rsidRPr="00E6462E" w14:paraId="0C31BC45" w14:textId="77777777" w:rsidTr="002453A4">
        <w:tc>
          <w:tcPr>
            <w:tcW w:w="1186" w:type="pct"/>
            <w:shd w:val="clear" w:color="auto" w:fill="auto"/>
          </w:tcPr>
          <w:p w14:paraId="325FEAF8" w14:textId="77777777" w:rsidR="00374941" w:rsidRPr="00E6462E" w:rsidRDefault="00374941" w:rsidP="00F930DD">
            <w:pPr>
              <w:spacing w:after="240" w:line="264" w:lineRule="auto"/>
              <w:rPr>
                <w:i/>
                <w:sz w:val="22"/>
                <w:szCs w:val="22"/>
                <w:u w:val="single"/>
              </w:rPr>
            </w:pPr>
            <w:proofErr w:type="spellStart"/>
            <w:r w:rsidRPr="00E6462E">
              <w:rPr>
                <w:i/>
                <w:sz w:val="22"/>
                <w:szCs w:val="22"/>
                <w:u w:val="single"/>
              </w:rPr>
              <w:t>Metabolism</w:t>
            </w:r>
            <w:proofErr w:type="spellEnd"/>
            <w:r w:rsidRPr="00E6462E">
              <w:rPr>
                <w:i/>
                <w:sz w:val="22"/>
                <w:szCs w:val="22"/>
                <w:u w:val="single"/>
              </w:rPr>
              <w:t xml:space="preserve"> and </w:t>
            </w:r>
            <w:proofErr w:type="spellStart"/>
            <w:r w:rsidRPr="00E6462E">
              <w:rPr>
                <w:i/>
                <w:sz w:val="22"/>
                <w:szCs w:val="22"/>
                <w:u w:val="single"/>
              </w:rPr>
              <w:t>nutrition</w:t>
            </w:r>
            <w:proofErr w:type="spellEnd"/>
            <w:r w:rsidRPr="00E6462E">
              <w:rPr>
                <w:i/>
                <w:sz w:val="22"/>
                <w:szCs w:val="22"/>
                <w:u w:val="single"/>
              </w:rPr>
              <w:t xml:space="preserve"> </w:t>
            </w:r>
            <w:proofErr w:type="spellStart"/>
            <w:r w:rsidRPr="00E6462E">
              <w:rPr>
                <w:i/>
                <w:sz w:val="22"/>
                <w:szCs w:val="22"/>
                <w:u w:val="single"/>
              </w:rPr>
              <w:t>disorders</w:t>
            </w:r>
            <w:proofErr w:type="spellEnd"/>
          </w:p>
        </w:tc>
        <w:tc>
          <w:tcPr>
            <w:tcW w:w="824" w:type="pct"/>
            <w:shd w:val="clear" w:color="auto" w:fill="auto"/>
          </w:tcPr>
          <w:p w14:paraId="24C5EDA8" w14:textId="77777777" w:rsidR="00374941" w:rsidRPr="00E6462E" w:rsidRDefault="00374941" w:rsidP="00F930DD">
            <w:pPr>
              <w:spacing w:after="240" w:line="264" w:lineRule="auto"/>
              <w:rPr>
                <w:sz w:val="22"/>
                <w:szCs w:val="22"/>
              </w:rPr>
            </w:pPr>
          </w:p>
        </w:tc>
        <w:tc>
          <w:tcPr>
            <w:tcW w:w="918" w:type="pct"/>
            <w:shd w:val="clear" w:color="auto" w:fill="auto"/>
          </w:tcPr>
          <w:p w14:paraId="583B1D66" w14:textId="77777777" w:rsidR="00374941" w:rsidRPr="00E6462E" w:rsidRDefault="00374941" w:rsidP="00F930DD">
            <w:pPr>
              <w:spacing w:after="240" w:line="264" w:lineRule="auto"/>
              <w:rPr>
                <w:sz w:val="22"/>
                <w:szCs w:val="22"/>
              </w:rPr>
            </w:pPr>
          </w:p>
        </w:tc>
        <w:tc>
          <w:tcPr>
            <w:tcW w:w="972" w:type="pct"/>
            <w:shd w:val="clear" w:color="auto" w:fill="auto"/>
          </w:tcPr>
          <w:p w14:paraId="6EE3A3F3" w14:textId="77777777" w:rsidR="00374941" w:rsidRPr="00E6462E" w:rsidRDefault="00374941" w:rsidP="00F930DD">
            <w:pPr>
              <w:spacing w:line="264" w:lineRule="auto"/>
              <w:rPr>
                <w:sz w:val="22"/>
                <w:szCs w:val="22"/>
                <w:lang w:val="en-GB"/>
              </w:rPr>
            </w:pPr>
            <w:r w:rsidRPr="00E6462E">
              <w:rPr>
                <w:sz w:val="22"/>
                <w:szCs w:val="22"/>
                <w:lang w:val="en-GB"/>
              </w:rPr>
              <w:t xml:space="preserve">In adults Diabetes mellitus type 2 </w:t>
            </w:r>
          </w:p>
        </w:tc>
        <w:tc>
          <w:tcPr>
            <w:tcW w:w="1100" w:type="pct"/>
            <w:shd w:val="clear" w:color="auto" w:fill="auto"/>
          </w:tcPr>
          <w:p w14:paraId="2E158F93" w14:textId="77777777" w:rsidR="00374941" w:rsidRPr="00E6462E" w:rsidRDefault="00374941" w:rsidP="00F930DD">
            <w:pPr>
              <w:spacing w:after="240" w:line="264" w:lineRule="auto"/>
              <w:rPr>
                <w:sz w:val="22"/>
                <w:szCs w:val="22"/>
                <w:lang w:val="en-GB"/>
              </w:rPr>
            </w:pPr>
          </w:p>
        </w:tc>
      </w:tr>
      <w:tr w:rsidR="00374941" w:rsidRPr="00E6462E" w14:paraId="1CFBAAF8" w14:textId="77777777" w:rsidTr="002453A4">
        <w:tc>
          <w:tcPr>
            <w:tcW w:w="1186" w:type="pct"/>
            <w:shd w:val="clear" w:color="auto" w:fill="auto"/>
          </w:tcPr>
          <w:p w14:paraId="6B104994" w14:textId="77777777" w:rsidR="00374941" w:rsidRPr="00E6462E" w:rsidRDefault="00374941" w:rsidP="00F930DD">
            <w:pPr>
              <w:spacing w:after="240" w:line="264" w:lineRule="auto"/>
              <w:rPr>
                <w:i/>
                <w:sz w:val="22"/>
                <w:szCs w:val="22"/>
                <w:u w:val="single"/>
              </w:rPr>
            </w:pPr>
            <w:proofErr w:type="spellStart"/>
            <w:r w:rsidRPr="00E6462E">
              <w:rPr>
                <w:i/>
                <w:sz w:val="22"/>
                <w:szCs w:val="22"/>
                <w:u w:val="single"/>
              </w:rPr>
              <w:t>Nervous</w:t>
            </w:r>
            <w:proofErr w:type="spellEnd"/>
            <w:r w:rsidRPr="00E6462E">
              <w:rPr>
                <w:i/>
                <w:sz w:val="22"/>
                <w:szCs w:val="22"/>
                <w:u w:val="single"/>
              </w:rPr>
              <w:t xml:space="preserve"> system </w:t>
            </w:r>
            <w:proofErr w:type="spellStart"/>
            <w:r w:rsidRPr="00E6462E">
              <w:rPr>
                <w:i/>
                <w:sz w:val="22"/>
                <w:szCs w:val="22"/>
                <w:u w:val="single"/>
              </w:rPr>
              <w:t>disorders</w:t>
            </w:r>
            <w:proofErr w:type="spellEnd"/>
            <w:r w:rsidRPr="00E6462E">
              <w:rPr>
                <w:i/>
                <w:sz w:val="22"/>
                <w:szCs w:val="22"/>
                <w:u w:val="single"/>
              </w:rPr>
              <w:t xml:space="preserve"> </w:t>
            </w:r>
          </w:p>
        </w:tc>
        <w:tc>
          <w:tcPr>
            <w:tcW w:w="824" w:type="pct"/>
            <w:shd w:val="clear" w:color="auto" w:fill="auto"/>
          </w:tcPr>
          <w:p w14:paraId="6AE39A8A" w14:textId="77777777" w:rsidR="00374941" w:rsidRPr="00E6462E" w:rsidRDefault="00374941" w:rsidP="00F930DD">
            <w:pPr>
              <w:spacing w:after="240" w:line="264" w:lineRule="auto"/>
              <w:rPr>
                <w:b/>
                <w:sz w:val="22"/>
                <w:szCs w:val="22"/>
              </w:rPr>
            </w:pPr>
          </w:p>
        </w:tc>
        <w:tc>
          <w:tcPr>
            <w:tcW w:w="918" w:type="pct"/>
            <w:shd w:val="clear" w:color="auto" w:fill="auto"/>
          </w:tcPr>
          <w:p w14:paraId="38AC9000" w14:textId="77777777" w:rsidR="00374941" w:rsidRPr="00E6462E" w:rsidRDefault="00374941" w:rsidP="00F930DD">
            <w:pPr>
              <w:spacing w:after="240" w:line="264" w:lineRule="auto"/>
              <w:rPr>
                <w:sz w:val="22"/>
                <w:szCs w:val="22"/>
                <w:lang w:val="en-GB"/>
              </w:rPr>
            </w:pPr>
            <w:r w:rsidRPr="00E6462E">
              <w:rPr>
                <w:sz w:val="22"/>
                <w:szCs w:val="22"/>
                <w:lang w:val="en-GB"/>
              </w:rPr>
              <w:t xml:space="preserve">In </w:t>
            </w:r>
            <w:proofErr w:type="gramStart"/>
            <w:r w:rsidRPr="00E6462E">
              <w:rPr>
                <w:sz w:val="22"/>
                <w:szCs w:val="22"/>
                <w:lang w:val="en-GB"/>
              </w:rPr>
              <w:t>adults</w:t>
            </w:r>
            <w:proofErr w:type="gramEnd"/>
            <w:r w:rsidRPr="00E6462E">
              <w:rPr>
                <w:sz w:val="22"/>
                <w:szCs w:val="22"/>
                <w:lang w:val="en-GB"/>
              </w:rPr>
              <w:t xml:space="preserve"> headache and paraesthesia</w:t>
            </w:r>
          </w:p>
        </w:tc>
        <w:tc>
          <w:tcPr>
            <w:tcW w:w="972" w:type="pct"/>
            <w:shd w:val="clear" w:color="auto" w:fill="auto"/>
          </w:tcPr>
          <w:p w14:paraId="4F1D312E" w14:textId="77777777" w:rsidR="00374941" w:rsidRPr="00E6462E" w:rsidRDefault="00374941" w:rsidP="00F930DD">
            <w:pPr>
              <w:spacing w:line="264" w:lineRule="auto"/>
              <w:rPr>
                <w:sz w:val="22"/>
                <w:szCs w:val="22"/>
              </w:rPr>
            </w:pPr>
            <w:r w:rsidRPr="00E6462E">
              <w:rPr>
                <w:sz w:val="22"/>
                <w:szCs w:val="22"/>
                <w:lang w:val="en-GB"/>
              </w:rPr>
              <w:t xml:space="preserve">In adults carpal tunnel syndrome. </w:t>
            </w:r>
            <w:r w:rsidRPr="00E6462E">
              <w:rPr>
                <w:sz w:val="22"/>
                <w:szCs w:val="22"/>
              </w:rPr>
              <w:t xml:space="preserve">In </w:t>
            </w:r>
            <w:proofErr w:type="spellStart"/>
            <w:r w:rsidRPr="00E6462E">
              <w:rPr>
                <w:sz w:val="22"/>
                <w:szCs w:val="22"/>
              </w:rPr>
              <w:t>children</w:t>
            </w:r>
            <w:proofErr w:type="spellEnd"/>
            <w:r w:rsidRPr="00E6462E">
              <w:rPr>
                <w:sz w:val="22"/>
                <w:szCs w:val="22"/>
              </w:rPr>
              <w:t xml:space="preserve"> </w:t>
            </w:r>
            <w:proofErr w:type="spellStart"/>
            <w:r w:rsidRPr="00E6462E">
              <w:rPr>
                <w:sz w:val="22"/>
                <w:szCs w:val="22"/>
              </w:rPr>
              <w:t>headache</w:t>
            </w:r>
            <w:proofErr w:type="spellEnd"/>
          </w:p>
        </w:tc>
        <w:tc>
          <w:tcPr>
            <w:tcW w:w="1100" w:type="pct"/>
            <w:shd w:val="clear" w:color="auto" w:fill="auto"/>
          </w:tcPr>
          <w:p w14:paraId="2DF4A21B" w14:textId="77777777" w:rsidR="00374941" w:rsidRPr="00E6462E" w:rsidRDefault="00374941" w:rsidP="00F930DD">
            <w:pPr>
              <w:spacing w:after="240" w:line="264" w:lineRule="auto"/>
              <w:rPr>
                <w:b/>
                <w:sz w:val="22"/>
                <w:szCs w:val="22"/>
              </w:rPr>
            </w:pPr>
          </w:p>
        </w:tc>
      </w:tr>
      <w:tr w:rsidR="00374941" w:rsidRPr="00E6462E" w14:paraId="364AC508" w14:textId="77777777" w:rsidTr="002453A4">
        <w:tc>
          <w:tcPr>
            <w:tcW w:w="1186" w:type="pct"/>
            <w:shd w:val="clear" w:color="auto" w:fill="auto"/>
          </w:tcPr>
          <w:p w14:paraId="7DDAB8AB" w14:textId="77777777" w:rsidR="00374941" w:rsidRPr="00E6462E" w:rsidRDefault="00374941" w:rsidP="00F930DD">
            <w:pPr>
              <w:spacing w:line="264" w:lineRule="auto"/>
              <w:rPr>
                <w:i/>
                <w:sz w:val="22"/>
                <w:szCs w:val="22"/>
                <w:u w:val="single"/>
                <w:lang w:val="en-GB"/>
              </w:rPr>
            </w:pPr>
            <w:r w:rsidRPr="00E6462E">
              <w:rPr>
                <w:i/>
                <w:sz w:val="22"/>
                <w:szCs w:val="22"/>
                <w:u w:val="single"/>
                <w:lang w:val="en-GB"/>
              </w:rPr>
              <w:t>Skin and subcutaneous tissue disorders</w:t>
            </w:r>
          </w:p>
        </w:tc>
        <w:tc>
          <w:tcPr>
            <w:tcW w:w="824" w:type="pct"/>
            <w:shd w:val="clear" w:color="auto" w:fill="auto"/>
          </w:tcPr>
          <w:p w14:paraId="4AEB6A63" w14:textId="77777777" w:rsidR="00374941" w:rsidRPr="00E6462E" w:rsidRDefault="00374941" w:rsidP="00F930DD">
            <w:pPr>
              <w:spacing w:after="240" w:line="264" w:lineRule="auto"/>
              <w:rPr>
                <w:sz w:val="22"/>
                <w:szCs w:val="22"/>
                <w:lang w:val="en-GB"/>
              </w:rPr>
            </w:pPr>
          </w:p>
        </w:tc>
        <w:tc>
          <w:tcPr>
            <w:tcW w:w="918" w:type="pct"/>
            <w:shd w:val="clear" w:color="auto" w:fill="auto"/>
          </w:tcPr>
          <w:p w14:paraId="445D31F4" w14:textId="77777777" w:rsidR="00374941" w:rsidRPr="00E6462E" w:rsidRDefault="00374941" w:rsidP="00F930DD">
            <w:pPr>
              <w:spacing w:after="240" w:line="264" w:lineRule="auto"/>
              <w:rPr>
                <w:sz w:val="22"/>
                <w:szCs w:val="22"/>
                <w:lang w:val="en-GB"/>
              </w:rPr>
            </w:pPr>
          </w:p>
        </w:tc>
        <w:tc>
          <w:tcPr>
            <w:tcW w:w="972" w:type="pct"/>
            <w:shd w:val="clear" w:color="auto" w:fill="auto"/>
          </w:tcPr>
          <w:p w14:paraId="46523D40" w14:textId="77777777" w:rsidR="00374941" w:rsidRPr="00E6462E" w:rsidRDefault="00374941" w:rsidP="00F930DD">
            <w:pPr>
              <w:spacing w:after="240" w:line="264" w:lineRule="auto"/>
              <w:rPr>
                <w:sz w:val="22"/>
                <w:szCs w:val="22"/>
              </w:rPr>
            </w:pPr>
            <w:r w:rsidRPr="00E6462E">
              <w:rPr>
                <w:sz w:val="22"/>
                <w:szCs w:val="22"/>
              </w:rPr>
              <w:t xml:space="preserve">In </w:t>
            </w:r>
            <w:proofErr w:type="spellStart"/>
            <w:r w:rsidRPr="00E6462E">
              <w:rPr>
                <w:sz w:val="22"/>
                <w:szCs w:val="22"/>
              </w:rPr>
              <w:t>adults</w:t>
            </w:r>
            <w:proofErr w:type="spellEnd"/>
            <w:r w:rsidRPr="00E6462E">
              <w:rPr>
                <w:sz w:val="22"/>
                <w:szCs w:val="22"/>
              </w:rPr>
              <w:t xml:space="preserve"> </w:t>
            </w:r>
            <w:proofErr w:type="spellStart"/>
            <w:r w:rsidRPr="00E6462E">
              <w:rPr>
                <w:sz w:val="22"/>
                <w:szCs w:val="22"/>
              </w:rPr>
              <w:t>pruritus</w:t>
            </w:r>
            <w:proofErr w:type="spellEnd"/>
          </w:p>
        </w:tc>
        <w:tc>
          <w:tcPr>
            <w:tcW w:w="1100" w:type="pct"/>
            <w:shd w:val="clear" w:color="auto" w:fill="auto"/>
          </w:tcPr>
          <w:p w14:paraId="5C049165" w14:textId="77777777" w:rsidR="00374941" w:rsidRPr="00E6462E" w:rsidRDefault="00374941" w:rsidP="00F930DD">
            <w:pPr>
              <w:spacing w:after="240" w:line="264" w:lineRule="auto"/>
              <w:rPr>
                <w:sz w:val="22"/>
                <w:szCs w:val="22"/>
              </w:rPr>
            </w:pPr>
            <w:r w:rsidRPr="00E6462E">
              <w:rPr>
                <w:sz w:val="22"/>
                <w:szCs w:val="22"/>
              </w:rPr>
              <w:t xml:space="preserve">In </w:t>
            </w:r>
            <w:proofErr w:type="spellStart"/>
            <w:r w:rsidRPr="00E6462E">
              <w:rPr>
                <w:sz w:val="22"/>
                <w:szCs w:val="22"/>
              </w:rPr>
              <w:t>children</w:t>
            </w:r>
            <w:proofErr w:type="spellEnd"/>
            <w:r w:rsidRPr="00E6462E">
              <w:rPr>
                <w:sz w:val="22"/>
                <w:szCs w:val="22"/>
              </w:rPr>
              <w:t xml:space="preserve"> </w:t>
            </w:r>
            <w:proofErr w:type="spellStart"/>
            <w:r w:rsidRPr="00E6462E">
              <w:rPr>
                <w:sz w:val="22"/>
                <w:szCs w:val="22"/>
              </w:rPr>
              <w:t>rash</w:t>
            </w:r>
            <w:proofErr w:type="spellEnd"/>
            <w:r w:rsidRPr="00E6462E">
              <w:rPr>
                <w:sz w:val="22"/>
                <w:szCs w:val="22"/>
              </w:rPr>
              <w:t xml:space="preserve"> </w:t>
            </w:r>
          </w:p>
        </w:tc>
      </w:tr>
      <w:tr w:rsidR="00374941" w:rsidRPr="00DA40BD" w14:paraId="09438F37" w14:textId="77777777" w:rsidTr="002453A4">
        <w:tc>
          <w:tcPr>
            <w:tcW w:w="1186" w:type="pct"/>
            <w:shd w:val="clear" w:color="auto" w:fill="auto"/>
          </w:tcPr>
          <w:p w14:paraId="6D75889D" w14:textId="77777777" w:rsidR="00374941" w:rsidRPr="00E6462E" w:rsidRDefault="00374941" w:rsidP="00F930DD">
            <w:pPr>
              <w:spacing w:after="240" w:line="264" w:lineRule="auto"/>
              <w:rPr>
                <w:i/>
                <w:sz w:val="22"/>
                <w:szCs w:val="22"/>
                <w:u w:val="single"/>
                <w:lang w:val="en-GB"/>
              </w:rPr>
            </w:pPr>
            <w:r w:rsidRPr="00E6462E">
              <w:rPr>
                <w:i/>
                <w:sz w:val="22"/>
                <w:szCs w:val="22"/>
                <w:u w:val="single"/>
                <w:lang w:val="en-GB"/>
              </w:rPr>
              <w:t>Musculoskeletal, connective tissue disorders</w:t>
            </w:r>
          </w:p>
        </w:tc>
        <w:tc>
          <w:tcPr>
            <w:tcW w:w="824" w:type="pct"/>
            <w:shd w:val="clear" w:color="auto" w:fill="auto"/>
          </w:tcPr>
          <w:p w14:paraId="5106DE87" w14:textId="77777777" w:rsidR="00374941" w:rsidRPr="00E6462E" w:rsidRDefault="00374941" w:rsidP="00F930DD">
            <w:pPr>
              <w:spacing w:after="240" w:line="264" w:lineRule="auto"/>
              <w:rPr>
                <w:b/>
                <w:sz w:val="22"/>
                <w:szCs w:val="22"/>
                <w:lang w:val="en-GB"/>
              </w:rPr>
            </w:pPr>
          </w:p>
        </w:tc>
        <w:tc>
          <w:tcPr>
            <w:tcW w:w="918" w:type="pct"/>
            <w:shd w:val="clear" w:color="auto" w:fill="auto"/>
          </w:tcPr>
          <w:p w14:paraId="0F93C5AD" w14:textId="77777777" w:rsidR="00374941" w:rsidRPr="00E6462E" w:rsidRDefault="00374941" w:rsidP="00F930DD">
            <w:pPr>
              <w:spacing w:line="264" w:lineRule="auto"/>
              <w:rPr>
                <w:sz w:val="22"/>
                <w:szCs w:val="22"/>
                <w:lang w:val="en-GB"/>
              </w:rPr>
            </w:pPr>
            <w:r w:rsidRPr="00E6462E">
              <w:rPr>
                <w:sz w:val="22"/>
                <w:szCs w:val="22"/>
                <w:lang w:val="en-GB"/>
              </w:rPr>
              <w:t xml:space="preserve">In </w:t>
            </w:r>
            <w:proofErr w:type="gramStart"/>
            <w:r w:rsidRPr="00E6462E">
              <w:rPr>
                <w:sz w:val="22"/>
                <w:szCs w:val="22"/>
                <w:lang w:val="en-GB"/>
              </w:rPr>
              <w:t>adults</w:t>
            </w:r>
            <w:proofErr w:type="gramEnd"/>
            <w:r w:rsidRPr="00E6462E">
              <w:rPr>
                <w:sz w:val="22"/>
                <w:szCs w:val="22"/>
                <w:lang w:val="en-GB"/>
              </w:rPr>
              <w:t xml:space="preserve"> arthralgia, joint stiffness and myalgia</w:t>
            </w:r>
          </w:p>
        </w:tc>
        <w:tc>
          <w:tcPr>
            <w:tcW w:w="972" w:type="pct"/>
            <w:shd w:val="clear" w:color="auto" w:fill="auto"/>
          </w:tcPr>
          <w:p w14:paraId="33132F27" w14:textId="77777777" w:rsidR="00374941" w:rsidRPr="00E6462E" w:rsidRDefault="00374941" w:rsidP="00F930DD">
            <w:pPr>
              <w:spacing w:after="240" w:line="264" w:lineRule="auto"/>
              <w:rPr>
                <w:sz w:val="22"/>
                <w:szCs w:val="22"/>
              </w:rPr>
            </w:pPr>
            <w:r w:rsidRPr="00E6462E">
              <w:rPr>
                <w:sz w:val="22"/>
                <w:szCs w:val="22"/>
              </w:rPr>
              <w:t xml:space="preserve">In </w:t>
            </w:r>
            <w:proofErr w:type="spellStart"/>
            <w:r w:rsidRPr="00E6462E">
              <w:rPr>
                <w:sz w:val="22"/>
                <w:szCs w:val="22"/>
              </w:rPr>
              <w:t>adults</w:t>
            </w:r>
            <w:proofErr w:type="spellEnd"/>
            <w:r w:rsidRPr="00E6462E">
              <w:rPr>
                <w:sz w:val="22"/>
                <w:szCs w:val="22"/>
              </w:rPr>
              <w:t xml:space="preserve"> </w:t>
            </w:r>
            <w:proofErr w:type="spellStart"/>
            <w:r w:rsidRPr="00E6462E">
              <w:rPr>
                <w:sz w:val="22"/>
                <w:szCs w:val="22"/>
              </w:rPr>
              <w:t>muscle</w:t>
            </w:r>
            <w:proofErr w:type="spellEnd"/>
            <w:r w:rsidRPr="00E6462E">
              <w:rPr>
                <w:sz w:val="22"/>
                <w:szCs w:val="22"/>
              </w:rPr>
              <w:t xml:space="preserve"> </w:t>
            </w:r>
            <w:proofErr w:type="spellStart"/>
            <w:r w:rsidRPr="00E6462E">
              <w:rPr>
                <w:sz w:val="22"/>
                <w:szCs w:val="22"/>
              </w:rPr>
              <w:t>stiffness</w:t>
            </w:r>
            <w:proofErr w:type="spellEnd"/>
          </w:p>
        </w:tc>
        <w:tc>
          <w:tcPr>
            <w:tcW w:w="1100" w:type="pct"/>
            <w:shd w:val="clear" w:color="auto" w:fill="auto"/>
          </w:tcPr>
          <w:p w14:paraId="0204B294" w14:textId="77777777" w:rsidR="00374941" w:rsidRPr="00E6462E" w:rsidRDefault="00374941" w:rsidP="00F930DD">
            <w:pPr>
              <w:spacing w:after="240" w:line="264" w:lineRule="auto"/>
              <w:rPr>
                <w:b/>
                <w:sz w:val="22"/>
                <w:szCs w:val="22"/>
                <w:lang w:val="en-GB"/>
              </w:rPr>
            </w:pPr>
            <w:r w:rsidRPr="00E6462E">
              <w:rPr>
                <w:sz w:val="22"/>
                <w:szCs w:val="22"/>
                <w:lang w:val="en-GB"/>
              </w:rPr>
              <w:t>In children arthralgia and myalgia</w:t>
            </w:r>
          </w:p>
        </w:tc>
      </w:tr>
      <w:tr w:rsidR="00374941" w:rsidRPr="00DA40BD" w14:paraId="532DA6F9" w14:textId="77777777" w:rsidTr="002453A4">
        <w:tc>
          <w:tcPr>
            <w:tcW w:w="1186" w:type="pct"/>
            <w:shd w:val="clear" w:color="auto" w:fill="auto"/>
          </w:tcPr>
          <w:p w14:paraId="7FD9F457" w14:textId="77777777" w:rsidR="00374941" w:rsidRPr="00E6462E" w:rsidRDefault="00374941" w:rsidP="00F930DD">
            <w:pPr>
              <w:spacing w:after="240" w:line="264" w:lineRule="auto"/>
              <w:rPr>
                <w:i/>
                <w:sz w:val="22"/>
                <w:szCs w:val="22"/>
                <w:u w:val="single"/>
                <w:lang w:val="en-GB"/>
              </w:rPr>
            </w:pPr>
            <w:r w:rsidRPr="00E6462E">
              <w:rPr>
                <w:bCs/>
                <w:i/>
                <w:iCs/>
                <w:sz w:val="22"/>
                <w:szCs w:val="22"/>
                <w:u w:val="single"/>
                <w:lang w:val="en-US"/>
              </w:rPr>
              <w:t xml:space="preserve">Reproductive system and breast disorders </w:t>
            </w:r>
          </w:p>
        </w:tc>
        <w:tc>
          <w:tcPr>
            <w:tcW w:w="824" w:type="pct"/>
            <w:shd w:val="clear" w:color="auto" w:fill="auto"/>
          </w:tcPr>
          <w:p w14:paraId="677FA9C0" w14:textId="77777777" w:rsidR="00374941" w:rsidRPr="00E6462E" w:rsidRDefault="00374941" w:rsidP="00F930DD">
            <w:pPr>
              <w:spacing w:after="240" w:line="264" w:lineRule="auto"/>
              <w:rPr>
                <w:b/>
                <w:sz w:val="22"/>
                <w:szCs w:val="22"/>
                <w:lang w:val="en-GB"/>
              </w:rPr>
            </w:pPr>
          </w:p>
        </w:tc>
        <w:tc>
          <w:tcPr>
            <w:tcW w:w="918" w:type="pct"/>
            <w:shd w:val="clear" w:color="auto" w:fill="auto"/>
          </w:tcPr>
          <w:p w14:paraId="27A01AEB" w14:textId="77777777" w:rsidR="00374941" w:rsidRPr="00E6462E" w:rsidRDefault="00374941" w:rsidP="00F930DD">
            <w:pPr>
              <w:spacing w:line="264" w:lineRule="auto"/>
              <w:rPr>
                <w:sz w:val="22"/>
                <w:szCs w:val="22"/>
                <w:lang w:val="en-GB"/>
              </w:rPr>
            </w:pPr>
          </w:p>
        </w:tc>
        <w:tc>
          <w:tcPr>
            <w:tcW w:w="972" w:type="pct"/>
            <w:shd w:val="clear" w:color="auto" w:fill="auto"/>
          </w:tcPr>
          <w:p w14:paraId="44357FFD" w14:textId="371FBC8E" w:rsidR="00374941" w:rsidRPr="00E6462E" w:rsidRDefault="00374941" w:rsidP="00F930DD">
            <w:pPr>
              <w:spacing w:after="240" w:line="264" w:lineRule="auto"/>
              <w:rPr>
                <w:sz w:val="22"/>
                <w:szCs w:val="22"/>
                <w:lang w:val="en-US"/>
              </w:rPr>
            </w:pPr>
            <w:r w:rsidRPr="00E6462E">
              <w:rPr>
                <w:sz w:val="22"/>
                <w:szCs w:val="22"/>
                <w:lang w:val="en-GB"/>
              </w:rPr>
              <w:t>In adults and children Gyn</w:t>
            </w:r>
            <w:r w:rsidR="00D54F5E">
              <w:rPr>
                <w:sz w:val="22"/>
                <w:szCs w:val="22"/>
                <w:lang w:val="en-GB"/>
              </w:rPr>
              <w:t>a</w:t>
            </w:r>
            <w:r w:rsidRPr="00E6462E">
              <w:rPr>
                <w:sz w:val="22"/>
                <w:szCs w:val="22"/>
                <w:lang w:val="en-GB"/>
              </w:rPr>
              <w:t>ecomastia</w:t>
            </w:r>
          </w:p>
        </w:tc>
        <w:tc>
          <w:tcPr>
            <w:tcW w:w="1100" w:type="pct"/>
            <w:shd w:val="clear" w:color="auto" w:fill="auto"/>
          </w:tcPr>
          <w:p w14:paraId="537BE5D9" w14:textId="77777777" w:rsidR="00374941" w:rsidRPr="00E6462E" w:rsidRDefault="00374941" w:rsidP="00F930DD">
            <w:pPr>
              <w:spacing w:after="240" w:line="264" w:lineRule="auto"/>
              <w:rPr>
                <w:sz w:val="22"/>
                <w:szCs w:val="22"/>
                <w:highlight w:val="yellow"/>
                <w:lang w:val="en-GB"/>
              </w:rPr>
            </w:pPr>
          </w:p>
        </w:tc>
      </w:tr>
      <w:tr w:rsidR="00374941" w:rsidRPr="00E6462E" w14:paraId="0A934015" w14:textId="77777777" w:rsidTr="002453A4">
        <w:tc>
          <w:tcPr>
            <w:tcW w:w="1186" w:type="pct"/>
            <w:shd w:val="clear" w:color="auto" w:fill="auto"/>
          </w:tcPr>
          <w:p w14:paraId="196B82F0" w14:textId="77777777" w:rsidR="00374941" w:rsidRPr="00E6462E" w:rsidRDefault="00374941" w:rsidP="00F930DD">
            <w:pPr>
              <w:spacing w:after="240" w:line="264" w:lineRule="auto"/>
              <w:rPr>
                <w:i/>
                <w:sz w:val="22"/>
                <w:szCs w:val="22"/>
                <w:u w:val="single"/>
                <w:lang w:val="en-GB"/>
              </w:rPr>
            </w:pPr>
            <w:r w:rsidRPr="00E6462E">
              <w:rPr>
                <w:i/>
                <w:sz w:val="22"/>
                <w:szCs w:val="22"/>
                <w:u w:val="single"/>
                <w:lang w:val="en-GB"/>
              </w:rPr>
              <w:t>General disorders and administration site conditions</w:t>
            </w:r>
          </w:p>
        </w:tc>
        <w:tc>
          <w:tcPr>
            <w:tcW w:w="824" w:type="pct"/>
            <w:shd w:val="clear" w:color="auto" w:fill="auto"/>
          </w:tcPr>
          <w:p w14:paraId="4C8AFAEB" w14:textId="77777777" w:rsidR="00374941" w:rsidRPr="00E6462E" w:rsidRDefault="00374941" w:rsidP="00F930DD">
            <w:pPr>
              <w:spacing w:after="240" w:line="264" w:lineRule="auto"/>
              <w:rPr>
                <w:sz w:val="22"/>
                <w:szCs w:val="22"/>
                <w:lang w:val="en-GB"/>
              </w:rPr>
            </w:pPr>
            <w:r w:rsidRPr="00E6462E">
              <w:rPr>
                <w:sz w:val="22"/>
                <w:szCs w:val="22"/>
                <w:lang w:val="en-GB"/>
              </w:rPr>
              <w:t xml:space="preserve">In </w:t>
            </w:r>
            <w:proofErr w:type="gramStart"/>
            <w:r w:rsidRPr="00E6462E">
              <w:rPr>
                <w:sz w:val="22"/>
                <w:szCs w:val="22"/>
                <w:lang w:val="en-GB"/>
              </w:rPr>
              <w:t>adults</w:t>
            </w:r>
            <w:proofErr w:type="gramEnd"/>
            <w:r w:rsidRPr="00E6462E">
              <w:rPr>
                <w:sz w:val="22"/>
                <w:szCs w:val="22"/>
                <w:lang w:val="en-GB"/>
              </w:rPr>
              <w:t xml:space="preserve"> peripheral oedema (see text above)</w:t>
            </w:r>
          </w:p>
        </w:tc>
        <w:tc>
          <w:tcPr>
            <w:tcW w:w="918" w:type="pct"/>
            <w:shd w:val="clear" w:color="auto" w:fill="auto"/>
          </w:tcPr>
          <w:p w14:paraId="0AC8D906" w14:textId="77777777" w:rsidR="00374941" w:rsidRPr="00E6462E" w:rsidRDefault="00374941" w:rsidP="00F930DD">
            <w:pPr>
              <w:spacing w:after="240" w:line="264" w:lineRule="auto"/>
              <w:rPr>
                <w:sz w:val="22"/>
                <w:szCs w:val="22"/>
                <w:lang w:val="en-GB"/>
              </w:rPr>
            </w:pPr>
          </w:p>
        </w:tc>
        <w:tc>
          <w:tcPr>
            <w:tcW w:w="972" w:type="pct"/>
            <w:shd w:val="clear" w:color="auto" w:fill="auto"/>
          </w:tcPr>
          <w:p w14:paraId="563A71E0" w14:textId="77777777" w:rsidR="00374941" w:rsidRPr="00E6462E" w:rsidRDefault="00374941" w:rsidP="00F930DD">
            <w:pPr>
              <w:spacing w:line="264" w:lineRule="auto"/>
              <w:rPr>
                <w:sz w:val="22"/>
                <w:szCs w:val="22"/>
                <w:lang w:val="en-GB"/>
              </w:rPr>
            </w:pPr>
            <w:r w:rsidRPr="00E6462E">
              <w:rPr>
                <w:sz w:val="22"/>
                <w:szCs w:val="22"/>
                <w:lang w:val="en-GB"/>
              </w:rPr>
              <w:t xml:space="preserve">In adults and children injection site pain. In children injection site reaction </w:t>
            </w:r>
          </w:p>
        </w:tc>
        <w:tc>
          <w:tcPr>
            <w:tcW w:w="1100" w:type="pct"/>
            <w:shd w:val="clear" w:color="auto" w:fill="auto"/>
          </w:tcPr>
          <w:p w14:paraId="1B2F8F25" w14:textId="77777777" w:rsidR="00374941" w:rsidRPr="00E6462E" w:rsidRDefault="00374941" w:rsidP="00F930DD">
            <w:pPr>
              <w:spacing w:after="240" w:line="264" w:lineRule="auto"/>
              <w:rPr>
                <w:sz w:val="22"/>
                <w:szCs w:val="22"/>
              </w:rPr>
            </w:pPr>
            <w:r w:rsidRPr="00E6462E">
              <w:rPr>
                <w:sz w:val="22"/>
                <w:szCs w:val="22"/>
              </w:rPr>
              <w:t xml:space="preserve">In </w:t>
            </w:r>
            <w:proofErr w:type="spellStart"/>
            <w:r w:rsidRPr="00E6462E">
              <w:rPr>
                <w:sz w:val="22"/>
                <w:szCs w:val="22"/>
              </w:rPr>
              <w:t>children</w:t>
            </w:r>
            <w:proofErr w:type="spellEnd"/>
            <w:r w:rsidRPr="00E6462E">
              <w:rPr>
                <w:sz w:val="22"/>
                <w:szCs w:val="22"/>
              </w:rPr>
              <w:t xml:space="preserve"> </w:t>
            </w:r>
            <w:proofErr w:type="spellStart"/>
            <w:r w:rsidRPr="00E6462E">
              <w:rPr>
                <w:sz w:val="22"/>
                <w:szCs w:val="22"/>
              </w:rPr>
              <w:t>peripheral</w:t>
            </w:r>
            <w:proofErr w:type="spellEnd"/>
            <w:r w:rsidRPr="00E6462E">
              <w:rPr>
                <w:sz w:val="22"/>
                <w:szCs w:val="22"/>
              </w:rPr>
              <w:t xml:space="preserve"> </w:t>
            </w:r>
            <w:proofErr w:type="spellStart"/>
            <w:r w:rsidRPr="00E6462E">
              <w:rPr>
                <w:sz w:val="22"/>
                <w:szCs w:val="22"/>
              </w:rPr>
              <w:t>oedema</w:t>
            </w:r>
            <w:proofErr w:type="spellEnd"/>
          </w:p>
        </w:tc>
      </w:tr>
    </w:tbl>
    <w:p w14:paraId="4E0E1D9A" w14:textId="77777777" w:rsidR="00374941" w:rsidRPr="002136E6" w:rsidRDefault="00374941" w:rsidP="00374941">
      <w:pPr>
        <w:rPr>
          <w:sz w:val="24"/>
          <w:szCs w:val="24"/>
        </w:rPr>
      </w:pPr>
    </w:p>
    <w:p w14:paraId="0E926AB9" w14:textId="77777777" w:rsidR="00374941" w:rsidRPr="002136E6" w:rsidRDefault="00374941" w:rsidP="002453A4">
      <w:pPr>
        <w:ind w:left="851"/>
        <w:rPr>
          <w:sz w:val="24"/>
          <w:szCs w:val="24"/>
          <w:lang w:val="en-US"/>
        </w:rPr>
      </w:pPr>
      <w:r w:rsidRPr="002136E6">
        <w:rPr>
          <w:sz w:val="24"/>
          <w:szCs w:val="24"/>
          <w:lang w:val="en-US"/>
        </w:rPr>
        <w:t>In children with Turner syndrome increased growth of hands and feet has been reported during somatropin therapy.</w:t>
      </w:r>
    </w:p>
    <w:p w14:paraId="22150384" w14:textId="77777777" w:rsidR="00374941" w:rsidRPr="002136E6" w:rsidRDefault="00374941" w:rsidP="002453A4">
      <w:pPr>
        <w:ind w:left="851"/>
        <w:rPr>
          <w:sz w:val="24"/>
          <w:szCs w:val="24"/>
          <w:lang w:val="en-US"/>
        </w:rPr>
      </w:pPr>
    </w:p>
    <w:p w14:paraId="1B349D4C" w14:textId="77777777" w:rsidR="00374941" w:rsidRPr="002136E6" w:rsidRDefault="00374941" w:rsidP="002453A4">
      <w:pPr>
        <w:ind w:left="851"/>
        <w:rPr>
          <w:sz w:val="24"/>
          <w:szCs w:val="24"/>
          <w:lang w:val="en-US"/>
        </w:rPr>
      </w:pPr>
      <w:r w:rsidRPr="002136E6">
        <w:rPr>
          <w:sz w:val="24"/>
          <w:szCs w:val="24"/>
          <w:lang w:val="en-US"/>
        </w:rPr>
        <w:t xml:space="preserve">A tendency for increased incidence of otitis media in Turner syndrome patients treated with high doses of </w:t>
      </w:r>
      <w:proofErr w:type="spellStart"/>
      <w:r w:rsidRPr="002136E6">
        <w:rPr>
          <w:sz w:val="24"/>
          <w:szCs w:val="24"/>
          <w:lang w:val="en-US"/>
        </w:rPr>
        <w:t>Norditropin</w:t>
      </w:r>
      <w:proofErr w:type="spellEnd"/>
      <w:r w:rsidRPr="002136E6">
        <w:rPr>
          <w:sz w:val="24"/>
          <w:szCs w:val="24"/>
          <w:lang w:val="en-US"/>
        </w:rPr>
        <w:t xml:space="preserve"> has been observed in one open-label </w:t>
      </w:r>
      <w:proofErr w:type="spellStart"/>
      <w:r w:rsidRPr="002136E6">
        <w:rPr>
          <w:sz w:val="24"/>
          <w:szCs w:val="24"/>
          <w:lang w:val="en-US"/>
        </w:rPr>
        <w:t>randomised</w:t>
      </w:r>
      <w:proofErr w:type="spellEnd"/>
      <w:r w:rsidRPr="002136E6">
        <w:rPr>
          <w:sz w:val="24"/>
          <w:szCs w:val="24"/>
          <w:lang w:val="en-US"/>
        </w:rPr>
        <w:t xml:space="preserve"> clinical </w:t>
      </w:r>
      <w:r w:rsidRPr="002136E6">
        <w:rPr>
          <w:sz w:val="24"/>
          <w:szCs w:val="24"/>
          <w:lang w:val="en-US"/>
        </w:rPr>
        <w:lastRenderedPageBreak/>
        <w:t>trial. However, the increase in ear infections did not result in more ear operations/tube insertions compared to the lower dose group in the trial.</w:t>
      </w:r>
    </w:p>
    <w:p w14:paraId="4C8324E1" w14:textId="77777777" w:rsidR="00374941" w:rsidRPr="002136E6" w:rsidRDefault="00374941" w:rsidP="002453A4">
      <w:pPr>
        <w:ind w:left="851"/>
        <w:rPr>
          <w:sz w:val="24"/>
          <w:szCs w:val="24"/>
          <w:lang w:val="en-US"/>
        </w:rPr>
      </w:pPr>
    </w:p>
    <w:p w14:paraId="5E2AB563" w14:textId="77777777" w:rsidR="00374941" w:rsidRPr="002136E6" w:rsidRDefault="00374941" w:rsidP="002453A4">
      <w:pPr>
        <w:ind w:left="851"/>
        <w:rPr>
          <w:sz w:val="24"/>
          <w:szCs w:val="24"/>
          <w:u w:val="single"/>
          <w:lang w:val="en-GB"/>
        </w:rPr>
      </w:pPr>
      <w:r w:rsidRPr="002136E6">
        <w:rPr>
          <w:sz w:val="24"/>
          <w:szCs w:val="24"/>
          <w:u w:val="single"/>
          <w:lang w:val="en-GB"/>
        </w:rPr>
        <w:t>Post-marketing experience:</w:t>
      </w:r>
    </w:p>
    <w:p w14:paraId="277D7527" w14:textId="77777777" w:rsidR="00374941" w:rsidRPr="002136E6" w:rsidRDefault="00374941" w:rsidP="002453A4">
      <w:pPr>
        <w:ind w:left="851"/>
        <w:rPr>
          <w:sz w:val="24"/>
          <w:szCs w:val="24"/>
          <w:lang w:val="en-GB"/>
        </w:rPr>
      </w:pPr>
    </w:p>
    <w:p w14:paraId="13041903" w14:textId="1F9DF6B1" w:rsidR="00374941" w:rsidRPr="002136E6" w:rsidRDefault="00374941" w:rsidP="002453A4">
      <w:pPr>
        <w:ind w:left="851"/>
        <w:rPr>
          <w:sz w:val="24"/>
          <w:szCs w:val="24"/>
          <w:lang w:val="en-GB"/>
        </w:rPr>
      </w:pPr>
      <w:r w:rsidRPr="002136E6">
        <w:rPr>
          <w:sz w:val="24"/>
          <w:szCs w:val="24"/>
          <w:lang w:val="en-GB"/>
        </w:rPr>
        <w:t xml:space="preserve">In addition to the </w:t>
      </w:r>
      <w:r w:rsidR="0072697C" w:rsidRPr="002136E6">
        <w:rPr>
          <w:sz w:val="24"/>
          <w:szCs w:val="24"/>
          <w:lang w:val="en-GB"/>
        </w:rPr>
        <w:t>above-mentioned</w:t>
      </w:r>
      <w:r w:rsidRPr="002136E6">
        <w:rPr>
          <w:sz w:val="24"/>
          <w:szCs w:val="24"/>
          <w:lang w:val="en-GB"/>
        </w:rPr>
        <w:t xml:space="preserve"> adverse drug reactions, those presented below have been spontaneously reported and are by an overall judgement considered possibly related to </w:t>
      </w:r>
      <w:proofErr w:type="spellStart"/>
      <w:r w:rsidRPr="002136E6">
        <w:rPr>
          <w:sz w:val="24"/>
          <w:szCs w:val="24"/>
          <w:lang w:val="en-GB"/>
        </w:rPr>
        <w:t>Norditropin</w:t>
      </w:r>
      <w:proofErr w:type="spellEnd"/>
      <w:r w:rsidRPr="002136E6">
        <w:rPr>
          <w:sz w:val="24"/>
          <w:szCs w:val="24"/>
          <w:lang w:val="en-GB"/>
        </w:rPr>
        <w:t xml:space="preserve"> treatment. Frequencies of these adverse events cannot be estimated from the available data: </w:t>
      </w:r>
    </w:p>
    <w:p w14:paraId="1F403247" w14:textId="77777777" w:rsidR="00374941" w:rsidRPr="002136E6" w:rsidRDefault="00374941" w:rsidP="00374941">
      <w:pPr>
        <w:rPr>
          <w:sz w:val="24"/>
          <w:szCs w:val="24"/>
          <w:lang w:val="en-GB"/>
        </w:rPr>
      </w:pPr>
    </w:p>
    <w:p w14:paraId="7CD58B61" w14:textId="77777777" w:rsidR="00374941" w:rsidRPr="002136E6" w:rsidRDefault="00374941" w:rsidP="002453A4">
      <w:pPr>
        <w:numPr>
          <w:ilvl w:val="0"/>
          <w:numId w:val="5"/>
        </w:numPr>
        <w:suppressAutoHyphens/>
        <w:ind w:left="1276" w:hanging="425"/>
        <w:rPr>
          <w:sz w:val="24"/>
          <w:szCs w:val="24"/>
          <w:lang w:val="en-GB"/>
        </w:rPr>
      </w:pPr>
      <w:r w:rsidRPr="002136E6">
        <w:rPr>
          <w:sz w:val="24"/>
          <w:szCs w:val="24"/>
          <w:lang w:val="en-GB"/>
        </w:rPr>
        <w:t>Neoplasms benign and malignant (including cysts and polyps): Leukaemia has been reported in a small number of growth hormone deficiency patients (see section 4.4)</w:t>
      </w:r>
    </w:p>
    <w:p w14:paraId="27511448" w14:textId="77777777" w:rsidR="00374941" w:rsidRPr="002136E6" w:rsidRDefault="00374941" w:rsidP="002453A4">
      <w:pPr>
        <w:numPr>
          <w:ilvl w:val="0"/>
          <w:numId w:val="5"/>
        </w:numPr>
        <w:suppressAutoHyphens/>
        <w:ind w:left="1276" w:hanging="425"/>
        <w:rPr>
          <w:sz w:val="24"/>
          <w:szCs w:val="24"/>
          <w:lang w:val="en-GB"/>
        </w:rPr>
      </w:pPr>
      <w:r w:rsidRPr="002136E6">
        <w:rPr>
          <w:sz w:val="24"/>
          <w:szCs w:val="24"/>
          <w:lang w:val="en-GB"/>
        </w:rPr>
        <w:t xml:space="preserve">Immune system disorders: Hypersensitivity (see section 4.3). Formation of antibodies directed against somatropin. The titres and binding capacities of these antibodies have been very low and have not interfered with the growth response to </w:t>
      </w:r>
      <w:proofErr w:type="spellStart"/>
      <w:r w:rsidRPr="002136E6">
        <w:rPr>
          <w:sz w:val="24"/>
          <w:szCs w:val="24"/>
          <w:lang w:val="en-GB"/>
        </w:rPr>
        <w:t>Norditropin</w:t>
      </w:r>
      <w:proofErr w:type="spellEnd"/>
      <w:r w:rsidRPr="002136E6">
        <w:rPr>
          <w:sz w:val="24"/>
          <w:szCs w:val="24"/>
          <w:lang w:val="en-GB"/>
        </w:rPr>
        <w:t xml:space="preserve"> administration</w:t>
      </w:r>
    </w:p>
    <w:p w14:paraId="6C83D45D" w14:textId="77777777" w:rsidR="00374941" w:rsidRPr="002136E6" w:rsidRDefault="00374941" w:rsidP="002453A4">
      <w:pPr>
        <w:numPr>
          <w:ilvl w:val="0"/>
          <w:numId w:val="5"/>
        </w:numPr>
        <w:suppressAutoHyphens/>
        <w:ind w:left="1276" w:hanging="425"/>
        <w:rPr>
          <w:sz w:val="24"/>
          <w:szCs w:val="24"/>
          <w:lang w:val="en-GB"/>
        </w:rPr>
      </w:pPr>
      <w:r w:rsidRPr="002136E6">
        <w:rPr>
          <w:sz w:val="24"/>
          <w:szCs w:val="24"/>
          <w:lang w:val="en-GB"/>
        </w:rPr>
        <w:t>Endocrine disorders: Hypothyroidism. Decrease in serum thyroxin levels (see section 4.4)</w:t>
      </w:r>
    </w:p>
    <w:p w14:paraId="1876D532" w14:textId="77777777" w:rsidR="00374941" w:rsidRPr="002136E6" w:rsidRDefault="00374941" w:rsidP="002453A4">
      <w:pPr>
        <w:numPr>
          <w:ilvl w:val="0"/>
          <w:numId w:val="5"/>
        </w:numPr>
        <w:suppressAutoHyphens/>
        <w:ind w:left="1276" w:hanging="425"/>
        <w:rPr>
          <w:sz w:val="24"/>
          <w:szCs w:val="24"/>
          <w:lang w:val="en-GB"/>
        </w:rPr>
      </w:pPr>
      <w:r w:rsidRPr="002136E6">
        <w:rPr>
          <w:sz w:val="24"/>
          <w:szCs w:val="24"/>
          <w:lang w:val="en-GB"/>
        </w:rPr>
        <w:t>Metabolism and nutrition disorders: Hyperglycaemia (see section 4.4)</w:t>
      </w:r>
    </w:p>
    <w:p w14:paraId="21DD97BD" w14:textId="77777777" w:rsidR="00374941" w:rsidRPr="002136E6" w:rsidRDefault="00374941" w:rsidP="002453A4">
      <w:pPr>
        <w:numPr>
          <w:ilvl w:val="0"/>
          <w:numId w:val="5"/>
        </w:numPr>
        <w:suppressAutoHyphens/>
        <w:ind w:left="1276" w:hanging="425"/>
        <w:rPr>
          <w:sz w:val="24"/>
          <w:szCs w:val="24"/>
          <w:lang w:val="en-GB"/>
        </w:rPr>
      </w:pPr>
      <w:r w:rsidRPr="002136E6">
        <w:rPr>
          <w:sz w:val="24"/>
          <w:szCs w:val="24"/>
          <w:lang w:val="en-GB"/>
        </w:rPr>
        <w:t>Nervous system disorders: Benign intracranial hypertension (see section 4.4)</w:t>
      </w:r>
    </w:p>
    <w:p w14:paraId="4D12E675" w14:textId="77777777" w:rsidR="00374941" w:rsidRPr="002136E6" w:rsidRDefault="00374941" w:rsidP="002453A4">
      <w:pPr>
        <w:numPr>
          <w:ilvl w:val="0"/>
          <w:numId w:val="5"/>
        </w:numPr>
        <w:suppressAutoHyphens/>
        <w:ind w:left="1276" w:hanging="425"/>
        <w:rPr>
          <w:sz w:val="24"/>
          <w:szCs w:val="24"/>
          <w:lang w:val="en-GB"/>
        </w:rPr>
      </w:pPr>
      <w:r w:rsidRPr="002136E6">
        <w:rPr>
          <w:sz w:val="24"/>
          <w:szCs w:val="24"/>
          <w:lang w:val="en-GB"/>
        </w:rPr>
        <w:t>Musculoskeletal and connective tissue disorders: Legg-</w:t>
      </w:r>
      <w:proofErr w:type="spellStart"/>
      <w:r w:rsidRPr="002136E6">
        <w:rPr>
          <w:sz w:val="24"/>
          <w:szCs w:val="24"/>
          <w:lang w:val="en-GB"/>
        </w:rPr>
        <w:t>Calvé</w:t>
      </w:r>
      <w:proofErr w:type="spellEnd"/>
      <w:r w:rsidRPr="002136E6">
        <w:rPr>
          <w:sz w:val="24"/>
          <w:szCs w:val="24"/>
          <w:lang w:val="en-GB"/>
        </w:rPr>
        <w:t>-Perthes disease. Legg-</w:t>
      </w:r>
      <w:proofErr w:type="spellStart"/>
      <w:r w:rsidRPr="002136E6">
        <w:rPr>
          <w:sz w:val="24"/>
          <w:szCs w:val="24"/>
          <w:lang w:val="en-GB"/>
        </w:rPr>
        <w:t>Calvé</w:t>
      </w:r>
      <w:proofErr w:type="spellEnd"/>
      <w:r w:rsidRPr="002136E6">
        <w:rPr>
          <w:sz w:val="24"/>
          <w:szCs w:val="24"/>
          <w:lang w:val="en-GB"/>
        </w:rPr>
        <w:t>-Perthes disease may occur more frequently in patients with short stature</w:t>
      </w:r>
    </w:p>
    <w:p w14:paraId="691FE434" w14:textId="77777777" w:rsidR="00374941" w:rsidRPr="002136E6" w:rsidRDefault="00374941" w:rsidP="002453A4">
      <w:pPr>
        <w:numPr>
          <w:ilvl w:val="0"/>
          <w:numId w:val="5"/>
        </w:numPr>
        <w:suppressAutoHyphens/>
        <w:ind w:left="1276" w:hanging="425"/>
        <w:rPr>
          <w:sz w:val="24"/>
          <w:szCs w:val="24"/>
          <w:lang w:val="en-GB"/>
        </w:rPr>
      </w:pPr>
      <w:r w:rsidRPr="002136E6">
        <w:rPr>
          <w:sz w:val="24"/>
          <w:szCs w:val="24"/>
          <w:lang w:val="en-GB"/>
        </w:rPr>
        <w:t>Investigations: Increase in blood alkaline phosphatase level.</w:t>
      </w:r>
    </w:p>
    <w:p w14:paraId="07828698" w14:textId="77777777" w:rsidR="00374941" w:rsidRPr="002136E6" w:rsidRDefault="00374941" w:rsidP="00374941">
      <w:pPr>
        <w:rPr>
          <w:sz w:val="24"/>
          <w:szCs w:val="24"/>
          <w:lang w:val="en-GB"/>
        </w:rPr>
      </w:pPr>
    </w:p>
    <w:p w14:paraId="117CA7D9" w14:textId="77777777" w:rsidR="00E30453" w:rsidRPr="002136E6" w:rsidRDefault="00E30453" w:rsidP="00E30453">
      <w:pPr>
        <w:ind w:left="851"/>
        <w:rPr>
          <w:sz w:val="24"/>
          <w:szCs w:val="24"/>
          <w:u w:val="single"/>
          <w:lang w:val="en-GB"/>
        </w:rPr>
      </w:pPr>
      <w:r w:rsidRPr="002136E6">
        <w:rPr>
          <w:sz w:val="24"/>
          <w:szCs w:val="24"/>
          <w:u w:val="single"/>
          <w:lang w:val="en-GB"/>
        </w:rPr>
        <w:t>Reporting of suspected adverse reactions</w:t>
      </w:r>
    </w:p>
    <w:p w14:paraId="763FF2BD" w14:textId="77777777" w:rsidR="00E30453" w:rsidRPr="002136E6" w:rsidRDefault="00E30453" w:rsidP="00E30453">
      <w:pPr>
        <w:ind w:left="851"/>
        <w:rPr>
          <w:sz w:val="24"/>
          <w:szCs w:val="24"/>
          <w:lang w:val="en-GB"/>
        </w:rPr>
      </w:pPr>
      <w:r w:rsidRPr="002136E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E5044BC" w14:textId="77777777" w:rsidR="00E30453" w:rsidRPr="002136E6" w:rsidRDefault="00E30453" w:rsidP="00E30453">
      <w:pPr>
        <w:ind w:left="851"/>
        <w:rPr>
          <w:sz w:val="24"/>
          <w:szCs w:val="24"/>
          <w:lang w:val="en-GB"/>
        </w:rPr>
      </w:pPr>
    </w:p>
    <w:p w14:paraId="38698E61" w14:textId="77777777" w:rsidR="00E30453" w:rsidRPr="002136E6" w:rsidRDefault="00E30453" w:rsidP="00E30453">
      <w:pPr>
        <w:ind w:left="851"/>
        <w:rPr>
          <w:sz w:val="24"/>
          <w:szCs w:val="24"/>
        </w:rPr>
      </w:pPr>
      <w:r w:rsidRPr="002136E6">
        <w:rPr>
          <w:sz w:val="24"/>
          <w:szCs w:val="24"/>
        </w:rPr>
        <w:t>Lægemiddelstyrelsen</w:t>
      </w:r>
    </w:p>
    <w:p w14:paraId="4487EDEA" w14:textId="77777777" w:rsidR="00E30453" w:rsidRPr="002136E6" w:rsidRDefault="00E30453" w:rsidP="00E30453">
      <w:pPr>
        <w:ind w:left="851"/>
        <w:rPr>
          <w:sz w:val="24"/>
          <w:szCs w:val="24"/>
        </w:rPr>
      </w:pPr>
      <w:r w:rsidRPr="002136E6">
        <w:rPr>
          <w:sz w:val="24"/>
          <w:szCs w:val="24"/>
        </w:rPr>
        <w:t>Axel Heides Gade 1</w:t>
      </w:r>
    </w:p>
    <w:p w14:paraId="2DBEF935" w14:textId="77777777" w:rsidR="00E30453" w:rsidRPr="002136E6" w:rsidRDefault="00E30453" w:rsidP="00E30453">
      <w:pPr>
        <w:ind w:left="851"/>
        <w:rPr>
          <w:sz w:val="24"/>
          <w:szCs w:val="24"/>
        </w:rPr>
      </w:pPr>
      <w:r w:rsidRPr="002136E6">
        <w:rPr>
          <w:sz w:val="24"/>
          <w:szCs w:val="24"/>
        </w:rPr>
        <w:t>DK-2300 København S</w:t>
      </w:r>
    </w:p>
    <w:p w14:paraId="126B3FDF" w14:textId="77777777" w:rsidR="00E30453" w:rsidRPr="002136E6" w:rsidRDefault="00E30453" w:rsidP="00E30453">
      <w:pPr>
        <w:ind w:left="851"/>
        <w:rPr>
          <w:sz w:val="24"/>
          <w:szCs w:val="24"/>
          <w:lang w:val="en-US"/>
        </w:rPr>
      </w:pPr>
      <w:r w:rsidRPr="002136E6">
        <w:rPr>
          <w:sz w:val="24"/>
          <w:szCs w:val="24"/>
          <w:lang w:val="en-US"/>
        </w:rPr>
        <w:t>Website: www.meldenbivirkning.dk</w:t>
      </w:r>
    </w:p>
    <w:p w14:paraId="024813FA" w14:textId="77777777" w:rsidR="007C5D2A" w:rsidRPr="002136E6" w:rsidRDefault="007C5D2A" w:rsidP="007A4CC6">
      <w:pPr>
        <w:tabs>
          <w:tab w:val="left" w:pos="851"/>
        </w:tabs>
        <w:ind w:left="851"/>
        <w:rPr>
          <w:sz w:val="24"/>
          <w:szCs w:val="24"/>
          <w:lang w:val="en-GB"/>
        </w:rPr>
      </w:pPr>
    </w:p>
    <w:p w14:paraId="22331F3C" w14:textId="77777777" w:rsidR="007C5D2A" w:rsidRPr="002136E6" w:rsidRDefault="007C5D2A" w:rsidP="007C5D2A">
      <w:pPr>
        <w:tabs>
          <w:tab w:val="left" w:pos="851"/>
        </w:tabs>
        <w:ind w:left="851" w:hanging="851"/>
        <w:rPr>
          <w:b/>
          <w:sz w:val="24"/>
          <w:szCs w:val="24"/>
          <w:lang w:val="en-GB"/>
        </w:rPr>
      </w:pPr>
      <w:r w:rsidRPr="002136E6">
        <w:rPr>
          <w:b/>
          <w:sz w:val="24"/>
          <w:szCs w:val="24"/>
          <w:lang w:val="en-GB"/>
        </w:rPr>
        <w:t>4.9</w:t>
      </w:r>
      <w:r w:rsidRPr="002136E6">
        <w:rPr>
          <w:b/>
          <w:sz w:val="24"/>
          <w:szCs w:val="24"/>
          <w:lang w:val="en-GB"/>
        </w:rPr>
        <w:tab/>
        <w:t>Overdose</w:t>
      </w:r>
    </w:p>
    <w:p w14:paraId="7DD247AF" w14:textId="77777777" w:rsidR="00374941" w:rsidRPr="002136E6" w:rsidRDefault="00374941" w:rsidP="00E30453">
      <w:pPr>
        <w:ind w:left="851"/>
        <w:rPr>
          <w:sz w:val="24"/>
          <w:szCs w:val="24"/>
          <w:lang w:val="en-GB"/>
        </w:rPr>
      </w:pPr>
      <w:r w:rsidRPr="002136E6">
        <w:rPr>
          <w:sz w:val="24"/>
          <w:szCs w:val="24"/>
          <w:lang w:val="en-GB"/>
        </w:rPr>
        <w:t xml:space="preserve">Acute </w:t>
      </w:r>
      <w:r w:rsidRPr="002136E6">
        <w:rPr>
          <w:sz w:val="24"/>
          <w:szCs w:val="24"/>
          <w:lang w:val="en-US"/>
        </w:rPr>
        <w:t xml:space="preserve">overdosage </w:t>
      </w:r>
      <w:r w:rsidRPr="002136E6">
        <w:rPr>
          <w:sz w:val="24"/>
          <w:szCs w:val="24"/>
          <w:lang w:val="en-GB"/>
        </w:rPr>
        <w:t>can lead to low blood glucose levels initially, followed by high blood glucose levels. These decreased glucose levels have been detected biochemically, but without clinical signs of hypoglycaemia. Long-term overdosage could result in signs and symptoms consistent with the known effects of human growth hormone excess.</w:t>
      </w:r>
    </w:p>
    <w:p w14:paraId="668F4436" w14:textId="77777777" w:rsidR="007C5D2A" w:rsidRPr="002136E6" w:rsidRDefault="007C5D2A" w:rsidP="003E0341">
      <w:pPr>
        <w:tabs>
          <w:tab w:val="left" w:pos="851"/>
        </w:tabs>
        <w:ind w:left="851"/>
        <w:rPr>
          <w:sz w:val="24"/>
          <w:szCs w:val="24"/>
          <w:lang w:val="en-GB"/>
        </w:rPr>
      </w:pPr>
    </w:p>
    <w:p w14:paraId="2138B019" w14:textId="77777777" w:rsidR="008F2F8C" w:rsidRPr="00E6462E" w:rsidRDefault="0042292D" w:rsidP="0042292D">
      <w:pPr>
        <w:tabs>
          <w:tab w:val="left" w:pos="851"/>
        </w:tabs>
        <w:rPr>
          <w:b/>
          <w:sz w:val="24"/>
          <w:szCs w:val="24"/>
          <w:lang w:val="en-US"/>
        </w:rPr>
      </w:pPr>
      <w:r w:rsidRPr="00E6462E">
        <w:rPr>
          <w:b/>
          <w:sz w:val="24"/>
          <w:szCs w:val="24"/>
          <w:lang w:val="en-US"/>
        </w:rPr>
        <w:t>4.10</w:t>
      </w:r>
      <w:r w:rsidRPr="00E6462E">
        <w:rPr>
          <w:b/>
          <w:sz w:val="24"/>
          <w:szCs w:val="24"/>
          <w:lang w:val="en-US"/>
        </w:rPr>
        <w:tab/>
        <w:t>Legal status</w:t>
      </w:r>
    </w:p>
    <w:p w14:paraId="16C878D0" w14:textId="023A015D" w:rsidR="00AD2E36" w:rsidRPr="00E6462E" w:rsidRDefault="00E30453" w:rsidP="00AD2E36">
      <w:pPr>
        <w:tabs>
          <w:tab w:val="left" w:pos="851"/>
        </w:tabs>
        <w:ind w:left="851"/>
        <w:rPr>
          <w:sz w:val="24"/>
          <w:szCs w:val="24"/>
          <w:lang w:val="en-US"/>
        </w:rPr>
      </w:pPr>
      <w:r w:rsidRPr="00E6462E">
        <w:rPr>
          <w:sz w:val="24"/>
          <w:szCs w:val="24"/>
          <w:lang w:val="en-US"/>
        </w:rPr>
        <w:t>BEGR – only for hospitals</w:t>
      </w:r>
    </w:p>
    <w:p w14:paraId="23CF9337" w14:textId="77777777" w:rsidR="007C5D2A" w:rsidRPr="00E6462E" w:rsidRDefault="007C5D2A" w:rsidP="003E0341">
      <w:pPr>
        <w:tabs>
          <w:tab w:val="left" w:pos="851"/>
        </w:tabs>
        <w:ind w:left="851"/>
        <w:rPr>
          <w:sz w:val="24"/>
          <w:szCs w:val="24"/>
          <w:lang w:val="en-US"/>
        </w:rPr>
      </w:pPr>
    </w:p>
    <w:p w14:paraId="6D4F5BAD" w14:textId="77777777" w:rsidR="00AD2E36" w:rsidRPr="00E6462E" w:rsidRDefault="00AD2E36" w:rsidP="003E0341">
      <w:pPr>
        <w:tabs>
          <w:tab w:val="left" w:pos="851"/>
        </w:tabs>
        <w:ind w:left="851"/>
        <w:rPr>
          <w:sz w:val="24"/>
          <w:szCs w:val="24"/>
          <w:lang w:val="en-US"/>
        </w:rPr>
      </w:pPr>
    </w:p>
    <w:p w14:paraId="187CEC9E" w14:textId="77777777" w:rsidR="007C5D2A" w:rsidRPr="002136E6" w:rsidRDefault="007C5D2A" w:rsidP="007C5D2A">
      <w:pPr>
        <w:tabs>
          <w:tab w:val="left" w:pos="851"/>
        </w:tabs>
        <w:rPr>
          <w:b/>
          <w:sz w:val="24"/>
          <w:szCs w:val="24"/>
          <w:lang w:val="en-GB"/>
        </w:rPr>
      </w:pPr>
      <w:r w:rsidRPr="002136E6">
        <w:rPr>
          <w:b/>
          <w:sz w:val="24"/>
          <w:szCs w:val="24"/>
          <w:lang w:val="en-GB"/>
        </w:rPr>
        <w:t>5.</w:t>
      </w:r>
      <w:r w:rsidRPr="002136E6">
        <w:rPr>
          <w:b/>
          <w:sz w:val="24"/>
          <w:szCs w:val="24"/>
          <w:lang w:val="en-GB"/>
        </w:rPr>
        <w:tab/>
        <w:t>PHARMACOLOGICAL PROPERTIES</w:t>
      </w:r>
    </w:p>
    <w:p w14:paraId="0B8E2B1D" w14:textId="77777777" w:rsidR="007C5D2A" w:rsidRPr="002136E6" w:rsidRDefault="007C5D2A" w:rsidP="003E0341">
      <w:pPr>
        <w:tabs>
          <w:tab w:val="left" w:pos="851"/>
        </w:tabs>
        <w:ind w:left="851"/>
        <w:rPr>
          <w:sz w:val="24"/>
          <w:szCs w:val="24"/>
          <w:lang w:val="en-GB"/>
        </w:rPr>
      </w:pPr>
    </w:p>
    <w:p w14:paraId="3457D9AF" w14:textId="77777777" w:rsidR="007C5D2A" w:rsidRPr="002136E6" w:rsidRDefault="007C5D2A" w:rsidP="007C5D2A">
      <w:pPr>
        <w:tabs>
          <w:tab w:val="left" w:pos="851"/>
        </w:tabs>
        <w:ind w:left="851" w:hanging="851"/>
        <w:rPr>
          <w:b/>
          <w:sz w:val="24"/>
          <w:szCs w:val="24"/>
          <w:lang w:val="en-GB"/>
        </w:rPr>
      </w:pPr>
      <w:r w:rsidRPr="002136E6">
        <w:rPr>
          <w:b/>
          <w:sz w:val="24"/>
          <w:szCs w:val="24"/>
          <w:lang w:val="en-GB"/>
        </w:rPr>
        <w:t>5.1</w:t>
      </w:r>
      <w:r w:rsidRPr="002136E6">
        <w:rPr>
          <w:b/>
          <w:sz w:val="24"/>
          <w:szCs w:val="24"/>
          <w:lang w:val="en-GB"/>
        </w:rPr>
        <w:tab/>
        <w:t>Pharmacodynamic properties</w:t>
      </w:r>
      <w:r w:rsidRPr="002136E6">
        <w:rPr>
          <w:b/>
          <w:sz w:val="24"/>
          <w:szCs w:val="24"/>
          <w:lang w:val="en-GB"/>
        </w:rPr>
        <w:tab/>
      </w:r>
    </w:p>
    <w:p w14:paraId="52C1A6B4" w14:textId="1E9A61CD" w:rsidR="00460F57" w:rsidRPr="002136E6" w:rsidRDefault="00460F57" w:rsidP="00460F57">
      <w:pPr>
        <w:ind w:left="851"/>
        <w:rPr>
          <w:sz w:val="24"/>
          <w:szCs w:val="24"/>
          <w:lang w:val="en-GB"/>
        </w:rPr>
      </w:pPr>
      <w:proofErr w:type="spellStart"/>
      <w:r>
        <w:rPr>
          <w:sz w:val="24"/>
          <w:szCs w:val="24"/>
          <w:lang w:val="en-GB"/>
        </w:rPr>
        <w:t>Pharmacoterapeutic</w:t>
      </w:r>
      <w:proofErr w:type="spellEnd"/>
      <w:r>
        <w:rPr>
          <w:sz w:val="24"/>
          <w:szCs w:val="24"/>
          <w:lang w:val="en-GB"/>
        </w:rPr>
        <w:t xml:space="preserve"> group:</w:t>
      </w:r>
      <w:r w:rsidRPr="002136E6">
        <w:rPr>
          <w:sz w:val="24"/>
          <w:szCs w:val="24"/>
          <w:lang w:val="en-GB"/>
        </w:rPr>
        <w:t xml:space="preserve"> Somatropin and somatropin agonists</w:t>
      </w:r>
      <w:r>
        <w:rPr>
          <w:sz w:val="24"/>
          <w:szCs w:val="24"/>
          <w:lang w:val="en-GB"/>
        </w:rPr>
        <w:t xml:space="preserve">, </w:t>
      </w:r>
      <w:r w:rsidRPr="002136E6">
        <w:rPr>
          <w:sz w:val="24"/>
          <w:szCs w:val="24"/>
          <w:lang w:val="en-GB"/>
        </w:rPr>
        <w:t xml:space="preserve">ATC: H01AC01. </w:t>
      </w:r>
    </w:p>
    <w:p w14:paraId="48D4A453" w14:textId="39990110" w:rsidR="00995279" w:rsidRDefault="00995279">
      <w:pPr>
        <w:rPr>
          <w:sz w:val="24"/>
          <w:szCs w:val="24"/>
          <w:u w:val="single"/>
          <w:lang w:val="en-GB"/>
        </w:rPr>
      </w:pPr>
      <w:r>
        <w:rPr>
          <w:sz w:val="24"/>
          <w:szCs w:val="24"/>
          <w:u w:val="single"/>
          <w:lang w:val="en-GB"/>
        </w:rPr>
        <w:br w:type="page"/>
      </w:r>
    </w:p>
    <w:p w14:paraId="3DCA977B" w14:textId="77777777" w:rsidR="0072697C" w:rsidRDefault="0072697C" w:rsidP="00E30453">
      <w:pPr>
        <w:ind w:left="851"/>
        <w:rPr>
          <w:sz w:val="24"/>
          <w:szCs w:val="24"/>
          <w:u w:val="single"/>
          <w:lang w:val="en-GB"/>
        </w:rPr>
      </w:pPr>
      <w:bookmarkStart w:id="2" w:name="_GoBack"/>
      <w:bookmarkEnd w:id="2"/>
    </w:p>
    <w:p w14:paraId="36D7BF2D" w14:textId="0A0DA737" w:rsidR="00374941" w:rsidRPr="002136E6" w:rsidRDefault="00374941" w:rsidP="00E30453">
      <w:pPr>
        <w:ind w:left="851"/>
        <w:rPr>
          <w:sz w:val="24"/>
          <w:szCs w:val="24"/>
          <w:u w:val="single"/>
          <w:lang w:val="en-GB"/>
        </w:rPr>
      </w:pPr>
      <w:r w:rsidRPr="002136E6">
        <w:rPr>
          <w:sz w:val="24"/>
          <w:szCs w:val="24"/>
          <w:u w:val="single"/>
          <w:lang w:val="en-GB"/>
        </w:rPr>
        <w:t>Mechanism of action</w:t>
      </w:r>
    </w:p>
    <w:p w14:paraId="0DCDE2EA" w14:textId="77777777" w:rsidR="00374941" w:rsidRPr="002136E6" w:rsidRDefault="00374941" w:rsidP="00E30453">
      <w:pPr>
        <w:ind w:left="851"/>
        <w:rPr>
          <w:sz w:val="24"/>
          <w:szCs w:val="24"/>
          <w:lang w:val="en-GB"/>
        </w:rPr>
      </w:pPr>
    </w:p>
    <w:p w14:paraId="2E86DC03" w14:textId="77777777" w:rsidR="00374941" w:rsidRPr="002136E6" w:rsidRDefault="00374941" w:rsidP="00E30453">
      <w:pPr>
        <w:ind w:left="851"/>
        <w:rPr>
          <w:sz w:val="24"/>
          <w:szCs w:val="24"/>
          <w:lang w:val="en-GB"/>
        </w:rPr>
      </w:pPr>
      <w:proofErr w:type="spellStart"/>
      <w:r w:rsidRPr="002136E6">
        <w:rPr>
          <w:sz w:val="24"/>
          <w:szCs w:val="24"/>
          <w:lang w:val="en-GB"/>
        </w:rPr>
        <w:lastRenderedPageBreak/>
        <w:t>Norditropin</w:t>
      </w:r>
      <w:proofErr w:type="spellEnd"/>
      <w:r w:rsidRPr="002136E6">
        <w:rPr>
          <w:sz w:val="24"/>
          <w:szCs w:val="24"/>
          <w:lang w:val="en-GB"/>
        </w:rPr>
        <w:t xml:space="preserve"> </w:t>
      </w:r>
      <w:proofErr w:type="spellStart"/>
      <w:r w:rsidRPr="002136E6">
        <w:rPr>
          <w:sz w:val="24"/>
          <w:szCs w:val="24"/>
          <w:lang w:val="en-GB"/>
        </w:rPr>
        <w:t>NordiLet</w:t>
      </w:r>
      <w:proofErr w:type="spellEnd"/>
      <w:r w:rsidRPr="002136E6">
        <w:rPr>
          <w:sz w:val="24"/>
          <w:szCs w:val="24"/>
          <w:lang w:val="en-GB"/>
        </w:rPr>
        <w:t xml:space="preserve"> contains somatropin, which is human growth hormone produced by recombinant DNA-technology. It is an anabolic peptide of 191 amino acids stabilised by two disulphide bridges with a molecular weight of approximately 22,000 Daltons.</w:t>
      </w:r>
    </w:p>
    <w:p w14:paraId="06B330FE" w14:textId="77777777" w:rsidR="00374941" w:rsidRPr="002136E6" w:rsidRDefault="00374941" w:rsidP="00E30453">
      <w:pPr>
        <w:ind w:left="851"/>
        <w:rPr>
          <w:sz w:val="24"/>
          <w:szCs w:val="24"/>
          <w:lang w:val="en-GB"/>
        </w:rPr>
      </w:pPr>
    </w:p>
    <w:p w14:paraId="236B21D8" w14:textId="77777777" w:rsidR="00374941" w:rsidRPr="002136E6" w:rsidRDefault="00374941" w:rsidP="00E30453">
      <w:pPr>
        <w:ind w:left="851"/>
        <w:rPr>
          <w:sz w:val="24"/>
          <w:szCs w:val="24"/>
          <w:lang w:val="en-GB"/>
        </w:rPr>
      </w:pPr>
      <w:r w:rsidRPr="002136E6">
        <w:rPr>
          <w:sz w:val="24"/>
          <w:szCs w:val="24"/>
          <w:lang w:val="en-GB"/>
        </w:rPr>
        <w:t>The major effects of somatropin are stimulation of skeletal and somatic growth and pronounced influence on the body’s metabolic processes.</w:t>
      </w:r>
    </w:p>
    <w:p w14:paraId="5FFE1D54" w14:textId="77777777" w:rsidR="00374941" w:rsidRPr="002136E6" w:rsidRDefault="00374941" w:rsidP="00E30453">
      <w:pPr>
        <w:ind w:left="851"/>
        <w:rPr>
          <w:sz w:val="24"/>
          <w:szCs w:val="24"/>
          <w:lang w:val="en-GB"/>
        </w:rPr>
      </w:pPr>
    </w:p>
    <w:p w14:paraId="32B812C2" w14:textId="77777777" w:rsidR="00374941" w:rsidRPr="002136E6" w:rsidRDefault="00374941" w:rsidP="00E30453">
      <w:pPr>
        <w:ind w:left="851"/>
        <w:rPr>
          <w:sz w:val="24"/>
          <w:szCs w:val="24"/>
          <w:u w:val="single"/>
          <w:lang w:val="en-GB"/>
        </w:rPr>
      </w:pPr>
      <w:r w:rsidRPr="002136E6">
        <w:rPr>
          <w:sz w:val="24"/>
          <w:szCs w:val="24"/>
          <w:u w:val="single"/>
          <w:lang w:val="en-GB"/>
        </w:rPr>
        <w:t>Pharmacodynamic effects</w:t>
      </w:r>
    </w:p>
    <w:p w14:paraId="5AB45DE3" w14:textId="77777777" w:rsidR="00374941" w:rsidRPr="002136E6" w:rsidRDefault="00374941" w:rsidP="00E30453">
      <w:pPr>
        <w:ind w:left="851"/>
        <w:rPr>
          <w:sz w:val="24"/>
          <w:szCs w:val="24"/>
          <w:lang w:val="en-GB"/>
        </w:rPr>
      </w:pPr>
    </w:p>
    <w:p w14:paraId="5482BD42" w14:textId="77777777" w:rsidR="00374941" w:rsidRPr="002136E6" w:rsidRDefault="00374941" w:rsidP="00E30453">
      <w:pPr>
        <w:ind w:left="851"/>
        <w:rPr>
          <w:sz w:val="24"/>
          <w:szCs w:val="24"/>
          <w:lang w:val="en-GB"/>
        </w:rPr>
      </w:pPr>
      <w:r w:rsidRPr="002136E6">
        <w:rPr>
          <w:sz w:val="24"/>
          <w:szCs w:val="24"/>
          <w:lang w:val="en-GB"/>
        </w:rPr>
        <w:t>When growth hormone deficiency is treated a normalisation of body composition takes place resulting in an increase in lean body mass and a decrease in fat mass.</w:t>
      </w:r>
    </w:p>
    <w:p w14:paraId="36A3671E" w14:textId="77777777" w:rsidR="00374941" w:rsidRPr="002136E6" w:rsidRDefault="00374941" w:rsidP="00E30453">
      <w:pPr>
        <w:ind w:left="851"/>
        <w:rPr>
          <w:sz w:val="24"/>
          <w:szCs w:val="24"/>
          <w:lang w:val="en-GB"/>
        </w:rPr>
      </w:pPr>
      <w:r w:rsidRPr="002136E6">
        <w:rPr>
          <w:sz w:val="24"/>
          <w:szCs w:val="24"/>
          <w:lang w:val="en-GB"/>
        </w:rPr>
        <w:t>Somatropin exerts most of its actions through insulin-like growth factor 1 (IGF-1), which is produced in tissues throughout the body but predominantly by the liver.</w:t>
      </w:r>
    </w:p>
    <w:p w14:paraId="35B7B115" w14:textId="77777777" w:rsidR="00374941" w:rsidRPr="002136E6" w:rsidRDefault="00374941" w:rsidP="00E30453">
      <w:pPr>
        <w:ind w:left="851"/>
        <w:rPr>
          <w:sz w:val="24"/>
          <w:szCs w:val="24"/>
          <w:lang w:val="en-GB"/>
        </w:rPr>
      </w:pPr>
      <w:r w:rsidRPr="002136E6">
        <w:rPr>
          <w:sz w:val="24"/>
          <w:szCs w:val="24"/>
          <w:lang w:val="en-GB"/>
        </w:rPr>
        <w:t>More than 90% of IGF-1 is bound to binding proteins (IGFBPs) of which IGFBP-3 is the most important.</w:t>
      </w:r>
    </w:p>
    <w:p w14:paraId="63113B88" w14:textId="77777777" w:rsidR="00374941" w:rsidRPr="002136E6" w:rsidRDefault="00374941" w:rsidP="00E30453">
      <w:pPr>
        <w:ind w:left="851"/>
        <w:rPr>
          <w:sz w:val="24"/>
          <w:szCs w:val="24"/>
          <w:lang w:val="en-GB"/>
        </w:rPr>
      </w:pPr>
    </w:p>
    <w:p w14:paraId="2725C67F" w14:textId="77777777" w:rsidR="00374941" w:rsidRPr="002136E6" w:rsidRDefault="00374941" w:rsidP="00E30453">
      <w:pPr>
        <w:ind w:left="851"/>
        <w:rPr>
          <w:sz w:val="24"/>
          <w:szCs w:val="24"/>
          <w:lang w:val="en-GB"/>
        </w:rPr>
      </w:pPr>
      <w:r w:rsidRPr="002136E6">
        <w:rPr>
          <w:sz w:val="24"/>
          <w:szCs w:val="24"/>
          <w:lang w:val="en-GB"/>
        </w:rPr>
        <w:t>A lipolytic and protein sparing effect of the hormone becomes of particular importance during stress.</w:t>
      </w:r>
    </w:p>
    <w:p w14:paraId="6F3CB3CD" w14:textId="77777777" w:rsidR="00374941" w:rsidRPr="002136E6" w:rsidRDefault="00374941" w:rsidP="00E30453">
      <w:pPr>
        <w:ind w:left="851"/>
        <w:rPr>
          <w:sz w:val="24"/>
          <w:szCs w:val="24"/>
          <w:lang w:val="en-GB"/>
        </w:rPr>
      </w:pPr>
    </w:p>
    <w:p w14:paraId="06CAAC1F" w14:textId="77777777" w:rsidR="00374941" w:rsidRPr="002136E6" w:rsidRDefault="00374941" w:rsidP="00E30453">
      <w:pPr>
        <w:ind w:left="851"/>
        <w:rPr>
          <w:sz w:val="24"/>
          <w:szCs w:val="24"/>
          <w:lang w:val="en-GB"/>
        </w:rPr>
      </w:pPr>
      <w:r w:rsidRPr="002136E6">
        <w:rPr>
          <w:sz w:val="24"/>
          <w:szCs w:val="24"/>
          <w:lang w:val="en-GB"/>
        </w:rPr>
        <w:t>Somatropin also increases bone turnover indicated by an increase in plasma levels of biochemical bone markers. In adults bone mass is slightly decreased during the initial months of treatment due to more pronounced bone resorption, however, bone mass increases with prolonged treatment.</w:t>
      </w:r>
    </w:p>
    <w:p w14:paraId="2839E36D" w14:textId="77777777" w:rsidR="00374941" w:rsidRPr="002136E6" w:rsidRDefault="00374941" w:rsidP="00E30453">
      <w:pPr>
        <w:ind w:left="851"/>
        <w:rPr>
          <w:sz w:val="24"/>
          <w:szCs w:val="24"/>
          <w:lang w:val="en-GB"/>
        </w:rPr>
      </w:pPr>
    </w:p>
    <w:p w14:paraId="4FD68EFC" w14:textId="77777777" w:rsidR="00374941" w:rsidRPr="002136E6" w:rsidRDefault="00374941" w:rsidP="00E30453">
      <w:pPr>
        <w:ind w:left="851"/>
        <w:rPr>
          <w:sz w:val="24"/>
          <w:szCs w:val="24"/>
          <w:u w:val="single"/>
          <w:lang w:val="en-GB"/>
        </w:rPr>
      </w:pPr>
      <w:r w:rsidRPr="002136E6">
        <w:rPr>
          <w:sz w:val="24"/>
          <w:szCs w:val="24"/>
          <w:u w:val="single"/>
          <w:lang w:val="en-GB"/>
        </w:rPr>
        <w:t>Clinical efficacy and safety</w:t>
      </w:r>
    </w:p>
    <w:p w14:paraId="753830D6" w14:textId="77777777" w:rsidR="00374941" w:rsidRPr="002136E6" w:rsidRDefault="00374941" w:rsidP="00E30453">
      <w:pPr>
        <w:ind w:left="851"/>
        <w:rPr>
          <w:sz w:val="24"/>
          <w:szCs w:val="24"/>
          <w:lang w:val="en-GB"/>
        </w:rPr>
      </w:pPr>
    </w:p>
    <w:p w14:paraId="07B6730A" w14:textId="77777777" w:rsidR="00374941" w:rsidRPr="002136E6" w:rsidRDefault="00374941" w:rsidP="00E30453">
      <w:pPr>
        <w:ind w:left="851"/>
        <w:rPr>
          <w:sz w:val="24"/>
          <w:szCs w:val="24"/>
          <w:lang w:val="en-GB"/>
        </w:rPr>
      </w:pPr>
      <w:r w:rsidRPr="002136E6">
        <w:rPr>
          <w:sz w:val="24"/>
          <w:szCs w:val="24"/>
          <w:lang w:val="en-GB"/>
        </w:rPr>
        <w:t>In clinical trials in short children born SGA doses of 0.033 and 0.067 mg/kg/day have been used for treatment until final height. In 56 patients who were continuously treated and have reached (near) final height, the mean change from height at start of treatment was +1.90 SDS (0.033 mg/kg/day) and +2.19 SDS (0.067 mg/kg/day). Literature data from untreated SGA children without early spontaneous catch-up suggest a late growth of 0.5 SDS. Long-term safety data are still limited.</w:t>
      </w:r>
    </w:p>
    <w:p w14:paraId="7D67EC51" w14:textId="77777777" w:rsidR="00374941" w:rsidRPr="002136E6" w:rsidRDefault="00374941" w:rsidP="00E30453">
      <w:pPr>
        <w:ind w:left="851"/>
        <w:rPr>
          <w:sz w:val="24"/>
          <w:szCs w:val="24"/>
          <w:lang w:val="en-GB"/>
        </w:rPr>
      </w:pPr>
    </w:p>
    <w:p w14:paraId="16E1EDA4" w14:textId="77777777" w:rsidR="00374941" w:rsidRPr="002136E6" w:rsidRDefault="00374941" w:rsidP="00E30453">
      <w:pPr>
        <w:ind w:left="851"/>
        <w:rPr>
          <w:sz w:val="24"/>
          <w:szCs w:val="24"/>
          <w:lang w:val="en-GB"/>
        </w:rPr>
      </w:pPr>
      <w:r w:rsidRPr="002136E6">
        <w:rPr>
          <w:sz w:val="24"/>
          <w:szCs w:val="24"/>
          <w:lang w:val="en-GB"/>
        </w:rPr>
        <w:t xml:space="preserve">A growth promoting effect was observed following 104 weeks (primary endpoint) and 208 weeks treatment with once-daily dosing of </w:t>
      </w:r>
      <w:proofErr w:type="spellStart"/>
      <w:r w:rsidRPr="002136E6">
        <w:rPr>
          <w:sz w:val="24"/>
          <w:szCs w:val="24"/>
          <w:lang w:val="en-GB"/>
        </w:rPr>
        <w:t>Norditropin</w:t>
      </w:r>
      <w:proofErr w:type="spellEnd"/>
      <w:r w:rsidRPr="002136E6">
        <w:rPr>
          <w:sz w:val="24"/>
          <w:szCs w:val="24"/>
          <w:lang w:val="en-GB"/>
        </w:rPr>
        <w:t xml:space="preserve"> 0.033</w:t>
      </w:r>
      <w:r w:rsidRPr="002136E6">
        <w:rPr>
          <w:sz w:val="24"/>
          <w:szCs w:val="24"/>
          <w:lang w:val="en-US"/>
        </w:rPr>
        <w:t> </w:t>
      </w:r>
      <w:r w:rsidRPr="002136E6">
        <w:rPr>
          <w:sz w:val="24"/>
          <w:szCs w:val="24"/>
          <w:lang w:val="en-GB"/>
        </w:rPr>
        <w:t>mg/kg/day and 0.066</w:t>
      </w:r>
      <w:r w:rsidRPr="002136E6">
        <w:rPr>
          <w:sz w:val="24"/>
          <w:szCs w:val="24"/>
          <w:lang w:val="en-US"/>
        </w:rPr>
        <w:t> </w:t>
      </w:r>
      <w:r w:rsidRPr="002136E6">
        <w:rPr>
          <w:sz w:val="24"/>
          <w:szCs w:val="24"/>
          <w:lang w:val="en-GB"/>
        </w:rPr>
        <w:t>mg/kg/day in 51 children aged 3 to &lt;11 years with short stature due to Noonan syndrome.</w:t>
      </w:r>
    </w:p>
    <w:p w14:paraId="74667D20" w14:textId="77777777" w:rsidR="00374941" w:rsidRPr="002136E6" w:rsidRDefault="00374941" w:rsidP="00E30453">
      <w:pPr>
        <w:ind w:left="851"/>
        <w:rPr>
          <w:sz w:val="24"/>
          <w:szCs w:val="24"/>
          <w:lang w:val="en-GB"/>
        </w:rPr>
      </w:pPr>
    </w:p>
    <w:p w14:paraId="1ADB1895" w14:textId="77777777" w:rsidR="00374941" w:rsidRPr="002136E6" w:rsidRDefault="00374941" w:rsidP="00E30453">
      <w:pPr>
        <w:ind w:left="851"/>
        <w:rPr>
          <w:sz w:val="24"/>
          <w:szCs w:val="24"/>
          <w:lang w:val="en-GB"/>
        </w:rPr>
      </w:pPr>
      <w:r w:rsidRPr="002136E6">
        <w:rPr>
          <w:sz w:val="24"/>
          <w:szCs w:val="24"/>
          <w:lang w:val="en-GB"/>
        </w:rPr>
        <w:t xml:space="preserve">A statistically significant increase from baseline in mean height SDS at 104 weeks (primary endpoint) was observed with 0.033 mg/kg/day (0.84 SDS) and 0.066 mg/kg/day (1.47 SDS). A mean difference of 0.63 SDS [95 % CI: 0.38; 0.88] was observed between the groups at 104 weeks; the difference was greater after 208 weeks with </w:t>
      </w:r>
      <w:proofErr w:type="gramStart"/>
      <w:r w:rsidRPr="002136E6">
        <w:rPr>
          <w:sz w:val="24"/>
          <w:szCs w:val="24"/>
          <w:lang w:val="en-GB"/>
        </w:rPr>
        <w:t>an</w:t>
      </w:r>
      <w:proofErr w:type="gramEnd"/>
      <w:r w:rsidRPr="002136E6">
        <w:rPr>
          <w:sz w:val="24"/>
          <w:szCs w:val="24"/>
          <w:lang w:val="en-GB"/>
        </w:rPr>
        <w:t xml:space="preserve"> mean difference of 0.99 SDS [95 % CI: 0.62; 1.36] (figure 1).</w:t>
      </w:r>
    </w:p>
    <w:p w14:paraId="624ACB97" w14:textId="77777777" w:rsidR="00374941" w:rsidRPr="002136E6" w:rsidRDefault="00374941" w:rsidP="00374941">
      <w:pPr>
        <w:rPr>
          <w:sz w:val="24"/>
          <w:szCs w:val="24"/>
          <w:lang w:val="en-US"/>
        </w:rPr>
      </w:pPr>
    </w:p>
    <w:p w14:paraId="0227256A" w14:textId="77777777" w:rsidR="004B703C" w:rsidRPr="002136E6" w:rsidRDefault="002E7758" w:rsidP="004B703C">
      <w:pPr>
        <w:rPr>
          <w:b/>
          <w:bCs/>
          <w:sz w:val="24"/>
          <w:szCs w:val="24"/>
          <w:lang w:val="en-US"/>
        </w:rPr>
      </w:pPr>
      <w:bookmarkStart w:id="3" w:name="_Hlk108525857"/>
      <w:r w:rsidRPr="002136E6">
        <w:rPr>
          <w:bCs/>
          <w:noProof/>
          <w:sz w:val="24"/>
          <w:szCs w:val="24"/>
        </w:rPr>
        <w:lastRenderedPageBreak/>
        <w:drawing>
          <wp:inline distT="0" distB="0" distL="0" distR="0" wp14:anchorId="765665EE" wp14:editId="457AD7D3">
            <wp:extent cx="5914390" cy="3618865"/>
            <wp:effectExtent l="0" t="0" r="0"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4390" cy="3618865"/>
                    </a:xfrm>
                    <a:prstGeom prst="rect">
                      <a:avLst/>
                    </a:prstGeom>
                    <a:noFill/>
                  </pic:spPr>
                </pic:pic>
              </a:graphicData>
            </a:graphic>
          </wp:inline>
        </w:drawing>
      </w:r>
      <w:bookmarkEnd w:id="3"/>
    </w:p>
    <w:p w14:paraId="6A715A49" w14:textId="7160EC94" w:rsidR="00374941" w:rsidRPr="002136E6" w:rsidRDefault="00374941" w:rsidP="004B703C">
      <w:pPr>
        <w:rPr>
          <w:b/>
          <w:bCs/>
          <w:sz w:val="24"/>
          <w:szCs w:val="24"/>
          <w:lang w:val="en-GB"/>
        </w:rPr>
      </w:pPr>
      <w:r w:rsidRPr="002136E6">
        <w:rPr>
          <w:b/>
          <w:bCs/>
          <w:sz w:val="24"/>
          <w:szCs w:val="24"/>
          <w:lang w:val="en-US"/>
        </w:rPr>
        <w:t xml:space="preserve">Figure </w:t>
      </w:r>
      <w:r w:rsidRPr="002136E6">
        <w:rPr>
          <w:b/>
          <w:bCs/>
          <w:sz w:val="24"/>
          <w:szCs w:val="24"/>
        </w:rPr>
        <w:fldChar w:fldCharType="begin"/>
      </w:r>
      <w:r w:rsidRPr="002136E6">
        <w:rPr>
          <w:b/>
          <w:bCs/>
          <w:sz w:val="24"/>
          <w:szCs w:val="24"/>
          <w:lang w:val="en-US"/>
        </w:rPr>
        <w:instrText xml:space="preserve"> SEQ Figure \* ARABIC </w:instrText>
      </w:r>
      <w:r w:rsidRPr="002136E6">
        <w:rPr>
          <w:b/>
          <w:bCs/>
          <w:sz w:val="24"/>
          <w:szCs w:val="24"/>
        </w:rPr>
        <w:fldChar w:fldCharType="separate"/>
      </w:r>
      <w:r w:rsidR="00E6462E">
        <w:rPr>
          <w:b/>
          <w:bCs/>
          <w:noProof/>
          <w:sz w:val="24"/>
          <w:szCs w:val="24"/>
          <w:lang w:val="en-US"/>
        </w:rPr>
        <w:t>1</w:t>
      </w:r>
      <w:r w:rsidRPr="002136E6">
        <w:rPr>
          <w:sz w:val="24"/>
          <w:szCs w:val="24"/>
          <w:lang w:val="en-GB"/>
        </w:rPr>
        <w:fldChar w:fldCharType="end"/>
      </w:r>
      <w:r w:rsidRPr="002136E6">
        <w:rPr>
          <w:b/>
          <w:bCs/>
          <w:sz w:val="24"/>
          <w:szCs w:val="24"/>
          <w:lang w:val="en-GB"/>
        </w:rPr>
        <w:tab/>
      </w:r>
      <w:r w:rsidRPr="002136E6">
        <w:rPr>
          <w:b/>
          <w:bCs/>
          <w:sz w:val="24"/>
          <w:szCs w:val="24"/>
          <w:lang w:val="en-US"/>
        </w:rPr>
        <w:t>Height SDS (national) change from baseline to week 208</w:t>
      </w:r>
    </w:p>
    <w:p w14:paraId="19A19B15" w14:textId="77777777" w:rsidR="00374941" w:rsidRPr="002136E6" w:rsidRDefault="00374941" w:rsidP="00E30453">
      <w:pPr>
        <w:ind w:left="851"/>
        <w:rPr>
          <w:sz w:val="24"/>
          <w:szCs w:val="24"/>
          <w:lang w:val="en-GB"/>
        </w:rPr>
      </w:pPr>
    </w:p>
    <w:p w14:paraId="67C73211" w14:textId="77777777" w:rsidR="00374941" w:rsidRPr="002136E6" w:rsidRDefault="00374941" w:rsidP="00E30453">
      <w:pPr>
        <w:ind w:left="851"/>
        <w:rPr>
          <w:sz w:val="24"/>
          <w:szCs w:val="24"/>
          <w:lang w:val="en-GB"/>
        </w:rPr>
      </w:pPr>
      <w:r w:rsidRPr="002136E6">
        <w:rPr>
          <w:sz w:val="24"/>
          <w:szCs w:val="24"/>
          <w:lang w:val="en-GB"/>
        </w:rPr>
        <w:t>The mean height velocity and height velocity SDS increased markedly from baseline during the first year of treatment with a greater increase with 0.066 mg/kg/day than with 0.033</w:t>
      </w:r>
      <w:r w:rsidRPr="002136E6">
        <w:rPr>
          <w:sz w:val="24"/>
          <w:szCs w:val="24"/>
          <w:lang w:val="en-US"/>
        </w:rPr>
        <w:t> </w:t>
      </w:r>
      <w:r w:rsidRPr="002136E6">
        <w:rPr>
          <w:sz w:val="24"/>
          <w:szCs w:val="24"/>
          <w:lang w:val="en-GB"/>
        </w:rPr>
        <w:t>mg/kg/day. The mean height velocity SDS was maintained above 0 in both groups after a two-year treatment and also after four years of treatment in the 0.066 mg/kg/day group. The height velocity SDS was greater with 0.066 mg/kg/day than with 0.033 mg/kg/day throughout the trial period (figure 2).</w:t>
      </w:r>
    </w:p>
    <w:p w14:paraId="5FD8B447" w14:textId="77777777" w:rsidR="00374941" w:rsidRPr="002136E6" w:rsidRDefault="00374941" w:rsidP="00374941">
      <w:pPr>
        <w:rPr>
          <w:sz w:val="24"/>
          <w:szCs w:val="24"/>
          <w:lang w:val="en-GB"/>
        </w:rPr>
      </w:pPr>
    </w:p>
    <w:p w14:paraId="1788FC89" w14:textId="1B7D1304" w:rsidR="00374941" w:rsidRPr="002136E6" w:rsidRDefault="004B703C" w:rsidP="004B703C">
      <w:pPr>
        <w:ind w:left="142"/>
        <w:rPr>
          <w:sz w:val="24"/>
          <w:szCs w:val="24"/>
          <w:lang w:val="en-GB"/>
        </w:rPr>
      </w:pPr>
      <w:r w:rsidRPr="002136E6">
        <w:rPr>
          <w:b/>
          <w:noProof/>
          <w:sz w:val="24"/>
          <w:szCs w:val="24"/>
        </w:rPr>
        <w:drawing>
          <wp:inline distT="0" distB="0" distL="0" distR="0" wp14:anchorId="284F4384" wp14:editId="03DDE83D">
            <wp:extent cx="5771515" cy="3609340"/>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1515" cy="3609340"/>
                    </a:xfrm>
                    <a:prstGeom prst="rect">
                      <a:avLst/>
                    </a:prstGeom>
                    <a:noFill/>
                  </pic:spPr>
                </pic:pic>
              </a:graphicData>
            </a:graphic>
          </wp:inline>
        </w:drawing>
      </w:r>
      <w:r w:rsidR="00374941" w:rsidRPr="002136E6">
        <w:rPr>
          <w:b/>
          <w:bCs/>
          <w:sz w:val="24"/>
          <w:szCs w:val="24"/>
          <w:lang w:val="en-GB"/>
        </w:rPr>
        <w:t>Figure 2</w:t>
      </w:r>
      <w:r w:rsidR="00374941" w:rsidRPr="002136E6">
        <w:rPr>
          <w:b/>
          <w:bCs/>
          <w:sz w:val="24"/>
          <w:szCs w:val="24"/>
          <w:lang w:val="en-GB"/>
        </w:rPr>
        <w:tab/>
        <w:t>Height velocity SDS (national) from baseline to week 208</w:t>
      </w:r>
    </w:p>
    <w:p w14:paraId="7D4CC718" w14:textId="77777777" w:rsidR="00374941" w:rsidRPr="002136E6" w:rsidRDefault="00374941" w:rsidP="00374941">
      <w:pPr>
        <w:rPr>
          <w:sz w:val="24"/>
          <w:szCs w:val="24"/>
          <w:lang w:val="en-GB"/>
        </w:rPr>
      </w:pPr>
    </w:p>
    <w:p w14:paraId="057ECDD2" w14:textId="77777777" w:rsidR="00374941" w:rsidRPr="002136E6" w:rsidRDefault="00374941" w:rsidP="001F525D">
      <w:pPr>
        <w:ind w:left="851"/>
        <w:rPr>
          <w:sz w:val="24"/>
          <w:szCs w:val="24"/>
          <w:lang w:val="en-GB"/>
        </w:rPr>
      </w:pPr>
      <w:r w:rsidRPr="002136E6">
        <w:rPr>
          <w:sz w:val="24"/>
          <w:szCs w:val="24"/>
          <w:lang w:val="en-GB"/>
        </w:rPr>
        <w:t xml:space="preserve">Final height data were collected in 24 paediatric patients (18 included in a two-year prospective, open label, randomised, parallel group study and six who had followed the protocol without randomisation). After the initial two-years prospective study, </w:t>
      </w:r>
      <w:proofErr w:type="spellStart"/>
      <w:r w:rsidRPr="002136E6">
        <w:rPr>
          <w:sz w:val="24"/>
          <w:szCs w:val="24"/>
          <w:lang w:val="en-GB"/>
        </w:rPr>
        <w:t>Norditropin</w:t>
      </w:r>
      <w:proofErr w:type="spellEnd"/>
      <w:r w:rsidRPr="002136E6">
        <w:rPr>
          <w:sz w:val="24"/>
          <w:szCs w:val="24"/>
          <w:lang w:val="en-GB"/>
        </w:rPr>
        <w:t xml:space="preserve"> continued until final height. At the end of the treatment the majority of the subjects (16/24) achieved a final height within the normal national reference range (&gt; 2 SDS).</w:t>
      </w:r>
    </w:p>
    <w:p w14:paraId="1DF07778" w14:textId="77777777" w:rsidR="007C5D2A" w:rsidRPr="002136E6" w:rsidRDefault="007C5D2A" w:rsidP="003E0341">
      <w:pPr>
        <w:tabs>
          <w:tab w:val="left" w:pos="851"/>
        </w:tabs>
        <w:ind w:left="851"/>
        <w:rPr>
          <w:sz w:val="24"/>
          <w:szCs w:val="24"/>
          <w:lang w:val="en-GB"/>
        </w:rPr>
      </w:pPr>
    </w:p>
    <w:p w14:paraId="2D24032C" w14:textId="2EB2ACB9" w:rsidR="007C5D2A" w:rsidRPr="002136E6" w:rsidRDefault="007C5D2A" w:rsidP="007C5D2A">
      <w:pPr>
        <w:tabs>
          <w:tab w:val="left" w:pos="851"/>
        </w:tabs>
        <w:ind w:left="851" w:hanging="851"/>
        <w:rPr>
          <w:b/>
          <w:sz w:val="24"/>
          <w:szCs w:val="24"/>
          <w:lang w:val="en-GB"/>
        </w:rPr>
      </w:pPr>
      <w:r w:rsidRPr="002136E6">
        <w:rPr>
          <w:b/>
          <w:sz w:val="24"/>
          <w:szCs w:val="24"/>
          <w:lang w:val="en-GB"/>
        </w:rPr>
        <w:t>5.2</w:t>
      </w:r>
      <w:r w:rsidRPr="002136E6">
        <w:rPr>
          <w:b/>
          <w:sz w:val="24"/>
          <w:szCs w:val="24"/>
          <w:lang w:val="en-GB"/>
        </w:rPr>
        <w:tab/>
        <w:t>Pharmacokinetic properties</w:t>
      </w:r>
    </w:p>
    <w:p w14:paraId="45E01E30" w14:textId="77777777" w:rsidR="00374941" w:rsidRPr="002136E6" w:rsidRDefault="00374941" w:rsidP="001F525D">
      <w:pPr>
        <w:ind w:left="851"/>
        <w:rPr>
          <w:sz w:val="24"/>
          <w:szCs w:val="24"/>
          <w:lang w:val="en-GB"/>
        </w:rPr>
      </w:pPr>
      <w:proofErr w:type="spellStart"/>
      <w:r w:rsidRPr="002136E6">
        <w:rPr>
          <w:sz w:val="24"/>
          <w:szCs w:val="24"/>
          <w:lang w:val="en-GB"/>
        </w:rPr>
        <w:t>I.v.</w:t>
      </w:r>
      <w:proofErr w:type="spellEnd"/>
      <w:r w:rsidRPr="002136E6">
        <w:rPr>
          <w:sz w:val="24"/>
          <w:szCs w:val="24"/>
          <w:lang w:val="en-GB"/>
        </w:rPr>
        <w:t xml:space="preserve"> infusion of </w:t>
      </w:r>
      <w:proofErr w:type="spellStart"/>
      <w:r w:rsidRPr="002136E6">
        <w:rPr>
          <w:sz w:val="24"/>
          <w:szCs w:val="24"/>
          <w:lang w:val="en-GB"/>
        </w:rPr>
        <w:t>Norditropin</w:t>
      </w:r>
      <w:proofErr w:type="spellEnd"/>
      <w:r w:rsidRPr="002136E6">
        <w:rPr>
          <w:sz w:val="24"/>
          <w:szCs w:val="24"/>
          <w:lang w:val="en-GB"/>
        </w:rPr>
        <w:t xml:space="preserve"> (33 ng/kg/min for 3 hours) to nine growth hormone deficient patients, gave the following results: serum half-life of 21.1±1.7 min., metabolic clearance rate of 2.33±0.58 ml/kg/min. and a distribution space of 67.6±14.6 ml/kg.</w:t>
      </w:r>
    </w:p>
    <w:p w14:paraId="41F2F360" w14:textId="77777777" w:rsidR="00374941" w:rsidRPr="002136E6" w:rsidRDefault="00374941" w:rsidP="001F525D">
      <w:pPr>
        <w:ind w:left="851"/>
        <w:rPr>
          <w:sz w:val="24"/>
          <w:szCs w:val="24"/>
          <w:lang w:val="en-GB"/>
        </w:rPr>
      </w:pPr>
    </w:p>
    <w:p w14:paraId="206F7ED9" w14:textId="77777777" w:rsidR="00374941" w:rsidRPr="002136E6" w:rsidRDefault="00374941" w:rsidP="001F525D">
      <w:pPr>
        <w:ind w:left="851"/>
        <w:rPr>
          <w:sz w:val="24"/>
          <w:szCs w:val="24"/>
          <w:lang w:val="en-GB"/>
        </w:rPr>
      </w:pPr>
      <w:proofErr w:type="spellStart"/>
      <w:r w:rsidRPr="002136E6">
        <w:rPr>
          <w:sz w:val="24"/>
          <w:szCs w:val="24"/>
          <w:lang w:val="en-GB"/>
        </w:rPr>
        <w:t>S.c.</w:t>
      </w:r>
      <w:proofErr w:type="spellEnd"/>
      <w:r w:rsidRPr="002136E6">
        <w:rPr>
          <w:sz w:val="24"/>
          <w:szCs w:val="24"/>
          <w:lang w:val="en-GB"/>
        </w:rPr>
        <w:t xml:space="preserve"> injection of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SimpleXx</w:t>
      </w:r>
      <w:proofErr w:type="spellEnd"/>
      <w:r w:rsidRPr="002136E6">
        <w:rPr>
          <w:sz w:val="24"/>
          <w:szCs w:val="24"/>
          <w:lang w:val="en-GB"/>
        </w:rPr>
        <w:t xml:space="preserve">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SimpleXx</w:t>
      </w:r>
      <w:proofErr w:type="spellEnd"/>
      <w:r w:rsidRPr="002136E6">
        <w:rPr>
          <w:sz w:val="24"/>
          <w:szCs w:val="24"/>
          <w:lang w:val="en-GB"/>
        </w:rPr>
        <w:t xml:space="preserve"> is the cartridge containing the solution for injection in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NordiLet</w:t>
      </w:r>
      <w:proofErr w:type="spellEnd"/>
      <w:r w:rsidRPr="002136E6">
        <w:rPr>
          <w:sz w:val="24"/>
          <w:szCs w:val="24"/>
          <w:lang w:val="en-GB"/>
        </w:rPr>
        <w:t>) 2.5 mg/m</w:t>
      </w:r>
      <w:r w:rsidRPr="002136E6">
        <w:rPr>
          <w:sz w:val="24"/>
          <w:szCs w:val="24"/>
          <w:vertAlign w:val="superscript"/>
          <w:lang w:val="en-GB"/>
        </w:rPr>
        <w:t>2</w:t>
      </w:r>
      <w:r w:rsidRPr="002136E6">
        <w:rPr>
          <w:sz w:val="24"/>
          <w:szCs w:val="24"/>
          <w:lang w:val="en-GB"/>
        </w:rPr>
        <w:t xml:space="preserve"> in 31 healthy subjects (with endogenous somatropin suppressed by continuous infusion of somatostatin) gave the following results:</w:t>
      </w:r>
    </w:p>
    <w:p w14:paraId="7061FD8E" w14:textId="77777777" w:rsidR="00374941" w:rsidRPr="002136E6" w:rsidRDefault="00374941" w:rsidP="001F525D">
      <w:pPr>
        <w:ind w:left="851"/>
        <w:rPr>
          <w:sz w:val="24"/>
          <w:szCs w:val="24"/>
          <w:lang w:val="en-GB"/>
        </w:rPr>
      </w:pPr>
      <w:r w:rsidRPr="002136E6">
        <w:rPr>
          <w:sz w:val="24"/>
          <w:szCs w:val="24"/>
          <w:lang w:val="en-GB"/>
        </w:rPr>
        <w:t>Maximal concentration of human growth hormone (42</w:t>
      </w:r>
      <w:r w:rsidRPr="002136E6">
        <w:rPr>
          <w:sz w:val="24"/>
          <w:szCs w:val="24"/>
          <w:lang w:val="en-GB"/>
        </w:rPr>
        <w:noBreakHyphen/>
        <w:t>46 ng/ml) after approximately 4 hours. Thereafter human growth hormone declined with a half-life of approximately 2.6 hours.</w:t>
      </w:r>
    </w:p>
    <w:p w14:paraId="7A492FA9" w14:textId="77777777" w:rsidR="00374941" w:rsidRPr="002136E6" w:rsidRDefault="00374941" w:rsidP="001F525D">
      <w:pPr>
        <w:ind w:left="851"/>
        <w:rPr>
          <w:sz w:val="24"/>
          <w:szCs w:val="24"/>
          <w:lang w:val="en-GB"/>
        </w:rPr>
      </w:pPr>
      <w:r w:rsidRPr="002136E6">
        <w:rPr>
          <w:sz w:val="24"/>
          <w:szCs w:val="24"/>
          <w:lang w:val="en-GB"/>
        </w:rPr>
        <w:t xml:space="preserve">In </w:t>
      </w:r>
      <w:proofErr w:type="gramStart"/>
      <w:r w:rsidRPr="002136E6">
        <w:rPr>
          <w:sz w:val="24"/>
          <w:szCs w:val="24"/>
          <w:lang w:val="en-GB"/>
        </w:rPr>
        <w:t>addition</w:t>
      </w:r>
      <w:proofErr w:type="gramEnd"/>
      <w:r w:rsidRPr="002136E6">
        <w:rPr>
          <w:sz w:val="24"/>
          <w:szCs w:val="24"/>
          <w:lang w:val="en-GB"/>
        </w:rPr>
        <w:t xml:space="preserve"> the different strengths of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SimpleXx</w:t>
      </w:r>
      <w:proofErr w:type="spellEnd"/>
      <w:r w:rsidRPr="002136E6">
        <w:rPr>
          <w:sz w:val="24"/>
          <w:szCs w:val="24"/>
          <w:lang w:val="en-GB"/>
        </w:rPr>
        <w:t xml:space="preserve"> were demonstrated to be </w:t>
      </w:r>
      <w:r w:rsidRPr="002136E6">
        <w:rPr>
          <w:sz w:val="24"/>
          <w:szCs w:val="24"/>
          <w:lang w:val="en-US"/>
        </w:rPr>
        <w:t xml:space="preserve">bioequivalent </w:t>
      </w:r>
      <w:r w:rsidRPr="002136E6">
        <w:rPr>
          <w:sz w:val="24"/>
          <w:szCs w:val="24"/>
          <w:lang w:val="en-GB"/>
        </w:rPr>
        <w:t xml:space="preserve">to each other and to </w:t>
      </w:r>
      <w:proofErr w:type="spellStart"/>
      <w:r w:rsidRPr="002136E6">
        <w:rPr>
          <w:sz w:val="24"/>
          <w:szCs w:val="24"/>
          <w:lang w:val="en-GB"/>
        </w:rPr>
        <w:t>Norditropin</w:t>
      </w:r>
      <w:proofErr w:type="spellEnd"/>
      <w:r w:rsidRPr="002136E6">
        <w:rPr>
          <w:sz w:val="24"/>
          <w:szCs w:val="24"/>
          <w:lang w:val="en-GB"/>
        </w:rPr>
        <w:t xml:space="preserve"> for reconstitution after subcutaneous injection to healthy subjects.</w:t>
      </w:r>
    </w:p>
    <w:p w14:paraId="16693062" w14:textId="77777777" w:rsidR="007C5D2A" w:rsidRPr="002136E6" w:rsidRDefault="007C5D2A" w:rsidP="003E0341">
      <w:pPr>
        <w:tabs>
          <w:tab w:val="left" w:pos="851"/>
        </w:tabs>
        <w:ind w:left="851"/>
        <w:rPr>
          <w:sz w:val="24"/>
          <w:szCs w:val="24"/>
          <w:lang w:val="en-GB"/>
        </w:rPr>
      </w:pPr>
    </w:p>
    <w:p w14:paraId="5C71D1E1" w14:textId="77777777" w:rsidR="007C5D2A" w:rsidRPr="002136E6" w:rsidRDefault="00180A12" w:rsidP="007C5D2A">
      <w:pPr>
        <w:tabs>
          <w:tab w:val="left" w:pos="851"/>
        </w:tabs>
        <w:ind w:left="851" w:hanging="851"/>
        <w:rPr>
          <w:b/>
          <w:sz w:val="24"/>
          <w:szCs w:val="24"/>
          <w:lang w:val="en-GB"/>
        </w:rPr>
      </w:pPr>
      <w:r w:rsidRPr="002136E6">
        <w:rPr>
          <w:b/>
          <w:sz w:val="24"/>
          <w:szCs w:val="24"/>
          <w:lang w:val="en-GB"/>
        </w:rPr>
        <w:t>5.3</w:t>
      </w:r>
      <w:r w:rsidRPr="002136E6">
        <w:rPr>
          <w:b/>
          <w:sz w:val="24"/>
          <w:szCs w:val="24"/>
          <w:lang w:val="en-GB"/>
        </w:rPr>
        <w:tab/>
        <w:t>Preclinical safety data</w:t>
      </w:r>
    </w:p>
    <w:p w14:paraId="49A5BE43" w14:textId="77777777" w:rsidR="00374941" w:rsidRPr="002136E6" w:rsidRDefault="00374941" w:rsidP="001F525D">
      <w:pPr>
        <w:ind w:left="851"/>
        <w:rPr>
          <w:sz w:val="24"/>
          <w:szCs w:val="24"/>
          <w:lang w:val="en-GB"/>
        </w:rPr>
      </w:pPr>
      <w:r w:rsidRPr="002136E6">
        <w:rPr>
          <w:sz w:val="24"/>
          <w:szCs w:val="24"/>
          <w:lang w:val="en-GB"/>
        </w:rPr>
        <w:t xml:space="preserve">The general pharmacological effects on the CNS, cardiovascular and respiratory systems following administration of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SimpleXx</w:t>
      </w:r>
      <w:proofErr w:type="spellEnd"/>
      <w:r w:rsidRPr="002136E6">
        <w:rPr>
          <w:sz w:val="24"/>
          <w:szCs w:val="24"/>
          <w:lang w:val="en-GB"/>
        </w:rPr>
        <w:t xml:space="preserve"> with and without forced degradation were investigated in mice and rats; renal function was also evaluated. The degraded product showed no difference in effect when compared with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SimpleXx</w:t>
      </w:r>
      <w:proofErr w:type="spellEnd"/>
      <w:r w:rsidRPr="002136E6">
        <w:rPr>
          <w:sz w:val="24"/>
          <w:szCs w:val="24"/>
          <w:lang w:val="en-GB"/>
        </w:rPr>
        <w:t xml:space="preserve"> and </w:t>
      </w:r>
      <w:proofErr w:type="spellStart"/>
      <w:r w:rsidRPr="002136E6">
        <w:rPr>
          <w:sz w:val="24"/>
          <w:szCs w:val="24"/>
          <w:lang w:val="en-GB"/>
        </w:rPr>
        <w:t>Norditropin</w:t>
      </w:r>
      <w:proofErr w:type="spellEnd"/>
      <w:r w:rsidRPr="002136E6">
        <w:rPr>
          <w:sz w:val="24"/>
          <w:szCs w:val="24"/>
          <w:lang w:val="en-GB"/>
        </w:rPr>
        <w:t>. All three preparations showed the expected dose dependent decrease in urine volume and retention of sodium and chloride ions.</w:t>
      </w:r>
    </w:p>
    <w:p w14:paraId="7680E096" w14:textId="77777777" w:rsidR="00374941" w:rsidRPr="002136E6" w:rsidRDefault="00374941" w:rsidP="001F525D">
      <w:pPr>
        <w:ind w:left="851"/>
        <w:rPr>
          <w:sz w:val="24"/>
          <w:szCs w:val="24"/>
          <w:lang w:val="en-GB"/>
        </w:rPr>
      </w:pPr>
    </w:p>
    <w:p w14:paraId="4934C8F0" w14:textId="77777777" w:rsidR="00374941" w:rsidRPr="002136E6" w:rsidRDefault="00374941" w:rsidP="001F525D">
      <w:pPr>
        <w:ind w:left="851"/>
        <w:rPr>
          <w:sz w:val="24"/>
          <w:szCs w:val="24"/>
          <w:lang w:val="en-GB"/>
        </w:rPr>
      </w:pPr>
      <w:r w:rsidRPr="002136E6">
        <w:rPr>
          <w:sz w:val="24"/>
          <w:szCs w:val="24"/>
          <w:lang w:val="en-GB"/>
        </w:rPr>
        <w:t xml:space="preserve">In rats, similar pharmacokinetics has been demonstrated between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SimpleXx</w:t>
      </w:r>
      <w:proofErr w:type="spellEnd"/>
      <w:r w:rsidRPr="002136E6">
        <w:rPr>
          <w:sz w:val="24"/>
          <w:szCs w:val="24"/>
          <w:lang w:val="en-GB"/>
        </w:rPr>
        <w:t xml:space="preserve"> and </w:t>
      </w:r>
      <w:proofErr w:type="spellStart"/>
      <w:r w:rsidRPr="002136E6">
        <w:rPr>
          <w:sz w:val="24"/>
          <w:szCs w:val="24"/>
          <w:lang w:val="en-GB"/>
        </w:rPr>
        <w:t>Norditropin</w:t>
      </w:r>
      <w:proofErr w:type="spellEnd"/>
      <w:r w:rsidRPr="002136E6">
        <w:rPr>
          <w:sz w:val="24"/>
          <w:szCs w:val="24"/>
          <w:lang w:val="en-GB"/>
        </w:rPr>
        <w:t xml:space="preserve">. Degraded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SimpleXx</w:t>
      </w:r>
      <w:proofErr w:type="spellEnd"/>
      <w:r w:rsidRPr="002136E6">
        <w:rPr>
          <w:sz w:val="24"/>
          <w:szCs w:val="24"/>
          <w:lang w:val="en-GB"/>
        </w:rPr>
        <w:t xml:space="preserve"> has also been demonstrated to be bioequivalent with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SimpleXx</w:t>
      </w:r>
      <w:proofErr w:type="spellEnd"/>
      <w:r w:rsidRPr="002136E6">
        <w:rPr>
          <w:sz w:val="24"/>
          <w:szCs w:val="24"/>
          <w:lang w:val="en-GB"/>
        </w:rPr>
        <w:t>.</w:t>
      </w:r>
    </w:p>
    <w:p w14:paraId="090D6F24" w14:textId="77777777" w:rsidR="00374941" w:rsidRPr="002136E6" w:rsidRDefault="00374941" w:rsidP="001F525D">
      <w:pPr>
        <w:ind w:left="851"/>
        <w:rPr>
          <w:sz w:val="24"/>
          <w:szCs w:val="24"/>
          <w:lang w:val="en-GB"/>
        </w:rPr>
      </w:pPr>
    </w:p>
    <w:p w14:paraId="636D6449" w14:textId="77777777" w:rsidR="00374941" w:rsidRPr="002136E6" w:rsidRDefault="00374941" w:rsidP="001F525D">
      <w:pPr>
        <w:ind w:left="851"/>
        <w:rPr>
          <w:sz w:val="24"/>
          <w:szCs w:val="24"/>
          <w:lang w:val="en-GB"/>
        </w:rPr>
      </w:pPr>
      <w:r w:rsidRPr="002136E6">
        <w:rPr>
          <w:sz w:val="24"/>
          <w:szCs w:val="24"/>
          <w:lang w:val="en-GB"/>
        </w:rPr>
        <w:t xml:space="preserve">Single and repeated dose toxicity and local tolerance studies of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SimpleXx</w:t>
      </w:r>
      <w:proofErr w:type="spellEnd"/>
      <w:r w:rsidRPr="002136E6">
        <w:rPr>
          <w:sz w:val="24"/>
          <w:szCs w:val="24"/>
          <w:lang w:val="en-GB"/>
        </w:rPr>
        <w:t xml:space="preserve"> or the degraded product did not reveal any toxic effect or damage to the muscle tissue.</w:t>
      </w:r>
    </w:p>
    <w:p w14:paraId="76AD24CD" w14:textId="77777777" w:rsidR="00374941" w:rsidRPr="002136E6" w:rsidRDefault="00374941" w:rsidP="001F525D">
      <w:pPr>
        <w:ind w:left="851"/>
        <w:rPr>
          <w:sz w:val="24"/>
          <w:szCs w:val="24"/>
          <w:lang w:val="en-GB"/>
        </w:rPr>
      </w:pPr>
    </w:p>
    <w:p w14:paraId="6B69B5F8" w14:textId="77777777" w:rsidR="00374941" w:rsidRPr="002136E6" w:rsidRDefault="00374941" w:rsidP="001F525D">
      <w:pPr>
        <w:ind w:left="851"/>
        <w:rPr>
          <w:sz w:val="24"/>
          <w:szCs w:val="24"/>
          <w:lang w:val="en-GB"/>
        </w:rPr>
      </w:pPr>
      <w:r w:rsidRPr="002136E6">
        <w:rPr>
          <w:sz w:val="24"/>
          <w:szCs w:val="24"/>
          <w:lang w:val="en-GB"/>
        </w:rPr>
        <w:t>The toxicity of poloxamer 188 has been tested in mice, rats, rabbits, and dogs and no findings of toxicological relevance were revealed.</w:t>
      </w:r>
    </w:p>
    <w:p w14:paraId="5176E1B4" w14:textId="77777777" w:rsidR="00374941" w:rsidRPr="002136E6" w:rsidRDefault="00374941" w:rsidP="001F525D">
      <w:pPr>
        <w:ind w:left="851"/>
        <w:rPr>
          <w:sz w:val="24"/>
          <w:szCs w:val="24"/>
          <w:lang w:val="en-GB"/>
        </w:rPr>
      </w:pPr>
      <w:r w:rsidRPr="002136E6">
        <w:rPr>
          <w:sz w:val="24"/>
          <w:szCs w:val="24"/>
          <w:lang w:val="en-GB"/>
        </w:rPr>
        <w:t>Poloxamer 188 was rapidly absorbed from the injection site with no significant retention of the dose at the site of injection. Poloxamer 188 was excreted primarily via the urine.</w:t>
      </w:r>
    </w:p>
    <w:p w14:paraId="58BDA4E9" w14:textId="77777777" w:rsidR="00374941" w:rsidRPr="002136E6" w:rsidRDefault="00374941" w:rsidP="001F525D">
      <w:pPr>
        <w:ind w:left="851"/>
        <w:rPr>
          <w:sz w:val="24"/>
          <w:szCs w:val="24"/>
          <w:lang w:val="en-GB"/>
        </w:rPr>
      </w:pPr>
    </w:p>
    <w:p w14:paraId="7E6C5568" w14:textId="77777777" w:rsidR="00374941" w:rsidRPr="002136E6" w:rsidRDefault="00374941" w:rsidP="001F525D">
      <w:pPr>
        <w:ind w:left="851"/>
        <w:rPr>
          <w:sz w:val="24"/>
          <w:szCs w:val="24"/>
          <w:lang w:val="en-GB"/>
        </w:rPr>
      </w:pP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SimpleXx</w:t>
      </w:r>
      <w:proofErr w:type="spellEnd"/>
      <w:r w:rsidRPr="002136E6">
        <w:rPr>
          <w:sz w:val="24"/>
          <w:szCs w:val="24"/>
          <w:lang w:val="en-GB"/>
        </w:rPr>
        <w:t xml:space="preserve"> is the cartridge containing the solution for injection in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NordiLet</w:t>
      </w:r>
      <w:proofErr w:type="spellEnd"/>
      <w:r w:rsidRPr="002136E6">
        <w:rPr>
          <w:sz w:val="24"/>
          <w:szCs w:val="24"/>
          <w:lang w:val="en-GB"/>
        </w:rPr>
        <w:t>.</w:t>
      </w:r>
    </w:p>
    <w:p w14:paraId="6F8E6D53" w14:textId="77777777" w:rsidR="007C5D2A" w:rsidRPr="002136E6" w:rsidRDefault="007C5D2A" w:rsidP="003E0341">
      <w:pPr>
        <w:tabs>
          <w:tab w:val="left" w:pos="851"/>
        </w:tabs>
        <w:ind w:left="851"/>
        <w:rPr>
          <w:sz w:val="24"/>
          <w:szCs w:val="24"/>
          <w:lang w:val="en-GB"/>
        </w:rPr>
      </w:pPr>
    </w:p>
    <w:p w14:paraId="4604F7BF" w14:textId="6406B5C9" w:rsidR="00B93E3D" w:rsidRDefault="00B93E3D">
      <w:pPr>
        <w:rPr>
          <w:sz w:val="24"/>
          <w:szCs w:val="24"/>
          <w:lang w:val="en-GB"/>
        </w:rPr>
      </w:pPr>
      <w:r>
        <w:rPr>
          <w:sz w:val="24"/>
          <w:szCs w:val="24"/>
          <w:lang w:val="en-GB"/>
        </w:rPr>
        <w:br w:type="page"/>
      </w:r>
    </w:p>
    <w:p w14:paraId="7078DC79" w14:textId="77777777" w:rsidR="007C5D2A" w:rsidRPr="002136E6" w:rsidRDefault="007C5D2A" w:rsidP="003E0341">
      <w:pPr>
        <w:tabs>
          <w:tab w:val="left" w:pos="851"/>
        </w:tabs>
        <w:ind w:left="851"/>
        <w:rPr>
          <w:sz w:val="24"/>
          <w:szCs w:val="24"/>
          <w:lang w:val="en-GB"/>
        </w:rPr>
      </w:pPr>
    </w:p>
    <w:p w14:paraId="47A1381F" w14:textId="77777777" w:rsidR="007C5D2A" w:rsidRPr="002136E6" w:rsidRDefault="009925C9" w:rsidP="007C5D2A">
      <w:pPr>
        <w:ind w:left="851" w:hanging="851"/>
        <w:rPr>
          <w:b/>
          <w:sz w:val="24"/>
          <w:szCs w:val="24"/>
          <w:lang w:val="en-GB"/>
        </w:rPr>
      </w:pPr>
      <w:r w:rsidRPr="002136E6">
        <w:rPr>
          <w:b/>
          <w:sz w:val="24"/>
          <w:szCs w:val="24"/>
          <w:lang w:val="en-GB"/>
        </w:rPr>
        <w:t>6.</w:t>
      </w:r>
      <w:r w:rsidR="007C5D2A" w:rsidRPr="002136E6">
        <w:rPr>
          <w:b/>
          <w:sz w:val="24"/>
          <w:szCs w:val="24"/>
          <w:lang w:val="en-GB"/>
        </w:rPr>
        <w:tab/>
        <w:t>PHARMACEUTICAL PARTICULARS</w:t>
      </w:r>
    </w:p>
    <w:p w14:paraId="0EF2E005" w14:textId="77777777" w:rsidR="007C5D2A" w:rsidRPr="002136E6" w:rsidRDefault="007C5D2A" w:rsidP="003E0341">
      <w:pPr>
        <w:tabs>
          <w:tab w:val="left" w:pos="851"/>
        </w:tabs>
        <w:ind w:left="851"/>
        <w:rPr>
          <w:sz w:val="24"/>
          <w:szCs w:val="24"/>
          <w:lang w:val="en-GB"/>
        </w:rPr>
      </w:pPr>
    </w:p>
    <w:p w14:paraId="1688E2BB" w14:textId="77777777" w:rsidR="007C5D2A" w:rsidRPr="002136E6" w:rsidRDefault="007C5D2A" w:rsidP="007C5D2A">
      <w:pPr>
        <w:ind w:left="851" w:hanging="851"/>
        <w:rPr>
          <w:b/>
          <w:sz w:val="24"/>
          <w:szCs w:val="24"/>
          <w:lang w:val="en-GB"/>
        </w:rPr>
      </w:pPr>
      <w:r w:rsidRPr="002136E6">
        <w:rPr>
          <w:b/>
          <w:sz w:val="24"/>
          <w:szCs w:val="24"/>
          <w:lang w:val="en-GB"/>
        </w:rPr>
        <w:t>6.1</w:t>
      </w:r>
      <w:r w:rsidRPr="002136E6">
        <w:rPr>
          <w:b/>
          <w:sz w:val="24"/>
          <w:szCs w:val="24"/>
          <w:lang w:val="en-GB"/>
        </w:rPr>
        <w:tab/>
        <w:t>List of excipients</w:t>
      </w:r>
    </w:p>
    <w:p w14:paraId="3CC497BE" w14:textId="77777777" w:rsidR="00374941" w:rsidRPr="002136E6" w:rsidRDefault="00374941" w:rsidP="001F525D">
      <w:pPr>
        <w:ind w:left="851"/>
        <w:rPr>
          <w:sz w:val="24"/>
          <w:szCs w:val="24"/>
          <w:lang w:val="en-GB"/>
        </w:rPr>
      </w:pPr>
      <w:r w:rsidRPr="002136E6">
        <w:rPr>
          <w:sz w:val="24"/>
          <w:szCs w:val="24"/>
          <w:lang w:val="en-GB"/>
        </w:rPr>
        <w:t>Mannitol</w:t>
      </w:r>
    </w:p>
    <w:p w14:paraId="5CFE17FB" w14:textId="77777777" w:rsidR="00374941" w:rsidRPr="002136E6" w:rsidRDefault="00374941" w:rsidP="001F525D">
      <w:pPr>
        <w:ind w:left="851"/>
        <w:rPr>
          <w:sz w:val="24"/>
          <w:szCs w:val="24"/>
          <w:lang w:val="en-GB"/>
        </w:rPr>
      </w:pPr>
      <w:r w:rsidRPr="002136E6">
        <w:rPr>
          <w:sz w:val="24"/>
          <w:szCs w:val="24"/>
          <w:lang w:val="en-GB"/>
        </w:rPr>
        <w:t>Histidine</w:t>
      </w:r>
    </w:p>
    <w:p w14:paraId="1AEAEEB9" w14:textId="77777777" w:rsidR="00374941" w:rsidRPr="002136E6" w:rsidRDefault="00374941" w:rsidP="001F525D">
      <w:pPr>
        <w:ind w:left="851"/>
        <w:rPr>
          <w:sz w:val="24"/>
          <w:szCs w:val="24"/>
          <w:lang w:val="en-GB"/>
        </w:rPr>
      </w:pPr>
      <w:r w:rsidRPr="002136E6">
        <w:rPr>
          <w:sz w:val="24"/>
          <w:szCs w:val="24"/>
          <w:lang w:val="en-GB"/>
        </w:rPr>
        <w:t>Poloxamer 188</w:t>
      </w:r>
    </w:p>
    <w:p w14:paraId="41D4F052" w14:textId="77777777" w:rsidR="00374941" w:rsidRPr="002136E6" w:rsidRDefault="00374941" w:rsidP="001F525D">
      <w:pPr>
        <w:ind w:left="851"/>
        <w:rPr>
          <w:sz w:val="24"/>
          <w:szCs w:val="24"/>
          <w:lang w:val="en-GB"/>
        </w:rPr>
      </w:pPr>
      <w:r w:rsidRPr="002136E6">
        <w:rPr>
          <w:sz w:val="24"/>
          <w:szCs w:val="24"/>
          <w:lang w:val="en-GB"/>
        </w:rPr>
        <w:t>Phenol</w:t>
      </w:r>
    </w:p>
    <w:p w14:paraId="21144DB6" w14:textId="77777777" w:rsidR="00374941" w:rsidRPr="002136E6" w:rsidRDefault="00374941" w:rsidP="001F525D">
      <w:pPr>
        <w:ind w:left="851"/>
        <w:rPr>
          <w:sz w:val="24"/>
          <w:szCs w:val="24"/>
          <w:lang w:val="en-GB"/>
        </w:rPr>
      </w:pPr>
      <w:r w:rsidRPr="002136E6">
        <w:rPr>
          <w:sz w:val="24"/>
          <w:szCs w:val="24"/>
          <w:lang w:val="en-GB"/>
        </w:rPr>
        <w:t>Water for injection</w:t>
      </w:r>
    </w:p>
    <w:p w14:paraId="22F60361" w14:textId="77777777" w:rsidR="00374941" w:rsidRPr="002136E6" w:rsidRDefault="00374941" w:rsidP="001F525D">
      <w:pPr>
        <w:ind w:left="851"/>
        <w:rPr>
          <w:sz w:val="24"/>
          <w:szCs w:val="24"/>
          <w:lang w:val="en-GB"/>
        </w:rPr>
      </w:pPr>
      <w:r w:rsidRPr="002136E6">
        <w:rPr>
          <w:sz w:val="24"/>
          <w:szCs w:val="24"/>
          <w:lang w:val="en-GB"/>
        </w:rPr>
        <w:t>Hydrochloric acid for pH adjustment</w:t>
      </w:r>
    </w:p>
    <w:p w14:paraId="52EC65EC" w14:textId="77777777" w:rsidR="00374941" w:rsidRPr="002136E6" w:rsidRDefault="00374941" w:rsidP="001F525D">
      <w:pPr>
        <w:ind w:left="851"/>
        <w:rPr>
          <w:sz w:val="24"/>
          <w:szCs w:val="24"/>
          <w:lang w:val="en-GB"/>
        </w:rPr>
      </w:pPr>
      <w:r w:rsidRPr="002136E6">
        <w:rPr>
          <w:sz w:val="24"/>
          <w:szCs w:val="24"/>
          <w:lang w:val="en-GB"/>
        </w:rPr>
        <w:t>Sodium hydroxide for pH adjustment</w:t>
      </w:r>
    </w:p>
    <w:p w14:paraId="63DF073C" w14:textId="77777777" w:rsidR="007C5D2A" w:rsidRPr="002136E6" w:rsidRDefault="007C5D2A" w:rsidP="003D727E">
      <w:pPr>
        <w:tabs>
          <w:tab w:val="left" w:pos="851"/>
        </w:tabs>
        <w:ind w:left="851"/>
        <w:rPr>
          <w:sz w:val="24"/>
          <w:szCs w:val="24"/>
          <w:lang w:val="en-GB"/>
        </w:rPr>
      </w:pPr>
    </w:p>
    <w:p w14:paraId="7E257DD5" w14:textId="77777777" w:rsidR="007C5D2A" w:rsidRPr="002136E6" w:rsidRDefault="007C5D2A" w:rsidP="007C5D2A">
      <w:pPr>
        <w:ind w:left="851" w:hanging="851"/>
        <w:rPr>
          <w:b/>
          <w:sz w:val="24"/>
          <w:szCs w:val="24"/>
          <w:lang w:val="en-GB"/>
        </w:rPr>
      </w:pPr>
      <w:r w:rsidRPr="002136E6">
        <w:rPr>
          <w:b/>
          <w:sz w:val="24"/>
          <w:szCs w:val="24"/>
          <w:lang w:val="en-GB"/>
        </w:rPr>
        <w:t>6.2</w:t>
      </w:r>
      <w:r w:rsidRPr="002136E6">
        <w:rPr>
          <w:b/>
          <w:sz w:val="24"/>
          <w:szCs w:val="24"/>
          <w:lang w:val="en-GB"/>
        </w:rPr>
        <w:tab/>
        <w:t>Incompatibilities</w:t>
      </w:r>
    </w:p>
    <w:p w14:paraId="2DFFB6C4" w14:textId="77777777" w:rsidR="00374941" w:rsidRPr="002136E6" w:rsidRDefault="00374941" w:rsidP="001F525D">
      <w:pPr>
        <w:ind w:left="851"/>
        <w:rPr>
          <w:sz w:val="24"/>
          <w:szCs w:val="24"/>
          <w:lang w:val="en-GB"/>
        </w:rPr>
      </w:pPr>
      <w:r w:rsidRPr="002136E6">
        <w:rPr>
          <w:sz w:val="24"/>
          <w:szCs w:val="24"/>
          <w:lang w:val="en-GB"/>
        </w:rPr>
        <w:t>In the absence of compatibility studies, this medicinal product must not be mixed with other medicinal products.</w:t>
      </w:r>
    </w:p>
    <w:p w14:paraId="1F767C3E" w14:textId="77777777" w:rsidR="007C5D2A" w:rsidRPr="002136E6" w:rsidRDefault="007C5D2A" w:rsidP="003E0341">
      <w:pPr>
        <w:tabs>
          <w:tab w:val="left" w:pos="851"/>
        </w:tabs>
        <w:ind w:left="851"/>
        <w:rPr>
          <w:sz w:val="24"/>
          <w:szCs w:val="24"/>
          <w:lang w:val="en-GB"/>
        </w:rPr>
      </w:pPr>
    </w:p>
    <w:p w14:paraId="1F891A56" w14:textId="24187A90" w:rsidR="007C5D2A" w:rsidRPr="002136E6" w:rsidRDefault="007C5D2A" w:rsidP="007C5D2A">
      <w:pPr>
        <w:ind w:left="851" w:hanging="851"/>
        <w:rPr>
          <w:b/>
          <w:sz w:val="24"/>
          <w:szCs w:val="24"/>
          <w:lang w:val="en-GB"/>
        </w:rPr>
      </w:pPr>
      <w:r w:rsidRPr="002136E6">
        <w:rPr>
          <w:b/>
          <w:sz w:val="24"/>
          <w:szCs w:val="24"/>
          <w:lang w:val="en-GB"/>
        </w:rPr>
        <w:t>6.3</w:t>
      </w:r>
      <w:r w:rsidRPr="002136E6">
        <w:rPr>
          <w:b/>
          <w:sz w:val="24"/>
          <w:szCs w:val="24"/>
          <w:lang w:val="en-GB"/>
        </w:rPr>
        <w:tab/>
        <w:t>Shelf</w:t>
      </w:r>
      <w:r w:rsidR="00896A99">
        <w:rPr>
          <w:b/>
          <w:sz w:val="24"/>
          <w:szCs w:val="24"/>
          <w:lang w:val="en-GB"/>
        </w:rPr>
        <w:t xml:space="preserve"> </w:t>
      </w:r>
      <w:r w:rsidRPr="002136E6">
        <w:rPr>
          <w:b/>
          <w:sz w:val="24"/>
          <w:szCs w:val="24"/>
          <w:lang w:val="en-GB"/>
        </w:rPr>
        <w:t>life</w:t>
      </w:r>
    </w:p>
    <w:p w14:paraId="5CB71C26" w14:textId="77777777" w:rsidR="00374941" w:rsidRPr="002136E6" w:rsidRDefault="00374941" w:rsidP="001F525D">
      <w:pPr>
        <w:ind w:left="851"/>
        <w:rPr>
          <w:sz w:val="24"/>
          <w:szCs w:val="24"/>
          <w:lang w:val="en-GB"/>
        </w:rPr>
      </w:pPr>
      <w:r w:rsidRPr="002136E6">
        <w:rPr>
          <w:sz w:val="24"/>
          <w:szCs w:val="24"/>
          <w:lang w:val="en-GB"/>
        </w:rPr>
        <w:t>2 years.</w:t>
      </w:r>
    </w:p>
    <w:p w14:paraId="77BFBBFD" w14:textId="77777777" w:rsidR="00374941" w:rsidRPr="002136E6" w:rsidRDefault="00374941" w:rsidP="001F525D">
      <w:pPr>
        <w:ind w:left="851"/>
        <w:rPr>
          <w:sz w:val="24"/>
          <w:szCs w:val="24"/>
          <w:lang w:val="en-GB"/>
        </w:rPr>
      </w:pPr>
      <w:r w:rsidRPr="002136E6">
        <w:rPr>
          <w:sz w:val="24"/>
          <w:szCs w:val="24"/>
          <w:lang w:val="en-GB"/>
        </w:rPr>
        <w:t>After first opening: Store for a maximum of 4 weeks in a refrigerator (2</w:t>
      </w:r>
      <w:r w:rsidRPr="002136E6">
        <w:rPr>
          <w:sz w:val="24"/>
          <w:szCs w:val="24"/>
        </w:rPr>
        <w:sym w:font="Symbol" w:char="F0B0"/>
      </w:r>
      <w:r w:rsidRPr="002136E6">
        <w:rPr>
          <w:sz w:val="24"/>
          <w:szCs w:val="24"/>
          <w:lang w:val="en-GB"/>
        </w:rPr>
        <w:t>C – 8</w:t>
      </w:r>
      <w:r w:rsidRPr="002136E6">
        <w:rPr>
          <w:sz w:val="24"/>
          <w:szCs w:val="24"/>
        </w:rPr>
        <w:sym w:font="Symbol" w:char="F0B0"/>
      </w:r>
      <w:r w:rsidRPr="002136E6">
        <w:rPr>
          <w:sz w:val="24"/>
          <w:szCs w:val="24"/>
          <w:lang w:val="en-GB"/>
        </w:rPr>
        <w:t>C).</w:t>
      </w:r>
    </w:p>
    <w:p w14:paraId="119BBF1E" w14:textId="77777777" w:rsidR="00374941" w:rsidRPr="002136E6" w:rsidRDefault="00374941" w:rsidP="001F525D">
      <w:pPr>
        <w:ind w:left="851"/>
        <w:rPr>
          <w:sz w:val="24"/>
          <w:szCs w:val="24"/>
          <w:lang w:val="en-GB"/>
        </w:rPr>
      </w:pPr>
      <w:r w:rsidRPr="002136E6">
        <w:rPr>
          <w:i/>
          <w:iCs/>
          <w:sz w:val="24"/>
          <w:szCs w:val="24"/>
          <w:lang w:val="en-GB"/>
        </w:rPr>
        <w:t>Alternatively</w:t>
      </w:r>
      <w:r w:rsidRPr="002136E6">
        <w:rPr>
          <w:sz w:val="24"/>
          <w:szCs w:val="24"/>
          <w:lang w:val="en-GB"/>
        </w:rPr>
        <w:t>, the medicinal product may be stored for a maximum of 3 weeks below 25</w:t>
      </w:r>
      <w:r w:rsidRPr="002136E6">
        <w:rPr>
          <w:sz w:val="24"/>
          <w:szCs w:val="24"/>
        </w:rPr>
        <w:sym w:font="Symbol" w:char="F0B0"/>
      </w:r>
      <w:r w:rsidRPr="002136E6">
        <w:rPr>
          <w:sz w:val="24"/>
          <w:szCs w:val="24"/>
          <w:lang w:val="en-US"/>
        </w:rPr>
        <w:t xml:space="preserve">C. </w:t>
      </w:r>
    </w:p>
    <w:p w14:paraId="22C5930A" w14:textId="77777777" w:rsidR="007C5D2A" w:rsidRPr="002136E6" w:rsidRDefault="007C5D2A" w:rsidP="003E0341">
      <w:pPr>
        <w:tabs>
          <w:tab w:val="left" w:pos="851"/>
        </w:tabs>
        <w:ind w:left="851"/>
        <w:rPr>
          <w:sz w:val="24"/>
          <w:szCs w:val="24"/>
          <w:lang w:val="en-GB"/>
        </w:rPr>
      </w:pPr>
    </w:p>
    <w:p w14:paraId="10A6B9CE" w14:textId="77777777" w:rsidR="007C5D2A" w:rsidRPr="002136E6" w:rsidRDefault="007C5D2A" w:rsidP="007C5D2A">
      <w:pPr>
        <w:ind w:left="851" w:hanging="851"/>
        <w:rPr>
          <w:b/>
          <w:sz w:val="24"/>
          <w:szCs w:val="24"/>
          <w:lang w:val="en-GB"/>
        </w:rPr>
      </w:pPr>
      <w:r w:rsidRPr="002136E6">
        <w:rPr>
          <w:b/>
          <w:sz w:val="24"/>
          <w:szCs w:val="24"/>
          <w:lang w:val="en-GB"/>
        </w:rPr>
        <w:t>6.4</w:t>
      </w:r>
      <w:r w:rsidRPr="002136E6">
        <w:rPr>
          <w:b/>
          <w:sz w:val="24"/>
          <w:szCs w:val="24"/>
          <w:lang w:val="en-GB"/>
        </w:rPr>
        <w:tab/>
        <w:t>Special precautions for storage</w:t>
      </w:r>
    </w:p>
    <w:p w14:paraId="02657253" w14:textId="77777777" w:rsidR="00374941" w:rsidRPr="002136E6" w:rsidRDefault="00374941" w:rsidP="001F525D">
      <w:pPr>
        <w:ind w:left="851"/>
        <w:rPr>
          <w:sz w:val="24"/>
          <w:szCs w:val="24"/>
          <w:lang w:val="en-GB"/>
        </w:rPr>
      </w:pPr>
      <w:r w:rsidRPr="002136E6">
        <w:rPr>
          <w:sz w:val="24"/>
          <w:szCs w:val="24"/>
          <w:lang w:val="en-GB"/>
        </w:rPr>
        <w:t>Store in a refrigerator (2°C – 8°C) in the outer carton, in order to protect it from light. Do not freeze.</w:t>
      </w:r>
    </w:p>
    <w:p w14:paraId="08DF90C7" w14:textId="77777777" w:rsidR="00374941" w:rsidRPr="002136E6" w:rsidRDefault="00374941" w:rsidP="001F525D">
      <w:pPr>
        <w:ind w:left="851"/>
        <w:rPr>
          <w:sz w:val="24"/>
          <w:szCs w:val="24"/>
          <w:lang w:val="en-GB"/>
        </w:rPr>
      </w:pPr>
      <w:r w:rsidRPr="002136E6">
        <w:rPr>
          <w:sz w:val="24"/>
          <w:szCs w:val="24"/>
          <w:lang w:val="en-US"/>
        </w:rPr>
        <w:t xml:space="preserve">Do not store close to any cooling elements. </w:t>
      </w:r>
    </w:p>
    <w:p w14:paraId="03C1E5BC" w14:textId="77777777" w:rsidR="00374941" w:rsidRPr="002136E6" w:rsidRDefault="00374941" w:rsidP="001F525D">
      <w:pPr>
        <w:ind w:left="851"/>
        <w:rPr>
          <w:sz w:val="24"/>
          <w:szCs w:val="24"/>
          <w:lang w:val="en-US"/>
        </w:rPr>
      </w:pPr>
      <w:r w:rsidRPr="002136E6">
        <w:rPr>
          <w:sz w:val="24"/>
          <w:szCs w:val="24"/>
          <w:lang w:val="en-US"/>
        </w:rPr>
        <w:t>For storage conditions after first opening of the medicinal product, see section 6.3.</w:t>
      </w:r>
    </w:p>
    <w:p w14:paraId="409713B0" w14:textId="77777777" w:rsidR="00374941" w:rsidRPr="002136E6" w:rsidRDefault="00374941" w:rsidP="001F525D">
      <w:pPr>
        <w:ind w:left="851"/>
        <w:rPr>
          <w:sz w:val="24"/>
          <w:szCs w:val="24"/>
          <w:lang w:val="en-GB"/>
        </w:rPr>
      </w:pPr>
      <w:r w:rsidRPr="002136E6">
        <w:rPr>
          <w:sz w:val="24"/>
          <w:szCs w:val="24"/>
          <w:lang w:val="en-GB"/>
        </w:rPr>
        <w:t>Do not freeze.</w:t>
      </w:r>
    </w:p>
    <w:p w14:paraId="7EDB0C92" w14:textId="77777777" w:rsidR="00374941" w:rsidRPr="002136E6" w:rsidRDefault="00374941" w:rsidP="001F525D">
      <w:pPr>
        <w:ind w:left="851"/>
        <w:rPr>
          <w:sz w:val="24"/>
          <w:szCs w:val="24"/>
          <w:lang w:val="en-GB"/>
        </w:rPr>
      </w:pPr>
    </w:p>
    <w:p w14:paraId="347E3AD8" w14:textId="77777777" w:rsidR="00374941" w:rsidRPr="002136E6" w:rsidRDefault="00374941" w:rsidP="001F525D">
      <w:pPr>
        <w:ind w:left="851"/>
        <w:rPr>
          <w:sz w:val="24"/>
          <w:szCs w:val="24"/>
          <w:lang w:val="en-GB"/>
        </w:rPr>
      </w:pPr>
      <w:r w:rsidRPr="002136E6">
        <w:rPr>
          <w:sz w:val="24"/>
          <w:szCs w:val="24"/>
          <w:lang w:val="en-GB"/>
        </w:rPr>
        <w:t xml:space="preserve">When in use, always replace the pen cap on the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NordiLet</w:t>
      </w:r>
      <w:proofErr w:type="spellEnd"/>
      <w:r w:rsidRPr="002136E6">
        <w:rPr>
          <w:sz w:val="24"/>
          <w:szCs w:val="24"/>
          <w:lang w:val="en-GB"/>
        </w:rPr>
        <w:t xml:space="preserve"> pre-filled pen after each injection. Always use a new needle for each injection.</w:t>
      </w:r>
    </w:p>
    <w:p w14:paraId="69A44968" w14:textId="77777777" w:rsidR="00374941" w:rsidRPr="002136E6" w:rsidRDefault="00374941" w:rsidP="001F525D">
      <w:pPr>
        <w:ind w:left="851"/>
        <w:rPr>
          <w:sz w:val="24"/>
          <w:szCs w:val="24"/>
          <w:lang w:val="en-GB"/>
        </w:rPr>
      </w:pPr>
      <w:r w:rsidRPr="002136E6">
        <w:rPr>
          <w:sz w:val="24"/>
          <w:szCs w:val="24"/>
          <w:lang w:val="en-GB"/>
        </w:rPr>
        <w:t>The needle must not be screwed onto the pre-filled pen when it is not in use.</w:t>
      </w:r>
    </w:p>
    <w:p w14:paraId="25A7309C" w14:textId="77777777" w:rsidR="007C5D2A" w:rsidRPr="002136E6" w:rsidRDefault="007C5D2A" w:rsidP="003E0341">
      <w:pPr>
        <w:tabs>
          <w:tab w:val="left" w:pos="851"/>
        </w:tabs>
        <w:ind w:left="851"/>
        <w:rPr>
          <w:sz w:val="24"/>
          <w:szCs w:val="24"/>
          <w:lang w:val="en-GB"/>
        </w:rPr>
      </w:pPr>
    </w:p>
    <w:p w14:paraId="1A00A3EB" w14:textId="77777777" w:rsidR="007C5D2A" w:rsidRPr="002136E6" w:rsidRDefault="007C5D2A" w:rsidP="007C5D2A">
      <w:pPr>
        <w:ind w:left="851" w:hanging="851"/>
        <w:rPr>
          <w:b/>
          <w:sz w:val="24"/>
          <w:szCs w:val="24"/>
          <w:lang w:val="en-GB"/>
        </w:rPr>
      </w:pPr>
      <w:r w:rsidRPr="002136E6">
        <w:rPr>
          <w:b/>
          <w:sz w:val="24"/>
          <w:szCs w:val="24"/>
          <w:lang w:val="en-GB"/>
        </w:rPr>
        <w:t>6.5</w:t>
      </w:r>
      <w:r w:rsidRPr="002136E6">
        <w:rPr>
          <w:b/>
          <w:sz w:val="24"/>
          <w:szCs w:val="24"/>
          <w:lang w:val="en-GB"/>
        </w:rPr>
        <w:tab/>
        <w:t>Nature and contents of container</w:t>
      </w:r>
    </w:p>
    <w:p w14:paraId="703DC074" w14:textId="77777777" w:rsidR="00374941" w:rsidRPr="00896A99" w:rsidRDefault="00374941" w:rsidP="001F525D">
      <w:pPr>
        <w:ind w:left="851"/>
        <w:rPr>
          <w:sz w:val="24"/>
          <w:szCs w:val="24"/>
          <w:lang w:val="en-GB"/>
        </w:rPr>
      </w:pPr>
      <w:proofErr w:type="spellStart"/>
      <w:r w:rsidRPr="002136E6">
        <w:rPr>
          <w:sz w:val="24"/>
          <w:szCs w:val="24"/>
          <w:u w:val="single"/>
          <w:lang w:val="en-GB"/>
        </w:rPr>
        <w:t>Norditropin</w:t>
      </w:r>
      <w:proofErr w:type="spellEnd"/>
      <w:r w:rsidRPr="002136E6">
        <w:rPr>
          <w:sz w:val="24"/>
          <w:szCs w:val="24"/>
          <w:u w:val="single"/>
          <w:lang w:val="en-GB"/>
        </w:rPr>
        <w:t xml:space="preserve"> </w:t>
      </w:r>
      <w:proofErr w:type="spellStart"/>
      <w:r w:rsidRPr="002136E6">
        <w:rPr>
          <w:sz w:val="24"/>
          <w:szCs w:val="24"/>
          <w:u w:val="single"/>
          <w:lang w:val="en-GB"/>
        </w:rPr>
        <w:t>NordiLet</w:t>
      </w:r>
      <w:proofErr w:type="spellEnd"/>
      <w:r w:rsidRPr="002136E6">
        <w:rPr>
          <w:sz w:val="24"/>
          <w:szCs w:val="24"/>
          <w:u w:val="single"/>
          <w:lang w:val="en-GB"/>
        </w:rPr>
        <w:t xml:space="preserve"> 5 mg/1.5 ml</w:t>
      </w:r>
      <w:r w:rsidRPr="002136E6">
        <w:rPr>
          <w:sz w:val="24"/>
          <w:szCs w:val="24"/>
          <w:lang w:val="en-GB"/>
        </w:rPr>
        <w:t xml:space="preserve"> is a multidose disposable pre-filled pen, which consists of a cartridge (Type I colourless glass) permanently sealed in a plastic pen-injector. The cartridge is closed at the bottom with a rubber stopper (Type I rubber closures) shaped as a plunger and at the top with a laminated rubber stopper (Type I rubber closures) shaped as a disc and sealed with an aluminium cap. The push button on the pen-injector is coloured orange. Pack sizes of 1 </w:t>
      </w:r>
      <w:r w:rsidRPr="002136E6">
        <w:rPr>
          <w:sz w:val="24"/>
          <w:szCs w:val="24"/>
          <w:lang w:val="en-US"/>
        </w:rPr>
        <w:t>pre-filled pen</w:t>
      </w:r>
      <w:r w:rsidRPr="002136E6">
        <w:rPr>
          <w:sz w:val="24"/>
          <w:szCs w:val="24"/>
          <w:lang w:val="en-GB"/>
        </w:rPr>
        <w:t>.</w:t>
      </w:r>
    </w:p>
    <w:p w14:paraId="0C0D1A8E" w14:textId="77777777" w:rsidR="00374941" w:rsidRPr="002136E6" w:rsidRDefault="00374941" w:rsidP="001F525D">
      <w:pPr>
        <w:ind w:left="851"/>
        <w:rPr>
          <w:sz w:val="24"/>
          <w:szCs w:val="24"/>
          <w:lang w:val="en-GB"/>
        </w:rPr>
      </w:pPr>
    </w:p>
    <w:p w14:paraId="6DC0692A" w14:textId="77777777" w:rsidR="00374941" w:rsidRPr="00896A99" w:rsidRDefault="00374941" w:rsidP="001F525D">
      <w:pPr>
        <w:ind w:left="851"/>
        <w:rPr>
          <w:sz w:val="24"/>
          <w:szCs w:val="24"/>
          <w:lang w:val="en-GB"/>
        </w:rPr>
      </w:pPr>
      <w:proofErr w:type="spellStart"/>
      <w:r w:rsidRPr="002136E6">
        <w:rPr>
          <w:sz w:val="24"/>
          <w:szCs w:val="24"/>
          <w:u w:val="single"/>
          <w:lang w:val="en-GB"/>
        </w:rPr>
        <w:t>Norditropin</w:t>
      </w:r>
      <w:proofErr w:type="spellEnd"/>
      <w:r w:rsidRPr="002136E6">
        <w:rPr>
          <w:sz w:val="24"/>
          <w:szCs w:val="24"/>
          <w:u w:val="single"/>
          <w:lang w:val="en-GB"/>
        </w:rPr>
        <w:t xml:space="preserve"> </w:t>
      </w:r>
      <w:proofErr w:type="spellStart"/>
      <w:r w:rsidRPr="002136E6">
        <w:rPr>
          <w:sz w:val="24"/>
          <w:szCs w:val="24"/>
          <w:u w:val="single"/>
          <w:lang w:val="en-GB"/>
        </w:rPr>
        <w:t>NordiLet</w:t>
      </w:r>
      <w:proofErr w:type="spellEnd"/>
      <w:r w:rsidRPr="002136E6">
        <w:rPr>
          <w:sz w:val="24"/>
          <w:szCs w:val="24"/>
          <w:u w:val="single"/>
          <w:lang w:val="en-GB"/>
        </w:rPr>
        <w:t xml:space="preserve"> 10 mg/1.5 ml</w:t>
      </w:r>
      <w:r w:rsidRPr="002136E6">
        <w:rPr>
          <w:sz w:val="24"/>
          <w:szCs w:val="24"/>
          <w:lang w:val="en-GB"/>
        </w:rPr>
        <w:t xml:space="preserve"> is a multidose disposable pre-filled pen, which consists of a cartridge (Type I colourless glass) permanently sealed in a plastic pen-injector. The cartridge is closed at the bottom with a rubber stopper (Type I rubber closures) shaped as a plunger and at the top with a laminated rubber stopper (Type I rubber closures) shaped as a disc and sealed with an aluminium cap. The push button on the pen-injector is coloured blue. Pack sizes of 1 </w:t>
      </w:r>
      <w:r w:rsidRPr="002136E6">
        <w:rPr>
          <w:sz w:val="24"/>
          <w:szCs w:val="24"/>
          <w:lang w:val="en-US"/>
        </w:rPr>
        <w:t>pre-filled pen</w:t>
      </w:r>
      <w:r w:rsidRPr="002136E6">
        <w:rPr>
          <w:sz w:val="24"/>
          <w:szCs w:val="24"/>
          <w:lang w:val="en-GB"/>
        </w:rPr>
        <w:t>.</w:t>
      </w:r>
    </w:p>
    <w:p w14:paraId="098F5737" w14:textId="77777777" w:rsidR="00374941" w:rsidRPr="002136E6" w:rsidRDefault="00374941" w:rsidP="001F525D">
      <w:pPr>
        <w:ind w:left="851"/>
        <w:rPr>
          <w:sz w:val="24"/>
          <w:szCs w:val="24"/>
          <w:lang w:val="en-GB"/>
        </w:rPr>
      </w:pPr>
    </w:p>
    <w:p w14:paraId="5B117C45" w14:textId="77777777" w:rsidR="00374941" w:rsidRPr="002136E6" w:rsidRDefault="00374941" w:rsidP="001F525D">
      <w:pPr>
        <w:ind w:left="851"/>
        <w:rPr>
          <w:b/>
          <w:sz w:val="24"/>
          <w:szCs w:val="24"/>
          <w:lang w:val="en-GB"/>
        </w:rPr>
      </w:pPr>
      <w:proofErr w:type="spellStart"/>
      <w:r w:rsidRPr="002136E6">
        <w:rPr>
          <w:sz w:val="24"/>
          <w:szCs w:val="24"/>
          <w:u w:val="single"/>
          <w:lang w:val="en-GB"/>
        </w:rPr>
        <w:t>Norditropin</w:t>
      </w:r>
      <w:proofErr w:type="spellEnd"/>
      <w:r w:rsidRPr="002136E6">
        <w:rPr>
          <w:sz w:val="24"/>
          <w:szCs w:val="24"/>
          <w:u w:val="single"/>
          <w:lang w:val="en-GB"/>
        </w:rPr>
        <w:t xml:space="preserve"> </w:t>
      </w:r>
      <w:proofErr w:type="spellStart"/>
      <w:r w:rsidRPr="002136E6">
        <w:rPr>
          <w:sz w:val="24"/>
          <w:szCs w:val="24"/>
          <w:u w:val="single"/>
          <w:lang w:val="en-GB"/>
        </w:rPr>
        <w:t>NordiLet</w:t>
      </w:r>
      <w:proofErr w:type="spellEnd"/>
      <w:r w:rsidRPr="002136E6">
        <w:rPr>
          <w:sz w:val="24"/>
          <w:szCs w:val="24"/>
          <w:u w:val="single"/>
          <w:lang w:val="en-GB"/>
        </w:rPr>
        <w:t xml:space="preserve"> 15 mg/1.5 ml</w:t>
      </w:r>
      <w:r w:rsidRPr="002136E6">
        <w:rPr>
          <w:sz w:val="24"/>
          <w:szCs w:val="24"/>
          <w:lang w:val="en-GB"/>
        </w:rPr>
        <w:t xml:space="preserve"> is a multidose disposable pre-filled pen, which consists of a cartridge (Type I colourless glass) permanently sealed in a plastic pen-injector. The cartridge is closed at the bottom with a rubber stopper (Type I rubber closures) shaped as a plunger and at the top with a laminated rubber stopper (Type I rubber closures) shaped as a </w:t>
      </w:r>
      <w:r w:rsidRPr="002136E6">
        <w:rPr>
          <w:sz w:val="24"/>
          <w:szCs w:val="24"/>
          <w:lang w:val="en-GB"/>
        </w:rPr>
        <w:lastRenderedPageBreak/>
        <w:t xml:space="preserve">disc and sealed with an aluminium cap. The push button on the pen-injector is coloured green. Pack sizes of 1 </w:t>
      </w:r>
      <w:r w:rsidRPr="002136E6">
        <w:rPr>
          <w:sz w:val="24"/>
          <w:szCs w:val="24"/>
          <w:lang w:val="en-US"/>
        </w:rPr>
        <w:t>pre-filled pen</w:t>
      </w:r>
      <w:r w:rsidRPr="002136E6">
        <w:rPr>
          <w:sz w:val="24"/>
          <w:szCs w:val="24"/>
          <w:lang w:val="en-GB"/>
        </w:rPr>
        <w:t>.</w:t>
      </w:r>
    </w:p>
    <w:p w14:paraId="48D9521C" w14:textId="77777777" w:rsidR="00374941" w:rsidRPr="002136E6" w:rsidRDefault="00374941" w:rsidP="001F525D">
      <w:pPr>
        <w:ind w:left="851"/>
        <w:rPr>
          <w:sz w:val="24"/>
          <w:szCs w:val="24"/>
          <w:lang w:val="en-GB"/>
        </w:rPr>
      </w:pPr>
    </w:p>
    <w:p w14:paraId="542FDD5A" w14:textId="77777777" w:rsidR="00374941" w:rsidRPr="002136E6" w:rsidRDefault="00374941" w:rsidP="001F525D">
      <w:pPr>
        <w:ind w:left="851"/>
        <w:rPr>
          <w:sz w:val="24"/>
          <w:szCs w:val="24"/>
          <w:lang w:val="en-GB"/>
        </w:rPr>
      </w:pPr>
      <w:r w:rsidRPr="002136E6">
        <w:rPr>
          <w:sz w:val="24"/>
          <w:szCs w:val="24"/>
          <w:lang w:val="en-GB"/>
        </w:rPr>
        <w:t>The pre-filled pen is packed in a carton.</w:t>
      </w:r>
    </w:p>
    <w:p w14:paraId="1CC5BE5A" w14:textId="77777777" w:rsidR="007C5D2A" w:rsidRPr="002136E6" w:rsidRDefault="007C5D2A" w:rsidP="003E0341">
      <w:pPr>
        <w:tabs>
          <w:tab w:val="left" w:pos="851"/>
        </w:tabs>
        <w:ind w:left="851"/>
        <w:rPr>
          <w:sz w:val="24"/>
          <w:szCs w:val="24"/>
          <w:lang w:val="en-GB"/>
        </w:rPr>
      </w:pPr>
    </w:p>
    <w:p w14:paraId="69245650" w14:textId="77777777" w:rsidR="007C5D2A" w:rsidRPr="002136E6" w:rsidRDefault="007C5D2A" w:rsidP="007C5D2A">
      <w:pPr>
        <w:ind w:left="851" w:hanging="851"/>
        <w:rPr>
          <w:b/>
          <w:sz w:val="24"/>
          <w:szCs w:val="24"/>
          <w:lang w:val="en-GB"/>
        </w:rPr>
      </w:pPr>
      <w:r w:rsidRPr="002136E6">
        <w:rPr>
          <w:b/>
          <w:sz w:val="24"/>
          <w:szCs w:val="24"/>
          <w:lang w:val="en-GB"/>
        </w:rPr>
        <w:t>6.6</w:t>
      </w:r>
      <w:r w:rsidRPr="002136E6">
        <w:rPr>
          <w:b/>
          <w:sz w:val="24"/>
          <w:szCs w:val="24"/>
          <w:lang w:val="en-GB"/>
        </w:rPr>
        <w:tab/>
        <w:t>Special precautions for disposal and other handling</w:t>
      </w:r>
    </w:p>
    <w:p w14:paraId="0CEA22D9" w14:textId="77777777" w:rsidR="00374941" w:rsidRPr="002136E6" w:rsidRDefault="00374941" w:rsidP="001F525D">
      <w:pPr>
        <w:ind w:left="851"/>
        <w:rPr>
          <w:b/>
          <w:bCs/>
          <w:sz w:val="24"/>
          <w:szCs w:val="24"/>
          <w:lang w:val="en-GB"/>
        </w:rPr>
      </w:pPr>
      <w:proofErr w:type="spellStart"/>
      <w:r w:rsidRPr="002136E6">
        <w:rPr>
          <w:bCs/>
          <w:sz w:val="24"/>
          <w:szCs w:val="24"/>
          <w:lang w:val="en-GB"/>
        </w:rPr>
        <w:t>Norditropin</w:t>
      </w:r>
      <w:proofErr w:type="spellEnd"/>
      <w:r w:rsidRPr="002136E6">
        <w:rPr>
          <w:bCs/>
          <w:sz w:val="24"/>
          <w:szCs w:val="24"/>
          <w:lang w:val="en-GB"/>
        </w:rPr>
        <w:t xml:space="preserve"> </w:t>
      </w:r>
      <w:proofErr w:type="spellStart"/>
      <w:r w:rsidRPr="002136E6">
        <w:rPr>
          <w:bCs/>
          <w:sz w:val="24"/>
          <w:szCs w:val="24"/>
          <w:lang w:val="en-GB"/>
        </w:rPr>
        <w:t>NordiLet</w:t>
      </w:r>
      <w:proofErr w:type="spellEnd"/>
      <w:r w:rsidRPr="002136E6">
        <w:rPr>
          <w:bCs/>
          <w:sz w:val="24"/>
          <w:szCs w:val="24"/>
          <w:lang w:val="en-GB"/>
        </w:rPr>
        <w:t xml:space="preserve"> is a pre-filled pen designed to be used with </w:t>
      </w:r>
      <w:proofErr w:type="spellStart"/>
      <w:r w:rsidRPr="002136E6">
        <w:rPr>
          <w:bCs/>
          <w:sz w:val="24"/>
          <w:szCs w:val="24"/>
          <w:lang w:val="en-GB"/>
        </w:rPr>
        <w:t>NovoFine</w:t>
      </w:r>
      <w:proofErr w:type="spellEnd"/>
      <w:r w:rsidRPr="002136E6">
        <w:rPr>
          <w:bCs/>
          <w:sz w:val="24"/>
          <w:szCs w:val="24"/>
          <w:lang w:val="en-GB"/>
        </w:rPr>
        <w:t xml:space="preserve"> needles. The dose is delivered in clicks. </w:t>
      </w:r>
      <w:proofErr w:type="spellStart"/>
      <w:r w:rsidRPr="002136E6">
        <w:rPr>
          <w:bCs/>
          <w:sz w:val="24"/>
          <w:szCs w:val="24"/>
          <w:lang w:val="en-GB"/>
        </w:rPr>
        <w:t>NordiLet</w:t>
      </w:r>
      <w:proofErr w:type="spellEnd"/>
      <w:r w:rsidRPr="002136E6">
        <w:rPr>
          <w:bCs/>
          <w:sz w:val="24"/>
          <w:szCs w:val="24"/>
          <w:lang w:val="en-GB"/>
        </w:rPr>
        <w:t xml:space="preserve"> delivers 1</w:t>
      </w:r>
      <w:r w:rsidRPr="002136E6">
        <w:rPr>
          <w:bCs/>
          <w:sz w:val="24"/>
          <w:szCs w:val="24"/>
          <w:lang w:val="en-GB"/>
        </w:rPr>
        <w:noBreakHyphen/>
        <w:t>29 clicks in increments of 1 click for each injection. The dose per click is the following for each strength: 0.0667 mg (5 mg/1.5 ml), 0.1333 mg (10 mg/1.5 ml) and 0.2000 mg (15 mg/1.5 ml). In the package leaflet for each strength a range of doses in mg per number of clicks is given in a conversion table.</w:t>
      </w:r>
    </w:p>
    <w:p w14:paraId="0D478A4B" w14:textId="77777777" w:rsidR="00374941" w:rsidRPr="002136E6" w:rsidRDefault="00374941" w:rsidP="001F525D">
      <w:pPr>
        <w:ind w:left="851"/>
        <w:rPr>
          <w:bCs/>
          <w:sz w:val="24"/>
          <w:szCs w:val="24"/>
          <w:lang w:val="en-GB"/>
        </w:rPr>
      </w:pPr>
    </w:p>
    <w:p w14:paraId="0C912036" w14:textId="77777777" w:rsidR="00374941" w:rsidRPr="002136E6" w:rsidRDefault="00374941" w:rsidP="001F525D">
      <w:pPr>
        <w:ind w:left="851"/>
        <w:rPr>
          <w:b/>
          <w:bCs/>
          <w:sz w:val="24"/>
          <w:szCs w:val="24"/>
          <w:lang w:val="en-GB"/>
        </w:rPr>
      </w:pPr>
      <w:r w:rsidRPr="002136E6">
        <w:rPr>
          <w:bCs/>
          <w:sz w:val="24"/>
          <w:szCs w:val="24"/>
          <w:lang w:val="en-US"/>
        </w:rPr>
        <w:t xml:space="preserve">To ensure proper dosing and avoid injection of air, check the growth hormone flow (prime) before the first injection. Do not use </w:t>
      </w:r>
      <w:proofErr w:type="spellStart"/>
      <w:r w:rsidRPr="002136E6">
        <w:rPr>
          <w:bCs/>
          <w:sz w:val="24"/>
          <w:szCs w:val="24"/>
          <w:lang w:val="en-US"/>
        </w:rPr>
        <w:t>Norditropin</w:t>
      </w:r>
      <w:proofErr w:type="spellEnd"/>
      <w:r w:rsidRPr="002136E6">
        <w:rPr>
          <w:bCs/>
          <w:sz w:val="24"/>
          <w:szCs w:val="24"/>
          <w:lang w:val="en-US"/>
        </w:rPr>
        <w:t xml:space="preserve"> </w:t>
      </w:r>
      <w:proofErr w:type="spellStart"/>
      <w:r w:rsidRPr="002136E6">
        <w:rPr>
          <w:bCs/>
          <w:sz w:val="24"/>
          <w:szCs w:val="24"/>
          <w:lang w:val="en-US"/>
        </w:rPr>
        <w:t>NordiLet</w:t>
      </w:r>
      <w:proofErr w:type="spellEnd"/>
      <w:r w:rsidRPr="002136E6">
        <w:rPr>
          <w:bCs/>
          <w:sz w:val="24"/>
          <w:szCs w:val="24"/>
          <w:lang w:val="en-US"/>
        </w:rPr>
        <w:t xml:space="preserve"> if a drop of growth hormone does not appear at the needle tip. </w:t>
      </w:r>
      <w:r w:rsidRPr="002136E6">
        <w:rPr>
          <w:bCs/>
          <w:sz w:val="24"/>
          <w:szCs w:val="24"/>
          <w:lang w:val="en-GB"/>
        </w:rPr>
        <w:t>A dose is dialled in clicks by turning the pen cap. The dialled dose is checked by addition of the figure on the pen cap scale and the figure on the push button scale. The push button is pressed to inject the dose.</w:t>
      </w:r>
    </w:p>
    <w:p w14:paraId="368D7D9A" w14:textId="77777777" w:rsidR="00374941" w:rsidRPr="002136E6" w:rsidRDefault="00374941" w:rsidP="001F525D">
      <w:pPr>
        <w:ind w:left="851"/>
        <w:rPr>
          <w:sz w:val="24"/>
          <w:szCs w:val="24"/>
          <w:lang w:val="en-GB"/>
        </w:rPr>
      </w:pPr>
    </w:p>
    <w:p w14:paraId="6D184972" w14:textId="77777777" w:rsidR="00374941" w:rsidRPr="002136E6" w:rsidRDefault="00374941" w:rsidP="001F525D">
      <w:pPr>
        <w:ind w:left="851"/>
        <w:rPr>
          <w:sz w:val="24"/>
          <w:szCs w:val="24"/>
          <w:lang w:val="en-GB"/>
        </w:rPr>
      </w:pP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NordiLet</w:t>
      </w:r>
      <w:proofErr w:type="spellEnd"/>
      <w:r w:rsidRPr="002136E6">
        <w:rPr>
          <w:sz w:val="24"/>
          <w:szCs w:val="24"/>
          <w:lang w:val="en-GB"/>
        </w:rPr>
        <w:t xml:space="preserve"> should not be shaken vigorously at any time.</w:t>
      </w:r>
    </w:p>
    <w:p w14:paraId="57C685B6" w14:textId="77777777" w:rsidR="00374941" w:rsidRPr="002136E6" w:rsidRDefault="00374941" w:rsidP="001F525D">
      <w:pPr>
        <w:ind w:left="851"/>
        <w:rPr>
          <w:sz w:val="24"/>
          <w:szCs w:val="24"/>
          <w:lang w:val="en-GB"/>
        </w:rPr>
      </w:pPr>
    </w:p>
    <w:p w14:paraId="76047526" w14:textId="77777777" w:rsidR="00374941" w:rsidRPr="002136E6" w:rsidRDefault="00374941" w:rsidP="001F525D">
      <w:pPr>
        <w:ind w:left="851"/>
        <w:rPr>
          <w:sz w:val="24"/>
          <w:szCs w:val="24"/>
          <w:lang w:val="en-GB"/>
        </w:rPr>
      </w:pPr>
      <w:r w:rsidRPr="002136E6">
        <w:rPr>
          <w:sz w:val="24"/>
          <w:szCs w:val="24"/>
          <w:lang w:val="en-GB"/>
        </w:rPr>
        <w:t xml:space="preserve">Do not use </w:t>
      </w:r>
      <w:proofErr w:type="spellStart"/>
      <w:r w:rsidRPr="002136E6">
        <w:rPr>
          <w:sz w:val="24"/>
          <w:szCs w:val="24"/>
          <w:lang w:val="en-GB"/>
        </w:rPr>
        <w:t>Norditropin</w:t>
      </w:r>
      <w:proofErr w:type="spellEnd"/>
      <w:r w:rsidRPr="002136E6">
        <w:rPr>
          <w:sz w:val="24"/>
          <w:szCs w:val="24"/>
          <w:lang w:val="en-GB"/>
        </w:rPr>
        <w:t xml:space="preserve"> </w:t>
      </w:r>
      <w:proofErr w:type="spellStart"/>
      <w:r w:rsidRPr="002136E6">
        <w:rPr>
          <w:sz w:val="24"/>
          <w:szCs w:val="24"/>
          <w:lang w:val="en-GB"/>
        </w:rPr>
        <w:t>NordiLet</w:t>
      </w:r>
      <w:proofErr w:type="spellEnd"/>
      <w:r w:rsidRPr="002136E6">
        <w:rPr>
          <w:sz w:val="24"/>
          <w:szCs w:val="24"/>
          <w:lang w:val="en-GB"/>
        </w:rPr>
        <w:t xml:space="preserve"> if the growth hormone solution for injection is cloudy or discoloured. Check this by turning the pen upside down once or twice.</w:t>
      </w:r>
    </w:p>
    <w:p w14:paraId="240F316F" w14:textId="77777777" w:rsidR="00374941" w:rsidRPr="002136E6" w:rsidRDefault="00374941" w:rsidP="001F525D">
      <w:pPr>
        <w:ind w:left="851"/>
        <w:rPr>
          <w:sz w:val="24"/>
          <w:szCs w:val="24"/>
          <w:lang w:val="en-GB"/>
        </w:rPr>
      </w:pPr>
    </w:p>
    <w:p w14:paraId="75E84843" w14:textId="77777777" w:rsidR="00374941" w:rsidRPr="002136E6" w:rsidRDefault="00374941" w:rsidP="001F525D">
      <w:pPr>
        <w:ind w:left="851"/>
        <w:rPr>
          <w:sz w:val="24"/>
          <w:szCs w:val="24"/>
          <w:lang w:val="en-GB"/>
        </w:rPr>
      </w:pPr>
      <w:r w:rsidRPr="002136E6">
        <w:rPr>
          <w:sz w:val="24"/>
          <w:szCs w:val="24"/>
          <w:lang w:val="en-US"/>
        </w:rPr>
        <w:t>Any unused medicinal product or waste should be disposed of in accordance with local requirements.</w:t>
      </w:r>
    </w:p>
    <w:p w14:paraId="32150484" w14:textId="77777777" w:rsidR="007C5D2A" w:rsidRPr="002136E6" w:rsidRDefault="007C5D2A" w:rsidP="00AB4376">
      <w:pPr>
        <w:tabs>
          <w:tab w:val="left" w:pos="851"/>
        </w:tabs>
        <w:ind w:left="851"/>
        <w:rPr>
          <w:sz w:val="24"/>
          <w:szCs w:val="24"/>
          <w:lang w:val="en-GB"/>
        </w:rPr>
      </w:pPr>
    </w:p>
    <w:p w14:paraId="6B5B1172" w14:textId="77777777" w:rsidR="007C5D2A" w:rsidRPr="002136E6" w:rsidRDefault="007C5D2A" w:rsidP="007C5D2A">
      <w:pPr>
        <w:tabs>
          <w:tab w:val="left" w:pos="851"/>
        </w:tabs>
        <w:ind w:left="851" w:hanging="851"/>
        <w:jc w:val="both"/>
        <w:rPr>
          <w:b/>
          <w:sz w:val="24"/>
          <w:szCs w:val="24"/>
          <w:lang w:val="en-GB"/>
        </w:rPr>
      </w:pPr>
      <w:r w:rsidRPr="002136E6">
        <w:rPr>
          <w:b/>
          <w:sz w:val="24"/>
          <w:szCs w:val="24"/>
          <w:lang w:val="en-GB"/>
        </w:rPr>
        <w:t>7.</w:t>
      </w:r>
      <w:r w:rsidRPr="002136E6">
        <w:rPr>
          <w:b/>
          <w:sz w:val="24"/>
          <w:szCs w:val="24"/>
          <w:lang w:val="en-GB"/>
        </w:rPr>
        <w:tab/>
        <w:t>MARKETING AUTHORISATION HOLDER</w:t>
      </w:r>
    </w:p>
    <w:p w14:paraId="38681719" w14:textId="77777777" w:rsidR="001F525D" w:rsidRPr="00E6462E" w:rsidRDefault="001F525D" w:rsidP="001F525D">
      <w:pPr>
        <w:ind w:left="851"/>
        <w:jc w:val="both"/>
        <w:rPr>
          <w:sz w:val="24"/>
          <w:szCs w:val="24"/>
          <w:lang w:val="en-GB"/>
        </w:rPr>
      </w:pPr>
      <w:r w:rsidRPr="00E6462E">
        <w:rPr>
          <w:sz w:val="24"/>
          <w:szCs w:val="24"/>
          <w:lang w:val="en-GB"/>
        </w:rPr>
        <w:t>Novo Nordisk A/S</w:t>
      </w:r>
    </w:p>
    <w:p w14:paraId="0C4AFC2B" w14:textId="77777777" w:rsidR="001F525D" w:rsidRPr="00E6462E" w:rsidRDefault="001F525D" w:rsidP="001F525D">
      <w:pPr>
        <w:ind w:left="851"/>
        <w:jc w:val="both"/>
        <w:rPr>
          <w:sz w:val="24"/>
          <w:szCs w:val="24"/>
          <w:lang w:val="en-GB"/>
        </w:rPr>
      </w:pPr>
      <w:r w:rsidRPr="00E6462E">
        <w:rPr>
          <w:sz w:val="24"/>
          <w:szCs w:val="24"/>
          <w:lang w:val="en-GB"/>
        </w:rPr>
        <w:t xml:space="preserve">Novo </w:t>
      </w:r>
      <w:proofErr w:type="spellStart"/>
      <w:r w:rsidRPr="00E6462E">
        <w:rPr>
          <w:sz w:val="24"/>
          <w:szCs w:val="24"/>
          <w:lang w:val="en-GB"/>
        </w:rPr>
        <w:t>Allé</w:t>
      </w:r>
      <w:proofErr w:type="spellEnd"/>
      <w:r w:rsidRPr="00E6462E">
        <w:rPr>
          <w:sz w:val="24"/>
          <w:szCs w:val="24"/>
          <w:lang w:val="en-GB"/>
        </w:rPr>
        <w:t xml:space="preserve"> </w:t>
      </w:r>
    </w:p>
    <w:p w14:paraId="33B8A82E" w14:textId="77777777" w:rsidR="001F525D" w:rsidRPr="00E6462E" w:rsidRDefault="001F525D" w:rsidP="001F525D">
      <w:pPr>
        <w:pStyle w:val="Sidefod"/>
        <w:tabs>
          <w:tab w:val="clear" w:pos="4819"/>
          <w:tab w:val="clear" w:pos="9638"/>
        </w:tabs>
        <w:ind w:left="851"/>
        <w:jc w:val="both"/>
        <w:rPr>
          <w:szCs w:val="24"/>
          <w:lang w:val="en-GB"/>
        </w:rPr>
      </w:pPr>
      <w:r w:rsidRPr="00E6462E">
        <w:rPr>
          <w:szCs w:val="24"/>
          <w:lang w:val="en-GB"/>
        </w:rPr>
        <w:t xml:space="preserve">2880 </w:t>
      </w:r>
      <w:proofErr w:type="spellStart"/>
      <w:r w:rsidRPr="00E6462E">
        <w:rPr>
          <w:szCs w:val="24"/>
          <w:lang w:val="en-GB"/>
        </w:rPr>
        <w:t>Bagsværd</w:t>
      </w:r>
      <w:proofErr w:type="spellEnd"/>
    </w:p>
    <w:p w14:paraId="1CF08A9B" w14:textId="77777777" w:rsidR="007C5D2A" w:rsidRPr="002136E6" w:rsidRDefault="007C5D2A" w:rsidP="003E0341">
      <w:pPr>
        <w:tabs>
          <w:tab w:val="left" w:pos="851"/>
        </w:tabs>
        <w:ind w:left="851"/>
        <w:jc w:val="both"/>
        <w:rPr>
          <w:sz w:val="24"/>
          <w:szCs w:val="24"/>
          <w:lang w:val="en-GB"/>
        </w:rPr>
      </w:pPr>
    </w:p>
    <w:p w14:paraId="530214CE" w14:textId="77777777" w:rsidR="007C5D2A" w:rsidRPr="002136E6" w:rsidRDefault="007C5D2A" w:rsidP="007C5D2A">
      <w:pPr>
        <w:ind w:left="851" w:hanging="851"/>
        <w:jc w:val="both"/>
        <w:rPr>
          <w:b/>
          <w:sz w:val="24"/>
          <w:szCs w:val="24"/>
          <w:lang w:val="en-GB"/>
        </w:rPr>
      </w:pPr>
      <w:r w:rsidRPr="002136E6">
        <w:rPr>
          <w:b/>
          <w:sz w:val="24"/>
          <w:szCs w:val="24"/>
          <w:lang w:val="en-GB"/>
        </w:rPr>
        <w:t>8.</w:t>
      </w:r>
      <w:r w:rsidRPr="002136E6">
        <w:rPr>
          <w:b/>
          <w:sz w:val="24"/>
          <w:szCs w:val="24"/>
          <w:lang w:val="en-GB"/>
        </w:rPr>
        <w:tab/>
        <w:t>MARKETING AUTHORISATION NUMBER(S)</w:t>
      </w:r>
    </w:p>
    <w:p w14:paraId="00185150" w14:textId="77777777" w:rsidR="001F525D" w:rsidRPr="00E6462E" w:rsidRDefault="001F525D" w:rsidP="001F525D">
      <w:pPr>
        <w:tabs>
          <w:tab w:val="left" w:pos="2268"/>
        </w:tabs>
        <w:ind w:left="851"/>
        <w:jc w:val="both"/>
        <w:rPr>
          <w:sz w:val="24"/>
          <w:szCs w:val="24"/>
          <w:lang w:val="en-GB"/>
        </w:rPr>
      </w:pPr>
      <w:r w:rsidRPr="00E6462E">
        <w:rPr>
          <w:sz w:val="24"/>
          <w:szCs w:val="24"/>
          <w:lang w:val="en-GB"/>
        </w:rPr>
        <w:t>5 mg/1,5 ml:</w:t>
      </w:r>
      <w:r w:rsidRPr="00E6462E">
        <w:rPr>
          <w:sz w:val="24"/>
          <w:szCs w:val="24"/>
          <w:lang w:val="en-GB"/>
        </w:rPr>
        <w:tab/>
        <w:t>32883</w:t>
      </w:r>
    </w:p>
    <w:p w14:paraId="3FF409C2" w14:textId="77777777" w:rsidR="001F525D" w:rsidRPr="00E6462E" w:rsidRDefault="001F525D" w:rsidP="001F525D">
      <w:pPr>
        <w:tabs>
          <w:tab w:val="left" w:pos="2268"/>
        </w:tabs>
        <w:ind w:left="851"/>
        <w:jc w:val="both"/>
        <w:rPr>
          <w:sz w:val="24"/>
          <w:szCs w:val="24"/>
          <w:lang w:val="en-GB"/>
        </w:rPr>
      </w:pPr>
      <w:r w:rsidRPr="00E6462E">
        <w:rPr>
          <w:sz w:val="24"/>
          <w:szCs w:val="24"/>
          <w:lang w:val="en-GB"/>
        </w:rPr>
        <w:t>10 mg/1,5 ml:</w:t>
      </w:r>
      <w:r w:rsidRPr="00E6462E">
        <w:rPr>
          <w:sz w:val="24"/>
          <w:szCs w:val="24"/>
          <w:lang w:val="en-GB"/>
        </w:rPr>
        <w:tab/>
        <w:t>32884</w:t>
      </w:r>
    </w:p>
    <w:p w14:paraId="10272AF4" w14:textId="77777777" w:rsidR="001F525D" w:rsidRPr="00E6462E" w:rsidRDefault="001F525D" w:rsidP="001F525D">
      <w:pPr>
        <w:tabs>
          <w:tab w:val="left" w:pos="2268"/>
        </w:tabs>
        <w:ind w:left="851"/>
        <w:jc w:val="both"/>
        <w:rPr>
          <w:sz w:val="24"/>
          <w:szCs w:val="24"/>
          <w:lang w:val="en-GB"/>
        </w:rPr>
      </w:pPr>
      <w:r w:rsidRPr="00E6462E">
        <w:rPr>
          <w:sz w:val="24"/>
          <w:szCs w:val="24"/>
          <w:lang w:val="en-GB"/>
        </w:rPr>
        <w:t>15 mg/1,5 ml:</w:t>
      </w:r>
      <w:r w:rsidRPr="00E6462E">
        <w:rPr>
          <w:sz w:val="24"/>
          <w:szCs w:val="24"/>
          <w:lang w:val="en-GB"/>
        </w:rPr>
        <w:tab/>
        <w:t>32885</w:t>
      </w:r>
    </w:p>
    <w:p w14:paraId="187F0D5E" w14:textId="77777777" w:rsidR="007C5D2A" w:rsidRPr="00E6462E" w:rsidRDefault="007C5D2A" w:rsidP="00180A12">
      <w:pPr>
        <w:tabs>
          <w:tab w:val="left" w:pos="851"/>
        </w:tabs>
        <w:ind w:left="851"/>
        <w:jc w:val="both"/>
        <w:rPr>
          <w:sz w:val="24"/>
          <w:szCs w:val="24"/>
          <w:lang w:val="en-GB"/>
        </w:rPr>
      </w:pPr>
    </w:p>
    <w:p w14:paraId="5D30901C" w14:textId="77777777" w:rsidR="007C5D2A" w:rsidRPr="002136E6" w:rsidRDefault="007C5D2A" w:rsidP="007C5D2A">
      <w:pPr>
        <w:tabs>
          <w:tab w:val="left" w:pos="851"/>
        </w:tabs>
        <w:jc w:val="both"/>
        <w:rPr>
          <w:sz w:val="24"/>
          <w:szCs w:val="24"/>
          <w:lang w:val="en-GB"/>
        </w:rPr>
      </w:pPr>
      <w:r w:rsidRPr="002136E6">
        <w:rPr>
          <w:b/>
          <w:sz w:val="24"/>
          <w:szCs w:val="24"/>
          <w:lang w:val="en-GB"/>
        </w:rPr>
        <w:t>9.</w:t>
      </w:r>
      <w:r w:rsidRPr="002136E6">
        <w:rPr>
          <w:b/>
          <w:sz w:val="24"/>
          <w:szCs w:val="24"/>
          <w:lang w:val="en-GB"/>
        </w:rPr>
        <w:tab/>
        <w:t>DATE OF FIRST AUTHORISATION</w:t>
      </w:r>
    </w:p>
    <w:p w14:paraId="2B156E85" w14:textId="0931311F" w:rsidR="007C5D2A" w:rsidRPr="002136E6" w:rsidRDefault="00FC1682" w:rsidP="00A85D26">
      <w:pPr>
        <w:ind w:left="851"/>
        <w:jc w:val="both"/>
        <w:rPr>
          <w:sz w:val="24"/>
          <w:szCs w:val="24"/>
          <w:lang w:val="en-GB"/>
        </w:rPr>
      </w:pPr>
      <w:r w:rsidRPr="002136E6">
        <w:rPr>
          <w:sz w:val="24"/>
          <w:szCs w:val="24"/>
          <w:lang w:val="en-GB"/>
        </w:rPr>
        <w:t>14 June 2002</w:t>
      </w:r>
    </w:p>
    <w:p w14:paraId="703DB0D1" w14:textId="77777777" w:rsidR="007C5D2A" w:rsidRPr="002136E6" w:rsidRDefault="007C5D2A" w:rsidP="003E0341">
      <w:pPr>
        <w:tabs>
          <w:tab w:val="left" w:pos="851"/>
        </w:tabs>
        <w:ind w:left="851"/>
        <w:jc w:val="both"/>
        <w:rPr>
          <w:sz w:val="24"/>
          <w:szCs w:val="24"/>
          <w:lang w:val="en-GB"/>
        </w:rPr>
      </w:pPr>
    </w:p>
    <w:p w14:paraId="09B52D3A" w14:textId="77777777" w:rsidR="007C5D2A" w:rsidRPr="002136E6" w:rsidRDefault="007C5D2A" w:rsidP="007C5D2A">
      <w:pPr>
        <w:tabs>
          <w:tab w:val="left" w:pos="851"/>
        </w:tabs>
        <w:jc w:val="both"/>
        <w:rPr>
          <w:sz w:val="24"/>
          <w:szCs w:val="24"/>
          <w:lang w:val="en-GB"/>
        </w:rPr>
      </w:pPr>
      <w:r w:rsidRPr="002136E6">
        <w:rPr>
          <w:b/>
          <w:sz w:val="24"/>
          <w:szCs w:val="24"/>
          <w:lang w:val="en-GB"/>
        </w:rPr>
        <w:t>10.</w:t>
      </w:r>
      <w:r w:rsidRPr="002136E6">
        <w:rPr>
          <w:b/>
          <w:sz w:val="24"/>
          <w:szCs w:val="24"/>
          <w:lang w:val="en-GB"/>
        </w:rPr>
        <w:tab/>
        <w:t>DATE OF REVISION OF THE TEXT</w:t>
      </w:r>
    </w:p>
    <w:p w14:paraId="0694C1BF" w14:textId="2CA463E5" w:rsidR="007C5D2A" w:rsidRPr="002136E6" w:rsidRDefault="00995279" w:rsidP="003E0341">
      <w:pPr>
        <w:tabs>
          <w:tab w:val="left" w:pos="851"/>
        </w:tabs>
        <w:ind w:left="851"/>
        <w:jc w:val="both"/>
        <w:rPr>
          <w:sz w:val="24"/>
          <w:szCs w:val="24"/>
          <w:lang w:val="en-GB"/>
        </w:rPr>
      </w:pPr>
      <w:r>
        <w:rPr>
          <w:sz w:val="24"/>
          <w:szCs w:val="24"/>
          <w:lang w:val="en-GB"/>
        </w:rPr>
        <w:t>22 December 2022</w:t>
      </w:r>
    </w:p>
    <w:sectPr w:rsidR="007C5D2A" w:rsidRPr="002136E6"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A65B" w14:textId="77777777" w:rsidR="00025E74" w:rsidRDefault="00025E74">
      <w:r>
        <w:separator/>
      </w:r>
    </w:p>
  </w:endnote>
  <w:endnote w:type="continuationSeparator" w:id="0">
    <w:p w14:paraId="2ADC64A6" w14:textId="77777777" w:rsidR="00025E74" w:rsidRDefault="0002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E26B"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953E6" w14:textId="77777777" w:rsidR="00864538" w:rsidRDefault="00864538">
    <w:pPr>
      <w:pStyle w:val="Sidefod"/>
      <w:pBdr>
        <w:bottom w:val="single" w:sz="6" w:space="1" w:color="auto"/>
      </w:pBdr>
    </w:pPr>
  </w:p>
  <w:p w14:paraId="31E48D73" w14:textId="77777777" w:rsidR="00864538" w:rsidRDefault="00864538">
    <w:pPr>
      <w:pStyle w:val="Sidefod"/>
      <w:tabs>
        <w:tab w:val="clear" w:pos="4819"/>
        <w:tab w:val="left" w:pos="8647"/>
      </w:tabs>
      <w:rPr>
        <w:i/>
        <w:snapToGrid w:val="0"/>
        <w:sz w:val="18"/>
      </w:rPr>
    </w:pPr>
  </w:p>
  <w:p w14:paraId="28134806" w14:textId="1E4D6A84"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E6462E">
      <w:rPr>
        <w:i/>
        <w:noProof/>
        <w:snapToGrid w:val="0"/>
        <w:sz w:val="18"/>
      </w:rPr>
      <w:t>Norditropin NordiLet, injektionsvæske, opløsning i fyldt pen 5 mg-1,5 ml, 10 mg-1,5 ml og 15 mg-1,5 ml.docx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0738" w14:textId="77777777" w:rsidR="00864538" w:rsidRDefault="00864538">
    <w:pPr>
      <w:pStyle w:val="Sidefod"/>
      <w:pBdr>
        <w:bottom w:val="single" w:sz="6" w:space="1" w:color="auto"/>
      </w:pBdr>
      <w:tabs>
        <w:tab w:val="clear" w:pos="4819"/>
        <w:tab w:val="left" w:pos="8789"/>
      </w:tabs>
      <w:rPr>
        <w:i/>
        <w:snapToGrid w:val="0"/>
        <w:sz w:val="18"/>
      </w:rPr>
    </w:pPr>
  </w:p>
  <w:p w14:paraId="4F34C583" w14:textId="77777777" w:rsidR="00864538" w:rsidRDefault="00864538">
    <w:pPr>
      <w:pStyle w:val="Sidefod"/>
      <w:tabs>
        <w:tab w:val="clear" w:pos="4819"/>
        <w:tab w:val="left" w:pos="8789"/>
      </w:tabs>
      <w:rPr>
        <w:i/>
        <w:snapToGrid w:val="0"/>
        <w:sz w:val="18"/>
      </w:rPr>
    </w:pPr>
  </w:p>
  <w:p w14:paraId="368A0815" w14:textId="533E53B7"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E6462E">
      <w:rPr>
        <w:i/>
        <w:noProof/>
        <w:snapToGrid w:val="0"/>
        <w:sz w:val="18"/>
      </w:rPr>
      <w:t>Norditropin NordiLet, injektionsvæske, opløsning i fyldt pen 5 mg-1,5 ml, 10 mg-1,5 ml og 15 mg-1,5 ml.docx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C195" w14:textId="77777777" w:rsidR="00025E74" w:rsidRDefault="00025E74">
      <w:r>
        <w:separator/>
      </w:r>
    </w:p>
  </w:footnote>
  <w:footnote w:type="continuationSeparator" w:id="0">
    <w:p w14:paraId="0762BCA9" w14:textId="77777777" w:rsidR="00025E74" w:rsidRDefault="00025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FC811"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A97A"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868C"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C76921"/>
    <w:multiLevelType w:val="hybridMultilevel"/>
    <w:tmpl w:val="B06EE4B8"/>
    <w:lvl w:ilvl="0" w:tplc="98B4CF4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74"/>
    <w:rsid w:val="00025E74"/>
    <w:rsid w:val="00056601"/>
    <w:rsid w:val="000C3846"/>
    <w:rsid w:val="000C6218"/>
    <w:rsid w:val="000D3C9D"/>
    <w:rsid w:val="000F0D47"/>
    <w:rsid w:val="00120EB1"/>
    <w:rsid w:val="001242DE"/>
    <w:rsid w:val="00180A12"/>
    <w:rsid w:val="001F525D"/>
    <w:rsid w:val="002136E6"/>
    <w:rsid w:val="00214331"/>
    <w:rsid w:val="00214CF4"/>
    <w:rsid w:val="002453A4"/>
    <w:rsid w:val="00281F03"/>
    <w:rsid w:val="0029458A"/>
    <w:rsid w:val="002A1587"/>
    <w:rsid w:val="002B0C82"/>
    <w:rsid w:val="002B27C5"/>
    <w:rsid w:val="002E7758"/>
    <w:rsid w:val="00303008"/>
    <w:rsid w:val="00373B55"/>
    <w:rsid w:val="00374941"/>
    <w:rsid w:val="003D727E"/>
    <w:rsid w:val="003E0341"/>
    <w:rsid w:val="003E3402"/>
    <w:rsid w:val="003E6F74"/>
    <w:rsid w:val="003F4736"/>
    <w:rsid w:val="00401B49"/>
    <w:rsid w:val="0042292D"/>
    <w:rsid w:val="00440254"/>
    <w:rsid w:val="00460F57"/>
    <w:rsid w:val="00466F0A"/>
    <w:rsid w:val="004860D3"/>
    <w:rsid w:val="004A3BF4"/>
    <w:rsid w:val="004A5DB3"/>
    <w:rsid w:val="004B703C"/>
    <w:rsid w:val="005152D9"/>
    <w:rsid w:val="00533AD4"/>
    <w:rsid w:val="00534849"/>
    <w:rsid w:val="00560102"/>
    <w:rsid w:val="00562EA1"/>
    <w:rsid w:val="00597EA9"/>
    <w:rsid w:val="00617BB8"/>
    <w:rsid w:val="00680052"/>
    <w:rsid w:val="00683267"/>
    <w:rsid w:val="006844E9"/>
    <w:rsid w:val="006B3847"/>
    <w:rsid w:val="0072697C"/>
    <w:rsid w:val="0075453D"/>
    <w:rsid w:val="007A4CC6"/>
    <w:rsid w:val="007C3623"/>
    <w:rsid w:val="007C5D2A"/>
    <w:rsid w:val="007F1E00"/>
    <w:rsid w:val="0083111E"/>
    <w:rsid w:val="008400E3"/>
    <w:rsid w:val="008470D5"/>
    <w:rsid w:val="00864538"/>
    <w:rsid w:val="00873B4F"/>
    <w:rsid w:val="00896A99"/>
    <w:rsid w:val="008E51AE"/>
    <w:rsid w:val="008F2F8C"/>
    <w:rsid w:val="00975ECA"/>
    <w:rsid w:val="009925C9"/>
    <w:rsid w:val="00995279"/>
    <w:rsid w:val="00A179D0"/>
    <w:rsid w:val="00A358A3"/>
    <w:rsid w:val="00A46747"/>
    <w:rsid w:val="00A80446"/>
    <w:rsid w:val="00A85D26"/>
    <w:rsid w:val="00A9153A"/>
    <w:rsid w:val="00AB4376"/>
    <w:rsid w:val="00AC033C"/>
    <w:rsid w:val="00AD2E36"/>
    <w:rsid w:val="00B1082E"/>
    <w:rsid w:val="00B93E3D"/>
    <w:rsid w:val="00BD3490"/>
    <w:rsid w:val="00C26226"/>
    <w:rsid w:val="00C3571D"/>
    <w:rsid w:val="00C54F0B"/>
    <w:rsid w:val="00C82621"/>
    <w:rsid w:val="00C93868"/>
    <w:rsid w:val="00CB1423"/>
    <w:rsid w:val="00D02508"/>
    <w:rsid w:val="00D54F5E"/>
    <w:rsid w:val="00D778CC"/>
    <w:rsid w:val="00D82FE9"/>
    <w:rsid w:val="00D97B77"/>
    <w:rsid w:val="00DA40BD"/>
    <w:rsid w:val="00DB6A85"/>
    <w:rsid w:val="00E06B32"/>
    <w:rsid w:val="00E1290F"/>
    <w:rsid w:val="00E30453"/>
    <w:rsid w:val="00E36A80"/>
    <w:rsid w:val="00E6462E"/>
    <w:rsid w:val="00EA7E50"/>
    <w:rsid w:val="00EB21D7"/>
    <w:rsid w:val="00EE3EB7"/>
    <w:rsid w:val="00EE465E"/>
    <w:rsid w:val="00F57E16"/>
    <w:rsid w:val="00F60336"/>
    <w:rsid w:val="00FC1682"/>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7EB1A"/>
  <w15:chartTrackingRefBased/>
  <w15:docId w15:val="{2EBEDB41-D2F7-45C6-B993-F4C6E562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6</TotalTime>
  <Pages>15</Pages>
  <Words>4857</Words>
  <Characters>28206</Characters>
  <Application>Microsoft Office Word</Application>
  <DocSecurity>0</DocSecurity>
  <Lines>235</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2022034965, var. 113, opdatering til QRD</dc:description>
  <cp:lastModifiedBy>Gitte Jørgensen</cp:lastModifiedBy>
  <cp:revision>8</cp:revision>
  <cp:lastPrinted>2006-02-24T09:31:00Z</cp:lastPrinted>
  <dcterms:created xsi:type="dcterms:W3CDTF">2022-12-22T12:24:00Z</dcterms:created>
  <dcterms:modified xsi:type="dcterms:W3CDTF">2022-12-22T12:42:00Z</dcterms:modified>
</cp:coreProperties>
</file>