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01D" w:rsidRPr="00C84483" w:rsidRDefault="003C101D" w:rsidP="003C101D">
      <w:pPr>
        <w:rPr>
          <w:b/>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4211A3B4" wp14:editId="39C204F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193C2C" w:rsidRPr="00193C2C" w:rsidRDefault="003C101D" w:rsidP="003C101D">
      <w:pPr>
        <w:pStyle w:val="Titel"/>
        <w:tabs>
          <w:tab w:val="right" w:pos="9356"/>
        </w:tabs>
        <w:jc w:val="left"/>
        <w:rPr>
          <w:szCs w:val="24"/>
        </w:rPr>
      </w:pPr>
      <w:r w:rsidRPr="00C84483">
        <w:rPr>
          <w:b w:val="0"/>
          <w:szCs w:val="24"/>
          <w:lang w:eastAsia="en-US"/>
        </w:rPr>
        <w:tab/>
      </w:r>
      <w:r w:rsidR="00193C2C">
        <w:rPr>
          <w:szCs w:val="24"/>
        </w:rPr>
        <w:t>20. september 2021</w:t>
      </w:r>
    </w:p>
    <w:p w:rsidR="003C101D" w:rsidRDefault="003C101D" w:rsidP="003C101D">
      <w:pPr>
        <w:pStyle w:val="Titel"/>
        <w:jc w:val="left"/>
        <w:rPr>
          <w:b w:val="0"/>
          <w:szCs w:val="24"/>
        </w:rPr>
      </w:pPr>
    </w:p>
    <w:p w:rsidR="0075742B" w:rsidRDefault="0075742B" w:rsidP="003C101D">
      <w:pPr>
        <w:pStyle w:val="Titel"/>
        <w:jc w:val="left"/>
        <w:rPr>
          <w:b w:val="0"/>
          <w:szCs w:val="24"/>
        </w:rPr>
      </w:pPr>
    </w:p>
    <w:p w:rsidR="00193C2C" w:rsidRPr="00C84483" w:rsidRDefault="00193C2C" w:rsidP="003C101D">
      <w:pPr>
        <w:pStyle w:val="Titel"/>
        <w:jc w:val="left"/>
        <w:rPr>
          <w:b w:val="0"/>
          <w:szCs w:val="24"/>
        </w:rPr>
      </w:pPr>
    </w:p>
    <w:p w:rsidR="003C101D" w:rsidRPr="00C84483" w:rsidRDefault="003C101D" w:rsidP="003C101D">
      <w:pPr>
        <w:jc w:val="center"/>
        <w:rPr>
          <w:b/>
          <w:sz w:val="24"/>
          <w:szCs w:val="24"/>
        </w:rPr>
      </w:pPr>
      <w:r w:rsidRPr="00C84483">
        <w:rPr>
          <w:b/>
          <w:sz w:val="24"/>
          <w:szCs w:val="24"/>
        </w:rPr>
        <w:t>PRODUKTRESUMÉ</w:t>
      </w:r>
    </w:p>
    <w:p w:rsidR="003C101D" w:rsidRPr="00C84483" w:rsidRDefault="003C101D" w:rsidP="003C101D">
      <w:pPr>
        <w:jc w:val="center"/>
        <w:rPr>
          <w:b/>
          <w:sz w:val="24"/>
          <w:szCs w:val="24"/>
        </w:rPr>
      </w:pPr>
    </w:p>
    <w:p w:rsidR="003C101D" w:rsidRDefault="003C101D" w:rsidP="003C101D">
      <w:pPr>
        <w:jc w:val="center"/>
        <w:rPr>
          <w:b/>
          <w:sz w:val="24"/>
          <w:szCs w:val="24"/>
        </w:rPr>
      </w:pPr>
      <w:r w:rsidRPr="00C84483">
        <w:rPr>
          <w:b/>
          <w:sz w:val="24"/>
          <w:szCs w:val="24"/>
        </w:rPr>
        <w:t>for</w:t>
      </w:r>
    </w:p>
    <w:p w:rsidR="003C101D" w:rsidRPr="00C84483" w:rsidRDefault="003C101D" w:rsidP="003C101D">
      <w:pPr>
        <w:jc w:val="center"/>
        <w:rPr>
          <w:b/>
          <w:sz w:val="24"/>
          <w:szCs w:val="24"/>
        </w:rPr>
      </w:pPr>
    </w:p>
    <w:p w:rsidR="003C101D" w:rsidRPr="00C84483" w:rsidRDefault="003C101D" w:rsidP="003C101D">
      <w:pPr>
        <w:jc w:val="center"/>
        <w:rPr>
          <w:b/>
          <w:sz w:val="24"/>
          <w:szCs w:val="24"/>
        </w:rPr>
      </w:pPr>
      <w:proofErr w:type="spellStart"/>
      <w:r>
        <w:rPr>
          <w:b/>
          <w:sz w:val="24"/>
          <w:szCs w:val="24"/>
        </w:rPr>
        <w:t>Nulbia</w:t>
      </w:r>
      <w:proofErr w:type="spellEnd"/>
      <w:r>
        <w:rPr>
          <w:b/>
          <w:sz w:val="24"/>
          <w:szCs w:val="24"/>
        </w:rPr>
        <w:t>, creme</w:t>
      </w:r>
    </w:p>
    <w:p w:rsidR="003C101D" w:rsidRPr="00C84483" w:rsidRDefault="003C101D" w:rsidP="003C101D">
      <w:pPr>
        <w:jc w:val="both"/>
        <w:rPr>
          <w:sz w:val="24"/>
          <w:szCs w:val="24"/>
        </w:rPr>
      </w:pPr>
    </w:p>
    <w:p w:rsidR="003C101D" w:rsidRPr="00C84483" w:rsidRDefault="003C101D" w:rsidP="003C101D">
      <w:pPr>
        <w:jc w:val="both"/>
        <w:rPr>
          <w:sz w:val="24"/>
          <w:szCs w:val="24"/>
        </w:rPr>
      </w:pPr>
    </w:p>
    <w:p w:rsidR="003C101D" w:rsidRPr="00C84483" w:rsidRDefault="003C101D" w:rsidP="003C101D">
      <w:pPr>
        <w:tabs>
          <w:tab w:val="left" w:pos="851"/>
        </w:tabs>
        <w:ind w:left="851" w:hanging="851"/>
        <w:rPr>
          <w:b/>
          <w:sz w:val="24"/>
          <w:szCs w:val="24"/>
        </w:rPr>
      </w:pPr>
      <w:r w:rsidRPr="00C84483">
        <w:rPr>
          <w:b/>
          <w:sz w:val="24"/>
          <w:szCs w:val="24"/>
        </w:rPr>
        <w:t>0.</w:t>
      </w:r>
      <w:r w:rsidRPr="00C84483">
        <w:rPr>
          <w:b/>
          <w:sz w:val="24"/>
          <w:szCs w:val="24"/>
        </w:rPr>
        <w:tab/>
        <w:t>D.SP.NR.</w:t>
      </w:r>
    </w:p>
    <w:p w:rsidR="003C101D" w:rsidRPr="00C84483" w:rsidRDefault="003C101D" w:rsidP="003C101D">
      <w:pPr>
        <w:tabs>
          <w:tab w:val="left" w:pos="851"/>
        </w:tabs>
        <w:ind w:left="851"/>
        <w:rPr>
          <w:sz w:val="24"/>
          <w:szCs w:val="24"/>
        </w:rPr>
      </w:pPr>
      <w:r>
        <w:rPr>
          <w:sz w:val="24"/>
          <w:szCs w:val="24"/>
        </w:rPr>
        <w:t>29684</w:t>
      </w:r>
    </w:p>
    <w:p w:rsidR="003C101D" w:rsidRPr="00C84483" w:rsidRDefault="003C101D" w:rsidP="003C101D">
      <w:pPr>
        <w:tabs>
          <w:tab w:val="left" w:pos="851"/>
        </w:tabs>
        <w:ind w:left="851"/>
        <w:rPr>
          <w:sz w:val="24"/>
          <w:szCs w:val="24"/>
        </w:rPr>
      </w:pPr>
    </w:p>
    <w:p w:rsidR="003C101D" w:rsidRPr="00C84483" w:rsidRDefault="003C101D" w:rsidP="003C101D">
      <w:pPr>
        <w:tabs>
          <w:tab w:val="left" w:pos="851"/>
        </w:tabs>
        <w:ind w:left="851" w:hanging="851"/>
        <w:rPr>
          <w:b/>
          <w:sz w:val="24"/>
          <w:szCs w:val="24"/>
        </w:rPr>
      </w:pPr>
      <w:r w:rsidRPr="00C84483">
        <w:rPr>
          <w:b/>
          <w:sz w:val="24"/>
          <w:szCs w:val="24"/>
        </w:rPr>
        <w:t>1.</w:t>
      </w:r>
      <w:r w:rsidRPr="00C84483">
        <w:rPr>
          <w:b/>
          <w:sz w:val="24"/>
          <w:szCs w:val="24"/>
        </w:rPr>
        <w:tab/>
        <w:t>LÆGEMIDLETS NAVN</w:t>
      </w:r>
    </w:p>
    <w:p w:rsidR="003C101D" w:rsidRPr="00C84483" w:rsidRDefault="003C101D" w:rsidP="003C101D">
      <w:pPr>
        <w:tabs>
          <w:tab w:val="left" w:pos="851"/>
        </w:tabs>
        <w:ind w:left="851"/>
        <w:rPr>
          <w:sz w:val="24"/>
          <w:szCs w:val="24"/>
        </w:rPr>
      </w:pPr>
      <w:proofErr w:type="spellStart"/>
      <w:r>
        <w:rPr>
          <w:sz w:val="24"/>
          <w:szCs w:val="24"/>
        </w:rPr>
        <w:t>Nulbia</w:t>
      </w:r>
      <w:proofErr w:type="spellEnd"/>
    </w:p>
    <w:p w:rsidR="003C101D" w:rsidRPr="00C84483" w:rsidRDefault="003C101D" w:rsidP="003C101D">
      <w:pPr>
        <w:tabs>
          <w:tab w:val="left" w:pos="851"/>
        </w:tabs>
        <w:ind w:left="851"/>
        <w:rPr>
          <w:sz w:val="24"/>
          <w:szCs w:val="24"/>
        </w:rPr>
      </w:pPr>
    </w:p>
    <w:p w:rsidR="003C101D" w:rsidRPr="00C84483" w:rsidRDefault="003C101D" w:rsidP="003C101D">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3C101D" w:rsidRPr="004D24F8" w:rsidRDefault="003C101D" w:rsidP="003C101D">
      <w:pPr>
        <w:ind w:left="851"/>
        <w:rPr>
          <w:noProof/>
          <w:sz w:val="24"/>
          <w:szCs w:val="24"/>
        </w:rPr>
      </w:pPr>
      <w:r w:rsidRPr="004D24F8">
        <w:rPr>
          <w:noProof/>
          <w:sz w:val="24"/>
          <w:szCs w:val="24"/>
        </w:rPr>
        <w:t>Et gram creme indeholder 25 mg lidocain og 25 mg prilocain.</w:t>
      </w:r>
    </w:p>
    <w:p w:rsidR="003C101D" w:rsidRPr="004D24F8" w:rsidRDefault="003C101D" w:rsidP="003C101D">
      <w:pPr>
        <w:ind w:left="851"/>
        <w:rPr>
          <w:sz w:val="24"/>
          <w:szCs w:val="24"/>
        </w:rPr>
      </w:pPr>
    </w:p>
    <w:p w:rsidR="003C101D" w:rsidRPr="004D24F8" w:rsidRDefault="003C101D" w:rsidP="003C101D">
      <w:pPr>
        <w:ind w:left="851"/>
        <w:rPr>
          <w:sz w:val="24"/>
          <w:szCs w:val="24"/>
        </w:rPr>
      </w:pPr>
      <w:r w:rsidRPr="004D24F8">
        <w:rPr>
          <w:sz w:val="24"/>
          <w:szCs w:val="24"/>
          <w:u w:val="single"/>
        </w:rPr>
        <w:t>Hjælpestof(fer), som behandleren skal være opmærksom på</w:t>
      </w:r>
      <w:r>
        <w:rPr>
          <w:sz w:val="24"/>
          <w:szCs w:val="24"/>
          <w:u w:val="single"/>
        </w:rPr>
        <w:t>:</w:t>
      </w:r>
    </w:p>
    <w:p w:rsidR="003C101D" w:rsidRPr="004D24F8" w:rsidRDefault="003C101D" w:rsidP="003C101D">
      <w:pPr>
        <w:ind w:left="851"/>
        <w:rPr>
          <w:sz w:val="24"/>
          <w:szCs w:val="24"/>
        </w:rPr>
      </w:pPr>
      <w:r>
        <w:rPr>
          <w:sz w:val="24"/>
          <w:szCs w:val="24"/>
        </w:rPr>
        <w:t xml:space="preserve">Ricinusolie, </w:t>
      </w:r>
      <w:proofErr w:type="spellStart"/>
      <w:r>
        <w:rPr>
          <w:sz w:val="24"/>
          <w:szCs w:val="24"/>
        </w:rPr>
        <w:t>polyoxyleret</w:t>
      </w:r>
      <w:proofErr w:type="spellEnd"/>
      <w:r>
        <w:rPr>
          <w:sz w:val="24"/>
          <w:szCs w:val="24"/>
        </w:rPr>
        <w:t xml:space="preserve">, </w:t>
      </w:r>
      <w:proofErr w:type="spellStart"/>
      <w:r>
        <w:rPr>
          <w:sz w:val="24"/>
          <w:szCs w:val="24"/>
        </w:rPr>
        <w:t>hydrogeneret</w:t>
      </w:r>
      <w:proofErr w:type="spellEnd"/>
      <w:r w:rsidRPr="004D24F8">
        <w:rPr>
          <w:sz w:val="24"/>
          <w:szCs w:val="24"/>
        </w:rPr>
        <w:t xml:space="preserve"> 19 mg pr</w:t>
      </w:r>
      <w:r>
        <w:rPr>
          <w:sz w:val="24"/>
          <w:szCs w:val="24"/>
        </w:rPr>
        <w:t>.</w:t>
      </w:r>
      <w:r w:rsidRPr="004D24F8">
        <w:rPr>
          <w:sz w:val="24"/>
          <w:szCs w:val="24"/>
        </w:rPr>
        <w:t xml:space="preserve"> 1 g creme</w:t>
      </w:r>
      <w:r>
        <w:rPr>
          <w:sz w:val="24"/>
          <w:szCs w:val="24"/>
        </w:rPr>
        <w:t>.</w:t>
      </w:r>
    </w:p>
    <w:p w:rsidR="003C101D" w:rsidRDefault="003C101D" w:rsidP="003C101D">
      <w:pPr>
        <w:ind w:left="851"/>
        <w:rPr>
          <w:sz w:val="24"/>
          <w:szCs w:val="24"/>
        </w:rPr>
      </w:pPr>
    </w:p>
    <w:p w:rsidR="003C101D" w:rsidRPr="004D24F8" w:rsidRDefault="003C101D" w:rsidP="003C101D">
      <w:pPr>
        <w:ind w:left="851"/>
        <w:rPr>
          <w:sz w:val="24"/>
          <w:szCs w:val="24"/>
        </w:rPr>
      </w:pPr>
      <w:r w:rsidRPr="004D24F8">
        <w:rPr>
          <w:sz w:val="24"/>
          <w:szCs w:val="24"/>
        </w:rPr>
        <w:t>Alle hjælpestoffer er anført under pkt. 6.1</w:t>
      </w:r>
    </w:p>
    <w:p w:rsidR="003C101D" w:rsidRPr="00C84483" w:rsidRDefault="003C101D" w:rsidP="003C101D">
      <w:pPr>
        <w:tabs>
          <w:tab w:val="left" w:pos="851"/>
        </w:tabs>
        <w:ind w:left="851"/>
        <w:rPr>
          <w:sz w:val="24"/>
          <w:szCs w:val="24"/>
        </w:rPr>
      </w:pPr>
    </w:p>
    <w:p w:rsidR="003C101D" w:rsidRPr="00C84483" w:rsidRDefault="003C101D" w:rsidP="003C101D">
      <w:pPr>
        <w:tabs>
          <w:tab w:val="left" w:pos="851"/>
        </w:tabs>
        <w:ind w:left="851" w:hanging="851"/>
        <w:rPr>
          <w:b/>
          <w:sz w:val="24"/>
          <w:szCs w:val="24"/>
        </w:rPr>
      </w:pPr>
      <w:r w:rsidRPr="00C84483">
        <w:rPr>
          <w:b/>
          <w:sz w:val="24"/>
          <w:szCs w:val="24"/>
        </w:rPr>
        <w:t>3.</w:t>
      </w:r>
      <w:r w:rsidRPr="00C84483">
        <w:rPr>
          <w:b/>
          <w:sz w:val="24"/>
          <w:szCs w:val="24"/>
        </w:rPr>
        <w:tab/>
        <w:t>LÆGEMIDDELFORM</w:t>
      </w:r>
    </w:p>
    <w:p w:rsidR="003C101D" w:rsidRPr="004D24F8" w:rsidRDefault="003C101D" w:rsidP="003C101D">
      <w:pPr>
        <w:ind w:left="851"/>
        <w:rPr>
          <w:sz w:val="24"/>
          <w:szCs w:val="24"/>
        </w:rPr>
      </w:pPr>
      <w:r w:rsidRPr="004D24F8">
        <w:rPr>
          <w:sz w:val="24"/>
          <w:szCs w:val="24"/>
        </w:rPr>
        <w:t>Creme</w:t>
      </w:r>
    </w:p>
    <w:p w:rsidR="003C101D" w:rsidRDefault="003C101D" w:rsidP="003C101D">
      <w:pPr>
        <w:ind w:left="851"/>
        <w:rPr>
          <w:rFonts w:eastAsia="Calibri"/>
          <w:bCs/>
          <w:sz w:val="24"/>
          <w:szCs w:val="24"/>
        </w:rPr>
      </w:pPr>
    </w:p>
    <w:p w:rsidR="003C101D" w:rsidRPr="004D24F8" w:rsidRDefault="003C101D" w:rsidP="003C101D">
      <w:pPr>
        <w:ind w:left="851"/>
        <w:rPr>
          <w:rFonts w:eastAsia="Calibri"/>
          <w:bCs/>
          <w:sz w:val="24"/>
          <w:szCs w:val="24"/>
        </w:rPr>
      </w:pPr>
      <w:proofErr w:type="spellStart"/>
      <w:r w:rsidRPr="004D24F8">
        <w:rPr>
          <w:rFonts w:eastAsia="Calibri"/>
          <w:bCs/>
          <w:sz w:val="24"/>
          <w:szCs w:val="24"/>
        </w:rPr>
        <w:t>Nulbia</w:t>
      </w:r>
      <w:proofErr w:type="spellEnd"/>
      <w:r w:rsidRPr="004D24F8">
        <w:rPr>
          <w:rFonts w:eastAsia="Calibri"/>
          <w:bCs/>
          <w:sz w:val="24"/>
          <w:szCs w:val="24"/>
        </w:rPr>
        <w:t xml:space="preserve"> er en hvid, blød creme.</w:t>
      </w:r>
    </w:p>
    <w:p w:rsidR="003C101D" w:rsidRPr="00C84483" w:rsidRDefault="003C101D" w:rsidP="003C101D">
      <w:pPr>
        <w:tabs>
          <w:tab w:val="left" w:pos="851"/>
        </w:tabs>
        <w:ind w:left="851"/>
        <w:rPr>
          <w:sz w:val="24"/>
          <w:szCs w:val="24"/>
        </w:rPr>
      </w:pPr>
    </w:p>
    <w:p w:rsidR="003C101D" w:rsidRPr="00C84483" w:rsidRDefault="003C101D" w:rsidP="003C101D">
      <w:pPr>
        <w:tabs>
          <w:tab w:val="left" w:pos="851"/>
        </w:tabs>
        <w:ind w:left="851"/>
        <w:rPr>
          <w:sz w:val="24"/>
          <w:szCs w:val="24"/>
        </w:rPr>
      </w:pPr>
    </w:p>
    <w:p w:rsidR="003C101D" w:rsidRPr="00C84483" w:rsidRDefault="003C101D" w:rsidP="003C101D">
      <w:pPr>
        <w:tabs>
          <w:tab w:val="left" w:pos="851"/>
        </w:tabs>
        <w:ind w:left="851" w:hanging="851"/>
        <w:rPr>
          <w:b/>
          <w:sz w:val="24"/>
          <w:szCs w:val="24"/>
        </w:rPr>
      </w:pPr>
      <w:r w:rsidRPr="00C84483">
        <w:rPr>
          <w:b/>
          <w:sz w:val="24"/>
          <w:szCs w:val="24"/>
        </w:rPr>
        <w:t>4.</w:t>
      </w:r>
      <w:r w:rsidRPr="00C84483">
        <w:rPr>
          <w:b/>
          <w:sz w:val="24"/>
          <w:szCs w:val="24"/>
        </w:rPr>
        <w:tab/>
        <w:t>KLINISKE OPLYSNINGER</w:t>
      </w:r>
    </w:p>
    <w:p w:rsidR="003C101D" w:rsidRPr="00C84483" w:rsidRDefault="003C101D" w:rsidP="003C101D">
      <w:pPr>
        <w:tabs>
          <w:tab w:val="left" w:pos="851"/>
        </w:tabs>
        <w:ind w:left="851"/>
        <w:rPr>
          <w:b/>
          <w:sz w:val="24"/>
          <w:szCs w:val="24"/>
        </w:rPr>
      </w:pPr>
    </w:p>
    <w:p w:rsidR="003C101D" w:rsidRPr="00C84483" w:rsidRDefault="003C101D" w:rsidP="003C101D">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3C101D" w:rsidRPr="00610250" w:rsidRDefault="003C101D" w:rsidP="003C101D">
      <w:pPr>
        <w:ind w:left="851"/>
        <w:rPr>
          <w:rFonts w:eastAsiaTheme="minorEastAsia"/>
          <w:sz w:val="24"/>
          <w:szCs w:val="24"/>
        </w:rPr>
      </w:pPr>
      <w:proofErr w:type="spellStart"/>
      <w:r>
        <w:rPr>
          <w:rFonts w:eastAsiaTheme="minorEastAsia"/>
          <w:sz w:val="24"/>
          <w:szCs w:val="24"/>
        </w:rPr>
        <w:t>Nulbia</w:t>
      </w:r>
      <w:proofErr w:type="spellEnd"/>
      <w:r w:rsidRPr="00610250">
        <w:rPr>
          <w:rFonts w:eastAsiaTheme="minorEastAsia"/>
          <w:sz w:val="24"/>
          <w:szCs w:val="24"/>
        </w:rPr>
        <w:t xml:space="preserve"> er indiceret til:</w:t>
      </w:r>
    </w:p>
    <w:p w:rsidR="003C101D" w:rsidRPr="00610250" w:rsidRDefault="003C101D" w:rsidP="003C101D">
      <w:pPr>
        <w:numPr>
          <w:ilvl w:val="0"/>
          <w:numId w:val="6"/>
        </w:numPr>
        <w:ind w:left="1134" w:hanging="283"/>
        <w:contextualSpacing/>
        <w:rPr>
          <w:rFonts w:eastAsiaTheme="minorEastAsia"/>
          <w:sz w:val="24"/>
          <w:szCs w:val="24"/>
        </w:rPr>
      </w:pPr>
      <w:r w:rsidRPr="00610250">
        <w:rPr>
          <w:rFonts w:eastAsiaTheme="minorEastAsia"/>
          <w:sz w:val="24"/>
          <w:szCs w:val="24"/>
        </w:rPr>
        <w:t>Overfladeanæstesi af huden i forbindelse med:</w:t>
      </w:r>
    </w:p>
    <w:p w:rsidR="003C101D" w:rsidRPr="005A0D35" w:rsidRDefault="003C101D" w:rsidP="003C101D">
      <w:pPr>
        <w:pStyle w:val="Listeafsnit"/>
        <w:numPr>
          <w:ilvl w:val="0"/>
          <w:numId w:val="8"/>
        </w:numPr>
        <w:spacing w:after="0" w:line="240" w:lineRule="auto"/>
        <w:ind w:left="1560" w:hanging="284"/>
        <w:rPr>
          <w:rFonts w:ascii="Times New Roman" w:hAnsi="Times New Roman"/>
          <w:sz w:val="24"/>
          <w:szCs w:val="24"/>
          <w:lang w:val="da-DK"/>
        </w:rPr>
      </w:pPr>
      <w:r w:rsidRPr="005A0D35">
        <w:rPr>
          <w:rFonts w:ascii="Times New Roman" w:hAnsi="Times New Roman"/>
          <w:sz w:val="24"/>
          <w:szCs w:val="24"/>
          <w:lang w:val="da-DK"/>
        </w:rPr>
        <w:t xml:space="preserve">indstik af kanyler, f.eks. venekatetre eller blodprøvetagning, </w:t>
      </w:r>
    </w:p>
    <w:p w:rsidR="003C101D" w:rsidRPr="001D6C64" w:rsidRDefault="003C101D" w:rsidP="003C101D">
      <w:pPr>
        <w:pStyle w:val="Listeafsnit"/>
        <w:numPr>
          <w:ilvl w:val="0"/>
          <w:numId w:val="8"/>
        </w:numPr>
        <w:spacing w:after="0" w:line="240" w:lineRule="auto"/>
        <w:ind w:left="1560" w:hanging="284"/>
        <w:rPr>
          <w:rFonts w:ascii="Times New Roman" w:hAnsi="Times New Roman"/>
          <w:sz w:val="24"/>
          <w:szCs w:val="24"/>
        </w:rPr>
      </w:pPr>
      <w:proofErr w:type="spellStart"/>
      <w:r w:rsidRPr="001D6C64">
        <w:rPr>
          <w:rFonts w:ascii="Times New Roman" w:hAnsi="Times New Roman"/>
          <w:sz w:val="24"/>
          <w:szCs w:val="24"/>
        </w:rPr>
        <w:t>overfladekirurgi</w:t>
      </w:r>
      <w:proofErr w:type="spellEnd"/>
      <w:r w:rsidRPr="001D6C64">
        <w:rPr>
          <w:rFonts w:ascii="Times New Roman" w:hAnsi="Times New Roman"/>
          <w:sz w:val="24"/>
          <w:szCs w:val="24"/>
        </w:rPr>
        <w:t xml:space="preserve">, </w:t>
      </w:r>
    </w:p>
    <w:p w:rsidR="003C101D" w:rsidRPr="00610250" w:rsidRDefault="003C101D" w:rsidP="003C101D">
      <w:pPr>
        <w:ind w:left="1134"/>
        <w:rPr>
          <w:rFonts w:eastAsiaTheme="minorEastAsia"/>
          <w:sz w:val="24"/>
          <w:szCs w:val="24"/>
        </w:rPr>
      </w:pPr>
      <w:r w:rsidRPr="00610250">
        <w:rPr>
          <w:rFonts w:eastAsiaTheme="minorEastAsia"/>
          <w:sz w:val="24"/>
          <w:szCs w:val="24"/>
        </w:rPr>
        <w:t xml:space="preserve">hos </w:t>
      </w:r>
      <w:r>
        <w:rPr>
          <w:rFonts w:eastAsiaTheme="minorEastAsia"/>
          <w:sz w:val="24"/>
          <w:szCs w:val="24"/>
        </w:rPr>
        <w:t xml:space="preserve">den </w:t>
      </w:r>
      <w:r w:rsidRPr="00610250">
        <w:rPr>
          <w:rFonts w:eastAsiaTheme="minorEastAsia"/>
          <w:sz w:val="24"/>
          <w:szCs w:val="24"/>
        </w:rPr>
        <w:t>voksne og den pædiatriske population.</w:t>
      </w:r>
    </w:p>
    <w:p w:rsidR="003C101D" w:rsidRPr="00610250" w:rsidRDefault="003C101D" w:rsidP="003C101D">
      <w:pPr>
        <w:numPr>
          <w:ilvl w:val="0"/>
          <w:numId w:val="7"/>
        </w:numPr>
        <w:ind w:left="1134" w:hanging="283"/>
        <w:contextualSpacing/>
        <w:rPr>
          <w:rFonts w:eastAsiaTheme="minorEastAsia"/>
          <w:sz w:val="24"/>
          <w:szCs w:val="24"/>
        </w:rPr>
      </w:pPr>
      <w:r w:rsidRPr="00610250">
        <w:rPr>
          <w:rFonts w:eastAsiaTheme="minorEastAsia"/>
          <w:sz w:val="24"/>
          <w:szCs w:val="24"/>
        </w:rPr>
        <w:t>Overfladeanæstesi af genitalslimhinder, f.eks. før overfladiske kirurgiske indgreb eller infiltrationsanæstesi hos voksne og unge ≥ 12 år.</w:t>
      </w:r>
    </w:p>
    <w:p w:rsidR="003C101D" w:rsidRPr="007E7F86" w:rsidRDefault="003C101D" w:rsidP="003C101D">
      <w:pPr>
        <w:numPr>
          <w:ilvl w:val="0"/>
          <w:numId w:val="7"/>
        </w:numPr>
        <w:ind w:left="1134" w:hanging="283"/>
        <w:contextualSpacing/>
        <w:rPr>
          <w:rFonts w:eastAsiaTheme="minorEastAsia"/>
          <w:sz w:val="24"/>
          <w:szCs w:val="24"/>
        </w:rPr>
      </w:pPr>
      <w:r w:rsidRPr="00610250">
        <w:rPr>
          <w:rFonts w:eastAsiaTheme="minorEastAsia"/>
          <w:sz w:val="24"/>
          <w:szCs w:val="24"/>
        </w:rPr>
        <w:t xml:space="preserve">Overfladeanæstesi af </w:t>
      </w:r>
      <w:proofErr w:type="spellStart"/>
      <w:r w:rsidRPr="00610250">
        <w:rPr>
          <w:rFonts w:eastAsiaTheme="minorEastAsia"/>
          <w:sz w:val="24"/>
          <w:szCs w:val="24"/>
        </w:rPr>
        <w:t>bensår</w:t>
      </w:r>
      <w:proofErr w:type="spellEnd"/>
      <w:r w:rsidRPr="00610250">
        <w:rPr>
          <w:rFonts w:eastAsiaTheme="minorEastAsia"/>
          <w:sz w:val="24"/>
          <w:szCs w:val="24"/>
        </w:rPr>
        <w:t xml:space="preserve"> for at lette mekanisk rensning/</w:t>
      </w:r>
      <w:proofErr w:type="spellStart"/>
      <w:r w:rsidRPr="00610250">
        <w:rPr>
          <w:rFonts w:eastAsiaTheme="minorEastAsia"/>
          <w:sz w:val="24"/>
          <w:szCs w:val="24"/>
        </w:rPr>
        <w:t>debridering</w:t>
      </w:r>
      <w:proofErr w:type="spellEnd"/>
      <w:r w:rsidRPr="00610250">
        <w:rPr>
          <w:rFonts w:eastAsiaTheme="minorEastAsia"/>
          <w:sz w:val="24"/>
          <w:szCs w:val="24"/>
        </w:rPr>
        <w:t>, kun hos voksne.</w:t>
      </w:r>
    </w:p>
    <w:p w:rsidR="003C101D" w:rsidRDefault="003C101D" w:rsidP="003C101D">
      <w:pPr>
        <w:rPr>
          <w:sz w:val="24"/>
          <w:szCs w:val="24"/>
        </w:rPr>
      </w:pPr>
      <w:r>
        <w:rPr>
          <w:sz w:val="24"/>
          <w:szCs w:val="24"/>
        </w:rPr>
        <w:br w:type="page"/>
      </w:r>
    </w:p>
    <w:p w:rsidR="003C101D" w:rsidRPr="00C84483" w:rsidRDefault="003C101D" w:rsidP="003C101D">
      <w:pPr>
        <w:tabs>
          <w:tab w:val="left" w:pos="851"/>
        </w:tabs>
        <w:ind w:left="851"/>
        <w:rPr>
          <w:sz w:val="24"/>
          <w:szCs w:val="24"/>
        </w:rPr>
      </w:pPr>
    </w:p>
    <w:p w:rsidR="003C101D" w:rsidRPr="00C84483" w:rsidRDefault="003C101D" w:rsidP="003C101D">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3C101D" w:rsidRPr="00BD2406" w:rsidRDefault="003C101D" w:rsidP="003C101D">
      <w:pPr>
        <w:ind w:left="851"/>
        <w:rPr>
          <w:sz w:val="24"/>
          <w:szCs w:val="24"/>
        </w:rPr>
      </w:pPr>
      <w:r w:rsidRPr="00BD2406">
        <w:rPr>
          <w:sz w:val="24"/>
          <w:szCs w:val="24"/>
        </w:rPr>
        <w:t xml:space="preserve">Administration af </w:t>
      </w:r>
      <w:proofErr w:type="spellStart"/>
      <w:r w:rsidRPr="00BD2406">
        <w:rPr>
          <w:sz w:val="24"/>
          <w:szCs w:val="24"/>
        </w:rPr>
        <w:t>Nulbia</w:t>
      </w:r>
      <w:proofErr w:type="spellEnd"/>
      <w:r w:rsidRPr="00BD2406">
        <w:rPr>
          <w:sz w:val="24"/>
          <w:szCs w:val="24"/>
        </w:rPr>
        <w:t xml:space="preserve"> på genitalslimhinder, genital hud eller </w:t>
      </w:r>
      <w:proofErr w:type="spellStart"/>
      <w:r w:rsidRPr="00BD2406">
        <w:rPr>
          <w:sz w:val="24"/>
          <w:szCs w:val="24"/>
        </w:rPr>
        <w:t>bensår</w:t>
      </w:r>
      <w:proofErr w:type="spellEnd"/>
      <w:r w:rsidRPr="00BD2406">
        <w:rPr>
          <w:sz w:val="24"/>
          <w:szCs w:val="24"/>
        </w:rPr>
        <w:t xml:space="preserve"> bør kun udføres af sundhedspersonale.</w:t>
      </w:r>
    </w:p>
    <w:p w:rsidR="003C101D" w:rsidRDefault="003C101D" w:rsidP="003C101D">
      <w:pPr>
        <w:ind w:left="851"/>
        <w:rPr>
          <w:bCs/>
          <w:sz w:val="24"/>
          <w:szCs w:val="24"/>
          <w:u w:val="single"/>
        </w:rPr>
      </w:pPr>
    </w:p>
    <w:p w:rsidR="003C101D" w:rsidRPr="000C59B1" w:rsidRDefault="003C101D" w:rsidP="003C101D">
      <w:pPr>
        <w:ind w:left="851"/>
        <w:rPr>
          <w:b/>
          <w:sz w:val="24"/>
          <w:szCs w:val="24"/>
        </w:rPr>
      </w:pPr>
      <w:r w:rsidRPr="000C59B1">
        <w:rPr>
          <w:b/>
          <w:bCs/>
          <w:sz w:val="24"/>
          <w:szCs w:val="24"/>
        </w:rPr>
        <w:t>Dosering</w:t>
      </w:r>
    </w:p>
    <w:p w:rsidR="003C101D" w:rsidRDefault="003C101D" w:rsidP="003C101D">
      <w:pPr>
        <w:ind w:left="851"/>
        <w:rPr>
          <w:iCs/>
          <w:sz w:val="24"/>
          <w:szCs w:val="24"/>
          <w:u w:val="single"/>
        </w:rPr>
      </w:pPr>
    </w:p>
    <w:p w:rsidR="003C101D" w:rsidRPr="000C59B1" w:rsidRDefault="003C101D" w:rsidP="003C101D">
      <w:pPr>
        <w:ind w:left="851"/>
        <w:rPr>
          <w:sz w:val="24"/>
          <w:szCs w:val="24"/>
          <w:u w:val="single"/>
        </w:rPr>
      </w:pPr>
      <w:r w:rsidRPr="000C59B1">
        <w:rPr>
          <w:iCs/>
          <w:sz w:val="24"/>
          <w:szCs w:val="24"/>
          <w:u w:val="single"/>
        </w:rPr>
        <w:t>Voksne og unge</w:t>
      </w:r>
    </w:p>
    <w:p w:rsidR="003C101D" w:rsidRDefault="003C101D" w:rsidP="003C101D">
      <w:pPr>
        <w:ind w:left="851"/>
        <w:rPr>
          <w:sz w:val="24"/>
          <w:szCs w:val="24"/>
        </w:rPr>
      </w:pPr>
      <w:r>
        <w:rPr>
          <w:sz w:val="24"/>
          <w:szCs w:val="24"/>
        </w:rPr>
        <w:t>Detaljerne vedrørende dosering og applikationstid for de enkelte indikationer eller procedurer er anført i tabel 1 og 2.</w:t>
      </w:r>
    </w:p>
    <w:p w:rsidR="003C101D" w:rsidRPr="000C472F" w:rsidRDefault="003C101D" w:rsidP="003C101D">
      <w:pPr>
        <w:ind w:left="851"/>
        <w:rPr>
          <w:i/>
          <w:iCs/>
          <w:sz w:val="24"/>
          <w:szCs w:val="24"/>
        </w:rPr>
      </w:pPr>
      <w:r>
        <w:rPr>
          <w:sz w:val="24"/>
          <w:szCs w:val="24"/>
        </w:rPr>
        <w:t xml:space="preserve">For yderligere information om den korrekte anvendelse af lægemidlet ved sådanne procedurer, se under </w:t>
      </w:r>
      <w:r w:rsidRPr="00756B16">
        <w:rPr>
          <w:b/>
          <w:iCs/>
          <w:sz w:val="24"/>
          <w:szCs w:val="24"/>
        </w:rPr>
        <w:t>Administration</w:t>
      </w:r>
      <w:r>
        <w:rPr>
          <w:i/>
          <w:iCs/>
          <w:sz w:val="24"/>
          <w:szCs w:val="24"/>
        </w:rPr>
        <w:t>.</w:t>
      </w:r>
    </w:p>
    <w:p w:rsidR="003C101D" w:rsidRDefault="003C101D" w:rsidP="003C101D">
      <w:pPr>
        <w:ind w:left="851"/>
        <w:rPr>
          <w:sz w:val="24"/>
          <w:szCs w:val="24"/>
        </w:rPr>
      </w:pPr>
    </w:p>
    <w:p w:rsidR="003C101D" w:rsidRDefault="003C101D" w:rsidP="003C101D">
      <w:pPr>
        <w:tabs>
          <w:tab w:val="left" w:pos="1985"/>
        </w:tabs>
        <w:ind w:left="851"/>
        <w:rPr>
          <w:sz w:val="24"/>
          <w:szCs w:val="24"/>
        </w:rPr>
      </w:pPr>
      <w:r>
        <w:rPr>
          <w:sz w:val="24"/>
          <w:szCs w:val="24"/>
        </w:rPr>
        <w:t>Tabel 1.</w:t>
      </w:r>
      <w:r>
        <w:rPr>
          <w:sz w:val="24"/>
          <w:szCs w:val="24"/>
        </w:rPr>
        <w:tab/>
        <w:t>Voksne og unge i alderen 12 år og derover</w:t>
      </w:r>
    </w:p>
    <w:tbl>
      <w:tblPr>
        <w:tblStyle w:val="Tabel-Gitter"/>
        <w:tblW w:w="8522" w:type="dxa"/>
        <w:tblInd w:w="846" w:type="dxa"/>
        <w:tblLook w:val="04A0" w:firstRow="1" w:lastRow="0" w:firstColumn="1" w:lastColumn="0" w:noHBand="0" w:noVBand="1"/>
      </w:tblPr>
      <w:tblGrid>
        <w:gridCol w:w="4261"/>
        <w:gridCol w:w="4261"/>
      </w:tblGrid>
      <w:tr w:rsidR="003C101D" w:rsidTr="003B4BCE">
        <w:tc>
          <w:tcPr>
            <w:tcW w:w="426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101D" w:rsidRDefault="003C101D" w:rsidP="003B4BCE">
            <w:pPr>
              <w:rPr>
                <w:rFonts w:ascii="Times New Roman" w:hAnsi="Times New Roman" w:cs="Times New Roman"/>
                <w:b/>
                <w:sz w:val="24"/>
                <w:szCs w:val="24"/>
              </w:rPr>
            </w:pPr>
            <w:r>
              <w:rPr>
                <w:rFonts w:ascii="Times New Roman" w:hAnsi="Times New Roman" w:cs="Times New Roman"/>
                <w:b/>
                <w:bCs/>
                <w:sz w:val="24"/>
                <w:szCs w:val="24"/>
                <w:lang w:val="da-DK"/>
              </w:rPr>
              <w:t>Indikation/procedure</w:t>
            </w:r>
          </w:p>
        </w:tc>
        <w:tc>
          <w:tcPr>
            <w:tcW w:w="426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101D" w:rsidRDefault="003C101D" w:rsidP="003B4BCE">
            <w:pPr>
              <w:ind w:left="25"/>
              <w:rPr>
                <w:rFonts w:ascii="Times New Roman" w:hAnsi="Times New Roman" w:cs="Times New Roman"/>
                <w:b/>
                <w:sz w:val="24"/>
                <w:szCs w:val="24"/>
              </w:rPr>
            </w:pPr>
            <w:r>
              <w:rPr>
                <w:rFonts w:ascii="Times New Roman" w:hAnsi="Times New Roman" w:cs="Times New Roman"/>
                <w:b/>
                <w:bCs/>
                <w:sz w:val="24"/>
                <w:szCs w:val="24"/>
                <w:lang w:val="da-DK"/>
              </w:rPr>
              <w:t>Dosering og applikationstid</w:t>
            </w:r>
          </w:p>
        </w:tc>
      </w:tr>
      <w:tr w:rsidR="003C101D" w:rsidTr="003B4BCE">
        <w:tc>
          <w:tcPr>
            <w:tcW w:w="426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101D" w:rsidRDefault="003C101D" w:rsidP="003B4BCE">
            <w:pPr>
              <w:rPr>
                <w:rFonts w:ascii="Times New Roman" w:hAnsi="Times New Roman" w:cs="Times New Roman"/>
                <w:b/>
                <w:sz w:val="24"/>
                <w:szCs w:val="24"/>
              </w:rPr>
            </w:pPr>
            <w:r>
              <w:rPr>
                <w:rFonts w:ascii="Times New Roman" w:hAnsi="Times New Roman" w:cs="Times New Roman"/>
                <w:b/>
                <w:bCs/>
                <w:sz w:val="24"/>
                <w:szCs w:val="24"/>
                <w:lang w:val="da-DK"/>
              </w:rPr>
              <w:t>Hud</w:t>
            </w:r>
          </w:p>
        </w:tc>
        <w:tc>
          <w:tcPr>
            <w:tcW w:w="4261" w:type="dxa"/>
            <w:tcBorders>
              <w:top w:val="single" w:sz="4" w:space="0" w:color="auto"/>
              <w:left w:val="single" w:sz="4" w:space="0" w:color="auto"/>
              <w:bottom w:val="single" w:sz="4" w:space="0" w:color="auto"/>
              <w:right w:val="single" w:sz="4" w:space="0" w:color="auto"/>
            </w:tcBorders>
          </w:tcPr>
          <w:p w:rsidR="003C101D" w:rsidRDefault="003C101D" w:rsidP="003B4BCE">
            <w:pPr>
              <w:ind w:left="25"/>
              <w:rPr>
                <w:rFonts w:ascii="Times New Roman" w:hAnsi="Times New Roman" w:cs="Times New Roman"/>
                <w:sz w:val="24"/>
                <w:szCs w:val="24"/>
              </w:rPr>
            </w:pPr>
          </w:p>
        </w:tc>
      </w:tr>
      <w:tr w:rsidR="003C101D" w:rsidTr="003B4BCE">
        <w:tc>
          <w:tcPr>
            <w:tcW w:w="4261" w:type="dxa"/>
            <w:tcBorders>
              <w:top w:val="single" w:sz="4" w:space="0" w:color="auto"/>
              <w:left w:val="single" w:sz="4" w:space="0" w:color="auto"/>
              <w:bottom w:val="single" w:sz="4" w:space="0" w:color="auto"/>
              <w:right w:val="single" w:sz="4" w:space="0" w:color="auto"/>
            </w:tcBorders>
            <w:hideMark/>
          </w:tcPr>
          <w:p w:rsidR="003C101D" w:rsidRDefault="003C101D" w:rsidP="003B4BCE">
            <w:pPr>
              <w:rPr>
                <w:rFonts w:ascii="Times New Roman" w:hAnsi="Times New Roman" w:cs="Times New Roman"/>
                <w:sz w:val="24"/>
                <w:szCs w:val="24"/>
                <w:lang w:val="da-DK"/>
              </w:rPr>
            </w:pPr>
            <w:r>
              <w:rPr>
                <w:rFonts w:ascii="Times New Roman" w:hAnsi="Times New Roman" w:cs="Times New Roman"/>
                <w:sz w:val="24"/>
                <w:szCs w:val="24"/>
                <w:lang w:val="da-DK"/>
              </w:rPr>
              <w:t>Mindre indgreb, f.eks. indstik af kanyler og kirurgisk behandling af afgrænsede læsioner.</w:t>
            </w:r>
          </w:p>
        </w:tc>
        <w:tc>
          <w:tcPr>
            <w:tcW w:w="4261" w:type="dxa"/>
            <w:tcBorders>
              <w:top w:val="single" w:sz="4" w:space="0" w:color="auto"/>
              <w:left w:val="single" w:sz="4" w:space="0" w:color="auto"/>
              <w:bottom w:val="single" w:sz="4" w:space="0" w:color="auto"/>
              <w:right w:val="single" w:sz="4" w:space="0" w:color="auto"/>
            </w:tcBorders>
            <w:hideMark/>
          </w:tcPr>
          <w:p w:rsidR="003C101D" w:rsidRDefault="003C101D" w:rsidP="003B4BCE">
            <w:pPr>
              <w:ind w:left="25"/>
              <w:rPr>
                <w:rFonts w:ascii="Times New Roman" w:hAnsi="Times New Roman" w:cs="Times New Roman"/>
                <w:sz w:val="24"/>
                <w:szCs w:val="24"/>
                <w:lang w:val="da-DK"/>
              </w:rPr>
            </w:pPr>
            <w:r>
              <w:rPr>
                <w:rFonts w:ascii="Times New Roman" w:hAnsi="Times New Roman" w:cs="Times New Roman"/>
                <w:sz w:val="24"/>
                <w:szCs w:val="24"/>
                <w:lang w:val="da-DK"/>
              </w:rPr>
              <w:t>2 g (cirka halvdelen af en tube med 5 g) eller cirka 1,5 g/10 cm</w:t>
            </w:r>
            <w:r>
              <w:rPr>
                <w:rFonts w:ascii="Times New Roman" w:hAnsi="Times New Roman" w:cs="Times New Roman"/>
                <w:sz w:val="24"/>
                <w:szCs w:val="24"/>
                <w:vertAlign w:val="superscript"/>
                <w:lang w:val="da-DK"/>
              </w:rPr>
              <w:t>2</w:t>
            </w:r>
            <w:r>
              <w:rPr>
                <w:rFonts w:ascii="Times New Roman" w:hAnsi="Times New Roman" w:cs="Times New Roman"/>
                <w:sz w:val="24"/>
                <w:szCs w:val="24"/>
                <w:lang w:val="da-DK"/>
              </w:rPr>
              <w:t xml:space="preserve"> i 1 til 5 timer</w:t>
            </w:r>
            <w:r>
              <w:rPr>
                <w:rFonts w:ascii="Times New Roman" w:hAnsi="Times New Roman" w:cs="Times New Roman"/>
                <w:sz w:val="24"/>
                <w:szCs w:val="24"/>
                <w:vertAlign w:val="superscript"/>
                <w:lang w:val="da-DK"/>
              </w:rPr>
              <w:t>1)</w:t>
            </w:r>
          </w:p>
        </w:tc>
      </w:tr>
      <w:tr w:rsidR="003C101D" w:rsidTr="003B4BCE">
        <w:tc>
          <w:tcPr>
            <w:tcW w:w="4261" w:type="dxa"/>
            <w:tcBorders>
              <w:top w:val="single" w:sz="4" w:space="0" w:color="auto"/>
              <w:left w:val="single" w:sz="4" w:space="0" w:color="auto"/>
              <w:bottom w:val="single" w:sz="4" w:space="0" w:color="auto"/>
              <w:right w:val="single" w:sz="4" w:space="0" w:color="auto"/>
            </w:tcBorders>
            <w:hideMark/>
          </w:tcPr>
          <w:p w:rsidR="003C101D" w:rsidRDefault="003C101D" w:rsidP="003B4BCE">
            <w:pPr>
              <w:rPr>
                <w:rFonts w:ascii="Times New Roman" w:hAnsi="Times New Roman" w:cs="Times New Roman"/>
                <w:sz w:val="24"/>
                <w:szCs w:val="24"/>
                <w:lang w:val="da-DK"/>
              </w:rPr>
            </w:pPr>
            <w:proofErr w:type="spellStart"/>
            <w:r>
              <w:rPr>
                <w:rFonts w:ascii="Times New Roman" w:hAnsi="Times New Roman" w:cs="Times New Roman"/>
                <w:sz w:val="24"/>
                <w:szCs w:val="24"/>
                <w:lang w:val="da-DK"/>
              </w:rPr>
              <w:t>Dermale</w:t>
            </w:r>
            <w:proofErr w:type="spellEnd"/>
            <w:r>
              <w:rPr>
                <w:rFonts w:ascii="Times New Roman" w:hAnsi="Times New Roman" w:cs="Times New Roman"/>
                <w:sz w:val="24"/>
                <w:szCs w:val="24"/>
                <w:lang w:val="da-DK"/>
              </w:rPr>
              <w:t xml:space="preserve"> procedurer på store kropsarealer med nybarberet hud, f.eks. hårfjernelse med laser (selvanvendelse af patient)</w:t>
            </w:r>
          </w:p>
        </w:tc>
        <w:tc>
          <w:tcPr>
            <w:tcW w:w="4261" w:type="dxa"/>
            <w:tcBorders>
              <w:top w:val="single" w:sz="4" w:space="0" w:color="auto"/>
              <w:left w:val="single" w:sz="4" w:space="0" w:color="auto"/>
              <w:bottom w:val="single" w:sz="4" w:space="0" w:color="auto"/>
              <w:right w:val="single" w:sz="4" w:space="0" w:color="auto"/>
            </w:tcBorders>
            <w:hideMark/>
          </w:tcPr>
          <w:p w:rsidR="003C101D" w:rsidRDefault="003C101D" w:rsidP="003B4BCE">
            <w:pPr>
              <w:ind w:left="25"/>
              <w:rPr>
                <w:rFonts w:ascii="Times New Roman" w:hAnsi="Times New Roman" w:cs="Times New Roman"/>
                <w:sz w:val="24"/>
                <w:szCs w:val="24"/>
                <w:lang w:val="da-DK"/>
              </w:rPr>
            </w:pPr>
            <w:r>
              <w:rPr>
                <w:rFonts w:ascii="Times New Roman" w:hAnsi="Times New Roman" w:cs="Times New Roman"/>
                <w:sz w:val="24"/>
                <w:szCs w:val="24"/>
                <w:lang w:val="da-DK"/>
              </w:rPr>
              <w:t xml:space="preserve">Maksimalt anbefalet dosis: 60 g. </w:t>
            </w:r>
          </w:p>
          <w:p w:rsidR="003C101D" w:rsidRDefault="003C101D" w:rsidP="003B4BCE">
            <w:pPr>
              <w:ind w:left="25"/>
              <w:rPr>
                <w:rFonts w:ascii="Times New Roman" w:hAnsi="Times New Roman" w:cs="Times New Roman"/>
                <w:sz w:val="24"/>
                <w:szCs w:val="24"/>
                <w:lang w:val="da-DK"/>
              </w:rPr>
            </w:pPr>
            <w:r>
              <w:rPr>
                <w:rFonts w:ascii="Times New Roman" w:hAnsi="Times New Roman" w:cs="Times New Roman"/>
                <w:sz w:val="24"/>
                <w:szCs w:val="24"/>
                <w:lang w:val="da-DK"/>
              </w:rPr>
              <w:t>Maksimalt anbefalet behandlingsareal: 600 cm</w:t>
            </w:r>
            <w:r>
              <w:rPr>
                <w:rFonts w:ascii="Times New Roman" w:hAnsi="Times New Roman" w:cs="Times New Roman"/>
                <w:sz w:val="24"/>
                <w:szCs w:val="24"/>
                <w:vertAlign w:val="superscript"/>
                <w:lang w:val="da-DK"/>
              </w:rPr>
              <w:t>2</w:t>
            </w:r>
            <w:r>
              <w:rPr>
                <w:rFonts w:ascii="Times New Roman" w:hAnsi="Times New Roman" w:cs="Times New Roman"/>
                <w:sz w:val="24"/>
                <w:szCs w:val="24"/>
                <w:lang w:val="da-DK"/>
              </w:rPr>
              <w:t xml:space="preserve"> i mindst 1 time og højst 5 timer</w:t>
            </w:r>
            <w:r>
              <w:rPr>
                <w:rFonts w:ascii="Times New Roman" w:hAnsi="Times New Roman" w:cs="Times New Roman"/>
                <w:sz w:val="24"/>
                <w:szCs w:val="24"/>
                <w:vertAlign w:val="superscript"/>
                <w:lang w:val="da-DK"/>
              </w:rPr>
              <w:t>1)</w:t>
            </w:r>
            <w:r>
              <w:rPr>
                <w:rFonts w:ascii="Times New Roman" w:hAnsi="Times New Roman" w:cs="Times New Roman"/>
                <w:sz w:val="24"/>
                <w:szCs w:val="24"/>
                <w:lang w:val="da-DK"/>
              </w:rPr>
              <w:t>.</w:t>
            </w:r>
          </w:p>
        </w:tc>
      </w:tr>
      <w:tr w:rsidR="003C101D" w:rsidTr="003B4BCE">
        <w:tc>
          <w:tcPr>
            <w:tcW w:w="4261" w:type="dxa"/>
            <w:tcBorders>
              <w:top w:val="single" w:sz="4" w:space="0" w:color="auto"/>
              <w:left w:val="single" w:sz="4" w:space="0" w:color="auto"/>
              <w:bottom w:val="single" w:sz="4" w:space="0" w:color="auto"/>
              <w:right w:val="single" w:sz="4" w:space="0" w:color="auto"/>
            </w:tcBorders>
            <w:hideMark/>
          </w:tcPr>
          <w:p w:rsidR="003C101D" w:rsidRDefault="003C101D" w:rsidP="003B4BCE">
            <w:pPr>
              <w:rPr>
                <w:rFonts w:ascii="Times New Roman" w:hAnsi="Times New Roman" w:cs="Times New Roman"/>
                <w:sz w:val="24"/>
                <w:szCs w:val="24"/>
                <w:lang w:val="da-DK"/>
              </w:rPr>
            </w:pPr>
            <w:proofErr w:type="spellStart"/>
            <w:r>
              <w:rPr>
                <w:rFonts w:ascii="Times New Roman" w:hAnsi="Times New Roman" w:cs="Times New Roman"/>
                <w:sz w:val="24"/>
                <w:szCs w:val="24"/>
                <w:lang w:val="da-DK"/>
              </w:rPr>
              <w:t>Dermale</w:t>
            </w:r>
            <w:proofErr w:type="spellEnd"/>
            <w:r>
              <w:rPr>
                <w:rFonts w:ascii="Times New Roman" w:hAnsi="Times New Roman" w:cs="Times New Roman"/>
                <w:sz w:val="24"/>
                <w:szCs w:val="24"/>
                <w:lang w:val="da-DK"/>
              </w:rPr>
              <w:t xml:space="preserve"> kirurgiske procedurer på større arealer i hospitalsregi, f.eks. delhudstransplantationer.</w:t>
            </w:r>
          </w:p>
        </w:tc>
        <w:tc>
          <w:tcPr>
            <w:tcW w:w="4261" w:type="dxa"/>
            <w:tcBorders>
              <w:top w:val="single" w:sz="4" w:space="0" w:color="auto"/>
              <w:left w:val="single" w:sz="4" w:space="0" w:color="auto"/>
              <w:bottom w:val="single" w:sz="4" w:space="0" w:color="auto"/>
              <w:right w:val="single" w:sz="4" w:space="0" w:color="auto"/>
            </w:tcBorders>
            <w:hideMark/>
          </w:tcPr>
          <w:p w:rsidR="003C101D" w:rsidRDefault="003C101D" w:rsidP="003B4BCE">
            <w:pPr>
              <w:ind w:left="25"/>
              <w:rPr>
                <w:rFonts w:ascii="Times New Roman" w:hAnsi="Times New Roman" w:cs="Times New Roman"/>
                <w:sz w:val="24"/>
                <w:szCs w:val="24"/>
                <w:lang w:val="da-DK"/>
              </w:rPr>
            </w:pPr>
            <w:r>
              <w:rPr>
                <w:rFonts w:ascii="Times New Roman" w:hAnsi="Times New Roman" w:cs="Times New Roman"/>
                <w:sz w:val="24"/>
                <w:szCs w:val="24"/>
                <w:lang w:val="da-DK"/>
              </w:rPr>
              <w:t>Cirka 1,5-2 g/10 cm</w:t>
            </w:r>
            <w:r>
              <w:rPr>
                <w:rFonts w:ascii="Times New Roman" w:hAnsi="Times New Roman" w:cs="Times New Roman"/>
                <w:sz w:val="24"/>
                <w:szCs w:val="24"/>
                <w:vertAlign w:val="superscript"/>
                <w:lang w:val="da-DK"/>
              </w:rPr>
              <w:t>2</w:t>
            </w:r>
            <w:r>
              <w:rPr>
                <w:rFonts w:ascii="Times New Roman" w:hAnsi="Times New Roman" w:cs="Times New Roman"/>
                <w:sz w:val="24"/>
                <w:szCs w:val="24"/>
                <w:lang w:val="da-DK"/>
              </w:rPr>
              <w:t xml:space="preserve"> i 2 til 5 timer</w:t>
            </w:r>
            <w:r>
              <w:rPr>
                <w:rFonts w:ascii="Times New Roman" w:hAnsi="Times New Roman" w:cs="Times New Roman"/>
                <w:sz w:val="24"/>
                <w:szCs w:val="24"/>
                <w:vertAlign w:val="superscript"/>
                <w:lang w:val="da-DK"/>
              </w:rPr>
              <w:t>1)</w:t>
            </w:r>
            <w:r>
              <w:rPr>
                <w:rFonts w:ascii="Times New Roman" w:hAnsi="Times New Roman" w:cs="Times New Roman"/>
                <w:sz w:val="24"/>
                <w:szCs w:val="24"/>
                <w:lang w:val="da-DK"/>
              </w:rPr>
              <w:t>.</w:t>
            </w:r>
          </w:p>
        </w:tc>
      </w:tr>
      <w:tr w:rsidR="003C101D" w:rsidTr="003B4BCE">
        <w:tc>
          <w:tcPr>
            <w:tcW w:w="4261" w:type="dxa"/>
            <w:tcBorders>
              <w:top w:val="single" w:sz="4" w:space="0" w:color="auto"/>
              <w:left w:val="single" w:sz="4" w:space="0" w:color="auto"/>
              <w:bottom w:val="single" w:sz="4" w:space="0" w:color="auto"/>
              <w:right w:val="single" w:sz="4" w:space="0" w:color="auto"/>
            </w:tcBorders>
            <w:hideMark/>
          </w:tcPr>
          <w:p w:rsidR="003C101D" w:rsidRDefault="003C101D" w:rsidP="003B4BCE">
            <w:pPr>
              <w:rPr>
                <w:rFonts w:ascii="Times New Roman" w:hAnsi="Times New Roman" w:cs="Times New Roman"/>
                <w:sz w:val="24"/>
                <w:szCs w:val="24"/>
                <w:lang w:val="da-DK"/>
              </w:rPr>
            </w:pPr>
            <w:r>
              <w:rPr>
                <w:rFonts w:ascii="Times New Roman" w:hAnsi="Times New Roman" w:cs="Times New Roman"/>
                <w:sz w:val="24"/>
                <w:szCs w:val="24"/>
                <w:lang w:val="da-DK"/>
              </w:rPr>
              <w:t>Hud på mandlige kønsorganer</w:t>
            </w:r>
          </w:p>
          <w:p w:rsidR="003C101D" w:rsidRDefault="003C101D" w:rsidP="003B4BCE">
            <w:pPr>
              <w:rPr>
                <w:rFonts w:ascii="Times New Roman" w:hAnsi="Times New Roman" w:cs="Times New Roman"/>
                <w:sz w:val="24"/>
                <w:szCs w:val="24"/>
                <w:lang w:val="da-DK"/>
              </w:rPr>
            </w:pPr>
            <w:r>
              <w:rPr>
                <w:rFonts w:ascii="Times New Roman" w:hAnsi="Times New Roman" w:cs="Times New Roman"/>
                <w:sz w:val="24"/>
                <w:szCs w:val="24"/>
                <w:lang w:val="da-DK"/>
              </w:rPr>
              <w:t xml:space="preserve">Inden injektion af </w:t>
            </w:r>
            <w:proofErr w:type="spellStart"/>
            <w:r>
              <w:rPr>
                <w:rFonts w:ascii="Times New Roman" w:hAnsi="Times New Roman" w:cs="Times New Roman"/>
                <w:sz w:val="24"/>
                <w:szCs w:val="24"/>
                <w:lang w:val="da-DK"/>
              </w:rPr>
              <w:t>lokalanæstetika</w:t>
            </w:r>
            <w:proofErr w:type="spellEnd"/>
            <w:r>
              <w:rPr>
                <w:rFonts w:ascii="Times New Roman" w:hAnsi="Times New Roman" w:cs="Times New Roman"/>
                <w:sz w:val="24"/>
                <w:szCs w:val="24"/>
                <w:lang w:val="da-DK"/>
              </w:rPr>
              <w:t xml:space="preserve"> </w:t>
            </w:r>
          </w:p>
          <w:p w:rsidR="003C101D" w:rsidRDefault="003C101D" w:rsidP="003B4BCE">
            <w:pPr>
              <w:rPr>
                <w:rFonts w:ascii="Times New Roman" w:hAnsi="Times New Roman" w:cs="Times New Roman"/>
                <w:sz w:val="24"/>
                <w:szCs w:val="24"/>
                <w:lang w:val="da-DK"/>
              </w:rPr>
            </w:pPr>
            <w:r>
              <w:rPr>
                <w:rFonts w:ascii="Times New Roman" w:hAnsi="Times New Roman" w:cs="Times New Roman"/>
                <w:sz w:val="24"/>
                <w:szCs w:val="24"/>
                <w:lang w:val="da-DK"/>
              </w:rPr>
              <w:t>Hud på kvindelige kønsorganer</w:t>
            </w:r>
          </w:p>
          <w:p w:rsidR="003C101D" w:rsidRDefault="003C101D" w:rsidP="003B4BCE">
            <w:pPr>
              <w:rPr>
                <w:rFonts w:ascii="Times New Roman" w:hAnsi="Times New Roman" w:cs="Times New Roman"/>
                <w:sz w:val="24"/>
                <w:szCs w:val="24"/>
                <w:lang w:val="da-DK"/>
              </w:rPr>
            </w:pPr>
            <w:r>
              <w:rPr>
                <w:rFonts w:ascii="Times New Roman" w:hAnsi="Times New Roman" w:cs="Times New Roman"/>
                <w:sz w:val="24"/>
                <w:szCs w:val="24"/>
                <w:lang w:val="da-DK"/>
              </w:rPr>
              <w:t>Inden injektion af lokalanæstetika</w:t>
            </w:r>
            <w:r>
              <w:rPr>
                <w:rFonts w:ascii="Times New Roman" w:hAnsi="Times New Roman" w:cs="Times New Roman"/>
                <w:sz w:val="24"/>
                <w:szCs w:val="24"/>
                <w:vertAlign w:val="superscript"/>
                <w:lang w:val="da-DK"/>
              </w:rPr>
              <w:t>2)</w:t>
            </w:r>
          </w:p>
        </w:tc>
        <w:tc>
          <w:tcPr>
            <w:tcW w:w="4261" w:type="dxa"/>
            <w:tcBorders>
              <w:top w:val="single" w:sz="4" w:space="0" w:color="auto"/>
              <w:left w:val="single" w:sz="4" w:space="0" w:color="auto"/>
              <w:bottom w:val="single" w:sz="4" w:space="0" w:color="auto"/>
              <w:right w:val="single" w:sz="4" w:space="0" w:color="auto"/>
            </w:tcBorders>
          </w:tcPr>
          <w:p w:rsidR="003C101D" w:rsidRDefault="003C101D" w:rsidP="003B4BCE">
            <w:pPr>
              <w:ind w:left="25"/>
              <w:rPr>
                <w:rFonts w:ascii="Times New Roman" w:hAnsi="Times New Roman" w:cs="Times New Roman"/>
                <w:sz w:val="24"/>
                <w:szCs w:val="24"/>
                <w:lang w:val="da-DK"/>
              </w:rPr>
            </w:pPr>
          </w:p>
          <w:p w:rsidR="003C101D" w:rsidRDefault="003C101D" w:rsidP="003B4BCE">
            <w:pPr>
              <w:ind w:left="25"/>
              <w:rPr>
                <w:rFonts w:ascii="Times New Roman" w:hAnsi="Times New Roman" w:cs="Times New Roman"/>
                <w:sz w:val="24"/>
                <w:szCs w:val="24"/>
                <w:lang w:val="da-DK"/>
              </w:rPr>
            </w:pPr>
            <w:r>
              <w:rPr>
                <w:rFonts w:ascii="Times New Roman" w:hAnsi="Times New Roman" w:cs="Times New Roman"/>
                <w:sz w:val="24"/>
                <w:szCs w:val="24"/>
                <w:lang w:val="da-DK"/>
              </w:rPr>
              <w:t>1 g/10 cm</w:t>
            </w:r>
            <w:r>
              <w:rPr>
                <w:rFonts w:ascii="Times New Roman" w:hAnsi="Times New Roman" w:cs="Times New Roman"/>
                <w:sz w:val="24"/>
                <w:szCs w:val="24"/>
                <w:vertAlign w:val="superscript"/>
                <w:lang w:val="da-DK"/>
              </w:rPr>
              <w:t>2</w:t>
            </w:r>
            <w:r>
              <w:rPr>
                <w:rFonts w:ascii="Times New Roman" w:hAnsi="Times New Roman" w:cs="Times New Roman"/>
                <w:sz w:val="24"/>
                <w:szCs w:val="24"/>
                <w:lang w:val="da-DK"/>
              </w:rPr>
              <w:t xml:space="preserve"> i 15 minutter</w:t>
            </w:r>
          </w:p>
          <w:p w:rsidR="003C101D" w:rsidRDefault="003C101D" w:rsidP="003B4BCE">
            <w:pPr>
              <w:ind w:left="25"/>
              <w:rPr>
                <w:rFonts w:ascii="Times New Roman" w:hAnsi="Times New Roman" w:cs="Times New Roman"/>
                <w:sz w:val="24"/>
                <w:szCs w:val="24"/>
                <w:lang w:val="da-DK"/>
              </w:rPr>
            </w:pPr>
          </w:p>
          <w:p w:rsidR="003C101D" w:rsidRDefault="003C101D" w:rsidP="003B4BCE">
            <w:pPr>
              <w:ind w:left="25"/>
              <w:rPr>
                <w:rFonts w:ascii="Times New Roman" w:hAnsi="Times New Roman" w:cs="Times New Roman"/>
                <w:sz w:val="24"/>
                <w:szCs w:val="24"/>
                <w:lang w:val="da-DK"/>
              </w:rPr>
            </w:pPr>
            <w:r>
              <w:rPr>
                <w:rFonts w:ascii="Times New Roman" w:hAnsi="Times New Roman" w:cs="Times New Roman"/>
                <w:sz w:val="24"/>
                <w:szCs w:val="24"/>
                <w:lang w:val="da-DK"/>
              </w:rPr>
              <w:t>1-2 g/10 cm</w:t>
            </w:r>
            <w:r>
              <w:rPr>
                <w:rFonts w:ascii="Times New Roman" w:hAnsi="Times New Roman" w:cs="Times New Roman"/>
                <w:sz w:val="24"/>
                <w:szCs w:val="24"/>
                <w:vertAlign w:val="superscript"/>
                <w:lang w:val="da-DK"/>
              </w:rPr>
              <w:t>2</w:t>
            </w:r>
            <w:r>
              <w:rPr>
                <w:rFonts w:ascii="Times New Roman" w:hAnsi="Times New Roman" w:cs="Times New Roman"/>
                <w:sz w:val="24"/>
                <w:szCs w:val="24"/>
                <w:lang w:val="da-DK"/>
              </w:rPr>
              <w:t xml:space="preserve"> i 60 minutter</w:t>
            </w:r>
          </w:p>
        </w:tc>
      </w:tr>
      <w:tr w:rsidR="003C101D" w:rsidTr="003B4BCE">
        <w:tc>
          <w:tcPr>
            <w:tcW w:w="426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101D" w:rsidRDefault="003C101D" w:rsidP="003B4BCE">
            <w:pPr>
              <w:rPr>
                <w:rFonts w:ascii="Times New Roman" w:hAnsi="Times New Roman" w:cs="Times New Roman"/>
                <w:b/>
                <w:sz w:val="24"/>
                <w:szCs w:val="24"/>
              </w:rPr>
            </w:pPr>
            <w:r>
              <w:rPr>
                <w:rFonts w:ascii="Times New Roman" w:hAnsi="Times New Roman" w:cs="Times New Roman"/>
                <w:b/>
                <w:bCs/>
                <w:sz w:val="24"/>
                <w:szCs w:val="24"/>
                <w:lang w:val="da-DK"/>
              </w:rPr>
              <w:t>Genitalslimhinder</w:t>
            </w:r>
          </w:p>
        </w:tc>
        <w:tc>
          <w:tcPr>
            <w:tcW w:w="4261" w:type="dxa"/>
            <w:tcBorders>
              <w:top w:val="single" w:sz="4" w:space="0" w:color="auto"/>
              <w:left w:val="single" w:sz="4" w:space="0" w:color="auto"/>
              <w:bottom w:val="single" w:sz="4" w:space="0" w:color="auto"/>
              <w:right w:val="single" w:sz="4" w:space="0" w:color="auto"/>
            </w:tcBorders>
          </w:tcPr>
          <w:p w:rsidR="003C101D" w:rsidRDefault="003C101D" w:rsidP="003B4BCE">
            <w:pPr>
              <w:ind w:left="25"/>
              <w:rPr>
                <w:rFonts w:ascii="Times New Roman" w:hAnsi="Times New Roman" w:cs="Times New Roman"/>
                <w:sz w:val="24"/>
                <w:szCs w:val="24"/>
              </w:rPr>
            </w:pPr>
          </w:p>
        </w:tc>
      </w:tr>
      <w:tr w:rsidR="003C101D" w:rsidTr="003B4BCE">
        <w:tc>
          <w:tcPr>
            <w:tcW w:w="4261" w:type="dxa"/>
            <w:tcBorders>
              <w:top w:val="single" w:sz="4" w:space="0" w:color="auto"/>
              <w:left w:val="single" w:sz="4" w:space="0" w:color="auto"/>
              <w:bottom w:val="single" w:sz="4" w:space="0" w:color="auto"/>
              <w:right w:val="single" w:sz="4" w:space="0" w:color="auto"/>
            </w:tcBorders>
            <w:hideMark/>
          </w:tcPr>
          <w:p w:rsidR="003C101D" w:rsidRDefault="003C101D" w:rsidP="003B4BCE">
            <w:pPr>
              <w:rPr>
                <w:rFonts w:ascii="Times New Roman" w:hAnsi="Times New Roman" w:cs="Times New Roman"/>
                <w:sz w:val="24"/>
                <w:szCs w:val="24"/>
                <w:lang w:val="da-DK"/>
              </w:rPr>
            </w:pPr>
            <w:r>
              <w:rPr>
                <w:rFonts w:ascii="Times New Roman" w:hAnsi="Times New Roman" w:cs="Times New Roman"/>
                <w:sz w:val="24"/>
                <w:szCs w:val="24"/>
                <w:lang w:val="da-DK"/>
              </w:rPr>
              <w:t>Kirurgisk behandling af afgrænsede læsioner, f.eks. fjernelse af kønsvorter (</w:t>
            </w:r>
            <w:proofErr w:type="spellStart"/>
            <w:r>
              <w:rPr>
                <w:rFonts w:ascii="Times New Roman" w:hAnsi="Times New Roman" w:cs="Times New Roman"/>
                <w:sz w:val="24"/>
                <w:szCs w:val="24"/>
                <w:lang w:val="da-DK"/>
              </w:rPr>
              <w:t>condylomata</w:t>
            </w:r>
            <w:proofErr w:type="spellEnd"/>
            <w:r>
              <w:rPr>
                <w:rFonts w:ascii="Times New Roman" w:hAnsi="Times New Roman" w:cs="Times New Roman"/>
                <w:sz w:val="24"/>
                <w:szCs w:val="24"/>
                <w:lang w:val="da-DK"/>
              </w:rPr>
              <w:t xml:space="preserve"> </w:t>
            </w:r>
            <w:proofErr w:type="spellStart"/>
            <w:r>
              <w:rPr>
                <w:rFonts w:ascii="Times New Roman" w:hAnsi="Times New Roman" w:cs="Times New Roman"/>
                <w:sz w:val="24"/>
                <w:szCs w:val="24"/>
                <w:lang w:val="da-DK"/>
              </w:rPr>
              <w:t>acuminata</w:t>
            </w:r>
            <w:proofErr w:type="spellEnd"/>
            <w:r>
              <w:rPr>
                <w:rFonts w:ascii="Times New Roman" w:hAnsi="Times New Roman" w:cs="Times New Roman"/>
                <w:sz w:val="24"/>
                <w:szCs w:val="24"/>
                <w:lang w:val="da-DK"/>
              </w:rPr>
              <w:t xml:space="preserve">) og inden injektion af </w:t>
            </w:r>
            <w:proofErr w:type="spellStart"/>
            <w:r>
              <w:rPr>
                <w:rFonts w:ascii="Times New Roman" w:hAnsi="Times New Roman" w:cs="Times New Roman"/>
                <w:sz w:val="24"/>
                <w:szCs w:val="24"/>
                <w:lang w:val="da-DK"/>
              </w:rPr>
              <w:t>lokalanæstetika</w:t>
            </w:r>
            <w:proofErr w:type="spellEnd"/>
            <w:r>
              <w:rPr>
                <w:rFonts w:ascii="Times New Roman" w:hAnsi="Times New Roman" w:cs="Times New Roman"/>
                <w:sz w:val="24"/>
                <w:szCs w:val="24"/>
                <w:lang w:val="da-DK"/>
              </w:rPr>
              <w:t>.</w:t>
            </w:r>
          </w:p>
        </w:tc>
        <w:tc>
          <w:tcPr>
            <w:tcW w:w="4261" w:type="dxa"/>
            <w:tcBorders>
              <w:top w:val="single" w:sz="4" w:space="0" w:color="auto"/>
              <w:left w:val="single" w:sz="4" w:space="0" w:color="auto"/>
              <w:bottom w:val="single" w:sz="4" w:space="0" w:color="auto"/>
              <w:right w:val="single" w:sz="4" w:space="0" w:color="auto"/>
            </w:tcBorders>
            <w:hideMark/>
          </w:tcPr>
          <w:p w:rsidR="003C101D" w:rsidRDefault="003C101D" w:rsidP="003B4BCE">
            <w:pPr>
              <w:ind w:left="25"/>
              <w:rPr>
                <w:rFonts w:ascii="Times New Roman" w:hAnsi="Times New Roman" w:cs="Times New Roman"/>
                <w:sz w:val="24"/>
                <w:szCs w:val="24"/>
                <w:lang w:val="da-DK"/>
              </w:rPr>
            </w:pPr>
            <w:r>
              <w:rPr>
                <w:rFonts w:ascii="Times New Roman" w:hAnsi="Times New Roman" w:cs="Times New Roman"/>
                <w:sz w:val="24"/>
                <w:szCs w:val="24"/>
                <w:lang w:val="da-DK"/>
              </w:rPr>
              <w:t>Cirka 5-10 g creme i 5-10 minutter</w:t>
            </w:r>
            <w:r>
              <w:rPr>
                <w:rFonts w:ascii="Times New Roman" w:hAnsi="Times New Roman" w:cs="Times New Roman"/>
                <w:sz w:val="24"/>
                <w:szCs w:val="24"/>
                <w:vertAlign w:val="superscript"/>
                <w:lang w:val="da-DK"/>
              </w:rPr>
              <w:t>1)3)4)</w:t>
            </w:r>
            <w:r>
              <w:rPr>
                <w:rFonts w:ascii="Times New Roman" w:hAnsi="Times New Roman" w:cs="Times New Roman"/>
                <w:sz w:val="24"/>
                <w:szCs w:val="24"/>
                <w:lang w:val="da-DK"/>
              </w:rPr>
              <w:t>.</w:t>
            </w:r>
          </w:p>
        </w:tc>
      </w:tr>
      <w:tr w:rsidR="003C101D" w:rsidTr="003B4BCE">
        <w:tc>
          <w:tcPr>
            <w:tcW w:w="4261" w:type="dxa"/>
            <w:tcBorders>
              <w:top w:val="single" w:sz="4" w:space="0" w:color="auto"/>
              <w:left w:val="single" w:sz="4" w:space="0" w:color="auto"/>
              <w:bottom w:val="single" w:sz="4" w:space="0" w:color="auto"/>
              <w:right w:val="single" w:sz="4" w:space="0" w:color="auto"/>
            </w:tcBorders>
            <w:hideMark/>
          </w:tcPr>
          <w:p w:rsidR="003C101D" w:rsidRDefault="003C101D" w:rsidP="003B4BCE">
            <w:pPr>
              <w:rPr>
                <w:rFonts w:ascii="Times New Roman" w:hAnsi="Times New Roman" w:cs="Times New Roman"/>
                <w:sz w:val="24"/>
                <w:szCs w:val="24"/>
              </w:rPr>
            </w:pPr>
            <w:r>
              <w:rPr>
                <w:rFonts w:ascii="Times New Roman" w:hAnsi="Times New Roman" w:cs="Times New Roman"/>
                <w:sz w:val="24"/>
                <w:szCs w:val="24"/>
                <w:lang w:val="da-DK"/>
              </w:rPr>
              <w:t xml:space="preserve">Inden </w:t>
            </w:r>
            <w:proofErr w:type="spellStart"/>
            <w:r>
              <w:rPr>
                <w:rFonts w:ascii="Times New Roman" w:hAnsi="Times New Roman" w:cs="Times New Roman"/>
                <w:sz w:val="24"/>
                <w:szCs w:val="24"/>
                <w:lang w:val="da-DK"/>
              </w:rPr>
              <w:t>cervikal</w:t>
            </w:r>
            <w:proofErr w:type="spellEnd"/>
            <w:r>
              <w:rPr>
                <w:rFonts w:ascii="Times New Roman" w:hAnsi="Times New Roman" w:cs="Times New Roman"/>
                <w:sz w:val="24"/>
                <w:szCs w:val="24"/>
                <w:lang w:val="da-DK"/>
              </w:rPr>
              <w:t xml:space="preserve"> </w:t>
            </w:r>
            <w:proofErr w:type="spellStart"/>
            <w:r>
              <w:rPr>
                <w:rFonts w:ascii="Times New Roman" w:hAnsi="Times New Roman" w:cs="Times New Roman"/>
                <w:sz w:val="24"/>
                <w:szCs w:val="24"/>
                <w:lang w:val="da-DK"/>
              </w:rPr>
              <w:t>curettage</w:t>
            </w:r>
            <w:proofErr w:type="spellEnd"/>
          </w:p>
        </w:tc>
        <w:tc>
          <w:tcPr>
            <w:tcW w:w="4261" w:type="dxa"/>
            <w:tcBorders>
              <w:top w:val="single" w:sz="4" w:space="0" w:color="auto"/>
              <w:left w:val="single" w:sz="4" w:space="0" w:color="auto"/>
              <w:bottom w:val="single" w:sz="4" w:space="0" w:color="auto"/>
              <w:right w:val="single" w:sz="4" w:space="0" w:color="auto"/>
            </w:tcBorders>
            <w:hideMark/>
          </w:tcPr>
          <w:p w:rsidR="003C101D" w:rsidRDefault="003C101D" w:rsidP="003B4BCE">
            <w:pPr>
              <w:ind w:left="25"/>
              <w:rPr>
                <w:rFonts w:ascii="Times New Roman" w:hAnsi="Times New Roman" w:cs="Times New Roman"/>
                <w:sz w:val="24"/>
                <w:szCs w:val="24"/>
                <w:lang w:val="da-DK"/>
              </w:rPr>
            </w:pPr>
            <w:r>
              <w:rPr>
                <w:rFonts w:ascii="Times New Roman" w:hAnsi="Times New Roman" w:cs="Times New Roman"/>
                <w:sz w:val="24"/>
                <w:szCs w:val="24"/>
                <w:lang w:val="da-DK"/>
              </w:rPr>
              <w:t xml:space="preserve">10 g creme administreres i laterale </w:t>
            </w:r>
            <w:proofErr w:type="spellStart"/>
            <w:r>
              <w:rPr>
                <w:rFonts w:ascii="Times New Roman" w:hAnsi="Times New Roman" w:cs="Times New Roman"/>
                <w:sz w:val="24"/>
                <w:szCs w:val="24"/>
                <w:lang w:val="da-DK"/>
              </w:rPr>
              <w:t>fornix</w:t>
            </w:r>
            <w:proofErr w:type="spellEnd"/>
            <w:r>
              <w:rPr>
                <w:rFonts w:ascii="Times New Roman" w:hAnsi="Times New Roman" w:cs="Times New Roman"/>
                <w:sz w:val="24"/>
                <w:szCs w:val="24"/>
                <w:lang w:val="da-DK"/>
              </w:rPr>
              <w:t xml:space="preserve"> </w:t>
            </w:r>
            <w:proofErr w:type="spellStart"/>
            <w:r>
              <w:rPr>
                <w:rFonts w:ascii="Times New Roman" w:hAnsi="Times New Roman" w:cs="Times New Roman"/>
                <w:sz w:val="24"/>
                <w:szCs w:val="24"/>
                <w:lang w:val="da-DK"/>
              </w:rPr>
              <w:t>vaginae</w:t>
            </w:r>
            <w:proofErr w:type="spellEnd"/>
            <w:r>
              <w:rPr>
                <w:rFonts w:ascii="Times New Roman" w:hAnsi="Times New Roman" w:cs="Times New Roman"/>
                <w:sz w:val="24"/>
                <w:szCs w:val="24"/>
                <w:lang w:val="da-DK"/>
              </w:rPr>
              <w:t xml:space="preserve"> i 10 minutter.</w:t>
            </w:r>
          </w:p>
        </w:tc>
      </w:tr>
      <w:tr w:rsidR="003C101D" w:rsidTr="003B4BCE">
        <w:tc>
          <w:tcPr>
            <w:tcW w:w="426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101D" w:rsidRDefault="003C101D" w:rsidP="003B4BCE">
            <w:pPr>
              <w:rPr>
                <w:rFonts w:ascii="Times New Roman" w:hAnsi="Times New Roman" w:cs="Times New Roman"/>
                <w:b/>
                <w:sz w:val="24"/>
                <w:szCs w:val="24"/>
              </w:rPr>
            </w:pPr>
            <w:proofErr w:type="spellStart"/>
            <w:r>
              <w:rPr>
                <w:rFonts w:ascii="Times New Roman" w:hAnsi="Times New Roman" w:cs="Times New Roman"/>
                <w:b/>
                <w:bCs/>
                <w:sz w:val="24"/>
                <w:szCs w:val="24"/>
                <w:lang w:val="da-DK"/>
              </w:rPr>
              <w:t>Bensår</w:t>
            </w:r>
            <w:proofErr w:type="spellEnd"/>
          </w:p>
        </w:tc>
        <w:tc>
          <w:tcPr>
            <w:tcW w:w="4261" w:type="dxa"/>
            <w:tcBorders>
              <w:top w:val="single" w:sz="4" w:space="0" w:color="auto"/>
              <w:left w:val="single" w:sz="4" w:space="0" w:color="auto"/>
              <w:bottom w:val="single" w:sz="4" w:space="0" w:color="auto"/>
              <w:right w:val="single" w:sz="4" w:space="0" w:color="auto"/>
            </w:tcBorders>
          </w:tcPr>
          <w:p w:rsidR="003C101D" w:rsidRDefault="003C101D" w:rsidP="003B4BCE">
            <w:pPr>
              <w:ind w:left="25"/>
              <w:rPr>
                <w:rFonts w:ascii="Times New Roman" w:hAnsi="Times New Roman" w:cs="Times New Roman"/>
                <w:sz w:val="24"/>
                <w:szCs w:val="24"/>
              </w:rPr>
            </w:pPr>
          </w:p>
        </w:tc>
      </w:tr>
      <w:tr w:rsidR="003C101D" w:rsidTr="003B4BCE">
        <w:tc>
          <w:tcPr>
            <w:tcW w:w="4261" w:type="dxa"/>
            <w:tcBorders>
              <w:top w:val="single" w:sz="4" w:space="0" w:color="auto"/>
              <w:left w:val="single" w:sz="4" w:space="0" w:color="auto"/>
              <w:bottom w:val="single" w:sz="4" w:space="0" w:color="auto"/>
              <w:right w:val="single" w:sz="4" w:space="0" w:color="auto"/>
            </w:tcBorders>
            <w:hideMark/>
          </w:tcPr>
          <w:p w:rsidR="003C101D" w:rsidRDefault="003C101D" w:rsidP="003B4BCE">
            <w:pPr>
              <w:rPr>
                <w:rFonts w:ascii="Times New Roman" w:hAnsi="Times New Roman" w:cs="Times New Roman"/>
                <w:sz w:val="24"/>
                <w:szCs w:val="24"/>
                <w:u w:val="single"/>
                <w:lang w:val="da-DK"/>
              </w:rPr>
            </w:pPr>
            <w:r>
              <w:rPr>
                <w:rFonts w:ascii="Times New Roman" w:hAnsi="Times New Roman" w:cs="Times New Roman"/>
                <w:sz w:val="24"/>
                <w:szCs w:val="24"/>
                <w:u w:val="single"/>
                <w:lang w:val="da-DK"/>
              </w:rPr>
              <w:t>Kun voksne</w:t>
            </w:r>
          </w:p>
          <w:p w:rsidR="003C101D" w:rsidRDefault="003C101D" w:rsidP="003B4BCE">
            <w:pPr>
              <w:rPr>
                <w:rFonts w:ascii="Times New Roman" w:hAnsi="Times New Roman" w:cs="Times New Roman"/>
                <w:sz w:val="24"/>
                <w:szCs w:val="24"/>
                <w:lang w:val="da-DK"/>
              </w:rPr>
            </w:pPr>
            <w:r>
              <w:rPr>
                <w:rFonts w:ascii="Times New Roman" w:hAnsi="Times New Roman" w:cs="Times New Roman"/>
                <w:sz w:val="24"/>
                <w:szCs w:val="24"/>
                <w:lang w:val="da-DK"/>
              </w:rPr>
              <w:t>Mekanisk rensning/</w:t>
            </w:r>
            <w:proofErr w:type="spellStart"/>
            <w:r>
              <w:rPr>
                <w:rFonts w:ascii="Times New Roman" w:hAnsi="Times New Roman" w:cs="Times New Roman"/>
                <w:sz w:val="24"/>
                <w:szCs w:val="24"/>
                <w:lang w:val="da-DK"/>
              </w:rPr>
              <w:t>debridering</w:t>
            </w:r>
            <w:proofErr w:type="spellEnd"/>
          </w:p>
        </w:tc>
        <w:tc>
          <w:tcPr>
            <w:tcW w:w="4261" w:type="dxa"/>
            <w:tcBorders>
              <w:top w:val="single" w:sz="4" w:space="0" w:color="auto"/>
              <w:left w:val="single" w:sz="4" w:space="0" w:color="auto"/>
              <w:bottom w:val="single" w:sz="4" w:space="0" w:color="auto"/>
              <w:right w:val="single" w:sz="4" w:space="0" w:color="auto"/>
            </w:tcBorders>
            <w:hideMark/>
          </w:tcPr>
          <w:p w:rsidR="003C101D" w:rsidRDefault="003C101D" w:rsidP="003B4BCE">
            <w:pPr>
              <w:ind w:left="25"/>
              <w:rPr>
                <w:rFonts w:ascii="Times New Roman" w:hAnsi="Times New Roman" w:cs="Times New Roman"/>
                <w:sz w:val="24"/>
                <w:szCs w:val="24"/>
                <w:lang w:val="da-DK"/>
              </w:rPr>
            </w:pPr>
            <w:r>
              <w:rPr>
                <w:rFonts w:ascii="Times New Roman" w:hAnsi="Times New Roman" w:cs="Times New Roman"/>
                <w:sz w:val="24"/>
                <w:szCs w:val="24"/>
                <w:lang w:val="da-DK"/>
              </w:rPr>
              <w:t>Cirka 1-2 g/10 cm</w:t>
            </w:r>
            <w:r>
              <w:rPr>
                <w:rFonts w:ascii="Times New Roman" w:hAnsi="Times New Roman" w:cs="Times New Roman"/>
                <w:sz w:val="24"/>
                <w:szCs w:val="24"/>
                <w:vertAlign w:val="superscript"/>
                <w:lang w:val="da-DK"/>
              </w:rPr>
              <w:t>2</w:t>
            </w:r>
            <w:r>
              <w:rPr>
                <w:rFonts w:ascii="Times New Roman" w:hAnsi="Times New Roman" w:cs="Times New Roman"/>
                <w:sz w:val="24"/>
                <w:szCs w:val="24"/>
                <w:lang w:val="da-DK"/>
              </w:rPr>
              <w:t xml:space="preserve">, dog højst 10 g i alt på </w:t>
            </w:r>
            <w:proofErr w:type="spellStart"/>
            <w:r>
              <w:rPr>
                <w:rFonts w:ascii="Times New Roman" w:hAnsi="Times New Roman" w:cs="Times New Roman"/>
                <w:sz w:val="24"/>
                <w:szCs w:val="24"/>
                <w:lang w:val="da-DK"/>
              </w:rPr>
              <w:t>bensåret</w:t>
            </w:r>
            <w:proofErr w:type="spellEnd"/>
            <w:r>
              <w:rPr>
                <w:rFonts w:ascii="Times New Roman" w:hAnsi="Times New Roman" w:cs="Times New Roman"/>
                <w:sz w:val="24"/>
                <w:szCs w:val="24"/>
                <w:lang w:val="da-DK"/>
              </w:rPr>
              <w:t>/bensårene</w:t>
            </w:r>
            <w:r>
              <w:rPr>
                <w:rFonts w:ascii="Times New Roman" w:hAnsi="Times New Roman" w:cs="Times New Roman"/>
                <w:sz w:val="24"/>
                <w:szCs w:val="24"/>
                <w:vertAlign w:val="superscript"/>
                <w:lang w:val="da-DK"/>
              </w:rPr>
              <w:t>3) 5)</w:t>
            </w:r>
            <w:r>
              <w:rPr>
                <w:rFonts w:ascii="Times New Roman" w:hAnsi="Times New Roman" w:cs="Times New Roman"/>
                <w:sz w:val="24"/>
                <w:szCs w:val="24"/>
                <w:lang w:val="da-DK"/>
              </w:rPr>
              <w:t>.</w:t>
            </w:r>
          </w:p>
          <w:p w:rsidR="003C101D" w:rsidRDefault="003C101D" w:rsidP="003B4BCE">
            <w:pPr>
              <w:ind w:left="25"/>
              <w:rPr>
                <w:rFonts w:ascii="Times New Roman" w:hAnsi="Times New Roman" w:cs="Times New Roman"/>
                <w:sz w:val="24"/>
                <w:szCs w:val="24"/>
              </w:rPr>
            </w:pPr>
            <w:r>
              <w:rPr>
                <w:rFonts w:ascii="Times New Roman" w:hAnsi="Times New Roman" w:cs="Times New Roman"/>
                <w:sz w:val="24"/>
                <w:szCs w:val="24"/>
                <w:lang w:val="da-DK"/>
              </w:rPr>
              <w:t>Applikationstid: 30-60 minutter</w:t>
            </w:r>
          </w:p>
        </w:tc>
      </w:tr>
    </w:tbl>
    <w:p w:rsidR="003C101D" w:rsidRDefault="003C101D" w:rsidP="003C101D">
      <w:pPr>
        <w:ind w:left="851"/>
        <w:rPr>
          <w:sz w:val="24"/>
          <w:szCs w:val="24"/>
        </w:rPr>
      </w:pPr>
    </w:p>
    <w:p w:rsidR="003C101D" w:rsidRDefault="003C101D" w:rsidP="003C101D">
      <w:pPr>
        <w:ind w:left="1134" w:hanging="283"/>
        <w:rPr>
          <w:sz w:val="24"/>
          <w:szCs w:val="24"/>
        </w:rPr>
      </w:pPr>
      <w:r>
        <w:rPr>
          <w:sz w:val="24"/>
          <w:szCs w:val="24"/>
          <w:vertAlign w:val="superscript"/>
        </w:rPr>
        <w:t>1)</w:t>
      </w:r>
      <w:r>
        <w:rPr>
          <w:sz w:val="24"/>
          <w:szCs w:val="24"/>
        </w:rPr>
        <w:tab/>
        <w:t>Efter længere applikationstid nedsættes anæstesivirkningen.</w:t>
      </w:r>
    </w:p>
    <w:p w:rsidR="003C101D" w:rsidRDefault="003C101D" w:rsidP="003C101D">
      <w:pPr>
        <w:ind w:left="1134" w:hanging="283"/>
        <w:rPr>
          <w:sz w:val="24"/>
          <w:szCs w:val="24"/>
        </w:rPr>
      </w:pPr>
      <w:r>
        <w:rPr>
          <w:sz w:val="24"/>
          <w:szCs w:val="24"/>
          <w:vertAlign w:val="superscript"/>
        </w:rPr>
        <w:t>2)</w:t>
      </w:r>
      <w:r>
        <w:rPr>
          <w:sz w:val="24"/>
          <w:szCs w:val="24"/>
        </w:rPr>
        <w:tab/>
        <w:t xml:space="preserve">På huden af kvindelige kønsorganer giver påføring af </w:t>
      </w:r>
      <w:proofErr w:type="spellStart"/>
      <w:r>
        <w:rPr>
          <w:sz w:val="24"/>
          <w:szCs w:val="24"/>
        </w:rPr>
        <w:t>Nulbia</w:t>
      </w:r>
      <w:proofErr w:type="spellEnd"/>
      <w:r>
        <w:rPr>
          <w:sz w:val="24"/>
          <w:szCs w:val="24"/>
        </w:rPr>
        <w:t xml:space="preserve"> alene i 60 eller 90 minutter ikke tilstrækkelig anæstesi til </w:t>
      </w:r>
      <w:proofErr w:type="spellStart"/>
      <w:r>
        <w:rPr>
          <w:sz w:val="24"/>
          <w:szCs w:val="24"/>
        </w:rPr>
        <w:t>termokauterisation</w:t>
      </w:r>
      <w:proofErr w:type="spellEnd"/>
      <w:r>
        <w:rPr>
          <w:sz w:val="24"/>
          <w:szCs w:val="24"/>
        </w:rPr>
        <w:t xml:space="preserve"> eller diatermi af kønsvorter.</w:t>
      </w:r>
    </w:p>
    <w:p w:rsidR="003C101D" w:rsidRDefault="003C101D" w:rsidP="003C101D">
      <w:pPr>
        <w:ind w:left="1134" w:hanging="283"/>
        <w:rPr>
          <w:sz w:val="24"/>
          <w:szCs w:val="24"/>
        </w:rPr>
      </w:pPr>
      <w:r>
        <w:rPr>
          <w:sz w:val="24"/>
          <w:szCs w:val="24"/>
          <w:vertAlign w:val="superscript"/>
        </w:rPr>
        <w:t>3)</w:t>
      </w:r>
      <w:r>
        <w:rPr>
          <w:sz w:val="24"/>
          <w:szCs w:val="24"/>
        </w:rPr>
        <w:tab/>
        <w:t>Plasmakoncentrationerne er ikke fastlagt hos patienter, der bliver behandlet med doser &gt;10 g (se også pkt. 5.2).</w:t>
      </w:r>
    </w:p>
    <w:p w:rsidR="003C101D" w:rsidRDefault="003C101D" w:rsidP="003C101D">
      <w:pPr>
        <w:ind w:left="1134" w:hanging="283"/>
        <w:rPr>
          <w:sz w:val="24"/>
          <w:szCs w:val="24"/>
        </w:rPr>
      </w:pPr>
      <w:r>
        <w:rPr>
          <w:sz w:val="24"/>
          <w:szCs w:val="24"/>
          <w:vertAlign w:val="superscript"/>
        </w:rPr>
        <w:t>4)</w:t>
      </w:r>
      <w:r>
        <w:rPr>
          <w:sz w:val="24"/>
          <w:szCs w:val="24"/>
        </w:rPr>
        <w:tab/>
        <w:t xml:space="preserve">Hos unge, der vejer under 20 kg, skal den maksimale dosis af </w:t>
      </w:r>
      <w:proofErr w:type="spellStart"/>
      <w:r>
        <w:rPr>
          <w:sz w:val="24"/>
          <w:szCs w:val="24"/>
        </w:rPr>
        <w:t>Nulbia</w:t>
      </w:r>
      <w:proofErr w:type="spellEnd"/>
      <w:r>
        <w:rPr>
          <w:sz w:val="24"/>
          <w:szCs w:val="24"/>
        </w:rPr>
        <w:t xml:space="preserve"> på genitalslimhinder reduceres proportionelt.</w:t>
      </w:r>
    </w:p>
    <w:p w:rsidR="003C101D" w:rsidRDefault="003C101D" w:rsidP="003C101D">
      <w:pPr>
        <w:ind w:left="1134" w:hanging="283"/>
        <w:rPr>
          <w:sz w:val="24"/>
          <w:szCs w:val="24"/>
          <w:vertAlign w:val="superscript"/>
        </w:rPr>
      </w:pPr>
      <w:r>
        <w:rPr>
          <w:sz w:val="24"/>
          <w:szCs w:val="24"/>
          <w:vertAlign w:val="superscript"/>
        </w:rPr>
        <w:lastRenderedPageBreak/>
        <w:t>5)</w:t>
      </w:r>
      <w:r>
        <w:rPr>
          <w:sz w:val="24"/>
          <w:szCs w:val="24"/>
        </w:rPr>
        <w:tab/>
      </w:r>
      <w:proofErr w:type="spellStart"/>
      <w:r>
        <w:rPr>
          <w:sz w:val="24"/>
          <w:szCs w:val="24"/>
        </w:rPr>
        <w:t>Nulbia</w:t>
      </w:r>
      <w:proofErr w:type="spellEnd"/>
      <w:r>
        <w:rPr>
          <w:sz w:val="24"/>
          <w:szCs w:val="24"/>
          <w:vertAlign w:val="superscript"/>
        </w:rPr>
        <w:t xml:space="preserve"> </w:t>
      </w:r>
      <w:r>
        <w:rPr>
          <w:sz w:val="24"/>
          <w:szCs w:val="24"/>
        </w:rPr>
        <w:t xml:space="preserve">har været anvendt til behandling af </w:t>
      </w:r>
      <w:proofErr w:type="spellStart"/>
      <w:r>
        <w:rPr>
          <w:sz w:val="24"/>
          <w:szCs w:val="24"/>
        </w:rPr>
        <w:t>bensår</w:t>
      </w:r>
      <w:proofErr w:type="spellEnd"/>
      <w:r>
        <w:rPr>
          <w:sz w:val="24"/>
          <w:szCs w:val="24"/>
        </w:rPr>
        <w:t xml:space="preserve"> op til 15 gange over en periode på 1 til 2 måneder uden nedsat virkning eller øget frekvens eller alvorlighedsgrad af bivirkninger. </w:t>
      </w:r>
    </w:p>
    <w:p w:rsidR="003C101D" w:rsidRDefault="003C101D" w:rsidP="003C101D">
      <w:pPr>
        <w:ind w:left="851"/>
        <w:rPr>
          <w:sz w:val="24"/>
          <w:szCs w:val="24"/>
        </w:rPr>
      </w:pPr>
    </w:p>
    <w:p w:rsidR="003C101D" w:rsidRPr="00F357A0" w:rsidRDefault="003C101D" w:rsidP="003C101D">
      <w:pPr>
        <w:ind w:left="851"/>
        <w:rPr>
          <w:sz w:val="24"/>
          <w:szCs w:val="24"/>
          <w:u w:val="single"/>
        </w:rPr>
      </w:pPr>
      <w:r w:rsidRPr="00F357A0">
        <w:rPr>
          <w:iCs/>
          <w:sz w:val="24"/>
          <w:szCs w:val="24"/>
          <w:u w:val="single"/>
        </w:rPr>
        <w:t>Pædiatrisk population</w:t>
      </w:r>
    </w:p>
    <w:p w:rsidR="003C101D" w:rsidRDefault="003C101D" w:rsidP="003C101D">
      <w:pPr>
        <w:ind w:left="851"/>
        <w:rPr>
          <w:sz w:val="24"/>
          <w:szCs w:val="24"/>
        </w:rPr>
      </w:pPr>
    </w:p>
    <w:p w:rsidR="003C101D" w:rsidRDefault="003C101D" w:rsidP="003C101D">
      <w:pPr>
        <w:tabs>
          <w:tab w:val="left" w:pos="1985"/>
        </w:tabs>
        <w:ind w:left="851"/>
        <w:rPr>
          <w:sz w:val="24"/>
          <w:szCs w:val="24"/>
        </w:rPr>
      </w:pPr>
      <w:r>
        <w:rPr>
          <w:sz w:val="24"/>
          <w:szCs w:val="24"/>
        </w:rPr>
        <w:t>Tabel 2.</w:t>
      </w:r>
      <w:r>
        <w:rPr>
          <w:sz w:val="24"/>
          <w:szCs w:val="24"/>
        </w:rPr>
        <w:tab/>
        <w:t>Pædiatriske patienter 0-11 år</w:t>
      </w:r>
    </w:p>
    <w:tbl>
      <w:tblPr>
        <w:tblStyle w:val="Tabel-Gitter"/>
        <w:tblW w:w="0" w:type="auto"/>
        <w:tblInd w:w="846" w:type="dxa"/>
        <w:tblLook w:val="04A0" w:firstRow="1" w:lastRow="0" w:firstColumn="1" w:lastColumn="0" w:noHBand="0" w:noVBand="1"/>
      </w:tblPr>
      <w:tblGrid>
        <w:gridCol w:w="2840"/>
        <w:gridCol w:w="2688"/>
        <w:gridCol w:w="2994"/>
      </w:tblGrid>
      <w:tr w:rsidR="003C101D" w:rsidTr="003B4BCE">
        <w:tc>
          <w:tcPr>
            <w:tcW w:w="2840" w:type="dxa"/>
            <w:tcBorders>
              <w:top w:val="single" w:sz="4" w:space="0" w:color="auto"/>
              <w:left w:val="single" w:sz="4" w:space="0" w:color="auto"/>
              <w:bottom w:val="single" w:sz="4" w:space="0" w:color="auto"/>
              <w:right w:val="nil"/>
            </w:tcBorders>
            <w:shd w:val="clear" w:color="auto" w:fill="BFBFBF" w:themeFill="background1" w:themeFillShade="BF"/>
            <w:hideMark/>
          </w:tcPr>
          <w:p w:rsidR="003C101D" w:rsidRDefault="003C101D" w:rsidP="003B4BCE">
            <w:pPr>
              <w:ind w:left="34"/>
              <w:rPr>
                <w:rFonts w:ascii="Times New Roman" w:hAnsi="Times New Roman" w:cs="Times New Roman"/>
                <w:sz w:val="24"/>
                <w:szCs w:val="24"/>
              </w:rPr>
            </w:pPr>
            <w:r>
              <w:rPr>
                <w:rFonts w:ascii="Times New Roman" w:hAnsi="Times New Roman" w:cs="Times New Roman"/>
                <w:sz w:val="24"/>
                <w:szCs w:val="24"/>
                <w:lang w:val="da-DK"/>
              </w:rPr>
              <w:t>Aldersgruppe</w:t>
            </w:r>
          </w:p>
        </w:tc>
        <w:tc>
          <w:tcPr>
            <w:tcW w:w="2688" w:type="dxa"/>
            <w:tcBorders>
              <w:top w:val="single" w:sz="4" w:space="0" w:color="auto"/>
              <w:left w:val="nil"/>
              <w:bottom w:val="single" w:sz="4" w:space="0" w:color="auto"/>
              <w:right w:val="nil"/>
            </w:tcBorders>
            <w:shd w:val="clear" w:color="auto" w:fill="BFBFBF" w:themeFill="background1" w:themeFillShade="BF"/>
            <w:hideMark/>
          </w:tcPr>
          <w:p w:rsidR="003C101D" w:rsidRDefault="003C101D" w:rsidP="003B4BCE">
            <w:pPr>
              <w:ind w:left="29"/>
              <w:rPr>
                <w:rFonts w:ascii="Times New Roman" w:hAnsi="Times New Roman" w:cs="Times New Roman"/>
                <w:sz w:val="24"/>
                <w:szCs w:val="24"/>
              </w:rPr>
            </w:pPr>
            <w:r>
              <w:rPr>
                <w:rFonts w:ascii="Times New Roman" w:hAnsi="Times New Roman" w:cs="Times New Roman"/>
                <w:sz w:val="24"/>
                <w:szCs w:val="24"/>
                <w:lang w:val="da-DK"/>
              </w:rPr>
              <w:t>Procedure</w:t>
            </w:r>
          </w:p>
        </w:tc>
        <w:tc>
          <w:tcPr>
            <w:tcW w:w="2994" w:type="dxa"/>
            <w:tcBorders>
              <w:top w:val="single" w:sz="4" w:space="0" w:color="auto"/>
              <w:left w:val="nil"/>
              <w:bottom w:val="single" w:sz="4" w:space="0" w:color="auto"/>
              <w:right w:val="single" w:sz="4" w:space="0" w:color="auto"/>
            </w:tcBorders>
            <w:shd w:val="clear" w:color="auto" w:fill="BFBFBF" w:themeFill="background1" w:themeFillShade="BF"/>
            <w:hideMark/>
          </w:tcPr>
          <w:p w:rsidR="003C101D" w:rsidRDefault="003C101D" w:rsidP="003B4BCE">
            <w:pPr>
              <w:ind w:left="23"/>
              <w:rPr>
                <w:rFonts w:ascii="Times New Roman" w:hAnsi="Times New Roman" w:cs="Times New Roman"/>
                <w:sz w:val="24"/>
                <w:szCs w:val="24"/>
              </w:rPr>
            </w:pPr>
            <w:r>
              <w:rPr>
                <w:rFonts w:ascii="Times New Roman" w:hAnsi="Times New Roman" w:cs="Times New Roman"/>
                <w:sz w:val="24"/>
                <w:szCs w:val="24"/>
                <w:lang w:val="da-DK"/>
              </w:rPr>
              <w:t>Dosering og applikationstid</w:t>
            </w:r>
          </w:p>
        </w:tc>
      </w:tr>
      <w:tr w:rsidR="003C101D" w:rsidTr="003B4BCE">
        <w:tc>
          <w:tcPr>
            <w:tcW w:w="2840" w:type="dxa"/>
            <w:tcBorders>
              <w:top w:val="single" w:sz="4" w:space="0" w:color="auto"/>
              <w:left w:val="single" w:sz="4" w:space="0" w:color="auto"/>
              <w:bottom w:val="single" w:sz="4" w:space="0" w:color="auto"/>
              <w:right w:val="single" w:sz="4" w:space="0" w:color="auto"/>
            </w:tcBorders>
          </w:tcPr>
          <w:p w:rsidR="003C101D" w:rsidRDefault="003C101D" w:rsidP="003B4BCE">
            <w:pPr>
              <w:ind w:left="34"/>
              <w:rPr>
                <w:rFonts w:ascii="Times New Roman" w:hAnsi="Times New Roman" w:cs="Times New Roman"/>
                <w:sz w:val="24"/>
                <w:szCs w:val="24"/>
              </w:rPr>
            </w:pPr>
          </w:p>
        </w:tc>
        <w:tc>
          <w:tcPr>
            <w:tcW w:w="2688" w:type="dxa"/>
            <w:tcBorders>
              <w:top w:val="single" w:sz="4" w:space="0" w:color="auto"/>
              <w:left w:val="single" w:sz="4" w:space="0" w:color="auto"/>
              <w:bottom w:val="single" w:sz="4" w:space="0" w:color="auto"/>
              <w:right w:val="single" w:sz="4" w:space="0" w:color="auto"/>
            </w:tcBorders>
            <w:hideMark/>
          </w:tcPr>
          <w:p w:rsidR="003C101D" w:rsidRDefault="003C101D" w:rsidP="003B4BCE">
            <w:pPr>
              <w:ind w:left="29"/>
              <w:rPr>
                <w:rFonts w:ascii="Times New Roman" w:hAnsi="Times New Roman" w:cs="Times New Roman"/>
                <w:sz w:val="24"/>
                <w:szCs w:val="24"/>
                <w:lang w:val="da-DK"/>
              </w:rPr>
            </w:pPr>
            <w:r>
              <w:rPr>
                <w:rFonts w:ascii="Times New Roman" w:hAnsi="Times New Roman" w:cs="Times New Roman"/>
                <w:sz w:val="24"/>
                <w:szCs w:val="24"/>
                <w:lang w:val="da-DK"/>
              </w:rPr>
              <w:t>Mindre indgreb, f.eks. indstik af kanyler og kirurgisk behandling af afgrænsede læsioner.</w:t>
            </w:r>
          </w:p>
        </w:tc>
        <w:tc>
          <w:tcPr>
            <w:tcW w:w="2994" w:type="dxa"/>
            <w:tcBorders>
              <w:top w:val="single" w:sz="4" w:space="0" w:color="auto"/>
              <w:left w:val="single" w:sz="4" w:space="0" w:color="auto"/>
              <w:bottom w:val="single" w:sz="4" w:space="0" w:color="auto"/>
              <w:right w:val="single" w:sz="4" w:space="0" w:color="auto"/>
            </w:tcBorders>
            <w:hideMark/>
          </w:tcPr>
          <w:p w:rsidR="003C101D" w:rsidRDefault="003C101D" w:rsidP="003B4BCE">
            <w:pPr>
              <w:ind w:left="23"/>
              <w:rPr>
                <w:rFonts w:ascii="Times New Roman" w:hAnsi="Times New Roman" w:cs="Times New Roman"/>
                <w:sz w:val="24"/>
                <w:szCs w:val="24"/>
                <w:lang w:val="da-DK"/>
              </w:rPr>
            </w:pPr>
            <w:r>
              <w:rPr>
                <w:rFonts w:ascii="Times New Roman" w:hAnsi="Times New Roman" w:cs="Times New Roman"/>
                <w:sz w:val="24"/>
                <w:szCs w:val="24"/>
                <w:lang w:val="da-DK"/>
              </w:rPr>
              <w:t>Cirka 1 g/10 cm</w:t>
            </w:r>
            <w:r>
              <w:rPr>
                <w:rFonts w:ascii="Times New Roman" w:hAnsi="Times New Roman" w:cs="Times New Roman"/>
                <w:sz w:val="24"/>
                <w:szCs w:val="24"/>
                <w:vertAlign w:val="superscript"/>
                <w:lang w:val="da-DK"/>
              </w:rPr>
              <w:t>2</w:t>
            </w:r>
            <w:r>
              <w:rPr>
                <w:rFonts w:ascii="Times New Roman" w:hAnsi="Times New Roman" w:cs="Times New Roman"/>
                <w:sz w:val="24"/>
                <w:szCs w:val="24"/>
                <w:lang w:val="da-DK"/>
              </w:rPr>
              <w:t xml:space="preserve"> i en time (se yderligere oplysninger nedenfor)</w:t>
            </w:r>
          </w:p>
        </w:tc>
      </w:tr>
      <w:tr w:rsidR="003C101D" w:rsidTr="003B4BCE">
        <w:tc>
          <w:tcPr>
            <w:tcW w:w="2840" w:type="dxa"/>
            <w:tcBorders>
              <w:top w:val="single" w:sz="4" w:space="0" w:color="auto"/>
              <w:left w:val="single" w:sz="4" w:space="0" w:color="auto"/>
              <w:bottom w:val="single" w:sz="4" w:space="0" w:color="auto"/>
              <w:right w:val="single" w:sz="4" w:space="0" w:color="auto"/>
            </w:tcBorders>
            <w:hideMark/>
          </w:tcPr>
          <w:p w:rsidR="003C101D" w:rsidRDefault="003C101D" w:rsidP="003B4BCE">
            <w:pPr>
              <w:ind w:left="34"/>
              <w:rPr>
                <w:rFonts w:ascii="Times New Roman" w:hAnsi="Times New Roman" w:cs="Times New Roman"/>
                <w:sz w:val="24"/>
                <w:szCs w:val="24"/>
                <w:lang w:val="da-DK"/>
              </w:rPr>
            </w:pPr>
            <w:r>
              <w:rPr>
                <w:rFonts w:ascii="Times New Roman" w:hAnsi="Times New Roman" w:cs="Times New Roman"/>
                <w:sz w:val="24"/>
                <w:szCs w:val="24"/>
                <w:lang w:val="da-DK"/>
              </w:rPr>
              <w:t>Nyfødte og spædbørn i alderen 0-2 måneder</w:t>
            </w:r>
            <w:r>
              <w:rPr>
                <w:rFonts w:ascii="Times New Roman" w:hAnsi="Times New Roman" w:cs="Times New Roman"/>
                <w:sz w:val="24"/>
                <w:szCs w:val="24"/>
                <w:vertAlign w:val="superscript"/>
                <w:lang w:val="da-DK"/>
              </w:rPr>
              <w:t>1)2)3)</w:t>
            </w:r>
          </w:p>
        </w:tc>
        <w:tc>
          <w:tcPr>
            <w:tcW w:w="2688" w:type="dxa"/>
            <w:tcBorders>
              <w:top w:val="single" w:sz="4" w:space="0" w:color="auto"/>
              <w:left w:val="single" w:sz="4" w:space="0" w:color="auto"/>
              <w:bottom w:val="single" w:sz="4" w:space="0" w:color="auto"/>
              <w:right w:val="single" w:sz="4" w:space="0" w:color="auto"/>
            </w:tcBorders>
          </w:tcPr>
          <w:p w:rsidR="003C101D" w:rsidRDefault="003C101D" w:rsidP="003B4BCE">
            <w:pPr>
              <w:ind w:left="29"/>
              <w:rPr>
                <w:rFonts w:ascii="Times New Roman" w:hAnsi="Times New Roman" w:cs="Times New Roman"/>
                <w:sz w:val="24"/>
                <w:szCs w:val="24"/>
                <w:lang w:val="da-DK"/>
              </w:rPr>
            </w:pPr>
          </w:p>
        </w:tc>
        <w:tc>
          <w:tcPr>
            <w:tcW w:w="2994" w:type="dxa"/>
            <w:tcBorders>
              <w:top w:val="single" w:sz="4" w:space="0" w:color="auto"/>
              <w:left w:val="single" w:sz="4" w:space="0" w:color="auto"/>
              <w:bottom w:val="single" w:sz="4" w:space="0" w:color="auto"/>
              <w:right w:val="single" w:sz="4" w:space="0" w:color="auto"/>
            </w:tcBorders>
            <w:hideMark/>
          </w:tcPr>
          <w:p w:rsidR="003C101D" w:rsidRDefault="003C101D" w:rsidP="003B4BCE">
            <w:pPr>
              <w:ind w:left="23"/>
              <w:rPr>
                <w:rFonts w:ascii="Times New Roman" w:hAnsi="Times New Roman" w:cs="Times New Roman"/>
                <w:sz w:val="24"/>
                <w:szCs w:val="24"/>
                <w:lang w:val="da-DK"/>
              </w:rPr>
            </w:pPr>
            <w:r>
              <w:rPr>
                <w:rFonts w:ascii="Times New Roman" w:hAnsi="Times New Roman" w:cs="Times New Roman"/>
                <w:sz w:val="24"/>
                <w:szCs w:val="24"/>
                <w:lang w:val="da-DK"/>
              </w:rPr>
              <w:t>Op til 1 g og 10 cm</w:t>
            </w:r>
            <w:r>
              <w:rPr>
                <w:rFonts w:ascii="Times New Roman" w:hAnsi="Times New Roman" w:cs="Times New Roman"/>
                <w:sz w:val="24"/>
                <w:szCs w:val="24"/>
                <w:vertAlign w:val="superscript"/>
                <w:lang w:val="da-DK"/>
              </w:rPr>
              <w:t>2</w:t>
            </w:r>
            <w:r>
              <w:rPr>
                <w:rFonts w:ascii="Times New Roman" w:hAnsi="Times New Roman" w:cs="Times New Roman"/>
                <w:sz w:val="24"/>
                <w:szCs w:val="24"/>
                <w:lang w:val="da-DK"/>
              </w:rPr>
              <w:t xml:space="preserve"> i en time</w:t>
            </w:r>
            <w:r>
              <w:rPr>
                <w:rFonts w:ascii="Times New Roman" w:hAnsi="Times New Roman" w:cs="Times New Roman"/>
                <w:sz w:val="24"/>
                <w:szCs w:val="24"/>
                <w:vertAlign w:val="superscript"/>
                <w:lang w:val="da-DK"/>
              </w:rPr>
              <w:t>4)</w:t>
            </w:r>
          </w:p>
        </w:tc>
      </w:tr>
      <w:tr w:rsidR="003C101D" w:rsidTr="003B4BCE">
        <w:tc>
          <w:tcPr>
            <w:tcW w:w="2840" w:type="dxa"/>
            <w:tcBorders>
              <w:top w:val="single" w:sz="4" w:space="0" w:color="auto"/>
              <w:left w:val="single" w:sz="4" w:space="0" w:color="auto"/>
              <w:bottom w:val="single" w:sz="4" w:space="0" w:color="auto"/>
              <w:right w:val="single" w:sz="4" w:space="0" w:color="auto"/>
            </w:tcBorders>
            <w:hideMark/>
          </w:tcPr>
          <w:p w:rsidR="003C101D" w:rsidRDefault="003C101D" w:rsidP="003B4BCE">
            <w:pPr>
              <w:ind w:left="34"/>
              <w:rPr>
                <w:rFonts w:ascii="Times New Roman" w:hAnsi="Times New Roman" w:cs="Times New Roman"/>
                <w:sz w:val="24"/>
                <w:szCs w:val="24"/>
              </w:rPr>
            </w:pPr>
            <w:r>
              <w:rPr>
                <w:rFonts w:ascii="Times New Roman" w:hAnsi="Times New Roman" w:cs="Times New Roman"/>
                <w:lang w:val="da-DK"/>
              </w:rPr>
              <w:t>Spædbørn i alderen 3-11 måneder</w:t>
            </w:r>
            <w:r>
              <w:rPr>
                <w:rFonts w:ascii="Times New Roman" w:hAnsi="Times New Roman" w:cs="Times New Roman"/>
                <w:vertAlign w:val="superscript"/>
                <w:lang w:val="da-DK"/>
              </w:rPr>
              <w:t>1)2)</w:t>
            </w:r>
          </w:p>
        </w:tc>
        <w:tc>
          <w:tcPr>
            <w:tcW w:w="2688" w:type="dxa"/>
            <w:tcBorders>
              <w:top w:val="single" w:sz="4" w:space="0" w:color="auto"/>
              <w:left w:val="single" w:sz="4" w:space="0" w:color="auto"/>
              <w:bottom w:val="single" w:sz="4" w:space="0" w:color="auto"/>
              <w:right w:val="single" w:sz="4" w:space="0" w:color="auto"/>
            </w:tcBorders>
          </w:tcPr>
          <w:p w:rsidR="003C101D" w:rsidRDefault="003C101D" w:rsidP="003B4BCE">
            <w:pPr>
              <w:ind w:left="29"/>
              <w:rPr>
                <w:rFonts w:ascii="Times New Roman" w:hAnsi="Times New Roman" w:cs="Times New Roman"/>
                <w:sz w:val="24"/>
                <w:szCs w:val="24"/>
              </w:rPr>
            </w:pPr>
          </w:p>
        </w:tc>
        <w:tc>
          <w:tcPr>
            <w:tcW w:w="2994" w:type="dxa"/>
            <w:tcBorders>
              <w:top w:val="single" w:sz="4" w:space="0" w:color="auto"/>
              <w:left w:val="single" w:sz="4" w:space="0" w:color="auto"/>
              <w:bottom w:val="single" w:sz="4" w:space="0" w:color="auto"/>
              <w:right w:val="single" w:sz="4" w:space="0" w:color="auto"/>
            </w:tcBorders>
            <w:hideMark/>
          </w:tcPr>
          <w:p w:rsidR="003C101D" w:rsidRDefault="003C101D" w:rsidP="003B4BCE">
            <w:pPr>
              <w:ind w:left="23"/>
              <w:rPr>
                <w:rFonts w:ascii="Times New Roman" w:hAnsi="Times New Roman" w:cs="Times New Roman"/>
                <w:sz w:val="24"/>
                <w:szCs w:val="24"/>
                <w:lang w:val="da-DK"/>
              </w:rPr>
            </w:pPr>
            <w:r>
              <w:rPr>
                <w:rFonts w:ascii="Times New Roman" w:hAnsi="Times New Roman" w:cs="Times New Roman"/>
                <w:sz w:val="24"/>
                <w:szCs w:val="24"/>
                <w:lang w:val="da-DK"/>
              </w:rPr>
              <w:t>Op til 2 g og 20 cm</w:t>
            </w:r>
            <w:r w:rsidRPr="00B809B0">
              <w:rPr>
                <w:rFonts w:ascii="Times New Roman" w:hAnsi="Times New Roman" w:cs="Times New Roman"/>
                <w:sz w:val="24"/>
                <w:szCs w:val="24"/>
                <w:vertAlign w:val="superscript"/>
                <w:lang w:val="da-DK"/>
              </w:rPr>
              <w:t>2</w:t>
            </w:r>
            <w:r>
              <w:rPr>
                <w:rFonts w:ascii="Times New Roman" w:hAnsi="Times New Roman" w:cs="Times New Roman"/>
                <w:sz w:val="24"/>
                <w:szCs w:val="24"/>
                <w:lang w:val="da-DK"/>
              </w:rPr>
              <w:t xml:space="preserve"> i en time</w:t>
            </w:r>
            <w:r>
              <w:rPr>
                <w:rFonts w:ascii="Times New Roman" w:hAnsi="Times New Roman" w:cs="Times New Roman"/>
                <w:sz w:val="24"/>
                <w:szCs w:val="24"/>
                <w:vertAlign w:val="superscript"/>
                <w:lang w:val="da-DK"/>
              </w:rPr>
              <w:t>5)</w:t>
            </w:r>
          </w:p>
        </w:tc>
      </w:tr>
      <w:tr w:rsidR="003C101D" w:rsidTr="003B4BCE">
        <w:tc>
          <w:tcPr>
            <w:tcW w:w="2840" w:type="dxa"/>
            <w:tcBorders>
              <w:top w:val="single" w:sz="4" w:space="0" w:color="auto"/>
              <w:left w:val="single" w:sz="4" w:space="0" w:color="auto"/>
              <w:bottom w:val="single" w:sz="4" w:space="0" w:color="auto"/>
              <w:right w:val="single" w:sz="4" w:space="0" w:color="auto"/>
            </w:tcBorders>
            <w:hideMark/>
          </w:tcPr>
          <w:p w:rsidR="003C101D" w:rsidRDefault="003C101D" w:rsidP="003B4BCE">
            <w:pPr>
              <w:ind w:left="34"/>
              <w:rPr>
                <w:rFonts w:ascii="Times New Roman" w:hAnsi="Times New Roman" w:cs="Times New Roman"/>
                <w:sz w:val="24"/>
                <w:szCs w:val="24"/>
                <w:lang w:val="da-DK"/>
              </w:rPr>
            </w:pPr>
            <w:r>
              <w:rPr>
                <w:rFonts w:ascii="Times New Roman" w:hAnsi="Times New Roman" w:cs="Times New Roman"/>
                <w:sz w:val="24"/>
                <w:szCs w:val="24"/>
                <w:lang w:val="da-DK"/>
              </w:rPr>
              <w:t>Småbørn og børn i alderen 1-5 år</w:t>
            </w:r>
          </w:p>
        </w:tc>
        <w:tc>
          <w:tcPr>
            <w:tcW w:w="2688" w:type="dxa"/>
            <w:tcBorders>
              <w:top w:val="single" w:sz="4" w:space="0" w:color="auto"/>
              <w:left w:val="single" w:sz="4" w:space="0" w:color="auto"/>
              <w:bottom w:val="single" w:sz="4" w:space="0" w:color="auto"/>
              <w:right w:val="single" w:sz="4" w:space="0" w:color="auto"/>
            </w:tcBorders>
          </w:tcPr>
          <w:p w:rsidR="003C101D" w:rsidRDefault="003C101D" w:rsidP="003B4BCE">
            <w:pPr>
              <w:ind w:left="29"/>
              <w:rPr>
                <w:rFonts w:ascii="Times New Roman" w:hAnsi="Times New Roman" w:cs="Times New Roman"/>
                <w:sz w:val="24"/>
                <w:szCs w:val="24"/>
                <w:lang w:val="da-DK"/>
              </w:rPr>
            </w:pPr>
          </w:p>
        </w:tc>
        <w:tc>
          <w:tcPr>
            <w:tcW w:w="2994" w:type="dxa"/>
            <w:tcBorders>
              <w:top w:val="single" w:sz="4" w:space="0" w:color="auto"/>
              <w:left w:val="single" w:sz="4" w:space="0" w:color="auto"/>
              <w:bottom w:val="single" w:sz="4" w:space="0" w:color="auto"/>
              <w:right w:val="single" w:sz="4" w:space="0" w:color="auto"/>
            </w:tcBorders>
            <w:hideMark/>
          </w:tcPr>
          <w:p w:rsidR="003C101D" w:rsidRDefault="003C101D" w:rsidP="003B4BCE">
            <w:pPr>
              <w:ind w:left="23"/>
              <w:rPr>
                <w:rFonts w:ascii="Times New Roman" w:hAnsi="Times New Roman" w:cs="Times New Roman"/>
                <w:sz w:val="24"/>
                <w:szCs w:val="24"/>
                <w:lang w:val="da-DK"/>
              </w:rPr>
            </w:pPr>
            <w:r>
              <w:rPr>
                <w:rFonts w:ascii="Times New Roman" w:hAnsi="Times New Roman" w:cs="Times New Roman"/>
                <w:sz w:val="24"/>
                <w:szCs w:val="24"/>
                <w:lang w:val="da-DK"/>
              </w:rPr>
              <w:t>Op til 10 g og 100 cm</w:t>
            </w:r>
            <w:r w:rsidRPr="0055616D">
              <w:rPr>
                <w:rFonts w:ascii="Times New Roman" w:hAnsi="Times New Roman" w:cs="Times New Roman"/>
                <w:sz w:val="24"/>
                <w:szCs w:val="24"/>
                <w:vertAlign w:val="superscript"/>
                <w:lang w:val="da-DK"/>
              </w:rPr>
              <w:t>2</w:t>
            </w:r>
            <w:r>
              <w:rPr>
                <w:rFonts w:ascii="Times New Roman" w:hAnsi="Times New Roman" w:cs="Times New Roman"/>
                <w:sz w:val="24"/>
                <w:szCs w:val="24"/>
                <w:lang w:val="da-DK"/>
              </w:rPr>
              <w:t xml:space="preserve"> i 1-5 timer</w:t>
            </w:r>
            <w:r>
              <w:rPr>
                <w:rFonts w:ascii="Times New Roman" w:hAnsi="Times New Roman" w:cs="Times New Roman"/>
                <w:sz w:val="24"/>
                <w:szCs w:val="24"/>
                <w:vertAlign w:val="superscript"/>
                <w:lang w:val="da-DK"/>
              </w:rPr>
              <w:t>6)</w:t>
            </w:r>
          </w:p>
        </w:tc>
      </w:tr>
      <w:tr w:rsidR="003C101D" w:rsidTr="003B4BCE">
        <w:tc>
          <w:tcPr>
            <w:tcW w:w="2840" w:type="dxa"/>
            <w:tcBorders>
              <w:top w:val="single" w:sz="4" w:space="0" w:color="auto"/>
              <w:left w:val="single" w:sz="4" w:space="0" w:color="auto"/>
              <w:bottom w:val="single" w:sz="4" w:space="0" w:color="auto"/>
              <w:right w:val="single" w:sz="4" w:space="0" w:color="auto"/>
            </w:tcBorders>
            <w:hideMark/>
          </w:tcPr>
          <w:p w:rsidR="003C101D" w:rsidRDefault="003C101D" w:rsidP="003B4BCE">
            <w:pPr>
              <w:ind w:left="34"/>
              <w:rPr>
                <w:rFonts w:ascii="Times New Roman" w:hAnsi="Times New Roman" w:cs="Times New Roman"/>
                <w:sz w:val="24"/>
                <w:szCs w:val="24"/>
              </w:rPr>
            </w:pPr>
            <w:r>
              <w:rPr>
                <w:rFonts w:ascii="Times New Roman" w:hAnsi="Times New Roman" w:cs="Times New Roman"/>
                <w:sz w:val="24"/>
                <w:szCs w:val="24"/>
                <w:lang w:val="da-DK"/>
              </w:rPr>
              <w:t>Børn i alderen 6-11 år</w:t>
            </w:r>
          </w:p>
        </w:tc>
        <w:tc>
          <w:tcPr>
            <w:tcW w:w="2688" w:type="dxa"/>
            <w:tcBorders>
              <w:top w:val="single" w:sz="4" w:space="0" w:color="auto"/>
              <w:left w:val="single" w:sz="4" w:space="0" w:color="auto"/>
              <w:bottom w:val="single" w:sz="4" w:space="0" w:color="auto"/>
              <w:right w:val="single" w:sz="4" w:space="0" w:color="auto"/>
            </w:tcBorders>
          </w:tcPr>
          <w:p w:rsidR="003C101D" w:rsidRDefault="003C101D" w:rsidP="003B4BCE">
            <w:pPr>
              <w:ind w:left="29"/>
              <w:rPr>
                <w:rFonts w:ascii="Times New Roman" w:hAnsi="Times New Roman" w:cs="Times New Roman"/>
                <w:sz w:val="24"/>
                <w:szCs w:val="24"/>
              </w:rPr>
            </w:pPr>
          </w:p>
        </w:tc>
        <w:tc>
          <w:tcPr>
            <w:tcW w:w="2994" w:type="dxa"/>
            <w:tcBorders>
              <w:top w:val="single" w:sz="4" w:space="0" w:color="auto"/>
              <w:left w:val="single" w:sz="4" w:space="0" w:color="auto"/>
              <w:bottom w:val="single" w:sz="4" w:space="0" w:color="auto"/>
              <w:right w:val="single" w:sz="4" w:space="0" w:color="auto"/>
            </w:tcBorders>
            <w:hideMark/>
          </w:tcPr>
          <w:p w:rsidR="003C101D" w:rsidRDefault="003C101D" w:rsidP="003B4BCE">
            <w:pPr>
              <w:ind w:left="23"/>
              <w:rPr>
                <w:rFonts w:ascii="Times New Roman" w:hAnsi="Times New Roman" w:cs="Times New Roman"/>
                <w:sz w:val="24"/>
                <w:szCs w:val="24"/>
                <w:lang w:val="da-DK"/>
              </w:rPr>
            </w:pPr>
            <w:r>
              <w:rPr>
                <w:rFonts w:ascii="Times New Roman" w:hAnsi="Times New Roman" w:cs="Times New Roman"/>
                <w:sz w:val="24"/>
                <w:szCs w:val="24"/>
                <w:lang w:val="da-DK"/>
              </w:rPr>
              <w:t>Op til 20 g og 200 cm</w:t>
            </w:r>
            <w:r>
              <w:rPr>
                <w:rFonts w:ascii="Times New Roman" w:hAnsi="Times New Roman" w:cs="Times New Roman"/>
                <w:sz w:val="24"/>
                <w:szCs w:val="24"/>
                <w:vertAlign w:val="superscript"/>
                <w:lang w:val="da-DK"/>
              </w:rPr>
              <w:t>2</w:t>
            </w:r>
            <w:r>
              <w:rPr>
                <w:rFonts w:ascii="Times New Roman" w:hAnsi="Times New Roman" w:cs="Times New Roman"/>
                <w:sz w:val="24"/>
                <w:szCs w:val="24"/>
                <w:lang w:val="da-DK"/>
              </w:rPr>
              <w:t xml:space="preserve"> i 1-5 timer</w:t>
            </w:r>
            <w:r>
              <w:rPr>
                <w:rFonts w:ascii="Times New Roman" w:hAnsi="Times New Roman" w:cs="Times New Roman"/>
                <w:sz w:val="24"/>
                <w:szCs w:val="24"/>
                <w:vertAlign w:val="superscript"/>
                <w:lang w:val="da-DK"/>
              </w:rPr>
              <w:t>6)</w:t>
            </w:r>
          </w:p>
        </w:tc>
      </w:tr>
      <w:tr w:rsidR="003C101D" w:rsidTr="003B4BCE">
        <w:tc>
          <w:tcPr>
            <w:tcW w:w="2840" w:type="dxa"/>
            <w:tcBorders>
              <w:top w:val="single" w:sz="4" w:space="0" w:color="auto"/>
              <w:left w:val="single" w:sz="4" w:space="0" w:color="auto"/>
              <w:bottom w:val="single" w:sz="4" w:space="0" w:color="auto"/>
              <w:right w:val="single" w:sz="4" w:space="0" w:color="auto"/>
            </w:tcBorders>
            <w:hideMark/>
          </w:tcPr>
          <w:p w:rsidR="003C101D" w:rsidRDefault="003C101D" w:rsidP="003B4BCE">
            <w:pPr>
              <w:ind w:left="34"/>
              <w:rPr>
                <w:rFonts w:ascii="Times New Roman" w:hAnsi="Times New Roman" w:cs="Times New Roman"/>
                <w:sz w:val="24"/>
                <w:szCs w:val="24"/>
                <w:lang w:val="da-DK"/>
              </w:rPr>
            </w:pPr>
            <w:r>
              <w:rPr>
                <w:rFonts w:ascii="Times New Roman" w:hAnsi="Times New Roman" w:cs="Times New Roman"/>
                <w:sz w:val="24"/>
                <w:szCs w:val="24"/>
                <w:lang w:val="da-DK"/>
              </w:rPr>
              <w:t xml:space="preserve">Pædiatriske patienter med </w:t>
            </w:r>
            <w:proofErr w:type="spellStart"/>
            <w:r>
              <w:rPr>
                <w:rFonts w:ascii="Times New Roman" w:hAnsi="Times New Roman" w:cs="Times New Roman"/>
                <w:sz w:val="24"/>
                <w:szCs w:val="24"/>
                <w:lang w:val="da-DK"/>
              </w:rPr>
              <w:t>atopisk</w:t>
            </w:r>
            <w:proofErr w:type="spellEnd"/>
            <w:r>
              <w:rPr>
                <w:rFonts w:ascii="Times New Roman" w:hAnsi="Times New Roman" w:cs="Times New Roman"/>
                <w:sz w:val="24"/>
                <w:szCs w:val="24"/>
                <w:lang w:val="da-DK"/>
              </w:rPr>
              <w:t xml:space="preserve"> </w:t>
            </w:r>
            <w:proofErr w:type="spellStart"/>
            <w:r>
              <w:rPr>
                <w:rFonts w:ascii="Times New Roman" w:hAnsi="Times New Roman" w:cs="Times New Roman"/>
                <w:sz w:val="24"/>
                <w:szCs w:val="24"/>
                <w:lang w:val="da-DK"/>
              </w:rPr>
              <w:t>dermatit</w:t>
            </w:r>
            <w:proofErr w:type="spellEnd"/>
          </w:p>
        </w:tc>
        <w:tc>
          <w:tcPr>
            <w:tcW w:w="2688" w:type="dxa"/>
            <w:tcBorders>
              <w:top w:val="single" w:sz="4" w:space="0" w:color="auto"/>
              <w:left w:val="single" w:sz="4" w:space="0" w:color="auto"/>
              <w:bottom w:val="single" w:sz="4" w:space="0" w:color="auto"/>
              <w:right w:val="single" w:sz="4" w:space="0" w:color="auto"/>
            </w:tcBorders>
            <w:hideMark/>
          </w:tcPr>
          <w:p w:rsidR="003C101D" w:rsidRDefault="003C101D" w:rsidP="003B4BCE">
            <w:pPr>
              <w:ind w:left="29"/>
              <w:rPr>
                <w:rFonts w:ascii="Times New Roman" w:hAnsi="Times New Roman" w:cs="Times New Roman"/>
                <w:sz w:val="24"/>
                <w:szCs w:val="24"/>
              </w:rPr>
            </w:pPr>
            <w:r>
              <w:rPr>
                <w:rFonts w:ascii="Times New Roman" w:hAnsi="Times New Roman" w:cs="Times New Roman"/>
                <w:sz w:val="24"/>
                <w:szCs w:val="24"/>
                <w:lang w:val="da-DK"/>
              </w:rPr>
              <w:t>Inden fjernelse af molluskler</w:t>
            </w:r>
          </w:p>
        </w:tc>
        <w:tc>
          <w:tcPr>
            <w:tcW w:w="2994" w:type="dxa"/>
            <w:tcBorders>
              <w:top w:val="single" w:sz="4" w:space="0" w:color="auto"/>
              <w:left w:val="single" w:sz="4" w:space="0" w:color="auto"/>
              <w:bottom w:val="single" w:sz="4" w:space="0" w:color="auto"/>
              <w:right w:val="single" w:sz="4" w:space="0" w:color="auto"/>
            </w:tcBorders>
            <w:hideMark/>
          </w:tcPr>
          <w:p w:rsidR="003C101D" w:rsidRDefault="003C101D" w:rsidP="003B4BCE">
            <w:pPr>
              <w:ind w:left="23"/>
              <w:rPr>
                <w:rFonts w:ascii="Times New Roman" w:hAnsi="Times New Roman" w:cs="Times New Roman"/>
                <w:sz w:val="24"/>
                <w:szCs w:val="24"/>
              </w:rPr>
            </w:pPr>
            <w:r>
              <w:rPr>
                <w:rFonts w:ascii="Times New Roman" w:hAnsi="Times New Roman" w:cs="Times New Roman"/>
                <w:sz w:val="24"/>
                <w:szCs w:val="24"/>
                <w:lang w:val="da-DK"/>
              </w:rPr>
              <w:t>Applikationstid: 30 minutter</w:t>
            </w:r>
          </w:p>
        </w:tc>
      </w:tr>
    </w:tbl>
    <w:p w:rsidR="003C101D" w:rsidRDefault="003C101D" w:rsidP="003C101D">
      <w:pPr>
        <w:ind w:left="851"/>
        <w:rPr>
          <w:sz w:val="24"/>
          <w:szCs w:val="24"/>
        </w:rPr>
      </w:pPr>
    </w:p>
    <w:p w:rsidR="003C101D" w:rsidRDefault="003C101D" w:rsidP="003C101D">
      <w:pPr>
        <w:ind w:left="1134" w:hanging="283"/>
        <w:rPr>
          <w:sz w:val="24"/>
          <w:szCs w:val="24"/>
        </w:rPr>
      </w:pPr>
      <w:r>
        <w:rPr>
          <w:sz w:val="24"/>
          <w:szCs w:val="24"/>
          <w:vertAlign w:val="superscript"/>
        </w:rPr>
        <w:t>1)</w:t>
      </w:r>
      <w:r>
        <w:rPr>
          <w:sz w:val="24"/>
          <w:szCs w:val="24"/>
          <w:vertAlign w:val="superscript"/>
        </w:rPr>
        <w:tab/>
      </w:r>
      <w:r>
        <w:rPr>
          <w:sz w:val="24"/>
          <w:szCs w:val="24"/>
        </w:rPr>
        <w:t>Hos nyfødte og spædbørn under 3 måneder bør der kun gives en enkelt dosis i løbet af en 24-timers periode. For børn i alderen 3 måneder og derover bør der maksimalt gives 2 doser med mindst 12 timers mellemrum i løbet af et døgn, se pkt. 4.4 og 4.8.</w:t>
      </w:r>
    </w:p>
    <w:p w:rsidR="003C101D" w:rsidRDefault="003C101D" w:rsidP="003C101D">
      <w:pPr>
        <w:ind w:left="1134" w:hanging="283"/>
        <w:rPr>
          <w:sz w:val="24"/>
          <w:szCs w:val="24"/>
        </w:rPr>
      </w:pPr>
      <w:r>
        <w:rPr>
          <w:sz w:val="24"/>
          <w:szCs w:val="24"/>
          <w:vertAlign w:val="superscript"/>
        </w:rPr>
        <w:t>2)</w:t>
      </w:r>
      <w:r>
        <w:rPr>
          <w:sz w:val="24"/>
          <w:szCs w:val="24"/>
        </w:rPr>
        <w:tab/>
        <w:t xml:space="preserve">På grund af sikkerhedsvurderinger bør </w:t>
      </w:r>
      <w:proofErr w:type="spellStart"/>
      <w:r>
        <w:rPr>
          <w:sz w:val="24"/>
          <w:szCs w:val="24"/>
        </w:rPr>
        <w:t>Nulbia</w:t>
      </w:r>
      <w:proofErr w:type="spellEnd"/>
      <w:r>
        <w:rPr>
          <w:sz w:val="24"/>
          <w:szCs w:val="24"/>
        </w:rPr>
        <w:t xml:space="preserve"> ikke anvendes hos spædbørn under 12 måneder, der får behandling med methæmoglobin-inducerende midler, se pkt. 4.4 og 4.8.</w:t>
      </w:r>
    </w:p>
    <w:p w:rsidR="003C101D" w:rsidRDefault="003C101D" w:rsidP="003C101D">
      <w:pPr>
        <w:ind w:left="1134" w:hanging="283"/>
        <w:rPr>
          <w:sz w:val="24"/>
          <w:szCs w:val="24"/>
        </w:rPr>
      </w:pPr>
      <w:r>
        <w:rPr>
          <w:sz w:val="24"/>
          <w:szCs w:val="24"/>
          <w:vertAlign w:val="superscript"/>
        </w:rPr>
        <w:t>3)</w:t>
      </w:r>
      <w:r>
        <w:rPr>
          <w:sz w:val="24"/>
          <w:szCs w:val="24"/>
        </w:rPr>
        <w:tab/>
        <w:t xml:space="preserve">På grund af sikkerhedsvurderinger bør </w:t>
      </w:r>
      <w:proofErr w:type="spellStart"/>
      <w:r>
        <w:rPr>
          <w:sz w:val="24"/>
          <w:szCs w:val="24"/>
        </w:rPr>
        <w:t>Nulbia</w:t>
      </w:r>
      <w:proofErr w:type="spellEnd"/>
      <w:r>
        <w:rPr>
          <w:sz w:val="24"/>
          <w:szCs w:val="24"/>
        </w:rPr>
        <w:t xml:space="preserve"> bør ikke anvendes hos præmature spædbørn født før 37. svangerskabsuge, se pkt. 4.4.</w:t>
      </w:r>
    </w:p>
    <w:p w:rsidR="003C101D" w:rsidRDefault="003C101D" w:rsidP="003C101D">
      <w:pPr>
        <w:ind w:left="1134" w:hanging="283"/>
        <w:rPr>
          <w:sz w:val="24"/>
          <w:szCs w:val="24"/>
        </w:rPr>
      </w:pPr>
      <w:r>
        <w:rPr>
          <w:sz w:val="24"/>
          <w:szCs w:val="24"/>
          <w:vertAlign w:val="superscript"/>
        </w:rPr>
        <w:t>4)</w:t>
      </w:r>
      <w:r>
        <w:rPr>
          <w:sz w:val="24"/>
          <w:szCs w:val="24"/>
        </w:rPr>
        <w:tab/>
      </w:r>
      <w:proofErr w:type="spellStart"/>
      <w:r>
        <w:rPr>
          <w:sz w:val="24"/>
          <w:szCs w:val="24"/>
        </w:rPr>
        <w:t>Applikationtid</w:t>
      </w:r>
      <w:proofErr w:type="spellEnd"/>
      <w:r>
        <w:rPr>
          <w:sz w:val="24"/>
          <w:szCs w:val="24"/>
        </w:rPr>
        <w:t xml:space="preserve"> &gt; 1 time er ikke dokumenteret.</w:t>
      </w:r>
    </w:p>
    <w:p w:rsidR="003C101D" w:rsidRDefault="003C101D" w:rsidP="003C101D">
      <w:pPr>
        <w:ind w:left="1134" w:hanging="283"/>
        <w:rPr>
          <w:sz w:val="24"/>
          <w:szCs w:val="24"/>
        </w:rPr>
      </w:pPr>
      <w:r>
        <w:rPr>
          <w:sz w:val="24"/>
          <w:szCs w:val="24"/>
          <w:vertAlign w:val="superscript"/>
        </w:rPr>
        <w:t>5)</w:t>
      </w:r>
      <w:r>
        <w:rPr>
          <w:sz w:val="24"/>
          <w:szCs w:val="24"/>
        </w:rPr>
        <w:tab/>
        <w:t xml:space="preserve">Der er ikke set klinisk signifikant stigning i </w:t>
      </w:r>
      <w:proofErr w:type="spellStart"/>
      <w:r>
        <w:rPr>
          <w:sz w:val="24"/>
          <w:szCs w:val="24"/>
        </w:rPr>
        <w:t>methæmoglobinniveauet</w:t>
      </w:r>
      <w:proofErr w:type="spellEnd"/>
      <w:r>
        <w:rPr>
          <w:sz w:val="24"/>
          <w:szCs w:val="24"/>
        </w:rPr>
        <w:t xml:space="preserve"> efter en applikationstid på op til 4 timer på 16 cm</w:t>
      </w:r>
      <w:r>
        <w:rPr>
          <w:sz w:val="24"/>
          <w:szCs w:val="24"/>
          <w:vertAlign w:val="superscript"/>
        </w:rPr>
        <w:t>2.</w:t>
      </w:r>
    </w:p>
    <w:p w:rsidR="003C101D" w:rsidRDefault="003C101D" w:rsidP="003C101D">
      <w:pPr>
        <w:ind w:left="1134" w:hanging="283"/>
        <w:rPr>
          <w:sz w:val="24"/>
          <w:szCs w:val="24"/>
        </w:rPr>
      </w:pPr>
      <w:r>
        <w:rPr>
          <w:sz w:val="24"/>
          <w:szCs w:val="24"/>
          <w:vertAlign w:val="superscript"/>
        </w:rPr>
        <w:t>6)</w:t>
      </w:r>
      <w:r>
        <w:rPr>
          <w:sz w:val="24"/>
          <w:szCs w:val="24"/>
        </w:rPr>
        <w:tab/>
        <w:t>Efter længere applikationstid nedsættes anæstesieffekten.</w:t>
      </w:r>
    </w:p>
    <w:p w:rsidR="003C101D" w:rsidRDefault="003C101D" w:rsidP="003C101D">
      <w:pPr>
        <w:ind w:left="851"/>
        <w:rPr>
          <w:sz w:val="24"/>
          <w:szCs w:val="24"/>
        </w:rPr>
      </w:pPr>
    </w:p>
    <w:p w:rsidR="003C101D" w:rsidRDefault="003C101D" w:rsidP="003C101D">
      <w:pPr>
        <w:ind w:left="851"/>
        <w:rPr>
          <w:sz w:val="24"/>
          <w:szCs w:val="24"/>
        </w:rPr>
      </w:pPr>
      <w:r>
        <w:rPr>
          <w:sz w:val="24"/>
          <w:szCs w:val="24"/>
        </w:rPr>
        <w:t xml:space="preserve">Sikkerhed og virkning ved brug af </w:t>
      </w:r>
      <w:proofErr w:type="spellStart"/>
      <w:r>
        <w:rPr>
          <w:sz w:val="24"/>
          <w:szCs w:val="24"/>
        </w:rPr>
        <w:t>Nulbia</w:t>
      </w:r>
      <w:proofErr w:type="spellEnd"/>
      <w:r>
        <w:rPr>
          <w:sz w:val="24"/>
          <w:szCs w:val="24"/>
        </w:rPr>
        <w:t xml:space="preserve"> på </w:t>
      </w:r>
      <w:proofErr w:type="spellStart"/>
      <w:r>
        <w:rPr>
          <w:sz w:val="24"/>
          <w:szCs w:val="24"/>
        </w:rPr>
        <w:t>genitalhud</w:t>
      </w:r>
      <w:proofErr w:type="spellEnd"/>
      <w:r>
        <w:rPr>
          <w:sz w:val="24"/>
          <w:szCs w:val="24"/>
        </w:rPr>
        <w:t xml:space="preserve"> og genitalslimhinder er ikke klarlagt hos børn under 12 år.</w:t>
      </w:r>
    </w:p>
    <w:p w:rsidR="003C101D" w:rsidRDefault="003C101D" w:rsidP="003C101D">
      <w:pPr>
        <w:ind w:left="851"/>
        <w:rPr>
          <w:sz w:val="24"/>
          <w:szCs w:val="24"/>
        </w:rPr>
      </w:pPr>
    </w:p>
    <w:p w:rsidR="003C101D" w:rsidRDefault="003C101D" w:rsidP="003C101D">
      <w:pPr>
        <w:ind w:left="851"/>
        <w:rPr>
          <w:sz w:val="24"/>
          <w:szCs w:val="24"/>
        </w:rPr>
      </w:pPr>
      <w:r>
        <w:rPr>
          <w:sz w:val="24"/>
          <w:szCs w:val="24"/>
        </w:rPr>
        <w:t>Tilgængelige pædiatriske data viser ikke tilstrækkelig virkning ved omskæring.</w:t>
      </w:r>
    </w:p>
    <w:p w:rsidR="003C101D" w:rsidRDefault="003C101D" w:rsidP="003C101D">
      <w:pPr>
        <w:ind w:left="851"/>
        <w:rPr>
          <w:sz w:val="24"/>
          <w:szCs w:val="24"/>
        </w:rPr>
      </w:pPr>
    </w:p>
    <w:p w:rsidR="003C101D" w:rsidRPr="0072081B" w:rsidRDefault="003C101D" w:rsidP="003C101D">
      <w:pPr>
        <w:ind w:left="851"/>
        <w:rPr>
          <w:sz w:val="24"/>
          <w:szCs w:val="24"/>
          <w:u w:val="single"/>
        </w:rPr>
      </w:pPr>
      <w:r w:rsidRPr="0072081B">
        <w:rPr>
          <w:iCs/>
          <w:sz w:val="24"/>
          <w:szCs w:val="24"/>
          <w:u w:val="single"/>
        </w:rPr>
        <w:t>Ældre</w:t>
      </w:r>
    </w:p>
    <w:p w:rsidR="003C101D" w:rsidRDefault="003C101D" w:rsidP="003C101D">
      <w:pPr>
        <w:ind w:left="851"/>
        <w:rPr>
          <w:sz w:val="24"/>
          <w:szCs w:val="24"/>
        </w:rPr>
      </w:pPr>
      <w:r>
        <w:rPr>
          <w:sz w:val="24"/>
          <w:szCs w:val="24"/>
        </w:rPr>
        <w:t>Det er ikke nødvendigt at reducere dosis hos ældre patienter (se pkt. 5.1 og 5.2).</w:t>
      </w:r>
    </w:p>
    <w:p w:rsidR="003C101D" w:rsidRDefault="003C101D" w:rsidP="003C101D">
      <w:pPr>
        <w:ind w:left="851"/>
        <w:rPr>
          <w:sz w:val="24"/>
          <w:szCs w:val="24"/>
        </w:rPr>
      </w:pPr>
    </w:p>
    <w:p w:rsidR="003C101D" w:rsidRPr="0072081B" w:rsidRDefault="003C101D" w:rsidP="003C101D">
      <w:pPr>
        <w:ind w:left="851"/>
        <w:rPr>
          <w:sz w:val="24"/>
          <w:szCs w:val="24"/>
          <w:u w:val="single"/>
        </w:rPr>
      </w:pPr>
      <w:r w:rsidRPr="0072081B">
        <w:rPr>
          <w:iCs/>
          <w:sz w:val="24"/>
          <w:szCs w:val="24"/>
          <w:u w:val="single"/>
        </w:rPr>
        <w:t>Leverinsufficiens</w:t>
      </w:r>
    </w:p>
    <w:p w:rsidR="003C101D" w:rsidRDefault="003C101D" w:rsidP="003C101D">
      <w:pPr>
        <w:ind w:left="851"/>
        <w:rPr>
          <w:sz w:val="24"/>
          <w:szCs w:val="24"/>
        </w:rPr>
      </w:pPr>
      <w:r>
        <w:rPr>
          <w:sz w:val="24"/>
          <w:szCs w:val="24"/>
        </w:rPr>
        <w:t>Det er ikke nødvendigt at reducere en enkelt dosis hos patienter med nedsat leverfunktion (se pkt. 5.2).</w:t>
      </w:r>
    </w:p>
    <w:p w:rsidR="003C101D" w:rsidRDefault="003C101D" w:rsidP="003C101D">
      <w:pPr>
        <w:ind w:left="851"/>
        <w:rPr>
          <w:sz w:val="24"/>
          <w:szCs w:val="24"/>
        </w:rPr>
      </w:pPr>
    </w:p>
    <w:p w:rsidR="003C101D" w:rsidRPr="0072081B" w:rsidRDefault="003C101D" w:rsidP="003C101D">
      <w:pPr>
        <w:ind w:left="851"/>
        <w:rPr>
          <w:sz w:val="24"/>
          <w:szCs w:val="24"/>
          <w:u w:val="single"/>
        </w:rPr>
      </w:pPr>
      <w:r w:rsidRPr="0072081B">
        <w:rPr>
          <w:iCs/>
          <w:sz w:val="24"/>
          <w:szCs w:val="24"/>
          <w:u w:val="single"/>
        </w:rPr>
        <w:t>Nyreinsufficiens</w:t>
      </w:r>
    </w:p>
    <w:p w:rsidR="003C101D" w:rsidRDefault="003C101D" w:rsidP="003C101D">
      <w:pPr>
        <w:ind w:left="851"/>
        <w:rPr>
          <w:sz w:val="24"/>
          <w:szCs w:val="24"/>
        </w:rPr>
      </w:pPr>
      <w:r>
        <w:rPr>
          <w:sz w:val="24"/>
          <w:szCs w:val="24"/>
        </w:rPr>
        <w:t>Det er ikke nødvendigt at reducere dosis hos patienter med nedsat nyrefunktion.</w:t>
      </w:r>
    </w:p>
    <w:p w:rsidR="003C101D" w:rsidRDefault="003C101D" w:rsidP="003C101D">
      <w:pPr>
        <w:rPr>
          <w:sz w:val="24"/>
          <w:szCs w:val="24"/>
        </w:rPr>
      </w:pPr>
      <w:r>
        <w:rPr>
          <w:sz w:val="24"/>
          <w:szCs w:val="24"/>
        </w:rPr>
        <w:br w:type="page"/>
      </w:r>
    </w:p>
    <w:p w:rsidR="003C101D" w:rsidRDefault="003C101D" w:rsidP="003C101D">
      <w:pPr>
        <w:ind w:left="851"/>
        <w:rPr>
          <w:sz w:val="24"/>
          <w:szCs w:val="24"/>
        </w:rPr>
      </w:pPr>
    </w:p>
    <w:p w:rsidR="003C101D" w:rsidRPr="0072081B" w:rsidRDefault="003C101D" w:rsidP="003C101D">
      <w:pPr>
        <w:ind w:left="851"/>
        <w:rPr>
          <w:b/>
          <w:sz w:val="24"/>
          <w:szCs w:val="24"/>
        </w:rPr>
      </w:pPr>
      <w:r w:rsidRPr="0072081B">
        <w:rPr>
          <w:b/>
          <w:sz w:val="24"/>
          <w:szCs w:val="24"/>
        </w:rPr>
        <w:t>Administration</w:t>
      </w:r>
    </w:p>
    <w:p w:rsidR="003C101D" w:rsidRDefault="003C101D" w:rsidP="003C101D">
      <w:pPr>
        <w:ind w:left="851"/>
        <w:rPr>
          <w:sz w:val="24"/>
          <w:szCs w:val="24"/>
          <w:u w:val="single"/>
        </w:rPr>
      </w:pPr>
    </w:p>
    <w:p w:rsidR="003C101D" w:rsidRDefault="003C101D" w:rsidP="003C101D">
      <w:pPr>
        <w:ind w:left="851"/>
        <w:rPr>
          <w:sz w:val="24"/>
          <w:szCs w:val="24"/>
          <w:u w:val="single"/>
        </w:rPr>
      </w:pPr>
      <w:r>
        <w:rPr>
          <w:sz w:val="24"/>
          <w:szCs w:val="24"/>
          <w:u w:val="single"/>
        </w:rPr>
        <w:t xml:space="preserve">Til </w:t>
      </w:r>
      <w:proofErr w:type="spellStart"/>
      <w:r>
        <w:rPr>
          <w:sz w:val="24"/>
          <w:szCs w:val="24"/>
          <w:u w:val="single"/>
        </w:rPr>
        <w:t>kutan</w:t>
      </w:r>
      <w:proofErr w:type="spellEnd"/>
      <w:r>
        <w:rPr>
          <w:sz w:val="24"/>
          <w:szCs w:val="24"/>
          <w:u w:val="single"/>
        </w:rPr>
        <w:t xml:space="preserve"> anvendelse</w:t>
      </w:r>
    </w:p>
    <w:p w:rsidR="003C101D" w:rsidRDefault="003C101D" w:rsidP="003C101D">
      <w:pPr>
        <w:ind w:left="851"/>
        <w:rPr>
          <w:sz w:val="24"/>
          <w:szCs w:val="24"/>
        </w:rPr>
      </w:pPr>
      <w:r>
        <w:rPr>
          <w:sz w:val="24"/>
          <w:szCs w:val="24"/>
        </w:rPr>
        <w:t>Beskyttelsesmembranen på tuben perforeres ved at sætte hætten på.</w:t>
      </w:r>
    </w:p>
    <w:p w:rsidR="003C101D" w:rsidRDefault="003C101D" w:rsidP="003C101D">
      <w:pPr>
        <w:ind w:left="851"/>
        <w:rPr>
          <w:sz w:val="24"/>
          <w:szCs w:val="24"/>
        </w:rPr>
      </w:pPr>
      <w:r>
        <w:rPr>
          <w:sz w:val="24"/>
          <w:szCs w:val="24"/>
        </w:rPr>
        <w:t xml:space="preserve">For at få ét gram </w:t>
      </w:r>
      <w:proofErr w:type="spellStart"/>
      <w:r>
        <w:rPr>
          <w:sz w:val="24"/>
          <w:szCs w:val="24"/>
        </w:rPr>
        <w:t>Nulbia</w:t>
      </w:r>
      <w:proofErr w:type="spellEnd"/>
      <w:r>
        <w:rPr>
          <w:sz w:val="24"/>
          <w:szCs w:val="24"/>
        </w:rPr>
        <w:t xml:space="preserve"> fra en tube indeholdende 30 g skal der trykkes cirka 3,5 cm creme ud af tuben. Hvis der er brug for meget nøjagtig dosering for at forebygge overdosering (dvs. ved doser, der nærmer sig den maksimale dosis hos nyfødte, eller hvis der er behov for to appliceringer over en 24-timers periode), kan der anvendes en sprøjte, idet 1 ml = 1 g.</w:t>
      </w:r>
    </w:p>
    <w:p w:rsidR="003C101D" w:rsidRDefault="003C101D" w:rsidP="003C101D">
      <w:pPr>
        <w:ind w:left="851"/>
        <w:rPr>
          <w:sz w:val="24"/>
          <w:szCs w:val="24"/>
        </w:rPr>
      </w:pPr>
    </w:p>
    <w:p w:rsidR="003C101D" w:rsidRDefault="003C101D" w:rsidP="003C101D">
      <w:pPr>
        <w:ind w:left="851"/>
        <w:rPr>
          <w:sz w:val="24"/>
          <w:szCs w:val="24"/>
        </w:rPr>
      </w:pPr>
      <w:r>
        <w:rPr>
          <w:sz w:val="24"/>
          <w:szCs w:val="24"/>
        </w:rPr>
        <w:t xml:space="preserve">Påfør et tykt lag </w:t>
      </w:r>
      <w:proofErr w:type="spellStart"/>
      <w:r>
        <w:rPr>
          <w:sz w:val="24"/>
          <w:szCs w:val="24"/>
        </w:rPr>
        <w:t>Nulbia</w:t>
      </w:r>
      <w:proofErr w:type="spellEnd"/>
      <w:r>
        <w:rPr>
          <w:sz w:val="24"/>
          <w:szCs w:val="24"/>
        </w:rPr>
        <w:t xml:space="preserve"> på huden, inklusive </w:t>
      </w:r>
      <w:proofErr w:type="spellStart"/>
      <w:r>
        <w:rPr>
          <w:sz w:val="24"/>
          <w:szCs w:val="24"/>
        </w:rPr>
        <w:t>genitalhud</w:t>
      </w:r>
      <w:proofErr w:type="spellEnd"/>
      <w:r>
        <w:rPr>
          <w:sz w:val="24"/>
          <w:szCs w:val="24"/>
        </w:rPr>
        <w:t xml:space="preserve">, under en </w:t>
      </w:r>
      <w:proofErr w:type="spellStart"/>
      <w:r>
        <w:rPr>
          <w:sz w:val="24"/>
          <w:szCs w:val="24"/>
        </w:rPr>
        <w:t>okklusionsforbinding</w:t>
      </w:r>
      <w:proofErr w:type="spellEnd"/>
      <w:r>
        <w:rPr>
          <w:sz w:val="24"/>
          <w:szCs w:val="24"/>
        </w:rPr>
        <w:t xml:space="preserve">. Ved påføring på større områder, f.eks. i forbindelse med delhudstransplantationer, anlægges en elastisk bandage oven på </w:t>
      </w:r>
      <w:proofErr w:type="spellStart"/>
      <w:r>
        <w:rPr>
          <w:sz w:val="24"/>
          <w:szCs w:val="24"/>
        </w:rPr>
        <w:t>okklusionsforbindingen</w:t>
      </w:r>
      <w:proofErr w:type="spellEnd"/>
      <w:r>
        <w:rPr>
          <w:sz w:val="24"/>
          <w:szCs w:val="24"/>
        </w:rPr>
        <w:t xml:space="preserve"> for at få en jævn fordeling af cremen og beskytte området. Applikationstiden skal reduceret ved </w:t>
      </w:r>
      <w:proofErr w:type="spellStart"/>
      <w:r>
        <w:rPr>
          <w:sz w:val="24"/>
          <w:szCs w:val="24"/>
        </w:rPr>
        <w:t>atopisk</w:t>
      </w:r>
      <w:proofErr w:type="spellEnd"/>
      <w:r>
        <w:rPr>
          <w:sz w:val="24"/>
          <w:szCs w:val="24"/>
        </w:rPr>
        <w:t xml:space="preserve"> </w:t>
      </w:r>
      <w:proofErr w:type="spellStart"/>
      <w:r>
        <w:rPr>
          <w:sz w:val="24"/>
          <w:szCs w:val="24"/>
        </w:rPr>
        <w:t>dermatit</w:t>
      </w:r>
      <w:proofErr w:type="spellEnd"/>
      <w:r>
        <w:rPr>
          <w:sz w:val="24"/>
          <w:szCs w:val="24"/>
        </w:rPr>
        <w:t>.</w:t>
      </w:r>
    </w:p>
    <w:p w:rsidR="003C101D" w:rsidRDefault="003C101D" w:rsidP="003C101D">
      <w:pPr>
        <w:ind w:left="851"/>
        <w:rPr>
          <w:sz w:val="24"/>
          <w:szCs w:val="24"/>
        </w:rPr>
      </w:pPr>
    </w:p>
    <w:p w:rsidR="003C101D" w:rsidRDefault="003C101D" w:rsidP="003C101D">
      <w:pPr>
        <w:ind w:left="851"/>
        <w:rPr>
          <w:sz w:val="24"/>
          <w:szCs w:val="24"/>
        </w:rPr>
      </w:pPr>
      <w:r>
        <w:rPr>
          <w:sz w:val="24"/>
          <w:szCs w:val="24"/>
        </w:rPr>
        <w:t xml:space="preserve">Ved procedurer relateret til genitalslimhinder skal der ikke anvendes </w:t>
      </w:r>
      <w:proofErr w:type="spellStart"/>
      <w:r>
        <w:rPr>
          <w:sz w:val="24"/>
          <w:szCs w:val="24"/>
        </w:rPr>
        <w:t>okklusionsforbinding</w:t>
      </w:r>
      <w:proofErr w:type="spellEnd"/>
      <w:r>
        <w:rPr>
          <w:sz w:val="24"/>
          <w:szCs w:val="24"/>
        </w:rPr>
        <w:t>. Proceduren skal påbegyndes umiddelbart efter fjernelse af cremen.</w:t>
      </w:r>
    </w:p>
    <w:p w:rsidR="003C101D" w:rsidRDefault="003C101D" w:rsidP="003C101D">
      <w:pPr>
        <w:ind w:left="851"/>
        <w:rPr>
          <w:sz w:val="24"/>
          <w:szCs w:val="24"/>
        </w:rPr>
      </w:pPr>
    </w:p>
    <w:p w:rsidR="003C101D" w:rsidRDefault="003C101D" w:rsidP="003C101D">
      <w:pPr>
        <w:ind w:left="851"/>
        <w:rPr>
          <w:sz w:val="24"/>
          <w:szCs w:val="24"/>
        </w:rPr>
      </w:pPr>
      <w:r>
        <w:rPr>
          <w:sz w:val="24"/>
          <w:szCs w:val="24"/>
        </w:rPr>
        <w:t xml:space="preserve">Ved procedurer relateret til </w:t>
      </w:r>
      <w:proofErr w:type="spellStart"/>
      <w:r>
        <w:rPr>
          <w:sz w:val="24"/>
          <w:szCs w:val="24"/>
        </w:rPr>
        <w:t>bensår</w:t>
      </w:r>
      <w:proofErr w:type="spellEnd"/>
      <w:r>
        <w:rPr>
          <w:sz w:val="24"/>
          <w:szCs w:val="24"/>
        </w:rPr>
        <w:t xml:space="preserve"> påføres et tykt lag </w:t>
      </w:r>
      <w:proofErr w:type="spellStart"/>
      <w:r>
        <w:rPr>
          <w:sz w:val="24"/>
          <w:szCs w:val="24"/>
        </w:rPr>
        <w:t>Nulbia</w:t>
      </w:r>
      <w:proofErr w:type="spellEnd"/>
      <w:r>
        <w:rPr>
          <w:sz w:val="24"/>
          <w:szCs w:val="24"/>
        </w:rPr>
        <w:t xml:space="preserve"> under en </w:t>
      </w:r>
      <w:proofErr w:type="spellStart"/>
      <w:r>
        <w:rPr>
          <w:sz w:val="24"/>
          <w:szCs w:val="24"/>
        </w:rPr>
        <w:t>okklusions</w:t>
      </w:r>
      <w:r>
        <w:rPr>
          <w:sz w:val="24"/>
          <w:szCs w:val="24"/>
        </w:rPr>
        <w:softHyphen/>
        <w:t>forbinding</w:t>
      </w:r>
      <w:proofErr w:type="spellEnd"/>
      <w:r>
        <w:rPr>
          <w:sz w:val="24"/>
          <w:szCs w:val="24"/>
        </w:rPr>
        <w:t>.</w:t>
      </w:r>
    </w:p>
    <w:p w:rsidR="003C101D" w:rsidRDefault="003C101D" w:rsidP="003C101D">
      <w:pPr>
        <w:ind w:left="851"/>
        <w:rPr>
          <w:sz w:val="24"/>
          <w:szCs w:val="24"/>
        </w:rPr>
      </w:pPr>
      <w:r>
        <w:rPr>
          <w:sz w:val="24"/>
          <w:szCs w:val="24"/>
        </w:rPr>
        <w:t>Sårrensningen bør påbegyndes umiddelbart efter fjernelse af cremen.</w:t>
      </w:r>
    </w:p>
    <w:p w:rsidR="003C101D" w:rsidRDefault="003C101D" w:rsidP="003C101D">
      <w:pPr>
        <w:ind w:left="851"/>
        <w:rPr>
          <w:sz w:val="24"/>
          <w:szCs w:val="24"/>
        </w:rPr>
      </w:pPr>
    </w:p>
    <w:p w:rsidR="003C101D" w:rsidRDefault="003C101D" w:rsidP="003C101D">
      <w:pPr>
        <w:ind w:left="851"/>
        <w:rPr>
          <w:sz w:val="24"/>
          <w:szCs w:val="24"/>
        </w:rPr>
      </w:pPr>
      <w:r>
        <w:rPr>
          <w:sz w:val="24"/>
          <w:szCs w:val="24"/>
        </w:rPr>
        <w:t xml:space="preserve">Når </w:t>
      </w:r>
      <w:proofErr w:type="spellStart"/>
      <w:r>
        <w:rPr>
          <w:sz w:val="24"/>
          <w:szCs w:val="24"/>
        </w:rPr>
        <w:t>Nulbia</w:t>
      </w:r>
      <w:proofErr w:type="spellEnd"/>
      <w:r>
        <w:rPr>
          <w:sz w:val="24"/>
          <w:szCs w:val="24"/>
        </w:rPr>
        <w:t xml:space="preserve"> bruges til </w:t>
      </w:r>
      <w:proofErr w:type="spellStart"/>
      <w:r>
        <w:rPr>
          <w:sz w:val="24"/>
          <w:szCs w:val="24"/>
        </w:rPr>
        <w:t>bensår</w:t>
      </w:r>
      <w:proofErr w:type="spellEnd"/>
      <w:r>
        <w:rPr>
          <w:sz w:val="24"/>
          <w:szCs w:val="24"/>
        </w:rPr>
        <w:t>, er en tube beregnet til engangsbrug: Bortskaf tuben og eventuelt overskydende indhold efter hver behandling af en patient.</w:t>
      </w:r>
    </w:p>
    <w:p w:rsidR="003C101D" w:rsidRPr="00C84483" w:rsidRDefault="003C101D" w:rsidP="003C101D">
      <w:pPr>
        <w:tabs>
          <w:tab w:val="left" w:pos="851"/>
        </w:tabs>
        <w:ind w:left="851"/>
        <w:rPr>
          <w:sz w:val="24"/>
          <w:szCs w:val="24"/>
        </w:rPr>
      </w:pPr>
    </w:p>
    <w:p w:rsidR="003C101D" w:rsidRPr="00C84483" w:rsidRDefault="003C101D" w:rsidP="003C101D">
      <w:pPr>
        <w:tabs>
          <w:tab w:val="left" w:pos="851"/>
        </w:tabs>
        <w:ind w:left="851" w:hanging="851"/>
        <w:rPr>
          <w:b/>
          <w:sz w:val="24"/>
          <w:szCs w:val="24"/>
        </w:rPr>
      </w:pPr>
      <w:r w:rsidRPr="00C84483">
        <w:rPr>
          <w:b/>
          <w:sz w:val="24"/>
          <w:szCs w:val="24"/>
        </w:rPr>
        <w:t>4.3</w:t>
      </w:r>
      <w:r w:rsidRPr="00C84483">
        <w:rPr>
          <w:b/>
          <w:sz w:val="24"/>
          <w:szCs w:val="24"/>
        </w:rPr>
        <w:tab/>
        <w:t>Kontraindikationer</w:t>
      </w:r>
    </w:p>
    <w:p w:rsidR="003C101D" w:rsidRPr="00756B16" w:rsidRDefault="003C101D" w:rsidP="003C101D">
      <w:pPr>
        <w:ind w:left="851"/>
        <w:rPr>
          <w:rFonts w:eastAsiaTheme="minorEastAsia"/>
          <w:sz w:val="24"/>
          <w:szCs w:val="24"/>
        </w:rPr>
      </w:pPr>
      <w:r w:rsidRPr="00C95AB9">
        <w:rPr>
          <w:rFonts w:eastAsiaTheme="minorEastAsia"/>
          <w:sz w:val="24"/>
          <w:szCs w:val="24"/>
        </w:rPr>
        <w:t xml:space="preserve">Overfølsomhed over for </w:t>
      </w:r>
      <w:proofErr w:type="spellStart"/>
      <w:r w:rsidRPr="00C95AB9">
        <w:rPr>
          <w:rFonts w:eastAsiaTheme="minorEastAsia"/>
          <w:sz w:val="24"/>
          <w:szCs w:val="24"/>
        </w:rPr>
        <w:t>lidocain</w:t>
      </w:r>
      <w:proofErr w:type="spellEnd"/>
      <w:r w:rsidRPr="00C95AB9">
        <w:rPr>
          <w:rFonts w:eastAsiaTheme="minorEastAsia"/>
          <w:sz w:val="24"/>
          <w:szCs w:val="24"/>
        </w:rPr>
        <w:t xml:space="preserve"> og/eller </w:t>
      </w:r>
      <w:proofErr w:type="spellStart"/>
      <w:r w:rsidRPr="00C95AB9">
        <w:rPr>
          <w:rFonts w:eastAsiaTheme="minorEastAsia"/>
          <w:sz w:val="24"/>
          <w:szCs w:val="24"/>
        </w:rPr>
        <w:t>prilocain</w:t>
      </w:r>
      <w:proofErr w:type="spellEnd"/>
      <w:r w:rsidRPr="00C95AB9">
        <w:rPr>
          <w:rFonts w:eastAsiaTheme="minorEastAsia"/>
          <w:sz w:val="24"/>
          <w:szCs w:val="24"/>
        </w:rPr>
        <w:t xml:space="preserve"> eller </w:t>
      </w:r>
      <w:proofErr w:type="spellStart"/>
      <w:r w:rsidRPr="00C95AB9">
        <w:rPr>
          <w:rFonts w:eastAsiaTheme="minorEastAsia"/>
          <w:sz w:val="24"/>
          <w:szCs w:val="24"/>
        </w:rPr>
        <w:t>lokalanæstetika</w:t>
      </w:r>
      <w:proofErr w:type="spellEnd"/>
      <w:r w:rsidRPr="00C95AB9">
        <w:rPr>
          <w:rFonts w:eastAsiaTheme="minorEastAsia"/>
          <w:sz w:val="24"/>
          <w:szCs w:val="24"/>
        </w:rPr>
        <w:t xml:space="preserve"> af amidtypen eller over for et eller flere af hjælpestofferne anført i pkt. 6.1.</w:t>
      </w:r>
    </w:p>
    <w:p w:rsidR="003C101D" w:rsidRPr="00C84483" w:rsidRDefault="003C101D" w:rsidP="003C101D">
      <w:pPr>
        <w:tabs>
          <w:tab w:val="left" w:pos="851"/>
        </w:tabs>
        <w:ind w:left="851"/>
        <w:rPr>
          <w:sz w:val="24"/>
          <w:szCs w:val="24"/>
        </w:rPr>
      </w:pPr>
    </w:p>
    <w:p w:rsidR="003C101D" w:rsidRPr="00C84483" w:rsidRDefault="003C101D" w:rsidP="003C101D">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3C101D" w:rsidRPr="00C95AB9" w:rsidRDefault="003C101D" w:rsidP="003C101D">
      <w:pPr>
        <w:ind w:left="851"/>
        <w:rPr>
          <w:rFonts w:eastAsiaTheme="minorEastAsia"/>
          <w:sz w:val="24"/>
          <w:szCs w:val="24"/>
        </w:rPr>
      </w:pPr>
      <w:r w:rsidRPr="00C95AB9">
        <w:rPr>
          <w:rFonts w:eastAsiaTheme="minorEastAsia"/>
          <w:sz w:val="24"/>
          <w:szCs w:val="24"/>
        </w:rPr>
        <w:t xml:space="preserve">Patienter med glucose-6-phosphatdehydrogenasemangel eller med arvelig eller idiopatisk </w:t>
      </w:r>
      <w:proofErr w:type="spellStart"/>
      <w:r w:rsidRPr="00C95AB9">
        <w:rPr>
          <w:rFonts w:eastAsiaTheme="minorEastAsia"/>
          <w:sz w:val="24"/>
          <w:szCs w:val="24"/>
        </w:rPr>
        <w:t>methæmoglobinæmi</w:t>
      </w:r>
      <w:proofErr w:type="spellEnd"/>
      <w:r w:rsidRPr="00C95AB9">
        <w:rPr>
          <w:rFonts w:eastAsiaTheme="minorEastAsia"/>
          <w:sz w:val="24"/>
          <w:szCs w:val="24"/>
        </w:rPr>
        <w:t xml:space="preserve"> er mere følsomme for tegn på </w:t>
      </w:r>
      <w:proofErr w:type="spellStart"/>
      <w:r w:rsidRPr="00C95AB9">
        <w:rPr>
          <w:rFonts w:eastAsiaTheme="minorEastAsia"/>
          <w:sz w:val="24"/>
          <w:szCs w:val="24"/>
        </w:rPr>
        <w:t>methæmoglobinæmi</w:t>
      </w:r>
      <w:proofErr w:type="spellEnd"/>
      <w:r w:rsidRPr="00C95AB9">
        <w:rPr>
          <w:rFonts w:eastAsiaTheme="minorEastAsia"/>
          <w:sz w:val="24"/>
          <w:szCs w:val="24"/>
        </w:rPr>
        <w:t xml:space="preserve"> induceret af den aktive substans. Hos patienter med glucose-6-phosphatdehydrogenasemangel er </w:t>
      </w:r>
      <w:proofErr w:type="spellStart"/>
      <w:r w:rsidRPr="00C95AB9">
        <w:rPr>
          <w:rFonts w:eastAsiaTheme="minorEastAsia"/>
          <w:sz w:val="24"/>
          <w:szCs w:val="24"/>
        </w:rPr>
        <w:t>antidoten</w:t>
      </w:r>
      <w:proofErr w:type="spellEnd"/>
      <w:r w:rsidRPr="00C95AB9">
        <w:rPr>
          <w:rFonts w:eastAsiaTheme="minorEastAsia"/>
          <w:sz w:val="24"/>
          <w:szCs w:val="24"/>
        </w:rPr>
        <w:t xml:space="preserve"> </w:t>
      </w:r>
      <w:proofErr w:type="spellStart"/>
      <w:r w:rsidRPr="00C95AB9">
        <w:rPr>
          <w:rFonts w:eastAsiaTheme="minorEastAsia"/>
          <w:sz w:val="24"/>
          <w:szCs w:val="24"/>
        </w:rPr>
        <w:t>methylthioniniumchlorid</w:t>
      </w:r>
      <w:proofErr w:type="spellEnd"/>
      <w:r w:rsidRPr="00C95AB9">
        <w:rPr>
          <w:rFonts w:eastAsiaTheme="minorEastAsia"/>
          <w:sz w:val="24"/>
          <w:szCs w:val="24"/>
        </w:rPr>
        <w:t xml:space="preserve"> (</w:t>
      </w:r>
      <w:proofErr w:type="spellStart"/>
      <w:r w:rsidRPr="00C95AB9">
        <w:rPr>
          <w:rFonts w:eastAsiaTheme="minorEastAsia"/>
          <w:sz w:val="24"/>
          <w:szCs w:val="24"/>
        </w:rPr>
        <w:t>methylenblåt</w:t>
      </w:r>
      <w:proofErr w:type="spellEnd"/>
      <w:r w:rsidRPr="00C95AB9">
        <w:rPr>
          <w:rFonts w:eastAsiaTheme="minorEastAsia"/>
          <w:sz w:val="24"/>
          <w:szCs w:val="24"/>
        </w:rPr>
        <w:t xml:space="preserve">) ikke effektiv til reduktion af methæmoglobin og kan i sig selv ilte hæmoglobin. </w:t>
      </w:r>
      <w:proofErr w:type="spellStart"/>
      <w:r w:rsidRPr="00C95AB9">
        <w:rPr>
          <w:rFonts w:eastAsiaTheme="minorEastAsia"/>
          <w:sz w:val="24"/>
          <w:szCs w:val="24"/>
        </w:rPr>
        <w:t>Methylthioniniumchlorid</w:t>
      </w:r>
      <w:proofErr w:type="spellEnd"/>
      <w:r w:rsidRPr="00C95AB9">
        <w:rPr>
          <w:rFonts w:eastAsiaTheme="minorEastAsia"/>
          <w:sz w:val="24"/>
          <w:szCs w:val="24"/>
        </w:rPr>
        <w:t xml:space="preserve"> kan derfor ikke anvendes som </w:t>
      </w:r>
      <w:proofErr w:type="spellStart"/>
      <w:r w:rsidRPr="00C95AB9">
        <w:rPr>
          <w:rFonts w:eastAsiaTheme="minorEastAsia"/>
          <w:sz w:val="24"/>
          <w:szCs w:val="24"/>
        </w:rPr>
        <w:t>antidot</w:t>
      </w:r>
      <w:proofErr w:type="spellEnd"/>
      <w:r w:rsidRPr="00C95AB9">
        <w:rPr>
          <w:rFonts w:eastAsiaTheme="minorEastAsia"/>
          <w:sz w:val="24"/>
          <w:szCs w:val="24"/>
        </w:rPr>
        <w:t>.</w:t>
      </w:r>
    </w:p>
    <w:p w:rsidR="003C101D" w:rsidRPr="00C95AB9" w:rsidRDefault="003C101D" w:rsidP="003C101D">
      <w:pPr>
        <w:ind w:left="851"/>
        <w:rPr>
          <w:rFonts w:eastAsiaTheme="minorEastAsia"/>
          <w:sz w:val="24"/>
          <w:szCs w:val="24"/>
        </w:rPr>
      </w:pPr>
    </w:p>
    <w:p w:rsidR="003C101D" w:rsidRPr="00C95AB9" w:rsidRDefault="003C101D" w:rsidP="003C101D">
      <w:pPr>
        <w:ind w:left="851"/>
        <w:rPr>
          <w:rFonts w:eastAsiaTheme="minorEastAsia"/>
          <w:sz w:val="24"/>
          <w:szCs w:val="24"/>
        </w:rPr>
      </w:pPr>
      <w:r w:rsidRPr="00C95AB9">
        <w:rPr>
          <w:rFonts w:eastAsiaTheme="minorEastAsia"/>
          <w:sz w:val="24"/>
          <w:szCs w:val="24"/>
        </w:rPr>
        <w:t xml:space="preserve">Da der er utilstrækkelige data vedrørende absorption, bør </w:t>
      </w:r>
      <w:proofErr w:type="spellStart"/>
      <w:r>
        <w:rPr>
          <w:rFonts w:eastAsiaTheme="minorEastAsia"/>
          <w:sz w:val="24"/>
          <w:szCs w:val="24"/>
        </w:rPr>
        <w:t>Nulbia</w:t>
      </w:r>
      <w:proofErr w:type="spellEnd"/>
      <w:r w:rsidRPr="00C95AB9">
        <w:rPr>
          <w:rFonts w:eastAsiaTheme="minorEastAsia"/>
          <w:sz w:val="24"/>
          <w:szCs w:val="24"/>
        </w:rPr>
        <w:t xml:space="preserve"> ikke appliceres på åbne sår (med undtagelse af </w:t>
      </w:r>
      <w:proofErr w:type="spellStart"/>
      <w:r w:rsidRPr="00C95AB9">
        <w:rPr>
          <w:rFonts w:eastAsiaTheme="minorEastAsia"/>
          <w:sz w:val="24"/>
          <w:szCs w:val="24"/>
        </w:rPr>
        <w:t>bensår</w:t>
      </w:r>
      <w:proofErr w:type="spellEnd"/>
      <w:r w:rsidRPr="00C95AB9">
        <w:rPr>
          <w:rFonts w:eastAsiaTheme="minorEastAsia"/>
          <w:sz w:val="24"/>
          <w:szCs w:val="24"/>
        </w:rPr>
        <w:t>).</w:t>
      </w:r>
    </w:p>
    <w:p w:rsidR="003C101D" w:rsidRPr="00C95AB9" w:rsidRDefault="003C101D" w:rsidP="003C101D">
      <w:pPr>
        <w:ind w:left="851"/>
        <w:rPr>
          <w:rFonts w:eastAsiaTheme="minorEastAsia"/>
          <w:sz w:val="24"/>
          <w:szCs w:val="24"/>
        </w:rPr>
      </w:pPr>
    </w:p>
    <w:p w:rsidR="003C101D" w:rsidRPr="00C95AB9" w:rsidRDefault="003C101D" w:rsidP="003C101D">
      <w:pPr>
        <w:ind w:left="851"/>
        <w:rPr>
          <w:rFonts w:eastAsiaTheme="minorEastAsia"/>
          <w:sz w:val="24"/>
          <w:szCs w:val="24"/>
        </w:rPr>
      </w:pPr>
      <w:r w:rsidRPr="00C95AB9">
        <w:rPr>
          <w:rFonts w:eastAsiaTheme="minorEastAsia"/>
          <w:sz w:val="24"/>
          <w:szCs w:val="24"/>
        </w:rPr>
        <w:t>På grund af potentielt øget absorption fra nybarberet hud er det vigtigt at følge anbefalingerne vedrørende dosering, applikationsområde og -tid (se pkt. 4.2).</w:t>
      </w:r>
    </w:p>
    <w:p w:rsidR="003C101D" w:rsidRPr="00C95AB9" w:rsidRDefault="003C101D" w:rsidP="003C101D">
      <w:pPr>
        <w:ind w:left="851"/>
        <w:rPr>
          <w:rFonts w:eastAsiaTheme="minorEastAsia"/>
          <w:sz w:val="24"/>
          <w:szCs w:val="24"/>
        </w:rPr>
      </w:pPr>
    </w:p>
    <w:p w:rsidR="003C101D" w:rsidRPr="00C95AB9" w:rsidRDefault="003C101D" w:rsidP="003C101D">
      <w:pPr>
        <w:ind w:left="851"/>
        <w:rPr>
          <w:rFonts w:eastAsiaTheme="minorEastAsia"/>
          <w:sz w:val="24"/>
          <w:szCs w:val="24"/>
        </w:rPr>
      </w:pPr>
      <w:r w:rsidRPr="00C95AB9">
        <w:rPr>
          <w:rFonts w:eastAsiaTheme="minorEastAsia"/>
          <w:sz w:val="24"/>
          <w:szCs w:val="24"/>
        </w:rPr>
        <w:t xml:space="preserve">Der skal udvises forsigtighed ved anvendelse af </w:t>
      </w:r>
      <w:proofErr w:type="spellStart"/>
      <w:r>
        <w:rPr>
          <w:rFonts w:eastAsiaTheme="minorEastAsia"/>
          <w:sz w:val="24"/>
          <w:szCs w:val="24"/>
        </w:rPr>
        <w:t>Nulbia</w:t>
      </w:r>
      <w:proofErr w:type="spellEnd"/>
      <w:r w:rsidRPr="00C95AB9">
        <w:rPr>
          <w:rFonts w:eastAsiaTheme="minorEastAsia"/>
          <w:sz w:val="24"/>
          <w:szCs w:val="24"/>
        </w:rPr>
        <w:t xml:space="preserve"> hos patienter med </w:t>
      </w:r>
      <w:proofErr w:type="spellStart"/>
      <w:r w:rsidRPr="00C95AB9">
        <w:rPr>
          <w:rFonts w:eastAsiaTheme="minorEastAsia"/>
          <w:sz w:val="24"/>
          <w:szCs w:val="24"/>
        </w:rPr>
        <w:t>atopisk</w:t>
      </w:r>
      <w:proofErr w:type="spellEnd"/>
      <w:r w:rsidRPr="00C95AB9">
        <w:rPr>
          <w:rFonts w:eastAsiaTheme="minorEastAsia"/>
          <w:sz w:val="24"/>
          <w:szCs w:val="24"/>
        </w:rPr>
        <w:t xml:space="preserve"> </w:t>
      </w:r>
      <w:proofErr w:type="spellStart"/>
      <w:r w:rsidRPr="00C95AB9">
        <w:rPr>
          <w:rFonts w:eastAsiaTheme="minorEastAsia"/>
          <w:sz w:val="24"/>
          <w:szCs w:val="24"/>
        </w:rPr>
        <w:t>dermatit</w:t>
      </w:r>
      <w:proofErr w:type="spellEnd"/>
      <w:r w:rsidRPr="00C95AB9">
        <w:rPr>
          <w:rFonts w:eastAsiaTheme="minorEastAsia"/>
          <w:sz w:val="24"/>
          <w:szCs w:val="24"/>
        </w:rPr>
        <w:t xml:space="preserve">. En kortere applikationstid på 15-30 minutter kan være tilstrækkelig (se pkt. 5.1). Applikationstider over 30 minutter hos patienter med </w:t>
      </w:r>
      <w:proofErr w:type="spellStart"/>
      <w:r w:rsidRPr="00C95AB9">
        <w:rPr>
          <w:rFonts w:eastAsiaTheme="minorEastAsia"/>
          <w:sz w:val="24"/>
          <w:szCs w:val="24"/>
        </w:rPr>
        <w:t>atopisk</w:t>
      </w:r>
      <w:proofErr w:type="spellEnd"/>
      <w:r w:rsidRPr="00C95AB9">
        <w:rPr>
          <w:rFonts w:eastAsiaTheme="minorEastAsia"/>
          <w:sz w:val="24"/>
          <w:szCs w:val="24"/>
        </w:rPr>
        <w:t xml:space="preserve"> </w:t>
      </w:r>
      <w:proofErr w:type="spellStart"/>
      <w:r w:rsidRPr="00C95AB9">
        <w:rPr>
          <w:rFonts w:eastAsiaTheme="minorEastAsia"/>
          <w:sz w:val="24"/>
          <w:szCs w:val="24"/>
        </w:rPr>
        <w:t>dermatit</w:t>
      </w:r>
      <w:proofErr w:type="spellEnd"/>
      <w:r w:rsidRPr="00C95AB9">
        <w:rPr>
          <w:rFonts w:eastAsiaTheme="minorEastAsia"/>
          <w:sz w:val="24"/>
          <w:szCs w:val="24"/>
        </w:rPr>
        <w:t xml:space="preserve"> kan resultere i en øget forekomst af lokale </w:t>
      </w:r>
      <w:proofErr w:type="spellStart"/>
      <w:r w:rsidRPr="00C95AB9">
        <w:rPr>
          <w:rFonts w:eastAsiaTheme="minorEastAsia"/>
          <w:sz w:val="24"/>
          <w:szCs w:val="24"/>
        </w:rPr>
        <w:t>vaskulære</w:t>
      </w:r>
      <w:proofErr w:type="spellEnd"/>
      <w:r w:rsidRPr="00C95AB9">
        <w:rPr>
          <w:rFonts w:eastAsiaTheme="minorEastAsia"/>
          <w:sz w:val="24"/>
          <w:szCs w:val="24"/>
        </w:rPr>
        <w:t xml:space="preserve"> reaktioner, især rødme på administrationsstedet og i visse tilfælde </w:t>
      </w:r>
      <w:proofErr w:type="spellStart"/>
      <w:r w:rsidRPr="00C95AB9">
        <w:rPr>
          <w:rFonts w:eastAsiaTheme="minorEastAsia"/>
          <w:sz w:val="24"/>
          <w:szCs w:val="24"/>
        </w:rPr>
        <w:t>petekkier</w:t>
      </w:r>
      <w:proofErr w:type="spellEnd"/>
      <w:r w:rsidRPr="00C95AB9">
        <w:rPr>
          <w:rFonts w:eastAsiaTheme="minorEastAsia"/>
          <w:sz w:val="24"/>
          <w:szCs w:val="24"/>
        </w:rPr>
        <w:t xml:space="preserve"> og </w:t>
      </w:r>
      <w:proofErr w:type="spellStart"/>
      <w:r w:rsidRPr="00C95AB9">
        <w:rPr>
          <w:rFonts w:eastAsiaTheme="minorEastAsia"/>
          <w:sz w:val="24"/>
          <w:szCs w:val="24"/>
        </w:rPr>
        <w:t>purpura</w:t>
      </w:r>
      <w:proofErr w:type="spellEnd"/>
      <w:r w:rsidRPr="00C95AB9">
        <w:rPr>
          <w:rFonts w:eastAsiaTheme="minorEastAsia"/>
          <w:sz w:val="24"/>
          <w:szCs w:val="24"/>
        </w:rPr>
        <w:t xml:space="preserve"> (se pkt. 4.8). Det anbefales at påføre cremen 30 minutter inden fjernelse af molluskler hos børn med </w:t>
      </w:r>
      <w:proofErr w:type="spellStart"/>
      <w:r w:rsidRPr="00C95AB9">
        <w:rPr>
          <w:rFonts w:eastAsiaTheme="minorEastAsia"/>
          <w:sz w:val="24"/>
          <w:szCs w:val="24"/>
        </w:rPr>
        <w:t>atopisk</w:t>
      </w:r>
      <w:proofErr w:type="spellEnd"/>
      <w:r w:rsidRPr="00C95AB9">
        <w:rPr>
          <w:rFonts w:eastAsiaTheme="minorEastAsia"/>
          <w:sz w:val="24"/>
          <w:szCs w:val="24"/>
        </w:rPr>
        <w:t xml:space="preserve"> </w:t>
      </w:r>
      <w:proofErr w:type="spellStart"/>
      <w:r w:rsidRPr="00C95AB9">
        <w:rPr>
          <w:rFonts w:eastAsiaTheme="minorEastAsia"/>
          <w:sz w:val="24"/>
          <w:szCs w:val="24"/>
        </w:rPr>
        <w:t>dermatit</w:t>
      </w:r>
      <w:proofErr w:type="spellEnd"/>
      <w:r w:rsidRPr="00C95AB9">
        <w:rPr>
          <w:rFonts w:eastAsiaTheme="minorEastAsia"/>
          <w:sz w:val="24"/>
          <w:szCs w:val="24"/>
        </w:rPr>
        <w:t>.</w:t>
      </w:r>
    </w:p>
    <w:p w:rsidR="003C101D" w:rsidRPr="00C95AB9" w:rsidRDefault="003C101D" w:rsidP="003C101D">
      <w:pPr>
        <w:ind w:left="851"/>
        <w:rPr>
          <w:rFonts w:eastAsiaTheme="minorEastAsia"/>
          <w:sz w:val="24"/>
          <w:szCs w:val="24"/>
        </w:rPr>
      </w:pPr>
    </w:p>
    <w:p w:rsidR="003C101D" w:rsidRPr="00C95AB9" w:rsidRDefault="003C101D" w:rsidP="003C101D">
      <w:pPr>
        <w:ind w:left="851"/>
        <w:rPr>
          <w:rFonts w:eastAsiaTheme="minorEastAsia"/>
          <w:sz w:val="24"/>
          <w:szCs w:val="24"/>
        </w:rPr>
      </w:pPr>
      <w:r w:rsidRPr="00C95AB9">
        <w:rPr>
          <w:rFonts w:eastAsiaTheme="minorEastAsia"/>
          <w:sz w:val="24"/>
          <w:szCs w:val="24"/>
        </w:rPr>
        <w:lastRenderedPageBreak/>
        <w:t xml:space="preserve">Ved påføring i øjenregionen skal </w:t>
      </w:r>
      <w:proofErr w:type="spellStart"/>
      <w:r>
        <w:rPr>
          <w:rFonts w:eastAsiaTheme="minorEastAsia"/>
          <w:sz w:val="24"/>
          <w:szCs w:val="24"/>
        </w:rPr>
        <w:t>Nulbia</w:t>
      </w:r>
      <w:proofErr w:type="spellEnd"/>
      <w:r w:rsidRPr="00C95AB9">
        <w:rPr>
          <w:rFonts w:eastAsiaTheme="minorEastAsia"/>
          <w:sz w:val="24"/>
          <w:szCs w:val="24"/>
        </w:rPr>
        <w:t xml:space="preserve"> anvendes med særlig forsigtighed, da det kan medføre øjenirritation. Desuden kan tab af beskyttende reflekser resultere i hornhindeirritation og potentiel </w:t>
      </w:r>
      <w:proofErr w:type="spellStart"/>
      <w:r w:rsidRPr="00C95AB9">
        <w:rPr>
          <w:rFonts w:eastAsiaTheme="minorEastAsia"/>
          <w:sz w:val="24"/>
          <w:szCs w:val="24"/>
        </w:rPr>
        <w:t>abrasion</w:t>
      </w:r>
      <w:proofErr w:type="spellEnd"/>
      <w:r w:rsidRPr="00C95AB9">
        <w:rPr>
          <w:rFonts w:eastAsiaTheme="minorEastAsia"/>
          <w:sz w:val="24"/>
          <w:szCs w:val="24"/>
        </w:rPr>
        <w:t xml:space="preserve">. Hvis cremen kommer i kontakt med øjnene, skal øjnene omgående skylles med vand eller </w:t>
      </w:r>
      <w:proofErr w:type="spellStart"/>
      <w:r w:rsidRPr="00C95AB9">
        <w:rPr>
          <w:rFonts w:eastAsiaTheme="minorEastAsia"/>
          <w:sz w:val="24"/>
          <w:szCs w:val="24"/>
        </w:rPr>
        <w:t>natriumchloridopløsning</w:t>
      </w:r>
      <w:proofErr w:type="spellEnd"/>
      <w:r w:rsidRPr="00C95AB9">
        <w:rPr>
          <w:rFonts w:eastAsiaTheme="minorEastAsia"/>
          <w:sz w:val="24"/>
          <w:szCs w:val="24"/>
        </w:rPr>
        <w:t xml:space="preserve"> og beskyttes, indtil følelsen vender tilbage.</w:t>
      </w:r>
    </w:p>
    <w:p w:rsidR="003C101D" w:rsidRPr="00C95AB9" w:rsidRDefault="003C101D" w:rsidP="003C101D">
      <w:pPr>
        <w:ind w:left="851"/>
        <w:rPr>
          <w:rFonts w:eastAsiaTheme="minorEastAsia"/>
          <w:sz w:val="24"/>
          <w:szCs w:val="24"/>
        </w:rPr>
      </w:pPr>
    </w:p>
    <w:p w:rsidR="003C101D" w:rsidRPr="00C95AB9" w:rsidRDefault="003C101D" w:rsidP="003C101D">
      <w:pPr>
        <w:ind w:left="851"/>
        <w:rPr>
          <w:rFonts w:eastAsiaTheme="minorEastAsia"/>
          <w:sz w:val="24"/>
          <w:szCs w:val="24"/>
        </w:rPr>
      </w:pPr>
      <w:proofErr w:type="spellStart"/>
      <w:r>
        <w:rPr>
          <w:rFonts w:eastAsiaTheme="minorEastAsia"/>
          <w:sz w:val="24"/>
          <w:szCs w:val="24"/>
        </w:rPr>
        <w:t>Nulbia</w:t>
      </w:r>
      <w:proofErr w:type="spellEnd"/>
      <w:r w:rsidRPr="00C95AB9">
        <w:rPr>
          <w:rFonts w:eastAsiaTheme="minorEastAsia"/>
          <w:sz w:val="24"/>
          <w:szCs w:val="24"/>
        </w:rPr>
        <w:t xml:space="preserve"> bør ikke appliceres på en svækket trommehinde. Dyreforsøg har vist, at </w:t>
      </w:r>
      <w:proofErr w:type="spellStart"/>
      <w:r>
        <w:rPr>
          <w:rFonts w:eastAsiaTheme="minorEastAsia"/>
          <w:sz w:val="24"/>
          <w:szCs w:val="24"/>
        </w:rPr>
        <w:t>Nulbia</w:t>
      </w:r>
      <w:proofErr w:type="spellEnd"/>
      <w:r w:rsidRPr="00C95AB9">
        <w:rPr>
          <w:rFonts w:eastAsiaTheme="minorEastAsia"/>
          <w:sz w:val="24"/>
          <w:szCs w:val="24"/>
        </w:rPr>
        <w:t xml:space="preserve"> har en </w:t>
      </w:r>
      <w:proofErr w:type="spellStart"/>
      <w:r w:rsidRPr="00C95AB9">
        <w:rPr>
          <w:rFonts w:eastAsiaTheme="minorEastAsia"/>
          <w:sz w:val="24"/>
          <w:szCs w:val="24"/>
        </w:rPr>
        <w:t>ototoksisk</w:t>
      </w:r>
      <w:proofErr w:type="spellEnd"/>
      <w:r w:rsidRPr="00C95AB9">
        <w:rPr>
          <w:rFonts w:eastAsiaTheme="minorEastAsia"/>
          <w:sz w:val="24"/>
          <w:szCs w:val="24"/>
        </w:rPr>
        <w:t xml:space="preserve"> virkning ved administration i mellemøret. Dyr med intakt trommehinde udviste dog ingen abnormitet, når </w:t>
      </w:r>
      <w:proofErr w:type="spellStart"/>
      <w:r>
        <w:rPr>
          <w:rFonts w:eastAsiaTheme="minorEastAsia"/>
          <w:sz w:val="24"/>
          <w:szCs w:val="24"/>
        </w:rPr>
        <w:t>Nulbia</w:t>
      </w:r>
      <w:proofErr w:type="spellEnd"/>
      <w:r w:rsidRPr="00C95AB9">
        <w:rPr>
          <w:rFonts w:eastAsiaTheme="minorEastAsia"/>
          <w:sz w:val="24"/>
          <w:szCs w:val="24"/>
        </w:rPr>
        <w:t xml:space="preserve"> blev appliceret i den ydre ørekanal.</w:t>
      </w:r>
    </w:p>
    <w:p w:rsidR="003C101D" w:rsidRPr="00C95AB9" w:rsidRDefault="003C101D" w:rsidP="003C101D">
      <w:pPr>
        <w:ind w:left="851"/>
        <w:rPr>
          <w:rFonts w:eastAsiaTheme="minorEastAsia"/>
          <w:sz w:val="24"/>
          <w:szCs w:val="24"/>
        </w:rPr>
      </w:pPr>
    </w:p>
    <w:p w:rsidR="003C101D" w:rsidRPr="00C95AB9" w:rsidRDefault="003C101D" w:rsidP="003C101D">
      <w:pPr>
        <w:ind w:left="851"/>
        <w:rPr>
          <w:rFonts w:eastAsiaTheme="minorEastAsia"/>
          <w:sz w:val="24"/>
          <w:szCs w:val="24"/>
        </w:rPr>
      </w:pPr>
      <w:r w:rsidRPr="00C95AB9">
        <w:rPr>
          <w:rFonts w:eastAsiaTheme="minorEastAsia"/>
          <w:sz w:val="24"/>
          <w:szCs w:val="24"/>
        </w:rPr>
        <w:t>Patienter i behandling med klasse I</w:t>
      </w:r>
      <w:r>
        <w:rPr>
          <w:rFonts w:eastAsiaTheme="minorEastAsia"/>
          <w:sz w:val="24"/>
          <w:szCs w:val="24"/>
        </w:rPr>
        <w:t>II</w:t>
      </w:r>
      <w:r w:rsidRPr="00C95AB9">
        <w:rPr>
          <w:rFonts w:eastAsiaTheme="minorEastAsia"/>
          <w:sz w:val="24"/>
          <w:szCs w:val="24"/>
        </w:rPr>
        <w:t>-</w:t>
      </w:r>
      <w:proofErr w:type="spellStart"/>
      <w:r w:rsidRPr="00C95AB9">
        <w:rPr>
          <w:rFonts w:eastAsiaTheme="minorEastAsia"/>
          <w:sz w:val="24"/>
          <w:szCs w:val="24"/>
        </w:rPr>
        <w:t>antiarytmika</w:t>
      </w:r>
      <w:proofErr w:type="spellEnd"/>
      <w:r w:rsidRPr="00C95AB9">
        <w:rPr>
          <w:rFonts w:eastAsiaTheme="minorEastAsia"/>
          <w:sz w:val="24"/>
          <w:szCs w:val="24"/>
        </w:rPr>
        <w:t xml:space="preserve"> (f.eks. </w:t>
      </w:r>
      <w:proofErr w:type="spellStart"/>
      <w:r w:rsidRPr="00C95AB9">
        <w:rPr>
          <w:rFonts w:eastAsiaTheme="minorEastAsia"/>
          <w:sz w:val="24"/>
          <w:szCs w:val="24"/>
        </w:rPr>
        <w:t>amiodaron</w:t>
      </w:r>
      <w:proofErr w:type="spellEnd"/>
      <w:r w:rsidRPr="00C95AB9">
        <w:rPr>
          <w:rFonts w:eastAsiaTheme="minorEastAsia"/>
          <w:sz w:val="24"/>
          <w:szCs w:val="24"/>
        </w:rPr>
        <w:t xml:space="preserve">) skal monitoreres nøje, og EKG- monitorering bør overvejes, idet de </w:t>
      </w:r>
      <w:proofErr w:type="spellStart"/>
      <w:r w:rsidRPr="00C95AB9">
        <w:rPr>
          <w:rFonts w:eastAsiaTheme="minorEastAsia"/>
          <w:sz w:val="24"/>
          <w:szCs w:val="24"/>
        </w:rPr>
        <w:t>kardielle</w:t>
      </w:r>
      <w:proofErr w:type="spellEnd"/>
      <w:r w:rsidRPr="00C95AB9">
        <w:rPr>
          <w:rFonts w:eastAsiaTheme="minorEastAsia"/>
          <w:sz w:val="24"/>
          <w:szCs w:val="24"/>
        </w:rPr>
        <w:t xml:space="preserve"> virkninger kan være </w:t>
      </w:r>
      <w:proofErr w:type="spellStart"/>
      <w:r w:rsidRPr="00C95AB9">
        <w:rPr>
          <w:rFonts w:eastAsiaTheme="minorEastAsia"/>
          <w:sz w:val="24"/>
          <w:szCs w:val="24"/>
        </w:rPr>
        <w:t>additive</w:t>
      </w:r>
      <w:proofErr w:type="spellEnd"/>
      <w:r w:rsidRPr="00C95AB9">
        <w:rPr>
          <w:rFonts w:eastAsiaTheme="minorEastAsia"/>
          <w:sz w:val="24"/>
          <w:szCs w:val="24"/>
        </w:rPr>
        <w:t>.</w:t>
      </w:r>
    </w:p>
    <w:p w:rsidR="003C101D" w:rsidRPr="00C95AB9" w:rsidRDefault="003C101D" w:rsidP="003C101D">
      <w:pPr>
        <w:ind w:left="851"/>
        <w:rPr>
          <w:rFonts w:eastAsiaTheme="minorEastAsia"/>
          <w:sz w:val="24"/>
          <w:szCs w:val="24"/>
        </w:rPr>
      </w:pPr>
    </w:p>
    <w:p w:rsidR="003C101D" w:rsidRPr="00C95AB9" w:rsidRDefault="003C101D" w:rsidP="003C101D">
      <w:pPr>
        <w:ind w:left="851"/>
        <w:rPr>
          <w:rFonts w:eastAsiaTheme="minorEastAsia"/>
          <w:sz w:val="24"/>
          <w:szCs w:val="24"/>
        </w:rPr>
      </w:pPr>
      <w:proofErr w:type="spellStart"/>
      <w:r w:rsidRPr="00C95AB9">
        <w:rPr>
          <w:rFonts w:eastAsiaTheme="minorEastAsia"/>
          <w:sz w:val="24"/>
          <w:szCs w:val="24"/>
        </w:rPr>
        <w:t>Lidocain</w:t>
      </w:r>
      <w:proofErr w:type="spellEnd"/>
      <w:r w:rsidRPr="00C95AB9">
        <w:rPr>
          <w:rFonts w:eastAsiaTheme="minorEastAsia"/>
          <w:sz w:val="24"/>
          <w:szCs w:val="24"/>
        </w:rPr>
        <w:t xml:space="preserve"> og </w:t>
      </w:r>
      <w:proofErr w:type="spellStart"/>
      <w:r w:rsidRPr="00C95AB9">
        <w:rPr>
          <w:rFonts w:eastAsiaTheme="minorEastAsia"/>
          <w:sz w:val="24"/>
          <w:szCs w:val="24"/>
        </w:rPr>
        <w:t>prilocain</w:t>
      </w:r>
      <w:proofErr w:type="spellEnd"/>
      <w:r w:rsidRPr="00C95AB9">
        <w:rPr>
          <w:rFonts w:eastAsiaTheme="minorEastAsia"/>
          <w:sz w:val="24"/>
          <w:szCs w:val="24"/>
        </w:rPr>
        <w:t xml:space="preserve"> har bakteriedræbende og antivirale egenskaber i koncentrationer over 0,5-2 %. Derfor skal resultaterne af </w:t>
      </w:r>
      <w:proofErr w:type="spellStart"/>
      <w:r w:rsidRPr="00C95AB9">
        <w:rPr>
          <w:rFonts w:eastAsiaTheme="minorEastAsia"/>
          <w:sz w:val="24"/>
          <w:szCs w:val="24"/>
        </w:rPr>
        <w:t>intrakutane</w:t>
      </w:r>
      <w:proofErr w:type="spellEnd"/>
      <w:r w:rsidRPr="00C95AB9">
        <w:rPr>
          <w:rFonts w:eastAsiaTheme="minorEastAsia"/>
          <w:sz w:val="24"/>
          <w:szCs w:val="24"/>
        </w:rPr>
        <w:t xml:space="preserve"> injektioner af levende vacciner overvåges, selvom et klinisk studie tyder på, at immuniseringsresponset (bedømt ud fra lokal hævelse) ikke påvirkes, når </w:t>
      </w:r>
      <w:proofErr w:type="spellStart"/>
      <w:r>
        <w:rPr>
          <w:rFonts w:eastAsiaTheme="minorEastAsia"/>
          <w:sz w:val="24"/>
          <w:szCs w:val="24"/>
        </w:rPr>
        <w:t>Nulbia</w:t>
      </w:r>
      <w:proofErr w:type="spellEnd"/>
      <w:r w:rsidRPr="00C95AB9">
        <w:rPr>
          <w:rFonts w:eastAsiaTheme="minorEastAsia"/>
          <w:sz w:val="24"/>
          <w:szCs w:val="24"/>
        </w:rPr>
        <w:t xml:space="preserve"> anvendes inden BCG-vaccinationer.</w:t>
      </w:r>
    </w:p>
    <w:p w:rsidR="003C101D" w:rsidRPr="00C95AB9" w:rsidRDefault="003C101D" w:rsidP="003C101D">
      <w:pPr>
        <w:ind w:left="851"/>
        <w:rPr>
          <w:rFonts w:eastAsiaTheme="minorEastAsia"/>
          <w:sz w:val="24"/>
          <w:szCs w:val="24"/>
        </w:rPr>
      </w:pPr>
    </w:p>
    <w:p w:rsidR="003C101D" w:rsidRPr="00C95AB9" w:rsidRDefault="003C101D" w:rsidP="003C101D">
      <w:pPr>
        <w:ind w:left="851"/>
        <w:rPr>
          <w:rFonts w:eastAsiaTheme="minorEastAsia"/>
          <w:sz w:val="24"/>
          <w:szCs w:val="24"/>
        </w:rPr>
      </w:pPr>
      <w:proofErr w:type="spellStart"/>
      <w:r>
        <w:rPr>
          <w:rFonts w:eastAsiaTheme="minorEastAsia"/>
          <w:sz w:val="24"/>
          <w:szCs w:val="24"/>
        </w:rPr>
        <w:t>Nulbia</w:t>
      </w:r>
      <w:proofErr w:type="spellEnd"/>
      <w:r w:rsidRPr="00C95AB9">
        <w:rPr>
          <w:rFonts w:eastAsiaTheme="minorEastAsia"/>
          <w:sz w:val="24"/>
          <w:szCs w:val="24"/>
        </w:rPr>
        <w:t xml:space="preserve"> indeholder </w:t>
      </w:r>
      <w:proofErr w:type="spellStart"/>
      <w:r w:rsidRPr="00C95AB9">
        <w:rPr>
          <w:rFonts w:eastAsiaTheme="minorEastAsia"/>
          <w:sz w:val="24"/>
          <w:szCs w:val="24"/>
        </w:rPr>
        <w:t>polyoxyleret</w:t>
      </w:r>
      <w:proofErr w:type="spellEnd"/>
      <w:r w:rsidRPr="00C95AB9">
        <w:rPr>
          <w:rFonts w:eastAsiaTheme="minorEastAsia"/>
          <w:sz w:val="24"/>
          <w:szCs w:val="24"/>
        </w:rPr>
        <w:t xml:space="preserve">, </w:t>
      </w:r>
      <w:proofErr w:type="spellStart"/>
      <w:r w:rsidRPr="00C95AB9">
        <w:rPr>
          <w:rFonts w:eastAsiaTheme="minorEastAsia"/>
          <w:sz w:val="24"/>
          <w:szCs w:val="24"/>
        </w:rPr>
        <w:t>hydrogeneret</w:t>
      </w:r>
      <w:proofErr w:type="spellEnd"/>
      <w:r w:rsidRPr="00C95AB9">
        <w:rPr>
          <w:rFonts w:eastAsiaTheme="minorEastAsia"/>
          <w:sz w:val="24"/>
          <w:szCs w:val="24"/>
        </w:rPr>
        <w:t xml:space="preserve"> ricinusolie, som kan forårsage hudreaktioner.</w:t>
      </w:r>
    </w:p>
    <w:p w:rsidR="003C101D" w:rsidRPr="00CA1D65" w:rsidRDefault="003C101D" w:rsidP="003C101D">
      <w:pPr>
        <w:ind w:left="851"/>
        <w:rPr>
          <w:rFonts w:eastAsiaTheme="minorEastAsia"/>
          <w:sz w:val="24"/>
          <w:szCs w:val="24"/>
          <w:u w:val="single"/>
        </w:rPr>
      </w:pPr>
    </w:p>
    <w:p w:rsidR="003C101D" w:rsidRPr="00CA1D65" w:rsidRDefault="003C101D" w:rsidP="003C101D">
      <w:pPr>
        <w:ind w:left="851"/>
        <w:rPr>
          <w:rFonts w:eastAsiaTheme="minorEastAsia"/>
          <w:sz w:val="24"/>
          <w:szCs w:val="24"/>
          <w:u w:val="single"/>
        </w:rPr>
      </w:pPr>
      <w:r w:rsidRPr="00CA1D65">
        <w:rPr>
          <w:rFonts w:eastAsiaTheme="minorEastAsia"/>
          <w:iCs/>
          <w:sz w:val="24"/>
          <w:szCs w:val="24"/>
          <w:u w:val="single"/>
        </w:rPr>
        <w:t>Pædiatrisk population</w:t>
      </w:r>
    </w:p>
    <w:p w:rsidR="003C101D" w:rsidRPr="00C95AB9" w:rsidRDefault="003C101D" w:rsidP="003C101D">
      <w:pPr>
        <w:ind w:left="851"/>
        <w:rPr>
          <w:rFonts w:eastAsiaTheme="minorEastAsia"/>
          <w:sz w:val="24"/>
          <w:szCs w:val="24"/>
        </w:rPr>
      </w:pPr>
      <w:r w:rsidRPr="00C95AB9">
        <w:rPr>
          <w:rFonts w:eastAsiaTheme="minorEastAsia"/>
          <w:sz w:val="24"/>
          <w:szCs w:val="24"/>
        </w:rPr>
        <w:t xml:space="preserve">Det har ikke været muligt at påvise effekt af </w:t>
      </w:r>
      <w:proofErr w:type="spellStart"/>
      <w:r>
        <w:rPr>
          <w:rFonts w:eastAsiaTheme="minorEastAsia"/>
          <w:sz w:val="24"/>
          <w:szCs w:val="24"/>
        </w:rPr>
        <w:t>Nulbia</w:t>
      </w:r>
      <w:proofErr w:type="spellEnd"/>
      <w:r w:rsidRPr="00C95AB9">
        <w:rPr>
          <w:rFonts w:eastAsiaTheme="minorEastAsia"/>
          <w:sz w:val="24"/>
          <w:szCs w:val="24"/>
        </w:rPr>
        <w:t xml:space="preserve"> i forbindelse med hælstik hos nyfødte.</w:t>
      </w:r>
    </w:p>
    <w:p w:rsidR="003C101D" w:rsidRPr="00C95AB9" w:rsidRDefault="003C101D" w:rsidP="003C101D">
      <w:pPr>
        <w:ind w:left="851"/>
        <w:rPr>
          <w:rFonts w:eastAsiaTheme="minorEastAsia"/>
          <w:sz w:val="24"/>
          <w:szCs w:val="24"/>
        </w:rPr>
      </w:pPr>
    </w:p>
    <w:p w:rsidR="003C101D" w:rsidRPr="00C95AB9" w:rsidRDefault="003C101D" w:rsidP="003C101D">
      <w:pPr>
        <w:ind w:left="851"/>
        <w:rPr>
          <w:rFonts w:eastAsiaTheme="minorEastAsia"/>
          <w:sz w:val="24"/>
          <w:szCs w:val="24"/>
        </w:rPr>
      </w:pPr>
      <w:r w:rsidRPr="00C95AB9">
        <w:rPr>
          <w:rFonts w:eastAsiaTheme="minorEastAsia"/>
          <w:sz w:val="24"/>
          <w:szCs w:val="24"/>
        </w:rPr>
        <w:t xml:space="preserve">Hos nyfødte/spædbørn under 3 måneder ses der ofte en forbigående, ikke klinisk signifikant stigning i </w:t>
      </w:r>
      <w:proofErr w:type="spellStart"/>
      <w:r w:rsidRPr="00C95AB9">
        <w:rPr>
          <w:rFonts w:eastAsiaTheme="minorEastAsia"/>
          <w:sz w:val="24"/>
          <w:szCs w:val="24"/>
        </w:rPr>
        <w:t>methæmoglobinniveauerne</w:t>
      </w:r>
      <w:proofErr w:type="spellEnd"/>
      <w:r w:rsidRPr="00C95AB9">
        <w:rPr>
          <w:rFonts w:eastAsiaTheme="minorEastAsia"/>
          <w:sz w:val="24"/>
          <w:szCs w:val="24"/>
        </w:rPr>
        <w:t xml:space="preserve"> i op til 12 timer efter applikation af </w:t>
      </w:r>
      <w:proofErr w:type="spellStart"/>
      <w:r>
        <w:rPr>
          <w:rFonts w:eastAsiaTheme="minorEastAsia"/>
          <w:sz w:val="24"/>
          <w:szCs w:val="24"/>
        </w:rPr>
        <w:t>Nulbia</w:t>
      </w:r>
      <w:proofErr w:type="spellEnd"/>
      <w:r w:rsidRPr="00C95AB9">
        <w:rPr>
          <w:rFonts w:eastAsiaTheme="minorEastAsia"/>
          <w:sz w:val="24"/>
          <w:szCs w:val="24"/>
        </w:rPr>
        <w:t xml:space="preserve"> inden for den anbefalede dosering.</w:t>
      </w:r>
    </w:p>
    <w:p w:rsidR="003C101D" w:rsidRPr="00C95AB9" w:rsidRDefault="003C101D" w:rsidP="003C101D">
      <w:pPr>
        <w:ind w:left="851"/>
        <w:rPr>
          <w:rFonts w:eastAsiaTheme="minorEastAsia"/>
          <w:sz w:val="24"/>
          <w:szCs w:val="24"/>
        </w:rPr>
      </w:pPr>
      <w:r w:rsidRPr="00C95AB9">
        <w:rPr>
          <w:rFonts w:eastAsiaTheme="minorEastAsia"/>
          <w:sz w:val="24"/>
          <w:szCs w:val="24"/>
        </w:rPr>
        <w:t xml:space="preserve">Hvis den anbefalede dosis overskrides, skal patienten monitoreres for systemiske bivirkninger sekundært til </w:t>
      </w:r>
      <w:proofErr w:type="spellStart"/>
      <w:r w:rsidRPr="00C95AB9">
        <w:rPr>
          <w:rFonts w:eastAsiaTheme="minorEastAsia"/>
          <w:sz w:val="24"/>
          <w:szCs w:val="24"/>
        </w:rPr>
        <w:t>methæmoglobinæmi</w:t>
      </w:r>
      <w:proofErr w:type="spellEnd"/>
      <w:r w:rsidRPr="00C95AB9">
        <w:rPr>
          <w:rFonts w:eastAsiaTheme="minorEastAsia"/>
          <w:sz w:val="24"/>
          <w:szCs w:val="24"/>
        </w:rPr>
        <w:t xml:space="preserve"> (se pkt. 4.2, 4.8 og 4.9).</w:t>
      </w:r>
    </w:p>
    <w:p w:rsidR="003C101D" w:rsidRPr="00C95AB9" w:rsidRDefault="003C101D" w:rsidP="003C101D">
      <w:pPr>
        <w:ind w:left="851"/>
        <w:rPr>
          <w:rFonts w:eastAsiaTheme="minorEastAsia"/>
          <w:sz w:val="24"/>
          <w:szCs w:val="24"/>
        </w:rPr>
      </w:pPr>
    </w:p>
    <w:p w:rsidR="003C101D" w:rsidRPr="00C95AB9" w:rsidRDefault="003C101D" w:rsidP="003C101D">
      <w:pPr>
        <w:ind w:left="851"/>
        <w:rPr>
          <w:rFonts w:eastAsiaTheme="minorEastAsia"/>
          <w:sz w:val="24"/>
          <w:szCs w:val="24"/>
        </w:rPr>
      </w:pPr>
      <w:proofErr w:type="spellStart"/>
      <w:r>
        <w:rPr>
          <w:rFonts w:eastAsiaTheme="minorEastAsia"/>
          <w:sz w:val="24"/>
          <w:szCs w:val="24"/>
        </w:rPr>
        <w:t>Nulbia</w:t>
      </w:r>
      <w:proofErr w:type="spellEnd"/>
      <w:r w:rsidRPr="00C95AB9">
        <w:rPr>
          <w:rFonts w:eastAsiaTheme="minorEastAsia"/>
          <w:sz w:val="24"/>
          <w:szCs w:val="24"/>
        </w:rPr>
        <w:t xml:space="preserve"> bør ikke anvendes:</w:t>
      </w:r>
    </w:p>
    <w:p w:rsidR="003C101D" w:rsidRPr="00BD2406" w:rsidRDefault="003C101D" w:rsidP="003C101D">
      <w:pPr>
        <w:pStyle w:val="Listeafsnit"/>
        <w:numPr>
          <w:ilvl w:val="1"/>
          <w:numId w:val="9"/>
        </w:numPr>
        <w:spacing w:after="0"/>
        <w:ind w:left="1276" w:hanging="425"/>
        <w:rPr>
          <w:rFonts w:ascii="Times New Roman" w:hAnsi="Times New Roman"/>
          <w:sz w:val="24"/>
          <w:szCs w:val="24"/>
          <w:lang w:val="da-DK"/>
        </w:rPr>
      </w:pPr>
      <w:r w:rsidRPr="00BD2406">
        <w:rPr>
          <w:rFonts w:ascii="Times New Roman" w:hAnsi="Times New Roman"/>
          <w:sz w:val="24"/>
          <w:szCs w:val="24"/>
          <w:lang w:val="da-DK"/>
        </w:rPr>
        <w:t xml:space="preserve">Hos nyfødte/spædbørn under 12 måneder, der får samtidig behandling med </w:t>
      </w:r>
      <w:proofErr w:type="spellStart"/>
      <w:r w:rsidRPr="00BD2406">
        <w:rPr>
          <w:rFonts w:ascii="Times New Roman" w:hAnsi="Times New Roman"/>
          <w:sz w:val="24"/>
          <w:szCs w:val="24"/>
          <w:lang w:val="da-DK"/>
        </w:rPr>
        <w:t>methæmoglobininducerende</w:t>
      </w:r>
      <w:proofErr w:type="spellEnd"/>
      <w:r w:rsidRPr="00BD2406">
        <w:rPr>
          <w:rFonts w:ascii="Times New Roman" w:hAnsi="Times New Roman"/>
          <w:sz w:val="24"/>
          <w:szCs w:val="24"/>
          <w:lang w:val="da-DK"/>
        </w:rPr>
        <w:t xml:space="preserve"> midler.</w:t>
      </w:r>
    </w:p>
    <w:p w:rsidR="003C101D" w:rsidRPr="00BD2406" w:rsidRDefault="003C101D" w:rsidP="003C101D">
      <w:pPr>
        <w:pStyle w:val="Listeafsnit"/>
        <w:numPr>
          <w:ilvl w:val="1"/>
          <w:numId w:val="9"/>
        </w:numPr>
        <w:spacing w:after="0"/>
        <w:ind w:left="1276" w:hanging="425"/>
        <w:rPr>
          <w:rFonts w:ascii="Times New Roman" w:hAnsi="Times New Roman"/>
          <w:sz w:val="24"/>
          <w:szCs w:val="24"/>
          <w:lang w:val="da-DK"/>
        </w:rPr>
      </w:pPr>
      <w:r w:rsidRPr="00BD2406">
        <w:rPr>
          <w:rFonts w:ascii="Times New Roman" w:hAnsi="Times New Roman"/>
          <w:sz w:val="24"/>
          <w:szCs w:val="24"/>
          <w:lang w:val="da-DK"/>
        </w:rPr>
        <w:t xml:space="preserve">Hos for tidligt fødte spædbørn med en </w:t>
      </w:r>
      <w:proofErr w:type="spellStart"/>
      <w:r w:rsidRPr="00BD2406">
        <w:rPr>
          <w:rFonts w:ascii="Times New Roman" w:hAnsi="Times New Roman"/>
          <w:sz w:val="24"/>
          <w:szCs w:val="24"/>
          <w:lang w:val="da-DK"/>
        </w:rPr>
        <w:t>gestationsalder</w:t>
      </w:r>
      <w:proofErr w:type="spellEnd"/>
      <w:r w:rsidRPr="00BD2406">
        <w:rPr>
          <w:rFonts w:ascii="Times New Roman" w:hAnsi="Times New Roman"/>
          <w:sz w:val="24"/>
          <w:szCs w:val="24"/>
          <w:lang w:val="da-DK"/>
        </w:rPr>
        <w:t xml:space="preserve"> under 37 uger, da der vil være en risiko for udvikling af forhøjet </w:t>
      </w:r>
      <w:proofErr w:type="spellStart"/>
      <w:r w:rsidRPr="00BD2406">
        <w:rPr>
          <w:rFonts w:ascii="Times New Roman" w:hAnsi="Times New Roman"/>
          <w:sz w:val="24"/>
          <w:szCs w:val="24"/>
          <w:lang w:val="da-DK"/>
        </w:rPr>
        <w:t>methæmoglobinniveau</w:t>
      </w:r>
      <w:proofErr w:type="spellEnd"/>
      <w:r w:rsidRPr="00BD2406">
        <w:rPr>
          <w:rFonts w:ascii="Times New Roman" w:hAnsi="Times New Roman"/>
          <w:sz w:val="24"/>
          <w:szCs w:val="24"/>
          <w:lang w:val="da-DK"/>
        </w:rPr>
        <w:t>.</w:t>
      </w:r>
    </w:p>
    <w:p w:rsidR="003C101D" w:rsidRPr="00C95AB9" w:rsidRDefault="003C101D" w:rsidP="003C101D">
      <w:pPr>
        <w:ind w:left="851"/>
        <w:rPr>
          <w:rFonts w:eastAsiaTheme="minorEastAsia"/>
          <w:sz w:val="24"/>
          <w:szCs w:val="24"/>
        </w:rPr>
      </w:pPr>
    </w:p>
    <w:p w:rsidR="003C101D" w:rsidRPr="00C95AB9" w:rsidRDefault="003C101D" w:rsidP="003C101D">
      <w:pPr>
        <w:ind w:left="851"/>
        <w:rPr>
          <w:rFonts w:eastAsiaTheme="minorEastAsia"/>
          <w:sz w:val="24"/>
          <w:szCs w:val="24"/>
        </w:rPr>
      </w:pPr>
      <w:r w:rsidRPr="00C95AB9">
        <w:rPr>
          <w:rFonts w:eastAsiaTheme="minorEastAsia"/>
          <w:sz w:val="24"/>
          <w:szCs w:val="24"/>
        </w:rPr>
        <w:t xml:space="preserve">Sikkerhed og virkning ved brug af </w:t>
      </w:r>
      <w:proofErr w:type="spellStart"/>
      <w:r>
        <w:rPr>
          <w:rFonts w:eastAsiaTheme="minorEastAsia"/>
          <w:sz w:val="24"/>
          <w:szCs w:val="24"/>
        </w:rPr>
        <w:t>Nulbia</w:t>
      </w:r>
      <w:proofErr w:type="spellEnd"/>
      <w:r w:rsidRPr="00C95AB9">
        <w:rPr>
          <w:rFonts w:eastAsiaTheme="minorEastAsia"/>
          <w:sz w:val="24"/>
          <w:szCs w:val="24"/>
        </w:rPr>
        <w:t xml:space="preserve"> på </w:t>
      </w:r>
      <w:proofErr w:type="spellStart"/>
      <w:r w:rsidRPr="00C95AB9">
        <w:rPr>
          <w:rFonts w:eastAsiaTheme="minorEastAsia"/>
          <w:sz w:val="24"/>
          <w:szCs w:val="24"/>
        </w:rPr>
        <w:t>genitalhud</w:t>
      </w:r>
      <w:proofErr w:type="spellEnd"/>
      <w:r w:rsidRPr="00C95AB9">
        <w:rPr>
          <w:rFonts w:eastAsiaTheme="minorEastAsia"/>
          <w:sz w:val="24"/>
          <w:szCs w:val="24"/>
        </w:rPr>
        <w:t xml:space="preserve"> og genitalslimhinder er ikke klarlagt hos børn under 12 år.</w:t>
      </w:r>
    </w:p>
    <w:p w:rsidR="003C101D" w:rsidRPr="00C95AB9" w:rsidRDefault="003C101D" w:rsidP="003C101D">
      <w:pPr>
        <w:ind w:left="851"/>
        <w:rPr>
          <w:rFonts w:eastAsiaTheme="minorEastAsia"/>
          <w:sz w:val="24"/>
          <w:szCs w:val="24"/>
        </w:rPr>
      </w:pPr>
    </w:p>
    <w:p w:rsidR="003C101D" w:rsidRPr="00CA1D65" w:rsidRDefault="003C101D" w:rsidP="003C101D">
      <w:pPr>
        <w:ind w:left="851"/>
        <w:rPr>
          <w:rFonts w:eastAsiaTheme="minorEastAsia"/>
          <w:sz w:val="24"/>
          <w:szCs w:val="24"/>
        </w:rPr>
      </w:pPr>
      <w:r w:rsidRPr="00C95AB9">
        <w:rPr>
          <w:rFonts w:eastAsiaTheme="minorEastAsia"/>
          <w:sz w:val="24"/>
          <w:szCs w:val="24"/>
        </w:rPr>
        <w:t>Tilgængelige pædiatriske data viser ikke tilstrækkelig virkning ved omskæring.</w:t>
      </w:r>
    </w:p>
    <w:p w:rsidR="003C101D" w:rsidRPr="00C84483" w:rsidRDefault="003C101D" w:rsidP="003C101D">
      <w:pPr>
        <w:tabs>
          <w:tab w:val="left" w:pos="851"/>
        </w:tabs>
        <w:ind w:left="851"/>
        <w:rPr>
          <w:sz w:val="24"/>
          <w:szCs w:val="24"/>
        </w:rPr>
      </w:pPr>
    </w:p>
    <w:p w:rsidR="003C101D" w:rsidRPr="00C84483" w:rsidRDefault="003C101D" w:rsidP="003C101D">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3C101D" w:rsidRPr="00C95AB9" w:rsidRDefault="003C101D" w:rsidP="003C101D">
      <w:pPr>
        <w:ind w:left="851"/>
        <w:rPr>
          <w:rFonts w:eastAsiaTheme="minorEastAsia"/>
          <w:sz w:val="24"/>
          <w:szCs w:val="24"/>
        </w:rPr>
      </w:pPr>
      <w:proofErr w:type="spellStart"/>
      <w:r w:rsidRPr="00C95AB9">
        <w:rPr>
          <w:rFonts w:eastAsiaTheme="minorEastAsia"/>
          <w:sz w:val="24"/>
          <w:szCs w:val="24"/>
        </w:rPr>
        <w:t>Prilocain</w:t>
      </w:r>
      <w:proofErr w:type="spellEnd"/>
      <w:r w:rsidRPr="00C95AB9">
        <w:rPr>
          <w:rFonts w:eastAsiaTheme="minorEastAsia"/>
          <w:sz w:val="24"/>
          <w:szCs w:val="24"/>
        </w:rPr>
        <w:t xml:space="preserve"> i høje doser kan forårsage en stigning i </w:t>
      </w:r>
      <w:proofErr w:type="spellStart"/>
      <w:r w:rsidRPr="00C95AB9">
        <w:rPr>
          <w:rFonts w:eastAsiaTheme="minorEastAsia"/>
          <w:sz w:val="24"/>
          <w:szCs w:val="24"/>
        </w:rPr>
        <w:t>methæmoglobinniveau</w:t>
      </w:r>
      <w:proofErr w:type="spellEnd"/>
      <w:r w:rsidRPr="00C95AB9">
        <w:rPr>
          <w:rFonts w:eastAsiaTheme="minorEastAsia"/>
          <w:sz w:val="24"/>
          <w:szCs w:val="24"/>
        </w:rPr>
        <w:t xml:space="preserve">, især i kombination med </w:t>
      </w:r>
      <w:proofErr w:type="spellStart"/>
      <w:r w:rsidRPr="00C95AB9">
        <w:rPr>
          <w:rFonts w:eastAsiaTheme="minorEastAsia"/>
          <w:sz w:val="24"/>
          <w:szCs w:val="24"/>
        </w:rPr>
        <w:t>methæmoglobininducerende</w:t>
      </w:r>
      <w:proofErr w:type="spellEnd"/>
      <w:r w:rsidRPr="00C95AB9">
        <w:rPr>
          <w:rFonts w:eastAsiaTheme="minorEastAsia"/>
          <w:sz w:val="24"/>
          <w:szCs w:val="24"/>
        </w:rPr>
        <w:t xml:space="preserve"> lægemidler (f.eks. sulfonamider, </w:t>
      </w:r>
      <w:proofErr w:type="spellStart"/>
      <w:r>
        <w:t>nitrofurantoin</w:t>
      </w:r>
      <w:proofErr w:type="spellEnd"/>
      <w:r w:rsidRPr="00C95AB9">
        <w:rPr>
          <w:rFonts w:eastAsiaTheme="minorEastAsia"/>
          <w:sz w:val="24"/>
          <w:szCs w:val="24"/>
        </w:rPr>
        <w:t xml:space="preserve">, </w:t>
      </w:r>
      <w:proofErr w:type="spellStart"/>
      <w:r w:rsidRPr="00C95AB9">
        <w:rPr>
          <w:rFonts w:eastAsiaTheme="minorEastAsia"/>
          <w:sz w:val="24"/>
          <w:szCs w:val="24"/>
        </w:rPr>
        <w:t>phenytoin</w:t>
      </w:r>
      <w:proofErr w:type="spellEnd"/>
      <w:r w:rsidRPr="00C95AB9">
        <w:rPr>
          <w:rFonts w:eastAsiaTheme="minorEastAsia"/>
          <w:sz w:val="24"/>
          <w:szCs w:val="24"/>
        </w:rPr>
        <w:t xml:space="preserve">, </w:t>
      </w:r>
      <w:proofErr w:type="spellStart"/>
      <w:r w:rsidRPr="00C95AB9">
        <w:rPr>
          <w:rFonts w:eastAsiaTheme="minorEastAsia"/>
          <w:sz w:val="24"/>
          <w:szCs w:val="24"/>
        </w:rPr>
        <w:t>phenobarbital</w:t>
      </w:r>
      <w:proofErr w:type="spellEnd"/>
      <w:r w:rsidRPr="00C95AB9">
        <w:rPr>
          <w:rFonts w:eastAsiaTheme="minorEastAsia"/>
          <w:sz w:val="24"/>
          <w:szCs w:val="24"/>
        </w:rPr>
        <w:t>). Listen kan ikke betragtes som værende fuldstændig.</w:t>
      </w:r>
    </w:p>
    <w:p w:rsidR="003C101D" w:rsidRPr="00C95AB9" w:rsidRDefault="003C101D" w:rsidP="003C101D">
      <w:pPr>
        <w:ind w:left="851"/>
        <w:rPr>
          <w:rFonts w:eastAsiaTheme="minorEastAsia"/>
          <w:sz w:val="24"/>
          <w:szCs w:val="24"/>
        </w:rPr>
      </w:pPr>
    </w:p>
    <w:p w:rsidR="003C101D" w:rsidRPr="00C95AB9" w:rsidRDefault="003C101D" w:rsidP="003C101D">
      <w:pPr>
        <w:ind w:left="851"/>
        <w:rPr>
          <w:rFonts w:eastAsiaTheme="minorEastAsia"/>
          <w:sz w:val="24"/>
          <w:szCs w:val="24"/>
        </w:rPr>
      </w:pPr>
      <w:r w:rsidRPr="00C95AB9">
        <w:rPr>
          <w:rFonts w:eastAsiaTheme="minorEastAsia"/>
          <w:sz w:val="24"/>
          <w:szCs w:val="24"/>
        </w:rPr>
        <w:t xml:space="preserve">Ved brug af høje doser af </w:t>
      </w:r>
      <w:proofErr w:type="spellStart"/>
      <w:r>
        <w:rPr>
          <w:rFonts w:eastAsiaTheme="minorEastAsia"/>
          <w:sz w:val="24"/>
          <w:szCs w:val="24"/>
        </w:rPr>
        <w:t>Nulbia</w:t>
      </w:r>
      <w:proofErr w:type="spellEnd"/>
      <w:r w:rsidRPr="00C95AB9">
        <w:rPr>
          <w:rFonts w:eastAsiaTheme="minorEastAsia"/>
          <w:sz w:val="24"/>
          <w:szCs w:val="24"/>
        </w:rPr>
        <w:t xml:space="preserve"> skal der tages højde for risikoen for yderligere systemisk toksicitet hos patienter, der får andre </w:t>
      </w:r>
      <w:proofErr w:type="spellStart"/>
      <w:r w:rsidRPr="00C95AB9">
        <w:rPr>
          <w:rFonts w:eastAsiaTheme="minorEastAsia"/>
          <w:sz w:val="24"/>
          <w:szCs w:val="24"/>
        </w:rPr>
        <w:t>lokalanæstetika</w:t>
      </w:r>
      <w:proofErr w:type="spellEnd"/>
      <w:r w:rsidRPr="00C95AB9">
        <w:rPr>
          <w:rFonts w:eastAsiaTheme="minorEastAsia"/>
          <w:sz w:val="24"/>
          <w:szCs w:val="24"/>
        </w:rPr>
        <w:t xml:space="preserve"> eller lægemidler, der er strukturelt beslægtet med </w:t>
      </w:r>
      <w:proofErr w:type="spellStart"/>
      <w:r w:rsidRPr="00C95AB9">
        <w:rPr>
          <w:rFonts w:eastAsiaTheme="minorEastAsia"/>
          <w:sz w:val="24"/>
          <w:szCs w:val="24"/>
        </w:rPr>
        <w:t>lokalanæstetika</w:t>
      </w:r>
      <w:proofErr w:type="spellEnd"/>
      <w:r w:rsidRPr="00C95AB9">
        <w:rPr>
          <w:rFonts w:eastAsiaTheme="minorEastAsia"/>
          <w:sz w:val="24"/>
          <w:szCs w:val="24"/>
        </w:rPr>
        <w:t xml:space="preserve">, idet de toksiske virkninger er </w:t>
      </w:r>
      <w:proofErr w:type="spellStart"/>
      <w:r w:rsidRPr="00C95AB9">
        <w:rPr>
          <w:rFonts w:eastAsiaTheme="minorEastAsia"/>
          <w:sz w:val="24"/>
          <w:szCs w:val="24"/>
        </w:rPr>
        <w:t>additive</w:t>
      </w:r>
      <w:proofErr w:type="spellEnd"/>
      <w:r w:rsidRPr="00C95AB9">
        <w:rPr>
          <w:rFonts w:eastAsiaTheme="minorEastAsia"/>
          <w:sz w:val="24"/>
          <w:szCs w:val="24"/>
        </w:rPr>
        <w:t>.</w:t>
      </w:r>
    </w:p>
    <w:p w:rsidR="003C101D" w:rsidRPr="00C95AB9" w:rsidRDefault="003C101D" w:rsidP="003C101D">
      <w:pPr>
        <w:ind w:left="851"/>
        <w:rPr>
          <w:rFonts w:eastAsiaTheme="minorEastAsia"/>
          <w:sz w:val="24"/>
          <w:szCs w:val="24"/>
        </w:rPr>
      </w:pPr>
    </w:p>
    <w:p w:rsidR="003C101D" w:rsidRPr="00C95AB9" w:rsidRDefault="003C101D" w:rsidP="003C101D">
      <w:pPr>
        <w:ind w:left="851"/>
        <w:rPr>
          <w:rFonts w:eastAsiaTheme="minorEastAsia"/>
          <w:sz w:val="24"/>
          <w:szCs w:val="24"/>
        </w:rPr>
      </w:pPr>
      <w:r w:rsidRPr="00C95AB9">
        <w:rPr>
          <w:rFonts w:eastAsiaTheme="minorEastAsia"/>
          <w:sz w:val="24"/>
          <w:szCs w:val="24"/>
        </w:rPr>
        <w:lastRenderedPageBreak/>
        <w:t xml:space="preserve">Der er ikke udført specifikke interaktionsstudier med </w:t>
      </w:r>
      <w:proofErr w:type="spellStart"/>
      <w:r w:rsidRPr="00C95AB9">
        <w:rPr>
          <w:rFonts w:eastAsiaTheme="minorEastAsia"/>
          <w:sz w:val="24"/>
          <w:szCs w:val="24"/>
        </w:rPr>
        <w:t>lidocain</w:t>
      </w:r>
      <w:proofErr w:type="spellEnd"/>
      <w:r w:rsidRPr="00C95AB9">
        <w:rPr>
          <w:rFonts w:eastAsiaTheme="minorEastAsia"/>
          <w:sz w:val="24"/>
          <w:szCs w:val="24"/>
        </w:rPr>
        <w:t>/</w:t>
      </w:r>
      <w:proofErr w:type="spellStart"/>
      <w:r w:rsidRPr="00C95AB9">
        <w:rPr>
          <w:rFonts w:eastAsiaTheme="minorEastAsia"/>
          <w:sz w:val="24"/>
          <w:szCs w:val="24"/>
        </w:rPr>
        <w:t>prilocain</w:t>
      </w:r>
      <w:proofErr w:type="spellEnd"/>
      <w:r w:rsidRPr="00C95AB9">
        <w:rPr>
          <w:rFonts w:eastAsiaTheme="minorEastAsia"/>
          <w:sz w:val="24"/>
          <w:szCs w:val="24"/>
        </w:rPr>
        <w:t xml:space="preserve"> og klasse III-</w:t>
      </w:r>
      <w:proofErr w:type="spellStart"/>
      <w:r w:rsidRPr="00C95AB9">
        <w:rPr>
          <w:rFonts w:eastAsiaTheme="minorEastAsia"/>
          <w:sz w:val="24"/>
          <w:szCs w:val="24"/>
        </w:rPr>
        <w:t>antiarytmika</w:t>
      </w:r>
      <w:proofErr w:type="spellEnd"/>
      <w:r w:rsidRPr="00C95AB9">
        <w:rPr>
          <w:rFonts w:eastAsiaTheme="minorEastAsia"/>
          <w:sz w:val="24"/>
          <w:szCs w:val="24"/>
        </w:rPr>
        <w:t xml:space="preserve"> (f.eks. </w:t>
      </w:r>
      <w:proofErr w:type="spellStart"/>
      <w:r w:rsidRPr="00C95AB9">
        <w:rPr>
          <w:rFonts w:eastAsiaTheme="minorEastAsia"/>
          <w:sz w:val="24"/>
          <w:szCs w:val="24"/>
        </w:rPr>
        <w:t>amiodaron</w:t>
      </w:r>
      <w:proofErr w:type="spellEnd"/>
      <w:r w:rsidRPr="00C95AB9">
        <w:rPr>
          <w:rFonts w:eastAsiaTheme="minorEastAsia"/>
          <w:sz w:val="24"/>
          <w:szCs w:val="24"/>
        </w:rPr>
        <w:t>), men det tilrådes at udvise forsigtighed (se også pkt. 4.4).</w:t>
      </w:r>
    </w:p>
    <w:p w:rsidR="003C101D" w:rsidRPr="00C95AB9" w:rsidRDefault="003C101D" w:rsidP="003C101D">
      <w:pPr>
        <w:ind w:left="851"/>
        <w:rPr>
          <w:rFonts w:eastAsiaTheme="minorEastAsia"/>
          <w:sz w:val="24"/>
          <w:szCs w:val="24"/>
        </w:rPr>
      </w:pPr>
    </w:p>
    <w:p w:rsidR="003C101D" w:rsidRPr="00C95AB9" w:rsidRDefault="003C101D" w:rsidP="003C101D">
      <w:pPr>
        <w:ind w:left="851"/>
        <w:rPr>
          <w:rFonts w:eastAsiaTheme="minorEastAsia"/>
          <w:sz w:val="24"/>
          <w:szCs w:val="24"/>
        </w:rPr>
      </w:pPr>
      <w:r w:rsidRPr="00C95AB9">
        <w:rPr>
          <w:rFonts w:eastAsiaTheme="minorEastAsia"/>
          <w:sz w:val="24"/>
          <w:szCs w:val="24"/>
        </w:rPr>
        <w:t xml:space="preserve">Lægemidler, der reducerer </w:t>
      </w:r>
      <w:proofErr w:type="spellStart"/>
      <w:r w:rsidRPr="00C95AB9">
        <w:rPr>
          <w:rFonts w:eastAsiaTheme="minorEastAsia"/>
          <w:sz w:val="24"/>
          <w:szCs w:val="24"/>
        </w:rPr>
        <w:t>lidocain-clearance</w:t>
      </w:r>
      <w:proofErr w:type="spellEnd"/>
      <w:r w:rsidRPr="00C95AB9">
        <w:rPr>
          <w:rFonts w:eastAsiaTheme="minorEastAsia"/>
          <w:sz w:val="24"/>
          <w:szCs w:val="24"/>
        </w:rPr>
        <w:t xml:space="preserve"> (f.eks. </w:t>
      </w:r>
      <w:proofErr w:type="spellStart"/>
      <w:r w:rsidRPr="00C95AB9">
        <w:rPr>
          <w:rFonts w:eastAsiaTheme="minorEastAsia"/>
          <w:sz w:val="24"/>
          <w:szCs w:val="24"/>
        </w:rPr>
        <w:t>cimetidin</w:t>
      </w:r>
      <w:proofErr w:type="spellEnd"/>
      <w:r w:rsidRPr="00C95AB9">
        <w:rPr>
          <w:rFonts w:eastAsiaTheme="minorEastAsia"/>
          <w:sz w:val="24"/>
          <w:szCs w:val="24"/>
        </w:rPr>
        <w:t xml:space="preserve"> eller betablokkere), kan forårsage potentielt toksiske plasmakoncentrationer, når </w:t>
      </w:r>
      <w:proofErr w:type="spellStart"/>
      <w:r w:rsidRPr="00C95AB9">
        <w:rPr>
          <w:rFonts w:eastAsiaTheme="minorEastAsia"/>
          <w:sz w:val="24"/>
          <w:szCs w:val="24"/>
        </w:rPr>
        <w:t>lidocain</w:t>
      </w:r>
      <w:proofErr w:type="spellEnd"/>
      <w:r w:rsidRPr="00C95AB9">
        <w:rPr>
          <w:rFonts w:eastAsiaTheme="minorEastAsia"/>
          <w:sz w:val="24"/>
          <w:szCs w:val="24"/>
        </w:rPr>
        <w:t xml:space="preserve"> gives i gentagne høje doser i en længere periode. </w:t>
      </w:r>
    </w:p>
    <w:p w:rsidR="003C101D" w:rsidRPr="00C95AB9" w:rsidRDefault="003C101D" w:rsidP="003C101D">
      <w:pPr>
        <w:ind w:left="851"/>
        <w:rPr>
          <w:rFonts w:eastAsiaTheme="minorEastAsia"/>
          <w:sz w:val="24"/>
          <w:szCs w:val="24"/>
        </w:rPr>
      </w:pPr>
    </w:p>
    <w:p w:rsidR="003C101D" w:rsidRPr="004328B0" w:rsidRDefault="003C101D" w:rsidP="003C101D">
      <w:pPr>
        <w:ind w:left="851"/>
        <w:rPr>
          <w:rFonts w:eastAsiaTheme="minorEastAsia"/>
          <w:sz w:val="24"/>
          <w:szCs w:val="24"/>
          <w:u w:val="single"/>
        </w:rPr>
      </w:pPr>
      <w:r w:rsidRPr="004328B0">
        <w:rPr>
          <w:rFonts w:eastAsiaTheme="minorEastAsia"/>
          <w:iCs/>
          <w:sz w:val="24"/>
          <w:szCs w:val="24"/>
          <w:u w:val="single"/>
        </w:rPr>
        <w:t>Pædiatrisk population</w:t>
      </w:r>
    </w:p>
    <w:p w:rsidR="003C101D" w:rsidRPr="00C95AB9" w:rsidRDefault="003C101D" w:rsidP="003C101D">
      <w:pPr>
        <w:ind w:left="851"/>
        <w:rPr>
          <w:rFonts w:eastAsiaTheme="minorEastAsia"/>
          <w:sz w:val="24"/>
          <w:szCs w:val="24"/>
        </w:rPr>
      </w:pPr>
      <w:r w:rsidRPr="00C95AB9">
        <w:rPr>
          <w:rFonts w:eastAsiaTheme="minorEastAsia"/>
          <w:sz w:val="24"/>
          <w:szCs w:val="24"/>
        </w:rPr>
        <w:t>Der er ikke udført specifikke interaktionsstudier hos børn. Interaktionerne er sandsynligvis de samme som for voksne.</w:t>
      </w:r>
    </w:p>
    <w:p w:rsidR="003C101D" w:rsidRPr="00C84483" w:rsidRDefault="003C101D" w:rsidP="003C101D">
      <w:pPr>
        <w:tabs>
          <w:tab w:val="left" w:pos="851"/>
        </w:tabs>
        <w:ind w:left="851"/>
        <w:rPr>
          <w:sz w:val="24"/>
          <w:szCs w:val="24"/>
        </w:rPr>
      </w:pPr>
    </w:p>
    <w:p w:rsidR="003C101D" w:rsidRPr="00C84483" w:rsidRDefault="003C101D" w:rsidP="003C101D">
      <w:pPr>
        <w:tabs>
          <w:tab w:val="left" w:pos="851"/>
        </w:tabs>
        <w:ind w:left="851" w:hanging="851"/>
        <w:rPr>
          <w:b/>
          <w:sz w:val="24"/>
          <w:szCs w:val="24"/>
        </w:rPr>
      </w:pPr>
      <w:r w:rsidRPr="00C84483">
        <w:rPr>
          <w:b/>
          <w:sz w:val="24"/>
          <w:szCs w:val="24"/>
        </w:rPr>
        <w:t>4.6</w:t>
      </w:r>
      <w:r w:rsidRPr="00C84483">
        <w:rPr>
          <w:b/>
          <w:sz w:val="24"/>
          <w:szCs w:val="24"/>
        </w:rPr>
        <w:tab/>
        <w:t>Graviditet og amning</w:t>
      </w:r>
    </w:p>
    <w:p w:rsidR="003C101D" w:rsidRDefault="003C101D" w:rsidP="003C101D">
      <w:pPr>
        <w:ind w:left="851"/>
        <w:rPr>
          <w:rFonts w:eastAsiaTheme="minorEastAsia"/>
          <w:sz w:val="24"/>
          <w:szCs w:val="24"/>
          <w:u w:val="single"/>
        </w:rPr>
      </w:pPr>
    </w:p>
    <w:p w:rsidR="003C101D" w:rsidRPr="00C95AB9" w:rsidRDefault="003C101D" w:rsidP="003C101D">
      <w:pPr>
        <w:ind w:left="851"/>
        <w:rPr>
          <w:rFonts w:eastAsiaTheme="minorEastAsia"/>
          <w:sz w:val="24"/>
          <w:szCs w:val="24"/>
          <w:u w:val="single"/>
        </w:rPr>
      </w:pPr>
      <w:r w:rsidRPr="00C95AB9">
        <w:rPr>
          <w:rFonts w:eastAsiaTheme="minorEastAsia"/>
          <w:sz w:val="24"/>
          <w:szCs w:val="24"/>
          <w:u w:val="single"/>
        </w:rPr>
        <w:t>Fertilitet</w:t>
      </w:r>
    </w:p>
    <w:p w:rsidR="003C101D" w:rsidRPr="00C95AB9" w:rsidRDefault="003C101D" w:rsidP="003C101D">
      <w:pPr>
        <w:ind w:left="851"/>
        <w:rPr>
          <w:rFonts w:eastAsiaTheme="minorEastAsia"/>
          <w:sz w:val="24"/>
          <w:szCs w:val="24"/>
        </w:rPr>
      </w:pPr>
      <w:r w:rsidRPr="00C95AB9">
        <w:rPr>
          <w:rFonts w:eastAsiaTheme="minorEastAsia"/>
          <w:sz w:val="24"/>
          <w:szCs w:val="24"/>
        </w:rPr>
        <w:t>Dyrestudier har ikke vist nedsat fertilitet hos han- og hunrotter (se pkt. 5.3).</w:t>
      </w:r>
    </w:p>
    <w:p w:rsidR="003C101D" w:rsidRPr="00C84483" w:rsidRDefault="003C101D" w:rsidP="003C101D">
      <w:pPr>
        <w:tabs>
          <w:tab w:val="left" w:pos="851"/>
        </w:tabs>
        <w:ind w:left="851"/>
        <w:rPr>
          <w:sz w:val="24"/>
          <w:szCs w:val="24"/>
        </w:rPr>
      </w:pPr>
    </w:p>
    <w:p w:rsidR="003C101D" w:rsidRPr="00C95AB9" w:rsidRDefault="003C101D" w:rsidP="003C101D">
      <w:pPr>
        <w:ind w:left="851"/>
        <w:rPr>
          <w:rFonts w:eastAsiaTheme="minorEastAsia"/>
          <w:sz w:val="24"/>
          <w:szCs w:val="24"/>
          <w:u w:val="single"/>
        </w:rPr>
      </w:pPr>
      <w:r w:rsidRPr="00C95AB9">
        <w:rPr>
          <w:rFonts w:eastAsiaTheme="minorEastAsia"/>
          <w:sz w:val="24"/>
          <w:szCs w:val="24"/>
          <w:u w:val="single"/>
        </w:rPr>
        <w:t>Graviditet</w:t>
      </w:r>
    </w:p>
    <w:p w:rsidR="003C101D" w:rsidRPr="00C95AB9" w:rsidRDefault="003C101D" w:rsidP="003C101D">
      <w:pPr>
        <w:ind w:left="851"/>
        <w:rPr>
          <w:rFonts w:eastAsiaTheme="minorEastAsia"/>
          <w:sz w:val="24"/>
          <w:szCs w:val="24"/>
        </w:rPr>
      </w:pPr>
      <w:r w:rsidRPr="00C95AB9">
        <w:rPr>
          <w:rFonts w:eastAsiaTheme="minorEastAsia"/>
          <w:sz w:val="24"/>
          <w:szCs w:val="24"/>
        </w:rPr>
        <w:t xml:space="preserve">Selv om lokal applikation kun er forbundet med lav systemisk absorption, skal </w:t>
      </w:r>
      <w:proofErr w:type="spellStart"/>
      <w:r>
        <w:rPr>
          <w:rFonts w:eastAsiaTheme="minorEastAsia"/>
          <w:sz w:val="24"/>
          <w:szCs w:val="24"/>
        </w:rPr>
        <w:t>Nulbia</w:t>
      </w:r>
      <w:proofErr w:type="spellEnd"/>
      <w:r w:rsidRPr="00C95AB9">
        <w:rPr>
          <w:rFonts w:eastAsiaTheme="minorEastAsia"/>
          <w:sz w:val="24"/>
          <w:szCs w:val="24"/>
        </w:rPr>
        <w:t xml:space="preserve"> anvendes med forsigtighed hos gravide kvinder, da der ikke er tilstrækkelige data vedrørende brug af </w:t>
      </w:r>
      <w:proofErr w:type="spellStart"/>
      <w:r>
        <w:rPr>
          <w:rFonts w:eastAsiaTheme="minorEastAsia"/>
          <w:sz w:val="24"/>
          <w:szCs w:val="24"/>
        </w:rPr>
        <w:t>Nulbia</w:t>
      </w:r>
      <w:proofErr w:type="spellEnd"/>
      <w:r w:rsidRPr="00C95AB9">
        <w:rPr>
          <w:rFonts w:eastAsiaTheme="minorEastAsia"/>
          <w:sz w:val="24"/>
          <w:szCs w:val="24"/>
        </w:rPr>
        <w:t xml:space="preserve"> hos gravide kvinder. Dyrestudier viser imidlertid ingen direkte eller indirekte negative virkninger på graviditet, embryo/</w:t>
      </w:r>
      <w:proofErr w:type="spellStart"/>
      <w:r w:rsidRPr="00C95AB9">
        <w:rPr>
          <w:rFonts w:eastAsiaTheme="minorEastAsia"/>
          <w:sz w:val="24"/>
          <w:szCs w:val="24"/>
        </w:rPr>
        <w:t>føtal</w:t>
      </w:r>
      <w:proofErr w:type="spellEnd"/>
      <w:r w:rsidRPr="00C95AB9">
        <w:rPr>
          <w:rFonts w:eastAsiaTheme="minorEastAsia"/>
          <w:sz w:val="24"/>
          <w:szCs w:val="24"/>
        </w:rPr>
        <w:t xml:space="preserve"> udvikling, fødsel eller </w:t>
      </w:r>
      <w:proofErr w:type="spellStart"/>
      <w:r w:rsidRPr="00C95AB9">
        <w:rPr>
          <w:rFonts w:eastAsiaTheme="minorEastAsia"/>
          <w:sz w:val="24"/>
          <w:szCs w:val="24"/>
        </w:rPr>
        <w:t>postnatal</w:t>
      </w:r>
      <w:proofErr w:type="spellEnd"/>
      <w:r w:rsidRPr="00C95AB9">
        <w:rPr>
          <w:rFonts w:eastAsiaTheme="minorEastAsia"/>
          <w:sz w:val="24"/>
          <w:szCs w:val="24"/>
        </w:rPr>
        <w:t xml:space="preserve"> udvikling. Reproduktionstoksicitet har været påvist ved subkutan/intramuskulær administration af høje </w:t>
      </w:r>
      <w:proofErr w:type="spellStart"/>
      <w:r w:rsidRPr="00C95AB9">
        <w:rPr>
          <w:rFonts w:eastAsiaTheme="minorEastAsia"/>
          <w:sz w:val="24"/>
          <w:szCs w:val="24"/>
        </w:rPr>
        <w:t>lidocain</w:t>
      </w:r>
      <w:proofErr w:type="spellEnd"/>
      <w:r w:rsidRPr="00C95AB9">
        <w:rPr>
          <w:rFonts w:eastAsiaTheme="minorEastAsia"/>
          <w:sz w:val="24"/>
          <w:szCs w:val="24"/>
        </w:rPr>
        <w:t xml:space="preserve">- eller </w:t>
      </w:r>
      <w:proofErr w:type="spellStart"/>
      <w:r w:rsidRPr="00C95AB9">
        <w:rPr>
          <w:rFonts w:eastAsiaTheme="minorEastAsia"/>
          <w:sz w:val="24"/>
          <w:szCs w:val="24"/>
        </w:rPr>
        <w:t>prilocaindoser</w:t>
      </w:r>
      <w:proofErr w:type="spellEnd"/>
      <w:r w:rsidRPr="00C95AB9">
        <w:rPr>
          <w:rFonts w:eastAsiaTheme="minorEastAsia"/>
          <w:sz w:val="24"/>
          <w:szCs w:val="24"/>
        </w:rPr>
        <w:t>, som overstiger eksponeringen efter lokal applikation meget (se pkt. 5.3).</w:t>
      </w:r>
    </w:p>
    <w:p w:rsidR="003C101D" w:rsidRPr="00C95AB9" w:rsidRDefault="003C101D" w:rsidP="003C101D">
      <w:pPr>
        <w:ind w:left="851"/>
        <w:rPr>
          <w:rFonts w:eastAsiaTheme="minorEastAsia"/>
          <w:sz w:val="24"/>
          <w:szCs w:val="24"/>
        </w:rPr>
      </w:pPr>
    </w:p>
    <w:p w:rsidR="003C101D" w:rsidRPr="00C95AB9" w:rsidRDefault="003C101D" w:rsidP="003C101D">
      <w:pPr>
        <w:ind w:left="851"/>
        <w:rPr>
          <w:rFonts w:eastAsiaTheme="minorEastAsia"/>
          <w:sz w:val="24"/>
          <w:szCs w:val="24"/>
        </w:rPr>
      </w:pPr>
      <w:proofErr w:type="spellStart"/>
      <w:r w:rsidRPr="00C95AB9">
        <w:rPr>
          <w:rFonts w:eastAsiaTheme="minorEastAsia"/>
          <w:sz w:val="24"/>
          <w:szCs w:val="24"/>
        </w:rPr>
        <w:t>Lidocain</w:t>
      </w:r>
      <w:proofErr w:type="spellEnd"/>
      <w:r w:rsidRPr="00C95AB9">
        <w:rPr>
          <w:rFonts w:eastAsiaTheme="minorEastAsia"/>
          <w:sz w:val="24"/>
          <w:szCs w:val="24"/>
        </w:rPr>
        <w:t xml:space="preserve"> og </w:t>
      </w:r>
      <w:proofErr w:type="spellStart"/>
      <w:r w:rsidRPr="00C95AB9">
        <w:rPr>
          <w:rFonts w:eastAsiaTheme="minorEastAsia"/>
          <w:sz w:val="24"/>
          <w:szCs w:val="24"/>
        </w:rPr>
        <w:t>prilocain</w:t>
      </w:r>
      <w:proofErr w:type="spellEnd"/>
      <w:r w:rsidRPr="00C95AB9">
        <w:rPr>
          <w:rFonts w:eastAsiaTheme="minorEastAsia"/>
          <w:sz w:val="24"/>
          <w:szCs w:val="24"/>
        </w:rPr>
        <w:t xml:space="preserve"> krydser placentabarrieren og kan blive absorberet i </w:t>
      </w:r>
      <w:proofErr w:type="spellStart"/>
      <w:r w:rsidRPr="00C95AB9">
        <w:rPr>
          <w:rFonts w:eastAsiaTheme="minorEastAsia"/>
          <w:sz w:val="24"/>
          <w:szCs w:val="24"/>
        </w:rPr>
        <w:t>føtale</w:t>
      </w:r>
      <w:proofErr w:type="spellEnd"/>
      <w:r w:rsidRPr="00C95AB9">
        <w:rPr>
          <w:rFonts w:eastAsiaTheme="minorEastAsia"/>
          <w:sz w:val="24"/>
          <w:szCs w:val="24"/>
        </w:rPr>
        <w:t xml:space="preserve"> væv. Det må med rimelighed formodes, at </w:t>
      </w:r>
      <w:proofErr w:type="spellStart"/>
      <w:r w:rsidRPr="00C95AB9">
        <w:rPr>
          <w:rFonts w:eastAsiaTheme="minorEastAsia"/>
          <w:sz w:val="24"/>
          <w:szCs w:val="24"/>
        </w:rPr>
        <w:t>lidocain</w:t>
      </w:r>
      <w:proofErr w:type="spellEnd"/>
      <w:r w:rsidRPr="00C95AB9">
        <w:rPr>
          <w:rFonts w:eastAsiaTheme="minorEastAsia"/>
          <w:sz w:val="24"/>
          <w:szCs w:val="24"/>
        </w:rPr>
        <w:t xml:space="preserve"> og </w:t>
      </w:r>
      <w:proofErr w:type="spellStart"/>
      <w:r w:rsidRPr="00C95AB9">
        <w:rPr>
          <w:rFonts w:eastAsiaTheme="minorEastAsia"/>
          <w:sz w:val="24"/>
          <w:szCs w:val="24"/>
        </w:rPr>
        <w:t>prilocain</w:t>
      </w:r>
      <w:proofErr w:type="spellEnd"/>
      <w:r w:rsidRPr="00C95AB9">
        <w:rPr>
          <w:rFonts w:eastAsiaTheme="minorEastAsia"/>
          <w:sz w:val="24"/>
          <w:szCs w:val="24"/>
        </w:rPr>
        <w:t xml:space="preserve"> er blevet anvendt hos et stort antal gravide kvinder og kvinder i den fertile alder. Der er til dato ikke rapporteret om specifikke forstyrrelser i reproduktionsprocessen, f.eks. øget forekomst af misdannelser eller andre direkte eller indirekte skadelige virkninger på fostret.</w:t>
      </w:r>
    </w:p>
    <w:p w:rsidR="003C101D" w:rsidRPr="00C95AB9" w:rsidRDefault="003C101D" w:rsidP="003C101D">
      <w:pPr>
        <w:ind w:left="851"/>
        <w:rPr>
          <w:rFonts w:eastAsiaTheme="minorEastAsia"/>
          <w:sz w:val="24"/>
          <w:szCs w:val="24"/>
        </w:rPr>
      </w:pPr>
    </w:p>
    <w:p w:rsidR="003C101D" w:rsidRPr="00C95AB9" w:rsidRDefault="003C101D" w:rsidP="003C101D">
      <w:pPr>
        <w:ind w:left="851"/>
        <w:rPr>
          <w:rFonts w:eastAsiaTheme="minorEastAsia"/>
          <w:sz w:val="24"/>
          <w:szCs w:val="24"/>
          <w:u w:val="single"/>
        </w:rPr>
      </w:pPr>
      <w:r w:rsidRPr="00C95AB9">
        <w:rPr>
          <w:rFonts w:eastAsiaTheme="minorEastAsia"/>
          <w:sz w:val="24"/>
          <w:szCs w:val="24"/>
          <w:u w:val="single"/>
        </w:rPr>
        <w:t>Amning</w:t>
      </w:r>
    </w:p>
    <w:p w:rsidR="003C101D" w:rsidRPr="00C95AB9" w:rsidRDefault="003C101D" w:rsidP="003C101D">
      <w:pPr>
        <w:ind w:left="851"/>
        <w:rPr>
          <w:rFonts w:eastAsiaTheme="minorEastAsia"/>
          <w:sz w:val="24"/>
          <w:szCs w:val="24"/>
        </w:rPr>
      </w:pPr>
      <w:proofErr w:type="spellStart"/>
      <w:r w:rsidRPr="00C95AB9">
        <w:rPr>
          <w:rFonts w:eastAsiaTheme="minorEastAsia"/>
          <w:sz w:val="24"/>
          <w:szCs w:val="24"/>
        </w:rPr>
        <w:t>Lidocain</w:t>
      </w:r>
      <w:proofErr w:type="spellEnd"/>
      <w:r w:rsidRPr="00C95AB9">
        <w:rPr>
          <w:rFonts w:eastAsiaTheme="minorEastAsia"/>
          <w:sz w:val="24"/>
          <w:szCs w:val="24"/>
        </w:rPr>
        <w:t xml:space="preserve"> og højst sandsynligt også </w:t>
      </w:r>
      <w:proofErr w:type="spellStart"/>
      <w:r w:rsidRPr="00C95AB9">
        <w:rPr>
          <w:rFonts w:eastAsiaTheme="minorEastAsia"/>
          <w:sz w:val="24"/>
          <w:szCs w:val="24"/>
        </w:rPr>
        <w:t>prilocain</w:t>
      </w:r>
      <w:proofErr w:type="spellEnd"/>
      <w:r w:rsidRPr="00C95AB9">
        <w:rPr>
          <w:rFonts w:eastAsiaTheme="minorEastAsia"/>
          <w:sz w:val="24"/>
          <w:szCs w:val="24"/>
        </w:rPr>
        <w:t xml:space="preserve"> udskilles i human mælk, men i så små mængder, at der generelt ikke er nogen risiko for, at barnet bliver påvirket ved terapeutiske dosisniveauer.</w:t>
      </w:r>
    </w:p>
    <w:p w:rsidR="003C101D" w:rsidRPr="00C95AB9" w:rsidRDefault="003C101D" w:rsidP="003C101D">
      <w:pPr>
        <w:ind w:left="851"/>
        <w:rPr>
          <w:rFonts w:eastAsiaTheme="minorEastAsia"/>
          <w:sz w:val="24"/>
          <w:szCs w:val="24"/>
        </w:rPr>
      </w:pPr>
      <w:proofErr w:type="spellStart"/>
      <w:r>
        <w:rPr>
          <w:rFonts w:eastAsiaTheme="minorEastAsia"/>
          <w:sz w:val="24"/>
          <w:szCs w:val="24"/>
        </w:rPr>
        <w:t>Nulbia</w:t>
      </w:r>
      <w:proofErr w:type="spellEnd"/>
      <w:r w:rsidRPr="00C95AB9">
        <w:rPr>
          <w:rFonts w:eastAsiaTheme="minorEastAsia"/>
          <w:sz w:val="24"/>
          <w:szCs w:val="24"/>
        </w:rPr>
        <w:t xml:space="preserve"> kan anvendes i </w:t>
      </w:r>
      <w:proofErr w:type="spellStart"/>
      <w:r w:rsidRPr="00C95AB9">
        <w:rPr>
          <w:rFonts w:eastAsiaTheme="minorEastAsia"/>
          <w:sz w:val="24"/>
          <w:szCs w:val="24"/>
        </w:rPr>
        <w:t>ammeperioden</w:t>
      </w:r>
      <w:proofErr w:type="spellEnd"/>
      <w:r w:rsidRPr="00C95AB9">
        <w:rPr>
          <w:rFonts w:eastAsiaTheme="minorEastAsia"/>
          <w:sz w:val="24"/>
          <w:szCs w:val="24"/>
        </w:rPr>
        <w:t xml:space="preserve"> ved klinisk behov.</w:t>
      </w:r>
    </w:p>
    <w:p w:rsidR="003C101D" w:rsidRPr="00C84483" w:rsidRDefault="003C101D" w:rsidP="003C101D">
      <w:pPr>
        <w:tabs>
          <w:tab w:val="left" w:pos="851"/>
        </w:tabs>
        <w:ind w:left="851"/>
        <w:rPr>
          <w:sz w:val="24"/>
          <w:szCs w:val="24"/>
        </w:rPr>
      </w:pPr>
    </w:p>
    <w:p w:rsidR="003C101D" w:rsidRPr="00C84483" w:rsidRDefault="003C101D" w:rsidP="003C101D">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3C101D" w:rsidRDefault="003C101D" w:rsidP="003C101D">
      <w:pPr>
        <w:ind w:left="851"/>
        <w:rPr>
          <w:rFonts w:eastAsiaTheme="minorEastAsia"/>
          <w:sz w:val="24"/>
          <w:szCs w:val="24"/>
        </w:rPr>
      </w:pPr>
      <w:r>
        <w:rPr>
          <w:rFonts w:eastAsiaTheme="minorEastAsia"/>
          <w:sz w:val="24"/>
          <w:szCs w:val="24"/>
        </w:rPr>
        <w:t>Ikke mærkning.</w:t>
      </w:r>
    </w:p>
    <w:p w:rsidR="003C101D" w:rsidRPr="004328B0" w:rsidRDefault="003C101D" w:rsidP="003C101D">
      <w:pPr>
        <w:ind w:left="851"/>
        <w:rPr>
          <w:rFonts w:eastAsiaTheme="minorEastAsia"/>
          <w:sz w:val="24"/>
          <w:szCs w:val="24"/>
        </w:rPr>
      </w:pPr>
      <w:proofErr w:type="spellStart"/>
      <w:r>
        <w:rPr>
          <w:rFonts w:eastAsiaTheme="minorEastAsia"/>
          <w:sz w:val="24"/>
          <w:szCs w:val="24"/>
        </w:rPr>
        <w:t>Nulbia</w:t>
      </w:r>
      <w:proofErr w:type="spellEnd"/>
      <w:r w:rsidRPr="00C95AB9">
        <w:rPr>
          <w:rFonts w:eastAsiaTheme="minorEastAsia"/>
          <w:sz w:val="24"/>
          <w:szCs w:val="24"/>
        </w:rPr>
        <w:t xml:space="preserve"> påvirker ikke eller kun i ubetydelig grad evnen til at føre motorkøretøj og betjene maskiner, når det bruges i de anbefalede doser.</w:t>
      </w:r>
    </w:p>
    <w:p w:rsidR="003C101D" w:rsidRPr="00C84483" w:rsidRDefault="003C101D" w:rsidP="003C101D">
      <w:pPr>
        <w:tabs>
          <w:tab w:val="left" w:pos="851"/>
        </w:tabs>
        <w:ind w:left="851"/>
        <w:rPr>
          <w:sz w:val="24"/>
          <w:szCs w:val="24"/>
        </w:rPr>
      </w:pPr>
    </w:p>
    <w:p w:rsidR="003C101D" w:rsidRPr="00C84483" w:rsidRDefault="003C101D" w:rsidP="003C101D">
      <w:pPr>
        <w:tabs>
          <w:tab w:val="left" w:pos="851"/>
        </w:tabs>
        <w:ind w:left="851" w:hanging="851"/>
        <w:rPr>
          <w:b/>
          <w:sz w:val="24"/>
          <w:szCs w:val="24"/>
        </w:rPr>
      </w:pPr>
      <w:r w:rsidRPr="00C84483">
        <w:rPr>
          <w:b/>
          <w:sz w:val="24"/>
          <w:szCs w:val="24"/>
        </w:rPr>
        <w:t>4.8</w:t>
      </w:r>
      <w:r w:rsidRPr="00C84483">
        <w:rPr>
          <w:b/>
          <w:sz w:val="24"/>
          <w:szCs w:val="24"/>
        </w:rPr>
        <w:tab/>
        <w:t>Bivirkninger</w:t>
      </w:r>
    </w:p>
    <w:p w:rsidR="003C101D" w:rsidRDefault="003C101D" w:rsidP="003C101D">
      <w:pPr>
        <w:ind w:left="851"/>
        <w:rPr>
          <w:sz w:val="24"/>
          <w:szCs w:val="24"/>
        </w:rPr>
      </w:pPr>
    </w:p>
    <w:p w:rsidR="003C101D" w:rsidRPr="003F6C91" w:rsidRDefault="003C101D" w:rsidP="003C101D">
      <w:pPr>
        <w:ind w:left="851"/>
        <w:rPr>
          <w:sz w:val="24"/>
          <w:szCs w:val="24"/>
          <w:u w:val="single"/>
        </w:rPr>
      </w:pPr>
      <w:r w:rsidRPr="003F6C91">
        <w:rPr>
          <w:iCs/>
          <w:sz w:val="24"/>
          <w:szCs w:val="24"/>
          <w:u w:val="single"/>
        </w:rPr>
        <w:t>Sammendrag af sikkerhedsprofilen</w:t>
      </w:r>
    </w:p>
    <w:p w:rsidR="003C101D" w:rsidRDefault="003C101D" w:rsidP="003C101D">
      <w:pPr>
        <w:ind w:left="851"/>
        <w:rPr>
          <w:sz w:val="24"/>
          <w:szCs w:val="24"/>
        </w:rPr>
      </w:pPr>
      <w:r>
        <w:rPr>
          <w:sz w:val="24"/>
          <w:szCs w:val="24"/>
        </w:rPr>
        <w:t>De hyppigst observerede bivirkninger er relateret til virkninger på administrationsstedet (forbigående lokale reaktioner på administrationsstedet), som er indberettet med hyppigheden almindelig.</w:t>
      </w:r>
    </w:p>
    <w:p w:rsidR="007378A4" w:rsidRDefault="007378A4">
      <w:pPr>
        <w:rPr>
          <w:sz w:val="24"/>
          <w:szCs w:val="24"/>
        </w:rPr>
      </w:pPr>
      <w:r>
        <w:rPr>
          <w:sz w:val="24"/>
          <w:szCs w:val="24"/>
        </w:rPr>
        <w:br w:type="page"/>
      </w:r>
    </w:p>
    <w:p w:rsidR="003C101D" w:rsidRDefault="003C101D" w:rsidP="003C101D">
      <w:pPr>
        <w:ind w:left="851"/>
        <w:rPr>
          <w:sz w:val="24"/>
          <w:szCs w:val="24"/>
        </w:rPr>
      </w:pPr>
    </w:p>
    <w:p w:rsidR="003C101D" w:rsidRPr="003F6C91" w:rsidRDefault="003C101D" w:rsidP="003C101D">
      <w:pPr>
        <w:ind w:left="851"/>
        <w:rPr>
          <w:sz w:val="24"/>
          <w:szCs w:val="24"/>
          <w:u w:val="single"/>
        </w:rPr>
      </w:pPr>
      <w:r w:rsidRPr="003F6C91">
        <w:rPr>
          <w:iCs/>
          <w:sz w:val="24"/>
          <w:szCs w:val="24"/>
          <w:u w:val="single"/>
        </w:rPr>
        <w:t>Tabeloversigt over bivirkninger</w:t>
      </w:r>
    </w:p>
    <w:p w:rsidR="003C101D" w:rsidRDefault="003C101D" w:rsidP="003C101D">
      <w:pPr>
        <w:ind w:left="851"/>
        <w:rPr>
          <w:sz w:val="24"/>
          <w:szCs w:val="24"/>
        </w:rPr>
      </w:pPr>
      <w:r>
        <w:rPr>
          <w:sz w:val="24"/>
          <w:szCs w:val="24"/>
        </w:rPr>
        <w:t xml:space="preserve">Forekomsten af bivirkninger, der er forbundet med behandling med </w:t>
      </w:r>
      <w:proofErr w:type="spellStart"/>
      <w:r>
        <w:rPr>
          <w:sz w:val="24"/>
          <w:szCs w:val="24"/>
        </w:rPr>
        <w:t>Nulbia</w:t>
      </w:r>
      <w:proofErr w:type="spellEnd"/>
      <w:r>
        <w:rPr>
          <w:sz w:val="24"/>
          <w:szCs w:val="24"/>
        </w:rPr>
        <w:t>, er angivet i nedenstående tabel.</w:t>
      </w:r>
    </w:p>
    <w:p w:rsidR="003C101D" w:rsidRDefault="003C101D" w:rsidP="003C101D">
      <w:pPr>
        <w:ind w:left="851"/>
        <w:rPr>
          <w:sz w:val="24"/>
          <w:szCs w:val="24"/>
        </w:rPr>
      </w:pPr>
      <w:r>
        <w:rPr>
          <w:sz w:val="24"/>
          <w:szCs w:val="24"/>
        </w:rPr>
        <w:t xml:space="preserve">Tabellen er baseret på bivirkninger, der er indrapporteret under kliniske forsøg og/eller efter markedsføringen. Bivirkningshyppigheden er angivet sammen med </w:t>
      </w:r>
      <w:proofErr w:type="spellStart"/>
      <w:r>
        <w:rPr>
          <w:sz w:val="24"/>
          <w:szCs w:val="24"/>
        </w:rPr>
        <w:t>MedDRA</w:t>
      </w:r>
      <w:proofErr w:type="spellEnd"/>
      <w:r>
        <w:rPr>
          <w:sz w:val="24"/>
          <w:szCs w:val="24"/>
        </w:rPr>
        <w:t xml:space="preserve"> systemorganklasse og foretrukne term.</w:t>
      </w:r>
    </w:p>
    <w:p w:rsidR="003C101D" w:rsidRDefault="003C101D" w:rsidP="003C101D">
      <w:pPr>
        <w:ind w:left="851"/>
        <w:rPr>
          <w:sz w:val="24"/>
          <w:szCs w:val="24"/>
        </w:rPr>
      </w:pPr>
    </w:p>
    <w:p w:rsidR="003C101D" w:rsidRDefault="003C101D" w:rsidP="003C101D">
      <w:pPr>
        <w:ind w:left="851"/>
        <w:rPr>
          <w:sz w:val="24"/>
          <w:szCs w:val="24"/>
        </w:rPr>
      </w:pPr>
      <w:r>
        <w:rPr>
          <w:sz w:val="24"/>
          <w:szCs w:val="24"/>
        </w:rPr>
        <w:t>Inden for hver systemorganklasse er bivirkningerne angivet efter følgende hyppighedskategorier: Meget almindelig (&gt;1/10), almindelig (&gt;1/100 til &lt;1/10), ikke almindelig (&gt;1/1.000 til &lt;1/100), sjælden (&gt;1/10.000 til &lt;1/1.000), meget sjælden. (&lt;1/10.000). Inden for hver hyppighedsgruppe er bivirkningerne angivet efter faldende alvorlighedsgrad.</w:t>
      </w:r>
    </w:p>
    <w:p w:rsidR="003C101D" w:rsidRDefault="003C101D" w:rsidP="003C101D">
      <w:pPr>
        <w:ind w:left="851"/>
        <w:rPr>
          <w:sz w:val="24"/>
          <w:szCs w:val="24"/>
        </w:rPr>
      </w:pPr>
    </w:p>
    <w:p w:rsidR="003C101D" w:rsidRDefault="003C101D" w:rsidP="007378A4">
      <w:pPr>
        <w:rPr>
          <w:sz w:val="24"/>
          <w:szCs w:val="24"/>
        </w:rPr>
      </w:pPr>
      <w:r>
        <w:rPr>
          <w:sz w:val="24"/>
          <w:szCs w:val="24"/>
        </w:rPr>
        <w:t>Tabel 3.</w:t>
      </w:r>
      <w:r>
        <w:rPr>
          <w:sz w:val="24"/>
          <w:szCs w:val="24"/>
        </w:rPr>
        <w:tab/>
        <w:t>Bivirkninger</w:t>
      </w:r>
    </w:p>
    <w:tbl>
      <w:tblPr>
        <w:tblStyle w:val="Tabel-Gitter"/>
        <w:tblW w:w="5000" w:type="pct"/>
        <w:tblInd w:w="0" w:type="dxa"/>
        <w:tblLook w:val="04A0" w:firstRow="1" w:lastRow="0" w:firstColumn="1" w:lastColumn="0" w:noHBand="0" w:noVBand="1"/>
      </w:tblPr>
      <w:tblGrid>
        <w:gridCol w:w="2266"/>
        <w:gridCol w:w="2690"/>
        <w:gridCol w:w="2265"/>
        <w:gridCol w:w="2407"/>
      </w:tblGrid>
      <w:tr w:rsidR="003C101D" w:rsidRPr="009741F1" w:rsidTr="007378A4">
        <w:tc>
          <w:tcPr>
            <w:tcW w:w="117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101D" w:rsidRPr="009741F1" w:rsidRDefault="003C101D" w:rsidP="003B4BCE">
            <w:pPr>
              <w:ind w:left="34"/>
              <w:rPr>
                <w:rFonts w:ascii="Times New Roman" w:hAnsi="Times New Roman" w:cs="Times New Roman"/>
                <w:b/>
                <w:sz w:val="22"/>
              </w:rPr>
            </w:pPr>
            <w:r w:rsidRPr="009741F1">
              <w:rPr>
                <w:rFonts w:ascii="Times New Roman" w:hAnsi="Times New Roman" w:cs="Times New Roman"/>
                <w:b/>
                <w:bCs/>
                <w:sz w:val="22"/>
                <w:lang w:val="da-DK"/>
              </w:rPr>
              <w:t>Systemorganklasse</w:t>
            </w:r>
          </w:p>
        </w:tc>
        <w:tc>
          <w:tcPr>
            <w:tcW w:w="139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101D" w:rsidRPr="009741F1" w:rsidRDefault="003C101D" w:rsidP="003B4BCE">
            <w:pPr>
              <w:ind w:left="34"/>
              <w:rPr>
                <w:rFonts w:ascii="Times New Roman" w:hAnsi="Times New Roman" w:cs="Times New Roman"/>
                <w:b/>
                <w:sz w:val="22"/>
              </w:rPr>
            </w:pPr>
            <w:r w:rsidRPr="009741F1">
              <w:rPr>
                <w:rFonts w:ascii="Times New Roman" w:hAnsi="Times New Roman" w:cs="Times New Roman"/>
                <w:b/>
                <w:bCs/>
                <w:sz w:val="22"/>
                <w:lang w:val="da-DK"/>
              </w:rPr>
              <w:t>Almindelig</w:t>
            </w:r>
          </w:p>
        </w:tc>
        <w:tc>
          <w:tcPr>
            <w:tcW w:w="117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101D" w:rsidRPr="009741F1" w:rsidRDefault="003C101D" w:rsidP="003B4BCE">
            <w:pPr>
              <w:ind w:left="33"/>
              <w:rPr>
                <w:rFonts w:ascii="Times New Roman" w:hAnsi="Times New Roman" w:cs="Times New Roman"/>
                <w:b/>
                <w:sz w:val="22"/>
              </w:rPr>
            </w:pPr>
            <w:r w:rsidRPr="009741F1">
              <w:rPr>
                <w:rFonts w:ascii="Times New Roman" w:hAnsi="Times New Roman" w:cs="Times New Roman"/>
                <w:b/>
                <w:bCs/>
                <w:sz w:val="22"/>
                <w:lang w:val="da-DK"/>
              </w:rPr>
              <w:t>Ikke almindelig</w:t>
            </w:r>
          </w:p>
        </w:tc>
        <w:tc>
          <w:tcPr>
            <w:tcW w:w="125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101D" w:rsidRPr="009741F1" w:rsidRDefault="003C101D" w:rsidP="003B4BCE">
            <w:pPr>
              <w:ind w:left="34"/>
              <w:rPr>
                <w:rFonts w:ascii="Times New Roman" w:hAnsi="Times New Roman" w:cs="Times New Roman"/>
                <w:b/>
                <w:sz w:val="22"/>
              </w:rPr>
            </w:pPr>
            <w:r w:rsidRPr="009741F1">
              <w:rPr>
                <w:rFonts w:ascii="Times New Roman" w:hAnsi="Times New Roman" w:cs="Times New Roman"/>
                <w:b/>
                <w:bCs/>
                <w:sz w:val="22"/>
                <w:lang w:val="da-DK"/>
              </w:rPr>
              <w:t>Sjælden</w:t>
            </w:r>
          </w:p>
        </w:tc>
      </w:tr>
      <w:tr w:rsidR="003C101D" w:rsidRPr="009741F1" w:rsidTr="007378A4">
        <w:tc>
          <w:tcPr>
            <w:tcW w:w="1177" w:type="pct"/>
            <w:tcBorders>
              <w:top w:val="single" w:sz="4" w:space="0" w:color="auto"/>
              <w:left w:val="single" w:sz="4" w:space="0" w:color="auto"/>
              <w:bottom w:val="single" w:sz="4" w:space="0" w:color="auto"/>
              <w:right w:val="single" w:sz="4" w:space="0" w:color="auto"/>
            </w:tcBorders>
            <w:hideMark/>
          </w:tcPr>
          <w:p w:rsidR="003C101D" w:rsidRPr="009741F1" w:rsidRDefault="003C101D" w:rsidP="003B4BCE">
            <w:pPr>
              <w:ind w:left="34"/>
              <w:rPr>
                <w:rFonts w:ascii="Times New Roman" w:hAnsi="Times New Roman" w:cs="Times New Roman"/>
                <w:sz w:val="22"/>
              </w:rPr>
            </w:pPr>
            <w:r w:rsidRPr="009741F1">
              <w:rPr>
                <w:rFonts w:ascii="Times New Roman" w:hAnsi="Times New Roman" w:cs="Times New Roman"/>
                <w:sz w:val="22"/>
                <w:lang w:val="da-DK"/>
              </w:rPr>
              <w:t>Blod og lymfesystem</w:t>
            </w:r>
          </w:p>
        </w:tc>
        <w:tc>
          <w:tcPr>
            <w:tcW w:w="1397" w:type="pct"/>
            <w:tcBorders>
              <w:top w:val="single" w:sz="4" w:space="0" w:color="auto"/>
              <w:left w:val="single" w:sz="4" w:space="0" w:color="auto"/>
              <w:bottom w:val="single" w:sz="4" w:space="0" w:color="auto"/>
              <w:right w:val="single" w:sz="4" w:space="0" w:color="auto"/>
            </w:tcBorders>
          </w:tcPr>
          <w:p w:rsidR="003C101D" w:rsidRPr="009741F1" w:rsidRDefault="003C101D" w:rsidP="003B4BCE">
            <w:pPr>
              <w:ind w:left="34"/>
              <w:rPr>
                <w:rFonts w:ascii="Times New Roman" w:hAnsi="Times New Roman" w:cs="Times New Roman"/>
                <w:sz w:val="22"/>
              </w:rPr>
            </w:pPr>
          </w:p>
        </w:tc>
        <w:tc>
          <w:tcPr>
            <w:tcW w:w="1176" w:type="pct"/>
            <w:tcBorders>
              <w:top w:val="single" w:sz="4" w:space="0" w:color="auto"/>
              <w:left w:val="single" w:sz="4" w:space="0" w:color="auto"/>
              <w:bottom w:val="single" w:sz="4" w:space="0" w:color="auto"/>
              <w:right w:val="single" w:sz="4" w:space="0" w:color="auto"/>
            </w:tcBorders>
          </w:tcPr>
          <w:p w:rsidR="003C101D" w:rsidRPr="009741F1" w:rsidRDefault="003C101D" w:rsidP="003B4BCE">
            <w:pPr>
              <w:ind w:left="33"/>
              <w:rPr>
                <w:rFonts w:ascii="Times New Roman" w:hAnsi="Times New Roman" w:cs="Times New Roman"/>
                <w:sz w:val="22"/>
              </w:rPr>
            </w:pPr>
          </w:p>
        </w:tc>
        <w:tc>
          <w:tcPr>
            <w:tcW w:w="1250" w:type="pct"/>
            <w:tcBorders>
              <w:top w:val="single" w:sz="4" w:space="0" w:color="auto"/>
              <w:left w:val="single" w:sz="4" w:space="0" w:color="auto"/>
              <w:bottom w:val="single" w:sz="4" w:space="0" w:color="auto"/>
              <w:right w:val="single" w:sz="4" w:space="0" w:color="auto"/>
            </w:tcBorders>
            <w:hideMark/>
          </w:tcPr>
          <w:p w:rsidR="003C101D" w:rsidRPr="009741F1" w:rsidRDefault="003C101D" w:rsidP="003B4BCE">
            <w:pPr>
              <w:ind w:left="34"/>
              <w:rPr>
                <w:rFonts w:ascii="Times New Roman" w:hAnsi="Times New Roman" w:cs="Times New Roman"/>
                <w:sz w:val="22"/>
              </w:rPr>
            </w:pPr>
            <w:r w:rsidRPr="009741F1">
              <w:rPr>
                <w:rFonts w:ascii="Times New Roman" w:hAnsi="Times New Roman" w:cs="Times New Roman"/>
                <w:sz w:val="22"/>
                <w:lang w:val="da-DK"/>
              </w:rPr>
              <w:t>Methæmoglobinæmi</w:t>
            </w:r>
            <w:r w:rsidRPr="009741F1">
              <w:rPr>
                <w:rFonts w:ascii="Times New Roman" w:hAnsi="Times New Roman" w:cs="Times New Roman"/>
                <w:sz w:val="22"/>
                <w:vertAlign w:val="superscript"/>
                <w:lang w:val="da-DK"/>
              </w:rPr>
              <w:t>1</w:t>
            </w:r>
          </w:p>
        </w:tc>
      </w:tr>
      <w:tr w:rsidR="003C101D" w:rsidRPr="009741F1" w:rsidTr="007378A4">
        <w:tc>
          <w:tcPr>
            <w:tcW w:w="1177" w:type="pct"/>
            <w:tcBorders>
              <w:top w:val="single" w:sz="4" w:space="0" w:color="auto"/>
              <w:left w:val="single" w:sz="4" w:space="0" w:color="auto"/>
              <w:bottom w:val="single" w:sz="4" w:space="0" w:color="auto"/>
              <w:right w:val="single" w:sz="4" w:space="0" w:color="auto"/>
            </w:tcBorders>
            <w:hideMark/>
          </w:tcPr>
          <w:p w:rsidR="003C101D" w:rsidRPr="009741F1" w:rsidRDefault="003C101D" w:rsidP="003B4BCE">
            <w:pPr>
              <w:ind w:left="34"/>
              <w:rPr>
                <w:rFonts w:ascii="Times New Roman" w:hAnsi="Times New Roman" w:cs="Times New Roman"/>
                <w:sz w:val="22"/>
              </w:rPr>
            </w:pPr>
            <w:r w:rsidRPr="009741F1">
              <w:rPr>
                <w:rFonts w:ascii="Times New Roman" w:hAnsi="Times New Roman" w:cs="Times New Roman"/>
                <w:sz w:val="22"/>
                <w:lang w:val="da-DK"/>
              </w:rPr>
              <w:t>Immunsystemet</w:t>
            </w:r>
          </w:p>
        </w:tc>
        <w:tc>
          <w:tcPr>
            <w:tcW w:w="1397" w:type="pct"/>
            <w:tcBorders>
              <w:top w:val="single" w:sz="4" w:space="0" w:color="auto"/>
              <w:left w:val="single" w:sz="4" w:space="0" w:color="auto"/>
              <w:bottom w:val="single" w:sz="4" w:space="0" w:color="auto"/>
              <w:right w:val="single" w:sz="4" w:space="0" w:color="auto"/>
            </w:tcBorders>
          </w:tcPr>
          <w:p w:rsidR="003C101D" w:rsidRPr="009741F1" w:rsidRDefault="003C101D" w:rsidP="003B4BCE">
            <w:pPr>
              <w:ind w:left="34"/>
              <w:rPr>
                <w:rFonts w:ascii="Times New Roman" w:hAnsi="Times New Roman" w:cs="Times New Roman"/>
                <w:sz w:val="22"/>
              </w:rPr>
            </w:pPr>
          </w:p>
        </w:tc>
        <w:tc>
          <w:tcPr>
            <w:tcW w:w="1176" w:type="pct"/>
            <w:tcBorders>
              <w:top w:val="single" w:sz="4" w:space="0" w:color="auto"/>
              <w:left w:val="single" w:sz="4" w:space="0" w:color="auto"/>
              <w:bottom w:val="single" w:sz="4" w:space="0" w:color="auto"/>
              <w:right w:val="single" w:sz="4" w:space="0" w:color="auto"/>
            </w:tcBorders>
          </w:tcPr>
          <w:p w:rsidR="003C101D" w:rsidRPr="009741F1" w:rsidRDefault="003C101D" w:rsidP="003B4BCE">
            <w:pPr>
              <w:ind w:left="33"/>
              <w:rPr>
                <w:rFonts w:ascii="Times New Roman" w:hAnsi="Times New Roman" w:cs="Times New Roman"/>
                <w:sz w:val="22"/>
              </w:rPr>
            </w:pPr>
          </w:p>
        </w:tc>
        <w:tc>
          <w:tcPr>
            <w:tcW w:w="1250" w:type="pct"/>
            <w:tcBorders>
              <w:top w:val="single" w:sz="4" w:space="0" w:color="auto"/>
              <w:left w:val="single" w:sz="4" w:space="0" w:color="auto"/>
              <w:bottom w:val="single" w:sz="4" w:space="0" w:color="auto"/>
              <w:right w:val="single" w:sz="4" w:space="0" w:color="auto"/>
            </w:tcBorders>
            <w:hideMark/>
          </w:tcPr>
          <w:p w:rsidR="003C101D" w:rsidRPr="009741F1" w:rsidRDefault="003C101D" w:rsidP="003B4BCE">
            <w:pPr>
              <w:ind w:left="34"/>
              <w:rPr>
                <w:rFonts w:ascii="Times New Roman" w:hAnsi="Times New Roman" w:cs="Times New Roman"/>
                <w:sz w:val="22"/>
              </w:rPr>
            </w:pPr>
            <w:r w:rsidRPr="009741F1">
              <w:rPr>
                <w:rFonts w:ascii="Times New Roman" w:hAnsi="Times New Roman" w:cs="Times New Roman"/>
                <w:sz w:val="22"/>
                <w:lang w:val="da-DK"/>
              </w:rPr>
              <w:t>Overfølsomhed</w:t>
            </w:r>
            <w:r w:rsidRPr="009741F1">
              <w:rPr>
                <w:rFonts w:ascii="Times New Roman" w:hAnsi="Times New Roman" w:cs="Times New Roman"/>
                <w:sz w:val="22"/>
                <w:vertAlign w:val="superscript"/>
                <w:lang w:val="da-DK"/>
              </w:rPr>
              <w:t>1, 2 3</w:t>
            </w:r>
          </w:p>
        </w:tc>
      </w:tr>
      <w:tr w:rsidR="003C101D" w:rsidRPr="009741F1" w:rsidTr="007378A4">
        <w:tc>
          <w:tcPr>
            <w:tcW w:w="1177" w:type="pct"/>
            <w:tcBorders>
              <w:top w:val="single" w:sz="4" w:space="0" w:color="auto"/>
              <w:left w:val="single" w:sz="4" w:space="0" w:color="auto"/>
              <w:bottom w:val="single" w:sz="4" w:space="0" w:color="auto"/>
              <w:right w:val="single" w:sz="4" w:space="0" w:color="auto"/>
            </w:tcBorders>
            <w:hideMark/>
          </w:tcPr>
          <w:p w:rsidR="003C101D" w:rsidRPr="009741F1" w:rsidRDefault="003C101D" w:rsidP="003B4BCE">
            <w:pPr>
              <w:ind w:left="34"/>
              <w:rPr>
                <w:rFonts w:ascii="Times New Roman" w:hAnsi="Times New Roman" w:cs="Times New Roman"/>
                <w:sz w:val="22"/>
              </w:rPr>
            </w:pPr>
            <w:r w:rsidRPr="009741F1">
              <w:rPr>
                <w:rFonts w:ascii="Times New Roman" w:hAnsi="Times New Roman" w:cs="Times New Roman"/>
                <w:sz w:val="22"/>
                <w:lang w:val="da-DK"/>
              </w:rPr>
              <w:t>Øjne</w:t>
            </w:r>
          </w:p>
        </w:tc>
        <w:tc>
          <w:tcPr>
            <w:tcW w:w="1397" w:type="pct"/>
            <w:tcBorders>
              <w:top w:val="single" w:sz="4" w:space="0" w:color="auto"/>
              <w:left w:val="single" w:sz="4" w:space="0" w:color="auto"/>
              <w:bottom w:val="single" w:sz="4" w:space="0" w:color="auto"/>
              <w:right w:val="single" w:sz="4" w:space="0" w:color="auto"/>
            </w:tcBorders>
          </w:tcPr>
          <w:p w:rsidR="003C101D" w:rsidRPr="009741F1" w:rsidRDefault="003C101D" w:rsidP="003B4BCE">
            <w:pPr>
              <w:ind w:left="34"/>
              <w:rPr>
                <w:rFonts w:ascii="Times New Roman" w:hAnsi="Times New Roman" w:cs="Times New Roman"/>
                <w:sz w:val="22"/>
              </w:rPr>
            </w:pPr>
          </w:p>
        </w:tc>
        <w:tc>
          <w:tcPr>
            <w:tcW w:w="1176" w:type="pct"/>
            <w:tcBorders>
              <w:top w:val="single" w:sz="4" w:space="0" w:color="auto"/>
              <w:left w:val="single" w:sz="4" w:space="0" w:color="auto"/>
              <w:bottom w:val="single" w:sz="4" w:space="0" w:color="auto"/>
              <w:right w:val="single" w:sz="4" w:space="0" w:color="auto"/>
            </w:tcBorders>
          </w:tcPr>
          <w:p w:rsidR="003C101D" w:rsidRPr="009741F1" w:rsidRDefault="003C101D" w:rsidP="003B4BCE">
            <w:pPr>
              <w:ind w:left="33"/>
              <w:rPr>
                <w:rFonts w:ascii="Times New Roman" w:hAnsi="Times New Roman" w:cs="Times New Roman"/>
                <w:sz w:val="22"/>
              </w:rPr>
            </w:pPr>
          </w:p>
        </w:tc>
        <w:tc>
          <w:tcPr>
            <w:tcW w:w="1250" w:type="pct"/>
            <w:tcBorders>
              <w:top w:val="single" w:sz="4" w:space="0" w:color="auto"/>
              <w:left w:val="single" w:sz="4" w:space="0" w:color="auto"/>
              <w:bottom w:val="single" w:sz="4" w:space="0" w:color="auto"/>
              <w:right w:val="single" w:sz="4" w:space="0" w:color="auto"/>
            </w:tcBorders>
            <w:hideMark/>
          </w:tcPr>
          <w:p w:rsidR="003C101D" w:rsidRPr="009741F1" w:rsidRDefault="003C101D" w:rsidP="003B4BCE">
            <w:pPr>
              <w:ind w:left="34"/>
              <w:rPr>
                <w:rFonts w:ascii="Times New Roman" w:hAnsi="Times New Roman" w:cs="Times New Roman"/>
                <w:sz w:val="22"/>
              </w:rPr>
            </w:pPr>
            <w:r w:rsidRPr="009741F1">
              <w:rPr>
                <w:rFonts w:ascii="Times New Roman" w:hAnsi="Times New Roman" w:cs="Times New Roman"/>
                <w:sz w:val="22"/>
                <w:lang w:val="da-DK"/>
              </w:rPr>
              <w:t>Hornhindeirritation</w:t>
            </w:r>
            <w:r w:rsidRPr="009741F1">
              <w:rPr>
                <w:rFonts w:ascii="Times New Roman" w:hAnsi="Times New Roman" w:cs="Times New Roman"/>
                <w:sz w:val="22"/>
                <w:vertAlign w:val="superscript"/>
                <w:lang w:val="da-DK"/>
              </w:rPr>
              <w:t>1</w:t>
            </w:r>
          </w:p>
        </w:tc>
      </w:tr>
      <w:tr w:rsidR="003C101D" w:rsidRPr="009741F1" w:rsidTr="007378A4">
        <w:tc>
          <w:tcPr>
            <w:tcW w:w="1177" w:type="pct"/>
            <w:tcBorders>
              <w:top w:val="single" w:sz="4" w:space="0" w:color="auto"/>
              <w:left w:val="single" w:sz="4" w:space="0" w:color="auto"/>
              <w:bottom w:val="single" w:sz="4" w:space="0" w:color="auto"/>
              <w:right w:val="single" w:sz="4" w:space="0" w:color="auto"/>
            </w:tcBorders>
            <w:hideMark/>
          </w:tcPr>
          <w:p w:rsidR="003C101D" w:rsidRPr="009741F1" w:rsidRDefault="003C101D" w:rsidP="003B4BCE">
            <w:pPr>
              <w:ind w:left="34"/>
              <w:rPr>
                <w:rFonts w:ascii="Times New Roman" w:hAnsi="Times New Roman" w:cs="Times New Roman"/>
                <w:sz w:val="22"/>
              </w:rPr>
            </w:pPr>
            <w:r w:rsidRPr="009741F1">
              <w:rPr>
                <w:rFonts w:ascii="Times New Roman" w:hAnsi="Times New Roman" w:cs="Times New Roman"/>
                <w:sz w:val="22"/>
                <w:lang w:val="da-DK"/>
              </w:rPr>
              <w:t>Hud og subkutane væv</w:t>
            </w:r>
          </w:p>
        </w:tc>
        <w:tc>
          <w:tcPr>
            <w:tcW w:w="1397" w:type="pct"/>
            <w:tcBorders>
              <w:top w:val="single" w:sz="4" w:space="0" w:color="auto"/>
              <w:left w:val="single" w:sz="4" w:space="0" w:color="auto"/>
              <w:bottom w:val="single" w:sz="4" w:space="0" w:color="auto"/>
              <w:right w:val="single" w:sz="4" w:space="0" w:color="auto"/>
            </w:tcBorders>
          </w:tcPr>
          <w:p w:rsidR="003C101D" w:rsidRPr="009741F1" w:rsidRDefault="003C101D" w:rsidP="003B4BCE">
            <w:pPr>
              <w:ind w:left="34"/>
              <w:rPr>
                <w:rFonts w:ascii="Times New Roman" w:hAnsi="Times New Roman" w:cs="Times New Roman"/>
                <w:sz w:val="22"/>
              </w:rPr>
            </w:pPr>
          </w:p>
        </w:tc>
        <w:tc>
          <w:tcPr>
            <w:tcW w:w="1176" w:type="pct"/>
            <w:tcBorders>
              <w:top w:val="single" w:sz="4" w:space="0" w:color="auto"/>
              <w:left w:val="single" w:sz="4" w:space="0" w:color="auto"/>
              <w:bottom w:val="single" w:sz="4" w:space="0" w:color="auto"/>
              <w:right w:val="single" w:sz="4" w:space="0" w:color="auto"/>
            </w:tcBorders>
          </w:tcPr>
          <w:p w:rsidR="003C101D" w:rsidRPr="009741F1" w:rsidRDefault="003C101D" w:rsidP="003B4BCE">
            <w:pPr>
              <w:ind w:left="33"/>
              <w:rPr>
                <w:rFonts w:ascii="Times New Roman" w:hAnsi="Times New Roman" w:cs="Times New Roman"/>
                <w:sz w:val="22"/>
              </w:rPr>
            </w:pPr>
          </w:p>
        </w:tc>
        <w:tc>
          <w:tcPr>
            <w:tcW w:w="1250" w:type="pct"/>
            <w:tcBorders>
              <w:top w:val="single" w:sz="4" w:space="0" w:color="auto"/>
              <w:left w:val="single" w:sz="4" w:space="0" w:color="auto"/>
              <w:bottom w:val="single" w:sz="4" w:space="0" w:color="auto"/>
              <w:right w:val="single" w:sz="4" w:space="0" w:color="auto"/>
            </w:tcBorders>
            <w:hideMark/>
          </w:tcPr>
          <w:p w:rsidR="003C101D" w:rsidRPr="009741F1" w:rsidRDefault="003C101D" w:rsidP="003B4BCE">
            <w:pPr>
              <w:ind w:left="34"/>
              <w:rPr>
                <w:rFonts w:ascii="Times New Roman" w:hAnsi="Times New Roman" w:cs="Times New Roman"/>
                <w:sz w:val="22"/>
                <w:lang w:val="da-DK"/>
              </w:rPr>
            </w:pPr>
            <w:r w:rsidRPr="009741F1">
              <w:rPr>
                <w:rFonts w:ascii="Times New Roman" w:hAnsi="Times New Roman" w:cs="Times New Roman"/>
                <w:sz w:val="22"/>
                <w:lang w:val="da-DK"/>
              </w:rPr>
              <w:t>Purpura</w:t>
            </w:r>
            <w:r w:rsidRPr="009741F1">
              <w:rPr>
                <w:rFonts w:ascii="Times New Roman" w:hAnsi="Times New Roman" w:cs="Times New Roman"/>
                <w:sz w:val="22"/>
                <w:vertAlign w:val="superscript"/>
                <w:lang w:val="da-DK"/>
              </w:rPr>
              <w:t>1</w:t>
            </w:r>
            <w:r w:rsidRPr="009741F1">
              <w:rPr>
                <w:rFonts w:ascii="Times New Roman" w:hAnsi="Times New Roman" w:cs="Times New Roman"/>
                <w:sz w:val="22"/>
                <w:lang w:val="da-DK"/>
              </w:rPr>
              <w:t>, Petekkier</w:t>
            </w:r>
            <w:r w:rsidRPr="009741F1">
              <w:rPr>
                <w:rFonts w:ascii="Times New Roman" w:hAnsi="Times New Roman" w:cs="Times New Roman"/>
                <w:sz w:val="22"/>
                <w:vertAlign w:val="superscript"/>
                <w:lang w:val="da-DK"/>
              </w:rPr>
              <w:t xml:space="preserve">1 </w:t>
            </w:r>
            <w:r w:rsidRPr="009741F1">
              <w:rPr>
                <w:rFonts w:ascii="Times New Roman" w:hAnsi="Times New Roman" w:cs="Times New Roman"/>
                <w:sz w:val="22"/>
                <w:lang w:val="da-DK"/>
              </w:rPr>
              <w:t xml:space="preserve">(særligt efter længere applikationstider hos børn med </w:t>
            </w:r>
            <w:proofErr w:type="spellStart"/>
            <w:r w:rsidRPr="009741F1">
              <w:rPr>
                <w:rFonts w:ascii="Times New Roman" w:hAnsi="Times New Roman" w:cs="Times New Roman"/>
                <w:sz w:val="22"/>
                <w:lang w:val="da-DK"/>
              </w:rPr>
              <w:t>atopisk</w:t>
            </w:r>
            <w:proofErr w:type="spellEnd"/>
            <w:r w:rsidRPr="009741F1">
              <w:rPr>
                <w:rFonts w:ascii="Times New Roman" w:hAnsi="Times New Roman" w:cs="Times New Roman"/>
                <w:sz w:val="22"/>
                <w:lang w:val="da-DK"/>
              </w:rPr>
              <w:t xml:space="preserve"> </w:t>
            </w:r>
            <w:proofErr w:type="spellStart"/>
            <w:r w:rsidRPr="009741F1">
              <w:rPr>
                <w:rFonts w:ascii="Times New Roman" w:hAnsi="Times New Roman" w:cs="Times New Roman"/>
                <w:sz w:val="22"/>
                <w:lang w:val="da-DK"/>
              </w:rPr>
              <w:t>dermatit</w:t>
            </w:r>
            <w:proofErr w:type="spellEnd"/>
            <w:r w:rsidRPr="009741F1">
              <w:rPr>
                <w:rFonts w:ascii="Times New Roman" w:hAnsi="Times New Roman" w:cs="Times New Roman"/>
                <w:sz w:val="22"/>
                <w:lang w:val="da-DK"/>
              </w:rPr>
              <w:t xml:space="preserve"> eller </w:t>
            </w:r>
            <w:proofErr w:type="spellStart"/>
            <w:r w:rsidRPr="009741F1">
              <w:rPr>
                <w:rFonts w:ascii="Times New Roman" w:hAnsi="Times New Roman" w:cs="Times New Roman"/>
                <w:sz w:val="22"/>
                <w:lang w:val="da-DK"/>
              </w:rPr>
              <w:t>mollusca</w:t>
            </w:r>
            <w:proofErr w:type="spellEnd"/>
            <w:r w:rsidRPr="009741F1">
              <w:rPr>
                <w:rFonts w:ascii="Times New Roman" w:hAnsi="Times New Roman" w:cs="Times New Roman"/>
                <w:sz w:val="22"/>
                <w:lang w:val="da-DK"/>
              </w:rPr>
              <w:t xml:space="preserve"> </w:t>
            </w:r>
            <w:proofErr w:type="spellStart"/>
            <w:r w:rsidRPr="009741F1">
              <w:rPr>
                <w:rFonts w:ascii="Times New Roman" w:hAnsi="Times New Roman" w:cs="Times New Roman"/>
                <w:sz w:val="22"/>
                <w:lang w:val="da-DK"/>
              </w:rPr>
              <w:t>contagiosa</w:t>
            </w:r>
            <w:proofErr w:type="spellEnd"/>
            <w:r w:rsidRPr="009741F1">
              <w:rPr>
                <w:rFonts w:ascii="Times New Roman" w:hAnsi="Times New Roman" w:cs="Times New Roman"/>
                <w:sz w:val="22"/>
                <w:lang w:val="da-DK"/>
              </w:rPr>
              <w:t>)</w:t>
            </w:r>
          </w:p>
        </w:tc>
      </w:tr>
      <w:tr w:rsidR="003C101D" w:rsidRPr="009741F1" w:rsidTr="007378A4">
        <w:tc>
          <w:tcPr>
            <w:tcW w:w="1177" w:type="pct"/>
            <w:tcBorders>
              <w:top w:val="single" w:sz="4" w:space="0" w:color="auto"/>
              <w:left w:val="single" w:sz="4" w:space="0" w:color="auto"/>
              <w:bottom w:val="single" w:sz="4" w:space="0" w:color="auto"/>
              <w:right w:val="single" w:sz="4" w:space="0" w:color="auto"/>
            </w:tcBorders>
            <w:hideMark/>
          </w:tcPr>
          <w:p w:rsidR="003C101D" w:rsidRPr="009741F1" w:rsidRDefault="003C101D" w:rsidP="003B4BCE">
            <w:pPr>
              <w:ind w:left="34"/>
              <w:rPr>
                <w:rFonts w:ascii="Times New Roman" w:hAnsi="Times New Roman" w:cs="Times New Roman"/>
                <w:sz w:val="22"/>
                <w:lang w:val="da-DK"/>
              </w:rPr>
            </w:pPr>
            <w:r w:rsidRPr="009741F1">
              <w:rPr>
                <w:rFonts w:ascii="Times New Roman" w:hAnsi="Times New Roman" w:cs="Times New Roman"/>
                <w:sz w:val="22"/>
                <w:lang w:val="da-DK"/>
              </w:rPr>
              <w:t>Almene symptomer og reaktioner på administrationsstedet</w:t>
            </w:r>
          </w:p>
        </w:tc>
        <w:tc>
          <w:tcPr>
            <w:tcW w:w="1397" w:type="pct"/>
            <w:tcBorders>
              <w:top w:val="single" w:sz="4" w:space="0" w:color="auto"/>
              <w:left w:val="single" w:sz="4" w:space="0" w:color="auto"/>
              <w:bottom w:val="single" w:sz="4" w:space="0" w:color="auto"/>
              <w:right w:val="single" w:sz="4" w:space="0" w:color="auto"/>
            </w:tcBorders>
          </w:tcPr>
          <w:p w:rsidR="003C101D" w:rsidRDefault="003C101D" w:rsidP="003B4BCE">
            <w:pPr>
              <w:ind w:left="34"/>
              <w:rPr>
                <w:rFonts w:ascii="Times New Roman" w:hAnsi="Times New Roman" w:cs="Times New Roman"/>
                <w:sz w:val="22"/>
                <w:vertAlign w:val="superscript"/>
                <w:lang w:val="da-DK"/>
              </w:rPr>
            </w:pPr>
            <w:r w:rsidRPr="009741F1">
              <w:rPr>
                <w:rFonts w:ascii="Times New Roman" w:hAnsi="Times New Roman" w:cs="Times New Roman"/>
                <w:sz w:val="22"/>
                <w:lang w:val="da-DK"/>
              </w:rPr>
              <w:t>Brændende fornemmelse</w:t>
            </w:r>
            <w:r w:rsidRPr="009741F1">
              <w:rPr>
                <w:rFonts w:ascii="Times New Roman" w:hAnsi="Times New Roman" w:cs="Times New Roman"/>
                <w:sz w:val="22"/>
                <w:vertAlign w:val="superscript"/>
                <w:lang w:val="da-DK"/>
              </w:rPr>
              <w:t>2, 3</w:t>
            </w:r>
          </w:p>
          <w:p w:rsidR="003C101D" w:rsidRPr="009741F1" w:rsidRDefault="003C101D" w:rsidP="003B4BCE">
            <w:pPr>
              <w:ind w:left="34"/>
              <w:rPr>
                <w:rFonts w:ascii="Times New Roman" w:hAnsi="Times New Roman" w:cs="Times New Roman"/>
                <w:sz w:val="22"/>
                <w:vertAlign w:val="superscript"/>
                <w:lang w:val="da-DK"/>
              </w:rPr>
            </w:pPr>
          </w:p>
          <w:p w:rsidR="003C101D" w:rsidRDefault="003C101D" w:rsidP="003B4BCE">
            <w:pPr>
              <w:ind w:left="34"/>
              <w:rPr>
                <w:rFonts w:ascii="Times New Roman" w:hAnsi="Times New Roman" w:cs="Times New Roman"/>
                <w:sz w:val="22"/>
                <w:vertAlign w:val="superscript"/>
                <w:lang w:val="da-DK"/>
              </w:rPr>
            </w:pPr>
            <w:proofErr w:type="spellStart"/>
            <w:r w:rsidRPr="009741F1">
              <w:rPr>
                <w:rFonts w:ascii="Times New Roman" w:hAnsi="Times New Roman" w:cs="Times New Roman"/>
                <w:sz w:val="22"/>
                <w:lang w:val="da-DK"/>
              </w:rPr>
              <w:t>Pruritus</w:t>
            </w:r>
            <w:proofErr w:type="spellEnd"/>
            <w:r w:rsidRPr="009741F1">
              <w:rPr>
                <w:rFonts w:ascii="Times New Roman" w:hAnsi="Times New Roman" w:cs="Times New Roman"/>
                <w:sz w:val="22"/>
                <w:lang w:val="da-DK"/>
              </w:rPr>
              <w:t xml:space="preserve"> på administrationsstedet</w:t>
            </w:r>
            <w:r w:rsidRPr="009741F1">
              <w:rPr>
                <w:rFonts w:ascii="Times New Roman" w:hAnsi="Times New Roman" w:cs="Times New Roman"/>
                <w:sz w:val="22"/>
                <w:vertAlign w:val="superscript"/>
                <w:lang w:val="da-DK"/>
              </w:rPr>
              <w:t>2, 3</w:t>
            </w:r>
          </w:p>
          <w:p w:rsidR="003C101D" w:rsidRPr="009741F1" w:rsidRDefault="003C101D" w:rsidP="003B4BCE">
            <w:pPr>
              <w:ind w:left="34"/>
              <w:rPr>
                <w:rFonts w:ascii="Times New Roman" w:hAnsi="Times New Roman" w:cs="Times New Roman"/>
                <w:sz w:val="22"/>
                <w:lang w:val="da-DK"/>
              </w:rPr>
            </w:pPr>
          </w:p>
          <w:p w:rsidR="003C101D" w:rsidRDefault="003C101D" w:rsidP="003B4BCE">
            <w:pPr>
              <w:ind w:left="34"/>
              <w:rPr>
                <w:rFonts w:ascii="Times New Roman" w:hAnsi="Times New Roman" w:cs="Times New Roman"/>
                <w:sz w:val="22"/>
                <w:vertAlign w:val="superscript"/>
                <w:lang w:val="da-DK"/>
              </w:rPr>
            </w:pPr>
            <w:proofErr w:type="spellStart"/>
            <w:r w:rsidRPr="009741F1">
              <w:rPr>
                <w:rFonts w:ascii="Times New Roman" w:hAnsi="Times New Roman" w:cs="Times New Roman"/>
                <w:sz w:val="22"/>
                <w:lang w:val="da-DK"/>
              </w:rPr>
              <w:t>Erythema</w:t>
            </w:r>
            <w:proofErr w:type="spellEnd"/>
            <w:r w:rsidRPr="009741F1">
              <w:rPr>
                <w:rFonts w:ascii="Times New Roman" w:hAnsi="Times New Roman" w:cs="Times New Roman"/>
                <w:sz w:val="22"/>
                <w:lang w:val="da-DK"/>
              </w:rPr>
              <w:t xml:space="preserve"> på administrationsstedet</w:t>
            </w:r>
            <w:r w:rsidRPr="009741F1">
              <w:rPr>
                <w:rFonts w:ascii="Times New Roman" w:hAnsi="Times New Roman" w:cs="Times New Roman"/>
                <w:sz w:val="22"/>
                <w:vertAlign w:val="superscript"/>
                <w:lang w:val="da-DK"/>
              </w:rPr>
              <w:t>1, 2, 3</w:t>
            </w:r>
          </w:p>
          <w:p w:rsidR="003C101D" w:rsidRPr="009741F1" w:rsidRDefault="003C101D" w:rsidP="003B4BCE">
            <w:pPr>
              <w:ind w:left="34"/>
              <w:rPr>
                <w:rFonts w:ascii="Times New Roman" w:hAnsi="Times New Roman" w:cs="Times New Roman"/>
                <w:sz w:val="22"/>
                <w:lang w:val="da-DK"/>
              </w:rPr>
            </w:pPr>
          </w:p>
          <w:p w:rsidR="003C101D" w:rsidRPr="009741F1" w:rsidRDefault="003C101D" w:rsidP="003B4BCE">
            <w:pPr>
              <w:ind w:left="34"/>
              <w:rPr>
                <w:rFonts w:ascii="Times New Roman" w:hAnsi="Times New Roman" w:cs="Times New Roman"/>
                <w:sz w:val="22"/>
                <w:lang w:val="da-DK"/>
              </w:rPr>
            </w:pPr>
            <w:r w:rsidRPr="009741F1">
              <w:rPr>
                <w:rFonts w:ascii="Times New Roman" w:hAnsi="Times New Roman" w:cs="Times New Roman"/>
                <w:sz w:val="22"/>
                <w:lang w:val="da-DK"/>
              </w:rPr>
              <w:t>Ødem på administrationsstedet</w:t>
            </w:r>
            <w:r w:rsidRPr="009741F1">
              <w:rPr>
                <w:rFonts w:ascii="Times New Roman" w:hAnsi="Times New Roman" w:cs="Times New Roman"/>
                <w:sz w:val="22"/>
                <w:vertAlign w:val="superscript"/>
                <w:lang w:val="da-DK"/>
              </w:rPr>
              <w:t>1, 2, 3</w:t>
            </w:r>
          </w:p>
          <w:p w:rsidR="003C101D" w:rsidRPr="009741F1" w:rsidRDefault="003C101D" w:rsidP="003B4BCE">
            <w:pPr>
              <w:ind w:left="34"/>
              <w:rPr>
                <w:rFonts w:ascii="Times New Roman" w:hAnsi="Times New Roman" w:cs="Times New Roman"/>
                <w:sz w:val="22"/>
                <w:lang w:val="da-DK"/>
              </w:rPr>
            </w:pPr>
          </w:p>
          <w:p w:rsidR="003C101D" w:rsidRDefault="003C101D" w:rsidP="003B4BCE">
            <w:pPr>
              <w:ind w:left="34"/>
              <w:rPr>
                <w:rFonts w:ascii="Times New Roman" w:hAnsi="Times New Roman" w:cs="Times New Roman"/>
                <w:sz w:val="22"/>
                <w:vertAlign w:val="superscript"/>
                <w:lang w:val="da-DK"/>
              </w:rPr>
            </w:pPr>
            <w:r w:rsidRPr="009741F1">
              <w:rPr>
                <w:rFonts w:ascii="Times New Roman" w:hAnsi="Times New Roman" w:cs="Times New Roman"/>
                <w:sz w:val="22"/>
                <w:lang w:val="da-DK"/>
              </w:rPr>
              <w:t>Varme på administrationsstedet</w:t>
            </w:r>
            <w:r w:rsidRPr="009741F1">
              <w:rPr>
                <w:rFonts w:ascii="Times New Roman" w:hAnsi="Times New Roman" w:cs="Times New Roman"/>
                <w:sz w:val="22"/>
                <w:vertAlign w:val="superscript"/>
                <w:lang w:val="da-DK"/>
              </w:rPr>
              <w:t>2, 3</w:t>
            </w:r>
          </w:p>
          <w:p w:rsidR="003C101D" w:rsidRPr="009741F1" w:rsidRDefault="003C101D" w:rsidP="003B4BCE">
            <w:pPr>
              <w:ind w:left="34"/>
              <w:rPr>
                <w:rFonts w:ascii="Times New Roman" w:hAnsi="Times New Roman" w:cs="Times New Roman"/>
                <w:sz w:val="22"/>
                <w:lang w:val="da-DK"/>
              </w:rPr>
            </w:pPr>
          </w:p>
          <w:p w:rsidR="003C101D" w:rsidRPr="009741F1" w:rsidRDefault="003C101D" w:rsidP="003B4BCE">
            <w:pPr>
              <w:ind w:left="34"/>
              <w:rPr>
                <w:rFonts w:ascii="Times New Roman" w:hAnsi="Times New Roman" w:cs="Times New Roman"/>
                <w:sz w:val="22"/>
                <w:lang w:val="da-DK"/>
              </w:rPr>
            </w:pPr>
            <w:r w:rsidRPr="009741F1">
              <w:rPr>
                <w:rFonts w:ascii="Times New Roman" w:hAnsi="Times New Roman" w:cs="Times New Roman"/>
                <w:sz w:val="22"/>
                <w:lang w:val="da-DK"/>
              </w:rPr>
              <w:t>Bleghed på administrationsstedet</w:t>
            </w:r>
            <w:r w:rsidRPr="009741F1">
              <w:rPr>
                <w:rFonts w:ascii="Times New Roman" w:hAnsi="Times New Roman" w:cs="Times New Roman"/>
                <w:sz w:val="22"/>
                <w:vertAlign w:val="superscript"/>
                <w:lang w:val="da-DK"/>
              </w:rPr>
              <w:t>1, 2, 3</w:t>
            </w:r>
          </w:p>
        </w:tc>
        <w:tc>
          <w:tcPr>
            <w:tcW w:w="1176" w:type="pct"/>
            <w:tcBorders>
              <w:top w:val="single" w:sz="4" w:space="0" w:color="auto"/>
              <w:left w:val="single" w:sz="4" w:space="0" w:color="auto"/>
              <w:bottom w:val="single" w:sz="4" w:space="0" w:color="auto"/>
              <w:right w:val="single" w:sz="4" w:space="0" w:color="auto"/>
            </w:tcBorders>
            <w:hideMark/>
          </w:tcPr>
          <w:p w:rsidR="003C101D" w:rsidRDefault="003C101D" w:rsidP="003B4BCE">
            <w:pPr>
              <w:ind w:left="33"/>
              <w:rPr>
                <w:rFonts w:ascii="Times New Roman" w:hAnsi="Times New Roman" w:cs="Times New Roman"/>
                <w:sz w:val="22"/>
                <w:vertAlign w:val="superscript"/>
                <w:lang w:val="da-DK"/>
              </w:rPr>
            </w:pPr>
            <w:r w:rsidRPr="009741F1">
              <w:rPr>
                <w:rFonts w:ascii="Times New Roman" w:hAnsi="Times New Roman" w:cs="Times New Roman"/>
                <w:sz w:val="22"/>
                <w:lang w:val="da-DK"/>
              </w:rPr>
              <w:t>Brændende fornemmelse</w:t>
            </w:r>
            <w:r w:rsidRPr="009741F1">
              <w:rPr>
                <w:rFonts w:ascii="Times New Roman" w:hAnsi="Times New Roman" w:cs="Times New Roman"/>
                <w:sz w:val="22"/>
                <w:vertAlign w:val="superscript"/>
                <w:lang w:val="da-DK"/>
              </w:rPr>
              <w:t>1</w:t>
            </w:r>
          </w:p>
          <w:p w:rsidR="003C101D" w:rsidRPr="009741F1" w:rsidRDefault="003C101D" w:rsidP="003B4BCE">
            <w:pPr>
              <w:ind w:left="33"/>
              <w:rPr>
                <w:rFonts w:ascii="Times New Roman" w:hAnsi="Times New Roman" w:cs="Times New Roman"/>
                <w:sz w:val="22"/>
                <w:lang w:val="da-DK"/>
              </w:rPr>
            </w:pPr>
          </w:p>
          <w:p w:rsidR="003C101D" w:rsidRDefault="003C101D" w:rsidP="003B4BCE">
            <w:pPr>
              <w:ind w:left="33"/>
              <w:rPr>
                <w:rFonts w:ascii="Times New Roman" w:hAnsi="Times New Roman" w:cs="Times New Roman"/>
                <w:sz w:val="22"/>
                <w:vertAlign w:val="superscript"/>
                <w:lang w:val="da-DK"/>
              </w:rPr>
            </w:pPr>
            <w:r w:rsidRPr="009741F1">
              <w:rPr>
                <w:rFonts w:ascii="Times New Roman" w:hAnsi="Times New Roman" w:cs="Times New Roman"/>
                <w:sz w:val="22"/>
                <w:lang w:val="da-DK"/>
              </w:rPr>
              <w:t>Irritation på administrationsstedet</w:t>
            </w:r>
            <w:r w:rsidRPr="009741F1">
              <w:rPr>
                <w:rFonts w:ascii="Times New Roman" w:hAnsi="Times New Roman" w:cs="Times New Roman"/>
                <w:sz w:val="22"/>
                <w:vertAlign w:val="superscript"/>
                <w:lang w:val="da-DK"/>
              </w:rPr>
              <w:t>3</w:t>
            </w:r>
          </w:p>
          <w:p w:rsidR="003C101D" w:rsidRPr="009741F1" w:rsidRDefault="003C101D" w:rsidP="003B4BCE">
            <w:pPr>
              <w:ind w:left="33"/>
              <w:rPr>
                <w:rFonts w:ascii="Times New Roman" w:hAnsi="Times New Roman" w:cs="Times New Roman"/>
                <w:sz w:val="22"/>
                <w:lang w:val="da-DK"/>
              </w:rPr>
            </w:pPr>
          </w:p>
          <w:p w:rsidR="003C101D" w:rsidRDefault="003C101D" w:rsidP="003B4BCE">
            <w:pPr>
              <w:ind w:left="33"/>
              <w:rPr>
                <w:rFonts w:ascii="Times New Roman" w:hAnsi="Times New Roman" w:cs="Times New Roman"/>
                <w:sz w:val="22"/>
                <w:vertAlign w:val="superscript"/>
                <w:lang w:val="da-DK"/>
              </w:rPr>
            </w:pPr>
            <w:proofErr w:type="spellStart"/>
            <w:r w:rsidRPr="009741F1">
              <w:rPr>
                <w:rFonts w:ascii="Times New Roman" w:hAnsi="Times New Roman" w:cs="Times New Roman"/>
                <w:sz w:val="22"/>
                <w:lang w:val="da-DK"/>
              </w:rPr>
              <w:t>Pruritus</w:t>
            </w:r>
            <w:proofErr w:type="spellEnd"/>
            <w:r w:rsidRPr="009741F1">
              <w:rPr>
                <w:rFonts w:ascii="Times New Roman" w:hAnsi="Times New Roman" w:cs="Times New Roman"/>
                <w:sz w:val="22"/>
                <w:lang w:val="da-DK"/>
              </w:rPr>
              <w:t xml:space="preserve"> på administrationsstedet</w:t>
            </w:r>
            <w:r w:rsidRPr="009741F1">
              <w:rPr>
                <w:rFonts w:ascii="Times New Roman" w:hAnsi="Times New Roman" w:cs="Times New Roman"/>
                <w:sz w:val="22"/>
                <w:vertAlign w:val="superscript"/>
                <w:lang w:val="da-DK"/>
              </w:rPr>
              <w:t>1</w:t>
            </w:r>
          </w:p>
          <w:p w:rsidR="003C101D" w:rsidRPr="009741F1" w:rsidRDefault="003C101D" w:rsidP="003B4BCE">
            <w:pPr>
              <w:ind w:left="33"/>
              <w:rPr>
                <w:rFonts w:ascii="Times New Roman" w:hAnsi="Times New Roman" w:cs="Times New Roman"/>
                <w:sz w:val="22"/>
                <w:lang w:val="da-DK"/>
              </w:rPr>
            </w:pPr>
          </w:p>
          <w:p w:rsidR="003C101D" w:rsidRDefault="003C101D" w:rsidP="003B4BCE">
            <w:pPr>
              <w:ind w:left="33"/>
              <w:rPr>
                <w:rFonts w:ascii="Times New Roman" w:hAnsi="Times New Roman" w:cs="Times New Roman"/>
                <w:sz w:val="22"/>
                <w:vertAlign w:val="superscript"/>
                <w:lang w:val="da-DK"/>
              </w:rPr>
            </w:pPr>
            <w:proofErr w:type="spellStart"/>
            <w:r w:rsidRPr="009741F1">
              <w:rPr>
                <w:rFonts w:ascii="Times New Roman" w:hAnsi="Times New Roman" w:cs="Times New Roman"/>
                <w:sz w:val="22"/>
                <w:lang w:val="da-DK"/>
              </w:rPr>
              <w:t>Paræstesi</w:t>
            </w:r>
            <w:proofErr w:type="spellEnd"/>
            <w:r w:rsidRPr="009741F1">
              <w:rPr>
                <w:rFonts w:ascii="Times New Roman" w:hAnsi="Times New Roman" w:cs="Times New Roman"/>
                <w:sz w:val="22"/>
                <w:lang w:val="da-DK"/>
              </w:rPr>
              <w:t xml:space="preserve">, såsom snurrende </w:t>
            </w:r>
            <w:proofErr w:type="spellStart"/>
            <w:r w:rsidRPr="009741F1">
              <w:rPr>
                <w:rFonts w:ascii="Times New Roman" w:hAnsi="Times New Roman" w:cs="Times New Roman"/>
                <w:sz w:val="22"/>
                <w:lang w:val="da-DK"/>
              </w:rPr>
              <w:t>fornem</w:t>
            </w:r>
            <w:r>
              <w:rPr>
                <w:rFonts w:ascii="Times New Roman" w:hAnsi="Times New Roman" w:cs="Times New Roman"/>
                <w:sz w:val="22"/>
                <w:lang w:val="da-DK"/>
              </w:rPr>
              <w:t>-</w:t>
            </w:r>
            <w:r w:rsidRPr="009741F1">
              <w:rPr>
                <w:rFonts w:ascii="Times New Roman" w:hAnsi="Times New Roman" w:cs="Times New Roman"/>
                <w:sz w:val="22"/>
                <w:lang w:val="da-DK"/>
              </w:rPr>
              <w:t>melse</w:t>
            </w:r>
            <w:proofErr w:type="spellEnd"/>
            <w:r w:rsidRPr="009741F1">
              <w:rPr>
                <w:rFonts w:ascii="Times New Roman" w:hAnsi="Times New Roman" w:cs="Times New Roman"/>
                <w:sz w:val="22"/>
                <w:lang w:val="da-DK"/>
              </w:rPr>
              <w:t>, på administra</w:t>
            </w:r>
            <w:r>
              <w:rPr>
                <w:rFonts w:ascii="Times New Roman" w:hAnsi="Times New Roman" w:cs="Times New Roman"/>
                <w:sz w:val="22"/>
                <w:lang w:val="da-DK"/>
              </w:rPr>
              <w:t>-</w:t>
            </w:r>
            <w:r w:rsidRPr="009741F1">
              <w:rPr>
                <w:rFonts w:ascii="Times New Roman" w:hAnsi="Times New Roman" w:cs="Times New Roman"/>
                <w:sz w:val="22"/>
                <w:lang w:val="da-DK"/>
              </w:rPr>
              <w:t>tionsstedet</w:t>
            </w:r>
            <w:r w:rsidRPr="009741F1">
              <w:rPr>
                <w:rFonts w:ascii="Times New Roman" w:hAnsi="Times New Roman" w:cs="Times New Roman"/>
                <w:sz w:val="22"/>
                <w:vertAlign w:val="superscript"/>
                <w:lang w:val="da-DK"/>
              </w:rPr>
              <w:t xml:space="preserve">2 </w:t>
            </w:r>
          </w:p>
          <w:p w:rsidR="003C101D" w:rsidRPr="009741F1" w:rsidRDefault="003C101D" w:rsidP="003B4BCE">
            <w:pPr>
              <w:ind w:left="33"/>
              <w:rPr>
                <w:rFonts w:ascii="Times New Roman" w:hAnsi="Times New Roman" w:cs="Times New Roman"/>
                <w:sz w:val="22"/>
                <w:lang w:val="da-DK"/>
              </w:rPr>
            </w:pPr>
          </w:p>
          <w:p w:rsidR="003C101D" w:rsidRPr="009741F1" w:rsidRDefault="003C101D" w:rsidP="003B4BCE">
            <w:pPr>
              <w:ind w:left="33"/>
              <w:rPr>
                <w:rFonts w:ascii="Times New Roman" w:hAnsi="Times New Roman" w:cs="Times New Roman"/>
                <w:sz w:val="22"/>
              </w:rPr>
            </w:pPr>
            <w:r w:rsidRPr="009741F1">
              <w:rPr>
                <w:rFonts w:ascii="Times New Roman" w:hAnsi="Times New Roman" w:cs="Times New Roman"/>
                <w:sz w:val="22"/>
                <w:lang w:val="da-DK"/>
              </w:rPr>
              <w:t>Varme på administrationsstedet</w:t>
            </w:r>
            <w:r w:rsidRPr="009741F1">
              <w:rPr>
                <w:rFonts w:ascii="Times New Roman" w:hAnsi="Times New Roman" w:cs="Times New Roman"/>
                <w:sz w:val="22"/>
                <w:vertAlign w:val="superscript"/>
                <w:lang w:val="da-DK"/>
              </w:rPr>
              <w:t>1</w:t>
            </w:r>
          </w:p>
        </w:tc>
        <w:tc>
          <w:tcPr>
            <w:tcW w:w="1250" w:type="pct"/>
            <w:tcBorders>
              <w:top w:val="single" w:sz="4" w:space="0" w:color="auto"/>
              <w:left w:val="single" w:sz="4" w:space="0" w:color="auto"/>
              <w:bottom w:val="single" w:sz="4" w:space="0" w:color="auto"/>
              <w:right w:val="single" w:sz="4" w:space="0" w:color="auto"/>
            </w:tcBorders>
          </w:tcPr>
          <w:p w:rsidR="003C101D" w:rsidRPr="009741F1" w:rsidRDefault="003C101D" w:rsidP="003B4BCE">
            <w:pPr>
              <w:ind w:left="34"/>
              <w:rPr>
                <w:rFonts w:ascii="Times New Roman" w:hAnsi="Times New Roman" w:cs="Times New Roman"/>
                <w:sz w:val="22"/>
              </w:rPr>
            </w:pPr>
          </w:p>
        </w:tc>
      </w:tr>
    </w:tbl>
    <w:p w:rsidR="003C101D" w:rsidRPr="00C95AB9" w:rsidRDefault="003C101D" w:rsidP="00E64631">
      <w:pPr>
        <w:ind w:left="284" w:hanging="283"/>
        <w:rPr>
          <w:sz w:val="24"/>
          <w:szCs w:val="24"/>
        </w:rPr>
      </w:pPr>
      <w:r>
        <w:rPr>
          <w:sz w:val="24"/>
          <w:szCs w:val="24"/>
          <w:vertAlign w:val="superscript"/>
        </w:rPr>
        <w:t>1</w:t>
      </w:r>
      <w:r>
        <w:rPr>
          <w:sz w:val="24"/>
          <w:szCs w:val="24"/>
          <w:vertAlign w:val="superscript"/>
        </w:rPr>
        <w:tab/>
      </w:r>
      <w:r>
        <w:rPr>
          <w:sz w:val="24"/>
          <w:szCs w:val="24"/>
        </w:rPr>
        <w:t>Hud</w:t>
      </w:r>
    </w:p>
    <w:p w:rsidR="003C101D" w:rsidRDefault="003C101D" w:rsidP="00E64631">
      <w:pPr>
        <w:ind w:left="284" w:hanging="283"/>
        <w:rPr>
          <w:sz w:val="24"/>
          <w:szCs w:val="24"/>
        </w:rPr>
      </w:pPr>
      <w:r>
        <w:rPr>
          <w:sz w:val="24"/>
          <w:szCs w:val="24"/>
          <w:vertAlign w:val="superscript"/>
        </w:rPr>
        <w:t>2</w:t>
      </w:r>
      <w:r>
        <w:rPr>
          <w:sz w:val="24"/>
          <w:szCs w:val="24"/>
          <w:vertAlign w:val="superscript"/>
        </w:rPr>
        <w:tab/>
      </w:r>
      <w:r>
        <w:rPr>
          <w:sz w:val="24"/>
          <w:szCs w:val="24"/>
        </w:rPr>
        <w:t>Genitalslimhinder</w:t>
      </w:r>
    </w:p>
    <w:p w:rsidR="003C101D" w:rsidRDefault="003C101D" w:rsidP="00E64631">
      <w:pPr>
        <w:ind w:left="284" w:hanging="283"/>
        <w:rPr>
          <w:sz w:val="24"/>
          <w:szCs w:val="24"/>
        </w:rPr>
      </w:pPr>
      <w:r>
        <w:rPr>
          <w:sz w:val="24"/>
          <w:szCs w:val="24"/>
          <w:vertAlign w:val="superscript"/>
        </w:rPr>
        <w:t>3</w:t>
      </w:r>
      <w:r>
        <w:rPr>
          <w:sz w:val="24"/>
          <w:szCs w:val="24"/>
          <w:vertAlign w:val="superscript"/>
        </w:rPr>
        <w:tab/>
      </w:r>
      <w:proofErr w:type="spellStart"/>
      <w:r>
        <w:rPr>
          <w:sz w:val="24"/>
          <w:szCs w:val="24"/>
        </w:rPr>
        <w:t>Bensår</w:t>
      </w:r>
      <w:proofErr w:type="spellEnd"/>
    </w:p>
    <w:p w:rsidR="003C101D" w:rsidRDefault="003C101D" w:rsidP="003C101D">
      <w:pPr>
        <w:ind w:left="851"/>
        <w:rPr>
          <w:sz w:val="24"/>
          <w:szCs w:val="24"/>
        </w:rPr>
      </w:pPr>
    </w:p>
    <w:p w:rsidR="003C101D" w:rsidRPr="004E68BB" w:rsidRDefault="003C101D" w:rsidP="003C101D">
      <w:pPr>
        <w:ind w:left="851"/>
        <w:rPr>
          <w:sz w:val="24"/>
          <w:szCs w:val="24"/>
          <w:u w:val="single"/>
        </w:rPr>
      </w:pPr>
      <w:r w:rsidRPr="004E68BB">
        <w:rPr>
          <w:iCs/>
          <w:sz w:val="24"/>
          <w:szCs w:val="24"/>
          <w:u w:val="single"/>
        </w:rPr>
        <w:t>Pædiatrisk population</w:t>
      </w:r>
    </w:p>
    <w:p w:rsidR="003C101D" w:rsidRDefault="003C101D" w:rsidP="003C101D">
      <w:pPr>
        <w:ind w:left="851"/>
        <w:rPr>
          <w:sz w:val="24"/>
          <w:szCs w:val="24"/>
        </w:rPr>
      </w:pPr>
      <w:r>
        <w:rPr>
          <w:sz w:val="24"/>
          <w:szCs w:val="24"/>
        </w:rPr>
        <w:t xml:space="preserve">Hyppigheden, typen og sværhedsgraden af bivirkninger er sammenlignelige i den pædiatriske og den voksne gruppe, med undtagelse af </w:t>
      </w:r>
      <w:proofErr w:type="spellStart"/>
      <w:r>
        <w:rPr>
          <w:sz w:val="24"/>
          <w:szCs w:val="24"/>
        </w:rPr>
        <w:t>methæmoglobinæmi</w:t>
      </w:r>
      <w:proofErr w:type="spellEnd"/>
      <w:r>
        <w:rPr>
          <w:sz w:val="24"/>
          <w:szCs w:val="24"/>
        </w:rPr>
        <w:t>, der ses hyppigere hos nyfødte og spædbørn i alderen 0 til 12 måneder, ofte i forbindelse med overdosering (se pkt. 4.9).</w:t>
      </w:r>
    </w:p>
    <w:p w:rsidR="00E64631" w:rsidRDefault="003C101D" w:rsidP="003C101D">
      <w:pPr>
        <w:ind w:left="851"/>
        <w:rPr>
          <w:sz w:val="24"/>
          <w:szCs w:val="24"/>
        </w:rPr>
      </w:pPr>
      <w:r>
        <w:rPr>
          <w:sz w:val="24"/>
          <w:szCs w:val="24"/>
        </w:rPr>
        <w:t xml:space="preserve"> </w:t>
      </w:r>
    </w:p>
    <w:p w:rsidR="00E64631" w:rsidRDefault="00E64631">
      <w:pPr>
        <w:rPr>
          <w:sz w:val="24"/>
          <w:szCs w:val="24"/>
        </w:rPr>
      </w:pPr>
      <w:r>
        <w:rPr>
          <w:sz w:val="24"/>
          <w:szCs w:val="24"/>
        </w:rPr>
        <w:br w:type="page"/>
      </w:r>
    </w:p>
    <w:p w:rsidR="003C101D" w:rsidRPr="00E64631" w:rsidRDefault="003C101D" w:rsidP="003C101D">
      <w:pPr>
        <w:ind w:left="851"/>
        <w:rPr>
          <w:sz w:val="24"/>
          <w:szCs w:val="24"/>
        </w:rPr>
      </w:pPr>
    </w:p>
    <w:p w:rsidR="003C101D" w:rsidRDefault="003C101D" w:rsidP="003C101D">
      <w:pPr>
        <w:autoSpaceDE w:val="0"/>
        <w:autoSpaceDN w:val="0"/>
        <w:ind w:left="851"/>
        <w:rPr>
          <w:sz w:val="24"/>
          <w:szCs w:val="24"/>
          <w:u w:val="single"/>
          <w:lang w:eastAsia="da-DK"/>
        </w:rPr>
      </w:pPr>
      <w:r>
        <w:rPr>
          <w:sz w:val="24"/>
          <w:szCs w:val="24"/>
          <w:u w:val="single"/>
          <w:lang w:eastAsia="da-DK"/>
        </w:rPr>
        <w:t>Indberetning af formodede bivirkninger</w:t>
      </w:r>
    </w:p>
    <w:p w:rsidR="003C101D" w:rsidRDefault="003C101D" w:rsidP="003C101D">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 xml:space="preserve">-forholdet for lægemidlet. </w:t>
      </w:r>
      <w:r w:rsidR="00D52F99">
        <w:rPr>
          <w:sz w:val="24"/>
          <w:szCs w:val="24"/>
          <w:lang w:eastAsia="da-DK"/>
        </w:rPr>
        <w:t>Sundhedspersoner</w:t>
      </w:r>
      <w:r>
        <w:rPr>
          <w:sz w:val="24"/>
          <w:szCs w:val="24"/>
          <w:lang w:eastAsia="da-DK"/>
        </w:rPr>
        <w:t xml:space="preserve"> anmodes om at indberette alle formodede bivirkninger via:</w:t>
      </w:r>
    </w:p>
    <w:p w:rsidR="003C101D" w:rsidRDefault="003C101D" w:rsidP="003C101D">
      <w:pPr>
        <w:ind w:left="851"/>
        <w:rPr>
          <w:sz w:val="24"/>
          <w:szCs w:val="24"/>
          <w:lang w:eastAsia="da-DK"/>
        </w:rPr>
      </w:pPr>
    </w:p>
    <w:p w:rsidR="003C101D" w:rsidRDefault="003C101D" w:rsidP="003C101D">
      <w:pPr>
        <w:ind w:left="851"/>
        <w:rPr>
          <w:sz w:val="24"/>
          <w:szCs w:val="24"/>
          <w:lang w:eastAsia="da-DK"/>
        </w:rPr>
      </w:pPr>
      <w:r>
        <w:rPr>
          <w:sz w:val="24"/>
          <w:szCs w:val="24"/>
          <w:lang w:eastAsia="da-DK"/>
        </w:rPr>
        <w:t>Lægemiddelstyrelsen</w:t>
      </w:r>
    </w:p>
    <w:p w:rsidR="003C101D" w:rsidRDefault="003C101D" w:rsidP="003C101D">
      <w:pPr>
        <w:ind w:left="851"/>
        <w:rPr>
          <w:sz w:val="24"/>
          <w:szCs w:val="24"/>
          <w:lang w:eastAsia="da-DK"/>
        </w:rPr>
      </w:pPr>
      <w:r>
        <w:rPr>
          <w:sz w:val="24"/>
          <w:szCs w:val="24"/>
          <w:lang w:eastAsia="da-DK"/>
        </w:rPr>
        <w:t>Axel Heides Gade 1</w:t>
      </w:r>
    </w:p>
    <w:p w:rsidR="003C101D" w:rsidRDefault="003C101D" w:rsidP="003C101D">
      <w:pPr>
        <w:ind w:left="851"/>
        <w:rPr>
          <w:sz w:val="24"/>
          <w:szCs w:val="24"/>
          <w:lang w:eastAsia="da-DK"/>
        </w:rPr>
      </w:pPr>
      <w:r>
        <w:rPr>
          <w:sz w:val="24"/>
          <w:szCs w:val="24"/>
          <w:lang w:eastAsia="da-DK"/>
        </w:rPr>
        <w:t>DK-2300 København S</w:t>
      </w:r>
    </w:p>
    <w:p w:rsidR="003C101D" w:rsidRPr="0075742B" w:rsidRDefault="003C101D" w:rsidP="003C101D">
      <w:pPr>
        <w:ind w:left="851"/>
        <w:rPr>
          <w:sz w:val="24"/>
          <w:szCs w:val="24"/>
          <w:lang w:eastAsia="da-DK"/>
        </w:rPr>
      </w:pPr>
      <w:r w:rsidRPr="0075742B">
        <w:rPr>
          <w:sz w:val="24"/>
          <w:szCs w:val="24"/>
          <w:lang w:eastAsia="da-DK"/>
        </w:rPr>
        <w:t xml:space="preserve">Websted: </w:t>
      </w:r>
      <w:hyperlink r:id="rId8" w:history="1">
        <w:r w:rsidRPr="0075742B">
          <w:rPr>
            <w:rStyle w:val="Hyperlink"/>
            <w:sz w:val="24"/>
            <w:lang w:eastAsia="da-DK"/>
          </w:rPr>
          <w:t>www.meldenbivirkning.dk</w:t>
        </w:r>
      </w:hyperlink>
    </w:p>
    <w:p w:rsidR="003C101D" w:rsidRPr="0075742B" w:rsidRDefault="003C101D" w:rsidP="003C101D">
      <w:pPr>
        <w:pStyle w:val="Sidehoved"/>
        <w:tabs>
          <w:tab w:val="left" w:pos="851"/>
        </w:tabs>
        <w:ind w:left="851"/>
        <w:rPr>
          <w:szCs w:val="24"/>
        </w:rPr>
      </w:pPr>
    </w:p>
    <w:p w:rsidR="003C101D" w:rsidRPr="00C84483" w:rsidRDefault="003C101D" w:rsidP="003C101D">
      <w:pPr>
        <w:tabs>
          <w:tab w:val="left" w:pos="851"/>
        </w:tabs>
        <w:ind w:left="851" w:hanging="851"/>
        <w:rPr>
          <w:b/>
          <w:sz w:val="24"/>
          <w:szCs w:val="24"/>
        </w:rPr>
      </w:pPr>
      <w:r w:rsidRPr="00C84483">
        <w:rPr>
          <w:b/>
          <w:sz w:val="24"/>
          <w:szCs w:val="24"/>
        </w:rPr>
        <w:t>4.9</w:t>
      </w:r>
      <w:r w:rsidRPr="00C84483">
        <w:rPr>
          <w:b/>
          <w:sz w:val="24"/>
          <w:szCs w:val="24"/>
        </w:rPr>
        <w:tab/>
        <w:t>Overdosering</w:t>
      </w:r>
    </w:p>
    <w:p w:rsidR="003C101D" w:rsidRPr="00C95AB9" w:rsidRDefault="003C101D" w:rsidP="003C101D">
      <w:pPr>
        <w:ind w:left="851"/>
        <w:rPr>
          <w:rFonts w:eastAsiaTheme="minorEastAsia"/>
          <w:sz w:val="24"/>
          <w:szCs w:val="24"/>
        </w:rPr>
      </w:pPr>
      <w:r w:rsidRPr="00C95AB9">
        <w:rPr>
          <w:rFonts w:eastAsiaTheme="minorEastAsia"/>
          <w:sz w:val="24"/>
          <w:szCs w:val="24"/>
        </w:rPr>
        <w:t xml:space="preserve">Der er rapporteret om sjældne tilfælde af klinisk signifikant </w:t>
      </w:r>
      <w:proofErr w:type="spellStart"/>
      <w:r w:rsidRPr="00C95AB9">
        <w:rPr>
          <w:rFonts w:eastAsiaTheme="minorEastAsia"/>
          <w:sz w:val="24"/>
          <w:szCs w:val="24"/>
        </w:rPr>
        <w:t>methæmoglobinæmi</w:t>
      </w:r>
      <w:proofErr w:type="spellEnd"/>
      <w:r w:rsidRPr="00C95AB9">
        <w:rPr>
          <w:rFonts w:eastAsiaTheme="minorEastAsia"/>
          <w:sz w:val="24"/>
          <w:szCs w:val="24"/>
        </w:rPr>
        <w:t xml:space="preserve">. </w:t>
      </w:r>
      <w:proofErr w:type="spellStart"/>
      <w:r w:rsidRPr="00C95AB9">
        <w:rPr>
          <w:rFonts w:eastAsiaTheme="minorEastAsia"/>
          <w:sz w:val="24"/>
          <w:szCs w:val="24"/>
        </w:rPr>
        <w:t>Prilocain</w:t>
      </w:r>
      <w:proofErr w:type="spellEnd"/>
      <w:r w:rsidRPr="00C95AB9">
        <w:rPr>
          <w:rFonts w:eastAsiaTheme="minorEastAsia"/>
          <w:sz w:val="24"/>
          <w:szCs w:val="24"/>
        </w:rPr>
        <w:t xml:space="preserve"> i høje doser kan forårsage en stigning i </w:t>
      </w:r>
      <w:proofErr w:type="spellStart"/>
      <w:r w:rsidRPr="00C95AB9">
        <w:rPr>
          <w:rFonts w:eastAsiaTheme="minorEastAsia"/>
          <w:sz w:val="24"/>
          <w:szCs w:val="24"/>
        </w:rPr>
        <w:t>methæmoglobinniveauet</w:t>
      </w:r>
      <w:proofErr w:type="spellEnd"/>
      <w:r w:rsidRPr="00C95AB9">
        <w:rPr>
          <w:rFonts w:eastAsiaTheme="minorEastAsia"/>
          <w:sz w:val="24"/>
          <w:szCs w:val="24"/>
        </w:rPr>
        <w:t xml:space="preserve">, især hos følsomme patienter (pkt. 4.4), ved for hyppig dosering hos nyfødte og spædbørn under 12 måneder </w:t>
      </w:r>
      <w:r>
        <w:rPr>
          <w:rFonts w:eastAsiaTheme="minorEastAsia"/>
          <w:sz w:val="24"/>
          <w:szCs w:val="24"/>
        </w:rPr>
        <w:t>(</w:t>
      </w:r>
      <w:r w:rsidRPr="00C95AB9">
        <w:rPr>
          <w:rFonts w:eastAsiaTheme="minorEastAsia"/>
          <w:sz w:val="24"/>
          <w:szCs w:val="24"/>
        </w:rPr>
        <w:t xml:space="preserve">pkt. 4.2) og i forbindelse med methæmoglobin-inducerende lægemidler (f.eks. sulfonamider, </w:t>
      </w:r>
      <w:proofErr w:type="spellStart"/>
      <w:r>
        <w:t>nitrofurantoin</w:t>
      </w:r>
      <w:proofErr w:type="spellEnd"/>
      <w:r w:rsidRPr="00C95AB9">
        <w:rPr>
          <w:rFonts w:eastAsiaTheme="minorEastAsia"/>
          <w:sz w:val="24"/>
          <w:szCs w:val="24"/>
        </w:rPr>
        <w:t xml:space="preserve">, </w:t>
      </w:r>
      <w:proofErr w:type="spellStart"/>
      <w:r w:rsidRPr="00C95AB9">
        <w:rPr>
          <w:rFonts w:eastAsiaTheme="minorEastAsia"/>
          <w:sz w:val="24"/>
          <w:szCs w:val="24"/>
        </w:rPr>
        <w:t>phenytoin</w:t>
      </w:r>
      <w:proofErr w:type="spellEnd"/>
      <w:r w:rsidRPr="00C95AB9">
        <w:rPr>
          <w:rFonts w:eastAsiaTheme="minorEastAsia"/>
          <w:sz w:val="24"/>
          <w:szCs w:val="24"/>
        </w:rPr>
        <w:t xml:space="preserve">, </w:t>
      </w:r>
      <w:proofErr w:type="spellStart"/>
      <w:r w:rsidRPr="00C95AB9">
        <w:rPr>
          <w:rFonts w:eastAsiaTheme="minorEastAsia"/>
          <w:sz w:val="24"/>
          <w:szCs w:val="24"/>
        </w:rPr>
        <w:t>phenobarbital</w:t>
      </w:r>
      <w:proofErr w:type="spellEnd"/>
      <w:r w:rsidRPr="00C95AB9">
        <w:rPr>
          <w:rFonts w:eastAsiaTheme="minorEastAsia"/>
          <w:sz w:val="24"/>
          <w:szCs w:val="24"/>
        </w:rPr>
        <w:t xml:space="preserve">). Der skal tages højde for, at </w:t>
      </w:r>
      <w:proofErr w:type="spellStart"/>
      <w:r w:rsidRPr="00C95AB9">
        <w:rPr>
          <w:rFonts w:eastAsiaTheme="minorEastAsia"/>
          <w:sz w:val="24"/>
          <w:szCs w:val="24"/>
        </w:rPr>
        <w:t>pulsoximeterværdier</w:t>
      </w:r>
      <w:proofErr w:type="spellEnd"/>
      <w:r w:rsidRPr="00C95AB9">
        <w:rPr>
          <w:rFonts w:eastAsiaTheme="minorEastAsia"/>
          <w:sz w:val="24"/>
          <w:szCs w:val="24"/>
        </w:rPr>
        <w:t xml:space="preserve"> kan overestimere den reelle iltmætning i tilfælde af øget </w:t>
      </w:r>
      <w:proofErr w:type="spellStart"/>
      <w:r w:rsidRPr="00C95AB9">
        <w:rPr>
          <w:rFonts w:eastAsiaTheme="minorEastAsia"/>
          <w:sz w:val="24"/>
          <w:szCs w:val="24"/>
        </w:rPr>
        <w:t>methæmoglobinfraktion</w:t>
      </w:r>
      <w:proofErr w:type="spellEnd"/>
      <w:r w:rsidRPr="00C95AB9">
        <w:rPr>
          <w:rFonts w:eastAsiaTheme="minorEastAsia"/>
          <w:sz w:val="24"/>
          <w:szCs w:val="24"/>
        </w:rPr>
        <w:t xml:space="preserve">. Ved mistanke om </w:t>
      </w:r>
      <w:proofErr w:type="spellStart"/>
      <w:r w:rsidRPr="00C95AB9">
        <w:rPr>
          <w:rFonts w:eastAsiaTheme="minorEastAsia"/>
          <w:sz w:val="24"/>
          <w:szCs w:val="24"/>
        </w:rPr>
        <w:t>methæmoglobinæmi</w:t>
      </w:r>
      <w:proofErr w:type="spellEnd"/>
      <w:r w:rsidRPr="00C95AB9">
        <w:rPr>
          <w:rFonts w:eastAsiaTheme="minorEastAsia"/>
          <w:sz w:val="24"/>
          <w:szCs w:val="24"/>
        </w:rPr>
        <w:t xml:space="preserve"> kan det derfor være mere nyttigt at monitorere iltmætningen ved </w:t>
      </w:r>
      <w:proofErr w:type="spellStart"/>
      <w:r w:rsidRPr="00C95AB9">
        <w:rPr>
          <w:rFonts w:eastAsiaTheme="minorEastAsia"/>
          <w:sz w:val="24"/>
          <w:szCs w:val="24"/>
        </w:rPr>
        <w:t>co-oximetri</w:t>
      </w:r>
      <w:proofErr w:type="spellEnd"/>
      <w:r w:rsidRPr="00C95AB9">
        <w:rPr>
          <w:rFonts w:eastAsiaTheme="minorEastAsia"/>
          <w:sz w:val="24"/>
          <w:szCs w:val="24"/>
        </w:rPr>
        <w:t>.</w:t>
      </w:r>
    </w:p>
    <w:p w:rsidR="003C101D" w:rsidRPr="00C95AB9" w:rsidRDefault="003C101D" w:rsidP="003C101D">
      <w:pPr>
        <w:ind w:left="851"/>
        <w:rPr>
          <w:rFonts w:eastAsiaTheme="minorEastAsia"/>
          <w:sz w:val="24"/>
          <w:szCs w:val="24"/>
        </w:rPr>
      </w:pPr>
    </w:p>
    <w:p w:rsidR="003C101D" w:rsidRPr="00C95AB9" w:rsidRDefault="003C101D" w:rsidP="003C101D">
      <w:pPr>
        <w:ind w:left="851"/>
        <w:rPr>
          <w:rFonts w:eastAsiaTheme="minorEastAsia"/>
          <w:sz w:val="24"/>
          <w:szCs w:val="24"/>
        </w:rPr>
      </w:pPr>
      <w:r w:rsidRPr="00C95AB9">
        <w:rPr>
          <w:rFonts w:eastAsiaTheme="minorEastAsia"/>
          <w:sz w:val="24"/>
          <w:szCs w:val="24"/>
        </w:rPr>
        <w:t xml:space="preserve">Klinisk signifikant </w:t>
      </w:r>
      <w:proofErr w:type="spellStart"/>
      <w:r w:rsidRPr="00C95AB9">
        <w:rPr>
          <w:rFonts w:eastAsiaTheme="minorEastAsia"/>
          <w:sz w:val="24"/>
          <w:szCs w:val="24"/>
        </w:rPr>
        <w:t>methæmoglobinæmi</w:t>
      </w:r>
      <w:proofErr w:type="spellEnd"/>
      <w:r w:rsidRPr="00C95AB9">
        <w:rPr>
          <w:rFonts w:eastAsiaTheme="minorEastAsia"/>
          <w:sz w:val="24"/>
          <w:szCs w:val="24"/>
        </w:rPr>
        <w:t xml:space="preserve"> skal behandles med langsom intravenøs injektion af </w:t>
      </w:r>
      <w:proofErr w:type="spellStart"/>
      <w:r w:rsidRPr="00C95AB9">
        <w:rPr>
          <w:rFonts w:eastAsiaTheme="minorEastAsia"/>
          <w:sz w:val="24"/>
          <w:szCs w:val="24"/>
        </w:rPr>
        <w:t>methylthioniniumchlorid</w:t>
      </w:r>
      <w:proofErr w:type="spellEnd"/>
      <w:r w:rsidRPr="00C95AB9">
        <w:rPr>
          <w:rFonts w:eastAsiaTheme="minorEastAsia"/>
          <w:sz w:val="24"/>
          <w:szCs w:val="24"/>
        </w:rPr>
        <w:t xml:space="preserve"> (se pkt. 4.4).</w:t>
      </w:r>
    </w:p>
    <w:p w:rsidR="003C101D" w:rsidRPr="00C95AB9" w:rsidRDefault="003C101D" w:rsidP="003C101D">
      <w:pPr>
        <w:ind w:left="851"/>
        <w:rPr>
          <w:rFonts w:eastAsiaTheme="minorEastAsia"/>
          <w:sz w:val="24"/>
          <w:szCs w:val="24"/>
        </w:rPr>
      </w:pPr>
    </w:p>
    <w:p w:rsidR="003C101D" w:rsidRPr="00C95AB9" w:rsidRDefault="003C101D" w:rsidP="003C101D">
      <w:pPr>
        <w:ind w:left="851"/>
        <w:rPr>
          <w:rFonts w:eastAsiaTheme="minorEastAsia"/>
          <w:sz w:val="24"/>
          <w:szCs w:val="24"/>
        </w:rPr>
      </w:pPr>
      <w:r w:rsidRPr="00C95AB9">
        <w:rPr>
          <w:rFonts w:eastAsiaTheme="minorEastAsia"/>
          <w:sz w:val="24"/>
          <w:szCs w:val="24"/>
        </w:rPr>
        <w:t xml:space="preserve">Skulle der opstå andre symptomer på systemisk toksicitet, forventes tegnene at være af samme natur som dem, der optræder efter administration af </w:t>
      </w:r>
      <w:proofErr w:type="spellStart"/>
      <w:r w:rsidRPr="00C95AB9">
        <w:rPr>
          <w:rFonts w:eastAsiaTheme="minorEastAsia"/>
          <w:sz w:val="24"/>
          <w:szCs w:val="24"/>
        </w:rPr>
        <w:t>lokalanæstetika</w:t>
      </w:r>
      <w:proofErr w:type="spellEnd"/>
      <w:r w:rsidRPr="00C95AB9">
        <w:rPr>
          <w:rFonts w:eastAsiaTheme="minorEastAsia"/>
          <w:sz w:val="24"/>
          <w:szCs w:val="24"/>
        </w:rPr>
        <w:t xml:space="preserve"> via andre administrationsveje. Toksicitet af </w:t>
      </w:r>
      <w:proofErr w:type="spellStart"/>
      <w:r w:rsidRPr="00C95AB9">
        <w:rPr>
          <w:rFonts w:eastAsiaTheme="minorEastAsia"/>
          <w:sz w:val="24"/>
          <w:szCs w:val="24"/>
        </w:rPr>
        <w:t>lokalanæstetika</w:t>
      </w:r>
      <w:proofErr w:type="spellEnd"/>
      <w:r w:rsidRPr="00C95AB9">
        <w:rPr>
          <w:rFonts w:eastAsiaTheme="minorEastAsia"/>
          <w:sz w:val="24"/>
          <w:szCs w:val="24"/>
        </w:rPr>
        <w:t xml:space="preserve"> viser sig ved symptomer på </w:t>
      </w:r>
      <w:proofErr w:type="spellStart"/>
      <w:r w:rsidRPr="00C95AB9">
        <w:rPr>
          <w:rFonts w:eastAsiaTheme="minorEastAsia"/>
          <w:sz w:val="24"/>
          <w:szCs w:val="24"/>
        </w:rPr>
        <w:t>excitation</w:t>
      </w:r>
      <w:proofErr w:type="spellEnd"/>
      <w:r w:rsidRPr="00C95AB9">
        <w:rPr>
          <w:rFonts w:eastAsiaTheme="minorEastAsia"/>
          <w:sz w:val="24"/>
          <w:szCs w:val="24"/>
        </w:rPr>
        <w:t xml:space="preserve"> af nervesystemet og i alvorlige tilfælde CNS-depression og </w:t>
      </w:r>
      <w:proofErr w:type="spellStart"/>
      <w:r w:rsidRPr="00C95AB9">
        <w:rPr>
          <w:rFonts w:eastAsiaTheme="minorEastAsia"/>
          <w:sz w:val="24"/>
          <w:szCs w:val="24"/>
        </w:rPr>
        <w:t>kardiovaskulær</w:t>
      </w:r>
      <w:proofErr w:type="spellEnd"/>
      <w:r w:rsidRPr="00C95AB9">
        <w:rPr>
          <w:rFonts w:eastAsiaTheme="minorEastAsia"/>
          <w:sz w:val="24"/>
          <w:szCs w:val="24"/>
        </w:rPr>
        <w:t xml:space="preserve"> depression. Alvorlige neurologiske symptomer (krampeanfald, CNS-depression) skal behandles symptomatisk ved respiratorisk støtte og administration af </w:t>
      </w:r>
      <w:proofErr w:type="spellStart"/>
      <w:r w:rsidRPr="00C95AB9">
        <w:rPr>
          <w:rFonts w:eastAsiaTheme="minorEastAsia"/>
          <w:sz w:val="24"/>
          <w:szCs w:val="24"/>
        </w:rPr>
        <w:t>antikonvulsiva</w:t>
      </w:r>
      <w:proofErr w:type="spellEnd"/>
      <w:r w:rsidRPr="00C95AB9">
        <w:rPr>
          <w:rFonts w:eastAsiaTheme="minorEastAsia"/>
          <w:sz w:val="24"/>
          <w:szCs w:val="24"/>
        </w:rPr>
        <w:t>. Kredsløbssymptomer behandles i overensstemmelse med anbefalingerne for genoplivning.</w:t>
      </w:r>
    </w:p>
    <w:p w:rsidR="003C101D" w:rsidRPr="00C95AB9" w:rsidRDefault="003C101D" w:rsidP="003C101D">
      <w:pPr>
        <w:ind w:left="851"/>
        <w:rPr>
          <w:rFonts w:eastAsiaTheme="minorEastAsia"/>
          <w:sz w:val="24"/>
          <w:szCs w:val="24"/>
        </w:rPr>
      </w:pPr>
    </w:p>
    <w:p w:rsidR="003C101D" w:rsidRPr="004C7F5F" w:rsidRDefault="003C101D" w:rsidP="003C101D">
      <w:pPr>
        <w:ind w:left="851"/>
        <w:rPr>
          <w:rFonts w:eastAsiaTheme="minorEastAsia"/>
          <w:sz w:val="24"/>
          <w:szCs w:val="24"/>
        </w:rPr>
      </w:pPr>
      <w:r w:rsidRPr="00C95AB9">
        <w:rPr>
          <w:rFonts w:eastAsiaTheme="minorEastAsia"/>
          <w:sz w:val="24"/>
          <w:szCs w:val="24"/>
        </w:rPr>
        <w:t>Da absorptionshastigheden fra intakt hud er langsom, skal patienter, der udviser tegn på toksicitet, holdes under observation i adskillige timer efter førstehjælpsbehandling.</w:t>
      </w:r>
    </w:p>
    <w:p w:rsidR="003C101D" w:rsidRPr="00C84483" w:rsidRDefault="003C101D" w:rsidP="003C101D">
      <w:pPr>
        <w:tabs>
          <w:tab w:val="left" w:pos="851"/>
        </w:tabs>
        <w:ind w:left="851"/>
        <w:rPr>
          <w:sz w:val="24"/>
          <w:szCs w:val="24"/>
        </w:rPr>
      </w:pPr>
    </w:p>
    <w:p w:rsidR="003C101D" w:rsidRPr="00C84483" w:rsidRDefault="003C101D" w:rsidP="003C101D">
      <w:pPr>
        <w:tabs>
          <w:tab w:val="left" w:pos="851"/>
        </w:tabs>
        <w:ind w:left="851" w:hanging="851"/>
        <w:rPr>
          <w:b/>
          <w:sz w:val="24"/>
          <w:szCs w:val="24"/>
        </w:rPr>
      </w:pPr>
      <w:r w:rsidRPr="00C84483">
        <w:rPr>
          <w:b/>
          <w:sz w:val="24"/>
          <w:szCs w:val="24"/>
        </w:rPr>
        <w:t>4.10</w:t>
      </w:r>
      <w:r w:rsidRPr="00C84483">
        <w:rPr>
          <w:b/>
          <w:sz w:val="24"/>
          <w:szCs w:val="24"/>
        </w:rPr>
        <w:tab/>
        <w:t>Udlevering</w:t>
      </w:r>
    </w:p>
    <w:p w:rsidR="003C101D" w:rsidRPr="00C84483" w:rsidRDefault="003C101D" w:rsidP="003C101D">
      <w:pPr>
        <w:tabs>
          <w:tab w:val="left" w:pos="851"/>
        </w:tabs>
        <w:ind w:left="851"/>
        <w:rPr>
          <w:sz w:val="24"/>
          <w:szCs w:val="24"/>
        </w:rPr>
      </w:pPr>
      <w:r>
        <w:rPr>
          <w:sz w:val="24"/>
          <w:szCs w:val="24"/>
        </w:rPr>
        <w:t>HF</w:t>
      </w:r>
    </w:p>
    <w:p w:rsidR="003C101D" w:rsidRPr="00C84483" w:rsidRDefault="003C101D" w:rsidP="003C101D">
      <w:pPr>
        <w:tabs>
          <w:tab w:val="left" w:pos="851"/>
        </w:tabs>
        <w:ind w:left="851"/>
        <w:rPr>
          <w:sz w:val="24"/>
          <w:szCs w:val="24"/>
        </w:rPr>
      </w:pPr>
    </w:p>
    <w:p w:rsidR="003C101D" w:rsidRPr="00C84483" w:rsidRDefault="003C101D" w:rsidP="003C101D">
      <w:pPr>
        <w:tabs>
          <w:tab w:val="left" w:pos="851"/>
        </w:tabs>
        <w:ind w:left="851"/>
        <w:rPr>
          <w:sz w:val="24"/>
          <w:szCs w:val="24"/>
        </w:rPr>
      </w:pPr>
    </w:p>
    <w:p w:rsidR="003C101D" w:rsidRPr="00C84483" w:rsidRDefault="003C101D" w:rsidP="003C101D">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3C101D" w:rsidRPr="00C84483" w:rsidRDefault="003C101D" w:rsidP="003C101D">
      <w:pPr>
        <w:tabs>
          <w:tab w:val="left" w:pos="851"/>
        </w:tabs>
        <w:ind w:left="851"/>
        <w:rPr>
          <w:sz w:val="24"/>
          <w:szCs w:val="24"/>
        </w:rPr>
      </w:pPr>
    </w:p>
    <w:p w:rsidR="003C101D" w:rsidRPr="00C84483" w:rsidRDefault="003C101D" w:rsidP="003C101D">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3C101D" w:rsidRPr="00C84483" w:rsidRDefault="003C101D" w:rsidP="003C101D">
      <w:pPr>
        <w:ind w:left="851"/>
        <w:rPr>
          <w:sz w:val="24"/>
          <w:szCs w:val="24"/>
        </w:rPr>
      </w:pPr>
      <w:r w:rsidRPr="00E63DFB">
        <w:rPr>
          <w:rFonts w:eastAsiaTheme="minorEastAsia"/>
          <w:sz w:val="24"/>
          <w:szCs w:val="24"/>
        </w:rPr>
        <w:t>ATC-kode: N</w:t>
      </w:r>
      <w:r>
        <w:rPr>
          <w:rFonts w:eastAsiaTheme="minorEastAsia"/>
          <w:sz w:val="24"/>
          <w:szCs w:val="24"/>
        </w:rPr>
        <w:t xml:space="preserve"> </w:t>
      </w:r>
      <w:r w:rsidRPr="00E63DFB">
        <w:rPr>
          <w:rFonts w:eastAsiaTheme="minorEastAsia"/>
          <w:sz w:val="24"/>
          <w:szCs w:val="24"/>
        </w:rPr>
        <w:t>01</w:t>
      </w:r>
      <w:r>
        <w:rPr>
          <w:rFonts w:eastAsiaTheme="minorEastAsia"/>
          <w:sz w:val="24"/>
          <w:szCs w:val="24"/>
        </w:rPr>
        <w:t xml:space="preserve"> </w:t>
      </w:r>
      <w:r w:rsidRPr="00E63DFB">
        <w:rPr>
          <w:rFonts w:eastAsiaTheme="minorEastAsia"/>
          <w:sz w:val="24"/>
          <w:szCs w:val="24"/>
        </w:rPr>
        <w:t>BB</w:t>
      </w:r>
      <w:r>
        <w:rPr>
          <w:rFonts w:eastAsiaTheme="minorEastAsia"/>
          <w:sz w:val="24"/>
          <w:szCs w:val="24"/>
        </w:rPr>
        <w:t xml:space="preserve"> </w:t>
      </w:r>
      <w:r w:rsidRPr="00E63DFB">
        <w:rPr>
          <w:rFonts w:eastAsiaTheme="minorEastAsia"/>
          <w:sz w:val="24"/>
          <w:szCs w:val="24"/>
        </w:rPr>
        <w:t>20</w:t>
      </w:r>
      <w:r>
        <w:rPr>
          <w:rFonts w:eastAsiaTheme="minorEastAsia"/>
          <w:sz w:val="24"/>
          <w:szCs w:val="24"/>
        </w:rPr>
        <w:t xml:space="preserve">. </w:t>
      </w:r>
      <w:proofErr w:type="spellStart"/>
      <w:r w:rsidRPr="00E63DFB">
        <w:rPr>
          <w:rFonts w:eastAsiaTheme="minorEastAsia"/>
          <w:sz w:val="24"/>
          <w:szCs w:val="24"/>
        </w:rPr>
        <w:t>Lokalanæstetika</w:t>
      </w:r>
      <w:proofErr w:type="spellEnd"/>
      <w:r w:rsidRPr="00E63DFB">
        <w:rPr>
          <w:rFonts w:eastAsiaTheme="minorEastAsia"/>
          <w:sz w:val="24"/>
          <w:szCs w:val="24"/>
        </w:rPr>
        <w:t>, amider</w:t>
      </w:r>
      <w:r>
        <w:rPr>
          <w:rFonts w:eastAsiaTheme="minorEastAsia"/>
          <w:sz w:val="24"/>
          <w:szCs w:val="24"/>
        </w:rPr>
        <w:t>.</w:t>
      </w:r>
      <w:r w:rsidRPr="00C84483">
        <w:rPr>
          <w:sz w:val="24"/>
          <w:szCs w:val="24"/>
        </w:rPr>
        <w:t xml:space="preserve"> </w:t>
      </w:r>
    </w:p>
    <w:p w:rsidR="003C101D" w:rsidRPr="00C84483" w:rsidRDefault="003C101D" w:rsidP="003C101D">
      <w:pPr>
        <w:tabs>
          <w:tab w:val="left" w:pos="851"/>
        </w:tabs>
        <w:ind w:left="851"/>
        <w:rPr>
          <w:sz w:val="24"/>
          <w:szCs w:val="24"/>
        </w:rPr>
      </w:pPr>
    </w:p>
    <w:p w:rsidR="003C101D" w:rsidRPr="00C84483" w:rsidRDefault="003C101D" w:rsidP="003C101D">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3C101D" w:rsidRPr="00E63DFB" w:rsidRDefault="003C101D" w:rsidP="003C101D">
      <w:pPr>
        <w:ind w:left="851"/>
        <w:rPr>
          <w:rFonts w:eastAsiaTheme="minorEastAsia"/>
          <w:sz w:val="24"/>
          <w:szCs w:val="24"/>
        </w:rPr>
      </w:pPr>
    </w:p>
    <w:p w:rsidR="003C101D" w:rsidRPr="00A250A1" w:rsidRDefault="003C101D" w:rsidP="003C101D">
      <w:pPr>
        <w:ind w:left="851"/>
        <w:rPr>
          <w:rFonts w:eastAsiaTheme="minorEastAsia"/>
          <w:b/>
          <w:sz w:val="24"/>
          <w:szCs w:val="24"/>
        </w:rPr>
      </w:pPr>
      <w:r w:rsidRPr="00A250A1">
        <w:rPr>
          <w:rFonts w:eastAsiaTheme="minorEastAsia"/>
          <w:b/>
          <w:sz w:val="24"/>
          <w:szCs w:val="24"/>
        </w:rPr>
        <w:t>Virkningsmekanisme</w:t>
      </w:r>
    </w:p>
    <w:p w:rsidR="003C101D" w:rsidRPr="00E63DFB" w:rsidRDefault="003C101D" w:rsidP="003C101D">
      <w:pPr>
        <w:ind w:left="851"/>
        <w:rPr>
          <w:rFonts w:eastAsiaTheme="minorEastAsia"/>
          <w:sz w:val="24"/>
          <w:szCs w:val="24"/>
        </w:rPr>
      </w:pPr>
      <w:proofErr w:type="spellStart"/>
      <w:r>
        <w:rPr>
          <w:rFonts w:eastAsiaTheme="minorEastAsia"/>
          <w:sz w:val="24"/>
          <w:szCs w:val="24"/>
        </w:rPr>
        <w:t>Nulbia</w:t>
      </w:r>
      <w:proofErr w:type="spellEnd"/>
      <w:r w:rsidRPr="00E63DFB">
        <w:rPr>
          <w:rFonts w:eastAsiaTheme="minorEastAsia"/>
          <w:sz w:val="24"/>
          <w:szCs w:val="24"/>
        </w:rPr>
        <w:t xml:space="preserve"> fremkalder </w:t>
      </w:r>
      <w:proofErr w:type="spellStart"/>
      <w:r w:rsidRPr="00E63DFB">
        <w:rPr>
          <w:rFonts w:eastAsiaTheme="minorEastAsia"/>
          <w:sz w:val="24"/>
          <w:szCs w:val="24"/>
        </w:rPr>
        <w:t>dermal</w:t>
      </w:r>
      <w:proofErr w:type="spellEnd"/>
      <w:r w:rsidRPr="00E63DFB">
        <w:rPr>
          <w:rFonts w:eastAsiaTheme="minorEastAsia"/>
          <w:sz w:val="24"/>
          <w:szCs w:val="24"/>
        </w:rPr>
        <w:t xml:space="preserve"> anæstesi via frigivelse af </w:t>
      </w:r>
      <w:proofErr w:type="spellStart"/>
      <w:r w:rsidRPr="00E63DFB">
        <w:rPr>
          <w:rFonts w:eastAsiaTheme="minorEastAsia"/>
          <w:sz w:val="24"/>
          <w:szCs w:val="24"/>
        </w:rPr>
        <w:t>lidocain</w:t>
      </w:r>
      <w:proofErr w:type="spellEnd"/>
      <w:r w:rsidRPr="00E63DFB">
        <w:rPr>
          <w:rFonts w:eastAsiaTheme="minorEastAsia"/>
          <w:sz w:val="24"/>
          <w:szCs w:val="24"/>
        </w:rPr>
        <w:t xml:space="preserve"> og </w:t>
      </w:r>
      <w:proofErr w:type="spellStart"/>
      <w:r w:rsidRPr="00E63DFB">
        <w:rPr>
          <w:rFonts w:eastAsiaTheme="minorEastAsia"/>
          <w:sz w:val="24"/>
          <w:szCs w:val="24"/>
        </w:rPr>
        <w:t>prilocain</w:t>
      </w:r>
      <w:proofErr w:type="spellEnd"/>
      <w:r w:rsidRPr="00E63DFB">
        <w:rPr>
          <w:rFonts w:eastAsiaTheme="minorEastAsia"/>
          <w:sz w:val="24"/>
          <w:szCs w:val="24"/>
        </w:rPr>
        <w:t xml:space="preserve"> fra cremen til de </w:t>
      </w:r>
      <w:proofErr w:type="spellStart"/>
      <w:r w:rsidRPr="00E63DFB">
        <w:rPr>
          <w:rFonts w:eastAsiaTheme="minorEastAsia"/>
          <w:sz w:val="24"/>
          <w:szCs w:val="24"/>
        </w:rPr>
        <w:t>epidermale</w:t>
      </w:r>
      <w:proofErr w:type="spellEnd"/>
      <w:r w:rsidRPr="00E63DFB">
        <w:rPr>
          <w:rFonts w:eastAsiaTheme="minorEastAsia"/>
          <w:sz w:val="24"/>
          <w:szCs w:val="24"/>
        </w:rPr>
        <w:t xml:space="preserve"> og </w:t>
      </w:r>
      <w:proofErr w:type="spellStart"/>
      <w:r w:rsidRPr="00E63DFB">
        <w:rPr>
          <w:rFonts w:eastAsiaTheme="minorEastAsia"/>
          <w:sz w:val="24"/>
          <w:szCs w:val="24"/>
        </w:rPr>
        <w:t>dermale</w:t>
      </w:r>
      <w:proofErr w:type="spellEnd"/>
      <w:r w:rsidRPr="00E63DFB">
        <w:rPr>
          <w:rFonts w:eastAsiaTheme="minorEastAsia"/>
          <w:sz w:val="24"/>
          <w:szCs w:val="24"/>
        </w:rPr>
        <w:t xml:space="preserve"> hudlag og tæt på de </w:t>
      </w:r>
      <w:proofErr w:type="spellStart"/>
      <w:r w:rsidRPr="00E63DFB">
        <w:rPr>
          <w:rFonts w:eastAsiaTheme="minorEastAsia"/>
          <w:sz w:val="24"/>
          <w:szCs w:val="24"/>
        </w:rPr>
        <w:t>dermale</w:t>
      </w:r>
      <w:proofErr w:type="spellEnd"/>
      <w:r w:rsidRPr="00E63DFB">
        <w:rPr>
          <w:rFonts w:eastAsiaTheme="minorEastAsia"/>
          <w:sz w:val="24"/>
          <w:szCs w:val="24"/>
        </w:rPr>
        <w:t xml:space="preserve"> smertereceptorer og nerveender.</w:t>
      </w:r>
    </w:p>
    <w:p w:rsidR="003C101D" w:rsidRPr="00E63DFB" w:rsidRDefault="003C101D" w:rsidP="003C101D">
      <w:pPr>
        <w:ind w:left="851"/>
        <w:rPr>
          <w:rFonts w:eastAsiaTheme="minorEastAsia"/>
          <w:sz w:val="24"/>
          <w:szCs w:val="24"/>
        </w:rPr>
      </w:pPr>
    </w:p>
    <w:p w:rsidR="003C101D" w:rsidRPr="00E63DFB" w:rsidRDefault="003C101D" w:rsidP="003C101D">
      <w:pPr>
        <w:ind w:left="851"/>
        <w:rPr>
          <w:rFonts w:eastAsiaTheme="minorEastAsia"/>
          <w:sz w:val="24"/>
          <w:szCs w:val="24"/>
        </w:rPr>
      </w:pPr>
      <w:proofErr w:type="spellStart"/>
      <w:r w:rsidRPr="00E63DFB">
        <w:rPr>
          <w:rFonts w:eastAsiaTheme="minorEastAsia"/>
          <w:sz w:val="24"/>
          <w:szCs w:val="24"/>
        </w:rPr>
        <w:t>Lidocain</w:t>
      </w:r>
      <w:proofErr w:type="spellEnd"/>
      <w:r w:rsidRPr="00E63DFB">
        <w:rPr>
          <w:rFonts w:eastAsiaTheme="minorEastAsia"/>
          <w:sz w:val="24"/>
          <w:szCs w:val="24"/>
        </w:rPr>
        <w:t xml:space="preserve"> og </w:t>
      </w:r>
      <w:proofErr w:type="spellStart"/>
      <w:r w:rsidRPr="00E63DFB">
        <w:rPr>
          <w:rFonts w:eastAsiaTheme="minorEastAsia"/>
          <w:sz w:val="24"/>
          <w:szCs w:val="24"/>
        </w:rPr>
        <w:t>prilocain</w:t>
      </w:r>
      <w:proofErr w:type="spellEnd"/>
      <w:r w:rsidRPr="00E63DFB">
        <w:rPr>
          <w:rFonts w:eastAsiaTheme="minorEastAsia"/>
          <w:sz w:val="24"/>
          <w:szCs w:val="24"/>
        </w:rPr>
        <w:t xml:space="preserve"> er </w:t>
      </w:r>
      <w:proofErr w:type="spellStart"/>
      <w:r w:rsidRPr="00E63DFB">
        <w:rPr>
          <w:rFonts w:eastAsiaTheme="minorEastAsia"/>
          <w:sz w:val="24"/>
          <w:szCs w:val="24"/>
        </w:rPr>
        <w:t>lokalanæstetika</w:t>
      </w:r>
      <w:proofErr w:type="spellEnd"/>
      <w:r w:rsidRPr="00E63DFB">
        <w:rPr>
          <w:rFonts w:eastAsiaTheme="minorEastAsia"/>
          <w:sz w:val="24"/>
          <w:szCs w:val="24"/>
        </w:rPr>
        <w:t xml:space="preserve"> af amidtypen. Begge stoffer stabiliserer neuronale membraner ved at hæmme de ionstrømme, som er nødvendige for initiering og overledning af impulser, hvorved de fremkalder lokal anæstesi. Anæstesikvaliteten afhænger af applikationstid og dosis.</w:t>
      </w:r>
    </w:p>
    <w:p w:rsidR="003C101D" w:rsidRPr="00E63DFB" w:rsidRDefault="003C101D" w:rsidP="003C101D">
      <w:pPr>
        <w:ind w:left="851"/>
        <w:rPr>
          <w:rFonts w:eastAsiaTheme="minorEastAsia"/>
          <w:sz w:val="24"/>
          <w:szCs w:val="24"/>
        </w:rPr>
      </w:pPr>
    </w:p>
    <w:p w:rsidR="003C101D" w:rsidRPr="00A250A1" w:rsidRDefault="003C101D" w:rsidP="003C101D">
      <w:pPr>
        <w:ind w:left="851"/>
        <w:rPr>
          <w:rFonts w:eastAsiaTheme="minorEastAsia"/>
          <w:sz w:val="24"/>
          <w:szCs w:val="24"/>
          <w:u w:val="single"/>
        </w:rPr>
      </w:pPr>
      <w:r w:rsidRPr="00A250A1">
        <w:rPr>
          <w:rFonts w:eastAsiaTheme="minorEastAsia"/>
          <w:bCs/>
          <w:sz w:val="24"/>
          <w:szCs w:val="24"/>
          <w:u w:val="single"/>
        </w:rPr>
        <w:t>Hud</w:t>
      </w:r>
    </w:p>
    <w:p w:rsidR="003C101D" w:rsidRPr="00E63DFB" w:rsidRDefault="003C101D" w:rsidP="003C101D">
      <w:pPr>
        <w:ind w:left="851"/>
        <w:rPr>
          <w:rFonts w:eastAsiaTheme="minorEastAsia"/>
          <w:sz w:val="24"/>
          <w:szCs w:val="24"/>
        </w:rPr>
      </w:pPr>
      <w:proofErr w:type="spellStart"/>
      <w:r>
        <w:rPr>
          <w:rFonts w:eastAsiaTheme="minorEastAsia"/>
          <w:sz w:val="24"/>
          <w:szCs w:val="24"/>
        </w:rPr>
        <w:t>Nulbia</w:t>
      </w:r>
      <w:proofErr w:type="spellEnd"/>
      <w:r w:rsidRPr="00E63DFB">
        <w:rPr>
          <w:rFonts w:eastAsiaTheme="minorEastAsia"/>
          <w:sz w:val="24"/>
          <w:szCs w:val="24"/>
        </w:rPr>
        <w:t xml:space="preserve"> appliceres på intakt hud under en </w:t>
      </w:r>
      <w:proofErr w:type="spellStart"/>
      <w:r w:rsidRPr="00E63DFB">
        <w:rPr>
          <w:rFonts w:eastAsiaTheme="minorEastAsia"/>
          <w:sz w:val="24"/>
          <w:szCs w:val="24"/>
        </w:rPr>
        <w:t>okklusionsforbinding</w:t>
      </w:r>
      <w:proofErr w:type="spellEnd"/>
      <w:r w:rsidRPr="00E63DFB">
        <w:rPr>
          <w:rFonts w:eastAsiaTheme="minorEastAsia"/>
          <w:sz w:val="24"/>
          <w:szCs w:val="24"/>
        </w:rPr>
        <w:t xml:space="preserve">. Det kræver 1 til 2 timer at opnå pålidelig anæstesi af intakt hud, afhængigt af proceduren. Den lokalanæstetiske virkning øges med længere applikationstider fra 1 til 2 timer for de fleste kropsdele med undtagelse af huden i ansigt og på mandlige kønsorganer. I panden og på kinderne nås den maksimale lokalanæstetiske virkning efter 30-60 minutter, idet huden er tynd, og der er en høj blodgennemstrømning i vævet. Tilsvarende opnås der lokalanæstesi på mandlige kønsorganer efter 15 minutter. Anæstesivarigheden efter applikation af </w:t>
      </w:r>
      <w:proofErr w:type="spellStart"/>
      <w:r>
        <w:rPr>
          <w:rFonts w:eastAsiaTheme="minorEastAsia"/>
          <w:sz w:val="24"/>
          <w:szCs w:val="24"/>
        </w:rPr>
        <w:t>Nulbia</w:t>
      </w:r>
      <w:proofErr w:type="spellEnd"/>
      <w:r w:rsidRPr="00E63DFB">
        <w:rPr>
          <w:rFonts w:eastAsiaTheme="minorEastAsia"/>
          <w:sz w:val="24"/>
          <w:szCs w:val="24"/>
        </w:rPr>
        <w:t xml:space="preserve"> i 1 til 2 timer er mindst 2 timer efter fjernelse af forbindingen, undtagen i ansigtet, hvor varigheden er kortere. </w:t>
      </w:r>
      <w:proofErr w:type="spellStart"/>
      <w:r>
        <w:rPr>
          <w:rFonts w:eastAsiaTheme="minorEastAsia"/>
          <w:sz w:val="24"/>
          <w:szCs w:val="24"/>
        </w:rPr>
        <w:t>Nulbia</w:t>
      </w:r>
      <w:proofErr w:type="spellEnd"/>
      <w:r w:rsidRPr="00E63DFB">
        <w:rPr>
          <w:rFonts w:eastAsiaTheme="minorEastAsia"/>
          <w:sz w:val="24"/>
          <w:szCs w:val="24"/>
        </w:rPr>
        <w:t xml:space="preserve"> har samme effekt og fremkalder anæstesi efter samme tidsrum på lyst og mørkt pigmenteret hud (hudtype I til VI).</w:t>
      </w:r>
    </w:p>
    <w:p w:rsidR="003C101D" w:rsidRPr="00E63DFB" w:rsidRDefault="003C101D" w:rsidP="003C101D">
      <w:pPr>
        <w:ind w:left="851"/>
        <w:rPr>
          <w:rFonts w:eastAsiaTheme="minorEastAsia"/>
          <w:sz w:val="24"/>
          <w:szCs w:val="24"/>
        </w:rPr>
      </w:pPr>
    </w:p>
    <w:p w:rsidR="003C101D" w:rsidRPr="00E63DFB" w:rsidRDefault="003C101D" w:rsidP="003C101D">
      <w:pPr>
        <w:ind w:left="851"/>
        <w:rPr>
          <w:rFonts w:eastAsiaTheme="minorEastAsia"/>
          <w:sz w:val="24"/>
          <w:szCs w:val="24"/>
        </w:rPr>
      </w:pPr>
      <w:r w:rsidRPr="00E63DFB">
        <w:rPr>
          <w:rFonts w:eastAsiaTheme="minorEastAsia"/>
          <w:sz w:val="24"/>
          <w:szCs w:val="24"/>
        </w:rPr>
        <w:t xml:space="preserve">I kliniske studier med </w:t>
      </w:r>
      <w:proofErr w:type="spellStart"/>
      <w:r w:rsidRPr="00E63DFB">
        <w:rPr>
          <w:rFonts w:eastAsiaTheme="minorEastAsia"/>
          <w:sz w:val="24"/>
          <w:szCs w:val="24"/>
        </w:rPr>
        <w:t>lidocain</w:t>
      </w:r>
      <w:proofErr w:type="spellEnd"/>
      <w:r w:rsidRPr="00E63DFB">
        <w:rPr>
          <w:rFonts w:eastAsiaTheme="minorEastAsia"/>
          <w:sz w:val="24"/>
          <w:szCs w:val="24"/>
        </w:rPr>
        <w:t>/</w:t>
      </w:r>
      <w:proofErr w:type="spellStart"/>
      <w:r w:rsidRPr="00E63DFB">
        <w:rPr>
          <w:rFonts w:eastAsiaTheme="minorEastAsia"/>
          <w:sz w:val="24"/>
          <w:szCs w:val="24"/>
        </w:rPr>
        <w:t>prilocaincreme</w:t>
      </w:r>
      <w:proofErr w:type="spellEnd"/>
      <w:r w:rsidRPr="00E63DFB">
        <w:rPr>
          <w:rFonts w:eastAsiaTheme="minorEastAsia"/>
          <w:sz w:val="24"/>
          <w:szCs w:val="24"/>
        </w:rPr>
        <w:t xml:space="preserve"> på intakt hud blev der ikke set nogen forskelle i sikkerheden eller virkningen (herunder tid til indsættelse af anæstesi) hos geriatriske patienter (i alderen 65 til 96 år) og yngre patienter.</w:t>
      </w:r>
    </w:p>
    <w:p w:rsidR="003C101D" w:rsidRPr="00E63DFB" w:rsidRDefault="003C101D" w:rsidP="003C101D">
      <w:pPr>
        <w:ind w:left="851"/>
        <w:rPr>
          <w:rFonts w:eastAsiaTheme="minorEastAsia"/>
          <w:sz w:val="24"/>
          <w:szCs w:val="24"/>
        </w:rPr>
      </w:pPr>
    </w:p>
    <w:p w:rsidR="003C101D" w:rsidRPr="00E63DFB" w:rsidRDefault="003C101D" w:rsidP="003C101D">
      <w:pPr>
        <w:ind w:left="851"/>
        <w:rPr>
          <w:rFonts w:eastAsiaTheme="minorEastAsia"/>
          <w:sz w:val="24"/>
          <w:szCs w:val="24"/>
        </w:rPr>
      </w:pPr>
      <w:proofErr w:type="spellStart"/>
      <w:r w:rsidRPr="00E63DFB">
        <w:rPr>
          <w:rFonts w:eastAsiaTheme="minorEastAsia"/>
          <w:sz w:val="24"/>
          <w:szCs w:val="24"/>
        </w:rPr>
        <w:t>Lidocain</w:t>
      </w:r>
      <w:proofErr w:type="spellEnd"/>
      <w:r w:rsidRPr="00E63DFB">
        <w:rPr>
          <w:rFonts w:eastAsiaTheme="minorEastAsia"/>
          <w:sz w:val="24"/>
          <w:szCs w:val="24"/>
        </w:rPr>
        <w:t>/</w:t>
      </w:r>
      <w:proofErr w:type="spellStart"/>
      <w:r w:rsidRPr="00E63DFB">
        <w:rPr>
          <w:rFonts w:eastAsiaTheme="minorEastAsia"/>
          <w:sz w:val="24"/>
          <w:szCs w:val="24"/>
        </w:rPr>
        <w:t>prilocaincreme</w:t>
      </w:r>
      <w:proofErr w:type="spellEnd"/>
      <w:r w:rsidRPr="00E63DFB">
        <w:rPr>
          <w:rFonts w:eastAsiaTheme="minorEastAsia"/>
          <w:sz w:val="24"/>
          <w:szCs w:val="24"/>
        </w:rPr>
        <w:t xml:space="preserve"> fremkalder et </w:t>
      </w:r>
      <w:proofErr w:type="spellStart"/>
      <w:r w:rsidRPr="00E63DFB">
        <w:rPr>
          <w:rFonts w:eastAsiaTheme="minorEastAsia"/>
          <w:sz w:val="24"/>
          <w:szCs w:val="24"/>
        </w:rPr>
        <w:t>bifasisk</w:t>
      </w:r>
      <w:proofErr w:type="spellEnd"/>
      <w:r w:rsidRPr="00E63DFB">
        <w:rPr>
          <w:rFonts w:eastAsiaTheme="minorEastAsia"/>
          <w:sz w:val="24"/>
          <w:szCs w:val="24"/>
        </w:rPr>
        <w:t xml:space="preserve"> </w:t>
      </w:r>
      <w:proofErr w:type="spellStart"/>
      <w:r w:rsidRPr="00E63DFB">
        <w:rPr>
          <w:rFonts w:eastAsiaTheme="minorEastAsia"/>
          <w:sz w:val="24"/>
          <w:szCs w:val="24"/>
        </w:rPr>
        <w:t>vaskulært</w:t>
      </w:r>
      <w:proofErr w:type="spellEnd"/>
      <w:r w:rsidRPr="00E63DFB">
        <w:rPr>
          <w:rFonts w:eastAsiaTheme="minorEastAsia"/>
          <w:sz w:val="24"/>
          <w:szCs w:val="24"/>
        </w:rPr>
        <w:t xml:space="preserve"> respons, der omfatter indledende </w:t>
      </w:r>
      <w:proofErr w:type="spellStart"/>
      <w:r w:rsidRPr="00E63DFB">
        <w:rPr>
          <w:rFonts w:eastAsiaTheme="minorEastAsia"/>
          <w:sz w:val="24"/>
          <w:szCs w:val="24"/>
        </w:rPr>
        <w:t>vasokonstriktion</w:t>
      </w:r>
      <w:proofErr w:type="spellEnd"/>
      <w:r w:rsidRPr="00E63DFB">
        <w:rPr>
          <w:rFonts w:eastAsiaTheme="minorEastAsia"/>
          <w:sz w:val="24"/>
          <w:szCs w:val="24"/>
        </w:rPr>
        <w:t xml:space="preserve"> efterfulgt af vasodilatation på administrationsstedet (se pkt. 4.8). Uafhængigt af det </w:t>
      </w:r>
      <w:proofErr w:type="spellStart"/>
      <w:r w:rsidRPr="00E63DFB">
        <w:rPr>
          <w:rFonts w:eastAsiaTheme="minorEastAsia"/>
          <w:sz w:val="24"/>
          <w:szCs w:val="24"/>
        </w:rPr>
        <w:t>vaskulære</w:t>
      </w:r>
      <w:proofErr w:type="spellEnd"/>
      <w:r w:rsidRPr="00E63DFB">
        <w:rPr>
          <w:rFonts w:eastAsiaTheme="minorEastAsia"/>
          <w:sz w:val="24"/>
          <w:szCs w:val="24"/>
        </w:rPr>
        <w:t xml:space="preserve"> respons letter </w:t>
      </w:r>
      <w:proofErr w:type="spellStart"/>
      <w:r w:rsidRPr="00E63DFB">
        <w:rPr>
          <w:rFonts w:eastAsiaTheme="minorEastAsia"/>
          <w:sz w:val="24"/>
          <w:szCs w:val="24"/>
        </w:rPr>
        <w:t>lidocain</w:t>
      </w:r>
      <w:proofErr w:type="spellEnd"/>
      <w:r w:rsidRPr="00E63DFB">
        <w:rPr>
          <w:rFonts w:eastAsiaTheme="minorEastAsia"/>
          <w:sz w:val="24"/>
          <w:szCs w:val="24"/>
        </w:rPr>
        <w:t>/</w:t>
      </w:r>
      <w:proofErr w:type="spellStart"/>
      <w:r w:rsidRPr="00E63DFB">
        <w:rPr>
          <w:rFonts w:eastAsiaTheme="minorEastAsia"/>
          <w:sz w:val="24"/>
          <w:szCs w:val="24"/>
        </w:rPr>
        <w:t>prilocaincreme</w:t>
      </w:r>
      <w:proofErr w:type="spellEnd"/>
      <w:r w:rsidRPr="00E63DFB">
        <w:rPr>
          <w:rFonts w:eastAsiaTheme="minorEastAsia"/>
          <w:sz w:val="24"/>
          <w:szCs w:val="24"/>
        </w:rPr>
        <w:t xml:space="preserve"> kanyleproceduren sammenlignet med placebocreme. Hos patienter med </w:t>
      </w:r>
      <w:proofErr w:type="spellStart"/>
      <w:r w:rsidRPr="00E63DFB">
        <w:rPr>
          <w:rFonts w:eastAsiaTheme="minorEastAsia"/>
          <w:sz w:val="24"/>
          <w:szCs w:val="24"/>
        </w:rPr>
        <w:t>atopisk</w:t>
      </w:r>
      <w:proofErr w:type="spellEnd"/>
      <w:r w:rsidRPr="00E63DFB">
        <w:rPr>
          <w:rFonts w:eastAsiaTheme="minorEastAsia"/>
          <w:sz w:val="24"/>
          <w:szCs w:val="24"/>
        </w:rPr>
        <w:t xml:space="preserve"> </w:t>
      </w:r>
      <w:proofErr w:type="spellStart"/>
      <w:r w:rsidRPr="00E63DFB">
        <w:rPr>
          <w:rFonts w:eastAsiaTheme="minorEastAsia"/>
          <w:sz w:val="24"/>
          <w:szCs w:val="24"/>
        </w:rPr>
        <w:t>dermatit</w:t>
      </w:r>
      <w:proofErr w:type="spellEnd"/>
      <w:r w:rsidRPr="00E63DFB">
        <w:rPr>
          <w:rFonts w:eastAsiaTheme="minorEastAsia"/>
          <w:sz w:val="24"/>
          <w:szCs w:val="24"/>
        </w:rPr>
        <w:t xml:space="preserve"> indtrådte der en lignende, men kortere </w:t>
      </w:r>
      <w:proofErr w:type="spellStart"/>
      <w:r w:rsidRPr="00E63DFB">
        <w:rPr>
          <w:rFonts w:eastAsiaTheme="minorEastAsia"/>
          <w:sz w:val="24"/>
          <w:szCs w:val="24"/>
        </w:rPr>
        <w:t>vaskulær</w:t>
      </w:r>
      <w:proofErr w:type="spellEnd"/>
      <w:r w:rsidRPr="00E63DFB">
        <w:rPr>
          <w:rFonts w:eastAsiaTheme="minorEastAsia"/>
          <w:sz w:val="24"/>
          <w:szCs w:val="24"/>
        </w:rPr>
        <w:t xml:space="preserve"> reaktion med forekomst af </w:t>
      </w:r>
      <w:proofErr w:type="spellStart"/>
      <w:r w:rsidRPr="00E63DFB">
        <w:rPr>
          <w:rFonts w:eastAsiaTheme="minorEastAsia"/>
          <w:sz w:val="24"/>
          <w:szCs w:val="24"/>
        </w:rPr>
        <w:t>erytem</w:t>
      </w:r>
      <w:proofErr w:type="spellEnd"/>
      <w:r w:rsidRPr="00E63DFB">
        <w:rPr>
          <w:rFonts w:eastAsiaTheme="minorEastAsia"/>
          <w:sz w:val="24"/>
          <w:szCs w:val="24"/>
        </w:rPr>
        <w:t xml:space="preserve"> efter 30-60 minutter, hvilket tyder på hurtigere absorption via huden (se pkt. 4.4). Fortykkelsen aftager i løbet af 15 minutters luftning.</w:t>
      </w:r>
    </w:p>
    <w:p w:rsidR="003C101D" w:rsidRPr="00E63DFB" w:rsidRDefault="003C101D" w:rsidP="003C101D">
      <w:pPr>
        <w:ind w:left="851"/>
        <w:rPr>
          <w:rFonts w:eastAsiaTheme="minorEastAsia"/>
          <w:sz w:val="24"/>
          <w:szCs w:val="24"/>
        </w:rPr>
      </w:pPr>
    </w:p>
    <w:p w:rsidR="003C101D" w:rsidRPr="00E63DFB" w:rsidRDefault="003C101D" w:rsidP="003C101D">
      <w:pPr>
        <w:ind w:left="851"/>
        <w:rPr>
          <w:rFonts w:eastAsiaTheme="minorEastAsia"/>
          <w:sz w:val="24"/>
          <w:szCs w:val="24"/>
        </w:rPr>
      </w:pPr>
      <w:r w:rsidRPr="00E63DFB">
        <w:rPr>
          <w:rFonts w:eastAsiaTheme="minorEastAsia"/>
          <w:sz w:val="24"/>
          <w:szCs w:val="24"/>
        </w:rPr>
        <w:t xml:space="preserve">Dybden af </w:t>
      </w:r>
      <w:proofErr w:type="spellStart"/>
      <w:r w:rsidRPr="00E63DFB">
        <w:rPr>
          <w:rFonts w:eastAsiaTheme="minorEastAsia"/>
          <w:sz w:val="24"/>
          <w:szCs w:val="24"/>
        </w:rPr>
        <w:t>kutan</w:t>
      </w:r>
      <w:proofErr w:type="spellEnd"/>
      <w:r w:rsidRPr="00E63DFB">
        <w:rPr>
          <w:rFonts w:eastAsiaTheme="minorEastAsia"/>
          <w:sz w:val="24"/>
          <w:szCs w:val="24"/>
        </w:rPr>
        <w:t xml:space="preserve"> anæstesi øges i takt med applikationstiden. Hos 90 % af patienterne er anæstesien tilstrækkelig til udtagelse af en biopsi (4 mm i diameter) i en dybde på 2 mm 60 minutter efter applikation af </w:t>
      </w:r>
      <w:proofErr w:type="spellStart"/>
      <w:r>
        <w:rPr>
          <w:rFonts w:eastAsiaTheme="minorEastAsia"/>
          <w:sz w:val="24"/>
          <w:szCs w:val="24"/>
        </w:rPr>
        <w:t>Nulbia</w:t>
      </w:r>
      <w:proofErr w:type="spellEnd"/>
      <w:r w:rsidRPr="00E63DFB">
        <w:rPr>
          <w:rFonts w:eastAsiaTheme="minorEastAsia"/>
          <w:sz w:val="24"/>
          <w:szCs w:val="24"/>
        </w:rPr>
        <w:t xml:space="preserve"> og i en dybde på 3 mm efter 120 minutter.</w:t>
      </w:r>
    </w:p>
    <w:p w:rsidR="003C101D" w:rsidRPr="00E63DFB" w:rsidRDefault="003C101D" w:rsidP="003C101D">
      <w:pPr>
        <w:ind w:left="851"/>
        <w:rPr>
          <w:rFonts w:eastAsiaTheme="minorEastAsia"/>
          <w:sz w:val="24"/>
          <w:szCs w:val="24"/>
        </w:rPr>
      </w:pPr>
    </w:p>
    <w:p w:rsidR="003C101D" w:rsidRPr="00E63DFB" w:rsidRDefault="003C101D" w:rsidP="003C101D">
      <w:pPr>
        <w:ind w:left="851"/>
        <w:rPr>
          <w:rFonts w:eastAsiaTheme="minorEastAsia"/>
          <w:sz w:val="24"/>
          <w:szCs w:val="24"/>
        </w:rPr>
      </w:pPr>
      <w:r w:rsidRPr="00E63DFB">
        <w:rPr>
          <w:rFonts w:eastAsiaTheme="minorEastAsia"/>
          <w:sz w:val="24"/>
          <w:szCs w:val="24"/>
        </w:rPr>
        <w:t xml:space="preserve">Brug af </w:t>
      </w:r>
      <w:proofErr w:type="spellStart"/>
      <w:r w:rsidRPr="00E63DFB">
        <w:rPr>
          <w:rFonts w:eastAsiaTheme="minorEastAsia"/>
          <w:sz w:val="24"/>
          <w:szCs w:val="24"/>
        </w:rPr>
        <w:t>lidocain</w:t>
      </w:r>
      <w:proofErr w:type="spellEnd"/>
      <w:r w:rsidRPr="00E63DFB">
        <w:rPr>
          <w:rFonts w:eastAsiaTheme="minorEastAsia"/>
          <w:sz w:val="24"/>
          <w:szCs w:val="24"/>
        </w:rPr>
        <w:t>/</w:t>
      </w:r>
      <w:proofErr w:type="spellStart"/>
      <w:r w:rsidRPr="00E63DFB">
        <w:rPr>
          <w:rFonts w:eastAsiaTheme="minorEastAsia"/>
          <w:sz w:val="24"/>
          <w:szCs w:val="24"/>
        </w:rPr>
        <w:t>prilocaincreme</w:t>
      </w:r>
      <w:proofErr w:type="spellEnd"/>
      <w:r w:rsidRPr="00E63DFB">
        <w:rPr>
          <w:rFonts w:eastAsiaTheme="minorEastAsia"/>
          <w:sz w:val="24"/>
          <w:szCs w:val="24"/>
        </w:rPr>
        <w:t xml:space="preserve"> inden MFR-vaccine eller intramuskulær difteri-</w:t>
      </w:r>
      <w:proofErr w:type="spellStart"/>
      <w:r w:rsidRPr="00E63DFB">
        <w:rPr>
          <w:rFonts w:eastAsiaTheme="minorEastAsia"/>
          <w:sz w:val="24"/>
          <w:szCs w:val="24"/>
        </w:rPr>
        <w:t>pertussis</w:t>
      </w:r>
      <w:proofErr w:type="spellEnd"/>
      <w:r w:rsidRPr="00E63DFB">
        <w:rPr>
          <w:rFonts w:eastAsiaTheme="minorEastAsia"/>
          <w:sz w:val="24"/>
          <w:szCs w:val="24"/>
        </w:rPr>
        <w:t>-tetanus-inaktiveret poliovirus-</w:t>
      </w:r>
      <w:proofErr w:type="spellStart"/>
      <w:r w:rsidRPr="00E63DFB">
        <w:rPr>
          <w:rFonts w:eastAsiaTheme="minorEastAsia"/>
          <w:sz w:val="24"/>
          <w:szCs w:val="24"/>
        </w:rPr>
        <w:t>Hæmophilus</w:t>
      </w:r>
      <w:proofErr w:type="spellEnd"/>
      <w:r w:rsidRPr="00E63DFB">
        <w:rPr>
          <w:rFonts w:eastAsiaTheme="minorEastAsia"/>
          <w:i/>
          <w:iCs/>
          <w:sz w:val="24"/>
          <w:szCs w:val="24"/>
        </w:rPr>
        <w:t xml:space="preserve"> </w:t>
      </w:r>
      <w:proofErr w:type="spellStart"/>
      <w:r w:rsidRPr="00E63DFB">
        <w:rPr>
          <w:rFonts w:eastAsiaTheme="minorEastAsia"/>
          <w:i/>
          <w:iCs/>
          <w:sz w:val="24"/>
          <w:szCs w:val="24"/>
        </w:rPr>
        <w:t>influenzae</w:t>
      </w:r>
      <w:proofErr w:type="spellEnd"/>
      <w:r w:rsidRPr="00E63DFB">
        <w:rPr>
          <w:rFonts w:eastAsiaTheme="minorEastAsia"/>
          <w:sz w:val="24"/>
          <w:szCs w:val="24"/>
        </w:rPr>
        <w:t xml:space="preserve"> type b-vaccine eller Hepatitis B-vaccine påvirker ikke de gennemsnitlige </w:t>
      </w:r>
      <w:proofErr w:type="spellStart"/>
      <w:r w:rsidRPr="00E63DFB">
        <w:rPr>
          <w:rFonts w:eastAsiaTheme="minorEastAsia"/>
          <w:sz w:val="24"/>
          <w:szCs w:val="24"/>
        </w:rPr>
        <w:t>antistoftitre</w:t>
      </w:r>
      <w:proofErr w:type="spellEnd"/>
      <w:r w:rsidRPr="00E63DFB">
        <w:rPr>
          <w:rFonts w:eastAsiaTheme="minorEastAsia"/>
          <w:sz w:val="24"/>
          <w:szCs w:val="24"/>
        </w:rPr>
        <w:t xml:space="preserve"> eller </w:t>
      </w:r>
      <w:proofErr w:type="spellStart"/>
      <w:r w:rsidRPr="00E63DFB">
        <w:rPr>
          <w:rFonts w:eastAsiaTheme="minorEastAsia"/>
          <w:sz w:val="24"/>
          <w:szCs w:val="24"/>
        </w:rPr>
        <w:t>serokonversionshastigheder</w:t>
      </w:r>
      <w:proofErr w:type="spellEnd"/>
      <w:r w:rsidRPr="00E63DFB">
        <w:rPr>
          <w:rFonts w:eastAsiaTheme="minorEastAsia"/>
          <w:sz w:val="24"/>
          <w:szCs w:val="24"/>
        </w:rPr>
        <w:t xml:space="preserve"> eller andelen af patienter, der opnår beskyttende eller positive </w:t>
      </w:r>
      <w:proofErr w:type="spellStart"/>
      <w:r w:rsidRPr="00E63DFB">
        <w:rPr>
          <w:rFonts w:eastAsiaTheme="minorEastAsia"/>
          <w:sz w:val="24"/>
          <w:szCs w:val="24"/>
        </w:rPr>
        <w:t>antistoftitre</w:t>
      </w:r>
      <w:proofErr w:type="spellEnd"/>
      <w:r w:rsidRPr="00E63DFB">
        <w:rPr>
          <w:rFonts w:eastAsiaTheme="minorEastAsia"/>
          <w:sz w:val="24"/>
          <w:szCs w:val="24"/>
        </w:rPr>
        <w:t xml:space="preserve"> efter immunisering sammenlignet med placebobehandlede patienter.</w:t>
      </w:r>
    </w:p>
    <w:p w:rsidR="003C101D" w:rsidRPr="00E63DFB" w:rsidRDefault="003C101D" w:rsidP="003C101D">
      <w:pPr>
        <w:ind w:left="851"/>
        <w:rPr>
          <w:rFonts w:eastAsiaTheme="minorEastAsia"/>
          <w:sz w:val="24"/>
          <w:szCs w:val="24"/>
        </w:rPr>
      </w:pPr>
    </w:p>
    <w:p w:rsidR="003C101D" w:rsidRPr="00E63DFB" w:rsidRDefault="003C101D" w:rsidP="003C101D">
      <w:pPr>
        <w:ind w:left="851"/>
        <w:rPr>
          <w:rFonts w:eastAsiaTheme="minorEastAsia"/>
          <w:sz w:val="24"/>
          <w:szCs w:val="24"/>
          <w:u w:val="single"/>
        </w:rPr>
      </w:pPr>
      <w:r w:rsidRPr="00E63DFB">
        <w:rPr>
          <w:rFonts w:eastAsiaTheme="minorEastAsia"/>
          <w:sz w:val="24"/>
          <w:szCs w:val="24"/>
          <w:u w:val="single"/>
        </w:rPr>
        <w:t>Genitalslimhinder</w:t>
      </w:r>
    </w:p>
    <w:p w:rsidR="003C101D" w:rsidRPr="00E63DFB" w:rsidRDefault="003C101D" w:rsidP="003C101D">
      <w:pPr>
        <w:ind w:left="851"/>
        <w:rPr>
          <w:rFonts w:eastAsiaTheme="minorEastAsia"/>
          <w:sz w:val="24"/>
          <w:szCs w:val="24"/>
        </w:rPr>
      </w:pPr>
      <w:r w:rsidRPr="00E63DFB">
        <w:rPr>
          <w:rFonts w:eastAsiaTheme="minorEastAsia"/>
          <w:sz w:val="24"/>
          <w:szCs w:val="24"/>
        </w:rPr>
        <w:t>Absorptionen fra genitalslimhinder er hurtigere, og indsættelsestiden kortere end efter administration på huden.</w:t>
      </w:r>
    </w:p>
    <w:p w:rsidR="003C101D" w:rsidRPr="00E63DFB" w:rsidRDefault="003C101D" w:rsidP="003C101D">
      <w:pPr>
        <w:ind w:left="851"/>
        <w:rPr>
          <w:rFonts w:eastAsiaTheme="minorEastAsia"/>
          <w:sz w:val="24"/>
          <w:szCs w:val="24"/>
        </w:rPr>
      </w:pPr>
    </w:p>
    <w:p w:rsidR="003C101D" w:rsidRPr="00E63DFB" w:rsidRDefault="003C101D" w:rsidP="003C101D">
      <w:pPr>
        <w:ind w:left="851"/>
        <w:rPr>
          <w:rFonts w:eastAsiaTheme="minorEastAsia"/>
          <w:sz w:val="24"/>
          <w:szCs w:val="24"/>
        </w:rPr>
      </w:pPr>
      <w:r w:rsidRPr="00E63DFB">
        <w:rPr>
          <w:rFonts w:eastAsiaTheme="minorEastAsia"/>
          <w:sz w:val="24"/>
          <w:szCs w:val="24"/>
        </w:rPr>
        <w:lastRenderedPageBreak/>
        <w:t xml:space="preserve">5-10 minutter efter applikation af </w:t>
      </w:r>
      <w:proofErr w:type="spellStart"/>
      <w:r w:rsidRPr="00E63DFB">
        <w:rPr>
          <w:rFonts w:eastAsiaTheme="minorEastAsia"/>
          <w:sz w:val="24"/>
          <w:szCs w:val="24"/>
        </w:rPr>
        <w:t>lidocain</w:t>
      </w:r>
      <w:proofErr w:type="spellEnd"/>
      <w:r w:rsidRPr="00E63DFB">
        <w:rPr>
          <w:rFonts w:eastAsiaTheme="minorEastAsia"/>
          <w:sz w:val="24"/>
          <w:szCs w:val="24"/>
        </w:rPr>
        <w:t>/</w:t>
      </w:r>
      <w:proofErr w:type="spellStart"/>
      <w:r w:rsidRPr="00E63DFB">
        <w:rPr>
          <w:rFonts w:eastAsiaTheme="minorEastAsia"/>
          <w:sz w:val="24"/>
          <w:szCs w:val="24"/>
        </w:rPr>
        <w:t>prilocaincreme</w:t>
      </w:r>
      <w:proofErr w:type="spellEnd"/>
      <w:r w:rsidRPr="00E63DFB">
        <w:rPr>
          <w:rFonts w:eastAsiaTheme="minorEastAsia"/>
          <w:sz w:val="24"/>
          <w:szCs w:val="24"/>
        </w:rPr>
        <w:t xml:space="preserve"> på kvindelige genitalslimhinder var den gennemsnitlige varighed af effektiv analgesi over for argonlaserstimuli (skarp, prikkende smerte) 15-20 minutter (individuelle variationer i intervallet 5-45 minutter).</w:t>
      </w:r>
    </w:p>
    <w:p w:rsidR="003C101D" w:rsidRPr="00E63DFB" w:rsidRDefault="003C101D" w:rsidP="003C101D">
      <w:pPr>
        <w:ind w:left="851"/>
        <w:rPr>
          <w:rFonts w:eastAsiaTheme="minorEastAsia"/>
          <w:sz w:val="24"/>
          <w:szCs w:val="24"/>
        </w:rPr>
      </w:pPr>
    </w:p>
    <w:p w:rsidR="003C101D" w:rsidRPr="00E63DFB" w:rsidRDefault="003C101D" w:rsidP="003C101D">
      <w:pPr>
        <w:ind w:left="851"/>
        <w:rPr>
          <w:rFonts w:eastAsiaTheme="minorEastAsia"/>
          <w:sz w:val="24"/>
          <w:szCs w:val="24"/>
          <w:u w:val="single"/>
        </w:rPr>
      </w:pPr>
      <w:proofErr w:type="spellStart"/>
      <w:r w:rsidRPr="00E63DFB">
        <w:rPr>
          <w:rFonts w:eastAsiaTheme="minorEastAsia"/>
          <w:sz w:val="24"/>
          <w:szCs w:val="24"/>
          <w:u w:val="single"/>
        </w:rPr>
        <w:t>Bensår</w:t>
      </w:r>
      <w:proofErr w:type="spellEnd"/>
    </w:p>
    <w:p w:rsidR="003C101D" w:rsidRPr="00E63DFB" w:rsidRDefault="003C101D" w:rsidP="003C101D">
      <w:pPr>
        <w:ind w:left="851"/>
        <w:rPr>
          <w:rFonts w:eastAsiaTheme="minorEastAsia"/>
          <w:sz w:val="24"/>
          <w:szCs w:val="24"/>
        </w:rPr>
      </w:pPr>
      <w:r w:rsidRPr="00E63DFB">
        <w:rPr>
          <w:rFonts w:eastAsiaTheme="minorEastAsia"/>
          <w:sz w:val="24"/>
          <w:szCs w:val="24"/>
        </w:rPr>
        <w:t xml:space="preserve">Der opnås pålidelig anæstesi til rensning af </w:t>
      </w:r>
      <w:proofErr w:type="spellStart"/>
      <w:r w:rsidRPr="00E63DFB">
        <w:rPr>
          <w:rFonts w:eastAsiaTheme="minorEastAsia"/>
          <w:sz w:val="24"/>
          <w:szCs w:val="24"/>
        </w:rPr>
        <w:t>bensår</w:t>
      </w:r>
      <w:proofErr w:type="spellEnd"/>
      <w:r w:rsidRPr="00E63DFB">
        <w:rPr>
          <w:rFonts w:eastAsiaTheme="minorEastAsia"/>
          <w:sz w:val="24"/>
          <w:szCs w:val="24"/>
        </w:rPr>
        <w:t xml:space="preserve"> efter en applikationstid på 30 minutter hos de fleste patienter. En applikationstid på 60 minutter kan eventuelt forbedre anæstesien yderligere. Rensningsproceduren bør påbegyndes senest 10 minutter efter fjernelse af cremen. Der foreligger ingen data for senere påbegyndelse. </w:t>
      </w:r>
      <w:proofErr w:type="spellStart"/>
      <w:r w:rsidRPr="00E63DFB">
        <w:rPr>
          <w:rFonts w:eastAsiaTheme="minorEastAsia"/>
          <w:sz w:val="24"/>
          <w:szCs w:val="24"/>
        </w:rPr>
        <w:t>Lidocain</w:t>
      </w:r>
      <w:proofErr w:type="spellEnd"/>
      <w:r w:rsidRPr="00E63DFB">
        <w:rPr>
          <w:rFonts w:eastAsiaTheme="minorEastAsia"/>
          <w:sz w:val="24"/>
          <w:szCs w:val="24"/>
        </w:rPr>
        <w:t>/</w:t>
      </w:r>
      <w:proofErr w:type="spellStart"/>
      <w:r w:rsidRPr="00E63DFB">
        <w:rPr>
          <w:rFonts w:eastAsiaTheme="minorEastAsia"/>
          <w:sz w:val="24"/>
          <w:szCs w:val="24"/>
        </w:rPr>
        <w:t>prilocaincreme</w:t>
      </w:r>
      <w:proofErr w:type="spellEnd"/>
      <w:r w:rsidRPr="00E63DFB">
        <w:rPr>
          <w:rFonts w:eastAsiaTheme="minorEastAsia"/>
          <w:sz w:val="24"/>
          <w:szCs w:val="24"/>
        </w:rPr>
        <w:t xml:space="preserve"> reducerer postoperative smerter i op til 4 timer efter </w:t>
      </w:r>
      <w:proofErr w:type="spellStart"/>
      <w:r w:rsidRPr="00E63DFB">
        <w:rPr>
          <w:rFonts w:eastAsiaTheme="minorEastAsia"/>
          <w:sz w:val="24"/>
          <w:szCs w:val="24"/>
        </w:rPr>
        <w:t>debridering</w:t>
      </w:r>
      <w:proofErr w:type="spellEnd"/>
      <w:r w:rsidRPr="00E63DFB">
        <w:rPr>
          <w:rFonts w:eastAsiaTheme="minorEastAsia"/>
          <w:sz w:val="24"/>
          <w:szCs w:val="24"/>
        </w:rPr>
        <w:t xml:space="preserve">. </w:t>
      </w:r>
      <w:proofErr w:type="spellStart"/>
      <w:r w:rsidRPr="00E63DFB">
        <w:rPr>
          <w:rFonts w:eastAsiaTheme="minorEastAsia"/>
          <w:sz w:val="24"/>
          <w:szCs w:val="24"/>
        </w:rPr>
        <w:t>Lidocain</w:t>
      </w:r>
      <w:proofErr w:type="spellEnd"/>
      <w:r w:rsidRPr="00E63DFB">
        <w:rPr>
          <w:rFonts w:eastAsiaTheme="minorEastAsia"/>
          <w:sz w:val="24"/>
          <w:szCs w:val="24"/>
        </w:rPr>
        <w:t>/</w:t>
      </w:r>
      <w:proofErr w:type="spellStart"/>
      <w:r w:rsidRPr="00E63DFB">
        <w:rPr>
          <w:rFonts w:eastAsiaTheme="minorEastAsia"/>
          <w:sz w:val="24"/>
          <w:szCs w:val="24"/>
        </w:rPr>
        <w:t>prilocaincreme</w:t>
      </w:r>
      <w:proofErr w:type="spellEnd"/>
      <w:r w:rsidRPr="00E63DFB">
        <w:rPr>
          <w:rFonts w:eastAsiaTheme="minorEastAsia"/>
          <w:sz w:val="24"/>
          <w:szCs w:val="24"/>
        </w:rPr>
        <w:t xml:space="preserve"> reducerer antallet af påkrævede rensningsseancer for at opnå et rent sår sammenlignet med </w:t>
      </w:r>
      <w:proofErr w:type="spellStart"/>
      <w:r w:rsidRPr="00E63DFB">
        <w:rPr>
          <w:rFonts w:eastAsiaTheme="minorEastAsia"/>
          <w:sz w:val="24"/>
          <w:szCs w:val="24"/>
        </w:rPr>
        <w:t>debridering</w:t>
      </w:r>
      <w:proofErr w:type="spellEnd"/>
      <w:r w:rsidRPr="00E63DFB">
        <w:rPr>
          <w:rFonts w:eastAsiaTheme="minorEastAsia"/>
          <w:sz w:val="24"/>
          <w:szCs w:val="24"/>
        </w:rPr>
        <w:t xml:space="preserve"> med placebocreme. Der er ikke set nogen negative virkninger på sårheling eller bakterieflora.</w:t>
      </w:r>
    </w:p>
    <w:p w:rsidR="003C101D" w:rsidRPr="00E63DFB" w:rsidRDefault="003C101D" w:rsidP="003C101D">
      <w:pPr>
        <w:ind w:left="851"/>
        <w:rPr>
          <w:rFonts w:eastAsiaTheme="minorEastAsia"/>
          <w:sz w:val="24"/>
          <w:szCs w:val="24"/>
        </w:rPr>
      </w:pPr>
    </w:p>
    <w:p w:rsidR="003C101D" w:rsidRPr="00E63DFB" w:rsidRDefault="003C101D" w:rsidP="003C101D">
      <w:pPr>
        <w:ind w:left="851"/>
        <w:rPr>
          <w:rFonts w:eastAsiaTheme="minorEastAsia"/>
          <w:sz w:val="24"/>
          <w:szCs w:val="24"/>
          <w:u w:val="single"/>
        </w:rPr>
      </w:pPr>
      <w:r w:rsidRPr="00E63DFB">
        <w:rPr>
          <w:rFonts w:eastAsiaTheme="minorEastAsia"/>
          <w:sz w:val="24"/>
          <w:szCs w:val="24"/>
          <w:u w:val="single"/>
        </w:rPr>
        <w:t>Pædiatrisk population</w:t>
      </w:r>
    </w:p>
    <w:p w:rsidR="003C101D" w:rsidRPr="00E63DFB" w:rsidRDefault="003C101D" w:rsidP="003C101D">
      <w:pPr>
        <w:ind w:left="851"/>
        <w:rPr>
          <w:rFonts w:eastAsiaTheme="minorEastAsia"/>
          <w:sz w:val="24"/>
          <w:szCs w:val="24"/>
        </w:rPr>
      </w:pPr>
      <w:r w:rsidRPr="00E63DFB">
        <w:rPr>
          <w:rFonts w:eastAsiaTheme="minorEastAsia"/>
          <w:sz w:val="24"/>
          <w:szCs w:val="24"/>
        </w:rPr>
        <w:t xml:space="preserve">Kliniske studier med mere end 2.300 pædiatriske patienter i alle aldersgrupper har vist virkning mod kanylesmerter (venepunktur, indlæggelse af kanyle, subkutan og intramuskulær vaccination, lumbalpunktur), laserbehandling af </w:t>
      </w:r>
      <w:proofErr w:type="spellStart"/>
      <w:r w:rsidRPr="00E63DFB">
        <w:rPr>
          <w:rFonts w:eastAsiaTheme="minorEastAsia"/>
          <w:sz w:val="24"/>
          <w:szCs w:val="24"/>
        </w:rPr>
        <w:t>vaskulære</w:t>
      </w:r>
      <w:proofErr w:type="spellEnd"/>
      <w:r w:rsidRPr="00E63DFB">
        <w:rPr>
          <w:rFonts w:eastAsiaTheme="minorEastAsia"/>
          <w:sz w:val="24"/>
          <w:szCs w:val="24"/>
        </w:rPr>
        <w:t xml:space="preserve"> læsioner og </w:t>
      </w:r>
      <w:proofErr w:type="spellStart"/>
      <w:r w:rsidRPr="00E63DFB">
        <w:rPr>
          <w:rFonts w:eastAsiaTheme="minorEastAsia"/>
          <w:sz w:val="24"/>
          <w:szCs w:val="24"/>
        </w:rPr>
        <w:t>curettage</w:t>
      </w:r>
      <w:proofErr w:type="spellEnd"/>
      <w:r w:rsidRPr="00E63DFB">
        <w:rPr>
          <w:rFonts w:eastAsiaTheme="minorEastAsia"/>
          <w:sz w:val="24"/>
          <w:szCs w:val="24"/>
        </w:rPr>
        <w:t xml:space="preserve"> af </w:t>
      </w:r>
      <w:proofErr w:type="spellStart"/>
      <w:r w:rsidRPr="00E63DFB">
        <w:rPr>
          <w:rFonts w:eastAsiaTheme="minorEastAsia"/>
          <w:sz w:val="24"/>
          <w:szCs w:val="24"/>
        </w:rPr>
        <w:t>molluscum</w:t>
      </w:r>
      <w:proofErr w:type="spellEnd"/>
      <w:r w:rsidRPr="00E63DFB">
        <w:rPr>
          <w:rFonts w:eastAsiaTheme="minorEastAsia"/>
          <w:sz w:val="24"/>
          <w:szCs w:val="24"/>
        </w:rPr>
        <w:t xml:space="preserve"> </w:t>
      </w:r>
      <w:proofErr w:type="spellStart"/>
      <w:r w:rsidRPr="00E63DFB">
        <w:rPr>
          <w:rFonts w:eastAsiaTheme="minorEastAsia"/>
          <w:sz w:val="24"/>
          <w:szCs w:val="24"/>
        </w:rPr>
        <w:t>contagiosum</w:t>
      </w:r>
      <w:proofErr w:type="spellEnd"/>
      <w:r w:rsidRPr="00E63DFB">
        <w:rPr>
          <w:rFonts w:eastAsiaTheme="minorEastAsia"/>
          <w:sz w:val="24"/>
          <w:szCs w:val="24"/>
        </w:rPr>
        <w:t xml:space="preserve">. </w:t>
      </w:r>
      <w:proofErr w:type="spellStart"/>
      <w:r w:rsidRPr="00E63DFB">
        <w:rPr>
          <w:rFonts w:eastAsiaTheme="minorEastAsia"/>
          <w:sz w:val="24"/>
          <w:szCs w:val="24"/>
        </w:rPr>
        <w:t>Lidocain</w:t>
      </w:r>
      <w:proofErr w:type="spellEnd"/>
      <w:r w:rsidRPr="00E63DFB">
        <w:rPr>
          <w:rFonts w:eastAsiaTheme="minorEastAsia"/>
          <w:sz w:val="24"/>
          <w:szCs w:val="24"/>
        </w:rPr>
        <w:t>/</w:t>
      </w:r>
      <w:proofErr w:type="spellStart"/>
      <w:r w:rsidRPr="00E63DFB">
        <w:rPr>
          <w:rFonts w:eastAsiaTheme="minorEastAsia"/>
          <w:sz w:val="24"/>
          <w:szCs w:val="24"/>
        </w:rPr>
        <w:t>prilocaincreme</w:t>
      </w:r>
      <w:proofErr w:type="spellEnd"/>
      <w:r w:rsidRPr="00E63DFB">
        <w:rPr>
          <w:rFonts w:eastAsiaTheme="minorEastAsia"/>
          <w:sz w:val="24"/>
          <w:szCs w:val="24"/>
        </w:rPr>
        <w:t xml:space="preserve"> nedsatte smerter fra både kanyleindstik og ved injektion af vacciner. Den smertestillende virkning tiltog efter fra 15 til 90 minutters applikationstid på normal hud, men ved </w:t>
      </w:r>
      <w:proofErr w:type="spellStart"/>
      <w:r w:rsidRPr="00E63DFB">
        <w:rPr>
          <w:rFonts w:eastAsiaTheme="minorEastAsia"/>
          <w:sz w:val="24"/>
          <w:szCs w:val="24"/>
        </w:rPr>
        <w:t>vaskulære</w:t>
      </w:r>
      <w:proofErr w:type="spellEnd"/>
      <w:r w:rsidRPr="00E63DFB">
        <w:rPr>
          <w:rFonts w:eastAsiaTheme="minorEastAsia"/>
          <w:sz w:val="24"/>
          <w:szCs w:val="24"/>
        </w:rPr>
        <w:t xml:space="preserve"> læsioner var der ingen fordel ved 90 minutters applikationstid i forhold til 60 minutters. Der sås ingen fordele ved </w:t>
      </w:r>
      <w:proofErr w:type="spellStart"/>
      <w:r w:rsidRPr="00E63DFB">
        <w:rPr>
          <w:rFonts w:eastAsiaTheme="minorEastAsia"/>
          <w:sz w:val="24"/>
          <w:szCs w:val="24"/>
        </w:rPr>
        <w:t>Lidocain</w:t>
      </w:r>
      <w:proofErr w:type="spellEnd"/>
      <w:r w:rsidRPr="00E63DFB">
        <w:rPr>
          <w:rFonts w:eastAsiaTheme="minorEastAsia"/>
          <w:sz w:val="24"/>
          <w:szCs w:val="24"/>
        </w:rPr>
        <w:t>/</w:t>
      </w:r>
      <w:proofErr w:type="spellStart"/>
      <w:r w:rsidRPr="00E63DFB">
        <w:rPr>
          <w:rFonts w:eastAsiaTheme="minorEastAsia"/>
          <w:sz w:val="24"/>
          <w:szCs w:val="24"/>
        </w:rPr>
        <w:t>prilocaincreme</w:t>
      </w:r>
      <w:proofErr w:type="spellEnd"/>
      <w:r w:rsidRPr="00E63DFB">
        <w:rPr>
          <w:rFonts w:eastAsiaTheme="minorEastAsia"/>
          <w:sz w:val="24"/>
          <w:szCs w:val="24"/>
        </w:rPr>
        <w:t xml:space="preserve"> versus placebo for flydende </w:t>
      </w:r>
      <w:proofErr w:type="spellStart"/>
      <w:r w:rsidRPr="00E63DFB">
        <w:rPr>
          <w:rFonts w:eastAsiaTheme="minorEastAsia"/>
          <w:sz w:val="24"/>
          <w:szCs w:val="24"/>
        </w:rPr>
        <w:t>nitrogenkryoterapi</w:t>
      </w:r>
      <w:proofErr w:type="spellEnd"/>
      <w:r w:rsidRPr="00E63DFB">
        <w:rPr>
          <w:rFonts w:eastAsiaTheme="minorEastAsia"/>
          <w:sz w:val="24"/>
          <w:szCs w:val="24"/>
        </w:rPr>
        <w:t xml:space="preserve"> af almindelige vorter. Der er ikke vist tilstrækkelig virkning ved omskæring.</w:t>
      </w:r>
    </w:p>
    <w:p w:rsidR="003C101D" w:rsidRPr="00E63DFB" w:rsidRDefault="003C101D" w:rsidP="003C101D">
      <w:pPr>
        <w:ind w:left="851"/>
        <w:rPr>
          <w:rFonts w:eastAsiaTheme="minorEastAsia"/>
          <w:sz w:val="24"/>
          <w:szCs w:val="24"/>
        </w:rPr>
      </w:pPr>
    </w:p>
    <w:p w:rsidR="003C101D" w:rsidRPr="00E63DFB" w:rsidRDefault="003C101D" w:rsidP="003C101D">
      <w:pPr>
        <w:ind w:left="851"/>
        <w:rPr>
          <w:rFonts w:eastAsiaTheme="minorEastAsia"/>
          <w:sz w:val="24"/>
          <w:szCs w:val="24"/>
        </w:rPr>
      </w:pPr>
      <w:r w:rsidRPr="00E63DFB">
        <w:rPr>
          <w:rFonts w:eastAsiaTheme="minorEastAsia"/>
          <w:sz w:val="24"/>
          <w:szCs w:val="24"/>
        </w:rPr>
        <w:t xml:space="preserve">Data fra elleve kliniske studier med nyfødte og spædbørn viste, at maksimale </w:t>
      </w:r>
      <w:proofErr w:type="spellStart"/>
      <w:r w:rsidRPr="00E63DFB">
        <w:rPr>
          <w:rFonts w:eastAsiaTheme="minorEastAsia"/>
          <w:sz w:val="24"/>
          <w:szCs w:val="24"/>
        </w:rPr>
        <w:t>methæmoglobinkoncentrationer</w:t>
      </w:r>
      <w:proofErr w:type="spellEnd"/>
      <w:r w:rsidRPr="00E63DFB">
        <w:rPr>
          <w:rFonts w:eastAsiaTheme="minorEastAsia"/>
          <w:sz w:val="24"/>
          <w:szCs w:val="24"/>
        </w:rPr>
        <w:t xml:space="preserve"> indtræder cirka 8 timer efter </w:t>
      </w:r>
      <w:proofErr w:type="spellStart"/>
      <w:r w:rsidRPr="00E63DFB">
        <w:rPr>
          <w:rFonts w:eastAsiaTheme="minorEastAsia"/>
          <w:sz w:val="24"/>
          <w:szCs w:val="24"/>
        </w:rPr>
        <w:t>epikutan</w:t>
      </w:r>
      <w:proofErr w:type="spellEnd"/>
      <w:r w:rsidRPr="00E63DFB">
        <w:rPr>
          <w:rFonts w:eastAsiaTheme="minorEastAsia"/>
          <w:sz w:val="24"/>
          <w:szCs w:val="24"/>
        </w:rPr>
        <w:t xml:space="preserve"> administration af </w:t>
      </w:r>
      <w:proofErr w:type="spellStart"/>
      <w:r w:rsidRPr="00E63DFB">
        <w:rPr>
          <w:rFonts w:eastAsiaTheme="minorEastAsia"/>
          <w:sz w:val="24"/>
          <w:szCs w:val="24"/>
        </w:rPr>
        <w:t>lidocain</w:t>
      </w:r>
      <w:proofErr w:type="spellEnd"/>
      <w:r w:rsidRPr="00E63DFB">
        <w:rPr>
          <w:rFonts w:eastAsiaTheme="minorEastAsia"/>
          <w:sz w:val="24"/>
          <w:szCs w:val="24"/>
        </w:rPr>
        <w:t>/</w:t>
      </w:r>
      <w:proofErr w:type="spellStart"/>
      <w:r w:rsidRPr="00E63DFB">
        <w:rPr>
          <w:rFonts w:eastAsiaTheme="minorEastAsia"/>
          <w:sz w:val="24"/>
          <w:szCs w:val="24"/>
        </w:rPr>
        <w:t>prilocaincreme</w:t>
      </w:r>
      <w:proofErr w:type="spellEnd"/>
      <w:r w:rsidRPr="00E63DFB">
        <w:rPr>
          <w:rFonts w:eastAsiaTheme="minorEastAsia"/>
          <w:sz w:val="24"/>
          <w:szCs w:val="24"/>
        </w:rPr>
        <w:t xml:space="preserve">, at de ikke er klinisk signifikante ved brug af anbefalede doser, og at de normaliseres i løbet af 12-13 timer. </w:t>
      </w:r>
      <w:proofErr w:type="spellStart"/>
      <w:r w:rsidRPr="00E63DFB">
        <w:rPr>
          <w:rFonts w:eastAsiaTheme="minorEastAsia"/>
          <w:sz w:val="24"/>
          <w:szCs w:val="24"/>
        </w:rPr>
        <w:t>Methæmoglobindannelse</w:t>
      </w:r>
      <w:proofErr w:type="spellEnd"/>
      <w:r w:rsidRPr="00E63DFB">
        <w:rPr>
          <w:rFonts w:eastAsiaTheme="minorEastAsia"/>
          <w:sz w:val="24"/>
          <w:szCs w:val="24"/>
        </w:rPr>
        <w:t xml:space="preserve"> er relateret til den kumulative mængde af </w:t>
      </w:r>
      <w:proofErr w:type="spellStart"/>
      <w:r w:rsidRPr="00E63DFB">
        <w:rPr>
          <w:rFonts w:eastAsiaTheme="minorEastAsia"/>
          <w:sz w:val="24"/>
          <w:szCs w:val="24"/>
        </w:rPr>
        <w:t>perkutant</w:t>
      </w:r>
      <w:proofErr w:type="spellEnd"/>
      <w:r w:rsidRPr="00E63DFB">
        <w:rPr>
          <w:rFonts w:eastAsiaTheme="minorEastAsia"/>
          <w:sz w:val="24"/>
          <w:szCs w:val="24"/>
        </w:rPr>
        <w:t xml:space="preserve"> absorberet </w:t>
      </w:r>
      <w:proofErr w:type="spellStart"/>
      <w:r w:rsidRPr="00E63DFB">
        <w:rPr>
          <w:rFonts w:eastAsiaTheme="minorEastAsia"/>
          <w:sz w:val="24"/>
          <w:szCs w:val="24"/>
        </w:rPr>
        <w:t>prilocain</w:t>
      </w:r>
      <w:proofErr w:type="spellEnd"/>
      <w:r w:rsidRPr="00E63DFB">
        <w:rPr>
          <w:rFonts w:eastAsiaTheme="minorEastAsia"/>
          <w:sz w:val="24"/>
          <w:szCs w:val="24"/>
        </w:rPr>
        <w:t xml:space="preserve"> og kan derfor øges ved længere applikationstid af </w:t>
      </w:r>
      <w:proofErr w:type="spellStart"/>
      <w:r w:rsidRPr="00E63DFB">
        <w:rPr>
          <w:rFonts w:eastAsiaTheme="minorEastAsia"/>
          <w:sz w:val="24"/>
          <w:szCs w:val="24"/>
        </w:rPr>
        <w:t>lidocain</w:t>
      </w:r>
      <w:proofErr w:type="spellEnd"/>
      <w:r w:rsidRPr="00E63DFB">
        <w:rPr>
          <w:rFonts w:eastAsiaTheme="minorEastAsia"/>
          <w:sz w:val="24"/>
          <w:szCs w:val="24"/>
        </w:rPr>
        <w:t>/</w:t>
      </w:r>
      <w:proofErr w:type="spellStart"/>
      <w:r w:rsidRPr="00E63DFB">
        <w:rPr>
          <w:rFonts w:eastAsiaTheme="minorEastAsia"/>
          <w:sz w:val="24"/>
          <w:szCs w:val="24"/>
        </w:rPr>
        <w:t>prilocaincreme</w:t>
      </w:r>
      <w:proofErr w:type="spellEnd"/>
      <w:r w:rsidRPr="00E63DFB">
        <w:rPr>
          <w:rFonts w:eastAsiaTheme="minorEastAsia"/>
          <w:sz w:val="24"/>
          <w:szCs w:val="24"/>
        </w:rPr>
        <w:t>.</w:t>
      </w:r>
    </w:p>
    <w:p w:rsidR="003C101D" w:rsidRPr="00E63DFB" w:rsidRDefault="003C101D" w:rsidP="003C101D">
      <w:pPr>
        <w:ind w:left="851"/>
        <w:rPr>
          <w:rFonts w:eastAsiaTheme="minorEastAsia"/>
          <w:sz w:val="24"/>
          <w:szCs w:val="24"/>
        </w:rPr>
      </w:pPr>
    </w:p>
    <w:p w:rsidR="003C101D" w:rsidRPr="00C84483" w:rsidRDefault="003C101D" w:rsidP="003C101D">
      <w:pPr>
        <w:ind w:left="851"/>
        <w:rPr>
          <w:sz w:val="24"/>
          <w:szCs w:val="24"/>
        </w:rPr>
      </w:pPr>
      <w:r w:rsidRPr="00E63DFB">
        <w:rPr>
          <w:rFonts w:eastAsiaTheme="minorEastAsia"/>
          <w:sz w:val="24"/>
          <w:szCs w:val="24"/>
        </w:rPr>
        <w:t xml:space="preserve">Anvendelse af </w:t>
      </w:r>
      <w:proofErr w:type="spellStart"/>
      <w:r w:rsidRPr="00E63DFB">
        <w:rPr>
          <w:rFonts w:eastAsiaTheme="minorEastAsia"/>
          <w:sz w:val="24"/>
          <w:szCs w:val="24"/>
        </w:rPr>
        <w:t>lidocain</w:t>
      </w:r>
      <w:proofErr w:type="spellEnd"/>
      <w:r w:rsidRPr="00E63DFB">
        <w:rPr>
          <w:rFonts w:eastAsiaTheme="minorEastAsia"/>
          <w:sz w:val="24"/>
          <w:szCs w:val="24"/>
        </w:rPr>
        <w:t>/</w:t>
      </w:r>
      <w:proofErr w:type="spellStart"/>
      <w:r w:rsidRPr="00E63DFB">
        <w:rPr>
          <w:rFonts w:eastAsiaTheme="minorEastAsia"/>
          <w:sz w:val="24"/>
          <w:szCs w:val="24"/>
        </w:rPr>
        <w:t>prilocaincreme</w:t>
      </w:r>
      <w:proofErr w:type="spellEnd"/>
      <w:r w:rsidRPr="00E63DFB">
        <w:rPr>
          <w:rFonts w:eastAsiaTheme="minorEastAsia"/>
          <w:sz w:val="24"/>
          <w:szCs w:val="24"/>
        </w:rPr>
        <w:t xml:space="preserve"> inden MFR-vaccine eller intramuskulær difteri-</w:t>
      </w:r>
      <w:proofErr w:type="spellStart"/>
      <w:r w:rsidRPr="00E63DFB">
        <w:rPr>
          <w:rFonts w:eastAsiaTheme="minorEastAsia"/>
          <w:sz w:val="24"/>
          <w:szCs w:val="24"/>
        </w:rPr>
        <w:t>pertussis</w:t>
      </w:r>
      <w:proofErr w:type="spellEnd"/>
      <w:r w:rsidRPr="00E63DFB">
        <w:rPr>
          <w:rFonts w:eastAsiaTheme="minorEastAsia"/>
          <w:sz w:val="24"/>
          <w:szCs w:val="24"/>
        </w:rPr>
        <w:t>-tetanus-inaktiveret poliovirus-</w:t>
      </w:r>
      <w:proofErr w:type="spellStart"/>
      <w:r w:rsidRPr="00E63DFB">
        <w:rPr>
          <w:rFonts w:eastAsiaTheme="minorEastAsia"/>
          <w:sz w:val="24"/>
          <w:szCs w:val="24"/>
        </w:rPr>
        <w:t>Hæmophilus</w:t>
      </w:r>
      <w:proofErr w:type="spellEnd"/>
      <w:r w:rsidRPr="00E63DFB">
        <w:rPr>
          <w:rFonts w:eastAsiaTheme="minorEastAsia"/>
          <w:sz w:val="24"/>
          <w:szCs w:val="24"/>
        </w:rPr>
        <w:t xml:space="preserve"> </w:t>
      </w:r>
      <w:proofErr w:type="spellStart"/>
      <w:r w:rsidRPr="00E63DFB">
        <w:rPr>
          <w:rFonts w:eastAsiaTheme="minorEastAsia"/>
          <w:sz w:val="24"/>
          <w:szCs w:val="24"/>
        </w:rPr>
        <w:t>influenzae</w:t>
      </w:r>
      <w:proofErr w:type="spellEnd"/>
      <w:r w:rsidRPr="00E63DFB">
        <w:rPr>
          <w:rFonts w:eastAsiaTheme="minorEastAsia"/>
          <w:sz w:val="24"/>
          <w:szCs w:val="24"/>
        </w:rPr>
        <w:t xml:space="preserve"> type b-vaccine eller hepatitis B-vaccine havde ingen indvirkning på de gennemsnitlige </w:t>
      </w:r>
      <w:proofErr w:type="spellStart"/>
      <w:r w:rsidRPr="00E63DFB">
        <w:rPr>
          <w:rFonts w:eastAsiaTheme="minorEastAsia"/>
          <w:sz w:val="24"/>
          <w:szCs w:val="24"/>
        </w:rPr>
        <w:t>antistoftitre</w:t>
      </w:r>
      <w:proofErr w:type="spellEnd"/>
      <w:r w:rsidRPr="00E63DFB">
        <w:rPr>
          <w:rFonts w:eastAsiaTheme="minorEastAsia"/>
          <w:sz w:val="24"/>
          <w:szCs w:val="24"/>
        </w:rPr>
        <w:t xml:space="preserve"> eller </w:t>
      </w:r>
      <w:proofErr w:type="spellStart"/>
      <w:r w:rsidRPr="00E63DFB">
        <w:rPr>
          <w:rFonts w:eastAsiaTheme="minorEastAsia"/>
          <w:sz w:val="24"/>
          <w:szCs w:val="24"/>
        </w:rPr>
        <w:t>serokonversionshastigheden</w:t>
      </w:r>
      <w:proofErr w:type="spellEnd"/>
      <w:r w:rsidRPr="00E63DFB">
        <w:rPr>
          <w:rFonts w:eastAsiaTheme="minorEastAsia"/>
          <w:sz w:val="24"/>
          <w:szCs w:val="24"/>
        </w:rPr>
        <w:t xml:space="preserve"> eller på andelen af patienter, der opnåede beskyttende eller positive </w:t>
      </w:r>
      <w:proofErr w:type="spellStart"/>
      <w:r w:rsidRPr="00E63DFB">
        <w:rPr>
          <w:rFonts w:eastAsiaTheme="minorEastAsia"/>
          <w:sz w:val="24"/>
          <w:szCs w:val="24"/>
        </w:rPr>
        <w:t>antistoftitre</w:t>
      </w:r>
      <w:proofErr w:type="spellEnd"/>
      <w:r w:rsidRPr="00E63DFB">
        <w:rPr>
          <w:rFonts w:eastAsiaTheme="minorEastAsia"/>
          <w:sz w:val="24"/>
          <w:szCs w:val="24"/>
        </w:rPr>
        <w:t xml:space="preserve"> efter immuniseringen sammenlignet med placebobehandlede patienter.</w:t>
      </w:r>
      <w:r w:rsidRPr="00C84483">
        <w:rPr>
          <w:sz w:val="24"/>
          <w:szCs w:val="24"/>
        </w:rPr>
        <w:t xml:space="preserve"> </w:t>
      </w:r>
    </w:p>
    <w:p w:rsidR="003C101D" w:rsidRPr="00C84483" w:rsidRDefault="003C101D" w:rsidP="003C101D">
      <w:pPr>
        <w:tabs>
          <w:tab w:val="left" w:pos="851"/>
        </w:tabs>
        <w:ind w:left="851"/>
        <w:rPr>
          <w:sz w:val="24"/>
          <w:szCs w:val="24"/>
        </w:rPr>
      </w:pPr>
    </w:p>
    <w:p w:rsidR="003C101D" w:rsidRPr="00C84483" w:rsidRDefault="003C101D" w:rsidP="003C101D">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3C101D" w:rsidRDefault="003C101D" w:rsidP="003C101D">
      <w:pPr>
        <w:ind w:left="851"/>
        <w:rPr>
          <w:rFonts w:eastAsiaTheme="minorEastAsia"/>
          <w:sz w:val="24"/>
          <w:szCs w:val="24"/>
          <w:u w:val="single"/>
        </w:rPr>
      </w:pPr>
    </w:p>
    <w:p w:rsidR="003C101D" w:rsidRPr="00E63DFB" w:rsidRDefault="003C101D" w:rsidP="003C101D">
      <w:pPr>
        <w:ind w:left="851"/>
        <w:rPr>
          <w:rFonts w:eastAsiaTheme="minorEastAsia"/>
          <w:sz w:val="24"/>
          <w:szCs w:val="24"/>
          <w:u w:val="single"/>
        </w:rPr>
      </w:pPr>
      <w:r w:rsidRPr="00E63DFB">
        <w:rPr>
          <w:rFonts w:eastAsiaTheme="minorEastAsia"/>
          <w:sz w:val="24"/>
          <w:szCs w:val="24"/>
          <w:u w:val="single"/>
        </w:rPr>
        <w:t>Absorption, fordeling, biotransformation og elimination</w:t>
      </w:r>
    </w:p>
    <w:p w:rsidR="003C101D" w:rsidRPr="00E63DFB" w:rsidRDefault="003C101D" w:rsidP="003C101D">
      <w:pPr>
        <w:ind w:left="851"/>
        <w:rPr>
          <w:rFonts w:eastAsiaTheme="minorEastAsia"/>
          <w:sz w:val="24"/>
          <w:szCs w:val="24"/>
        </w:rPr>
      </w:pPr>
      <w:r w:rsidRPr="00E63DFB">
        <w:rPr>
          <w:rFonts w:eastAsiaTheme="minorEastAsia"/>
          <w:sz w:val="24"/>
          <w:szCs w:val="24"/>
        </w:rPr>
        <w:t xml:space="preserve">Den systemiske absorption af </w:t>
      </w:r>
      <w:proofErr w:type="spellStart"/>
      <w:r w:rsidRPr="00E63DFB">
        <w:rPr>
          <w:rFonts w:eastAsiaTheme="minorEastAsia"/>
          <w:sz w:val="24"/>
          <w:szCs w:val="24"/>
        </w:rPr>
        <w:t>lidocain</w:t>
      </w:r>
      <w:proofErr w:type="spellEnd"/>
      <w:r w:rsidRPr="00E63DFB">
        <w:rPr>
          <w:rFonts w:eastAsiaTheme="minorEastAsia"/>
          <w:sz w:val="24"/>
          <w:szCs w:val="24"/>
        </w:rPr>
        <w:t xml:space="preserve"> og </w:t>
      </w:r>
      <w:proofErr w:type="spellStart"/>
      <w:r w:rsidRPr="00E63DFB">
        <w:rPr>
          <w:rFonts w:eastAsiaTheme="minorEastAsia"/>
          <w:sz w:val="24"/>
          <w:szCs w:val="24"/>
        </w:rPr>
        <w:t>prilocain</w:t>
      </w:r>
      <w:proofErr w:type="spellEnd"/>
      <w:r w:rsidRPr="00E63DFB">
        <w:rPr>
          <w:rFonts w:eastAsiaTheme="minorEastAsia"/>
          <w:sz w:val="24"/>
          <w:szCs w:val="24"/>
        </w:rPr>
        <w:t xml:space="preserve"> fra </w:t>
      </w:r>
      <w:proofErr w:type="spellStart"/>
      <w:r w:rsidRPr="00E63DFB">
        <w:rPr>
          <w:rFonts w:eastAsiaTheme="minorEastAsia"/>
          <w:sz w:val="24"/>
          <w:szCs w:val="24"/>
        </w:rPr>
        <w:t>lidocain</w:t>
      </w:r>
      <w:proofErr w:type="spellEnd"/>
      <w:r w:rsidRPr="00E63DFB">
        <w:rPr>
          <w:rFonts w:eastAsiaTheme="minorEastAsia"/>
          <w:sz w:val="24"/>
          <w:szCs w:val="24"/>
        </w:rPr>
        <w:t>/</w:t>
      </w:r>
      <w:proofErr w:type="spellStart"/>
      <w:r w:rsidRPr="00E63DFB">
        <w:rPr>
          <w:rFonts w:eastAsiaTheme="minorEastAsia"/>
          <w:sz w:val="24"/>
          <w:szCs w:val="24"/>
        </w:rPr>
        <w:t>prilocaincreme</w:t>
      </w:r>
      <w:proofErr w:type="spellEnd"/>
      <w:r w:rsidRPr="00E63DFB">
        <w:rPr>
          <w:rFonts w:eastAsiaTheme="minorEastAsia"/>
          <w:sz w:val="24"/>
          <w:szCs w:val="24"/>
        </w:rPr>
        <w:t xml:space="preserve"> afhænger af dosis, applikationsområde og applikationstid. Yderligere faktorer omfatter hudens tykkelse (der er forskellig på forskellige områder af kroppen), andre tilstande, såsom hudsygdomme, og barbering. Ved brug på </w:t>
      </w:r>
      <w:proofErr w:type="spellStart"/>
      <w:r w:rsidRPr="00E63DFB">
        <w:rPr>
          <w:rFonts w:eastAsiaTheme="minorEastAsia"/>
          <w:sz w:val="24"/>
          <w:szCs w:val="24"/>
        </w:rPr>
        <w:t>bensår</w:t>
      </w:r>
      <w:proofErr w:type="spellEnd"/>
      <w:r w:rsidRPr="00E63DFB">
        <w:rPr>
          <w:rFonts w:eastAsiaTheme="minorEastAsia"/>
          <w:sz w:val="24"/>
          <w:szCs w:val="24"/>
        </w:rPr>
        <w:t xml:space="preserve"> kan sårenes karakteristika også påvirke absorptionen. Efter behandling med </w:t>
      </w:r>
      <w:proofErr w:type="spellStart"/>
      <w:r w:rsidRPr="00E63DFB">
        <w:rPr>
          <w:rFonts w:eastAsiaTheme="minorEastAsia"/>
          <w:sz w:val="24"/>
          <w:szCs w:val="24"/>
        </w:rPr>
        <w:t>lidocain</w:t>
      </w:r>
      <w:proofErr w:type="spellEnd"/>
      <w:r w:rsidRPr="00E63DFB">
        <w:rPr>
          <w:rFonts w:eastAsiaTheme="minorEastAsia"/>
          <w:sz w:val="24"/>
          <w:szCs w:val="24"/>
        </w:rPr>
        <w:t>/</w:t>
      </w:r>
      <w:proofErr w:type="spellStart"/>
      <w:r w:rsidRPr="00E63DFB">
        <w:rPr>
          <w:rFonts w:eastAsiaTheme="minorEastAsia"/>
          <w:sz w:val="24"/>
          <w:szCs w:val="24"/>
        </w:rPr>
        <w:t>prilocaincreme</w:t>
      </w:r>
      <w:proofErr w:type="spellEnd"/>
      <w:r w:rsidRPr="00E63DFB">
        <w:rPr>
          <w:rFonts w:eastAsiaTheme="minorEastAsia"/>
          <w:sz w:val="24"/>
          <w:szCs w:val="24"/>
        </w:rPr>
        <w:t xml:space="preserve"> er plasmakoncentrationen af </w:t>
      </w:r>
      <w:proofErr w:type="spellStart"/>
      <w:r w:rsidRPr="00E63DFB">
        <w:rPr>
          <w:rFonts w:eastAsiaTheme="minorEastAsia"/>
          <w:sz w:val="24"/>
          <w:szCs w:val="24"/>
        </w:rPr>
        <w:t>prilocain</w:t>
      </w:r>
      <w:proofErr w:type="spellEnd"/>
      <w:r w:rsidRPr="00E63DFB">
        <w:rPr>
          <w:rFonts w:eastAsiaTheme="minorEastAsia"/>
          <w:sz w:val="24"/>
          <w:szCs w:val="24"/>
        </w:rPr>
        <w:t xml:space="preserve"> 20-60 % lavere end plasmakoncentrationen af </w:t>
      </w:r>
      <w:proofErr w:type="spellStart"/>
      <w:r w:rsidRPr="00E63DFB">
        <w:rPr>
          <w:rFonts w:eastAsiaTheme="minorEastAsia"/>
          <w:sz w:val="24"/>
          <w:szCs w:val="24"/>
        </w:rPr>
        <w:t>lidocain</w:t>
      </w:r>
      <w:proofErr w:type="spellEnd"/>
      <w:r w:rsidRPr="00E63DFB">
        <w:rPr>
          <w:rFonts w:eastAsiaTheme="minorEastAsia"/>
          <w:sz w:val="24"/>
          <w:szCs w:val="24"/>
        </w:rPr>
        <w:t xml:space="preserve">, hvilket skyldes et større fordelingsvolumen og hurtigere </w:t>
      </w:r>
      <w:proofErr w:type="spellStart"/>
      <w:r w:rsidRPr="00E63DFB">
        <w:rPr>
          <w:rFonts w:eastAsiaTheme="minorEastAsia"/>
          <w:sz w:val="24"/>
          <w:szCs w:val="24"/>
        </w:rPr>
        <w:t>clearance</w:t>
      </w:r>
      <w:proofErr w:type="spellEnd"/>
      <w:r w:rsidRPr="00E63DFB">
        <w:rPr>
          <w:rFonts w:eastAsiaTheme="minorEastAsia"/>
          <w:sz w:val="24"/>
          <w:szCs w:val="24"/>
        </w:rPr>
        <w:t xml:space="preserve">. Den vigtigste eliminationsvej for </w:t>
      </w:r>
      <w:proofErr w:type="spellStart"/>
      <w:r w:rsidRPr="00E63DFB">
        <w:rPr>
          <w:rFonts w:eastAsiaTheme="minorEastAsia"/>
          <w:sz w:val="24"/>
          <w:szCs w:val="24"/>
        </w:rPr>
        <w:t>lidocain</w:t>
      </w:r>
      <w:proofErr w:type="spellEnd"/>
      <w:r w:rsidRPr="00E63DFB">
        <w:rPr>
          <w:rFonts w:eastAsiaTheme="minorEastAsia"/>
          <w:sz w:val="24"/>
          <w:szCs w:val="24"/>
        </w:rPr>
        <w:t xml:space="preserve"> og </w:t>
      </w:r>
      <w:proofErr w:type="spellStart"/>
      <w:r w:rsidRPr="00E63DFB">
        <w:rPr>
          <w:rFonts w:eastAsiaTheme="minorEastAsia"/>
          <w:sz w:val="24"/>
          <w:szCs w:val="24"/>
        </w:rPr>
        <w:t>prilocain</w:t>
      </w:r>
      <w:proofErr w:type="spellEnd"/>
      <w:r w:rsidRPr="00E63DFB">
        <w:rPr>
          <w:rFonts w:eastAsiaTheme="minorEastAsia"/>
          <w:sz w:val="24"/>
          <w:szCs w:val="24"/>
        </w:rPr>
        <w:t xml:space="preserve"> er </w:t>
      </w:r>
      <w:proofErr w:type="spellStart"/>
      <w:r w:rsidRPr="00E63DFB">
        <w:rPr>
          <w:rFonts w:eastAsiaTheme="minorEastAsia"/>
          <w:sz w:val="24"/>
          <w:szCs w:val="24"/>
        </w:rPr>
        <w:t>hepatisk</w:t>
      </w:r>
      <w:proofErr w:type="spellEnd"/>
      <w:r w:rsidRPr="00E63DFB">
        <w:rPr>
          <w:rFonts w:eastAsiaTheme="minorEastAsia"/>
          <w:sz w:val="24"/>
          <w:szCs w:val="24"/>
        </w:rPr>
        <w:t xml:space="preserve"> metabolisme, og metabolitterne udskilles via nyrerne. </w:t>
      </w:r>
      <w:proofErr w:type="spellStart"/>
      <w:r w:rsidRPr="00E63DFB">
        <w:rPr>
          <w:rFonts w:eastAsiaTheme="minorEastAsia"/>
          <w:sz w:val="24"/>
          <w:szCs w:val="24"/>
        </w:rPr>
        <w:t>Metaboliserings</w:t>
      </w:r>
      <w:proofErr w:type="spellEnd"/>
      <w:r w:rsidRPr="00E63DFB">
        <w:rPr>
          <w:rFonts w:eastAsiaTheme="minorEastAsia"/>
          <w:sz w:val="24"/>
          <w:szCs w:val="24"/>
        </w:rPr>
        <w:t xml:space="preserve">- og eliminationshastigheden af lokalanæstesimidlerne efter </w:t>
      </w:r>
      <w:proofErr w:type="spellStart"/>
      <w:r w:rsidRPr="00E63DFB">
        <w:rPr>
          <w:rFonts w:eastAsiaTheme="minorEastAsia"/>
          <w:sz w:val="24"/>
          <w:szCs w:val="24"/>
        </w:rPr>
        <w:t>topikal</w:t>
      </w:r>
      <w:proofErr w:type="spellEnd"/>
      <w:r w:rsidRPr="00E63DFB">
        <w:rPr>
          <w:rFonts w:eastAsiaTheme="minorEastAsia"/>
          <w:sz w:val="24"/>
          <w:szCs w:val="24"/>
        </w:rPr>
        <w:t xml:space="preserve"> administration af </w:t>
      </w:r>
      <w:proofErr w:type="spellStart"/>
      <w:r w:rsidRPr="00E63DFB">
        <w:rPr>
          <w:rFonts w:eastAsiaTheme="minorEastAsia"/>
          <w:sz w:val="24"/>
          <w:szCs w:val="24"/>
        </w:rPr>
        <w:t>lidocain</w:t>
      </w:r>
      <w:proofErr w:type="spellEnd"/>
      <w:r w:rsidRPr="00E63DFB">
        <w:rPr>
          <w:rFonts w:eastAsiaTheme="minorEastAsia"/>
          <w:sz w:val="24"/>
          <w:szCs w:val="24"/>
        </w:rPr>
        <w:t>/</w:t>
      </w:r>
      <w:proofErr w:type="spellStart"/>
      <w:r w:rsidRPr="00E63DFB">
        <w:rPr>
          <w:rFonts w:eastAsiaTheme="minorEastAsia"/>
          <w:sz w:val="24"/>
          <w:szCs w:val="24"/>
        </w:rPr>
        <w:t>prilocaincreme</w:t>
      </w:r>
      <w:proofErr w:type="spellEnd"/>
      <w:r w:rsidRPr="00E63DFB">
        <w:rPr>
          <w:rFonts w:eastAsiaTheme="minorEastAsia"/>
          <w:sz w:val="24"/>
          <w:szCs w:val="24"/>
        </w:rPr>
        <w:t xml:space="preserve"> er dog styret af absorptionshastigheden. Derfor </w:t>
      </w:r>
      <w:r w:rsidRPr="00E63DFB">
        <w:rPr>
          <w:rFonts w:eastAsiaTheme="minorEastAsia"/>
          <w:sz w:val="24"/>
          <w:szCs w:val="24"/>
        </w:rPr>
        <w:lastRenderedPageBreak/>
        <w:t xml:space="preserve">har et fald i </w:t>
      </w:r>
      <w:proofErr w:type="spellStart"/>
      <w:r w:rsidRPr="00E63DFB">
        <w:rPr>
          <w:rFonts w:eastAsiaTheme="minorEastAsia"/>
          <w:sz w:val="24"/>
          <w:szCs w:val="24"/>
        </w:rPr>
        <w:t>clearance</w:t>
      </w:r>
      <w:proofErr w:type="spellEnd"/>
      <w:r w:rsidRPr="00E63DFB">
        <w:rPr>
          <w:rFonts w:eastAsiaTheme="minorEastAsia"/>
          <w:sz w:val="24"/>
          <w:szCs w:val="24"/>
        </w:rPr>
        <w:t xml:space="preserve">, f.eks. hos patienter med svært nedsat leverfunktion, begrænset indflydelse på de systemiske plasmakoncentrationer efter en enkelt dosis af </w:t>
      </w:r>
      <w:proofErr w:type="spellStart"/>
      <w:r w:rsidRPr="00E63DFB">
        <w:rPr>
          <w:rFonts w:eastAsiaTheme="minorEastAsia"/>
          <w:sz w:val="24"/>
          <w:szCs w:val="24"/>
        </w:rPr>
        <w:t>lidocain</w:t>
      </w:r>
      <w:proofErr w:type="spellEnd"/>
      <w:r w:rsidRPr="00E63DFB">
        <w:rPr>
          <w:rFonts w:eastAsiaTheme="minorEastAsia"/>
          <w:sz w:val="24"/>
          <w:szCs w:val="24"/>
        </w:rPr>
        <w:t>/</w:t>
      </w:r>
      <w:proofErr w:type="spellStart"/>
      <w:r w:rsidRPr="00E63DFB">
        <w:rPr>
          <w:rFonts w:eastAsiaTheme="minorEastAsia"/>
          <w:sz w:val="24"/>
          <w:szCs w:val="24"/>
        </w:rPr>
        <w:t>prilocaincreme</w:t>
      </w:r>
      <w:proofErr w:type="spellEnd"/>
      <w:r w:rsidRPr="00E63DFB">
        <w:rPr>
          <w:rFonts w:eastAsiaTheme="minorEastAsia"/>
          <w:sz w:val="24"/>
          <w:szCs w:val="24"/>
        </w:rPr>
        <w:t xml:space="preserve"> og efter gentagne enkeltdoser én gang dagligt i kort tid (op til 10 dage).</w:t>
      </w:r>
    </w:p>
    <w:p w:rsidR="003C101D" w:rsidRPr="00E63DFB" w:rsidRDefault="003C101D" w:rsidP="003C101D">
      <w:pPr>
        <w:ind w:left="851"/>
        <w:rPr>
          <w:rFonts w:eastAsiaTheme="minorEastAsia"/>
          <w:sz w:val="24"/>
          <w:szCs w:val="24"/>
        </w:rPr>
      </w:pPr>
    </w:p>
    <w:p w:rsidR="003C101D" w:rsidRPr="00E63DFB" w:rsidRDefault="003C101D" w:rsidP="003C101D">
      <w:pPr>
        <w:ind w:left="851"/>
        <w:rPr>
          <w:rFonts w:eastAsiaTheme="minorEastAsia"/>
          <w:sz w:val="24"/>
          <w:szCs w:val="24"/>
        </w:rPr>
      </w:pPr>
      <w:r w:rsidRPr="00E63DFB">
        <w:rPr>
          <w:rFonts w:eastAsiaTheme="minorEastAsia"/>
          <w:sz w:val="24"/>
          <w:szCs w:val="24"/>
        </w:rPr>
        <w:t xml:space="preserve">Symptomer på toksicitet bliver tydeligere ved stigende plasmakoncentrationer fra 5 til 10 </w:t>
      </w:r>
      <w:r>
        <w:rPr>
          <w:rFonts w:eastAsiaTheme="minorEastAsia"/>
          <w:sz w:val="24"/>
          <w:szCs w:val="24"/>
        </w:rPr>
        <w:t>mikrogram</w:t>
      </w:r>
      <w:r w:rsidRPr="00E63DFB">
        <w:rPr>
          <w:rFonts w:eastAsiaTheme="minorEastAsia"/>
          <w:sz w:val="24"/>
          <w:szCs w:val="24"/>
        </w:rPr>
        <w:t xml:space="preserve">/ml af de enkelte aktive stoffer. Det bør forventes, at toksiciteten af </w:t>
      </w:r>
      <w:proofErr w:type="spellStart"/>
      <w:r w:rsidRPr="00E63DFB">
        <w:rPr>
          <w:rFonts w:eastAsiaTheme="minorEastAsia"/>
          <w:sz w:val="24"/>
          <w:szCs w:val="24"/>
        </w:rPr>
        <w:t>lidocain</w:t>
      </w:r>
      <w:proofErr w:type="spellEnd"/>
      <w:r w:rsidRPr="00E63DFB">
        <w:rPr>
          <w:rFonts w:eastAsiaTheme="minorEastAsia"/>
          <w:sz w:val="24"/>
          <w:szCs w:val="24"/>
        </w:rPr>
        <w:t xml:space="preserve"> og </w:t>
      </w:r>
      <w:proofErr w:type="spellStart"/>
      <w:r w:rsidRPr="00E63DFB">
        <w:rPr>
          <w:rFonts w:eastAsiaTheme="minorEastAsia"/>
          <w:sz w:val="24"/>
          <w:szCs w:val="24"/>
        </w:rPr>
        <w:t>prilocain</w:t>
      </w:r>
      <w:proofErr w:type="spellEnd"/>
      <w:r w:rsidRPr="00E63DFB">
        <w:rPr>
          <w:rFonts w:eastAsiaTheme="minorEastAsia"/>
          <w:sz w:val="24"/>
          <w:szCs w:val="24"/>
        </w:rPr>
        <w:t xml:space="preserve"> er additiv.</w:t>
      </w:r>
    </w:p>
    <w:p w:rsidR="003C101D" w:rsidRPr="00E63DFB" w:rsidRDefault="003C101D" w:rsidP="003C101D">
      <w:pPr>
        <w:ind w:left="851"/>
        <w:rPr>
          <w:rFonts w:eastAsiaTheme="minorEastAsia"/>
          <w:sz w:val="24"/>
          <w:szCs w:val="24"/>
        </w:rPr>
      </w:pPr>
    </w:p>
    <w:p w:rsidR="003C101D" w:rsidRPr="00A250A1" w:rsidRDefault="003C101D" w:rsidP="003C101D">
      <w:pPr>
        <w:ind w:left="851"/>
        <w:rPr>
          <w:rFonts w:eastAsiaTheme="minorEastAsia"/>
          <w:sz w:val="24"/>
          <w:szCs w:val="24"/>
          <w:u w:val="single"/>
        </w:rPr>
      </w:pPr>
      <w:r w:rsidRPr="00A250A1">
        <w:rPr>
          <w:rFonts w:eastAsiaTheme="minorEastAsia"/>
          <w:iCs/>
          <w:sz w:val="24"/>
          <w:szCs w:val="24"/>
          <w:u w:val="single"/>
        </w:rPr>
        <w:t>Intakt hud</w:t>
      </w:r>
    </w:p>
    <w:p w:rsidR="003C101D" w:rsidRPr="00E63DFB" w:rsidRDefault="003C101D" w:rsidP="003C101D">
      <w:pPr>
        <w:ind w:left="851"/>
        <w:rPr>
          <w:rFonts w:eastAsiaTheme="minorEastAsia"/>
          <w:sz w:val="24"/>
          <w:szCs w:val="24"/>
        </w:rPr>
      </w:pPr>
      <w:r w:rsidRPr="00E63DFB">
        <w:rPr>
          <w:rFonts w:eastAsiaTheme="minorEastAsia"/>
          <w:sz w:val="24"/>
          <w:szCs w:val="24"/>
        </w:rPr>
        <w:t>Efter administration på låret hos voksne (60 g creme/400 cm</w:t>
      </w:r>
      <w:r w:rsidRPr="00E63DFB">
        <w:rPr>
          <w:rFonts w:eastAsiaTheme="minorEastAsia"/>
          <w:sz w:val="24"/>
          <w:szCs w:val="24"/>
          <w:vertAlign w:val="superscript"/>
        </w:rPr>
        <w:t>2</w:t>
      </w:r>
      <w:r w:rsidRPr="00E63DFB">
        <w:rPr>
          <w:rFonts w:eastAsiaTheme="minorEastAsia"/>
          <w:sz w:val="24"/>
          <w:szCs w:val="24"/>
        </w:rPr>
        <w:t xml:space="preserve"> i 3 timer) var absorptions</w:t>
      </w:r>
      <w:r>
        <w:rPr>
          <w:rFonts w:eastAsiaTheme="minorEastAsia"/>
          <w:sz w:val="24"/>
          <w:szCs w:val="24"/>
        </w:rPr>
        <w:softHyphen/>
      </w:r>
      <w:r w:rsidRPr="00E63DFB">
        <w:rPr>
          <w:rFonts w:eastAsiaTheme="minorEastAsia"/>
          <w:sz w:val="24"/>
          <w:szCs w:val="24"/>
        </w:rPr>
        <w:t xml:space="preserve">graden cirka 5 % for </w:t>
      </w:r>
      <w:proofErr w:type="spellStart"/>
      <w:r w:rsidRPr="00E63DFB">
        <w:rPr>
          <w:rFonts w:eastAsiaTheme="minorEastAsia"/>
          <w:sz w:val="24"/>
          <w:szCs w:val="24"/>
        </w:rPr>
        <w:t>lidocain</w:t>
      </w:r>
      <w:proofErr w:type="spellEnd"/>
      <w:r w:rsidRPr="00E63DFB">
        <w:rPr>
          <w:rFonts w:eastAsiaTheme="minorEastAsia"/>
          <w:sz w:val="24"/>
          <w:szCs w:val="24"/>
        </w:rPr>
        <w:t xml:space="preserve"> og </w:t>
      </w:r>
      <w:proofErr w:type="spellStart"/>
      <w:r w:rsidRPr="00E63DFB">
        <w:rPr>
          <w:rFonts w:eastAsiaTheme="minorEastAsia"/>
          <w:sz w:val="24"/>
          <w:szCs w:val="24"/>
        </w:rPr>
        <w:t>prilocain</w:t>
      </w:r>
      <w:proofErr w:type="spellEnd"/>
      <w:r w:rsidRPr="00E63DFB">
        <w:rPr>
          <w:rFonts w:eastAsiaTheme="minorEastAsia"/>
          <w:sz w:val="24"/>
          <w:szCs w:val="24"/>
        </w:rPr>
        <w:t>. De maksimale plasma</w:t>
      </w:r>
      <w:r>
        <w:rPr>
          <w:rFonts w:eastAsiaTheme="minorEastAsia"/>
          <w:sz w:val="24"/>
          <w:szCs w:val="24"/>
        </w:rPr>
        <w:softHyphen/>
      </w:r>
      <w:r w:rsidRPr="00E63DFB">
        <w:rPr>
          <w:rFonts w:eastAsiaTheme="minorEastAsia"/>
          <w:sz w:val="24"/>
          <w:szCs w:val="24"/>
        </w:rPr>
        <w:t xml:space="preserve">koncentrationer (gennemsnitligt 0,12 og 0,07 </w:t>
      </w:r>
      <w:r>
        <w:rPr>
          <w:rFonts w:eastAsiaTheme="minorEastAsia"/>
          <w:sz w:val="24"/>
          <w:szCs w:val="24"/>
        </w:rPr>
        <w:t>mikrogram</w:t>
      </w:r>
      <w:r w:rsidRPr="00E63DFB">
        <w:rPr>
          <w:rFonts w:eastAsiaTheme="minorEastAsia"/>
          <w:sz w:val="24"/>
          <w:szCs w:val="24"/>
        </w:rPr>
        <w:t>/ml) blev nået cirka 2-6 timer efter administration.</w:t>
      </w:r>
    </w:p>
    <w:p w:rsidR="003C101D" w:rsidRPr="00E63DFB" w:rsidRDefault="003C101D" w:rsidP="003C101D">
      <w:pPr>
        <w:ind w:left="851"/>
        <w:rPr>
          <w:rFonts w:eastAsiaTheme="minorEastAsia"/>
          <w:sz w:val="24"/>
          <w:szCs w:val="24"/>
        </w:rPr>
      </w:pPr>
    </w:p>
    <w:p w:rsidR="003C101D" w:rsidRPr="00E63DFB" w:rsidRDefault="003C101D" w:rsidP="003C101D">
      <w:pPr>
        <w:ind w:left="851"/>
        <w:rPr>
          <w:rFonts w:eastAsiaTheme="minorEastAsia"/>
          <w:sz w:val="24"/>
          <w:szCs w:val="24"/>
        </w:rPr>
      </w:pPr>
      <w:r w:rsidRPr="00E63DFB">
        <w:rPr>
          <w:rFonts w:eastAsiaTheme="minorEastAsia"/>
          <w:sz w:val="24"/>
          <w:szCs w:val="24"/>
        </w:rPr>
        <w:t>Den systemiske absorptionsgrad var cirka 10 % efter påføring i ansigtet (10 g/100 cm</w:t>
      </w:r>
      <w:r w:rsidRPr="00E63DFB">
        <w:rPr>
          <w:rFonts w:eastAsiaTheme="minorEastAsia"/>
          <w:sz w:val="24"/>
          <w:szCs w:val="24"/>
          <w:vertAlign w:val="superscript"/>
        </w:rPr>
        <w:t>2</w:t>
      </w:r>
      <w:r w:rsidRPr="00E63DFB">
        <w:rPr>
          <w:rFonts w:eastAsiaTheme="minorEastAsia"/>
          <w:sz w:val="24"/>
          <w:szCs w:val="24"/>
        </w:rPr>
        <w:t xml:space="preserve"> i 2 timer). De maksimale plasmakoncentrationer (gennemsnitligt 0,16 og 0,06 </w:t>
      </w:r>
      <w:r>
        <w:rPr>
          <w:rFonts w:eastAsiaTheme="minorEastAsia"/>
          <w:sz w:val="24"/>
          <w:szCs w:val="24"/>
        </w:rPr>
        <w:t>mikrogram</w:t>
      </w:r>
      <w:r w:rsidRPr="00E63DFB">
        <w:rPr>
          <w:rFonts w:eastAsiaTheme="minorEastAsia"/>
          <w:sz w:val="24"/>
          <w:szCs w:val="24"/>
        </w:rPr>
        <w:t>/ml) blev nået efter cirka 1,5-3 timer.</w:t>
      </w:r>
    </w:p>
    <w:p w:rsidR="003C101D" w:rsidRPr="00E63DFB" w:rsidRDefault="003C101D" w:rsidP="003C101D">
      <w:pPr>
        <w:ind w:left="851"/>
        <w:rPr>
          <w:rFonts w:eastAsiaTheme="minorEastAsia"/>
          <w:sz w:val="24"/>
          <w:szCs w:val="24"/>
        </w:rPr>
      </w:pPr>
    </w:p>
    <w:p w:rsidR="003C101D" w:rsidRPr="00E63DFB" w:rsidRDefault="003C101D" w:rsidP="003C101D">
      <w:pPr>
        <w:ind w:left="851"/>
        <w:rPr>
          <w:rFonts w:eastAsiaTheme="minorEastAsia"/>
          <w:sz w:val="24"/>
          <w:szCs w:val="24"/>
        </w:rPr>
      </w:pPr>
      <w:r w:rsidRPr="00E63DFB">
        <w:rPr>
          <w:rFonts w:eastAsiaTheme="minorEastAsia"/>
          <w:sz w:val="24"/>
          <w:szCs w:val="24"/>
        </w:rPr>
        <w:t>I studier med delhudstransplantationer hos voksne resulterede applikation i op til 7 timer og 40 minutter på lår eller overarm med et overfladeareal på op til 1.500 cm</w:t>
      </w:r>
      <w:r w:rsidRPr="00E63DFB">
        <w:rPr>
          <w:rFonts w:eastAsiaTheme="minorEastAsia"/>
          <w:sz w:val="24"/>
          <w:szCs w:val="24"/>
          <w:vertAlign w:val="superscript"/>
        </w:rPr>
        <w:t>2</w:t>
      </w:r>
      <w:r w:rsidRPr="00E63DFB">
        <w:rPr>
          <w:rFonts w:eastAsiaTheme="minorEastAsia"/>
          <w:sz w:val="24"/>
          <w:szCs w:val="24"/>
        </w:rPr>
        <w:t xml:space="preserve"> i maksimale plasmakoncentrationer, der ikke oversteg 1,1 </w:t>
      </w:r>
      <w:r>
        <w:rPr>
          <w:rFonts w:eastAsiaTheme="minorEastAsia"/>
          <w:sz w:val="24"/>
          <w:szCs w:val="24"/>
        </w:rPr>
        <w:t>mikrogram</w:t>
      </w:r>
      <w:r w:rsidRPr="00E63DFB">
        <w:rPr>
          <w:rFonts w:eastAsiaTheme="minorEastAsia"/>
          <w:sz w:val="24"/>
          <w:szCs w:val="24"/>
        </w:rPr>
        <w:t xml:space="preserve">/ml </w:t>
      </w:r>
      <w:proofErr w:type="spellStart"/>
      <w:r w:rsidRPr="00E63DFB">
        <w:rPr>
          <w:rFonts w:eastAsiaTheme="minorEastAsia"/>
          <w:sz w:val="24"/>
          <w:szCs w:val="24"/>
        </w:rPr>
        <w:t>lidocain</w:t>
      </w:r>
      <w:proofErr w:type="spellEnd"/>
      <w:r w:rsidRPr="00E63DFB">
        <w:rPr>
          <w:rFonts w:eastAsiaTheme="minorEastAsia"/>
          <w:sz w:val="24"/>
          <w:szCs w:val="24"/>
        </w:rPr>
        <w:t xml:space="preserve"> og 0,2 </w:t>
      </w:r>
      <w:r>
        <w:rPr>
          <w:rFonts w:eastAsiaTheme="minorEastAsia"/>
          <w:sz w:val="24"/>
          <w:szCs w:val="24"/>
        </w:rPr>
        <w:t>mikrogram</w:t>
      </w:r>
      <w:r w:rsidRPr="00E63DFB">
        <w:rPr>
          <w:rFonts w:eastAsiaTheme="minorEastAsia"/>
          <w:sz w:val="24"/>
          <w:szCs w:val="24"/>
        </w:rPr>
        <w:t xml:space="preserve">/ml </w:t>
      </w:r>
      <w:proofErr w:type="spellStart"/>
      <w:r w:rsidRPr="00E63DFB">
        <w:rPr>
          <w:rFonts w:eastAsiaTheme="minorEastAsia"/>
          <w:sz w:val="24"/>
          <w:szCs w:val="24"/>
        </w:rPr>
        <w:t>prilocain</w:t>
      </w:r>
      <w:proofErr w:type="spellEnd"/>
      <w:r w:rsidRPr="00E63DFB">
        <w:rPr>
          <w:rFonts w:eastAsiaTheme="minorEastAsia"/>
          <w:sz w:val="24"/>
          <w:szCs w:val="24"/>
        </w:rPr>
        <w:t>.</w:t>
      </w:r>
    </w:p>
    <w:p w:rsidR="003C101D" w:rsidRPr="00E63DFB" w:rsidRDefault="003C101D" w:rsidP="003C101D">
      <w:pPr>
        <w:ind w:left="851"/>
        <w:rPr>
          <w:rFonts w:eastAsiaTheme="minorEastAsia"/>
          <w:sz w:val="24"/>
          <w:szCs w:val="24"/>
        </w:rPr>
      </w:pPr>
    </w:p>
    <w:p w:rsidR="003C101D" w:rsidRPr="00A250A1" w:rsidRDefault="003C101D" w:rsidP="003C101D">
      <w:pPr>
        <w:ind w:left="851"/>
        <w:rPr>
          <w:rFonts w:eastAsiaTheme="minorEastAsia"/>
          <w:sz w:val="24"/>
          <w:szCs w:val="24"/>
          <w:u w:val="single"/>
        </w:rPr>
      </w:pPr>
      <w:r w:rsidRPr="00A250A1">
        <w:rPr>
          <w:rFonts w:eastAsiaTheme="minorEastAsia"/>
          <w:iCs/>
          <w:sz w:val="24"/>
          <w:szCs w:val="24"/>
          <w:u w:val="single"/>
        </w:rPr>
        <w:t>Genitalslimhinder</w:t>
      </w:r>
    </w:p>
    <w:p w:rsidR="003C101D" w:rsidRPr="00E63DFB" w:rsidRDefault="003C101D" w:rsidP="003C101D">
      <w:pPr>
        <w:ind w:left="851"/>
        <w:rPr>
          <w:rFonts w:eastAsiaTheme="minorEastAsia"/>
          <w:sz w:val="24"/>
          <w:szCs w:val="24"/>
        </w:rPr>
      </w:pPr>
      <w:r w:rsidRPr="00E63DFB">
        <w:rPr>
          <w:rFonts w:eastAsiaTheme="minorEastAsia"/>
          <w:sz w:val="24"/>
          <w:szCs w:val="24"/>
        </w:rPr>
        <w:t xml:space="preserve">Efter applicering af 10 g </w:t>
      </w:r>
      <w:proofErr w:type="spellStart"/>
      <w:r w:rsidRPr="00E63DFB">
        <w:rPr>
          <w:rFonts w:eastAsiaTheme="minorEastAsia"/>
          <w:sz w:val="24"/>
          <w:szCs w:val="24"/>
        </w:rPr>
        <w:t>lidocain</w:t>
      </w:r>
      <w:proofErr w:type="spellEnd"/>
      <w:r w:rsidRPr="00E63DFB">
        <w:rPr>
          <w:rFonts w:eastAsiaTheme="minorEastAsia"/>
          <w:sz w:val="24"/>
          <w:szCs w:val="24"/>
        </w:rPr>
        <w:t>/</w:t>
      </w:r>
      <w:proofErr w:type="spellStart"/>
      <w:r w:rsidRPr="00E63DFB">
        <w:rPr>
          <w:rFonts w:eastAsiaTheme="minorEastAsia"/>
          <w:sz w:val="24"/>
          <w:szCs w:val="24"/>
        </w:rPr>
        <w:t>prilocaincreme</w:t>
      </w:r>
      <w:proofErr w:type="spellEnd"/>
      <w:r w:rsidRPr="00E63DFB">
        <w:rPr>
          <w:rFonts w:eastAsiaTheme="minorEastAsia"/>
          <w:sz w:val="24"/>
          <w:szCs w:val="24"/>
        </w:rPr>
        <w:t xml:space="preserve"> i 10 minutter på vaginalslimhinden blev de maksimale plasmakoncentrationer af </w:t>
      </w:r>
      <w:proofErr w:type="spellStart"/>
      <w:r w:rsidRPr="00E63DFB">
        <w:rPr>
          <w:rFonts w:eastAsiaTheme="minorEastAsia"/>
          <w:sz w:val="24"/>
          <w:szCs w:val="24"/>
        </w:rPr>
        <w:t>lidocain</w:t>
      </w:r>
      <w:proofErr w:type="spellEnd"/>
      <w:r w:rsidRPr="00E63DFB">
        <w:rPr>
          <w:rFonts w:eastAsiaTheme="minorEastAsia"/>
          <w:sz w:val="24"/>
          <w:szCs w:val="24"/>
        </w:rPr>
        <w:t xml:space="preserve"> og </w:t>
      </w:r>
      <w:proofErr w:type="spellStart"/>
      <w:r w:rsidRPr="00E63DFB">
        <w:rPr>
          <w:rFonts w:eastAsiaTheme="minorEastAsia"/>
          <w:sz w:val="24"/>
          <w:szCs w:val="24"/>
        </w:rPr>
        <w:t>prilocain</w:t>
      </w:r>
      <w:proofErr w:type="spellEnd"/>
      <w:r w:rsidRPr="00E63DFB">
        <w:rPr>
          <w:rFonts w:eastAsiaTheme="minorEastAsia"/>
          <w:sz w:val="24"/>
          <w:szCs w:val="24"/>
        </w:rPr>
        <w:t xml:space="preserve"> (gennem</w:t>
      </w:r>
      <w:r>
        <w:rPr>
          <w:rFonts w:eastAsiaTheme="minorEastAsia"/>
          <w:sz w:val="24"/>
          <w:szCs w:val="24"/>
        </w:rPr>
        <w:t>snitligt hhv. 0,18 mikrogram/ml og 0,15</w:t>
      </w:r>
      <w:r w:rsidRPr="00E63DFB">
        <w:rPr>
          <w:rFonts w:eastAsiaTheme="minorEastAsia"/>
          <w:sz w:val="24"/>
          <w:szCs w:val="24"/>
        </w:rPr>
        <w:t xml:space="preserve"> </w:t>
      </w:r>
      <w:r>
        <w:rPr>
          <w:rFonts w:eastAsiaTheme="minorEastAsia"/>
          <w:sz w:val="24"/>
          <w:szCs w:val="24"/>
        </w:rPr>
        <w:t>mikrogram</w:t>
      </w:r>
      <w:r w:rsidRPr="00E63DFB">
        <w:rPr>
          <w:rFonts w:eastAsiaTheme="minorEastAsia"/>
          <w:sz w:val="24"/>
          <w:szCs w:val="24"/>
        </w:rPr>
        <w:t>/ml) nået efter 20-45 minutter.</w:t>
      </w:r>
    </w:p>
    <w:p w:rsidR="003C101D" w:rsidRPr="00E63DFB" w:rsidRDefault="003C101D" w:rsidP="003C101D">
      <w:pPr>
        <w:ind w:left="851"/>
        <w:rPr>
          <w:rFonts w:eastAsiaTheme="minorEastAsia"/>
          <w:sz w:val="24"/>
          <w:szCs w:val="24"/>
        </w:rPr>
      </w:pPr>
    </w:p>
    <w:p w:rsidR="003C101D" w:rsidRPr="00A250A1" w:rsidRDefault="003C101D" w:rsidP="003C101D">
      <w:pPr>
        <w:ind w:left="851"/>
        <w:rPr>
          <w:rFonts w:eastAsiaTheme="minorEastAsia"/>
          <w:sz w:val="24"/>
          <w:szCs w:val="24"/>
          <w:u w:val="single"/>
        </w:rPr>
      </w:pPr>
      <w:proofErr w:type="spellStart"/>
      <w:r w:rsidRPr="00A250A1">
        <w:rPr>
          <w:rFonts w:eastAsiaTheme="minorEastAsia"/>
          <w:iCs/>
          <w:sz w:val="24"/>
          <w:szCs w:val="24"/>
          <w:u w:val="single"/>
        </w:rPr>
        <w:t>Bensår</w:t>
      </w:r>
      <w:proofErr w:type="spellEnd"/>
    </w:p>
    <w:p w:rsidR="003C101D" w:rsidRPr="00E63DFB" w:rsidRDefault="003C101D" w:rsidP="003C101D">
      <w:pPr>
        <w:ind w:left="851"/>
        <w:rPr>
          <w:rFonts w:eastAsiaTheme="minorEastAsia"/>
          <w:sz w:val="24"/>
          <w:szCs w:val="24"/>
        </w:rPr>
      </w:pPr>
      <w:r w:rsidRPr="00E63DFB">
        <w:rPr>
          <w:rFonts w:eastAsiaTheme="minorEastAsia"/>
          <w:sz w:val="24"/>
          <w:szCs w:val="24"/>
        </w:rPr>
        <w:t xml:space="preserve">Efter en enkelt applikation af 5 til 10 g </w:t>
      </w:r>
      <w:proofErr w:type="spellStart"/>
      <w:r w:rsidRPr="00E63DFB">
        <w:rPr>
          <w:rFonts w:eastAsiaTheme="minorEastAsia"/>
          <w:sz w:val="24"/>
          <w:szCs w:val="24"/>
        </w:rPr>
        <w:t>lidocain</w:t>
      </w:r>
      <w:proofErr w:type="spellEnd"/>
      <w:r w:rsidRPr="00E63DFB">
        <w:rPr>
          <w:rFonts w:eastAsiaTheme="minorEastAsia"/>
          <w:sz w:val="24"/>
          <w:szCs w:val="24"/>
        </w:rPr>
        <w:t>/</w:t>
      </w:r>
      <w:proofErr w:type="spellStart"/>
      <w:r w:rsidRPr="00E63DFB">
        <w:rPr>
          <w:rFonts w:eastAsiaTheme="minorEastAsia"/>
          <w:sz w:val="24"/>
          <w:szCs w:val="24"/>
        </w:rPr>
        <w:t>prilocaincreme</w:t>
      </w:r>
      <w:proofErr w:type="spellEnd"/>
      <w:r w:rsidRPr="00E63DFB">
        <w:rPr>
          <w:rFonts w:eastAsiaTheme="minorEastAsia"/>
          <w:sz w:val="24"/>
          <w:szCs w:val="24"/>
        </w:rPr>
        <w:t xml:space="preserve"> i 30 minutter på </w:t>
      </w:r>
      <w:proofErr w:type="spellStart"/>
      <w:r w:rsidRPr="00E63DFB">
        <w:rPr>
          <w:rFonts w:eastAsiaTheme="minorEastAsia"/>
          <w:sz w:val="24"/>
          <w:szCs w:val="24"/>
        </w:rPr>
        <w:t>bensår</w:t>
      </w:r>
      <w:proofErr w:type="spellEnd"/>
      <w:r w:rsidRPr="00E63DFB">
        <w:rPr>
          <w:rFonts w:eastAsiaTheme="minorEastAsia"/>
          <w:sz w:val="24"/>
          <w:szCs w:val="24"/>
        </w:rPr>
        <w:t xml:space="preserve"> med et areal på op til 64 cm</w:t>
      </w:r>
      <w:r w:rsidRPr="00E63DFB">
        <w:rPr>
          <w:rFonts w:eastAsiaTheme="minorEastAsia"/>
          <w:sz w:val="24"/>
          <w:szCs w:val="24"/>
          <w:vertAlign w:val="superscript"/>
        </w:rPr>
        <w:t xml:space="preserve">2 </w:t>
      </w:r>
      <w:r w:rsidRPr="00E63DFB">
        <w:rPr>
          <w:rFonts w:eastAsiaTheme="minorEastAsia"/>
          <w:sz w:val="24"/>
          <w:szCs w:val="24"/>
        </w:rPr>
        <w:t xml:space="preserve">blev de maksimale plasmakoncentrationer af </w:t>
      </w:r>
      <w:proofErr w:type="spellStart"/>
      <w:r w:rsidRPr="00E63DFB">
        <w:rPr>
          <w:rFonts w:eastAsiaTheme="minorEastAsia"/>
          <w:sz w:val="24"/>
          <w:szCs w:val="24"/>
        </w:rPr>
        <w:t>lidocain</w:t>
      </w:r>
      <w:proofErr w:type="spellEnd"/>
      <w:r w:rsidRPr="00E63DFB">
        <w:rPr>
          <w:rFonts w:eastAsiaTheme="minorEastAsia"/>
          <w:sz w:val="24"/>
          <w:szCs w:val="24"/>
        </w:rPr>
        <w:t xml:space="preserve"> (interval 0,05-0,25 </w:t>
      </w:r>
      <w:r>
        <w:rPr>
          <w:rFonts w:eastAsiaTheme="minorEastAsia"/>
          <w:sz w:val="24"/>
          <w:szCs w:val="24"/>
        </w:rPr>
        <w:t>mikrogram</w:t>
      </w:r>
      <w:r w:rsidRPr="00E63DFB">
        <w:rPr>
          <w:rFonts w:eastAsiaTheme="minorEastAsia"/>
          <w:sz w:val="24"/>
          <w:szCs w:val="24"/>
        </w:rPr>
        <w:t xml:space="preserve">/ml, én enkeltstående værdi på 0,84 </w:t>
      </w:r>
      <w:r>
        <w:rPr>
          <w:rFonts w:eastAsiaTheme="minorEastAsia"/>
          <w:sz w:val="24"/>
          <w:szCs w:val="24"/>
        </w:rPr>
        <w:t>mikrogram</w:t>
      </w:r>
      <w:r w:rsidRPr="00E63DFB">
        <w:rPr>
          <w:rFonts w:eastAsiaTheme="minorEastAsia"/>
          <w:sz w:val="24"/>
          <w:szCs w:val="24"/>
        </w:rPr>
        <w:t xml:space="preserve">/ml) og af </w:t>
      </w:r>
      <w:proofErr w:type="spellStart"/>
      <w:r w:rsidRPr="00E63DFB">
        <w:rPr>
          <w:rFonts w:eastAsiaTheme="minorEastAsia"/>
          <w:sz w:val="24"/>
          <w:szCs w:val="24"/>
        </w:rPr>
        <w:t>prilocain</w:t>
      </w:r>
      <w:proofErr w:type="spellEnd"/>
      <w:r w:rsidRPr="00E63DFB">
        <w:rPr>
          <w:rFonts w:eastAsiaTheme="minorEastAsia"/>
          <w:sz w:val="24"/>
          <w:szCs w:val="24"/>
        </w:rPr>
        <w:t xml:space="preserve"> (0,02-0,08 </w:t>
      </w:r>
      <w:r>
        <w:rPr>
          <w:rFonts w:eastAsiaTheme="minorEastAsia"/>
          <w:sz w:val="24"/>
          <w:szCs w:val="24"/>
        </w:rPr>
        <w:t>mikrogram</w:t>
      </w:r>
      <w:r w:rsidRPr="00E63DFB">
        <w:rPr>
          <w:rFonts w:eastAsiaTheme="minorEastAsia"/>
          <w:sz w:val="24"/>
          <w:szCs w:val="24"/>
        </w:rPr>
        <w:t>/ml) nået i løbet af 1 til 2,5 time.</w:t>
      </w:r>
    </w:p>
    <w:p w:rsidR="003C101D" w:rsidRPr="00E63DFB" w:rsidRDefault="003C101D" w:rsidP="003C101D">
      <w:pPr>
        <w:ind w:left="851"/>
        <w:rPr>
          <w:rFonts w:eastAsiaTheme="minorEastAsia"/>
          <w:sz w:val="24"/>
          <w:szCs w:val="24"/>
        </w:rPr>
      </w:pPr>
    </w:p>
    <w:p w:rsidR="003C101D" w:rsidRPr="00E63DFB" w:rsidRDefault="003C101D" w:rsidP="003C101D">
      <w:pPr>
        <w:ind w:left="851"/>
        <w:rPr>
          <w:rFonts w:eastAsiaTheme="minorEastAsia"/>
          <w:sz w:val="24"/>
          <w:szCs w:val="24"/>
        </w:rPr>
      </w:pPr>
      <w:r w:rsidRPr="00E63DFB">
        <w:rPr>
          <w:rFonts w:eastAsiaTheme="minorEastAsia"/>
          <w:sz w:val="24"/>
          <w:szCs w:val="24"/>
        </w:rPr>
        <w:t xml:space="preserve">Efter en applikationstid på 24 timer på </w:t>
      </w:r>
      <w:proofErr w:type="spellStart"/>
      <w:r w:rsidRPr="00E63DFB">
        <w:rPr>
          <w:rFonts w:eastAsiaTheme="minorEastAsia"/>
          <w:sz w:val="24"/>
          <w:szCs w:val="24"/>
        </w:rPr>
        <w:t>bensår</w:t>
      </w:r>
      <w:proofErr w:type="spellEnd"/>
      <w:r w:rsidRPr="00E63DFB">
        <w:rPr>
          <w:rFonts w:eastAsiaTheme="minorEastAsia"/>
          <w:sz w:val="24"/>
          <w:szCs w:val="24"/>
        </w:rPr>
        <w:t xml:space="preserve"> med et areal på op til 50-100 cm</w:t>
      </w:r>
      <w:r w:rsidRPr="00E63DFB">
        <w:rPr>
          <w:rFonts w:eastAsiaTheme="minorEastAsia"/>
          <w:sz w:val="24"/>
          <w:szCs w:val="24"/>
          <w:vertAlign w:val="superscript"/>
        </w:rPr>
        <w:t>2</w:t>
      </w:r>
      <w:r w:rsidRPr="00E63DFB">
        <w:rPr>
          <w:rFonts w:eastAsiaTheme="minorEastAsia"/>
          <w:sz w:val="24"/>
          <w:szCs w:val="24"/>
        </w:rPr>
        <w:t xml:space="preserve"> blev de maksimale plasmakoncentrationer af </w:t>
      </w:r>
      <w:proofErr w:type="spellStart"/>
      <w:r w:rsidRPr="00E63DFB">
        <w:rPr>
          <w:rFonts w:eastAsiaTheme="minorEastAsia"/>
          <w:sz w:val="24"/>
          <w:szCs w:val="24"/>
        </w:rPr>
        <w:t>lidocain</w:t>
      </w:r>
      <w:proofErr w:type="spellEnd"/>
      <w:r w:rsidRPr="00E63DFB">
        <w:rPr>
          <w:rFonts w:eastAsiaTheme="minorEastAsia"/>
          <w:sz w:val="24"/>
          <w:szCs w:val="24"/>
        </w:rPr>
        <w:t xml:space="preserve"> (0,19-0,71 </w:t>
      </w:r>
      <w:r>
        <w:rPr>
          <w:rFonts w:eastAsiaTheme="minorEastAsia"/>
          <w:sz w:val="24"/>
          <w:szCs w:val="24"/>
        </w:rPr>
        <w:t>mikrogram</w:t>
      </w:r>
      <w:r w:rsidRPr="00E63DFB">
        <w:rPr>
          <w:rFonts w:eastAsiaTheme="minorEastAsia"/>
          <w:sz w:val="24"/>
          <w:szCs w:val="24"/>
        </w:rPr>
        <w:t xml:space="preserve">/ml) og af </w:t>
      </w:r>
      <w:proofErr w:type="spellStart"/>
      <w:r w:rsidRPr="00E63DFB">
        <w:rPr>
          <w:rFonts w:eastAsiaTheme="minorEastAsia"/>
          <w:sz w:val="24"/>
          <w:szCs w:val="24"/>
        </w:rPr>
        <w:t>prilocain</w:t>
      </w:r>
      <w:proofErr w:type="spellEnd"/>
      <w:r w:rsidRPr="00E63DFB">
        <w:rPr>
          <w:rFonts w:eastAsiaTheme="minorEastAsia"/>
          <w:sz w:val="24"/>
          <w:szCs w:val="24"/>
        </w:rPr>
        <w:t xml:space="preserve"> (0,06-0,28 </w:t>
      </w:r>
      <w:r>
        <w:rPr>
          <w:rFonts w:eastAsiaTheme="minorEastAsia"/>
          <w:sz w:val="24"/>
          <w:szCs w:val="24"/>
        </w:rPr>
        <w:t>mikrogram</w:t>
      </w:r>
      <w:r w:rsidRPr="00E63DFB">
        <w:rPr>
          <w:rFonts w:eastAsiaTheme="minorEastAsia"/>
          <w:sz w:val="24"/>
          <w:szCs w:val="24"/>
        </w:rPr>
        <w:t>/ml) sædvanligvis nået i løbet af 2 til 4 timer.</w:t>
      </w:r>
    </w:p>
    <w:p w:rsidR="003C101D" w:rsidRPr="00E63DFB" w:rsidRDefault="003C101D" w:rsidP="003C101D">
      <w:pPr>
        <w:ind w:left="851"/>
        <w:rPr>
          <w:rFonts w:eastAsiaTheme="minorEastAsia"/>
          <w:sz w:val="24"/>
          <w:szCs w:val="24"/>
        </w:rPr>
      </w:pPr>
    </w:p>
    <w:p w:rsidR="003C101D" w:rsidRPr="00E63DFB" w:rsidRDefault="003C101D" w:rsidP="003C101D">
      <w:pPr>
        <w:ind w:left="851"/>
        <w:rPr>
          <w:rFonts w:eastAsiaTheme="minorEastAsia"/>
          <w:sz w:val="24"/>
          <w:szCs w:val="24"/>
        </w:rPr>
      </w:pPr>
      <w:r w:rsidRPr="00E63DFB">
        <w:rPr>
          <w:rFonts w:eastAsiaTheme="minorEastAsia"/>
          <w:sz w:val="24"/>
          <w:szCs w:val="24"/>
        </w:rPr>
        <w:t xml:space="preserve">Efter gentagen applikation af 2-10 g </w:t>
      </w:r>
      <w:proofErr w:type="spellStart"/>
      <w:r w:rsidRPr="00E63DFB">
        <w:rPr>
          <w:rFonts w:eastAsiaTheme="minorEastAsia"/>
          <w:sz w:val="24"/>
          <w:szCs w:val="24"/>
        </w:rPr>
        <w:t>lidocain</w:t>
      </w:r>
      <w:proofErr w:type="spellEnd"/>
      <w:r w:rsidRPr="00E63DFB">
        <w:rPr>
          <w:rFonts w:eastAsiaTheme="minorEastAsia"/>
          <w:sz w:val="24"/>
          <w:szCs w:val="24"/>
        </w:rPr>
        <w:t>/</w:t>
      </w:r>
      <w:proofErr w:type="spellStart"/>
      <w:r w:rsidRPr="00E63DFB">
        <w:rPr>
          <w:rFonts w:eastAsiaTheme="minorEastAsia"/>
          <w:sz w:val="24"/>
          <w:szCs w:val="24"/>
        </w:rPr>
        <w:t>prilocaincreme</w:t>
      </w:r>
      <w:proofErr w:type="spellEnd"/>
      <w:r w:rsidRPr="00E63DFB">
        <w:rPr>
          <w:rFonts w:eastAsiaTheme="minorEastAsia"/>
          <w:sz w:val="24"/>
          <w:szCs w:val="24"/>
        </w:rPr>
        <w:t xml:space="preserve"> i 30-60 minutter på </w:t>
      </w:r>
      <w:proofErr w:type="spellStart"/>
      <w:r w:rsidRPr="00E63DFB">
        <w:rPr>
          <w:rFonts w:eastAsiaTheme="minorEastAsia"/>
          <w:sz w:val="24"/>
          <w:szCs w:val="24"/>
        </w:rPr>
        <w:t>bensår</w:t>
      </w:r>
      <w:proofErr w:type="spellEnd"/>
      <w:r w:rsidRPr="00E63DFB">
        <w:rPr>
          <w:rFonts w:eastAsiaTheme="minorEastAsia"/>
          <w:sz w:val="24"/>
          <w:szCs w:val="24"/>
        </w:rPr>
        <w:t xml:space="preserve"> med et areal på op til 62 cm</w:t>
      </w:r>
      <w:r w:rsidRPr="00E63DFB">
        <w:rPr>
          <w:rFonts w:eastAsiaTheme="minorEastAsia"/>
          <w:sz w:val="24"/>
          <w:szCs w:val="24"/>
          <w:vertAlign w:val="superscript"/>
        </w:rPr>
        <w:t>2</w:t>
      </w:r>
      <w:r w:rsidRPr="00E63DFB">
        <w:rPr>
          <w:rFonts w:eastAsiaTheme="minorEastAsia"/>
          <w:sz w:val="24"/>
          <w:szCs w:val="24"/>
        </w:rPr>
        <w:t xml:space="preserve"> 3-7 gange om ugen, dog højst 15 doser i løbet af en periode på en måned, var der ingen påviselig akkumulation af </w:t>
      </w:r>
      <w:proofErr w:type="spellStart"/>
      <w:r w:rsidRPr="00E63DFB">
        <w:rPr>
          <w:rFonts w:eastAsiaTheme="minorEastAsia"/>
          <w:sz w:val="24"/>
          <w:szCs w:val="24"/>
        </w:rPr>
        <w:t>lidocain</w:t>
      </w:r>
      <w:proofErr w:type="spellEnd"/>
      <w:r w:rsidRPr="00E63DFB">
        <w:rPr>
          <w:rFonts w:eastAsiaTheme="minorEastAsia"/>
          <w:sz w:val="24"/>
          <w:szCs w:val="24"/>
        </w:rPr>
        <w:t xml:space="preserve"> og dets metabolitter </w:t>
      </w:r>
      <w:proofErr w:type="spellStart"/>
      <w:r w:rsidRPr="00E63DFB">
        <w:rPr>
          <w:rFonts w:eastAsiaTheme="minorEastAsia"/>
          <w:sz w:val="24"/>
          <w:szCs w:val="24"/>
        </w:rPr>
        <w:t>monoglycinxylidid</w:t>
      </w:r>
      <w:proofErr w:type="spellEnd"/>
      <w:r w:rsidRPr="00E63DFB">
        <w:rPr>
          <w:rFonts w:eastAsiaTheme="minorEastAsia"/>
          <w:sz w:val="24"/>
          <w:szCs w:val="24"/>
        </w:rPr>
        <w:t xml:space="preserve"> og 2,6-xylidin eller af </w:t>
      </w:r>
      <w:proofErr w:type="spellStart"/>
      <w:r w:rsidRPr="00E63DFB">
        <w:rPr>
          <w:rFonts w:eastAsiaTheme="minorEastAsia"/>
          <w:sz w:val="24"/>
          <w:szCs w:val="24"/>
        </w:rPr>
        <w:t>prilocain</w:t>
      </w:r>
      <w:proofErr w:type="spellEnd"/>
      <w:r w:rsidRPr="00E63DFB">
        <w:rPr>
          <w:rFonts w:eastAsiaTheme="minorEastAsia"/>
          <w:sz w:val="24"/>
          <w:szCs w:val="24"/>
        </w:rPr>
        <w:t xml:space="preserve"> og dets metabolit </w:t>
      </w:r>
      <w:proofErr w:type="spellStart"/>
      <w:r w:rsidRPr="00E63DFB">
        <w:rPr>
          <w:rFonts w:eastAsiaTheme="minorEastAsia"/>
          <w:sz w:val="24"/>
          <w:szCs w:val="24"/>
        </w:rPr>
        <w:t>ortho-toluidin</w:t>
      </w:r>
      <w:proofErr w:type="spellEnd"/>
      <w:r w:rsidRPr="00E63DFB">
        <w:rPr>
          <w:rFonts w:eastAsiaTheme="minorEastAsia"/>
          <w:sz w:val="24"/>
          <w:szCs w:val="24"/>
        </w:rPr>
        <w:t xml:space="preserve"> i plasma. Den maksimalt observerede plasmakoncentration af </w:t>
      </w:r>
      <w:proofErr w:type="spellStart"/>
      <w:r w:rsidRPr="00E63DFB">
        <w:rPr>
          <w:rFonts w:eastAsiaTheme="minorEastAsia"/>
          <w:sz w:val="24"/>
          <w:szCs w:val="24"/>
        </w:rPr>
        <w:t>lidocain</w:t>
      </w:r>
      <w:proofErr w:type="spellEnd"/>
      <w:r w:rsidRPr="00E63DFB">
        <w:rPr>
          <w:rFonts w:eastAsiaTheme="minorEastAsia"/>
          <w:sz w:val="24"/>
          <w:szCs w:val="24"/>
        </w:rPr>
        <w:t xml:space="preserve">, </w:t>
      </w:r>
      <w:proofErr w:type="spellStart"/>
      <w:r w:rsidRPr="00E63DFB">
        <w:rPr>
          <w:rFonts w:eastAsiaTheme="minorEastAsia"/>
          <w:sz w:val="24"/>
          <w:szCs w:val="24"/>
        </w:rPr>
        <w:t>monoglycinxylidid</w:t>
      </w:r>
      <w:proofErr w:type="spellEnd"/>
      <w:r w:rsidRPr="00E63DFB">
        <w:rPr>
          <w:rFonts w:eastAsiaTheme="minorEastAsia"/>
          <w:sz w:val="24"/>
          <w:szCs w:val="24"/>
        </w:rPr>
        <w:t xml:space="preserve"> og 2,6-xylidin var hhv. 0,41, 0,03 og 0,01 </w:t>
      </w:r>
      <w:r>
        <w:rPr>
          <w:rFonts w:eastAsiaTheme="minorEastAsia"/>
          <w:sz w:val="24"/>
          <w:szCs w:val="24"/>
        </w:rPr>
        <w:t>mikrogram</w:t>
      </w:r>
      <w:r w:rsidRPr="00E63DFB">
        <w:rPr>
          <w:rFonts w:eastAsiaTheme="minorEastAsia"/>
          <w:sz w:val="24"/>
          <w:szCs w:val="24"/>
        </w:rPr>
        <w:t xml:space="preserve">/ml. Den maksimalt observerede plasmakoncentration af </w:t>
      </w:r>
      <w:proofErr w:type="spellStart"/>
      <w:r w:rsidRPr="00E63DFB">
        <w:rPr>
          <w:rFonts w:eastAsiaTheme="minorEastAsia"/>
          <w:sz w:val="24"/>
          <w:szCs w:val="24"/>
        </w:rPr>
        <w:t>prilocain</w:t>
      </w:r>
      <w:proofErr w:type="spellEnd"/>
      <w:r w:rsidRPr="00E63DFB">
        <w:rPr>
          <w:rFonts w:eastAsiaTheme="minorEastAsia"/>
          <w:sz w:val="24"/>
          <w:szCs w:val="24"/>
        </w:rPr>
        <w:t xml:space="preserve"> og </w:t>
      </w:r>
      <w:proofErr w:type="spellStart"/>
      <w:r w:rsidRPr="00E63DFB">
        <w:rPr>
          <w:rFonts w:eastAsiaTheme="minorEastAsia"/>
          <w:sz w:val="24"/>
          <w:szCs w:val="24"/>
        </w:rPr>
        <w:t>ortho-toluidin</w:t>
      </w:r>
      <w:proofErr w:type="spellEnd"/>
      <w:r w:rsidRPr="00E63DFB">
        <w:rPr>
          <w:rFonts w:eastAsiaTheme="minorEastAsia"/>
          <w:sz w:val="24"/>
          <w:szCs w:val="24"/>
        </w:rPr>
        <w:t xml:space="preserve"> var hhv. 0,08 </w:t>
      </w:r>
      <w:r>
        <w:rPr>
          <w:rFonts w:eastAsiaTheme="minorEastAsia"/>
          <w:sz w:val="24"/>
          <w:szCs w:val="24"/>
        </w:rPr>
        <w:t>mikrogram</w:t>
      </w:r>
      <w:r w:rsidRPr="00E63DFB">
        <w:rPr>
          <w:rFonts w:eastAsiaTheme="minorEastAsia"/>
          <w:sz w:val="24"/>
          <w:szCs w:val="24"/>
        </w:rPr>
        <w:t>/ml og 0,01 </w:t>
      </w:r>
      <w:r>
        <w:rPr>
          <w:rFonts w:eastAsiaTheme="minorEastAsia"/>
          <w:sz w:val="24"/>
          <w:szCs w:val="24"/>
        </w:rPr>
        <w:t>mikrogram</w:t>
      </w:r>
      <w:r w:rsidRPr="00E63DFB">
        <w:rPr>
          <w:rFonts w:eastAsiaTheme="minorEastAsia"/>
          <w:sz w:val="24"/>
          <w:szCs w:val="24"/>
        </w:rPr>
        <w:t>/ml.</w:t>
      </w:r>
    </w:p>
    <w:p w:rsidR="003C101D" w:rsidRPr="00E63DFB" w:rsidRDefault="003C101D" w:rsidP="003C101D">
      <w:pPr>
        <w:ind w:left="851"/>
        <w:rPr>
          <w:rFonts w:eastAsiaTheme="minorEastAsia"/>
          <w:sz w:val="24"/>
          <w:szCs w:val="24"/>
        </w:rPr>
      </w:pPr>
    </w:p>
    <w:p w:rsidR="003C101D" w:rsidRPr="00E63DFB" w:rsidRDefault="003C101D" w:rsidP="003C101D">
      <w:pPr>
        <w:ind w:left="851"/>
        <w:rPr>
          <w:rFonts w:eastAsiaTheme="minorEastAsia"/>
          <w:sz w:val="24"/>
          <w:szCs w:val="24"/>
        </w:rPr>
      </w:pPr>
      <w:r w:rsidRPr="00E63DFB">
        <w:rPr>
          <w:rFonts w:eastAsiaTheme="minorEastAsia"/>
          <w:sz w:val="24"/>
          <w:szCs w:val="24"/>
        </w:rPr>
        <w:t xml:space="preserve">Efter gentagen applikation af 10 g </w:t>
      </w:r>
      <w:proofErr w:type="spellStart"/>
      <w:r w:rsidRPr="00E63DFB">
        <w:rPr>
          <w:rFonts w:eastAsiaTheme="minorEastAsia"/>
          <w:sz w:val="24"/>
          <w:szCs w:val="24"/>
        </w:rPr>
        <w:t>lidocain</w:t>
      </w:r>
      <w:proofErr w:type="spellEnd"/>
      <w:r w:rsidRPr="00E63DFB">
        <w:rPr>
          <w:rFonts w:eastAsiaTheme="minorEastAsia"/>
          <w:sz w:val="24"/>
          <w:szCs w:val="24"/>
        </w:rPr>
        <w:t>/</w:t>
      </w:r>
      <w:proofErr w:type="spellStart"/>
      <w:r w:rsidRPr="00E63DFB">
        <w:rPr>
          <w:rFonts w:eastAsiaTheme="minorEastAsia"/>
          <w:sz w:val="24"/>
          <w:szCs w:val="24"/>
        </w:rPr>
        <w:t>prilocaincreme</w:t>
      </w:r>
      <w:proofErr w:type="spellEnd"/>
      <w:r w:rsidRPr="00E63DFB">
        <w:rPr>
          <w:rFonts w:eastAsiaTheme="minorEastAsia"/>
          <w:sz w:val="24"/>
          <w:szCs w:val="24"/>
        </w:rPr>
        <w:t xml:space="preserve"> i 60 minutter på kroniske </w:t>
      </w:r>
      <w:proofErr w:type="spellStart"/>
      <w:r w:rsidRPr="00E63DFB">
        <w:rPr>
          <w:rFonts w:eastAsiaTheme="minorEastAsia"/>
          <w:sz w:val="24"/>
          <w:szCs w:val="24"/>
        </w:rPr>
        <w:t>bensår</w:t>
      </w:r>
      <w:proofErr w:type="spellEnd"/>
      <w:r w:rsidRPr="00E63DFB">
        <w:rPr>
          <w:rFonts w:eastAsiaTheme="minorEastAsia"/>
          <w:sz w:val="24"/>
          <w:szCs w:val="24"/>
        </w:rPr>
        <w:t xml:space="preserve"> med et areal på 62-160 cm</w:t>
      </w:r>
      <w:r w:rsidRPr="00E63DFB">
        <w:rPr>
          <w:rFonts w:eastAsiaTheme="minorEastAsia"/>
          <w:sz w:val="24"/>
          <w:szCs w:val="24"/>
          <w:vertAlign w:val="superscript"/>
        </w:rPr>
        <w:t xml:space="preserve">2 </w:t>
      </w:r>
      <w:r w:rsidRPr="00E63DFB">
        <w:rPr>
          <w:rFonts w:eastAsiaTheme="minorEastAsia"/>
          <w:sz w:val="24"/>
          <w:szCs w:val="24"/>
        </w:rPr>
        <w:t xml:space="preserve">én gang dagligt 10 dage i træk var den gennemsnitlige maksimale plasmakoncentration (summen af </w:t>
      </w:r>
      <w:proofErr w:type="spellStart"/>
      <w:r w:rsidRPr="00E63DFB">
        <w:rPr>
          <w:rFonts w:eastAsiaTheme="minorEastAsia"/>
          <w:sz w:val="24"/>
          <w:szCs w:val="24"/>
        </w:rPr>
        <w:t>lidocain</w:t>
      </w:r>
      <w:proofErr w:type="spellEnd"/>
      <w:r w:rsidRPr="00E63DFB">
        <w:rPr>
          <w:rFonts w:eastAsiaTheme="minorEastAsia"/>
          <w:sz w:val="24"/>
          <w:szCs w:val="24"/>
        </w:rPr>
        <w:t xml:space="preserve">- og </w:t>
      </w:r>
      <w:proofErr w:type="spellStart"/>
      <w:r w:rsidRPr="00E63DFB">
        <w:rPr>
          <w:rFonts w:eastAsiaTheme="minorEastAsia"/>
          <w:sz w:val="24"/>
          <w:szCs w:val="24"/>
        </w:rPr>
        <w:t>prilocainkoncentrationerne</w:t>
      </w:r>
      <w:proofErr w:type="spellEnd"/>
      <w:r w:rsidRPr="00E63DFB">
        <w:rPr>
          <w:rFonts w:eastAsiaTheme="minorEastAsia"/>
          <w:sz w:val="24"/>
          <w:szCs w:val="24"/>
        </w:rPr>
        <w:t>) 0,6 </w:t>
      </w:r>
      <w:r>
        <w:rPr>
          <w:rFonts w:eastAsiaTheme="minorEastAsia"/>
          <w:sz w:val="24"/>
          <w:szCs w:val="24"/>
        </w:rPr>
        <w:t>mikrogram</w:t>
      </w:r>
      <w:r w:rsidRPr="00E63DFB">
        <w:rPr>
          <w:rFonts w:eastAsiaTheme="minorEastAsia"/>
          <w:sz w:val="24"/>
          <w:szCs w:val="24"/>
        </w:rPr>
        <w:t xml:space="preserve">/ml. Den maksimale koncentration afhænger ikke af patientens alder, men er </w:t>
      </w:r>
      <w:r w:rsidRPr="00E63DFB">
        <w:rPr>
          <w:rFonts w:eastAsiaTheme="minorEastAsia"/>
          <w:sz w:val="24"/>
          <w:szCs w:val="24"/>
        </w:rPr>
        <w:lastRenderedPageBreak/>
        <w:t>i signifikant grad (p&lt;0,01) relateret til sårarealet. Forøgelse af sårarealet med 1 cm</w:t>
      </w:r>
      <w:r w:rsidRPr="00E63DFB">
        <w:rPr>
          <w:rFonts w:eastAsiaTheme="minorEastAsia"/>
          <w:sz w:val="24"/>
          <w:szCs w:val="24"/>
          <w:vertAlign w:val="superscript"/>
        </w:rPr>
        <w:t>2</w:t>
      </w:r>
      <w:r w:rsidRPr="00E63DFB">
        <w:rPr>
          <w:rFonts w:eastAsiaTheme="minorEastAsia"/>
          <w:sz w:val="24"/>
          <w:szCs w:val="24"/>
        </w:rPr>
        <w:t xml:space="preserve"> resulterer i en stigning i </w:t>
      </w:r>
      <w:proofErr w:type="spellStart"/>
      <w:r w:rsidRPr="00E63DFB">
        <w:rPr>
          <w:rFonts w:eastAsiaTheme="minorEastAsia"/>
          <w:sz w:val="24"/>
          <w:szCs w:val="24"/>
        </w:rPr>
        <w:t>C</w:t>
      </w:r>
      <w:r w:rsidRPr="00E63DFB">
        <w:rPr>
          <w:rFonts w:eastAsiaTheme="minorEastAsia"/>
          <w:sz w:val="24"/>
          <w:szCs w:val="24"/>
          <w:vertAlign w:val="subscript"/>
        </w:rPr>
        <w:t>max</w:t>
      </w:r>
      <w:proofErr w:type="spellEnd"/>
      <w:r w:rsidRPr="00E63DFB">
        <w:rPr>
          <w:rFonts w:eastAsiaTheme="minorEastAsia"/>
          <w:sz w:val="24"/>
          <w:szCs w:val="24"/>
        </w:rPr>
        <w:t xml:space="preserve"> (summen af </w:t>
      </w:r>
      <w:proofErr w:type="spellStart"/>
      <w:r w:rsidRPr="00E63DFB">
        <w:rPr>
          <w:rFonts w:eastAsiaTheme="minorEastAsia"/>
          <w:sz w:val="24"/>
          <w:szCs w:val="24"/>
        </w:rPr>
        <w:t>lidocain</w:t>
      </w:r>
      <w:proofErr w:type="spellEnd"/>
      <w:r w:rsidRPr="00E63DFB">
        <w:rPr>
          <w:rFonts w:eastAsiaTheme="minorEastAsia"/>
          <w:sz w:val="24"/>
          <w:szCs w:val="24"/>
        </w:rPr>
        <w:t xml:space="preserve">- og </w:t>
      </w:r>
      <w:proofErr w:type="spellStart"/>
      <w:r w:rsidRPr="00E63DFB">
        <w:rPr>
          <w:rFonts w:eastAsiaTheme="minorEastAsia"/>
          <w:sz w:val="24"/>
          <w:szCs w:val="24"/>
        </w:rPr>
        <w:t>prilocainkoncentrationerne</w:t>
      </w:r>
      <w:proofErr w:type="spellEnd"/>
      <w:r w:rsidRPr="00E63DFB">
        <w:rPr>
          <w:rFonts w:eastAsiaTheme="minorEastAsia"/>
          <w:sz w:val="24"/>
          <w:szCs w:val="24"/>
        </w:rPr>
        <w:t>) på 7,2 </w:t>
      </w:r>
      <w:proofErr w:type="spellStart"/>
      <w:r w:rsidRPr="00E63DFB">
        <w:rPr>
          <w:rFonts w:eastAsiaTheme="minorEastAsia"/>
          <w:sz w:val="24"/>
          <w:szCs w:val="24"/>
        </w:rPr>
        <w:t>ng</w:t>
      </w:r>
      <w:proofErr w:type="spellEnd"/>
      <w:r w:rsidRPr="00E63DFB">
        <w:rPr>
          <w:rFonts w:eastAsiaTheme="minorEastAsia"/>
          <w:sz w:val="24"/>
          <w:szCs w:val="24"/>
        </w:rPr>
        <w:t xml:space="preserve">/ml. Summen af de maksimale plasmakoncentrationer af </w:t>
      </w:r>
      <w:proofErr w:type="spellStart"/>
      <w:r w:rsidRPr="00E63DFB">
        <w:rPr>
          <w:rFonts w:eastAsiaTheme="minorEastAsia"/>
          <w:sz w:val="24"/>
          <w:szCs w:val="24"/>
        </w:rPr>
        <w:t>lidocain</w:t>
      </w:r>
      <w:proofErr w:type="spellEnd"/>
      <w:r w:rsidRPr="00E63DFB">
        <w:rPr>
          <w:rFonts w:eastAsiaTheme="minorEastAsia"/>
          <w:sz w:val="24"/>
          <w:szCs w:val="24"/>
        </w:rPr>
        <w:t xml:space="preserve"> og </w:t>
      </w:r>
      <w:proofErr w:type="spellStart"/>
      <w:r w:rsidRPr="00E63DFB">
        <w:rPr>
          <w:rFonts w:eastAsiaTheme="minorEastAsia"/>
          <w:sz w:val="24"/>
          <w:szCs w:val="24"/>
        </w:rPr>
        <w:t>prilocain</w:t>
      </w:r>
      <w:proofErr w:type="spellEnd"/>
      <w:r w:rsidRPr="00E63DFB">
        <w:rPr>
          <w:rFonts w:eastAsiaTheme="minorEastAsia"/>
          <w:sz w:val="24"/>
          <w:szCs w:val="24"/>
        </w:rPr>
        <w:t xml:space="preserve"> er under en tredjedel af de niveauer, der er forbundet med toksiske reaktioner, og uden påviselig akkumulation over 10 dage.</w:t>
      </w:r>
    </w:p>
    <w:p w:rsidR="00E64631" w:rsidRDefault="00E64631">
      <w:pPr>
        <w:rPr>
          <w:rFonts w:eastAsiaTheme="minorEastAsia"/>
          <w:sz w:val="24"/>
          <w:szCs w:val="24"/>
        </w:rPr>
      </w:pPr>
      <w:r>
        <w:rPr>
          <w:rFonts w:eastAsiaTheme="minorEastAsia"/>
          <w:sz w:val="24"/>
          <w:szCs w:val="24"/>
        </w:rPr>
        <w:br w:type="page"/>
      </w:r>
    </w:p>
    <w:p w:rsidR="003C101D" w:rsidRPr="00E63DFB" w:rsidRDefault="003C101D" w:rsidP="003C101D">
      <w:pPr>
        <w:ind w:left="851"/>
        <w:rPr>
          <w:rFonts w:eastAsiaTheme="minorEastAsia"/>
          <w:sz w:val="24"/>
          <w:szCs w:val="24"/>
        </w:rPr>
      </w:pPr>
    </w:p>
    <w:p w:rsidR="003C101D" w:rsidRPr="00A250A1" w:rsidRDefault="003C101D" w:rsidP="003C101D">
      <w:pPr>
        <w:ind w:left="851"/>
        <w:rPr>
          <w:rFonts w:eastAsiaTheme="minorEastAsia"/>
          <w:sz w:val="24"/>
          <w:szCs w:val="24"/>
          <w:u w:val="single"/>
        </w:rPr>
      </w:pPr>
      <w:r w:rsidRPr="00A250A1">
        <w:rPr>
          <w:rFonts w:eastAsiaTheme="minorEastAsia"/>
          <w:iCs/>
          <w:sz w:val="24"/>
          <w:szCs w:val="24"/>
          <w:u w:val="single"/>
        </w:rPr>
        <w:t xml:space="preserve">Særlige populationer </w:t>
      </w:r>
    </w:p>
    <w:p w:rsidR="003C101D" w:rsidRDefault="003C101D" w:rsidP="003C101D">
      <w:pPr>
        <w:ind w:left="851"/>
        <w:rPr>
          <w:rFonts w:eastAsiaTheme="minorEastAsia"/>
          <w:i/>
          <w:iCs/>
          <w:sz w:val="24"/>
          <w:szCs w:val="24"/>
        </w:rPr>
      </w:pPr>
    </w:p>
    <w:p w:rsidR="003C101D" w:rsidRPr="00E63DFB" w:rsidRDefault="003C101D" w:rsidP="003C101D">
      <w:pPr>
        <w:ind w:left="851"/>
        <w:rPr>
          <w:rFonts w:eastAsiaTheme="minorEastAsia"/>
          <w:i/>
          <w:sz w:val="24"/>
          <w:szCs w:val="24"/>
        </w:rPr>
      </w:pPr>
      <w:r w:rsidRPr="00E63DFB">
        <w:rPr>
          <w:rFonts w:eastAsiaTheme="minorEastAsia"/>
          <w:i/>
          <w:iCs/>
          <w:sz w:val="24"/>
          <w:szCs w:val="24"/>
        </w:rPr>
        <w:t>Ældre patienter</w:t>
      </w:r>
    </w:p>
    <w:p w:rsidR="003C101D" w:rsidRPr="00E63DFB" w:rsidRDefault="003C101D" w:rsidP="003C101D">
      <w:pPr>
        <w:ind w:left="851"/>
        <w:rPr>
          <w:rFonts w:eastAsiaTheme="minorEastAsia"/>
          <w:sz w:val="24"/>
          <w:szCs w:val="24"/>
        </w:rPr>
      </w:pPr>
      <w:r w:rsidRPr="00E63DFB">
        <w:rPr>
          <w:rFonts w:eastAsiaTheme="minorEastAsia"/>
          <w:sz w:val="24"/>
          <w:szCs w:val="24"/>
        </w:rPr>
        <w:t xml:space="preserve">Efter applikation af </w:t>
      </w:r>
      <w:proofErr w:type="spellStart"/>
      <w:r>
        <w:t>lidocain</w:t>
      </w:r>
      <w:proofErr w:type="spellEnd"/>
      <w:r>
        <w:t>/</w:t>
      </w:r>
      <w:proofErr w:type="spellStart"/>
      <w:r>
        <w:t>prilocaincreme</w:t>
      </w:r>
      <w:proofErr w:type="spellEnd"/>
      <w:r w:rsidRPr="00E63DFB">
        <w:rPr>
          <w:rFonts w:eastAsiaTheme="minorEastAsia"/>
          <w:sz w:val="24"/>
          <w:szCs w:val="24"/>
        </w:rPr>
        <w:t xml:space="preserve"> på intakt hud er plasmakoncentrationerne af </w:t>
      </w:r>
      <w:proofErr w:type="spellStart"/>
      <w:r w:rsidRPr="00E63DFB">
        <w:rPr>
          <w:rFonts w:eastAsiaTheme="minorEastAsia"/>
          <w:sz w:val="24"/>
          <w:szCs w:val="24"/>
        </w:rPr>
        <w:t>lidocain</w:t>
      </w:r>
      <w:proofErr w:type="spellEnd"/>
      <w:r w:rsidRPr="00E63DFB">
        <w:rPr>
          <w:rFonts w:eastAsiaTheme="minorEastAsia"/>
          <w:sz w:val="24"/>
          <w:szCs w:val="24"/>
        </w:rPr>
        <w:t xml:space="preserve"> og </w:t>
      </w:r>
      <w:proofErr w:type="spellStart"/>
      <w:r w:rsidRPr="00E63DFB">
        <w:rPr>
          <w:rFonts w:eastAsiaTheme="minorEastAsia"/>
          <w:sz w:val="24"/>
          <w:szCs w:val="24"/>
        </w:rPr>
        <w:t>prilocain</w:t>
      </w:r>
      <w:proofErr w:type="spellEnd"/>
      <w:r w:rsidRPr="00E63DFB">
        <w:rPr>
          <w:rFonts w:eastAsiaTheme="minorEastAsia"/>
          <w:sz w:val="24"/>
          <w:szCs w:val="24"/>
        </w:rPr>
        <w:t xml:space="preserve"> meget lave og et godt stykke under de potentielt toksiske niveauer hos både geriatriske og ikke-geriatriske patienter.</w:t>
      </w:r>
    </w:p>
    <w:p w:rsidR="003C101D" w:rsidRPr="00E63DFB" w:rsidRDefault="003C101D" w:rsidP="003C101D">
      <w:pPr>
        <w:ind w:left="851"/>
        <w:rPr>
          <w:rFonts w:eastAsiaTheme="minorEastAsia"/>
          <w:sz w:val="24"/>
          <w:szCs w:val="24"/>
        </w:rPr>
      </w:pPr>
    </w:p>
    <w:p w:rsidR="003C101D" w:rsidRPr="00E63DFB" w:rsidRDefault="003C101D" w:rsidP="003C101D">
      <w:pPr>
        <w:ind w:left="851"/>
        <w:rPr>
          <w:rFonts w:eastAsiaTheme="minorEastAsia"/>
          <w:bCs/>
          <w:i/>
          <w:sz w:val="24"/>
          <w:szCs w:val="24"/>
        </w:rPr>
      </w:pPr>
      <w:r w:rsidRPr="00E63DFB">
        <w:rPr>
          <w:rFonts w:eastAsiaTheme="minorEastAsia"/>
          <w:bCs/>
          <w:i/>
          <w:iCs/>
          <w:sz w:val="24"/>
          <w:szCs w:val="24"/>
        </w:rPr>
        <w:t>Pædiatrisk population</w:t>
      </w:r>
    </w:p>
    <w:p w:rsidR="003C101D" w:rsidRPr="00E63DFB" w:rsidRDefault="003C101D" w:rsidP="003C101D">
      <w:pPr>
        <w:ind w:left="851"/>
        <w:rPr>
          <w:rFonts w:eastAsiaTheme="minorEastAsia"/>
          <w:sz w:val="24"/>
          <w:szCs w:val="24"/>
        </w:rPr>
      </w:pPr>
      <w:r w:rsidRPr="00E63DFB">
        <w:rPr>
          <w:rFonts w:eastAsiaTheme="minorEastAsia"/>
          <w:sz w:val="24"/>
          <w:szCs w:val="24"/>
        </w:rPr>
        <w:t xml:space="preserve">De maksimale plasmakoncentrationer af </w:t>
      </w:r>
      <w:proofErr w:type="spellStart"/>
      <w:r w:rsidRPr="00E63DFB">
        <w:rPr>
          <w:rFonts w:eastAsiaTheme="minorEastAsia"/>
          <w:sz w:val="24"/>
          <w:szCs w:val="24"/>
        </w:rPr>
        <w:t>lidocain</w:t>
      </w:r>
      <w:proofErr w:type="spellEnd"/>
      <w:r w:rsidRPr="00E63DFB">
        <w:rPr>
          <w:rFonts w:eastAsiaTheme="minorEastAsia"/>
          <w:sz w:val="24"/>
          <w:szCs w:val="24"/>
        </w:rPr>
        <w:t xml:space="preserve"> og </w:t>
      </w:r>
      <w:proofErr w:type="spellStart"/>
      <w:r w:rsidRPr="00E63DFB">
        <w:rPr>
          <w:rFonts w:eastAsiaTheme="minorEastAsia"/>
          <w:sz w:val="24"/>
          <w:szCs w:val="24"/>
        </w:rPr>
        <w:t>prilocain</w:t>
      </w:r>
      <w:proofErr w:type="spellEnd"/>
      <w:r w:rsidRPr="00E63DFB">
        <w:rPr>
          <w:rFonts w:eastAsiaTheme="minorEastAsia"/>
          <w:sz w:val="24"/>
          <w:szCs w:val="24"/>
        </w:rPr>
        <w:t xml:space="preserve"> efter applikation af </w:t>
      </w:r>
      <w:proofErr w:type="spellStart"/>
      <w:r w:rsidRPr="00E63DFB">
        <w:rPr>
          <w:rFonts w:eastAsiaTheme="minorEastAsia"/>
          <w:sz w:val="24"/>
          <w:szCs w:val="24"/>
        </w:rPr>
        <w:t>lidocain</w:t>
      </w:r>
      <w:proofErr w:type="spellEnd"/>
      <w:r w:rsidRPr="00E63DFB">
        <w:rPr>
          <w:rFonts w:eastAsiaTheme="minorEastAsia"/>
          <w:sz w:val="24"/>
          <w:szCs w:val="24"/>
        </w:rPr>
        <w:t>/</w:t>
      </w:r>
      <w:proofErr w:type="spellStart"/>
      <w:r w:rsidRPr="00E63DFB">
        <w:rPr>
          <w:rFonts w:eastAsiaTheme="minorEastAsia"/>
          <w:sz w:val="24"/>
          <w:szCs w:val="24"/>
        </w:rPr>
        <w:t>prilocaincreme</w:t>
      </w:r>
      <w:proofErr w:type="spellEnd"/>
      <w:r w:rsidRPr="00E63DFB">
        <w:rPr>
          <w:rFonts w:eastAsiaTheme="minorEastAsia"/>
          <w:sz w:val="24"/>
          <w:szCs w:val="24"/>
        </w:rPr>
        <w:t xml:space="preserve"> hos pædiatriske patienter i forskellige aldersgrupper var ligeledes under de potentielt toksiske niveauer, jf. tabel 4. </w:t>
      </w:r>
    </w:p>
    <w:p w:rsidR="003C101D" w:rsidRPr="00E63DFB" w:rsidRDefault="003C101D" w:rsidP="003C101D">
      <w:pPr>
        <w:ind w:left="851"/>
        <w:rPr>
          <w:rFonts w:eastAsiaTheme="minorEastAsia"/>
          <w:sz w:val="24"/>
          <w:szCs w:val="24"/>
        </w:rPr>
      </w:pPr>
    </w:p>
    <w:p w:rsidR="003C101D" w:rsidRDefault="003C101D" w:rsidP="003C101D">
      <w:pPr>
        <w:tabs>
          <w:tab w:val="left" w:pos="1985"/>
        </w:tabs>
        <w:ind w:left="1985" w:hanging="1134"/>
        <w:rPr>
          <w:rFonts w:eastAsiaTheme="minorEastAsia"/>
          <w:sz w:val="24"/>
          <w:szCs w:val="24"/>
        </w:rPr>
      </w:pPr>
      <w:r w:rsidRPr="00E63DFB">
        <w:rPr>
          <w:rFonts w:eastAsiaTheme="minorEastAsia"/>
          <w:sz w:val="24"/>
          <w:szCs w:val="24"/>
        </w:rPr>
        <w:t>Tabel 4.</w:t>
      </w:r>
      <w:r w:rsidRPr="00E63DFB">
        <w:rPr>
          <w:rFonts w:eastAsiaTheme="minorEastAsia"/>
          <w:sz w:val="24"/>
          <w:szCs w:val="24"/>
        </w:rPr>
        <w:tab/>
        <w:t xml:space="preserve">Plasmakoncentrationer af </w:t>
      </w:r>
      <w:proofErr w:type="spellStart"/>
      <w:r w:rsidRPr="00E63DFB">
        <w:rPr>
          <w:rFonts w:eastAsiaTheme="minorEastAsia"/>
          <w:sz w:val="24"/>
          <w:szCs w:val="24"/>
        </w:rPr>
        <w:t>lidocain</w:t>
      </w:r>
      <w:proofErr w:type="spellEnd"/>
      <w:r w:rsidRPr="00E63DFB">
        <w:rPr>
          <w:rFonts w:eastAsiaTheme="minorEastAsia"/>
          <w:sz w:val="24"/>
          <w:szCs w:val="24"/>
        </w:rPr>
        <w:t xml:space="preserve"> og </w:t>
      </w:r>
      <w:proofErr w:type="spellStart"/>
      <w:r w:rsidRPr="00E63DFB">
        <w:rPr>
          <w:rFonts w:eastAsiaTheme="minorEastAsia"/>
          <w:sz w:val="24"/>
          <w:szCs w:val="24"/>
        </w:rPr>
        <w:t>prilocain</w:t>
      </w:r>
      <w:proofErr w:type="spellEnd"/>
      <w:r w:rsidRPr="00E63DFB">
        <w:rPr>
          <w:rFonts w:eastAsiaTheme="minorEastAsia"/>
          <w:sz w:val="24"/>
          <w:szCs w:val="24"/>
        </w:rPr>
        <w:t xml:space="preserve"> hos pædiatriske patienter i alderen fra 0 måneder til 8 år.</w:t>
      </w:r>
    </w:p>
    <w:tbl>
      <w:tblPr>
        <w:tblStyle w:val="Tabel-Gitter"/>
        <w:tblW w:w="8647" w:type="dxa"/>
        <w:tblInd w:w="846" w:type="dxa"/>
        <w:tblLayout w:type="fixed"/>
        <w:tblLook w:val="04A0" w:firstRow="1" w:lastRow="0" w:firstColumn="1" w:lastColumn="0" w:noHBand="0" w:noVBand="1"/>
      </w:tblPr>
      <w:tblGrid>
        <w:gridCol w:w="1756"/>
        <w:gridCol w:w="1922"/>
        <w:gridCol w:w="1992"/>
        <w:gridCol w:w="1849"/>
        <w:gridCol w:w="1128"/>
      </w:tblGrid>
      <w:tr w:rsidR="003C101D" w:rsidRPr="003D099C" w:rsidTr="003B4BCE">
        <w:trPr>
          <w:trHeight w:val="795"/>
        </w:trPr>
        <w:tc>
          <w:tcPr>
            <w:tcW w:w="1756" w:type="dxa"/>
            <w:vMerge w:val="restart"/>
            <w:tcBorders>
              <w:right w:val="single" w:sz="4" w:space="0" w:color="auto"/>
            </w:tcBorders>
            <w:shd w:val="clear" w:color="auto" w:fill="BFBFBF" w:themeFill="background1" w:themeFillShade="BF"/>
          </w:tcPr>
          <w:p w:rsidR="003C101D" w:rsidRPr="003D099C" w:rsidRDefault="003C101D" w:rsidP="003B4BCE">
            <w:pPr>
              <w:ind w:left="34"/>
              <w:rPr>
                <w:rFonts w:ascii="Times New Roman" w:hAnsi="Times New Roman" w:cs="Times New Roman"/>
                <w:sz w:val="22"/>
                <w:lang w:val="da-DK"/>
              </w:rPr>
            </w:pPr>
            <w:r w:rsidRPr="003D099C">
              <w:rPr>
                <w:rFonts w:ascii="Times New Roman" w:hAnsi="Times New Roman" w:cs="Times New Roman"/>
                <w:sz w:val="22"/>
                <w:lang w:val="da-DK"/>
              </w:rPr>
              <w:t xml:space="preserve">Alder </w:t>
            </w:r>
          </w:p>
        </w:tc>
        <w:tc>
          <w:tcPr>
            <w:tcW w:w="1922" w:type="dxa"/>
            <w:vMerge w:val="restart"/>
            <w:tcBorders>
              <w:left w:val="single" w:sz="4" w:space="0" w:color="auto"/>
              <w:right w:val="single" w:sz="4" w:space="0" w:color="auto"/>
            </w:tcBorders>
            <w:shd w:val="clear" w:color="auto" w:fill="BFBFBF" w:themeFill="background1" w:themeFillShade="BF"/>
          </w:tcPr>
          <w:p w:rsidR="003C101D" w:rsidRPr="003D099C" w:rsidRDefault="003C101D" w:rsidP="003B4BCE">
            <w:pPr>
              <w:rPr>
                <w:rFonts w:ascii="Times New Roman" w:hAnsi="Times New Roman" w:cs="Times New Roman"/>
                <w:sz w:val="22"/>
                <w:lang w:val="da-DK"/>
              </w:rPr>
            </w:pPr>
            <w:r w:rsidRPr="003D099C">
              <w:rPr>
                <w:rFonts w:ascii="Times New Roman" w:hAnsi="Times New Roman" w:cs="Times New Roman"/>
                <w:sz w:val="22"/>
                <w:lang w:val="da-DK"/>
              </w:rPr>
              <w:t>Appliceret mængde creme</w:t>
            </w:r>
          </w:p>
        </w:tc>
        <w:tc>
          <w:tcPr>
            <w:tcW w:w="1992" w:type="dxa"/>
            <w:vMerge w:val="restart"/>
            <w:tcBorders>
              <w:left w:val="single" w:sz="4" w:space="0" w:color="auto"/>
              <w:right w:val="single" w:sz="4" w:space="0" w:color="auto"/>
            </w:tcBorders>
            <w:shd w:val="clear" w:color="auto" w:fill="BFBFBF" w:themeFill="background1" w:themeFillShade="BF"/>
          </w:tcPr>
          <w:p w:rsidR="003C101D" w:rsidRPr="003D099C" w:rsidRDefault="003C101D" w:rsidP="003B4BCE">
            <w:pPr>
              <w:ind w:left="43"/>
              <w:rPr>
                <w:rFonts w:ascii="Times New Roman" w:hAnsi="Times New Roman" w:cs="Times New Roman"/>
                <w:sz w:val="22"/>
                <w:lang w:val="da-DK"/>
              </w:rPr>
            </w:pPr>
            <w:r w:rsidRPr="003D099C">
              <w:rPr>
                <w:rFonts w:ascii="Times New Roman" w:hAnsi="Times New Roman" w:cs="Times New Roman"/>
                <w:sz w:val="22"/>
                <w:lang w:val="da-DK"/>
              </w:rPr>
              <w:t>Applikationstid på huden</w:t>
            </w:r>
          </w:p>
        </w:tc>
        <w:tc>
          <w:tcPr>
            <w:tcW w:w="2977" w:type="dxa"/>
            <w:gridSpan w:val="2"/>
            <w:tcBorders>
              <w:left w:val="single" w:sz="4" w:space="0" w:color="auto"/>
              <w:bottom w:val="single" w:sz="4" w:space="0" w:color="auto"/>
            </w:tcBorders>
            <w:shd w:val="clear" w:color="auto" w:fill="BFBFBF" w:themeFill="background1" w:themeFillShade="BF"/>
          </w:tcPr>
          <w:p w:rsidR="003C101D" w:rsidRPr="003D099C" w:rsidRDefault="003C101D" w:rsidP="003B4BCE">
            <w:pPr>
              <w:ind w:left="34"/>
              <w:rPr>
                <w:rFonts w:ascii="Times New Roman" w:hAnsi="Times New Roman" w:cs="Times New Roman"/>
                <w:sz w:val="22"/>
                <w:lang w:val="da-DK"/>
              </w:rPr>
            </w:pPr>
            <w:r w:rsidRPr="003D099C">
              <w:rPr>
                <w:rFonts w:ascii="Times New Roman" w:hAnsi="Times New Roman" w:cs="Times New Roman"/>
                <w:sz w:val="22"/>
                <w:lang w:val="da-DK"/>
              </w:rPr>
              <w:t>Plasmakoncentration [</w:t>
            </w:r>
            <w:proofErr w:type="spellStart"/>
            <w:r w:rsidRPr="003D099C">
              <w:rPr>
                <w:rFonts w:ascii="Times New Roman" w:hAnsi="Times New Roman" w:cs="Times New Roman"/>
                <w:sz w:val="22"/>
                <w:lang w:val="da-DK"/>
              </w:rPr>
              <w:t>ng</w:t>
            </w:r>
            <w:proofErr w:type="spellEnd"/>
            <w:r w:rsidRPr="003D099C">
              <w:rPr>
                <w:rFonts w:ascii="Times New Roman" w:hAnsi="Times New Roman" w:cs="Times New Roman"/>
                <w:sz w:val="22"/>
                <w:lang w:val="da-DK"/>
              </w:rPr>
              <w:t>/ml]</w:t>
            </w:r>
          </w:p>
        </w:tc>
      </w:tr>
      <w:tr w:rsidR="003C101D" w:rsidRPr="003D099C" w:rsidTr="003B4BCE">
        <w:trPr>
          <w:trHeight w:val="345"/>
        </w:trPr>
        <w:tc>
          <w:tcPr>
            <w:tcW w:w="1756" w:type="dxa"/>
            <w:vMerge/>
          </w:tcPr>
          <w:p w:rsidR="003C101D" w:rsidRPr="003D099C" w:rsidRDefault="003C101D" w:rsidP="003B4BCE">
            <w:pPr>
              <w:ind w:left="34"/>
              <w:rPr>
                <w:rFonts w:ascii="Times New Roman" w:hAnsi="Times New Roman" w:cs="Times New Roman"/>
                <w:sz w:val="22"/>
                <w:lang w:val="da-DK"/>
              </w:rPr>
            </w:pPr>
          </w:p>
        </w:tc>
        <w:tc>
          <w:tcPr>
            <w:tcW w:w="1922" w:type="dxa"/>
            <w:vMerge/>
          </w:tcPr>
          <w:p w:rsidR="003C101D" w:rsidRPr="003D099C" w:rsidRDefault="003C101D" w:rsidP="003B4BCE">
            <w:pPr>
              <w:rPr>
                <w:rFonts w:ascii="Times New Roman" w:hAnsi="Times New Roman" w:cs="Times New Roman"/>
                <w:sz w:val="22"/>
                <w:lang w:val="da-DK"/>
              </w:rPr>
            </w:pPr>
          </w:p>
        </w:tc>
        <w:tc>
          <w:tcPr>
            <w:tcW w:w="1992" w:type="dxa"/>
            <w:vMerge/>
          </w:tcPr>
          <w:p w:rsidR="003C101D" w:rsidRPr="003D099C" w:rsidRDefault="003C101D" w:rsidP="003B4BCE">
            <w:pPr>
              <w:ind w:left="43"/>
              <w:rPr>
                <w:rFonts w:ascii="Times New Roman" w:hAnsi="Times New Roman" w:cs="Times New Roman"/>
                <w:sz w:val="22"/>
                <w:lang w:val="da-DK"/>
              </w:rPr>
            </w:pPr>
          </w:p>
        </w:tc>
        <w:tc>
          <w:tcPr>
            <w:tcW w:w="1849" w:type="dxa"/>
            <w:tcBorders>
              <w:right w:val="single" w:sz="4" w:space="0" w:color="auto"/>
            </w:tcBorders>
          </w:tcPr>
          <w:p w:rsidR="003C101D" w:rsidRPr="003D099C" w:rsidRDefault="003C101D" w:rsidP="003B4BCE">
            <w:pPr>
              <w:ind w:left="34"/>
              <w:rPr>
                <w:rFonts w:ascii="Times New Roman" w:hAnsi="Times New Roman" w:cs="Times New Roman"/>
                <w:sz w:val="22"/>
                <w:lang w:val="da-DK"/>
              </w:rPr>
            </w:pPr>
            <w:proofErr w:type="spellStart"/>
            <w:r w:rsidRPr="003D099C">
              <w:rPr>
                <w:rFonts w:ascii="Times New Roman" w:hAnsi="Times New Roman" w:cs="Times New Roman"/>
                <w:sz w:val="22"/>
                <w:lang w:val="da-DK"/>
              </w:rPr>
              <w:t>Lidocain</w:t>
            </w:r>
            <w:proofErr w:type="spellEnd"/>
          </w:p>
        </w:tc>
        <w:tc>
          <w:tcPr>
            <w:tcW w:w="1128" w:type="dxa"/>
            <w:tcBorders>
              <w:left w:val="single" w:sz="4" w:space="0" w:color="auto"/>
            </w:tcBorders>
          </w:tcPr>
          <w:p w:rsidR="003C101D" w:rsidRPr="003D099C" w:rsidRDefault="003C101D" w:rsidP="003B4BCE">
            <w:pPr>
              <w:ind w:left="34"/>
              <w:rPr>
                <w:rFonts w:ascii="Times New Roman" w:hAnsi="Times New Roman" w:cs="Times New Roman"/>
                <w:sz w:val="22"/>
                <w:lang w:val="da-DK"/>
              </w:rPr>
            </w:pPr>
            <w:proofErr w:type="spellStart"/>
            <w:r w:rsidRPr="003D099C">
              <w:rPr>
                <w:rFonts w:ascii="Times New Roman" w:hAnsi="Times New Roman" w:cs="Times New Roman"/>
                <w:sz w:val="22"/>
                <w:lang w:val="da-DK"/>
              </w:rPr>
              <w:t>Prilocain</w:t>
            </w:r>
            <w:proofErr w:type="spellEnd"/>
          </w:p>
        </w:tc>
      </w:tr>
      <w:tr w:rsidR="003C101D" w:rsidRPr="003D099C" w:rsidTr="003B4BCE">
        <w:tc>
          <w:tcPr>
            <w:tcW w:w="1756" w:type="dxa"/>
          </w:tcPr>
          <w:p w:rsidR="003C101D" w:rsidRPr="003D099C" w:rsidRDefault="003C101D" w:rsidP="003B4BCE">
            <w:pPr>
              <w:ind w:left="34"/>
              <w:rPr>
                <w:rFonts w:ascii="Times New Roman" w:hAnsi="Times New Roman" w:cs="Times New Roman"/>
                <w:sz w:val="22"/>
                <w:lang w:val="da-DK"/>
              </w:rPr>
            </w:pPr>
            <w:r w:rsidRPr="003D099C">
              <w:rPr>
                <w:rFonts w:ascii="Times New Roman" w:hAnsi="Times New Roman" w:cs="Times New Roman"/>
                <w:sz w:val="22"/>
                <w:lang w:val="da-DK"/>
              </w:rPr>
              <w:t>0 - 3 måneder</w:t>
            </w:r>
          </w:p>
        </w:tc>
        <w:tc>
          <w:tcPr>
            <w:tcW w:w="1922" w:type="dxa"/>
          </w:tcPr>
          <w:p w:rsidR="003C101D" w:rsidRPr="003D099C" w:rsidRDefault="003C101D" w:rsidP="003B4BCE">
            <w:pPr>
              <w:rPr>
                <w:rFonts w:ascii="Times New Roman" w:hAnsi="Times New Roman" w:cs="Times New Roman"/>
                <w:sz w:val="22"/>
                <w:lang w:val="da-DK"/>
              </w:rPr>
            </w:pPr>
            <w:r w:rsidRPr="003D099C">
              <w:rPr>
                <w:rFonts w:ascii="Times New Roman" w:hAnsi="Times New Roman" w:cs="Times New Roman"/>
                <w:sz w:val="22"/>
                <w:lang w:val="da-DK"/>
              </w:rPr>
              <w:t>1 g/10 cm</w:t>
            </w:r>
            <w:r w:rsidRPr="003D099C">
              <w:rPr>
                <w:rFonts w:ascii="Times New Roman" w:hAnsi="Times New Roman" w:cs="Times New Roman"/>
                <w:sz w:val="22"/>
                <w:vertAlign w:val="superscript"/>
                <w:lang w:val="da-DK"/>
              </w:rPr>
              <w:t>2</w:t>
            </w:r>
          </w:p>
        </w:tc>
        <w:tc>
          <w:tcPr>
            <w:tcW w:w="1992" w:type="dxa"/>
          </w:tcPr>
          <w:p w:rsidR="003C101D" w:rsidRPr="003D099C" w:rsidRDefault="003C101D" w:rsidP="003B4BCE">
            <w:pPr>
              <w:ind w:left="43"/>
              <w:rPr>
                <w:rFonts w:ascii="Times New Roman" w:hAnsi="Times New Roman" w:cs="Times New Roman"/>
                <w:sz w:val="22"/>
                <w:lang w:val="da-DK"/>
              </w:rPr>
            </w:pPr>
            <w:r w:rsidRPr="003D099C">
              <w:rPr>
                <w:rFonts w:ascii="Times New Roman" w:hAnsi="Times New Roman" w:cs="Times New Roman"/>
                <w:sz w:val="22"/>
                <w:lang w:val="da-DK"/>
              </w:rPr>
              <w:t>1 time</w:t>
            </w:r>
          </w:p>
        </w:tc>
        <w:tc>
          <w:tcPr>
            <w:tcW w:w="1849" w:type="dxa"/>
            <w:tcBorders>
              <w:right w:val="single" w:sz="4" w:space="0" w:color="auto"/>
            </w:tcBorders>
          </w:tcPr>
          <w:p w:rsidR="003C101D" w:rsidRPr="003D099C" w:rsidRDefault="003C101D" w:rsidP="003B4BCE">
            <w:pPr>
              <w:ind w:left="34"/>
              <w:rPr>
                <w:rFonts w:ascii="Times New Roman" w:hAnsi="Times New Roman" w:cs="Times New Roman"/>
                <w:sz w:val="22"/>
                <w:lang w:val="da-DK"/>
              </w:rPr>
            </w:pPr>
            <w:r w:rsidRPr="003D099C">
              <w:rPr>
                <w:rFonts w:ascii="Times New Roman" w:hAnsi="Times New Roman" w:cs="Times New Roman"/>
                <w:sz w:val="22"/>
                <w:lang w:val="da-DK"/>
              </w:rPr>
              <w:t>135</w:t>
            </w:r>
          </w:p>
        </w:tc>
        <w:tc>
          <w:tcPr>
            <w:tcW w:w="1128" w:type="dxa"/>
            <w:tcBorders>
              <w:left w:val="single" w:sz="4" w:space="0" w:color="auto"/>
            </w:tcBorders>
          </w:tcPr>
          <w:p w:rsidR="003C101D" w:rsidRPr="003D099C" w:rsidRDefault="003C101D" w:rsidP="003B4BCE">
            <w:pPr>
              <w:ind w:left="34"/>
              <w:rPr>
                <w:rFonts w:ascii="Times New Roman" w:hAnsi="Times New Roman" w:cs="Times New Roman"/>
                <w:sz w:val="22"/>
                <w:lang w:val="da-DK"/>
              </w:rPr>
            </w:pPr>
            <w:r w:rsidRPr="003D099C">
              <w:rPr>
                <w:rFonts w:ascii="Times New Roman" w:hAnsi="Times New Roman" w:cs="Times New Roman"/>
                <w:sz w:val="22"/>
                <w:lang w:val="da-DK"/>
              </w:rPr>
              <w:t>107</w:t>
            </w:r>
          </w:p>
        </w:tc>
      </w:tr>
      <w:tr w:rsidR="003C101D" w:rsidRPr="003D099C" w:rsidTr="003B4BCE">
        <w:tc>
          <w:tcPr>
            <w:tcW w:w="1756" w:type="dxa"/>
          </w:tcPr>
          <w:p w:rsidR="003C101D" w:rsidRPr="003D099C" w:rsidRDefault="003C101D" w:rsidP="003B4BCE">
            <w:pPr>
              <w:ind w:left="34"/>
              <w:rPr>
                <w:rFonts w:ascii="Times New Roman" w:hAnsi="Times New Roman" w:cs="Times New Roman"/>
                <w:sz w:val="22"/>
                <w:lang w:val="da-DK"/>
              </w:rPr>
            </w:pPr>
            <w:r w:rsidRPr="003D099C">
              <w:rPr>
                <w:rFonts w:ascii="Times New Roman" w:hAnsi="Times New Roman" w:cs="Times New Roman"/>
                <w:sz w:val="22"/>
                <w:lang w:val="da-DK"/>
              </w:rPr>
              <w:t xml:space="preserve">3 - 12 måneder </w:t>
            </w:r>
          </w:p>
        </w:tc>
        <w:tc>
          <w:tcPr>
            <w:tcW w:w="1922" w:type="dxa"/>
          </w:tcPr>
          <w:p w:rsidR="003C101D" w:rsidRPr="003D099C" w:rsidRDefault="003C101D" w:rsidP="003B4BCE">
            <w:pPr>
              <w:rPr>
                <w:rFonts w:ascii="Times New Roman" w:hAnsi="Times New Roman" w:cs="Times New Roman"/>
                <w:sz w:val="22"/>
                <w:lang w:val="da-DK"/>
              </w:rPr>
            </w:pPr>
            <w:r w:rsidRPr="003D099C">
              <w:rPr>
                <w:rFonts w:ascii="Times New Roman" w:hAnsi="Times New Roman" w:cs="Times New Roman"/>
                <w:sz w:val="22"/>
                <w:lang w:val="da-DK"/>
              </w:rPr>
              <w:t>2 g/16 cm</w:t>
            </w:r>
            <w:r w:rsidRPr="003D099C">
              <w:rPr>
                <w:rFonts w:ascii="Times New Roman" w:hAnsi="Times New Roman" w:cs="Times New Roman"/>
                <w:sz w:val="22"/>
                <w:vertAlign w:val="superscript"/>
                <w:lang w:val="da-DK"/>
              </w:rPr>
              <w:t>2</w:t>
            </w:r>
          </w:p>
        </w:tc>
        <w:tc>
          <w:tcPr>
            <w:tcW w:w="1992" w:type="dxa"/>
          </w:tcPr>
          <w:p w:rsidR="003C101D" w:rsidRPr="003D099C" w:rsidRDefault="003C101D" w:rsidP="003B4BCE">
            <w:pPr>
              <w:ind w:left="43"/>
              <w:rPr>
                <w:rFonts w:ascii="Times New Roman" w:hAnsi="Times New Roman" w:cs="Times New Roman"/>
                <w:sz w:val="22"/>
                <w:lang w:val="da-DK"/>
              </w:rPr>
            </w:pPr>
            <w:r w:rsidRPr="003D099C">
              <w:rPr>
                <w:rFonts w:ascii="Times New Roman" w:hAnsi="Times New Roman" w:cs="Times New Roman"/>
                <w:sz w:val="22"/>
                <w:lang w:val="da-DK"/>
              </w:rPr>
              <w:t>4 timer</w:t>
            </w:r>
          </w:p>
        </w:tc>
        <w:tc>
          <w:tcPr>
            <w:tcW w:w="1849" w:type="dxa"/>
            <w:tcBorders>
              <w:right w:val="single" w:sz="4" w:space="0" w:color="auto"/>
            </w:tcBorders>
          </w:tcPr>
          <w:p w:rsidR="003C101D" w:rsidRPr="003D099C" w:rsidRDefault="003C101D" w:rsidP="003B4BCE">
            <w:pPr>
              <w:ind w:left="34"/>
              <w:rPr>
                <w:rFonts w:ascii="Times New Roman" w:hAnsi="Times New Roman" w:cs="Times New Roman"/>
                <w:sz w:val="22"/>
                <w:lang w:val="da-DK"/>
              </w:rPr>
            </w:pPr>
            <w:r w:rsidRPr="003D099C">
              <w:rPr>
                <w:rFonts w:ascii="Times New Roman" w:hAnsi="Times New Roman" w:cs="Times New Roman"/>
                <w:sz w:val="22"/>
                <w:lang w:val="da-DK"/>
              </w:rPr>
              <w:t>155</w:t>
            </w:r>
          </w:p>
        </w:tc>
        <w:tc>
          <w:tcPr>
            <w:tcW w:w="1128" w:type="dxa"/>
            <w:tcBorders>
              <w:left w:val="single" w:sz="4" w:space="0" w:color="auto"/>
            </w:tcBorders>
          </w:tcPr>
          <w:p w:rsidR="003C101D" w:rsidRPr="003D099C" w:rsidRDefault="003C101D" w:rsidP="003B4BCE">
            <w:pPr>
              <w:ind w:left="34"/>
              <w:rPr>
                <w:rFonts w:ascii="Times New Roman" w:hAnsi="Times New Roman" w:cs="Times New Roman"/>
                <w:sz w:val="22"/>
                <w:lang w:val="da-DK"/>
              </w:rPr>
            </w:pPr>
            <w:r w:rsidRPr="003D099C">
              <w:rPr>
                <w:rFonts w:ascii="Times New Roman" w:hAnsi="Times New Roman" w:cs="Times New Roman"/>
                <w:sz w:val="22"/>
                <w:lang w:val="da-DK"/>
              </w:rPr>
              <w:t>131</w:t>
            </w:r>
          </w:p>
        </w:tc>
      </w:tr>
      <w:tr w:rsidR="003C101D" w:rsidRPr="003D099C" w:rsidTr="003B4BCE">
        <w:tc>
          <w:tcPr>
            <w:tcW w:w="1756" w:type="dxa"/>
          </w:tcPr>
          <w:p w:rsidR="003C101D" w:rsidRPr="003D099C" w:rsidRDefault="003C101D" w:rsidP="003B4BCE">
            <w:pPr>
              <w:ind w:left="34"/>
              <w:rPr>
                <w:rFonts w:ascii="Times New Roman" w:hAnsi="Times New Roman" w:cs="Times New Roman"/>
                <w:sz w:val="22"/>
                <w:lang w:val="da-DK"/>
              </w:rPr>
            </w:pPr>
            <w:r w:rsidRPr="003D099C">
              <w:rPr>
                <w:rFonts w:ascii="Times New Roman" w:hAnsi="Times New Roman" w:cs="Times New Roman"/>
                <w:sz w:val="22"/>
                <w:lang w:val="da-DK"/>
              </w:rPr>
              <w:t>2 - 3 år</w:t>
            </w:r>
          </w:p>
        </w:tc>
        <w:tc>
          <w:tcPr>
            <w:tcW w:w="1922" w:type="dxa"/>
          </w:tcPr>
          <w:p w:rsidR="003C101D" w:rsidRPr="003D099C" w:rsidRDefault="003C101D" w:rsidP="003B4BCE">
            <w:pPr>
              <w:rPr>
                <w:rFonts w:ascii="Times New Roman" w:hAnsi="Times New Roman" w:cs="Times New Roman"/>
                <w:sz w:val="22"/>
                <w:lang w:val="da-DK"/>
              </w:rPr>
            </w:pPr>
            <w:r w:rsidRPr="003D099C">
              <w:rPr>
                <w:rFonts w:ascii="Times New Roman" w:hAnsi="Times New Roman" w:cs="Times New Roman"/>
                <w:sz w:val="22"/>
                <w:lang w:val="da-DK"/>
              </w:rPr>
              <w:t>10 g/100 cm</w:t>
            </w:r>
            <w:r w:rsidRPr="003D099C">
              <w:rPr>
                <w:rFonts w:ascii="Times New Roman" w:hAnsi="Times New Roman" w:cs="Times New Roman"/>
                <w:sz w:val="22"/>
                <w:vertAlign w:val="superscript"/>
                <w:lang w:val="da-DK"/>
              </w:rPr>
              <w:t>2</w:t>
            </w:r>
          </w:p>
        </w:tc>
        <w:tc>
          <w:tcPr>
            <w:tcW w:w="1992" w:type="dxa"/>
          </w:tcPr>
          <w:p w:rsidR="003C101D" w:rsidRPr="003D099C" w:rsidRDefault="003C101D" w:rsidP="003B4BCE">
            <w:pPr>
              <w:ind w:left="43"/>
              <w:rPr>
                <w:rFonts w:ascii="Times New Roman" w:hAnsi="Times New Roman" w:cs="Times New Roman"/>
                <w:sz w:val="22"/>
                <w:lang w:val="da-DK"/>
              </w:rPr>
            </w:pPr>
            <w:r w:rsidRPr="003D099C">
              <w:rPr>
                <w:rFonts w:ascii="Times New Roman" w:hAnsi="Times New Roman" w:cs="Times New Roman"/>
                <w:sz w:val="22"/>
                <w:lang w:val="da-DK"/>
              </w:rPr>
              <w:t>2 timer</w:t>
            </w:r>
          </w:p>
        </w:tc>
        <w:tc>
          <w:tcPr>
            <w:tcW w:w="1849" w:type="dxa"/>
            <w:tcBorders>
              <w:right w:val="single" w:sz="4" w:space="0" w:color="auto"/>
            </w:tcBorders>
          </w:tcPr>
          <w:p w:rsidR="003C101D" w:rsidRPr="003D099C" w:rsidRDefault="003C101D" w:rsidP="003B4BCE">
            <w:pPr>
              <w:ind w:left="34"/>
              <w:rPr>
                <w:rFonts w:ascii="Times New Roman" w:hAnsi="Times New Roman" w:cs="Times New Roman"/>
                <w:sz w:val="22"/>
                <w:lang w:val="da-DK"/>
              </w:rPr>
            </w:pPr>
            <w:r w:rsidRPr="003D099C">
              <w:rPr>
                <w:rFonts w:ascii="Times New Roman" w:hAnsi="Times New Roman" w:cs="Times New Roman"/>
                <w:sz w:val="22"/>
                <w:lang w:val="da-DK"/>
              </w:rPr>
              <w:t>315</w:t>
            </w:r>
          </w:p>
        </w:tc>
        <w:tc>
          <w:tcPr>
            <w:tcW w:w="1128" w:type="dxa"/>
            <w:tcBorders>
              <w:left w:val="single" w:sz="4" w:space="0" w:color="auto"/>
            </w:tcBorders>
          </w:tcPr>
          <w:p w:rsidR="003C101D" w:rsidRPr="003D099C" w:rsidRDefault="003C101D" w:rsidP="003B4BCE">
            <w:pPr>
              <w:ind w:left="34"/>
              <w:rPr>
                <w:rFonts w:ascii="Times New Roman" w:hAnsi="Times New Roman" w:cs="Times New Roman"/>
                <w:sz w:val="22"/>
                <w:lang w:val="da-DK"/>
              </w:rPr>
            </w:pPr>
            <w:r w:rsidRPr="003D099C">
              <w:rPr>
                <w:rFonts w:ascii="Times New Roman" w:hAnsi="Times New Roman" w:cs="Times New Roman"/>
                <w:sz w:val="22"/>
                <w:lang w:val="da-DK"/>
              </w:rPr>
              <w:t>215</w:t>
            </w:r>
          </w:p>
        </w:tc>
      </w:tr>
      <w:tr w:rsidR="003C101D" w:rsidRPr="003D099C" w:rsidTr="003B4BCE">
        <w:tc>
          <w:tcPr>
            <w:tcW w:w="1756" w:type="dxa"/>
          </w:tcPr>
          <w:p w:rsidR="003C101D" w:rsidRPr="003D099C" w:rsidRDefault="003C101D" w:rsidP="003B4BCE">
            <w:pPr>
              <w:ind w:left="34"/>
              <w:rPr>
                <w:rFonts w:ascii="Times New Roman" w:hAnsi="Times New Roman" w:cs="Times New Roman"/>
                <w:sz w:val="22"/>
                <w:lang w:val="da-DK"/>
              </w:rPr>
            </w:pPr>
            <w:r w:rsidRPr="003D099C">
              <w:rPr>
                <w:rFonts w:ascii="Times New Roman" w:hAnsi="Times New Roman" w:cs="Times New Roman"/>
                <w:sz w:val="22"/>
                <w:lang w:val="da-DK"/>
              </w:rPr>
              <w:t>6 - 8 år</w:t>
            </w:r>
          </w:p>
        </w:tc>
        <w:tc>
          <w:tcPr>
            <w:tcW w:w="1922" w:type="dxa"/>
          </w:tcPr>
          <w:p w:rsidR="003C101D" w:rsidRPr="003D099C" w:rsidRDefault="003C101D" w:rsidP="003B4BCE">
            <w:pPr>
              <w:rPr>
                <w:rFonts w:ascii="Times New Roman" w:hAnsi="Times New Roman" w:cs="Times New Roman"/>
                <w:sz w:val="22"/>
                <w:lang w:val="da-DK"/>
              </w:rPr>
            </w:pPr>
            <w:r w:rsidRPr="003D099C">
              <w:rPr>
                <w:rFonts w:ascii="Times New Roman" w:hAnsi="Times New Roman" w:cs="Times New Roman"/>
                <w:sz w:val="22"/>
                <w:lang w:val="da-DK"/>
              </w:rPr>
              <w:t>10-16 g/100-160 cm</w:t>
            </w:r>
            <w:r w:rsidRPr="003D099C">
              <w:rPr>
                <w:rFonts w:ascii="Times New Roman" w:hAnsi="Times New Roman" w:cs="Times New Roman"/>
                <w:sz w:val="22"/>
                <w:vertAlign w:val="superscript"/>
                <w:lang w:val="da-DK"/>
              </w:rPr>
              <w:t>2</w:t>
            </w:r>
            <w:r w:rsidRPr="003D099C">
              <w:rPr>
                <w:rFonts w:ascii="Times New Roman" w:hAnsi="Times New Roman" w:cs="Times New Roman"/>
                <w:sz w:val="22"/>
                <w:lang w:val="da-DK"/>
              </w:rPr>
              <w:t xml:space="preserve"> (1 g/10 cm</w:t>
            </w:r>
            <w:r w:rsidRPr="003D099C">
              <w:rPr>
                <w:rFonts w:ascii="Times New Roman" w:hAnsi="Times New Roman" w:cs="Times New Roman"/>
                <w:sz w:val="22"/>
                <w:vertAlign w:val="superscript"/>
                <w:lang w:val="da-DK"/>
              </w:rPr>
              <w:t>2</w:t>
            </w:r>
            <w:r w:rsidRPr="003D099C">
              <w:rPr>
                <w:rFonts w:ascii="Times New Roman" w:hAnsi="Times New Roman" w:cs="Times New Roman"/>
                <w:sz w:val="22"/>
                <w:lang w:val="da-DK"/>
              </w:rPr>
              <w:t>)</w:t>
            </w:r>
          </w:p>
        </w:tc>
        <w:tc>
          <w:tcPr>
            <w:tcW w:w="1992" w:type="dxa"/>
          </w:tcPr>
          <w:p w:rsidR="003C101D" w:rsidRPr="003D099C" w:rsidRDefault="003C101D" w:rsidP="003B4BCE">
            <w:pPr>
              <w:ind w:left="43"/>
              <w:rPr>
                <w:rFonts w:ascii="Times New Roman" w:hAnsi="Times New Roman" w:cs="Times New Roman"/>
                <w:sz w:val="22"/>
                <w:lang w:val="da-DK"/>
              </w:rPr>
            </w:pPr>
            <w:r w:rsidRPr="003D099C">
              <w:rPr>
                <w:rFonts w:ascii="Times New Roman" w:hAnsi="Times New Roman" w:cs="Times New Roman"/>
                <w:sz w:val="22"/>
                <w:lang w:val="da-DK"/>
              </w:rPr>
              <w:t>2 timer</w:t>
            </w:r>
          </w:p>
        </w:tc>
        <w:tc>
          <w:tcPr>
            <w:tcW w:w="1849" w:type="dxa"/>
            <w:tcBorders>
              <w:right w:val="single" w:sz="4" w:space="0" w:color="auto"/>
            </w:tcBorders>
          </w:tcPr>
          <w:p w:rsidR="003C101D" w:rsidRPr="003D099C" w:rsidRDefault="003C101D" w:rsidP="003B4BCE">
            <w:pPr>
              <w:ind w:left="34"/>
              <w:rPr>
                <w:rFonts w:ascii="Times New Roman" w:hAnsi="Times New Roman" w:cs="Times New Roman"/>
                <w:sz w:val="22"/>
                <w:lang w:val="da-DK"/>
              </w:rPr>
            </w:pPr>
            <w:r w:rsidRPr="003D099C">
              <w:rPr>
                <w:rFonts w:ascii="Times New Roman" w:hAnsi="Times New Roman" w:cs="Times New Roman"/>
                <w:sz w:val="22"/>
                <w:lang w:val="da-DK"/>
              </w:rPr>
              <w:t>299</w:t>
            </w:r>
          </w:p>
        </w:tc>
        <w:tc>
          <w:tcPr>
            <w:tcW w:w="1128" w:type="dxa"/>
            <w:tcBorders>
              <w:left w:val="single" w:sz="4" w:space="0" w:color="auto"/>
            </w:tcBorders>
          </w:tcPr>
          <w:p w:rsidR="003C101D" w:rsidRPr="003D099C" w:rsidRDefault="003C101D" w:rsidP="003B4BCE">
            <w:pPr>
              <w:ind w:left="34"/>
              <w:rPr>
                <w:rFonts w:ascii="Times New Roman" w:hAnsi="Times New Roman" w:cs="Times New Roman"/>
                <w:sz w:val="22"/>
                <w:lang w:val="da-DK"/>
              </w:rPr>
            </w:pPr>
            <w:r w:rsidRPr="003D099C">
              <w:rPr>
                <w:rFonts w:ascii="Times New Roman" w:hAnsi="Times New Roman" w:cs="Times New Roman"/>
                <w:sz w:val="22"/>
                <w:lang w:val="da-DK"/>
              </w:rPr>
              <w:t>110</w:t>
            </w:r>
          </w:p>
        </w:tc>
      </w:tr>
    </w:tbl>
    <w:p w:rsidR="003C101D" w:rsidRPr="00C84483" w:rsidRDefault="003C101D" w:rsidP="003C101D">
      <w:pPr>
        <w:tabs>
          <w:tab w:val="left" w:pos="851"/>
        </w:tabs>
        <w:ind w:left="851"/>
        <w:rPr>
          <w:sz w:val="24"/>
          <w:szCs w:val="24"/>
        </w:rPr>
      </w:pPr>
    </w:p>
    <w:p w:rsidR="003C101D" w:rsidRPr="00C84483" w:rsidRDefault="003C101D" w:rsidP="003C101D">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3C101D" w:rsidRPr="00E63DFB" w:rsidRDefault="003C101D" w:rsidP="003C101D">
      <w:pPr>
        <w:ind w:left="851"/>
        <w:rPr>
          <w:rFonts w:eastAsiaTheme="minorEastAsia"/>
          <w:sz w:val="24"/>
          <w:szCs w:val="24"/>
        </w:rPr>
      </w:pPr>
      <w:r w:rsidRPr="00E63DFB">
        <w:rPr>
          <w:rFonts w:eastAsiaTheme="minorEastAsia"/>
          <w:sz w:val="24"/>
          <w:szCs w:val="24"/>
        </w:rPr>
        <w:t xml:space="preserve">Efter brug af høje doser af enten </w:t>
      </w:r>
      <w:proofErr w:type="spellStart"/>
      <w:r w:rsidRPr="00E63DFB">
        <w:rPr>
          <w:rFonts w:eastAsiaTheme="minorEastAsia"/>
          <w:sz w:val="24"/>
          <w:szCs w:val="24"/>
        </w:rPr>
        <w:t>lidocain</w:t>
      </w:r>
      <w:proofErr w:type="spellEnd"/>
      <w:r w:rsidRPr="00E63DFB">
        <w:rPr>
          <w:rFonts w:eastAsiaTheme="minorEastAsia"/>
          <w:sz w:val="24"/>
          <w:szCs w:val="24"/>
        </w:rPr>
        <w:t xml:space="preserve"> eller </w:t>
      </w:r>
      <w:proofErr w:type="spellStart"/>
      <w:r w:rsidRPr="00E63DFB">
        <w:rPr>
          <w:rFonts w:eastAsiaTheme="minorEastAsia"/>
          <w:sz w:val="24"/>
          <w:szCs w:val="24"/>
        </w:rPr>
        <w:t>prilocain</w:t>
      </w:r>
      <w:proofErr w:type="spellEnd"/>
      <w:r w:rsidRPr="00E63DFB">
        <w:rPr>
          <w:rFonts w:eastAsiaTheme="minorEastAsia"/>
          <w:sz w:val="24"/>
          <w:szCs w:val="24"/>
        </w:rPr>
        <w:t xml:space="preserve"> alene eller i kombination i dyreforsøg bestod den observerede toksicitet af virkninger på centralnervesystemet og det </w:t>
      </w:r>
      <w:proofErr w:type="spellStart"/>
      <w:r w:rsidRPr="00E63DFB">
        <w:rPr>
          <w:rFonts w:eastAsiaTheme="minorEastAsia"/>
          <w:sz w:val="24"/>
          <w:szCs w:val="24"/>
        </w:rPr>
        <w:t>kardiovaskulære</w:t>
      </w:r>
      <w:proofErr w:type="spellEnd"/>
      <w:r w:rsidRPr="00E63DFB">
        <w:rPr>
          <w:rFonts w:eastAsiaTheme="minorEastAsia"/>
          <w:sz w:val="24"/>
          <w:szCs w:val="24"/>
        </w:rPr>
        <w:t xml:space="preserve"> system. Når </w:t>
      </w:r>
      <w:proofErr w:type="spellStart"/>
      <w:r w:rsidRPr="00E63DFB">
        <w:rPr>
          <w:rFonts w:eastAsiaTheme="minorEastAsia"/>
          <w:sz w:val="24"/>
          <w:szCs w:val="24"/>
        </w:rPr>
        <w:t>lidocain</w:t>
      </w:r>
      <w:proofErr w:type="spellEnd"/>
      <w:r w:rsidRPr="00E63DFB">
        <w:rPr>
          <w:rFonts w:eastAsiaTheme="minorEastAsia"/>
          <w:sz w:val="24"/>
          <w:szCs w:val="24"/>
        </w:rPr>
        <w:t xml:space="preserve"> og </w:t>
      </w:r>
      <w:proofErr w:type="spellStart"/>
      <w:r w:rsidRPr="00E63DFB">
        <w:rPr>
          <w:rFonts w:eastAsiaTheme="minorEastAsia"/>
          <w:sz w:val="24"/>
          <w:szCs w:val="24"/>
        </w:rPr>
        <w:t>prilocain</w:t>
      </w:r>
      <w:proofErr w:type="spellEnd"/>
      <w:r w:rsidRPr="00E63DFB">
        <w:rPr>
          <w:rFonts w:eastAsiaTheme="minorEastAsia"/>
          <w:sz w:val="24"/>
          <w:szCs w:val="24"/>
        </w:rPr>
        <w:t xml:space="preserve"> blev kombineret, blev der kun set </w:t>
      </w:r>
      <w:proofErr w:type="spellStart"/>
      <w:r w:rsidRPr="00E63DFB">
        <w:rPr>
          <w:rFonts w:eastAsiaTheme="minorEastAsia"/>
          <w:sz w:val="24"/>
          <w:szCs w:val="24"/>
        </w:rPr>
        <w:t>additive</w:t>
      </w:r>
      <w:proofErr w:type="spellEnd"/>
      <w:r w:rsidRPr="00E63DFB">
        <w:rPr>
          <w:rFonts w:eastAsiaTheme="minorEastAsia"/>
          <w:sz w:val="24"/>
          <w:szCs w:val="24"/>
        </w:rPr>
        <w:t xml:space="preserve"> virkninger, og ingen tegn på synergi eller uventet toksicitet. Begge aktive stoffer blev påvist at have lav oral akut toksicitet, hvilket giver en god sikkerhedsmargen i tilfælde af, at </w:t>
      </w:r>
      <w:proofErr w:type="spellStart"/>
      <w:r w:rsidRPr="00E63DFB">
        <w:rPr>
          <w:rFonts w:eastAsiaTheme="minorEastAsia"/>
          <w:sz w:val="24"/>
          <w:szCs w:val="24"/>
        </w:rPr>
        <w:t>lidocain</w:t>
      </w:r>
      <w:proofErr w:type="spellEnd"/>
      <w:r w:rsidRPr="00E63DFB">
        <w:rPr>
          <w:rFonts w:eastAsiaTheme="minorEastAsia"/>
          <w:sz w:val="24"/>
          <w:szCs w:val="24"/>
        </w:rPr>
        <w:t>/</w:t>
      </w:r>
      <w:proofErr w:type="spellStart"/>
      <w:r w:rsidRPr="00E63DFB">
        <w:rPr>
          <w:rFonts w:eastAsiaTheme="minorEastAsia"/>
          <w:sz w:val="24"/>
          <w:szCs w:val="24"/>
        </w:rPr>
        <w:t>prilocaincreme</w:t>
      </w:r>
      <w:proofErr w:type="spellEnd"/>
      <w:r w:rsidRPr="00E63DFB">
        <w:rPr>
          <w:rFonts w:eastAsiaTheme="minorEastAsia"/>
          <w:sz w:val="24"/>
          <w:szCs w:val="24"/>
        </w:rPr>
        <w:t xml:space="preserve"> uforsætligt bliver indtaget gennem munden. I reproduktions</w:t>
      </w:r>
      <w:r>
        <w:rPr>
          <w:rFonts w:eastAsiaTheme="minorEastAsia"/>
          <w:sz w:val="24"/>
          <w:szCs w:val="24"/>
        </w:rPr>
        <w:softHyphen/>
      </w:r>
      <w:r w:rsidRPr="00E63DFB">
        <w:rPr>
          <w:rFonts w:eastAsiaTheme="minorEastAsia"/>
          <w:sz w:val="24"/>
          <w:szCs w:val="24"/>
        </w:rPr>
        <w:t xml:space="preserve">toksicitetsstudier blev der set embryotoksiske eller </w:t>
      </w:r>
      <w:proofErr w:type="spellStart"/>
      <w:r w:rsidRPr="00E63DFB">
        <w:rPr>
          <w:rFonts w:eastAsiaTheme="minorEastAsia"/>
          <w:sz w:val="24"/>
          <w:szCs w:val="24"/>
        </w:rPr>
        <w:t>føtotoksiske</w:t>
      </w:r>
      <w:proofErr w:type="spellEnd"/>
      <w:r w:rsidRPr="00E63DFB">
        <w:rPr>
          <w:rFonts w:eastAsiaTheme="minorEastAsia"/>
          <w:sz w:val="24"/>
          <w:szCs w:val="24"/>
        </w:rPr>
        <w:t xml:space="preserve"> virkning af </w:t>
      </w:r>
      <w:proofErr w:type="spellStart"/>
      <w:r w:rsidRPr="00E63DFB">
        <w:rPr>
          <w:rFonts w:eastAsiaTheme="minorEastAsia"/>
          <w:sz w:val="24"/>
          <w:szCs w:val="24"/>
        </w:rPr>
        <w:t>lidocain</w:t>
      </w:r>
      <w:proofErr w:type="spellEnd"/>
      <w:r w:rsidRPr="00E63DFB">
        <w:rPr>
          <w:rFonts w:eastAsiaTheme="minorEastAsia"/>
          <w:sz w:val="24"/>
          <w:szCs w:val="24"/>
        </w:rPr>
        <w:t xml:space="preserve"> ved doser på 25 mg/kg subkutant hos kaniner, og af </w:t>
      </w:r>
      <w:proofErr w:type="spellStart"/>
      <w:r w:rsidRPr="00E63DFB">
        <w:rPr>
          <w:rFonts w:eastAsiaTheme="minorEastAsia"/>
          <w:sz w:val="24"/>
          <w:szCs w:val="24"/>
        </w:rPr>
        <w:t>prilocain</w:t>
      </w:r>
      <w:proofErr w:type="spellEnd"/>
      <w:r w:rsidRPr="00E63DFB">
        <w:rPr>
          <w:rFonts w:eastAsiaTheme="minorEastAsia"/>
          <w:sz w:val="24"/>
          <w:szCs w:val="24"/>
        </w:rPr>
        <w:t xml:space="preserve"> ved doser fra 100 mg/kg intramuskulært hos rotter. Den </w:t>
      </w:r>
      <w:proofErr w:type="spellStart"/>
      <w:r w:rsidRPr="00E63DFB">
        <w:rPr>
          <w:rFonts w:eastAsiaTheme="minorEastAsia"/>
          <w:sz w:val="24"/>
          <w:szCs w:val="24"/>
        </w:rPr>
        <w:t>postnatale</w:t>
      </w:r>
      <w:proofErr w:type="spellEnd"/>
      <w:r w:rsidRPr="00E63DFB">
        <w:rPr>
          <w:rFonts w:eastAsiaTheme="minorEastAsia"/>
          <w:sz w:val="24"/>
          <w:szCs w:val="24"/>
        </w:rPr>
        <w:t xml:space="preserve"> udvikling hos afkommet af rotter påvirkes ikke ved </w:t>
      </w:r>
      <w:proofErr w:type="spellStart"/>
      <w:r w:rsidRPr="00E63DFB">
        <w:rPr>
          <w:rFonts w:eastAsiaTheme="minorEastAsia"/>
          <w:sz w:val="24"/>
          <w:szCs w:val="24"/>
        </w:rPr>
        <w:t>lidocaindoser</w:t>
      </w:r>
      <w:proofErr w:type="spellEnd"/>
      <w:r w:rsidRPr="00E63DFB">
        <w:rPr>
          <w:rFonts w:eastAsiaTheme="minorEastAsia"/>
          <w:sz w:val="24"/>
          <w:szCs w:val="24"/>
        </w:rPr>
        <w:t xml:space="preserve"> under det </w:t>
      </w:r>
      <w:proofErr w:type="spellStart"/>
      <w:r w:rsidRPr="00E63DFB">
        <w:rPr>
          <w:rFonts w:eastAsiaTheme="minorEastAsia"/>
          <w:sz w:val="24"/>
          <w:szCs w:val="24"/>
        </w:rPr>
        <w:t>maternelle</w:t>
      </w:r>
      <w:proofErr w:type="spellEnd"/>
      <w:r w:rsidRPr="00E63DFB">
        <w:rPr>
          <w:rFonts w:eastAsiaTheme="minorEastAsia"/>
          <w:sz w:val="24"/>
          <w:szCs w:val="24"/>
        </w:rPr>
        <w:t xml:space="preserve"> toksiske interval. Der er ikke set nedsat fertilitet hos han- og hunrotter som følge af </w:t>
      </w:r>
      <w:proofErr w:type="spellStart"/>
      <w:r w:rsidRPr="00E63DFB">
        <w:rPr>
          <w:rFonts w:eastAsiaTheme="minorEastAsia"/>
          <w:sz w:val="24"/>
          <w:szCs w:val="24"/>
        </w:rPr>
        <w:t>lidocain</w:t>
      </w:r>
      <w:proofErr w:type="spellEnd"/>
      <w:r w:rsidRPr="00E63DFB">
        <w:rPr>
          <w:rFonts w:eastAsiaTheme="minorEastAsia"/>
          <w:sz w:val="24"/>
          <w:szCs w:val="24"/>
        </w:rPr>
        <w:t xml:space="preserve"> eller </w:t>
      </w:r>
      <w:proofErr w:type="spellStart"/>
      <w:r w:rsidRPr="00E63DFB">
        <w:rPr>
          <w:rFonts w:eastAsiaTheme="minorEastAsia"/>
          <w:sz w:val="24"/>
          <w:szCs w:val="24"/>
        </w:rPr>
        <w:t>prilocain</w:t>
      </w:r>
      <w:proofErr w:type="spellEnd"/>
      <w:r w:rsidRPr="00E63DFB">
        <w:rPr>
          <w:rFonts w:eastAsiaTheme="minorEastAsia"/>
          <w:sz w:val="24"/>
          <w:szCs w:val="24"/>
        </w:rPr>
        <w:t xml:space="preserve">. </w:t>
      </w:r>
      <w:proofErr w:type="spellStart"/>
      <w:r w:rsidRPr="00E63DFB">
        <w:rPr>
          <w:rFonts w:eastAsiaTheme="minorEastAsia"/>
          <w:sz w:val="24"/>
          <w:szCs w:val="24"/>
        </w:rPr>
        <w:t>Lidocain</w:t>
      </w:r>
      <w:proofErr w:type="spellEnd"/>
      <w:r w:rsidRPr="00E63DFB">
        <w:rPr>
          <w:rFonts w:eastAsiaTheme="minorEastAsia"/>
          <w:sz w:val="24"/>
          <w:szCs w:val="24"/>
        </w:rPr>
        <w:t xml:space="preserve"> passerer placentamembranen ved simpel diffusion. Forholdet mellem den </w:t>
      </w:r>
      <w:proofErr w:type="spellStart"/>
      <w:r w:rsidRPr="00E63DFB">
        <w:rPr>
          <w:rFonts w:eastAsiaTheme="minorEastAsia"/>
          <w:sz w:val="24"/>
          <w:szCs w:val="24"/>
        </w:rPr>
        <w:t>embryoføtale</w:t>
      </w:r>
      <w:proofErr w:type="spellEnd"/>
      <w:r w:rsidRPr="00E63DFB">
        <w:rPr>
          <w:rFonts w:eastAsiaTheme="minorEastAsia"/>
          <w:sz w:val="24"/>
          <w:szCs w:val="24"/>
        </w:rPr>
        <w:t xml:space="preserve"> dosis og den </w:t>
      </w:r>
      <w:proofErr w:type="spellStart"/>
      <w:r w:rsidRPr="00E63DFB">
        <w:rPr>
          <w:rFonts w:eastAsiaTheme="minorEastAsia"/>
          <w:sz w:val="24"/>
          <w:szCs w:val="24"/>
        </w:rPr>
        <w:t>maternelle</w:t>
      </w:r>
      <w:proofErr w:type="spellEnd"/>
      <w:r w:rsidRPr="00E63DFB">
        <w:rPr>
          <w:rFonts w:eastAsiaTheme="minorEastAsia"/>
          <w:sz w:val="24"/>
          <w:szCs w:val="24"/>
        </w:rPr>
        <w:t xml:space="preserve"> plasmakoncentration er 0,4 til 1,3. </w:t>
      </w:r>
    </w:p>
    <w:p w:rsidR="003C101D" w:rsidRPr="00E63DFB" w:rsidRDefault="003C101D" w:rsidP="003C101D">
      <w:pPr>
        <w:ind w:left="851"/>
        <w:rPr>
          <w:rFonts w:eastAsiaTheme="minorEastAsia"/>
          <w:sz w:val="24"/>
          <w:szCs w:val="24"/>
        </w:rPr>
      </w:pPr>
    </w:p>
    <w:p w:rsidR="003C101D" w:rsidRPr="00E63DFB" w:rsidRDefault="003C101D" w:rsidP="003C101D">
      <w:pPr>
        <w:ind w:left="851"/>
        <w:rPr>
          <w:rFonts w:eastAsiaTheme="minorEastAsia"/>
          <w:sz w:val="24"/>
          <w:szCs w:val="24"/>
        </w:rPr>
      </w:pPr>
      <w:r w:rsidRPr="00E63DFB">
        <w:rPr>
          <w:rFonts w:eastAsiaTheme="minorEastAsia"/>
          <w:sz w:val="24"/>
          <w:szCs w:val="24"/>
        </w:rPr>
        <w:t xml:space="preserve">Ingen af lokalanæstesimidlerne udviste genotoksisk potentiale i in </w:t>
      </w:r>
      <w:proofErr w:type="spellStart"/>
      <w:r w:rsidRPr="00E63DFB">
        <w:rPr>
          <w:rFonts w:eastAsiaTheme="minorEastAsia"/>
          <w:sz w:val="24"/>
          <w:szCs w:val="24"/>
        </w:rPr>
        <w:t>vitro</w:t>
      </w:r>
      <w:proofErr w:type="spellEnd"/>
      <w:r w:rsidRPr="00E63DFB">
        <w:rPr>
          <w:rFonts w:eastAsiaTheme="minorEastAsia"/>
          <w:sz w:val="24"/>
          <w:szCs w:val="24"/>
        </w:rPr>
        <w:t xml:space="preserve">- og in </w:t>
      </w:r>
      <w:proofErr w:type="spellStart"/>
      <w:r w:rsidRPr="00E63DFB">
        <w:rPr>
          <w:rFonts w:eastAsiaTheme="minorEastAsia"/>
          <w:sz w:val="24"/>
          <w:szCs w:val="24"/>
        </w:rPr>
        <w:t>vivo-genotoksicitetstest</w:t>
      </w:r>
      <w:proofErr w:type="spellEnd"/>
      <w:r w:rsidRPr="00E63DFB">
        <w:rPr>
          <w:rFonts w:eastAsiaTheme="minorEastAsia"/>
          <w:sz w:val="24"/>
          <w:szCs w:val="24"/>
        </w:rPr>
        <w:t>.</w:t>
      </w:r>
    </w:p>
    <w:p w:rsidR="003C101D" w:rsidRPr="00E63DFB" w:rsidRDefault="003C101D" w:rsidP="003C101D">
      <w:pPr>
        <w:ind w:left="851"/>
        <w:rPr>
          <w:rFonts w:eastAsiaTheme="minorEastAsia"/>
          <w:sz w:val="24"/>
          <w:szCs w:val="24"/>
        </w:rPr>
      </w:pPr>
      <w:r w:rsidRPr="00E63DFB">
        <w:rPr>
          <w:rFonts w:eastAsiaTheme="minorEastAsia"/>
          <w:sz w:val="24"/>
          <w:szCs w:val="24"/>
        </w:rPr>
        <w:t xml:space="preserve">Som følge af indikationen og den terapeutiske varighed af disse aktive stoffer er der ikke udført </w:t>
      </w:r>
      <w:proofErr w:type="spellStart"/>
      <w:r w:rsidRPr="00E63DFB">
        <w:rPr>
          <w:rFonts w:eastAsiaTheme="minorEastAsia"/>
          <w:sz w:val="24"/>
          <w:szCs w:val="24"/>
        </w:rPr>
        <w:t>karcinogenicitetsstudier</w:t>
      </w:r>
      <w:proofErr w:type="spellEnd"/>
      <w:r w:rsidRPr="00E63DFB">
        <w:rPr>
          <w:rFonts w:eastAsiaTheme="minorEastAsia"/>
          <w:sz w:val="24"/>
          <w:szCs w:val="24"/>
        </w:rPr>
        <w:t xml:space="preserve"> hverken med </w:t>
      </w:r>
      <w:proofErr w:type="spellStart"/>
      <w:r w:rsidRPr="00E63DFB">
        <w:rPr>
          <w:rFonts w:eastAsiaTheme="minorEastAsia"/>
          <w:sz w:val="24"/>
          <w:szCs w:val="24"/>
        </w:rPr>
        <w:t>lidocain</w:t>
      </w:r>
      <w:proofErr w:type="spellEnd"/>
      <w:r w:rsidRPr="00E63DFB">
        <w:rPr>
          <w:rFonts w:eastAsiaTheme="minorEastAsia"/>
          <w:sz w:val="24"/>
          <w:szCs w:val="24"/>
        </w:rPr>
        <w:t xml:space="preserve"> eller </w:t>
      </w:r>
      <w:proofErr w:type="spellStart"/>
      <w:r w:rsidRPr="00E63DFB">
        <w:rPr>
          <w:rFonts w:eastAsiaTheme="minorEastAsia"/>
          <w:sz w:val="24"/>
          <w:szCs w:val="24"/>
        </w:rPr>
        <w:t>prilocain</w:t>
      </w:r>
      <w:proofErr w:type="spellEnd"/>
      <w:r w:rsidRPr="00E63DFB">
        <w:rPr>
          <w:rFonts w:eastAsiaTheme="minorEastAsia"/>
          <w:sz w:val="24"/>
          <w:szCs w:val="24"/>
        </w:rPr>
        <w:t xml:space="preserve"> alene eller i kombination.</w:t>
      </w:r>
    </w:p>
    <w:p w:rsidR="003C101D" w:rsidRPr="00E63DFB" w:rsidRDefault="003C101D" w:rsidP="003C101D">
      <w:pPr>
        <w:ind w:left="851"/>
        <w:rPr>
          <w:rFonts w:eastAsiaTheme="minorEastAsia"/>
          <w:sz w:val="24"/>
          <w:szCs w:val="24"/>
        </w:rPr>
      </w:pPr>
    </w:p>
    <w:p w:rsidR="003C101D" w:rsidRPr="00E63DFB" w:rsidRDefault="003C101D" w:rsidP="003C101D">
      <w:pPr>
        <w:ind w:left="851"/>
        <w:rPr>
          <w:rFonts w:eastAsiaTheme="minorEastAsia"/>
          <w:sz w:val="24"/>
          <w:szCs w:val="24"/>
        </w:rPr>
      </w:pPr>
      <w:proofErr w:type="spellStart"/>
      <w:r w:rsidRPr="00E63DFB">
        <w:rPr>
          <w:rFonts w:eastAsiaTheme="minorEastAsia"/>
          <w:sz w:val="24"/>
          <w:szCs w:val="24"/>
        </w:rPr>
        <w:t>Lidocainmetabolitten</w:t>
      </w:r>
      <w:proofErr w:type="spellEnd"/>
      <w:r w:rsidRPr="00E63DFB">
        <w:rPr>
          <w:rFonts w:eastAsiaTheme="minorEastAsia"/>
          <w:sz w:val="24"/>
          <w:szCs w:val="24"/>
        </w:rPr>
        <w:t xml:space="preserve"> 2,6-dimethylanilin og </w:t>
      </w:r>
      <w:proofErr w:type="spellStart"/>
      <w:r w:rsidRPr="00E63DFB">
        <w:rPr>
          <w:rFonts w:eastAsiaTheme="minorEastAsia"/>
          <w:sz w:val="24"/>
          <w:szCs w:val="24"/>
        </w:rPr>
        <w:t>prilocainmetabolitten</w:t>
      </w:r>
      <w:proofErr w:type="spellEnd"/>
      <w:r w:rsidRPr="00E63DFB">
        <w:rPr>
          <w:rFonts w:eastAsiaTheme="minorEastAsia"/>
          <w:sz w:val="24"/>
          <w:szCs w:val="24"/>
        </w:rPr>
        <w:t xml:space="preserve"> o-</w:t>
      </w:r>
      <w:proofErr w:type="spellStart"/>
      <w:r w:rsidRPr="00E63DFB">
        <w:rPr>
          <w:rFonts w:eastAsiaTheme="minorEastAsia"/>
          <w:sz w:val="24"/>
          <w:szCs w:val="24"/>
        </w:rPr>
        <w:t>toluidin</w:t>
      </w:r>
      <w:proofErr w:type="spellEnd"/>
      <w:r w:rsidRPr="00E63DFB">
        <w:rPr>
          <w:rFonts w:eastAsiaTheme="minorEastAsia"/>
          <w:sz w:val="24"/>
          <w:szCs w:val="24"/>
        </w:rPr>
        <w:t xml:space="preserve"> viste evidens for genotoksisk aktivitet. Disse metabolitter er påvist at have </w:t>
      </w:r>
      <w:proofErr w:type="spellStart"/>
      <w:r w:rsidRPr="00E63DFB">
        <w:rPr>
          <w:rFonts w:eastAsiaTheme="minorEastAsia"/>
          <w:sz w:val="24"/>
          <w:szCs w:val="24"/>
        </w:rPr>
        <w:t>karcinogent</w:t>
      </w:r>
      <w:proofErr w:type="spellEnd"/>
      <w:r w:rsidRPr="00E63DFB">
        <w:rPr>
          <w:rFonts w:eastAsiaTheme="minorEastAsia"/>
          <w:sz w:val="24"/>
          <w:szCs w:val="24"/>
        </w:rPr>
        <w:t xml:space="preserve"> potentiale i prækliniske toksikologistudier, der evaluerede kronisk eksponering. Risikovurderinger, der sammenligner den beregnede maksimale eksponering hos mennesker ved intermitterende brug af </w:t>
      </w:r>
      <w:proofErr w:type="spellStart"/>
      <w:r w:rsidRPr="00E63DFB">
        <w:rPr>
          <w:rFonts w:eastAsiaTheme="minorEastAsia"/>
          <w:sz w:val="24"/>
          <w:szCs w:val="24"/>
        </w:rPr>
        <w:t>lidocain</w:t>
      </w:r>
      <w:proofErr w:type="spellEnd"/>
      <w:r w:rsidRPr="00E63DFB">
        <w:rPr>
          <w:rFonts w:eastAsiaTheme="minorEastAsia"/>
          <w:sz w:val="24"/>
          <w:szCs w:val="24"/>
        </w:rPr>
        <w:t xml:space="preserve"> og </w:t>
      </w:r>
      <w:proofErr w:type="spellStart"/>
      <w:r w:rsidRPr="00E63DFB">
        <w:rPr>
          <w:rFonts w:eastAsiaTheme="minorEastAsia"/>
          <w:sz w:val="24"/>
          <w:szCs w:val="24"/>
        </w:rPr>
        <w:t>prilocain</w:t>
      </w:r>
      <w:proofErr w:type="spellEnd"/>
      <w:r w:rsidRPr="00E63DFB">
        <w:rPr>
          <w:rFonts w:eastAsiaTheme="minorEastAsia"/>
          <w:sz w:val="24"/>
          <w:szCs w:val="24"/>
        </w:rPr>
        <w:t xml:space="preserve"> med de eksponeringer, der blev brugt i prækliniske studier, viser en bred sikkerhedsmargen for klinisk brug.</w:t>
      </w:r>
    </w:p>
    <w:p w:rsidR="003C101D" w:rsidRPr="00E63DFB" w:rsidRDefault="003C101D" w:rsidP="003C101D">
      <w:pPr>
        <w:ind w:left="851"/>
        <w:rPr>
          <w:rFonts w:eastAsiaTheme="minorEastAsia"/>
          <w:sz w:val="24"/>
          <w:szCs w:val="24"/>
        </w:rPr>
      </w:pPr>
    </w:p>
    <w:p w:rsidR="003C101D" w:rsidRPr="00E63DFB" w:rsidRDefault="003C101D" w:rsidP="003C101D">
      <w:pPr>
        <w:ind w:left="851"/>
        <w:rPr>
          <w:rFonts w:eastAsiaTheme="minorEastAsia"/>
          <w:sz w:val="24"/>
          <w:szCs w:val="24"/>
        </w:rPr>
      </w:pPr>
      <w:r w:rsidRPr="00E63DFB">
        <w:rPr>
          <w:rFonts w:eastAsiaTheme="minorEastAsia"/>
          <w:sz w:val="24"/>
          <w:szCs w:val="24"/>
        </w:rPr>
        <w:t xml:space="preserve">Studier af lokal tolerance, hvor der blev anvendt en blanding af </w:t>
      </w:r>
      <w:proofErr w:type="spellStart"/>
      <w:r w:rsidRPr="00E63DFB">
        <w:rPr>
          <w:rFonts w:eastAsiaTheme="minorEastAsia"/>
          <w:sz w:val="24"/>
          <w:szCs w:val="24"/>
        </w:rPr>
        <w:t>lidocain</w:t>
      </w:r>
      <w:proofErr w:type="spellEnd"/>
      <w:r w:rsidRPr="00E63DFB">
        <w:rPr>
          <w:rFonts w:eastAsiaTheme="minorEastAsia"/>
          <w:sz w:val="24"/>
          <w:szCs w:val="24"/>
        </w:rPr>
        <w:t xml:space="preserve"> og </w:t>
      </w:r>
      <w:proofErr w:type="spellStart"/>
      <w:r w:rsidRPr="00E63DFB">
        <w:rPr>
          <w:rFonts w:eastAsiaTheme="minorEastAsia"/>
          <w:sz w:val="24"/>
          <w:szCs w:val="24"/>
        </w:rPr>
        <w:t>prilocain</w:t>
      </w:r>
      <w:proofErr w:type="spellEnd"/>
      <w:r w:rsidRPr="00E63DFB">
        <w:rPr>
          <w:rFonts w:eastAsiaTheme="minorEastAsia"/>
          <w:sz w:val="24"/>
          <w:szCs w:val="24"/>
        </w:rPr>
        <w:t xml:space="preserve"> i forholdet 1:1 (w/w) som emulsion, creme eller gel, viste, at disse formuleringer er veltolererede på intakt og beskadiget hud og slimhinder.</w:t>
      </w:r>
    </w:p>
    <w:p w:rsidR="003C101D" w:rsidRPr="00E63DFB" w:rsidRDefault="003C101D" w:rsidP="003C101D">
      <w:pPr>
        <w:ind w:left="851"/>
        <w:rPr>
          <w:rFonts w:eastAsiaTheme="minorEastAsia"/>
          <w:sz w:val="24"/>
          <w:szCs w:val="24"/>
        </w:rPr>
      </w:pPr>
    </w:p>
    <w:p w:rsidR="003C101D" w:rsidRPr="005A5A2D" w:rsidRDefault="003C101D" w:rsidP="003C101D">
      <w:pPr>
        <w:ind w:left="851"/>
        <w:rPr>
          <w:rFonts w:eastAsiaTheme="minorEastAsia"/>
          <w:sz w:val="24"/>
          <w:szCs w:val="24"/>
        </w:rPr>
      </w:pPr>
      <w:r w:rsidRPr="00E63DFB">
        <w:rPr>
          <w:rFonts w:eastAsiaTheme="minorEastAsia"/>
          <w:sz w:val="24"/>
          <w:szCs w:val="24"/>
        </w:rPr>
        <w:t xml:space="preserve">Der blev set en markant </w:t>
      </w:r>
      <w:proofErr w:type="spellStart"/>
      <w:r w:rsidRPr="00E63DFB">
        <w:rPr>
          <w:rFonts w:eastAsiaTheme="minorEastAsia"/>
          <w:sz w:val="24"/>
          <w:szCs w:val="24"/>
        </w:rPr>
        <w:t>irritativ</w:t>
      </w:r>
      <w:proofErr w:type="spellEnd"/>
      <w:r w:rsidRPr="00E63DFB">
        <w:rPr>
          <w:rFonts w:eastAsiaTheme="minorEastAsia"/>
          <w:sz w:val="24"/>
          <w:szCs w:val="24"/>
        </w:rPr>
        <w:t xml:space="preserve"> reaktion efter en enkelt </w:t>
      </w:r>
      <w:proofErr w:type="spellStart"/>
      <w:r w:rsidRPr="00E63DFB">
        <w:rPr>
          <w:rFonts w:eastAsiaTheme="minorEastAsia"/>
          <w:sz w:val="24"/>
          <w:szCs w:val="24"/>
        </w:rPr>
        <w:t>okulær</w:t>
      </w:r>
      <w:proofErr w:type="spellEnd"/>
      <w:r w:rsidRPr="00E63DFB">
        <w:rPr>
          <w:rFonts w:eastAsiaTheme="minorEastAsia"/>
          <w:sz w:val="24"/>
          <w:szCs w:val="24"/>
        </w:rPr>
        <w:t xml:space="preserve"> administration af 50 mg/g </w:t>
      </w:r>
      <w:proofErr w:type="spellStart"/>
      <w:r w:rsidRPr="00E63DFB">
        <w:rPr>
          <w:rFonts w:eastAsiaTheme="minorEastAsia"/>
          <w:sz w:val="24"/>
          <w:szCs w:val="24"/>
        </w:rPr>
        <w:t>lidocain</w:t>
      </w:r>
      <w:proofErr w:type="spellEnd"/>
      <w:r w:rsidRPr="00E63DFB">
        <w:rPr>
          <w:rFonts w:eastAsiaTheme="minorEastAsia"/>
          <w:sz w:val="24"/>
          <w:szCs w:val="24"/>
        </w:rPr>
        <w:t xml:space="preserve"> + </w:t>
      </w:r>
      <w:proofErr w:type="spellStart"/>
      <w:r w:rsidRPr="00E63DFB">
        <w:rPr>
          <w:rFonts w:eastAsiaTheme="minorEastAsia"/>
          <w:sz w:val="24"/>
          <w:szCs w:val="24"/>
        </w:rPr>
        <w:t>prilocain</w:t>
      </w:r>
      <w:proofErr w:type="spellEnd"/>
      <w:r w:rsidRPr="00E63DFB">
        <w:rPr>
          <w:rFonts w:eastAsiaTheme="minorEastAsia"/>
          <w:sz w:val="24"/>
          <w:szCs w:val="24"/>
        </w:rPr>
        <w:t xml:space="preserve"> 1:1 (w/w) emulsion i et dyrestudie. Dette er den samme koncentration af lokalanæstesimidlerne og en tilsvarende formulering som </w:t>
      </w:r>
      <w:proofErr w:type="spellStart"/>
      <w:r>
        <w:rPr>
          <w:rFonts w:eastAsiaTheme="minorEastAsia"/>
          <w:sz w:val="24"/>
          <w:szCs w:val="24"/>
        </w:rPr>
        <w:t>Nulbia</w:t>
      </w:r>
      <w:proofErr w:type="spellEnd"/>
      <w:r w:rsidRPr="00E63DFB">
        <w:rPr>
          <w:rFonts w:eastAsiaTheme="minorEastAsia"/>
          <w:sz w:val="24"/>
          <w:szCs w:val="24"/>
        </w:rPr>
        <w:t xml:space="preserve">. Den </w:t>
      </w:r>
      <w:proofErr w:type="spellStart"/>
      <w:r w:rsidRPr="00E63DFB">
        <w:rPr>
          <w:rFonts w:eastAsiaTheme="minorEastAsia"/>
          <w:sz w:val="24"/>
          <w:szCs w:val="24"/>
        </w:rPr>
        <w:t>okulære</w:t>
      </w:r>
      <w:proofErr w:type="spellEnd"/>
      <w:r w:rsidRPr="00E63DFB">
        <w:rPr>
          <w:rFonts w:eastAsiaTheme="minorEastAsia"/>
          <w:sz w:val="24"/>
          <w:szCs w:val="24"/>
        </w:rPr>
        <w:t xml:space="preserve"> reaktion kan have været påvirket af den høje pH i emulsionsformuleringen (cirka 9), men skyldes formodentligt også delvist det </w:t>
      </w:r>
      <w:proofErr w:type="spellStart"/>
      <w:r w:rsidRPr="00E63DFB">
        <w:rPr>
          <w:rFonts w:eastAsiaTheme="minorEastAsia"/>
          <w:sz w:val="24"/>
          <w:szCs w:val="24"/>
        </w:rPr>
        <w:t>irritative</w:t>
      </w:r>
      <w:proofErr w:type="spellEnd"/>
      <w:r w:rsidRPr="00E63DFB">
        <w:rPr>
          <w:rFonts w:eastAsiaTheme="minorEastAsia"/>
          <w:sz w:val="24"/>
          <w:szCs w:val="24"/>
        </w:rPr>
        <w:t xml:space="preserve"> potentiale ved </w:t>
      </w:r>
      <w:proofErr w:type="spellStart"/>
      <w:r w:rsidRPr="00E63DFB">
        <w:rPr>
          <w:rFonts w:eastAsiaTheme="minorEastAsia"/>
          <w:sz w:val="24"/>
          <w:szCs w:val="24"/>
        </w:rPr>
        <w:t>lokalanæstetika</w:t>
      </w:r>
      <w:proofErr w:type="spellEnd"/>
      <w:r w:rsidRPr="00E63DFB">
        <w:rPr>
          <w:rFonts w:eastAsiaTheme="minorEastAsia"/>
          <w:sz w:val="24"/>
          <w:szCs w:val="24"/>
        </w:rPr>
        <w:t xml:space="preserve"> i sig selv.</w:t>
      </w:r>
    </w:p>
    <w:p w:rsidR="003C101D" w:rsidRPr="00C84483" w:rsidRDefault="003C101D" w:rsidP="003C101D">
      <w:pPr>
        <w:tabs>
          <w:tab w:val="left" w:pos="851"/>
        </w:tabs>
        <w:ind w:left="851"/>
        <w:rPr>
          <w:sz w:val="24"/>
          <w:szCs w:val="24"/>
        </w:rPr>
      </w:pPr>
    </w:p>
    <w:p w:rsidR="003C101D" w:rsidRPr="00C84483" w:rsidRDefault="003C101D" w:rsidP="003C101D">
      <w:pPr>
        <w:tabs>
          <w:tab w:val="left" w:pos="851"/>
        </w:tabs>
        <w:ind w:left="851"/>
        <w:rPr>
          <w:sz w:val="24"/>
          <w:szCs w:val="24"/>
        </w:rPr>
      </w:pPr>
    </w:p>
    <w:p w:rsidR="003C101D" w:rsidRPr="00C84483" w:rsidRDefault="003C101D" w:rsidP="003C101D">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3C101D" w:rsidRPr="00BA09F1" w:rsidRDefault="003C101D" w:rsidP="003C101D">
      <w:pPr>
        <w:tabs>
          <w:tab w:val="left" w:pos="851"/>
        </w:tabs>
        <w:ind w:left="851"/>
        <w:rPr>
          <w:sz w:val="24"/>
          <w:szCs w:val="24"/>
        </w:rPr>
      </w:pPr>
    </w:p>
    <w:p w:rsidR="003C101D" w:rsidRPr="00C84483" w:rsidRDefault="003C101D" w:rsidP="003C101D">
      <w:pPr>
        <w:tabs>
          <w:tab w:val="left" w:pos="851"/>
        </w:tabs>
        <w:ind w:left="851" w:hanging="851"/>
        <w:rPr>
          <w:b/>
          <w:sz w:val="24"/>
          <w:szCs w:val="24"/>
        </w:rPr>
      </w:pPr>
      <w:r w:rsidRPr="00C84483">
        <w:rPr>
          <w:b/>
          <w:sz w:val="24"/>
          <w:szCs w:val="24"/>
        </w:rPr>
        <w:t>6.1</w:t>
      </w:r>
      <w:r w:rsidRPr="00C84483">
        <w:rPr>
          <w:b/>
          <w:sz w:val="24"/>
          <w:szCs w:val="24"/>
        </w:rPr>
        <w:tab/>
        <w:t>Hjælpestoffer</w:t>
      </w:r>
    </w:p>
    <w:p w:rsidR="003C101D" w:rsidRPr="004D24F8" w:rsidRDefault="003C101D" w:rsidP="003C101D">
      <w:pPr>
        <w:ind w:left="851"/>
        <w:rPr>
          <w:sz w:val="24"/>
          <w:szCs w:val="24"/>
        </w:rPr>
      </w:pPr>
      <w:r>
        <w:rPr>
          <w:sz w:val="24"/>
          <w:szCs w:val="24"/>
        </w:rPr>
        <w:t xml:space="preserve">Ricinusolie, </w:t>
      </w:r>
      <w:proofErr w:type="spellStart"/>
      <w:r>
        <w:rPr>
          <w:sz w:val="24"/>
          <w:szCs w:val="24"/>
        </w:rPr>
        <w:t>polyoxyleret</w:t>
      </w:r>
      <w:proofErr w:type="spellEnd"/>
      <w:r>
        <w:rPr>
          <w:sz w:val="24"/>
          <w:szCs w:val="24"/>
        </w:rPr>
        <w:t xml:space="preserve">, </w:t>
      </w:r>
      <w:proofErr w:type="spellStart"/>
      <w:r>
        <w:rPr>
          <w:sz w:val="24"/>
          <w:szCs w:val="24"/>
        </w:rPr>
        <w:t>hydrogeneret</w:t>
      </w:r>
      <w:proofErr w:type="spellEnd"/>
    </w:p>
    <w:p w:rsidR="003C101D" w:rsidRPr="004D24F8" w:rsidRDefault="003C101D" w:rsidP="003C101D">
      <w:pPr>
        <w:ind w:left="851"/>
        <w:rPr>
          <w:sz w:val="24"/>
          <w:szCs w:val="24"/>
        </w:rPr>
      </w:pPr>
      <w:proofErr w:type="spellStart"/>
      <w:r w:rsidRPr="004D24F8">
        <w:rPr>
          <w:sz w:val="24"/>
          <w:szCs w:val="24"/>
        </w:rPr>
        <w:t>Carbomer</w:t>
      </w:r>
      <w:proofErr w:type="spellEnd"/>
      <w:r w:rsidRPr="004D24F8">
        <w:rPr>
          <w:sz w:val="24"/>
          <w:szCs w:val="24"/>
        </w:rPr>
        <w:t xml:space="preserve"> 974P</w:t>
      </w:r>
    </w:p>
    <w:p w:rsidR="003C101D" w:rsidRPr="004D24F8" w:rsidRDefault="003C101D" w:rsidP="003C101D">
      <w:pPr>
        <w:ind w:left="851"/>
        <w:rPr>
          <w:sz w:val="24"/>
          <w:szCs w:val="24"/>
        </w:rPr>
      </w:pPr>
      <w:r w:rsidRPr="004D24F8">
        <w:rPr>
          <w:sz w:val="24"/>
          <w:szCs w:val="24"/>
        </w:rPr>
        <w:t>Natriumhydroxid</w:t>
      </w:r>
    </w:p>
    <w:p w:rsidR="003C101D" w:rsidRPr="004D24F8" w:rsidRDefault="003C101D" w:rsidP="003C101D">
      <w:pPr>
        <w:ind w:left="851"/>
        <w:rPr>
          <w:sz w:val="24"/>
          <w:szCs w:val="24"/>
        </w:rPr>
      </w:pPr>
      <w:r w:rsidRPr="004D24F8">
        <w:rPr>
          <w:sz w:val="24"/>
          <w:szCs w:val="24"/>
        </w:rPr>
        <w:t>Renset vand</w:t>
      </w:r>
    </w:p>
    <w:p w:rsidR="003C101D" w:rsidRPr="00C84483" w:rsidRDefault="003C101D" w:rsidP="003C101D">
      <w:pPr>
        <w:tabs>
          <w:tab w:val="left" w:pos="851"/>
        </w:tabs>
        <w:ind w:left="851"/>
        <w:rPr>
          <w:sz w:val="24"/>
          <w:szCs w:val="24"/>
        </w:rPr>
      </w:pPr>
    </w:p>
    <w:p w:rsidR="003C101D" w:rsidRPr="00C84483" w:rsidRDefault="003C101D" w:rsidP="003C101D">
      <w:pPr>
        <w:tabs>
          <w:tab w:val="left" w:pos="851"/>
        </w:tabs>
        <w:ind w:left="851" w:hanging="851"/>
        <w:rPr>
          <w:b/>
          <w:sz w:val="24"/>
          <w:szCs w:val="24"/>
        </w:rPr>
      </w:pPr>
      <w:r w:rsidRPr="00C84483">
        <w:rPr>
          <w:b/>
          <w:sz w:val="24"/>
          <w:szCs w:val="24"/>
        </w:rPr>
        <w:t>6.2</w:t>
      </w:r>
      <w:r w:rsidRPr="00C84483">
        <w:rPr>
          <w:b/>
          <w:sz w:val="24"/>
          <w:szCs w:val="24"/>
        </w:rPr>
        <w:tab/>
        <w:t>Uforligeligheder</w:t>
      </w:r>
    </w:p>
    <w:p w:rsidR="003C101D" w:rsidRPr="00B37DA0" w:rsidRDefault="003C101D" w:rsidP="003C101D">
      <w:pPr>
        <w:ind w:left="851"/>
        <w:rPr>
          <w:rFonts w:eastAsiaTheme="minorEastAsia"/>
          <w:sz w:val="24"/>
          <w:szCs w:val="24"/>
        </w:rPr>
      </w:pPr>
      <w:r w:rsidRPr="00E63DFB">
        <w:rPr>
          <w:rFonts w:eastAsiaTheme="minorEastAsia"/>
          <w:sz w:val="24"/>
          <w:szCs w:val="24"/>
        </w:rPr>
        <w:t>Ikke relevant.</w:t>
      </w:r>
    </w:p>
    <w:p w:rsidR="003C101D" w:rsidRPr="00C84483" w:rsidRDefault="003C101D" w:rsidP="003C101D">
      <w:pPr>
        <w:tabs>
          <w:tab w:val="left" w:pos="851"/>
        </w:tabs>
        <w:ind w:left="851"/>
        <w:rPr>
          <w:sz w:val="24"/>
          <w:szCs w:val="24"/>
        </w:rPr>
      </w:pPr>
    </w:p>
    <w:p w:rsidR="003C101D" w:rsidRPr="00C84483" w:rsidRDefault="003C101D" w:rsidP="003C101D">
      <w:pPr>
        <w:tabs>
          <w:tab w:val="left" w:pos="851"/>
        </w:tabs>
        <w:ind w:left="851" w:hanging="851"/>
        <w:rPr>
          <w:b/>
          <w:sz w:val="24"/>
          <w:szCs w:val="24"/>
        </w:rPr>
      </w:pPr>
      <w:r w:rsidRPr="00C84483">
        <w:rPr>
          <w:b/>
          <w:sz w:val="24"/>
          <w:szCs w:val="24"/>
        </w:rPr>
        <w:t>6.3</w:t>
      </w:r>
      <w:r w:rsidRPr="00C84483">
        <w:rPr>
          <w:b/>
          <w:sz w:val="24"/>
          <w:szCs w:val="24"/>
        </w:rPr>
        <w:tab/>
        <w:t>Opbevaringstid</w:t>
      </w:r>
    </w:p>
    <w:p w:rsidR="003C101D" w:rsidRPr="004D24F8" w:rsidRDefault="003C101D" w:rsidP="003C101D">
      <w:pPr>
        <w:ind w:left="851"/>
        <w:rPr>
          <w:sz w:val="24"/>
          <w:szCs w:val="24"/>
        </w:rPr>
      </w:pPr>
      <w:r w:rsidRPr="004D24F8">
        <w:rPr>
          <w:sz w:val="24"/>
          <w:szCs w:val="24"/>
        </w:rPr>
        <w:t>3</w:t>
      </w:r>
      <w:r w:rsidR="00193C2C">
        <w:rPr>
          <w:sz w:val="24"/>
          <w:szCs w:val="24"/>
        </w:rPr>
        <w:t>0</w:t>
      </w:r>
      <w:r w:rsidRPr="004D24F8">
        <w:rPr>
          <w:sz w:val="24"/>
          <w:szCs w:val="24"/>
        </w:rPr>
        <w:t xml:space="preserve"> måneder</w:t>
      </w:r>
    </w:p>
    <w:p w:rsidR="003C101D" w:rsidRPr="004D24F8" w:rsidRDefault="003C101D" w:rsidP="003C101D">
      <w:pPr>
        <w:ind w:left="851"/>
        <w:rPr>
          <w:sz w:val="24"/>
          <w:szCs w:val="24"/>
        </w:rPr>
      </w:pPr>
      <w:r w:rsidRPr="004D24F8">
        <w:rPr>
          <w:sz w:val="24"/>
          <w:szCs w:val="24"/>
        </w:rPr>
        <w:t>Efter første åbning: 6 måneder</w:t>
      </w:r>
    </w:p>
    <w:p w:rsidR="003C101D" w:rsidRPr="00C84483" w:rsidRDefault="003C101D" w:rsidP="003C101D">
      <w:pPr>
        <w:tabs>
          <w:tab w:val="left" w:pos="851"/>
        </w:tabs>
        <w:ind w:left="851"/>
        <w:rPr>
          <w:sz w:val="24"/>
          <w:szCs w:val="24"/>
        </w:rPr>
      </w:pPr>
    </w:p>
    <w:p w:rsidR="003C101D" w:rsidRPr="00C84483" w:rsidRDefault="003C101D" w:rsidP="003C101D">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3C101D" w:rsidRPr="004D24F8" w:rsidRDefault="003C101D" w:rsidP="003C101D">
      <w:pPr>
        <w:ind w:left="851"/>
        <w:rPr>
          <w:sz w:val="24"/>
          <w:szCs w:val="24"/>
        </w:rPr>
      </w:pPr>
      <w:r w:rsidRPr="004D24F8">
        <w:rPr>
          <w:sz w:val="24"/>
          <w:szCs w:val="24"/>
        </w:rPr>
        <w:t>Opbevares ved temperaturer under 30</w:t>
      </w:r>
      <w:r w:rsidR="003D099C">
        <w:rPr>
          <w:sz w:val="24"/>
          <w:szCs w:val="24"/>
        </w:rPr>
        <w:t xml:space="preserve"> </w:t>
      </w:r>
      <w:r w:rsidRPr="004D24F8">
        <w:rPr>
          <w:sz w:val="24"/>
          <w:szCs w:val="24"/>
        </w:rPr>
        <w:t xml:space="preserve">°C. Må ikke opbevares i køleskab eller nedfryses. </w:t>
      </w:r>
    </w:p>
    <w:p w:rsidR="003C101D" w:rsidRPr="00C84483" w:rsidRDefault="003C101D" w:rsidP="003C101D">
      <w:pPr>
        <w:tabs>
          <w:tab w:val="left" w:pos="851"/>
        </w:tabs>
        <w:ind w:left="851"/>
        <w:rPr>
          <w:sz w:val="24"/>
          <w:szCs w:val="24"/>
        </w:rPr>
      </w:pPr>
    </w:p>
    <w:p w:rsidR="003C101D" w:rsidRPr="00C84483" w:rsidRDefault="003C101D" w:rsidP="003C101D">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3C101D" w:rsidRPr="004D24F8" w:rsidRDefault="003C101D" w:rsidP="003C101D">
      <w:pPr>
        <w:ind w:left="851"/>
        <w:rPr>
          <w:sz w:val="24"/>
          <w:szCs w:val="24"/>
        </w:rPr>
      </w:pPr>
      <w:r w:rsidRPr="004D24F8">
        <w:rPr>
          <w:sz w:val="24"/>
          <w:szCs w:val="24"/>
        </w:rPr>
        <w:t xml:space="preserve">Aluminiumstube med indvendig belægning af </w:t>
      </w:r>
      <w:proofErr w:type="spellStart"/>
      <w:r w:rsidRPr="004D24F8">
        <w:rPr>
          <w:sz w:val="24"/>
          <w:szCs w:val="24"/>
        </w:rPr>
        <w:t>epoxyphenolharpiks</w:t>
      </w:r>
      <w:proofErr w:type="spellEnd"/>
      <w:r w:rsidRPr="004D24F8">
        <w:rPr>
          <w:sz w:val="24"/>
          <w:szCs w:val="24"/>
        </w:rPr>
        <w:t xml:space="preserve">, forseglet med et latex tætningsmiddel og lukket med et skruelåg af polypropylen. Forbindingen er en </w:t>
      </w:r>
      <w:proofErr w:type="spellStart"/>
      <w:r w:rsidRPr="004D24F8">
        <w:rPr>
          <w:sz w:val="24"/>
          <w:szCs w:val="24"/>
        </w:rPr>
        <w:t>polyurethanfilm</w:t>
      </w:r>
      <w:proofErr w:type="spellEnd"/>
      <w:r w:rsidRPr="004D24F8">
        <w:rPr>
          <w:sz w:val="24"/>
          <w:szCs w:val="24"/>
        </w:rPr>
        <w:t xml:space="preserve"> med </w:t>
      </w:r>
      <w:proofErr w:type="spellStart"/>
      <w:r w:rsidRPr="004D24F8">
        <w:rPr>
          <w:sz w:val="24"/>
          <w:szCs w:val="24"/>
        </w:rPr>
        <w:t>acrylatklæber</w:t>
      </w:r>
      <w:proofErr w:type="spellEnd"/>
      <w:r w:rsidRPr="004D24F8">
        <w:rPr>
          <w:sz w:val="24"/>
          <w:szCs w:val="24"/>
        </w:rPr>
        <w:t>.</w:t>
      </w:r>
    </w:p>
    <w:p w:rsidR="003C101D" w:rsidRDefault="003C101D" w:rsidP="003C101D">
      <w:pPr>
        <w:ind w:left="851"/>
        <w:rPr>
          <w:sz w:val="24"/>
          <w:szCs w:val="24"/>
        </w:rPr>
      </w:pPr>
    </w:p>
    <w:p w:rsidR="003C101D" w:rsidRPr="004D24F8" w:rsidRDefault="003C101D" w:rsidP="003C101D">
      <w:pPr>
        <w:ind w:left="851"/>
        <w:rPr>
          <w:sz w:val="24"/>
          <w:szCs w:val="24"/>
        </w:rPr>
      </w:pPr>
      <w:r w:rsidRPr="004D24F8">
        <w:rPr>
          <w:sz w:val="24"/>
          <w:szCs w:val="24"/>
        </w:rPr>
        <w:t>Pakningsstørrelser:</w:t>
      </w:r>
    </w:p>
    <w:p w:rsidR="003C101D" w:rsidRPr="004D24F8" w:rsidRDefault="003C101D" w:rsidP="003C101D">
      <w:pPr>
        <w:ind w:left="851"/>
        <w:rPr>
          <w:sz w:val="24"/>
          <w:szCs w:val="24"/>
        </w:rPr>
      </w:pPr>
      <w:r w:rsidRPr="004D24F8">
        <w:rPr>
          <w:sz w:val="24"/>
          <w:szCs w:val="24"/>
        </w:rPr>
        <w:t xml:space="preserve">1 </w:t>
      </w:r>
      <w:r w:rsidR="003D099C">
        <w:rPr>
          <w:sz w:val="24"/>
          <w:szCs w:val="24"/>
        </w:rPr>
        <w:t>×</w:t>
      </w:r>
      <w:r w:rsidRPr="004D24F8">
        <w:rPr>
          <w:sz w:val="24"/>
          <w:szCs w:val="24"/>
        </w:rPr>
        <w:t xml:space="preserve"> 30 g tube</w:t>
      </w:r>
    </w:p>
    <w:p w:rsidR="003C101D" w:rsidRPr="004D24F8" w:rsidRDefault="003C101D" w:rsidP="003C101D">
      <w:pPr>
        <w:ind w:left="851"/>
        <w:rPr>
          <w:sz w:val="24"/>
          <w:szCs w:val="24"/>
        </w:rPr>
      </w:pPr>
      <w:r w:rsidRPr="004D24F8">
        <w:rPr>
          <w:sz w:val="24"/>
          <w:szCs w:val="24"/>
        </w:rPr>
        <w:t xml:space="preserve">1 </w:t>
      </w:r>
      <w:r w:rsidR="003D099C">
        <w:rPr>
          <w:sz w:val="24"/>
          <w:szCs w:val="24"/>
        </w:rPr>
        <w:t>×</w:t>
      </w:r>
      <w:r w:rsidRPr="004D24F8">
        <w:rPr>
          <w:sz w:val="24"/>
          <w:szCs w:val="24"/>
        </w:rPr>
        <w:t xml:space="preserve"> 5</w:t>
      </w:r>
      <w:r>
        <w:rPr>
          <w:sz w:val="24"/>
          <w:szCs w:val="24"/>
        </w:rPr>
        <w:t xml:space="preserve"> </w:t>
      </w:r>
      <w:r w:rsidRPr="004D24F8">
        <w:rPr>
          <w:sz w:val="24"/>
          <w:szCs w:val="24"/>
        </w:rPr>
        <w:t>g tube</w:t>
      </w:r>
    </w:p>
    <w:p w:rsidR="003C101D" w:rsidRPr="004D24F8" w:rsidRDefault="003C101D" w:rsidP="003C101D">
      <w:pPr>
        <w:ind w:left="851"/>
        <w:rPr>
          <w:sz w:val="24"/>
          <w:szCs w:val="24"/>
        </w:rPr>
      </w:pPr>
      <w:r w:rsidRPr="004D24F8">
        <w:rPr>
          <w:sz w:val="24"/>
          <w:szCs w:val="24"/>
        </w:rPr>
        <w:t xml:space="preserve">1 </w:t>
      </w:r>
      <w:r w:rsidR="003D099C">
        <w:rPr>
          <w:sz w:val="24"/>
          <w:szCs w:val="24"/>
        </w:rPr>
        <w:t>×</w:t>
      </w:r>
      <w:r w:rsidRPr="004D24F8">
        <w:rPr>
          <w:sz w:val="24"/>
          <w:szCs w:val="24"/>
        </w:rPr>
        <w:t xml:space="preserve"> 5 g tube med 2 forbindinger</w:t>
      </w:r>
    </w:p>
    <w:p w:rsidR="003C101D" w:rsidRPr="004D24F8" w:rsidRDefault="003C101D" w:rsidP="003C101D">
      <w:pPr>
        <w:ind w:left="851"/>
        <w:rPr>
          <w:sz w:val="24"/>
          <w:szCs w:val="24"/>
        </w:rPr>
      </w:pPr>
      <w:r w:rsidRPr="004D24F8">
        <w:rPr>
          <w:sz w:val="24"/>
          <w:szCs w:val="24"/>
        </w:rPr>
        <w:t xml:space="preserve">1 </w:t>
      </w:r>
      <w:r w:rsidR="003D099C">
        <w:rPr>
          <w:sz w:val="24"/>
          <w:szCs w:val="24"/>
        </w:rPr>
        <w:t>×</w:t>
      </w:r>
      <w:r w:rsidRPr="004D24F8">
        <w:rPr>
          <w:sz w:val="24"/>
          <w:szCs w:val="24"/>
        </w:rPr>
        <w:t xml:space="preserve"> 5 g tube med 3 forbindinger</w:t>
      </w:r>
    </w:p>
    <w:p w:rsidR="003C101D" w:rsidRPr="004D24F8" w:rsidRDefault="003C101D" w:rsidP="003C101D">
      <w:pPr>
        <w:ind w:left="851"/>
        <w:rPr>
          <w:sz w:val="24"/>
          <w:szCs w:val="24"/>
        </w:rPr>
      </w:pPr>
      <w:r w:rsidRPr="004D24F8">
        <w:rPr>
          <w:sz w:val="24"/>
          <w:szCs w:val="24"/>
        </w:rPr>
        <w:t xml:space="preserve">5 </w:t>
      </w:r>
      <w:r w:rsidR="003D099C">
        <w:rPr>
          <w:sz w:val="24"/>
          <w:szCs w:val="24"/>
        </w:rPr>
        <w:t>×</w:t>
      </w:r>
      <w:r w:rsidRPr="004D24F8">
        <w:rPr>
          <w:sz w:val="24"/>
          <w:szCs w:val="24"/>
        </w:rPr>
        <w:t xml:space="preserve"> 5 g tuber</w:t>
      </w:r>
    </w:p>
    <w:p w:rsidR="003C101D" w:rsidRPr="004D24F8" w:rsidRDefault="003C101D" w:rsidP="003C101D">
      <w:pPr>
        <w:ind w:left="851"/>
        <w:rPr>
          <w:sz w:val="24"/>
          <w:szCs w:val="24"/>
        </w:rPr>
      </w:pPr>
      <w:r w:rsidRPr="004D24F8">
        <w:rPr>
          <w:sz w:val="24"/>
          <w:szCs w:val="24"/>
        </w:rPr>
        <w:t xml:space="preserve">5 </w:t>
      </w:r>
      <w:r w:rsidR="003D099C">
        <w:rPr>
          <w:sz w:val="24"/>
          <w:szCs w:val="24"/>
        </w:rPr>
        <w:t>×</w:t>
      </w:r>
      <w:r w:rsidRPr="004D24F8">
        <w:rPr>
          <w:sz w:val="24"/>
          <w:szCs w:val="24"/>
        </w:rPr>
        <w:t xml:space="preserve"> 5 g tuber med 12 forbindinger</w:t>
      </w:r>
    </w:p>
    <w:p w:rsidR="003C101D" w:rsidRDefault="003C101D" w:rsidP="003C101D">
      <w:pPr>
        <w:ind w:left="851"/>
        <w:rPr>
          <w:sz w:val="24"/>
          <w:szCs w:val="24"/>
        </w:rPr>
      </w:pPr>
    </w:p>
    <w:p w:rsidR="003C101D" w:rsidRPr="004D24F8" w:rsidRDefault="003C101D" w:rsidP="003C101D">
      <w:pPr>
        <w:ind w:left="851"/>
        <w:rPr>
          <w:sz w:val="24"/>
          <w:szCs w:val="24"/>
        </w:rPr>
      </w:pPr>
      <w:r w:rsidRPr="004D24F8">
        <w:rPr>
          <w:sz w:val="24"/>
          <w:szCs w:val="24"/>
        </w:rPr>
        <w:t xml:space="preserve">Ikke alle pakningsstørrelser er nødvendigvis markedsført. </w:t>
      </w:r>
    </w:p>
    <w:p w:rsidR="003D099C" w:rsidRDefault="003D099C">
      <w:pPr>
        <w:rPr>
          <w:sz w:val="24"/>
          <w:szCs w:val="24"/>
        </w:rPr>
      </w:pPr>
      <w:r>
        <w:rPr>
          <w:sz w:val="24"/>
          <w:szCs w:val="24"/>
        </w:rPr>
        <w:lastRenderedPageBreak/>
        <w:br w:type="page"/>
      </w:r>
    </w:p>
    <w:p w:rsidR="003C101D" w:rsidRPr="00C84483" w:rsidRDefault="003C101D" w:rsidP="003C101D">
      <w:pPr>
        <w:tabs>
          <w:tab w:val="left" w:pos="851"/>
        </w:tabs>
        <w:ind w:left="851"/>
        <w:rPr>
          <w:sz w:val="24"/>
          <w:szCs w:val="24"/>
        </w:rPr>
      </w:pPr>
    </w:p>
    <w:p w:rsidR="003C101D" w:rsidRPr="00C84483" w:rsidRDefault="003C101D" w:rsidP="003C101D">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3C101D" w:rsidRPr="004D24F8" w:rsidRDefault="003C101D" w:rsidP="003C101D">
      <w:pPr>
        <w:ind w:left="851"/>
        <w:rPr>
          <w:rFonts w:eastAsiaTheme="minorEastAsia"/>
          <w:sz w:val="24"/>
          <w:szCs w:val="24"/>
        </w:rPr>
      </w:pPr>
    </w:p>
    <w:p w:rsidR="003C101D" w:rsidRPr="004D24F8" w:rsidRDefault="003C101D" w:rsidP="003C101D">
      <w:pPr>
        <w:ind w:left="851"/>
        <w:rPr>
          <w:i/>
          <w:sz w:val="24"/>
          <w:szCs w:val="24"/>
          <w:u w:val="single"/>
        </w:rPr>
      </w:pPr>
      <w:r w:rsidRPr="004D24F8">
        <w:rPr>
          <w:i/>
          <w:iCs/>
          <w:sz w:val="24"/>
          <w:szCs w:val="24"/>
          <w:u w:val="single"/>
        </w:rPr>
        <w:t>Forholdsregler, der skal tages før håndtering eller administration af lægemidlet</w:t>
      </w:r>
    </w:p>
    <w:p w:rsidR="003C101D" w:rsidRPr="004D24F8" w:rsidRDefault="003C101D" w:rsidP="003C101D">
      <w:pPr>
        <w:ind w:left="851"/>
        <w:rPr>
          <w:sz w:val="24"/>
          <w:szCs w:val="24"/>
        </w:rPr>
      </w:pPr>
      <w:r w:rsidRPr="004D24F8">
        <w:rPr>
          <w:sz w:val="24"/>
          <w:szCs w:val="24"/>
        </w:rPr>
        <w:t xml:space="preserve">For at forbygge udvikling af overfølsomhed skal personer, som hyppigt påfører eller fjerner creme, undgå direkte kontakt med lægemidlet. </w:t>
      </w:r>
    </w:p>
    <w:p w:rsidR="003C101D" w:rsidRPr="004D24F8" w:rsidRDefault="003C101D" w:rsidP="003C101D">
      <w:pPr>
        <w:ind w:left="851"/>
        <w:rPr>
          <w:sz w:val="24"/>
          <w:szCs w:val="24"/>
        </w:rPr>
      </w:pPr>
      <w:r w:rsidRPr="004D24F8">
        <w:rPr>
          <w:sz w:val="24"/>
          <w:szCs w:val="24"/>
        </w:rPr>
        <w:t>Ikke anvendt lægemiddel samt affald heraf skal bortskaffes i henhold til lokale retningslinjer.</w:t>
      </w:r>
    </w:p>
    <w:p w:rsidR="003C101D" w:rsidRPr="00C84483" w:rsidRDefault="003C101D" w:rsidP="003C101D">
      <w:pPr>
        <w:tabs>
          <w:tab w:val="left" w:pos="851"/>
        </w:tabs>
        <w:ind w:left="851"/>
        <w:jc w:val="both"/>
        <w:rPr>
          <w:sz w:val="24"/>
          <w:szCs w:val="24"/>
        </w:rPr>
      </w:pPr>
    </w:p>
    <w:p w:rsidR="003C101D" w:rsidRPr="00C84483" w:rsidRDefault="003C101D" w:rsidP="003C101D">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D52F99" w:rsidRPr="0075742B" w:rsidRDefault="00D52F99" w:rsidP="00D52F99">
      <w:pPr>
        <w:ind w:left="851"/>
        <w:rPr>
          <w:sz w:val="24"/>
          <w:szCs w:val="24"/>
        </w:rPr>
      </w:pPr>
      <w:proofErr w:type="spellStart"/>
      <w:r w:rsidRPr="0075742B">
        <w:rPr>
          <w:sz w:val="24"/>
          <w:szCs w:val="24"/>
        </w:rPr>
        <w:t>Terix</w:t>
      </w:r>
      <w:proofErr w:type="spellEnd"/>
      <w:r w:rsidRPr="0075742B">
        <w:rPr>
          <w:sz w:val="24"/>
          <w:szCs w:val="24"/>
        </w:rPr>
        <w:t xml:space="preserve"> Labs Ltd</w:t>
      </w:r>
    </w:p>
    <w:p w:rsidR="00D52F99" w:rsidRPr="00D52F99" w:rsidRDefault="00D52F99" w:rsidP="00D52F99">
      <w:pPr>
        <w:ind w:left="851"/>
        <w:rPr>
          <w:sz w:val="24"/>
          <w:szCs w:val="24"/>
          <w:lang w:val="en-US"/>
        </w:rPr>
      </w:pPr>
      <w:proofErr w:type="spellStart"/>
      <w:r w:rsidRPr="00D52F99">
        <w:rPr>
          <w:sz w:val="24"/>
          <w:szCs w:val="24"/>
          <w:lang w:val="en-US"/>
        </w:rPr>
        <w:t>Menandrou</w:t>
      </w:r>
      <w:proofErr w:type="spellEnd"/>
      <w:r w:rsidRPr="00D52F99">
        <w:rPr>
          <w:sz w:val="24"/>
          <w:szCs w:val="24"/>
          <w:lang w:val="en-US"/>
        </w:rPr>
        <w:t xml:space="preserve"> 1 </w:t>
      </w:r>
      <w:proofErr w:type="spellStart"/>
      <w:r w:rsidRPr="00D52F99">
        <w:rPr>
          <w:sz w:val="24"/>
          <w:szCs w:val="24"/>
          <w:lang w:val="en-US"/>
        </w:rPr>
        <w:t>Frosia</w:t>
      </w:r>
      <w:proofErr w:type="spellEnd"/>
      <w:r w:rsidRPr="00D52F99">
        <w:rPr>
          <w:sz w:val="24"/>
          <w:szCs w:val="24"/>
          <w:lang w:val="en-US"/>
        </w:rPr>
        <w:t xml:space="preserve"> building, 5th floor</w:t>
      </w:r>
    </w:p>
    <w:p w:rsidR="00D52F99" w:rsidRDefault="00D52F99" w:rsidP="00D52F99">
      <w:pPr>
        <w:ind w:left="851"/>
        <w:rPr>
          <w:sz w:val="24"/>
          <w:szCs w:val="24"/>
          <w:lang w:val="en-US"/>
        </w:rPr>
      </w:pPr>
      <w:r w:rsidRPr="00D52F99">
        <w:rPr>
          <w:sz w:val="24"/>
          <w:szCs w:val="24"/>
          <w:lang w:val="en-US"/>
        </w:rPr>
        <w:t xml:space="preserve">Flat/Office 502 </w:t>
      </w:r>
    </w:p>
    <w:p w:rsidR="00D52F99" w:rsidRPr="0075742B" w:rsidRDefault="00D52F99" w:rsidP="00D52F99">
      <w:pPr>
        <w:ind w:left="851"/>
        <w:rPr>
          <w:sz w:val="24"/>
          <w:szCs w:val="24"/>
        </w:rPr>
      </w:pPr>
      <w:r w:rsidRPr="0075742B">
        <w:rPr>
          <w:sz w:val="24"/>
          <w:szCs w:val="24"/>
        </w:rPr>
        <w:t>1066 Nicosia</w:t>
      </w:r>
    </w:p>
    <w:p w:rsidR="00D52F99" w:rsidRDefault="00D52F99" w:rsidP="00D52F99">
      <w:pPr>
        <w:tabs>
          <w:tab w:val="left" w:pos="851"/>
        </w:tabs>
        <w:ind w:left="851"/>
        <w:rPr>
          <w:sz w:val="24"/>
          <w:szCs w:val="24"/>
        </w:rPr>
      </w:pPr>
      <w:r>
        <w:rPr>
          <w:sz w:val="24"/>
          <w:szCs w:val="24"/>
        </w:rPr>
        <w:t>Cypern</w:t>
      </w:r>
    </w:p>
    <w:p w:rsidR="00D52F99" w:rsidRPr="00C84483" w:rsidRDefault="00D52F99" w:rsidP="00D52F99">
      <w:pPr>
        <w:tabs>
          <w:tab w:val="left" w:pos="851"/>
        </w:tabs>
        <w:ind w:left="851"/>
        <w:rPr>
          <w:sz w:val="24"/>
          <w:szCs w:val="24"/>
        </w:rPr>
      </w:pPr>
    </w:p>
    <w:p w:rsidR="003C101D" w:rsidRPr="00C84483" w:rsidRDefault="003C101D" w:rsidP="003C101D">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3C101D" w:rsidRPr="00C84483" w:rsidRDefault="003C101D" w:rsidP="003C101D">
      <w:pPr>
        <w:tabs>
          <w:tab w:val="left" w:pos="851"/>
        </w:tabs>
        <w:ind w:left="851"/>
        <w:rPr>
          <w:sz w:val="24"/>
          <w:szCs w:val="24"/>
        </w:rPr>
      </w:pPr>
      <w:r>
        <w:rPr>
          <w:sz w:val="24"/>
          <w:szCs w:val="24"/>
        </w:rPr>
        <w:t>55629</w:t>
      </w:r>
    </w:p>
    <w:p w:rsidR="003C101D" w:rsidRPr="00C84483" w:rsidRDefault="003C101D" w:rsidP="003C101D">
      <w:pPr>
        <w:tabs>
          <w:tab w:val="left" w:pos="851"/>
        </w:tabs>
        <w:ind w:left="851"/>
        <w:jc w:val="both"/>
        <w:rPr>
          <w:sz w:val="24"/>
          <w:szCs w:val="24"/>
        </w:rPr>
      </w:pPr>
    </w:p>
    <w:p w:rsidR="003C101D" w:rsidRPr="00C84483" w:rsidRDefault="003C101D" w:rsidP="003C101D">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3C101D" w:rsidRPr="00C84483" w:rsidRDefault="003C101D" w:rsidP="003C101D">
      <w:pPr>
        <w:tabs>
          <w:tab w:val="left" w:pos="851"/>
        </w:tabs>
        <w:ind w:left="851"/>
        <w:rPr>
          <w:sz w:val="24"/>
          <w:szCs w:val="24"/>
        </w:rPr>
      </w:pPr>
      <w:r>
        <w:rPr>
          <w:sz w:val="24"/>
          <w:szCs w:val="24"/>
        </w:rPr>
        <w:t>23. maj 2016</w:t>
      </w:r>
    </w:p>
    <w:p w:rsidR="003C101D" w:rsidRPr="00C84483" w:rsidRDefault="003C101D" w:rsidP="003C101D">
      <w:pPr>
        <w:tabs>
          <w:tab w:val="left" w:pos="851"/>
        </w:tabs>
        <w:ind w:left="851"/>
        <w:rPr>
          <w:sz w:val="24"/>
          <w:szCs w:val="24"/>
        </w:rPr>
      </w:pPr>
    </w:p>
    <w:p w:rsidR="003C101D" w:rsidRPr="00C84483" w:rsidRDefault="003C101D" w:rsidP="003C101D">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3C101D" w:rsidRPr="007E0DF0" w:rsidRDefault="00FE4E1D" w:rsidP="00FE4E1D">
      <w:pPr>
        <w:ind w:firstLine="851"/>
      </w:pPr>
      <w:r>
        <w:rPr>
          <w:sz w:val="24"/>
          <w:szCs w:val="24"/>
        </w:rPr>
        <w:t>20. september 2021</w:t>
      </w:r>
    </w:p>
    <w:p w:rsidR="009260DE" w:rsidRPr="003C101D" w:rsidRDefault="009260DE" w:rsidP="003C101D"/>
    <w:sectPr w:rsidR="009260DE" w:rsidRPr="003C101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01D" w:rsidRDefault="003C101D">
      <w:r>
        <w:separator/>
      </w:r>
    </w:p>
  </w:endnote>
  <w:endnote w:type="continuationSeparator" w:id="0">
    <w:p w:rsidR="003C101D" w:rsidRDefault="003C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93C2C">
      <w:rPr>
        <w:i/>
        <w:noProof/>
        <w:sz w:val="18"/>
        <w:szCs w:val="18"/>
      </w:rPr>
      <w:t>Nulbia, creme 25+25 mg-g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01D" w:rsidRDefault="003C101D">
      <w:r>
        <w:separator/>
      </w:r>
    </w:p>
  </w:footnote>
  <w:footnote w:type="continuationSeparator" w:id="0">
    <w:p w:rsidR="003C101D" w:rsidRDefault="003C1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523341F"/>
    <w:multiLevelType w:val="hybridMultilevel"/>
    <w:tmpl w:val="A2762144"/>
    <w:lvl w:ilvl="0" w:tplc="436E446E">
      <w:start w:val="1"/>
      <w:numFmt w:val="bullet"/>
      <w:lvlText w:val=""/>
      <w:lvlJc w:val="left"/>
      <w:pPr>
        <w:ind w:left="720" w:hanging="360"/>
      </w:pPr>
      <w:rPr>
        <w:rFonts w:ascii="Symbol" w:hAnsi="Symbol" w:hint="default"/>
      </w:rPr>
    </w:lvl>
    <w:lvl w:ilvl="1" w:tplc="C5480E7C" w:tentative="1">
      <w:start w:val="1"/>
      <w:numFmt w:val="bullet"/>
      <w:lvlText w:val="o"/>
      <w:lvlJc w:val="left"/>
      <w:pPr>
        <w:ind w:left="1440" w:hanging="360"/>
      </w:pPr>
      <w:rPr>
        <w:rFonts w:ascii="Courier New" w:hAnsi="Courier New" w:hint="default"/>
      </w:rPr>
    </w:lvl>
    <w:lvl w:ilvl="2" w:tplc="2D160EEE" w:tentative="1">
      <w:start w:val="1"/>
      <w:numFmt w:val="bullet"/>
      <w:lvlText w:val=""/>
      <w:lvlJc w:val="left"/>
      <w:pPr>
        <w:ind w:left="2160" w:hanging="360"/>
      </w:pPr>
      <w:rPr>
        <w:rFonts w:ascii="Wingdings" w:hAnsi="Wingdings" w:hint="default"/>
      </w:rPr>
    </w:lvl>
    <w:lvl w:ilvl="3" w:tplc="01DCCE82" w:tentative="1">
      <w:start w:val="1"/>
      <w:numFmt w:val="bullet"/>
      <w:lvlText w:val=""/>
      <w:lvlJc w:val="left"/>
      <w:pPr>
        <w:ind w:left="2880" w:hanging="360"/>
      </w:pPr>
      <w:rPr>
        <w:rFonts w:ascii="Symbol" w:hAnsi="Symbol" w:hint="default"/>
      </w:rPr>
    </w:lvl>
    <w:lvl w:ilvl="4" w:tplc="F510FC8E" w:tentative="1">
      <w:start w:val="1"/>
      <w:numFmt w:val="bullet"/>
      <w:lvlText w:val="o"/>
      <w:lvlJc w:val="left"/>
      <w:pPr>
        <w:ind w:left="3600" w:hanging="360"/>
      </w:pPr>
      <w:rPr>
        <w:rFonts w:ascii="Courier New" w:hAnsi="Courier New" w:hint="default"/>
      </w:rPr>
    </w:lvl>
    <w:lvl w:ilvl="5" w:tplc="5A4EE830" w:tentative="1">
      <w:start w:val="1"/>
      <w:numFmt w:val="bullet"/>
      <w:lvlText w:val=""/>
      <w:lvlJc w:val="left"/>
      <w:pPr>
        <w:ind w:left="4320" w:hanging="360"/>
      </w:pPr>
      <w:rPr>
        <w:rFonts w:ascii="Wingdings" w:hAnsi="Wingdings" w:hint="default"/>
      </w:rPr>
    </w:lvl>
    <w:lvl w:ilvl="6" w:tplc="113A5D70" w:tentative="1">
      <w:start w:val="1"/>
      <w:numFmt w:val="bullet"/>
      <w:lvlText w:val=""/>
      <w:lvlJc w:val="left"/>
      <w:pPr>
        <w:ind w:left="5040" w:hanging="360"/>
      </w:pPr>
      <w:rPr>
        <w:rFonts w:ascii="Symbol" w:hAnsi="Symbol" w:hint="default"/>
      </w:rPr>
    </w:lvl>
    <w:lvl w:ilvl="7" w:tplc="27487E28" w:tentative="1">
      <w:start w:val="1"/>
      <w:numFmt w:val="bullet"/>
      <w:lvlText w:val="o"/>
      <w:lvlJc w:val="left"/>
      <w:pPr>
        <w:ind w:left="5760" w:hanging="360"/>
      </w:pPr>
      <w:rPr>
        <w:rFonts w:ascii="Courier New" w:hAnsi="Courier New" w:hint="default"/>
      </w:rPr>
    </w:lvl>
    <w:lvl w:ilvl="8" w:tplc="2376E1A0" w:tentative="1">
      <w:start w:val="1"/>
      <w:numFmt w:val="bullet"/>
      <w:lvlText w:val=""/>
      <w:lvlJc w:val="left"/>
      <w:pPr>
        <w:ind w:left="6480" w:hanging="360"/>
      </w:pPr>
      <w:rPr>
        <w:rFonts w:ascii="Wingdings" w:hAnsi="Wingdings" w:hint="default"/>
      </w:r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A2F25E4"/>
    <w:multiLevelType w:val="hybridMultilevel"/>
    <w:tmpl w:val="1CDCAEBE"/>
    <w:lvl w:ilvl="0" w:tplc="04060003">
      <w:start w:val="1"/>
      <w:numFmt w:val="bullet"/>
      <w:lvlText w:val="o"/>
      <w:lvlJc w:val="left"/>
      <w:pPr>
        <w:ind w:left="1996" w:hanging="360"/>
      </w:pPr>
      <w:rPr>
        <w:rFonts w:ascii="Courier New" w:hAnsi="Courier New" w:cs="Courier New" w:hint="default"/>
      </w:rPr>
    </w:lvl>
    <w:lvl w:ilvl="1" w:tplc="2E2A4C94">
      <w:numFmt w:val="bullet"/>
      <w:lvlText w:val="-"/>
      <w:lvlJc w:val="left"/>
      <w:pPr>
        <w:ind w:left="2716" w:hanging="360"/>
      </w:pPr>
      <w:rPr>
        <w:rFonts w:ascii="Times New Roman" w:eastAsiaTheme="minorEastAsia" w:hAnsi="Times New Roman" w:cs="Times New Roman" w:hint="default"/>
      </w:rPr>
    </w:lvl>
    <w:lvl w:ilvl="2" w:tplc="04060005" w:tentative="1">
      <w:start w:val="1"/>
      <w:numFmt w:val="bullet"/>
      <w:lvlText w:val=""/>
      <w:lvlJc w:val="left"/>
      <w:pPr>
        <w:ind w:left="3436" w:hanging="360"/>
      </w:pPr>
      <w:rPr>
        <w:rFonts w:ascii="Wingdings" w:hAnsi="Wingdings" w:hint="default"/>
      </w:rPr>
    </w:lvl>
    <w:lvl w:ilvl="3" w:tplc="04060001" w:tentative="1">
      <w:start w:val="1"/>
      <w:numFmt w:val="bullet"/>
      <w:lvlText w:val=""/>
      <w:lvlJc w:val="left"/>
      <w:pPr>
        <w:ind w:left="4156" w:hanging="360"/>
      </w:pPr>
      <w:rPr>
        <w:rFonts w:ascii="Symbol" w:hAnsi="Symbol" w:hint="default"/>
      </w:rPr>
    </w:lvl>
    <w:lvl w:ilvl="4" w:tplc="04060003" w:tentative="1">
      <w:start w:val="1"/>
      <w:numFmt w:val="bullet"/>
      <w:lvlText w:val="o"/>
      <w:lvlJc w:val="left"/>
      <w:pPr>
        <w:ind w:left="4876" w:hanging="360"/>
      </w:pPr>
      <w:rPr>
        <w:rFonts w:ascii="Courier New" w:hAnsi="Courier New" w:cs="Courier New" w:hint="default"/>
      </w:rPr>
    </w:lvl>
    <w:lvl w:ilvl="5" w:tplc="04060005" w:tentative="1">
      <w:start w:val="1"/>
      <w:numFmt w:val="bullet"/>
      <w:lvlText w:val=""/>
      <w:lvlJc w:val="left"/>
      <w:pPr>
        <w:ind w:left="5596" w:hanging="360"/>
      </w:pPr>
      <w:rPr>
        <w:rFonts w:ascii="Wingdings" w:hAnsi="Wingdings" w:hint="default"/>
      </w:rPr>
    </w:lvl>
    <w:lvl w:ilvl="6" w:tplc="04060001" w:tentative="1">
      <w:start w:val="1"/>
      <w:numFmt w:val="bullet"/>
      <w:lvlText w:val=""/>
      <w:lvlJc w:val="left"/>
      <w:pPr>
        <w:ind w:left="6316" w:hanging="360"/>
      </w:pPr>
      <w:rPr>
        <w:rFonts w:ascii="Symbol" w:hAnsi="Symbol" w:hint="default"/>
      </w:rPr>
    </w:lvl>
    <w:lvl w:ilvl="7" w:tplc="04060003" w:tentative="1">
      <w:start w:val="1"/>
      <w:numFmt w:val="bullet"/>
      <w:lvlText w:val="o"/>
      <w:lvlJc w:val="left"/>
      <w:pPr>
        <w:ind w:left="7036" w:hanging="360"/>
      </w:pPr>
      <w:rPr>
        <w:rFonts w:ascii="Courier New" w:hAnsi="Courier New" w:cs="Courier New" w:hint="default"/>
      </w:rPr>
    </w:lvl>
    <w:lvl w:ilvl="8" w:tplc="04060005" w:tentative="1">
      <w:start w:val="1"/>
      <w:numFmt w:val="bullet"/>
      <w:lvlText w:val=""/>
      <w:lvlJc w:val="left"/>
      <w:pPr>
        <w:ind w:left="7756"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F551CA2"/>
    <w:multiLevelType w:val="hybridMultilevel"/>
    <w:tmpl w:val="30C08A92"/>
    <w:lvl w:ilvl="0" w:tplc="6A604162">
      <w:start w:val="1"/>
      <w:numFmt w:val="bullet"/>
      <w:lvlText w:val=""/>
      <w:lvlJc w:val="left"/>
      <w:pPr>
        <w:ind w:left="1571" w:hanging="360"/>
      </w:pPr>
      <w:rPr>
        <w:rFonts w:ascii="Symbol" w:hAnsi="Symbol" w:hint="default"/>
      </w:rPr>
    </w:lvl>
    <w:lvl w:ilvl="1" w:tplc="2E2A4C94">
      <w:numFmt w:val="bullet"/>
      <w:lvlText w:val="-"/>
      <w:lvlJc w:val="left"/>
      <w:pPr>
        <w:ind w:left="2291" w:hanging="360"/>
      </w:pPr>
      <w:rPr>
        <w:rFonts w:ascii="Times New Roman" w:eastAsiaTheme="minorEastAsia" w:hAnsi="Times New Roman" w:cs="Times New Roman"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6EF44AA1"/>
    <w:multiLevelType w:val="hybridMultilevel"/>
    <w:tmpl w:val="6FBCEEC0"/>
    <w:lvl w:ilvl="0" w:tplc="0D42DFD8">
      <w:start w:val="1"/>
      <w:numFmt w:val="bullet"/>
      <w:lvlText w:val=""/>
      <w:lvlJc w:val="left"/>
      <w:pPr>
        <w:ind w:left="720" w:hanging="360"/>
      </w:pPr>
      <w:rPr>
        <w:rFonts w:ascii="Symbol" w:hAnsi="Symbol" w:hint="default"/>
      </w:rPr>
    </w:lvl>
    <w:lvl w:ilvl="1" w:tplc="0CB83DF8" w:tentative="1">
      <w:start w:val="1"/>
      <w:numFmt w:val="bullet"/>
      <w:lvlText w:val="o"/>
      <w:lvlJc w:val="left"/>
      <w:pPr>
        <w:ind w:left="1440" w:hanging="360"/>
      </w:pPr>
      <w:rPr>
        <w:rFonts w:ascii="Courier New" w:hAnsi="Courier New" w:hint="default"/>
      </w:rPr>
    </w:lvl>
    <w:lvl w:ilvl="2" w:tplc="AF947466" w:tentative="1">
      <w:start w:val="1"/>
      <w:numFmt w:val="bullet"/>
      <w:lvlText w:val=""/>
      <w:lvlJc w:val="left"/>
      <w:pPr>
        <w:ind w:left="2160" w:hanging="360"/>
      </w:pPr>
      <w:rPr>
        <w:rFonts w:ascii="Wingdings" w:hAnsi="Wingdings" w:hint="default"/>
      </w:rPr>
    </w:lvl>
    <w:lvl w:ilvl="3" w:tplc="E44615DA" w:tentative="1">
      <w:start w:val="1"/>
      <w:numFmt w:val="bullet"/>
      <w:lvlText w:val=""/>
      <w:lvlJc w:val="left"/>
      <w:pPr>
        <w:ind w:left="2880" w:hanging="360"/>
      </w:pPr>
      <w:rPr>
        <w:rFonts w:ascii="Symbol" w:hAnsi="Symbol" w:hint="default"/>
      </w:rPr>
    </w:lvl>
    <w:lvl w:ilvl="4" w:tplc="C4AC9D00" w:tentative="1">
      <w:start w:val="1"/>
      <w:numFmt w:val="bullet"/>
      <w:lvlText w:val="o"/>
      <w:lvlJc w:val="left"/>
      <w:pPr>
        <w:ind w:left="3600" w:hanging="360"/>
      </w:pPr>
      <w:rPr>
        <w:rFonts w:ascii="Courier New" w:hAnsi="Courier New" w:hint="default"/>
      </w:rPr>
    </w:lvl>
    <w:lvl w:ilvl="5" w:tplc="A80696A0" w:tentative="1">
      <w:start w:val="1"/>
      <w:numFmt w:val="bullet"/>
      <w:lvlText w:val=""/>
      <w:lvlJc w:val="left"/>
      <w:pPr>
        <w:ind w:left="4320" w:hanging="360"/>
      </w:pPr>
      <w:rPr>
        <w:rFonts w:ascii="Wingdings" w:hAnsi="Wingdings" w:hint="default"/>
      </w:rPr>
    </w:lvl>
    <w:lvl w:ilvl="6" w:tplc="F5123492" w:tentative="1">
      <w:start w:val="1"/>
      <w:numFmt w:val="bullet"/>
      <w:lvlText w:val=""/>
      <w:lvlJc w:val="left"/>
      <w:pPr>
        <w:ind w:left="5040" w:hanging="360"/>
      </w:pPr>
      <w:rPr>
        <w:rFonts w:ascii="Symbol" w:hAnsi="Symbol" w:hint="default"/>
      </w:rPr>
    </w:lvl>
    <w:lvl w:ilvl="7" w:tplc="16201B52" w:tentative="1">
      <w:start w:val="1"/>
      <w:numFmt w:val="bullet"/>
      <w:lvlText w:val="o"/>
      <w:lvlJc w:val="left"/>
      <w:pPr>
        <w:ind w:left="5760" w:hanging="360"/>
      </w:pPr>
      <w:rPr>
        <w:rFonts w:ascii="Courier New" w:hAnsi="Courier New" w:hint="default"/>
      </w:rPr>
    </w:lvl>
    <w:lvl w:ilvl="8" w:tplc="944227DE"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1D"/>
    <w:rsid w:val="000259B9"/>
    <w:rsid w:val="00041491"/>
    <w:rsid w:val="00050D16"/>
    <w:rsid w:val="00074F2A"/>
    <w:rsid w:val="000A1CA8"/>
    <w:rsid w:val="000A466B"/>
    <w:rsid w:val="000B058C"/>
    <w:rsid w:val="000E4EE6"/>
    <w:rsid w:val="001454E2"/>
    <w:rsid w:val="00191657"/>
    <w:rsid w:val="00193C2C"/>
    <w:rsid w:val="001F4CD9"/>
    <w:rsid w:val="00206CE8"/>
    <w:rsid w:val="0021526C"/>
    <w:rsid w:val="00283A2B"/>
    <w:rsid w:val="002B30AD"/>
    <w:rsid w:val="002C2C01"/>
    <w:rsid w:val="003A29AE"/>
    <w:rsid w:val="003A32D7"/>
    <w:rsid w:val="003B4074"/>
    <w:rsid w:val="003C101D"/>
    <w:rsid w:val="003C769A"/>
    <w:rsid w:val="003D099C"/>
    <w:rsid w:val="003F1838"/>
    <w:rsid w:val="00441BD5"/>
    <w:rsid w:val="0045746C"/>
    <w:rsid w:val="0049104B"/>
    <w:rsid w:val="004E3B12"/>
    <w:rsid w:val="0053184B"/>
    <w:rsid w:val="00532310"/>
    <w:rsid w:val="00560ECC"/>
    <w:rsid w:val="00565F0F"/>
    <w:rsid w:val="00594A86"/>
    <w:rsid w:val="00596D86"/>
    <w:rsid w:val="00637F5A"/>
    <w:rsid w:val="006560B1"/>
    <w:rsid w:val="006756DD"/>
    <w:rsid w:val="00712C1B"/>
    <w:rsid w:val="00737275"/>
    <w:rsid w:val="007378A4"/>
    <w:rsid w:val="00740EEC"/>
    <w:rsid w:val="0075742B"/>
    <w:rsid w:val="0078011A"/>
    <w:rsid w:val="00782AF4"/>
    <w:rsid w:val="00790EE7"/>
    <w:rsid w:val="007B6649"/>
    <w:rsid w:val="0081546F"/>
    <w:rsid w:val="0082576E"/>
    <w:rsid w:val="00907F75"/>
    <w:rsid w:val="009260DE"/>
    <w:rsid w:val="0093258A"/>
    <w:rsid w:val="009C7BA3"/>
    <w:rsid w:val="009D1F5A"/>
    <w:rsid w:val="00A22A0F"/>
    <w:rsid w:val="00B003BF"/>
    <w:rsid w:val="00B373D7"/>
    <w:rsid w:val="00C36276"/>
    <w:rsid w:val="00C42586"/>
    <w:rsid w:val="00C60CCD"/>
    <w:rsid w:val="00C765C7"/>
    <w:rsid w:val="00C84483"/>
    <w:rsid w:val="00C95551"/>
    <w:rsid w:val="00CB20D7"/>
    <w:rsid w:val="00D020B0"/>
    <w:rsid w:val="00D11748"/>
    <w:rsid w:val="00D366CF"/>
    <w:rsid w:val="00D52F99"/>
    <w:rsid w:val="00E108AA"/>
    <w:rsid w:val="00E31812"/>
    <w:rsid w:val="00E3749A"/>
    <w:rsid w:val="00E64631"/>
    <w:rsid w:val="00E7437F"/>
    <w:rsid w:val="00E865B8"/>
    <w:rsid w:val="00EC0B9B"/>
    <w:rsid w:val="00ED5E9F"/>
    <w:rsid w:val="00F66D4F"/>
    <w:rsid w:val="00FB6D01"/>
    <w:rsid w:val="00FE4E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5C3BA"/>
  <w15:chartTrackingRefBased/>
  <w15:docId w15:val="{A53852A4-F039-458C-A680-EAFE8863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3C101D"/>
    <w:pPr>
      <w:spacing w:after="200" w:line="276" w:lineRule="auto"/>
      <w:ind w:left="720"/>
      <w:contextualSpacing/>
    </w:pPr>
    <w:rPr>
      <w:rFonts w:asciiTheme="minorHAnsi" w:eastAsiaTheme="minorEastAsia" w:hAnsiTheme="minorHAnsi"/>
      <w:sz w:val="22"/>
      <w:szCs w:val="22"/>
      <w:lang w:val="en-US"/>
    </w:rPr>
  </w:style>
  <w:style w:type="table" w:styleId="Tabel-Gitter">
    <w:name w:val="Table Grid"/>
    <w:basedOn w:val="Tabel-Normal"/>
    <w:uiPriority w:val="59"/>
    <w:rsid w:val="003C101D"/>
    <w:rPr>
      <w:rFonts w:asciiTheme="minorHAnsi" w:eastAsiaTheme="minorEastAsia"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3C10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6</TotalTime>
  <Pages>14</Pages>
  <Words>4325</Words>
  <Characters>27587</Characters>
  <Application>Microsoft Office Word</Application>
  <DocSecurity>0</DocSecurity>
  <Lines>229</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2021060038, var. 12, holdbarhed ændret fra 36 mdr til 30 mdr</dc:description>
  <cp:lastModifiedBy>Gitte Jørgensen</cp:lastModifiedBy>
  <cp:revision>5</cp:revision>
  <cp:lastPrinted>2012-08-22T08:53:00Z</cp:lastPrinted>
  <dcterms:created xsi:type="dcterms:W3CDTF">2021-09-20T10:53:00Z</dcterms:created>
  <dcterms:modified xsi:type="dcterms:W3CDTF">2021-09-20T10:59:00Z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