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15E" w:rsidRPr="008F49E1" w:rsidRDefault="00BE115E" w:rsidP="00BE115E">
      <w:pPr>
        <w:rPr>
          <w:sz w:val="24"/>
          <w:szCs w:val="24"/>
        </w:rPr>
      </w:pPr>
      <w:r w:rsidRPr="009260DE">
        <w:rPr>
          <w:noProof/>
          <w:sz w:val="24"/>
          <w:szCs w:val="24"/>
          <w:lang w:eastAsia="da-DK"/>
        </w:rPr>
        <w:drawing>
          <wp:anchor distT="0" distB="0" distL="114300" distR="114300" simplePos="0" relativeHeight="251659264" behindDoc="0" locked="0" layoutInCell="1" allowOverlap="1" wp14:anchorId="09221856" wp14:editId="7C0C5D7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E115E" w:rsidRPr="00FE04CD" w:rsidRDefault="00BE115E" w:rsidP="00BE115E">
      <w:pPr>
        <w:pStyle w:val="Titel"/>
        <w:tabs>
          <w:tab w:val="right" w:pos="9356"/>
        </w:tabs>
        <w:jc w:val="left"/>
        <w:rPr>
          <w:szCs w:val="24"/>
          <w:lang w:eastAsia="en-US"/>
        </w:rPr>
      </w:pPr>
      <w:r w:rsidRPr="00C84483">
        <w:rPr>
          <w:b w:val="0"/>
          <w:szCs w:val="24"/>
          <w:lang w:eastAsia="en-US"/>
        </w:rPr>
        <w:tab/>
      </w:r>
      <w:r w:rsidR="009B199C">
        <w:rPr>
          <w:szCs w:val="24"/>
          <w:lang w:eastAsia="en-US"/>
        </w:rPr>
        <w:t>27</w:t>
      </w:r>
      <w:r w:rsidRPr="00FE04CD">
        <w:rPr>
          <w:szCs w:val="24"/>
          <w:lang w:eastAsia="en-US"/>
        </w:rPr>
        <w:t xml:space="preserve">. </w:t>
      </w:r>
      <w:r w:rsidR="009B199C">
        <w:rPr>
          <w:szCs w:val="24"/>
          <w:lang w:eastAsia="en-US"/>
        </w:rPr>
        <w:t>juni</w:t>
      </w:r>
      <w:r w:rsidR="00C13147">
        <w:rPr>
          <w:szCs w:val="24"/>
          <w:lang w:eastAsia="en-US"/>
        </w:rPr>
        <w:t xml:space="preserve"> 202</w:t>
      </w:r>
      <w:r w:rsidR="009B199C">
        <w:rPr>
          <w:szCs w:val="24"/>
          <w:lang w:eastAsia="en-US"/>
        </w:rPr>
        <w:t>4</w:t>
      </w:r>
    </w:p>
    <w:p w:rsidR="00BE115E" w:rsidRPr="00C84483" w:rsidRDefault="00BE115E" w:rsidP="00BE115E">
      <w:pPr>
        <w:pStyle w:val="Titel"/>
        <w:tabs>
          <w:tab w:val="right" w:pos="9356"/>
        </w:tabs>
        <w:jc w:val="left"/>
        <w:rPr>
          <w:b w:val="0"/>
          <w:szCs w:val="24"/>
          <w:lang w:eastAsia="en-US"/>
        </w:rPr>
      </w:pPr>
    </w:p>
    <w:p w:rsidR="00BE115E" w:rsidRPr="00C84483" w:rsidRDefault="00BE115E" w:rsidP="00BE115E">
      <w:pPr>
        <w:pStyle w:val="Titel"/>
        <w:jc w:val="left"/>
        <w:rPr>
          <w:b w:val="0"/>
          <w:szCs w:val="24"/>
        </w:rPr>
      </w:pPr>
    </w:p>
    <w:p w:rsidR="00BE115E" w:rsidRPr="00C84483" w:rsidRDefault="00BE115E" w:rsidP="00BE115E">
      <w:pPr>
        <w:jc w:val="center"/>
        <w:rPr>
          <w:b/>
          <w:sz w:val="24"/>
          <w:szCs w:val="24"/>
        </w:rPr>
      </w:pPr>
      <w:r w:rsidRPr="00C84483">
        <w:rPr>
          <w:b/>
          <w:sz w:val="24"/>
          <w:szCs w:val="24"/>
        </w:rPr>
        <w:t>PRODUKTRESUMÉ</w:t>
      </w:r>
    </w:p>
    <w:p w:rsidR="00BE115E" w:rsidRPr="00C84483" w:rsidRDefault="00BE115E" w:rsidP="00BE115E">
      <w:pPr>
        <w:jc w:val="center"/>
        <w:rPr>
          <w:b/>
          <w:sz w:val="24"/>
          <w:szCs w:val="24"/>
        </w:rPr>
      </w:pPr>
    </w:p>
    <w:p w:rsidR="00BE115E" w:rsidRDefault="00423C75" w:rsidP="00423C75">
      <w:pPr>
        <w:tabs>
          <w:tab w:val="center" w:pos="4819"/>
        </w:tabs>
        <w:rPr>
          <w:b/>
          <w:sz w:val="24"/>
          <w:szCs w:val="24"/>
        </w:rPr>
      </w:pPr>
      <w:r>
        <w:rPr>
          <w:b/>
          <w:sz w:val="24"/>
          <w:szCs w:val="24"/>
        </w:rPr>
        <w:tab/>
      </w:r>
      <w:r w:rsidR="00BE115E" w:rsidRPr="00C84483">
        <w:rPr>
          <w:b/>
          <w:sz w:val="24"/>
          <w:szCs w:val="24"/>
        </w:rPr>
        <w:t>for</w:t>
      </w:r>
    </w:p>
    <w:p w:rsidR="00BE115E" w:rsidRPr="00C84483" w:rsidRDefault="00BE115E" w:rsidP="00BE115E">
      <w:pPr>
        <w:jc w:val="center"/>
        <w:rPr>
          <w:b/>
          <w:sz w:val="24"/>
          <w:szCs w:val="24"/>
        </w:rPr>
      </w:pPr>
    </w:p>
    <w:p w:rsidR="00BE115E" w:rsidRPr="00C84483" w:rsidRDefault="00BE115E" w:rsidP="00BE115E">
      <w:pPr>
        <w:jc w:val="center"/>
        <w:rPr>
          <w:b/>
          <w:sz w:val="24"/>
          <w:szCs w:val="24"/>
        </w:rPr>
      </w:pPr>
      <w:proofErr w:type="spellStart"/>
      <w:r>
        <w:rPr>
          <w:b/>
          <w:sz w:val="24"/>
          <w:szCs w:val="24"/>
        </w:rPr>
        <w:t>Nutriflex</w:t>
      </w:r>
      <w:proofErr w:type="spellEnd"/>
      <w:r>
        <w:rPr>
          <w:b/>
          <w:sz w:val="24"/>
          <w:szCs w:val="24"/>
        </w:rPr>
        <w:t xml:space="preserve"> Omega Special elektrolytfri, infusionsvæske, emulsion</w:t>
      </w:r>
    </w:p>
    <w:p w:rsidR="00BE115E" w:rsidRPr="00C84483" w:rsidRDefault="00BE115E" w:rsidP="00BE115E">
      <w:pPr>
        <w:jc w:val="both"/>
        <w:rPr>
          <w:sz w:val="24"/>
          <w:szCs w:val="24"/>
        </w:rPr>
      </w:pPr>
    </w:p>
    <w:p w:rsidR="00BE115E" w:rsidRPr="000375F3" w:rsidRDefault="00BE115E" w:rsidP="00BE115E">
      <w:pPr>
        <w:jc w:val="both"/>
        <w:rPr>
          <w:sz w:val="24"/>
          <w:szCs w:val="24"/>
        </w:rPr>
      </w:pPr>
    </w:p>
    <w:p w:rsidR="00BE115E" w:rsidRPr="000375F3" w:rsidRDefault="00BE115E" w:rsidP="00BE115E">
      <w:pPr>
        <w:ind w:left="851" w:hanging="851"/>
        <w:rPr>
          <w:b/>
          <w:sz w:val="24"/>
          <w:szCs w:val="24"/>
        </w:rPr>
      </w:pPr>
      <w:r w:rsidRPr="000375F3">
        <w:rPr>
          <w:b/>
          <w:sz w:val="24"/>
          <w:szCs w:val="24"/>
        </w:rPr>
        <w:t>0.</w:t>
      </w:r>
      <w:r w:rsidRPr="000375F3">
        <w:rPr>
          <w:b/>
          <w:sz w:val="24"/>
          <w:szCs w:val="24"/>
        </w:rPr>
        <w:tab/>
        <w:t>D.SP.NR.</w:t>
      </w:r>
    </w:p>
    <w:p w:rsidR="00BE115E" w:rsidRPr="000375F3" w:rsidRDefault="00BE115E" w:rsidP="00BE115E">
      <w:pPr>
        <w:ind w:left="851"/>
        <w:rPr>
          <w:sz w:val="24"/>
          <w:szCs w:val="24"/>
        </w:rPr>
      </w:pPr>
      <w:r w:rsidRPr="000375F3">
        <w:rPr>
          <w:sz w:val="24"/>
          <w:szCs w:val="24"/>
        </w:rPr>
        <w:t>29410</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1.</w:t>
      </w:r>
      <w:r w:rsidRPr="000375F3">
        <w:rPr>
          <w:b/>
          <w:sz w:val="24"/>
          <w:szCs w:val="24"/>
        </w:rPr>
        <w:tab/>
        <w:t>LÆGEMIDLETS NAVN</w:t>
      </w:r>
    </w:p>
    <w:p w:rsidR="00BE115E" w:rsidRPr="000375F3" w:rsidRDefault="00BE115E" w:rsidP="00BE115E">
      <w:pPr>
        <w:ind w:left="851"/>
        <w:rPr>
          <w:sz w:val="24"/>
          <w:szCs w:val="24"/>
        </w:rPr>
      </w:pPr>
      <w:proofErr w:type="spellStart"/>
      <w:r w:rsidRPr="000375F3">
        <w:rPr>
          <w:sz w:val="24"/>
          <w:szCs w:val="24"/>
        </w:rPr>
        <w:t>Nutriflex</w:t>
      </w:r>
      <w:proofErr w:type="spellEnd"/>
      <w:r w:rsidRPr="000375F3">
        <w:rPr>
          <w:sz w:val="24"/>
          <w:szCs w:val="24"/>
        </w:rPr>
        <w:t xml:space="preserve"> Omega Special elektrolytfri</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2.</w:t>
      </w:r>
      <w:r w:rsidRPr="000375F3">
        <w:rPr>
          <w:b/>
          <w:sz w:val="24"/>
          <w:szCs w:val="24"/>
        </w:rPr>
        <w:tab/>
        <w:t>KVALITATIV OG KVANTITATIV SAMMENSÆTNING</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Den brugsfærdige emulsion til intravenøs infusion indeholder efter blanding af indholdet i kamrene: </w:t>
      </w:r>
    </w:p>
    <w:p w:rsidR="00BE115E" w:rsidRPr="000375F3" w:rsidRDefault="00BE115E" w:rsidP="00BE115E">
      <w:pPr>
        <w:pStyle w:val="Brdtekstindrykning"/>
        <w:tabs>
          <w:tab w:val="clear" w:pos="851"/>
        </w:tabs>
        <w:ind w:left="0"/>
        <w:jc w:val="left"/>
        <w:rPr>
          <w:rFonts w:ascii="Times New Roman" w:hAnsi="Times New Roman"/>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BE115E" w:rsidRPr="000375F3" w:rsidTr="00F55EEF">
        <w:tc>
          <w:tcPr>
            <w:tcW w:w="2058" w:type="pct"/>
            <w:tcBorders>
              <w:top w:val="single" w:sz="12" w:space="0" w:color="auto"/>
              <w:left w:val="single" w:sz="12" w:space="0" w:color="auto"/>
              <w:bottom w:val="single" w:sz="4" w:space="0" w:color="auto"/>
              <w:right w:val="single" w:sz="4" w:space="0" w:color="auto"/>
            </w:tcBorders>
          </w:tcPr>
          <w:p w:rsidR="00BE115E" w:rsidRPr="000375F3" w:rsidRDefault="00BE115E" w:rsidP="00F55EEF">
            <w:pPr>
              <w:rPr>
                <w:b/>
                <w:i/>
                <w:sz w:val="24"/>
                <w:szCs w:val="24"/>
              </w:rPr>
            </w:pPr>
            <w:r w:rsidRPr="000375F3">
              <w:rPr>
                <w:b/>
                <w:i/>
                <w:sz w:val="24"/>
                <w:szCs w:val="24"/>
              </w:rPr>
              <w:t>fra det øverste kammer (</w:t>
            </w:r>
            <w:proofErr w:type="spellStart"/>
            <w:r w:rsidRPr="000375F3">
              <w:rPr>
                <w:b/>
                <w:i/>
                <w:sz w:val="24"/>
                <w:szCs w:val="24"/>
              </w:rPr>
              <w:t>glucoseopløsning</w:t>
            </w:r>
            <w:proofErr w:type="spellEnd"/>
            <w:r w:rsidRPr="000375F3">
              <w:rPr>
                <w:b/>
                <w:i/>
                <w:sz w:val="24"/>
                <w:szCs w:val="24"/>
              </w:rPr>
              <w:t>)</w:t>
            </w:r>
          </w:p>
          <w:p w:rsidR="00BE115E" w:rsidRPr="000375F3" w:rsidRDefault="00BE115E" w:rsidP="00F55EEF">
            <w:pPr>
              <w:spacing w:before="120"/>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625 ml</w:t>
            </w:r>
          </w:p>
        </w:tc>
        <w:tc>
          <w:tcPr>
            <w:tcW w:w="736"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1.250 ml</w:t>
            </w:r>
          </w:p>
        </w:tc>
        <w:tc>
          <w:tcPr>
            <w:tcW w:w="736" w:type="pct"/>
            <w:tcBorders>
              <w:top w:val="single" w:sz="12" w:space="0" w:color="auto"/>
              <w:left w:val="single" w:sz="4" w:space="0" w:color="auto"/>
              <w:bottom w:val="single" w:sz="4" w:space="0" w:color="auto"/>
              <w:right w:val="single" w:sz="12" w:space="0" w:color="auto"/>
            </w:tcBorders>
            <w:hideMark/>
          </w:tcPr>
          <w:p w:rsidR="00BE115E" w:rsidRPr="000375F3" w:rsidRDefault="00BE115E" w:rsidP="00F55EEF">
            <w:pPr>
              <w:spacing w:before="120"/>
              <w:jc w:val="center"/>
              <w:rPr>
                <w:b/>
                <w:sz w:val="24"/>
                <w:szCs w:val="24"/>
              </w:rPr>
            </w:pPr>
            <w:r w:rsidRPr="000375F3">
              <w:rPr>
                <w:b/>
                <w:sz w:val="24"/>
                <w:szCs w:val="24"/>
              </w:rPr>
              <w:t>i 1.875 ml</w:t>
            </w:r>
          </w:p>
        </w:tc>
      </w:tr>
      <w:tr w:rsidR="00BE115E" w:rsidRPr="000375F3" w:rsidTr="00F55EEF">
        <w:tc>
          <w:tcPr>
            <w:tcW w:w="2058" w:type="pct"/>
            <w:tcBorders>
              <w:top w:val="single" w:sz="4" w:space="0" w:color="auto"/>
              <w:left w:val="single" w:sz="12" w:space="0" w:color="auto"/>
              <w:bottom w:val="single" w:sz="12" w:space="0" w:color="auto"/>
              <w:right w:val="single" w:sz="4" w:space="0" w:color="auto"/>
            </w:tcBorders>
            <w:hideMark/>
          </w:tcPr>
          <w:p w:rsidR="00BE115E" w:rsidRPr="000375F3" w:rsidRDefault="00BE115E" w:rsidP="00F55EEF">
            <w:pPr>
              <w:jc w:val="both"/>
              <w:rPr>
                <w:sz w:val="24"/>
                <w:szCs w:val="24"/>
              </w:rPr>
            </w:pPr>
            <w:proofErr w:type="spellStart"/>
            <w:r>
              <w:rPr>
                <w:sz w:val="24"/>
                <w:szCs w:val="24"/>
              </w:rPr>
              <w:t>Glucosemonohydrat</w:t>
            </w:r>
            <w:proofErr w:type="spellEnd"/>
            <w:r>
              <w:rPr>
                <w:sz w:val="24"/>
                <w:szCs w:val="24"/>
              </w:rPr>
              <w:t xml:space="preserve">                                          svarende til </w:t>
            </w:r>
            <w:proofErr w:type="spellStart"/>
            <w:r>
              <w:rPr>
                <w:sz w:val="24"/>
                <w:szCs w:val="24"/>
              </w:rPr>
              <w:t>glucose</w:t>
            </w:r>
            <w:proofErr w:type="spellEnd"/>
          </w:p>
        </w:tc>
        <w:tc>
          <w:tcPr>
            <w:tcW w:w="735"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158,4 g</w:t>
            </w:r>
          </w:p>
          <w:p w:rsidR="00BE115E" w:rsidRPr="000375F3" w:rsidRDefault="00BE115E" w:rsidP="00F55EEF">
            <w:pPr>
              <w:jc w:val="right"/>
              <w:rPr>
                <w:sz w:val="24"/>
                <w:szCs w:val="24"/>
              </w:rPr>
            </w:pPr>
            <w:r w:rsidRPr="000375F3">
              <w:rPr>
                <w:sz w:val="24"/>
                <w:szCs w:val="24"/>
              </w:rPr>
              <w:t>144,0 g</w:t>
            </w:r>
          </w:p>
        </w:tc>
        <w:tc>
          <w:tcPr>
            <w:tcW w:w="736"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 xml:space="preserve">99,00 g </w:t>
            </w:r>
          </w:p>
          <w:p w:rsidR="00BE115E" w:rsidRPr="000375F3" w:rsidRDefault="00BE115E" w:rsidP="00F55EEF">
            <w:pPr>
              <w:jc w:val="right"/>
              <w:rPr>
                <w:sz w:val="24"/>
                <w:szCs w:val="24"/>
              </w:rPr>
            </w:pPr>
            <w:r w:rsidRPr="000375F3">
              <w:rPr>
                <w:sz w:val="24"/>
                <w:szCs w:val="24"/>
              </w:rPr>
              <w:t>90,00 g</w:t>
            </w:r>
          </w:p>
        </w:tc>
        <w:tc>
          <w:tcPr>
            <w:tcW w:w="736"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 xml:space="preserve">198,0 g </w:t>
            </w:r>
          </w:p>
          <w:p w:rsidR="00BE115E" w:rsidRPr="000375F3" w:rsidRDefault="00BE115E" w:rsidP="00F55EEF">
            <w:pPr>
              <w:jc w:val="right"/>
              <w:rPr>
                <w:sz w:val="24"/>
                <w:szCs w:val="24"/>
              </w:rPr>
            </w:pPr>
            <w:r w:rsidRPr="000375F3">
              <w:rPr>
                <w:sz w:val="24"/>
                <w:szCs w:val="24"/>
              </w:rPr>
              <w:t>180,0 g</w:t>
            </w:r>
          </w:p>
        </w:tc>
        <w:tc>
          <w:tcPr>
            <w:tcW w:w="736" w:type="pct"/>
            <w:tcBorders>
              <w:top w:val="single" w:sz="4" w:space="0" w:color="auto"/>
              <w:left w:val="single" w:sz="4" w:space="0" w:color="auto"/>
              <w:bottom w:val="single" w:sz="12" w:space="0" w:color="auto"/>
              <w:right w:val="single" w:sz="12" w:space="0" w:color="auto"/>
            </w:tcBorders>
            <w:hideMark/>
          </w:tcPr>
          <w:p w:rsidR="00BE115E" w:rsidRPr="000375F3" w:rsidRDefault="00BE115E" w:rsidP="00F55EEF">
            <w:pPr>
              <w:jc w:val="right"/>
              <w:rPr>
                <w:sz w:val="24"/>
                <w:szCs w:val="24"/>
              </w:rPr>
            </w:pPr>
            <w:r w:rsidRPr="000375F3">
              <w:rPr>
                <w:sz w:val="24"/>
                <w:szCs w:val="24"/>
              </w:rPr>
              <w:t xml:space="preserve">297,0 g </w:t>
            </w:r>
          </w:p>
          <w:p w:rsidR="00BE115E" w:rsidRPr="000375F3" w:rsidRDefault="00BE115E" w:rsidP="00F55EEF">
            <w:pPr>
              <w:jc w:val="right"/>
              <w:rPr>
                <w:sz w:val="24"/>
                <w:szCs w:val="24"/>
              </w:rPr>
            </w:pPr>
            <w:r w:rsidRPr="000375F3">
              <w:rPr>
                <w:sz w:val="24"/>
                <w:szCs w:val="24"/>
              </w:rPr>
              <w:t>270,0 g</w:t>
            </w:r>
          </w:p>
        </w:tc>
      </w:tr>
    </w:tbl>
    <w:p w:rsidR="00BE115E" w:rsidRPr="000375F3" w:rsidRDefault="00BE115E" w:rsidP="00BE115E">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BE115E" w:rsidRPr="000375F3" w:rsidTr="00F55EEF">
        <w:tc>
          <w:tcPr>
            <w:tcW w:w="2058" w:type="pct"/>
            <w:tcBorders>
              <w:top w:val="single" w:sz="12" w:space="0" w:color="auto"/>
              <w:left w:val="single" w:sz="12" w:space="0" w:color="auto"/>
              <w:bottom w:val="single" w:sz="4" w:space="0" w:color="auto"/>
              <w:right w:val="single" w:sz="4" w:space="0" w:color="auto"/>
            </w:tcBorders>
          </w:tcPr>
          <w:p w:rsidR="00BE115E" w:rsidRPr="000375F3" w:rsidRDefault="00BE115E" w:rsidP="00F55EEF">
            <w:pPr>
              <w:pStyle w:val="Brdtekstindrykning"/>
              <w:tabs>
                <w:tab w:val="clear" w:pos="851"/>
              </w:tabs>
              <w:ind w:left="0"/>
              <w:jc w:val="left"/>
              <w:rPr>
                <w:rFonts w:ascii="Times New Roman" w:hAnsi="Times New Roman"/>
                <w:b/>
                <w:i/>
                <w:szCs w:val="24"/>
              </w:rPr>
            </w:pPr>
            <w:r w:rsidRPr="000375F3">
              <w:rPr>
                <w:rFonts w:ascii="Times New Roman" w:hAnsi="Times New Roman"/>
                <w:b/>
                <w:i/>
                <w:szCs w:val="24"/>
              </w:rPr>
              <w:t>fra det mellemste kammer (fedtemulsion)</w:t>
            </w:r>
          </w:p>
          <w:p w:rsidR="00BE115E" w:rsidRPr="000375F3" w:rsidRDefault="00BE115E" w:rsidP="00F55EEF">
            <w:pPr>
              <w:spacing w:before="120"/>
              <w:jc w:val="center"/>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625 ml</w:t>
            </w:r>
          </w:p>
        </w:tc>
        <w:tc>
          <w:tcPr>
            <w:tcW w:w="736"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1.250 ml</w:t>
            </w:r>
          </w:p>
        </w:tc>
        <w:tc>
          <w:tcPr>
            <w:tcW w:w="736" w:type="pct"/>
            <w:tcBorders>
              <w:top w:val="single" w:sz="12" w:space="0" w:color="auto"/>
              <w:left w:val="single" w:sz="4" w:space="0" w:color="auto"/>
              <w:bottom w:val="single" w:sz="4" w:space="0" w:color="auto"/>
              <w:right w:val="single" w:sz="12" w:space="0" w:color="auto"/>
            </w:tcBorders>
            <w:hideMark/>
          </w:tcPr>
          <w:p w:rsidR="00BE115E" w:rsidRPr="000375F3" w:rsidRDefault="00BE115E" w:rsidP="00F55EEF">
            <w:pPr>
              <w:spacing w:before="120"/>
              <w:jc w:val="center"/>
              <w:rPr>
                <w:b/>
                <w:sz w:val="24"/>
                <w:szCs w:val="24"/>
              </w:rPr>
            </w:pPr>
            <w:r w:rsidRPr="000375F3">
              <w:rPr>
                <w:b/>
                <w:sz w:val="24"/>
                <w:szCs w:val="24"/>
              </w:rPr>
              <w:t>i 1.875 ml</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r w:rsidRPr="000375F3">
              <w:rPr>
                <w:sz w:val="24"/>
                <w:szCs w:val="24"/>
              </w:rPr>
              <w:t>Triglycerider, middelkædelængde</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20,00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12,50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25,00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37,50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r w:rsidRPr="000375F3">
              <w:rPr>
                <w:sz w:val="24"/>
                <w:szCs w:val="24"/>
              </w:rPr>
              <w:t>Sojaolie, renset</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16,00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10,00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20,00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30,00 g</w:t>
            </w:r>
          </w:p>
        </w:tc>
      </w:tr>
      <w:tr w:rsidR="00BE115E" w:rsidRPr="000375F3" w:rsidTr="00F55EEF">
        <w:tc>
          <w:tcPr>
            <w:tcW w:w="2058" w:type="pct"/>
            <w:tcBorders>
              <w:top w:val="single" w:sz="4" w:space="0" w:color="auto"/>
              <w:left w:val="single" w:sz="12" w:space="0" w:color="auto"/>
              <w:bottom w:val="single" w:sz="12" w:space="0" w:color="auto"/>
              <w:right w:val="single" w:sz="4" w:space="0" w:color="auto"/>
            </w:tcBorders>
            <w:hideMark/>
          </w:tcPr>
          <w:p w:rsidR="00BE115E" w:rsidRPr="000375F3" w:rsidRDefault="00BE115E" w:rsidP="00F55EEF">
            <w:pPr>
              <w:jc w:val="both"/>
              <w:rPr>
                <w:sz w:val="24"/>
                <w:szCs w:val="24"/>
              </w:rPr>
            </w:pPr>
            <w:r w:rsidRPr="000375F3">
              <w:rPr>
                <w:sz w:val="24"/>
                <w:szCs w:val="24"/>
              </w:rPr>
              <w:t>Omega-3-syre triglycerider</w:t>
            </w:r>
          </w:p>
        </w:tc>
        <w:tc>
          <w:tcPr>
            <w:tcW w:w="735"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4,000 g</w:t>
            </w:r>
          </w:p>
        </w:tc>
        <w:tc>
          <w:tcPr>
            <w:tcW w:w="736"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2,500 g</w:t>
            </w:r>
          </w:p>
        </w:tc>
        <w:tc>
          <w:tcPr>
            <w:tcW w:w="736"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5,000 g</w:t>
            </w:r>
          </w:p>
        </w:tc>
        <w:tc>
          <w:tcPr>
            <w:tcW w:w="736" w:type="pct"/>
            <w:tcBorders>
              <w:top w:val="single" w:sz="4" w:space="0" w:color="auto"/>
              <w:left w:val="single" w:sz="4" w:space="0" w:color="auto"/>
              <w:bottom w:val="single" w:sz="12" w:space="0" w:color="auto"/>
              <w:right w:val="single" w:sz="12" w:space="0" w:color="auto"/>
            </w:tcBorders>
            <w:hideMark/>
          </w:tcPr>
          <w:p w:rsidR="00BE115E" w:rsidRPr="000375F3" w:rsidRDefault="00BE115E" w:rsidP="00F55EEF">
            <w:pPr>
              <w:jc w:val="right"/>
              <w:rPr>
                <w:sz w:val="24"/>
                <w:szCs w:val="24"/>
              </w:rPr>
            </w:pPr>
            <w:r w:rsidRPr="000375F3">
              <w:rPr>
                <w:sz w:val="24"/>
                <w:szCs w:val="24"/>
              </w:rPr>
              <w:t>7,500 g</w:t>
            </w:r>
          </w:p>
        </w:tc>
      </w:tr>
    </w:tbl>
    <w:p w:rsidR="00BE115E" w:rsidRPr="000375F3" w:rsidRDefault="00BE115E" w:rsidP="00BE115E">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BE115E" w:rsidRPr="000375F3" w:rsidTr="00F55EEF">
        <w:tc>
          <w:tcPr>
            <w:tcW w:w="2058" w:type="pct"/>
            <w:tcBorders>
              <w:top w:val="single" w:sz="12" w:space="0" w:color="auto"/>
              <w:left w:val="single" w:sz="12" w:space="0" w:color="auto"/>
              <w:bottom w:val="single" w:sz="4" w:space="0" w:color="auto"/>
              <w:right w:val="single" w:sz="4" w:space="0" w:color="auto"/>
            </w:tcBorders>
          </w:tcPr>
          <w:p w:rsidR="00BE115E" w:rsidRPr="000375F3" w:rsidRDefault="00BE115E" w:rsidP="00F55EEF">
            <w:pPr>
              <w:rPr>
                <w:b/>
                <w:i/>
                <w:sz w:val="24"/>
                <w:szCs w:val="24"/>
              </w:rPr>
            </w:pPr>
            <w:r w:rsidRPr="000375F3">
              <w:rPr>
                <w:b/>
                <w:i/>
                <w:sz w:val="24"/>
                <w:szCs w:val="24"/>
              </w:rPr>
              <w:t>fra det nederste kammer (aminosyreopløsning)</w:t>
            </w:r>
          </w:p>
          <w:p w:rsidR="00BE115E" w:rsidRPr="000375F3" w:rsidRDefault="00BE115E" w:rsidP="00F55EEF">
            <w:pPr>
              <w:spacing w:before="120"/>
              <w:jc w:val="center"/>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625 ml</w:t>
            </w:r>
          </w:p>
        </w:tc>
        <w:tc>
          <w:tcPr>
            <w:tcW w:w="736"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spacing w:before="120"/>
              <w:jc w:val="center"/>
              <w:rPr>
                <w:b/>
                <w:sz w:val="24"/>
                <w:szCs w:val="24"/>
              </w:rPr>
            </w:pPr>
            <w:r w:rsidRPr="000375F3">
              <w:rPr>
                <w:b/>
                <w:sz w:val="24"/>
                <w:szCs w:val="24"/>
              </w:rPr>
              <w:t>i 1.250 ml</w:t>
            </w:r>
          </w:p>
        </w:tc>
        <w:tc>
          <w:tcPr>
            <w:tcW w:w="736" w:type="pct"/>
            <w:tcBorders>
              <w:top w:val="single" w:sz="12" w:space="0" w:color="auto"/>
              <w:left w:val="single" w:sz="4" w:space="0" w:color="auto"/>
              <w:bottom w:val="single" w:sz="4" w:space="0" w:color="auto"/>
              <w:right w:val="single" w:sz="12" w:space="0" w:color="auto"/>
            </w:tcBorders>
            <w:hideMark/>
          </w:tcPr>
          <w:p w:rsidR="00BE115E" w:rsidRPr="000375F3" w:rsidRDefault="00BE115E" w:rsidP="00F55EEF">
            <w:pPr>
              <w:spacing w:before="120"/>
              <w:jc w:val="center"/>
              <w:rPr>
                <w:b/>
                <w:sz w:val="24"/>
                <w:szCs w:val="24"/>
              </w:rPr>
            </w:pPr>
            <w:r w:rsidRPr="000375F3">
              <w:rPr>
                <w:b/>
                <w:sz w:val="24"/>
                <w:szCs w:val="24"/>
              </w:rPr>
              <w:t>i 1.875 ml</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Isoleucin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3,284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2,053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4,105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6,158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r w:rsidRPr="000375F3">
              <w:rPr>
                <w:sz w:val="24"/>
                <w:szCs w:val="24"/>
              </w:rPr>
              <w:t>Leucin</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4,384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2,740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5,480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8,220 g</w:t>
            </w:r>
          </w:p>
        </w:tc>
      </w:tr>
      <w:tr w:rsidR="00BE115E" w:rsidRPr="000375F3" w:rsidTr="00F55EEF">
        <w:trPr>
          <w:trHeight w:val="539"/>
        </w:trPr>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Lysinmonohydrat</w:t>
            </w:r>
            <w:proofErr w:type="spellEnd"/>
            <w:r w:rsidRPr="000375F3">
              <w:rPr>
                <w:sz w:val="24"/>
                <w:szCs w:val="24"/>
              </w:rPr>
              <w:t xml:space="preserve">                                              svarende til lysin</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3,576 g</w:t>
            </w:r>
          </w:p>
          <w:p w:rsidR="00BE115E" w:rsidRPr="000375F3" w:rsidRDefault="00BE115E" w:rsidP="00F55EEF">
            <w:pPr>
              <w:jc w:val="right"/>
              <w:rPr>
                <w:sz w:val="24"/>
                <w:szCs w:val="24"/>
              </w:rPr>
            </w:pPr>
            <w:r w:rsidRPr="000375F3">
              <w:rPr>
                <w:sz w:val="24"/>
                <w:szCs w:val="24"/>
              </w:rPr>
              <w:t>3,184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2,235 g</w:t>
            </w:r>
          </w:p>
          <w:p w:rsidR="00BE115E" w:rsidRPr="000375F3" w:rsidRDefault="00BE115E" w:rsidP="00F55EEF">
            <w:pPr>
              <w:jc w:val="right"/>
              <w:rPr>
                <w:sz w:val="24"/>
                <w:szCs w:val="24"/>
              </w:rPr>
            </w:pPr>
            <w:r w:rsidRPr="000375F3">
              <w:rPr>
                <w:sz w:val="24"/>
                <w:szCs w:val="24"/>
              </w:rPr>
              <w:t>1,990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4,470 g</w:t>
            </w:r>
          </w:p>
          <w:p w:rsidR="00BE115E" w:rsidRPr="000375F3" w:rsidRDefault="00BE115E" w:rsidP="00F55EEF">
            <w:pPr>
              <w:jc w:val="right"/>
              <w:rPr>
                <w:sz w:val="24"/>
                <w:szCs w:val="24"/>
              </w:rPr>
            </w:pPr>
            <w:r w:rsidRPr="000375F3">
              <w:rPr>
                <w:sz w:val="24"/>
                <w:szCs w:val="24"/>
              </w:rPr>
              <w:t>3,979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6,705 g</w:t>
            </w:r>
          </w:p>
          <w:p w:rsidR="00BE115E" w:rsidRPr="000375F3" w:rsidRDefault="00BE115E" w:rsidP="00F55EEF">
            <w:pPr>
              <w:jc w:val="right"/>
              <w:rPr>
                <w:sz w:val="24"/>
                <w:szCs w:val="24"/>
              </w:rPr>
            </w:pPr>
            <w:r w:rsidRPr="000375F3">
              <w:rPr>
                <w:sz w:val="24"/>
                <w:szCs w:val="24"/>
              </w:rPr>
              <w:t>5,969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Methionin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2,736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1,710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3,420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5,130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Phenylalanin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4,916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3,073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6,145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9,218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Threonin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2,540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1,588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3,175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4,763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r w:rsidRPr="000375F3">
              <w:rPr>
                <w:sz w:val="24"/>
                <w:szCs w:val="24"/>
              </w:rPr>
              <w:t>Tryptophan</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0,800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0,500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1,000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1,500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lastRenderedPageBreak/>
              <w:t>Valin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3,604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2,253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4,505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6,758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Arginin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3,780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2,363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4,725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7,088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Histidin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1,752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1,095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2,190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3,285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Alanin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6,792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4,245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8,490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12,73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Asparaginsyre</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2,100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1,313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2,625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3,938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Glutaminsyre</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4,908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3,068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6,135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9,203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b/>
                <w:sz w:val="24"/>
                <w:szCs w:val="24"/>
              </w:rPr>
            </w:pPr>
            <w:proofErr w:type="spellStart"/>
            <w:r w:rsidRPr="000375F3">
              <w:rPr>
                <w:sz w:val="24"/>
                <w:szCs w:val="24"/>
              </w:rPr>
              <w:t>Glycin</w:t>
            </w:r>
            <w:proofErr w:type="spellEnd"/>
            <w:r w:rsidRPr="000375F3">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2,312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1,445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2,890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4,335 g</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Prolin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4,760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2,975 g</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5,950 g</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8,925 g</w:t>
            </w:r>
          </w:p>
        </w:tc>
      </w:tr>
      <w:tr w:rsidR="00BE115E" w:rsidRPr="000375F3" w:rsidTr="00F55EEF">
        <w:tc>
          <w:tcPr>
            <w:tcW w:w="2058" w:type="pct"/>
            <w:tcBorders>
              <w:top w:val="single" w:sz="4" w:space="0" w:color="auto"/>
              <w:left w:val="single" w:sz="12" w:space="0" w:color="auto"/>
              <w:bottom w:val="single" w:sz="12" w:space="0" w:color="auto"/>
              <w:right w:val="single" w:sz="4" w:space="0" w:color="auto"/>
            </w:tcBorders>
            <w:hideMark/>
          </w:tcPr>
          <w:p w:rsidR="00BE115E" w:rsidRPr="000375F3" w:rsidRDefault="00BE115E" w:rsidP="00F55EEF">
            <w:pPr>
              <w:jc w:val="both"/>
              <w:rPr>
                <w:sz w:val="24"/>
                <w:szCs w:val="24"/>
              </w:rPr>
            </w:pPr>
            <w:proofErr w:type="spellStart"/>
            <w:r w:rsidRPr="000375F3">
              <w:rPr>
                <w:sz w:val="24"/>
                <w:szCs w:val="24"/>
              </w:rPr>
              <w:t>Serin</w:t>
            </w:r>
            <w:proofErr w:type="spellEnd"/>
          </w:p>
        </w:tc>
        <w:tc>
          <w:tcPr>
            <w:tcW w:w="735"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4,200 g</w:t>
            </w:r>
          </w:p>
        </w:tc>
        <w:tc>
          <w:tcPr>
            <w:tcW w:w="736"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2,625g</w:t>
            </w:r>
          </w:p>
        </w:tc>
        <w:tc>
          <w:tcPr>
            <w:tcW w:w="736"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5,250 g</w:t>
            </w:r>
          </w:p>
        </w:tc>
        <w:tc>
          <w:tcPr>
            <w:tcW w:w="736" w:type="pct"/>
            <w:tcBorders>
              <w:top w:val="single" w:sz="4" w:space="0" w:color="auto"/>
              <w:left w:val="single" w:sz="4" w:space="0" w:color="auto"/>
              <w:bottom w:val="single" w:sz="12" w:space="0" w:color="auto"/>
              <w:right w:val="single" w:sz="12" w:space="0" w:color="auto"/>
            </w:tcBorders>
          </w:tcPr>
          <w:p w:rsidR="00BE115E" w:rsidRPr="000375F3" w:rsidRDefault="00BE115E" w:rsidP="00F55EEF">
            <w:pPr>
              <w:jc w:val="right"/>
              <w:rPr>
                <w:sz w:val="24"/>
                <w:szCs w:val="24"/>
              </w:rPr>
            </w:pPr>
            <w:r w:rsidRPr="000375F3">
              <w:rPr>
                <w:sz w:val="24"/>
                <w:szCs w:val="24"/>
              </w:rPr>
              <w:t>7,875 g</w:t>
            </w:r>
          </w:p>
          <w:p w:rsidR="00BE115E" w:rsidRPr="000375F3" w:rsidRDefault="00BE115E" w:rsidP="00F55EEF">
            <w:pPr>
              <w:jc w:val="right"/>
              <w:rPr>
                <w:sz w:val="24"/>
                <w:szCs w:val="24"/>
              </w:rPr>
            </w:pPr>
          </w:p>
        </w:tc>
      </w:tr>
    </w:tbl>
    <w:p w:rsidR="00BE115E" w:rsidRPr="000375F3" w:rsidRDefault="00BE115E" w:rsidP="00BE115E">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BE115E" w:rsidRPr="000375F3" w:rsidTr="00F55EEF">
        <w:tc>
          <w:tcPr>
            <w:tcW w:w="2058" w:type="pct"/>
            <w:tcBorders>
              <w:top w:val="single" w:sz="12" w:space="0" w:color="auto"/>
              <w:left w:val="single" w:sz="12" w:space="0" w:color="auto"/>
              <w:bottom w:val="single" w:sz="4" w:space="0" w:color="auto"/>
              <w:right w:val="single" w:sz="4" w:space="0" w:color="auto"/>
            </w:tcBorders>
          </w:tcPr>
          <w:p w:rsidR="00BE115E" w:rsidRPr="000375F3" w:rsidRDefault="00BE115E" w:rsidP="00F55EEF">
            <w:pPr>
              <w:jc w:val="both"/>
              <w:rPr>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jc w:val="center"/>
              <w:rPr>
                <w:b/>
                <w:sz w:val="24"/>
                <w:szCs w:val="24"/>
              </w:rPr>
            </w:pPr>
            <w:r w:rsidRPr="000375F3">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jc w:val="center"/>
              <w:rPr>
                <w:b/>
                <w:sz w:val="24"/>
                <w:szCs w:val="24"/>
              </w:rPr>
            </w:pPr>
            <w:r w:rsidRPr="000375F3">
              <w:rPr>
                <w:b/>
                <w:sz w:val="24"/>
                <w:szCs w:val="24"/>
              </w:rPr>
              <w:t>i 625 ml</w:t>
            </w:r>
          </w:p>
        </w:tc>
        <w:tc>
          <w:tcPr>
            <w:tcW w:w="736" w:type="pct"/>
            <w:tcBorders>
              <w:top w:val="single" w:sz="12" w:space="0" w:color="auto"/>
              <w:left w:val="single" w:sz="4" w:space="0" w:color="auto"/>
              <w:bottom w:val="single" w:sz="4" w:space="0" w:color="auto"/>
              <w:right w:val="single" w:sz="4" w:space="0" w:color="auto"/>
            </w:tcBorders>
            <w:hideMark/>
          </w:tcPr>
          <w:p w:rsidR="00BE115E" w:rsidRPr="000375F3" w:rsidRDefault="00BE115E" w:rsidP="00F55EEF">
            <w:pPr>
              <w:jc w:val="center"/>
              <w:rPr>
                <w:b/>
                <w:sz w:val="24"/>
                <w:szCs w:val="24"/>
              </w:rPr>
            </w:pPr>
            <w:r w:rsidRPr="000375F3">
              <w:rPr>
                <w:b/>
                <w:sz w:val="24"/>
                <w:szCs w:val="24"/>
              </w:rPr>
              <w:t>i 1.250 ml</w:t>
            </w:r>
          </w:p>
        </w:tc>
        <w:tc>
          <w:tcPr>
            <w:tcW w:w="736" w:type="pct"/>
            <w:tcBorders>
              <w:top w:val="single" w:sz="12" w:space="0" w:color="auto"/>
              <w:left w:val="single" w:sz="4" w:space="0" w:color="auto"/>
              <w:bottom w:val="single" w:sz="4" w:space="0" w:color="auto"/>
              <w:right w:val="single" w:sz="12" w:space="0" w:color="auto"/>
            </w:tcBorders>
            <w:hideMark/>
          </w:tcPr>
          <w:p w:rsidR="00BE115E" w:rsidRPr="000375F3" w:rsidRDefault="00BE115E" w:rsidP="00F55EEF">
            <w:pPr>
              <w:jc w:val="center"/>
              <w:rPr>
                <w:b/>
                <w:sz w:val="24"/>
                <w:szCs w:val="24"/>
              </w:rPr>
            </w:pPr>
            <w:r w:rsidRPr="000375F3">
              <w:rPr>
                <w:b/>
                <w:sz w:val="24"/>
                <w:szCs w:val="24"/>
              </w:rPr>
              <w:t>i 1.875 ml</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r w:rsidRPr="000375F3">
              <w:rPr>
                <w:sz w:val="24"/>
                <w:szCs w:val="24"/>
              </w:rPr>
              <w:t>Aminosyreindhold [</w:t>
            </w:r>
            <w:proofErr w:type="gramStart"/>
            <w:r w:rsidRPr="000375F3">
              <w:rPr>
                <w:sz w:val="24"/>
                <w:szCs w:val="24"/>
              </w:rPr>
              <w:t xml:space="preserve">g]   </w:t>
            </w:r>
            <w:proofErr w:type="gramEnd"/>
            <w:r w:rsidRPr="000375F3">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56,0</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35,0</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70,1</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105,1</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r w:rsidRPr="000375F3">
              <w:rPr>
                <w:sz w:val="24"/>
                <w:szCs w:val="24"/>
              </w:rPr>
              <w:t>Nitrogenindhold [</w:t>
            </w:r>
            <w:proofErr w:type="gramStart"/>
            <w:r w:rsidRPr="000375F3">
              <w:rPr>
                <w:sz w:val="24"/>
                <w:szCs w:val="24"/>
              </w:rPr>
              <w:t xml:space="preserve">g]   </w:t>
            </w:r>
            <w:proofErr w:type="gramEnd"/>
            <w:r w:rsidRPr="000375F3">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8</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5</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10</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15</w:t>
            </w:r>
          </w:p>
        </w:tc>
      </w:tr>
      <w:tr w:rsidR="00BE115E" w:rsidRPr="000375F3" w:rsidTr="00F55EEF">
        <w:tc>
          <w:tcPr>
            <w:tcW w:w="2058" w:type="pct"/>
            <w:tcBorders>
              <w:top w:val="single" w:sz="4" w:space="0" w:color="auto"/>
              <w:left w:val="single" w:sz="12" w:space="0" w:color="auto"/>
              <w:bottom w:val="single" w:sz="4" w:space="0" w:color="auto"/>
              <w:right w:val="single" w:sz="4" w:space="0" w:color="auto"/>
            </w:tcBorders>
            <w:hideMark/>
          </w:tcPr>
          <w:p w:rsidR="00BE115E" w:rsidRPr="000375F3" w:rsidRDefault="00BE115E" w:rsidP="00F55EEF">
            <w:pPr>
              <w:jc w:val="both"/>
              <w:rPr>
                <w:sz w:val="24"/>
                <w:szCs w:val="24"/>
              </w:rPr>
            </w:pPr>
            <w:r w:rsidRPr="000375F3">
              <w:rPr>
                <w:sz w:val="24"/>
                <w:szCs w:val="24"/>
              </w:rPr>
              <w:t>Kulhydratindhold [</w:t>
            </w:r>
            <w:proofErr w:type="gramStart"/>
            <w:r w:rsidRPr="000375F3">
              <w:rPr>
                <w:sz w:val="24"/>
                <w:szCs w:val="24"/>
              </w:rPr>
              <w:t xml:space="preserve">g]   </w:t>
            </w:r>
            <w:proofErr w:type="gramEnd"/>
            <w:r w:rsidRPr="000375F3">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144</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90</w:t>
            </w:r>
          </w:p>
        </w:tc>
        <w:tc>
          <w:tcPr>
            <w:tcW w:w="736" w:type="pct"/>
            <w:tcBorders>
              <w:top w:val="single" w:sz="4" w:space="0" w:color="auto"/>
              <w:left w:val="single" w:sz="4" w:space="0" w:color="auto"/>
              <w:bottom w:val="single" w:sz="4" w:space="0" w:color="auto"/>
              <w:right w:val="single" w:sz="4" w:space="0" w:color="auto"/>
            </w:tcBorders>
            <w:hideMark/>
          </w:tcPr>
          <w:p w:rsidR="00BE115E" w:rsidRPr="000375F3" w:rsidRDefault="00BE115E" w:rsidP="00F55EEF">
            <w:pPr>
              <w:jc w:val="right"/>
              <w:rPr>
                <w:sz w:val="24"/>
                <w:szCs w:val="24"/>
              </w:rPr>
            </w:pPr>
            <w:r w:rsidRPr="000375F3">
              <w:rPr>
                <w:sz w:val="24"/>
                <w:szCs w:val="24"/>
              </w:rPr>
              <w:t>180</w:t>
            </w:r>
          </w:p>
        </w:tc>
        <w:tc>
          <w:tcPr>
            <w:tcW w:w="736" w:type="pct"/>
            <w:tcBorders>
              <w:top w:val="single" w:sz="4" w:space="0" w:color="auto"/>
              <w:left w:val="single" w:sz="4" w:space="0" w:color="auto"/>
              <w:bottom w:val="single" w:sz="4" w:space="0" w:color="auto"/>
              <w:right w:val="single" w:sz="12" w:space="0" w:color="auto"/>
            </w:tcBorders>
            <w:hideMark/>
          </w:tcPr>
          <w:p w:rsidR="00BE115E" w:rsidRPr="000375F3" w:rsidRDefault="00BE115E" w:rsidP="00F55EEF">
            <w:pPr>
              <w:jc w:val="right"/>
              <w:rPr>
                <w:sz w:val="24"/>
                <w:szCs w:val="24"/>
              </w:rPr>
            </w:pPr>
            <w:r w:rsidRPr="000375F3">
              <w:rPr>
                <w:sz w:val="24"/>
                <w:szCs w:val="24"/>
              </w:rPr>
              <w:t>270</w:t>
            </w:r>
          </w:p>
        </w:tc>
      </w:tr>
      <w:tr w:rsidR="00BE115E" w:rsidRPr="000375F3" w:rsidTr="00F55EEF">
        <w:tc>
          <w:tcPr>
            <w:tcW w:w="2058" w:type="pct"/>
            <w:tcBorders>
              <w:top w:val="single" w:sz="4" w:space="0" w:color="auto"/>
              <w:left w:val="single" w:sz="12" w:space="0" w:color="auto"/>
              <w:bottom w:val="single" w:sz="12" w:space="0" w:color="auto"/>
              <w:right w:val="single" w:sz="4" w:space="0" w:color="auto"/>
            </w:tcBorders>
            <w:hideMark/>
          </w:tcPr>
          <w:p w:rsidR="00BE115E" w:rsidRPr="000375F3" w:rsidRDefault="00BE115E" w:rsidP="00F55EEF">
            <w:pPr>
              <w:jc w:val="both"/>
              <w:rPr>
                <w:b/>
                <w:sz w:val="24"/>
                <w:szCs w:val="24"/>
              </w:rPr>
            </w:pPr>
            <w:r w:rsidRPr="000375F3">
              <w:rPr>
                <w:sz w:val="24"/>
                <w:szCs w:val="24"/>
              </w:rPr>
              <w:t xml:space="preserve">Lipidindhold [g] </w:t>
            </w:r>
          </w:p>
        </w:tc>
        <w:tc>
          <w:tcPr>
            <w:tcW w:w="735"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40</w:t>
            </w:r>
          </w:p>
        </w:tc>
        <w:tc>
          <w:tcPr>
            <w:tcW w:w="736"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25</w:t>
            </w:r>
          </w:p>
        </w:tc>
        <w:tc>
          <w:tcPr>
            <w:tcW w:w="736" w:type="pct"/>
            <w:tcBorders>
              <w:top w:val="single" w:sz="4" w:space="0" w:color="auto"/>
              <w:left w:val="single" w:sz="4" w:space="0" w:color="auto"/>
              <w:bottom w:val="single" w:sz="12" w:space="0" w:color="auto"/>
              <w:right w:val="single" w:sz="4" w:space="0" w:color="auto"/>
            </w:tcBorders>
            <w:hideMark/>
          </w:tcPr>
          <w:p w:rsidR="00BE115E" w:rsidRPr="000375F3" w:rsidRDefault="00BE115E" w:rsidP="00F55EEF">
            <w:pPr>
              <w:jc w:val="right"/>
              <w:rPr>
                <w:sz w:val="24"/>
                <w:szCs w:val="24"/>
              </w:rPr>
            </w:pPr>
            <w:r w:rsidRPr="000375F3">
              <w:rPr>
                <w:sz w:val="24"/>
                <w:szCs w:val="24"/>
              </w:rPr>
              <w:t>50</w:t>
            </w:r>
          </w:p>
        </w:tc>
        <w:tc>
          <w:tcPr>
            <w:tcW w:w="736" w:type="pct"/>
            <w:tcBorders>
              <w:top w:val="single" w:sz="4" w:space="0" w:color="auto"/>
              <w:left w:val="single" w:sz="4" w:space="0" w:color="auto"/>
              <w:bottom w:val="single" w:sz="12" w:space="0" w:color="auto"/>
              <w:right w:val="single" w:sz="12" w:space="0" w:color="auto"/>
            </w:tcBorders>
            <w:hideMark/>
          </w:tcPr>
          <w:p w:rsidR="00BE115E" w:rsidRPr="000375F3" w:rsidRDefault="00BE115E" w:rsidP="00F55EEF">
            <w:pPr>
              <w:jc w:val="right"/>
              <w:rPr>
                <w:sz w:val="24"/>
                <w:szCs w:val="24"/>
              </w:rPr>
            </w:pPr>
            <w:r w:rsidRPr="000375F3">
              <w:rPr>
                <w:sz w:val="24"/>
                <w:szCs w:val="24"/>
              </w:rPr>
              <w:t>75</w:t>
            </w:r>
          </w:p>
        </w:tc>
      </w:tr>
    </w:tbl>
    <w:p w:rsidR="00BE115E" w:rsidRPr="000375F3" w:rsidRDefault="00BE115E" w:rsidP="00BE115E">
      <w:pPr>
        <w:jc w:val="both"/>
        <w:rPr>
          <w:sz w:val="24"/>
          <w:szCs w:val="24"/>
        </w:rPr>
      </w:pPr>
    </w:p>
    <w:p w:rsidR="00BE115E" w:rsidRPr="000375F3" w:rsidRDefault="00BE115E" w:rsidP="00BE115E">
      <w:pPr>
        <w:spacing w:line="260" w:lineRule="exact"/>
        <w:ind w:left="851"/>
        <w:rPr>
          <w:sz w:val="24"/>
          <w:szCs w:val="24"/>
        </w:rPr>
      </w:pPr>
      <w:r w:rsidRPr="000375F3">
        <w:rPr>
          <w:sz w:val="24"/>
          <w:szCs w:val="24"/>
        </w:rPr>
        <w:t>Hjælpestoffer, som behandleren skal være opmærksom på:</w:t>
      </w:r>
    </w:p>
    <w:p w:rsidR="00BE115E" w:rsidRPr="000375F3" w:rsidRDefault="00BE115E" w:rsidP="00BE115E">
      <w:pPr>
        <w:spacing w:line="260" w:lineRule="exact"/>
        <w:ind w:left="851"/>
        <w:rPr>
          <w:sz w:val="24"/>
          <w:szCs w:val="24"/>
        </w:rPr>
      </w:pPr>
      <w:r w:rsidRPr="000375F3">
        <w:rPr>
          <w:sz w:val="24"/>
          <w:szCs w:val="24"/>
        </w:rPr>
        <w:t xml:space="preserve">Natrium (fra </w:t>
      </w:r>
      <w:proofErr w:type="spellStart"/>
      <w:r w:rsidRPr="000375F3">
        <w:rPr>
          <w:sz w:val="24"/>
          <w:szCs w:val="24"/>
        </w:rPr>
        <w:t>natriumoleat</w:t>
      </w:r>
      <w:proofErr w:type="spellEnd"/>
      <w:r w:rsidRPr="000375F3">
        <w:rPr>
          <w:sz w:val="24"/>
          <w:szCs w:val="24"/>
        </w:rPr>
        <w:t xml:space="preserve"> og natriumhydroxid) med maks. 0,5 mmol/l i den brugsfærdige emulsion.</w:t>
      </w:r>
    </w:p>
    <w:p w:rsidR="00BE115E" w:rsidRPr="000375F3" w:rsidRDefault="00BE115E" w:rsidP="00BE115E">
      <w:pPr>
        <w:spacing w:line="260" w:lineRule="exact"/>
        <w:ind w:left="851"/>
        <w:rPr>
          <w:sz w:val="24"/>
          <w:szCs w:val="24"/>
        </w:rPr>
      </w:pPr>
    </w:p>
    <w:p w:rsidR="00BE115E" w:rsidRPr="000375F3" w:rsidRDefault="00BE115E" w:rsidP="00BE115E">
      <w:pPr>
        <w:spacing w:line="260" w:lineRule="exact"/>
        <w:ind w:left="851"/>
        <w:rPr>
          <w:sz w:val="24"/>
          <w:szCs w:val="24"/>
        </w:rPr>
      </w:pPr>
      <w:r w:rsidRPr="000375F3">
        <w:rPr>
          <w:sz w:val="24"/>
          <w:szCs w:val="24"/>
        </w:rPr>
        <w:t>Alle hjælpestoffer er anført under pkt. 6.1.</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3.</w:t>
      </w:r>
      <w:r w:rsidRPr="000375F3">
        <w:rPr>
          <w:b/>
          <w:sz w:val="24"/>
          <w:szCs w:val="24"/>
        </w:rPr>
        <w:tab/>
        <w:t>LÆGEMIDDELFORM</w:t>
      </w:r>
    </w:p>
    <w:p w:rsidR="00BE115E" w:rsidRPr="000375F3" w:rsidRDefault="00BE115E" w:rsidP="00BE115E">
      <w:pPr>
        <w:ind w:left="851"/>
        <w:rPr>
          <w:sz w:val="24"/>
          <w:szCs w:val="24"/>
        </w:rPr>
      </w:pPr>
      <w:r w:rsidRPr="000375F3">
        <w:rPr>
          <w:sz w:val="24"/>
          <w:szCs w:val="24"/>
        </w:rPr>
        <w:t>Infusionsvæske, emulsion</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Ami</w:t>
      </w:r>
      <w:r>
        <w:rPr>
          <w:sz w:val="24"/>
          <w:szCs w:val="24"/>
        </w:rPr>
        <w:t xml:space="preserve">nosyre- og </w:t>
      </w:r>
      <w:proofErr w:type="spellStart"/>
      <w:r>
        <w:rPr>
          <w:sz w:val="24"/>
          <w:szCs w:val="24"/>
        </w:rPr>
        <w:t>glucoseopløsninger</w:t>
      </w:r>
      <w:proofErr w:type="spellEnd"/>
      <w:r>
        <w:rPr>
          <w:sz w:val="24"/>
          <w:szCs w:val="24"/>
        </w:rPr>
        <w:t>: K</w:t>
      </w:r>
      <w:r w:rsidRPr="000375F3">
        <w:rPr>
          <w:sz w:val="24"/>
          <w:szCs w:val="24"/>
        </w:rPr>
        <w:t>lare, farveløse op til stråfarvede opløsninger.</w:t>
      </w:r>
    </w:p>
    <w:p w:rsidR="00BE115E" w:rsidRDefault="00BE115E" w:rsidP="00BE115E">
      <w:pPr>
        <w:ind w:left="851"/>
        <w:rPr>
          <w:sz w:val="24"/>
          <w:szCs w:val="24"/>
        </w:rPr>
      </w:pPr>
      <w:r>
        <w:rPr>
          <w:sz w:val="24"/>
          <w:szCs w:val="24"/>
        </w:rPr>
        <w:t>Fedtemulsion: o</w:t>
      </w:r>
      <w:r w:rsidRPr="000375F3">
        <w:rPr>
          <w:sz w:val="24"/>
          <w:szCs w:val="24"/>
        </w:rPr>
        <w:t>lie-i-vand emulsion, mælkehvid.</w:t>
      </w:r>
    </w:p>
    <w:p w:rsidR="00BE115E" w:rsidRPr="000375F3" w:rsidRDefault="00BE115E" w:rsidP="009B199C">
      <w:pPr>
        <w:jc w:val="both"/>
        <w:rPr>
          <w:sz w:val="24"/>
          <w:szCs w:val="24"/>
        </w:rPr>
      </w:pP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3547"/>
        <w:gridCol w:w="1477"/>
        <w:gridCol w:w="1418"/>
        <w:gridCol w:w="1417"/>
        <w:gridCol w:w="1701"/>
      </w:tblGrid>
      <w:tr w:rsidR="000C222F" w:rsidRPr="000C222F" w:rsidTr="000C222F">
        <w:tc>
          <w:tcPr>
            <w:tcW w:w="3547" w:type="dxa"/>
            <w:tcBorders>
              <w:top w:val="single" w:sz="6" w:space="0" w:color="auto"/>
              <w:left w:val="single" w:sz="6" w:space="0" w:color="auto"/>
              <w:bottom w:val="single" w:sz="6" w:space="0" w:color="auto"/>
              <w:right w:val="single" w:sz="6" w:space="0" w:color="auto"/>
            </w:tcBorders>
          </w:tcPr>
          <w:p w:rsidR="000C222F" w:rsidRPr="000C222F" w:rsidRDefault="000C222F">
            <w:pPr>
              <w:rPr>
                <w:sz w:val="22"/>
                <w:lang w:eastAsia="fr-LU"/>
              </w:rPr>
            </w:pPr>
          </w:p>
        </w:tc>
        <w:tc>
          <w:tcPr>
            <w:tcW w:w="1477"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b/>
                <w:sz w:val="24"/>
                <w:lang w:val="fr-LU"/>
              </w:rPr>
            </w:pPr>
            <w:r w:rsidRPr="000C222F">
              <w:rPr>
                <w:b/>
                <w:sz w:val="24"/>
              </w:rPr>
              <w:t>i 1.000 ml</w:t>
            </w:r>
          </w:p>
        </w:tc>
        <w:tc>
          <w:tcPr>
            <w:tcW w:w="1418"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b/>
                <w:sz w:val="24"/>
              </w:rPr>
            </w:pPr>
            <w:r w:rsidRPr="000C222F">
              <w:rPr>
                <w:b/>
                <w:sz w:val="24"/>
              </w:rPr>
              <w:t>i 625 ml</w:t>
            </w:r>
          </w:p>
        </w:tc>
        <w:tc>
          <w:tcPr>
            <w:tcW w:w="1417"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b/>
                <w:sz w:val="24"/>
              </w:rPr>
            </w:pPr>
            <w:r w:rsidRPr="000C222F">
              <w:rPr>
                <w:b/>
                <w:sz w:val="24"/>
              </w:rPr>
              <w:t>i 1.250 ml</w:t>
            </w:r>
          </w:p>
        </w:tc>
        <w:tc>
          <w:tcPr>
            <w:tcW w:w="1701"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b/>
                <w:sz w:val="24"/>
              </w:rPr>
            </w:pPr>
            <w:r w:rsidRPr="000C222F">
              <w:rPr>
                <w:b/>
                <w:sz w:val="24"/>
              </w:rPr>
              <w:t>i 1.875 ml</w:t>
            </w:r>
          </w:p>
        </w:tc>
      </w:tr>
      <w:tr w:rsidR="000C222F" w:rsidRPr="000C222F" w:rsidTr="000C222F">
        <w:tc>
          <w:tcPr>
            <w:tcW w:w="3547"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r w:rsidRPr="000C222F">
              <w:rPr>
                <w:sz w:val="24"/>
              </w:rPr>
              <w:t>Energi i form af lipider [kJ (kcal)]</w:t>
            </w:r>
          </w:p>
        </w:tc>
        <w:tc>
          <w:tcPr>
            <w:tcW w:w="1477"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lang w:val="fr-LU"/>
              </w:rPr>
            </w:pPr>
            <w:r w:rsidRPr="000C222F">
              <w:rPr>
                <w:sz w:val="24"/>
              </w:rPr>
              <w:t>1590 (380)</w:t>
            </w:r>
          </w:p>
        </w:tc>
        <w:tc>
          <w:tcPr>
            <w:tcW w:w="1418"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995 (240)</w:t>
            </w:r>
          </w:p>
        </w:tc>
        <w:tc>
          <w:tcPr>
            <w:tcW w:w="141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1990 (475)</w:t>
            </w:r>
          </w:p>
        </w:tc>
        <w:tc>
          <w:tcPr>
            <w:tcW w:w="1701"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2985 (715)</w:t>
            </w:r>
          </w:p>
        </w:tc>
      </w:tr>
      <w:tr w:rsidR="000C222F" w:rsidRPr="000C222F" w:rsidTr="000C222F">
        <w:tc>
          <w:tcPr>
            <w:tcW w:w="3547"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r w:rsidRPr="000C222F">
              <w:rPr>
                <w:sz w:val="24"/>
              </w:rPr>
              <w:t>Energi i form af kulhydrat [kJ (kcal)]</w:t>
            </w:r>
          </w:p>
        </w:tc>
        <w:tc>
          <w:tcPr>
            <w:tcW w:w="147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lang w:val="fr-LU"/>
              </w:rPr>
            </w:pPr>
            <w:r w:rsidRPr="000C222F">
              <w:rPr>
                <w:sz w:val="24"/>
              </w:rPr>
              <w:t>2415 (575)</w:t>
            </w:r>
          </w:p>
        </w:tc>
        <w:tc>
          <w:tcPr>
            <w:tcW w:w="1418"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1510 (360)</w:t>
            </w:r>
          </w:p>
        </w:tc>
        <w:tc>
          <w:tcPr>
            <w:tcW w:w="141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3015 (720)</w:t>
            </w:r>
          </w:p>
        </w:tc>
        <w:tc>
          <w:tcPr>
            <w:tcW w:w="1701"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4520 (1080)</w:t>
            </w:r>
          </w:p>
        </w:tc>
      </w:tr>
      <w:tr w:rsidR="000C222F" w:rsidRPr="000C222F" w:rsidTr="000C222F">
        <w:tc>
          <w:tcPr>
            <w:tcW w:w="3547"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r w:rsidRPr="000C222F">
              <w:rPr>
                <w:sz w:val="24"/>
              </w:rPr>
              <w:t>Energi i form af aminosyrer [kJ kcal)]</w:t>
            </w:r>
          </w:p>
        </w:tc>
        <w:tc>
          <w:tcPr>
            <w:tcW w:w="147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lang w:val="fr-LU"/>
              </w:rPr>
            </w:pPr>
            <w:r w:rsidRPr="000C222F">
              <w:rPr>
                <w:sz w:val="24"/>
              </w:rPr>
              <w:t>940 (225)</w:t>
            </w:r>
          </w:p>
        </w:tc>
        <w:tc>
          <w:tcPr>
            <w:tcW w:w="1418"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585 (140)</w:t>
            </w:r>
          </w:p>
        </w:tc>
        <w:tc>
          <w:tcPr>
            <w:tcW w:w="141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1170 (280)</w:t>
            </w:r>
          </w:p>
        </w:tc>
        <w:tc>
          <w:tcPr>
            <w:tcW w:w="1701"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1755 (420)</w:t>
            </w:r>
          </w:p>
        </w:tc>
      </w:tr>
      <w:tr w:rsidR="000C222F" w:rsidRPr="000C222F" w:rsidTr="000C222F">
        <w:tc>
          <w:tcPr>
            <w:tcW w:w="3547"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r w:rsidRPr="000C222F">
              <w:rPr>
                <w:sz w:val="24"/>
              </w:rPr>
              <w:t>Non-protein energi [kJ (kcal)]</w:t>
            </w:r>
          </w:p>
        </w:tc>
        <w:tc>
          <w:tcPr>
            <w:tcW w:w="147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4005 (955)</w:t>
            </w:r>
          </w:p>
        </w:tc>
        <w:tc>
          <w:tcPr>
            <w:tcW w:w="1418"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2505 (600)</w:t>
            </w:r>
          </w:p>
        </w:tc>
        <w:tc>
          <w:tcPr>
            <w:tcW w:w="141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5005 (1195)</w:t>
            </w:r>
          </w:p>
        </w:tc>
        <w:tc>
          <w:tcPr>
            <w:tcW w:w="1701"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7510 (1795)</w:t>
            </w:r>
          </w:p>
        </w:tc>
      </w:tr>
      <w:tr w:rsidR="000C222F" w:rsidRPr="000C222F" w:rsidTr="000C222F">
        <w:tc>
          <w:tcPr>
            <w:tcW w:w="3547"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r w:rsidRPr="000C222F">
              <w:rPr>
                <w:sz w:val="24"/>
              </w:rPr>
              <w:t>Total energi [kJ (kcal)]</w:t>
            </w:r>
          </w:p>
        </w:tc>
        <w:tc>
          <w:tcPr>
            <w:tcW w:w="147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4945 (1180)</w:t>
            </w:r>
          </w:p>
        </w:tc>
        <w:tc>
          <w:tcPr>
            <w:tcW w:w="1418"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3090 (740)</w:t>
            </w:r>
          </w:p>
        </w:tc>
        <w:tc>
          <w:tcPr>
            <w:tcW w:w="1417"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6175 (1475)</w:t>
            </w:r>
          </w:p>
        </w:tc>
        <w:tc>
          <w:tcPr>
            <w:tcW w:w="1701" w:type="dxa"/>
            <w:tcBorders>
              <w:top w:val="single" w:sz="6" w:space="0" w:color="auto"/>
              <w:left w:val="single" w:sz="6" w:space="0" w:color="auto"/>
              <w:bottom w:val="single" w:sz="6" w:space="0" w:color="auto"/>
              <w:right w:val="single" w:sz="6" w:space="0" w:color="auto"/>
            </w:tcBorders>
            <w:hideMark/>
          </w:tcPr>
          <w:p w:rsidR="000C222F" w:rsidRPr="000C222F" w:rsidRDefault="000C222F">
            <w:pPr>
              <w:jc w:val="center"/>
              <w:rPr>
                <w:sz w:val="24"/>
              </w:rPr>
            </w:pPr>
            <w:r w:rsidRPr="000C222F">
              <w:rPr>
                <w:sz w:val="24"/>
              </w:rPr>
              <w:t>9265 (2215)</w:t>
            </w:r>
          </w:p>
        </w:tc>
      </w:tr>
    </w:tbl>
    <w:p w:rsidR="000C222F" w:rsidRPr="000C222F" w:rsidRDefault="000C222F" w:rsidP="000C222F">
      <w:pPr>
        <w:rPr>
          <w:sz w:val="22"/>
          <w:lang w:val="fr-LU" w:eastAsia="fr-LU"/>
        </w:rPr>
      </w:pPr>
    </w:p>
    <w:tbl>
      <w:tblPr>
        <w:tblW w:w="573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3890"/>
        <w:gridCol w:w="1843"/>
      </w:tblGrid>
      <w:tr w:rsidR="000C222F" w:rsidRPr="000C222F" w:rsidTr="000C222F">
        <w:tc>
          <w:tcPr>
            <w:tcW w:w="3890"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proofErr w:type="spellStart"/>
            <w:r w:rsidRPr="000C222F">
              <w:rPr>
                <w:sz w:val="24"/>
              </w:rPr>
              <w:t>Osmolalitet</w:t>
            </w:r>
            <w:proofErr w:type="spellEnd"/>
            <w:r w:rsidRPr="000C222F">
              <w:rPr>
                <w:sz w:val="24"/>
              </w:rPr>
              <w:t xml:space="preserve"> [</w:t>
            </w:r>
            <w:proofErr w:type="spellStart"/>
            <w:r w:rsidRPr="000C222F">
              <w:rPr>
                <w:sz w:val="24"/>
              </w:rPr>
              <w:t>mOsm</w:t>
            </w:r>
            <w:proofErr w:type="spellEnd"/>
            <w:r w:rsidRPr="000C222F">
              <w:rPr>
                <w:sz w:val="24"/>
              </w:rPr>
              <w:t>/kg]</w:t>
            </w:r>
          </w:p>
        </w:tc>
        <w:tc>
          <w:tcPr>
            <w:tcW w:w="1843"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trike/>
                <w:sz w:val="24"/>
              </w:rPr>
            </w:pPr>
            <w:r w:rsidRPr="000C222F">
              <w:rPr>
                <w:sz w:val="24"/>
              </w:rPr>
              <w:t>1840</w:t>
            </w:r>
          </w:p>
        </w:tc>
      </w:tr>
      <w:tr w:rsidR="000C222F" w:rsidRPr="000C222F" w:rsidTr="000C222F">
        <w:tc>
          <w:tcPr>
            <w:tcW w:w="3890"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r w:rsidRPr="000C222F">
              <w:rPr>
                <w:sz w:val="24"/>
              </w:rPr>
              <w:t xml:space="preserve">Teoretisk </w:t>
            </w:r>
            <w:proofErr w:type="spellStart"/>
            <w:r w:rsidRPr="000C222F">
              <w:rPr>
                <w:sz w:val="24"/>
              </w:rPr>
              <w:t>osmolaritet</w:t>
            </w:r>
            <w:proofErr w:type="spellEnd"/>
            <w:r w:rsidRPr="000C222F">
              <w:rPr>
                <w:sz w:val="24"/>
              </w:rPr>
              <w:t xml:space="preserve"> [</w:t>
            </w:r>
            <w:proofErr w:type="spellStart"/>
            <w:r w:rsidRPr="000C222F">
              <w:rPr>
                <w:sz w:val="24"/>
              </w:rPr>
              <w:t>mOsm</w:t>
            </w:r>
            <w:proofErr w:type="spellEnd"/>
            <w:r w:rsidRPr="000C222F">
              <w:rPr>
                <w:sz w:val="24"/>
              </w:rPr>
              <w:t>/l]</w:t>
            </w:r>
          </w:p>
        </w:tc>
        <w:tc>
          <w:tcPr>
            <w:tcW w:w="1843"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trike/>
                <w:sz w:val="24"/>
              </w:rPr>
            </w:pPr>
            <w:r w:rsidRPr="000C222F">
              <w:rPr>
                <w:sz w:val="24"/>
              </w:rPr>
              <w:t>1330</w:t>
            </w:r>
          </w:p>
        </w:tc>
      </w:tr>
      <w:tr w:rsidR="000C222F" w:rsidRPr="000C222F" w:rsidTr="000C222F">
        <w:tc>
          <w:tcPr>
            <w:tcW w:w="3890"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r w:rsidRPr="000C222F">
              <w:rPr>
                <w:sz w:val="24"/>
              </w:rPr>
              <w:t>pH</w:t>
            </w:r>
          </w:p>
        </w:tc>
        <w:tc>
          <w:tcPr>
            <w:tcW w:w="1843" w:type="dxa"/>
            <w:tcBorders>
              <w:top w:val="single" w:sz="6" w:space="0" w:color="auto"/>
              <w:left w:val="single" w:sz="6" w:space="0" w:color="auto"/>
              <w:bottom w:val="single" w:sz="6" w:space="0" w:color="auto"/>
              <w:right w:val="single" w:sz="6" w:space="0" w:color="auto"/>
            </w:tcBorders>
            <w:hideMark/>
          </w:tcPr>
          <w:p w:rsidR="000C222F" w:rsidRPr="000C222F" w:rsidRDefault="000C222F">
            <w:pPr>
              <w:rPr>
                <w:sz w:val="24"/>
              </w:rPr>
            </w:pPr>
            <w:r w:rsidRPr="000C222F">
              <w:rPr>
                <w:sz w:val="24"/>
              </w:rPr>
              <w:t>5.0 - 6.0</w:t>
            </w:r>
          </w:p>
        </w:tc>
      </w:tr>
    </w:tbl>
    <w:p w:rsidR="00BE115E" w:rsidRPr="000375F3" w:rsidRDefault="00BE115E" w:rsidP="009B199C">
      <w:pPr>
        <w:rPr>
          <w:sz w:val="24"/>
          <w:szCs w:val="24"/>
        </w:rPr>
      </w:pP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4.</w:t>
      </w:r>
      <w:r w:rsidRPr="000375F3">
        <w:rPr>
          <w:b/>
          <w:sz w:val="24"/>
          <w:szCs w:val="24"/>
        </w:rPr>
        <w:tab/>
        <w:t>KLINISKE OPLYSNINGER</w:t>
      </w:r>
    </w:p>
    <w:p w:rsidR="00BE115E" w:rsidRPr="000375F3" w:rsidRDefault="00BE115E" w:rsidP="00BE115E">
      <w:pPr>
        <w:ind w:left="851"/>
        <w:rPr>
          <w:b/>
          <w:sz w:val="24"/>
          <w:szCs w:val="24"/>
        </w:rPr>
      </w:pPr>
    </w:p>
    <w:p w:rsidR="00BE115E" w:rsidRPr="000375F3" w:rsidRDefault="00BE115E" w:rsidP="00BE115E">
      <w:pPr>
        <w:ind w:left="851" w:hanging="851"/>
        <w:rPr>
          <w:b/>
          <w:sz w:val="24"/>
          <w:szCs w:val="24"/>
          <w:u w:val="single"/>
        </w:rPr>
      </w:pPr>
      <w:r w:rsidRPr="000375F3">
        <w:rPr>
          <w:b/>
          <w:sz w:val="24"/>
          <w:szCs w:val="24"/>
        </w:rPr>
        <w:t>4.1</w:t>
      </w:r>
      <w:r w:rsidRPr="000375F3">
        <w:rPr>
          <w:b/>
          <w:sz w:val="24"/>
          <w:szCs w:val="24"/>
        </w:rPr>
        <w:tab/>
        <w:t>Terapeutiske indikationer</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Tilførsel af energi, essentielle fedtsyrer, herunder omega-3 og omega-6 fedtsyrer, aminosyrer og væske som parenteral ernæring til patienter med moderat til svær </w:t>
      </w:r>
      <w:proofErr w:type="spellStart"/>
      <w:r w:rsidRPr="000375F3">
        <w:rPr>
          <w:rFonts w:ascii="Times New Roman" w:hAnsi="Times New Roman"/>
          <w:szCs w:val="24"/>
        </w:rPr>
        <w:t>katabolisme</w:t>
      </w:r>
      <w:proofErr w:type="spellEnd"/>
      <w:r w:rsidRPr="000375F3">
        <w:rPr>
          <w:rFonts w:ascii="Times New Roman" w:hAnsi="Times New Roman"/>
          <w:szCs w:val="24"/>
        </w:rPr>
        <w:t xml:space="preserve">, når oral eller </w:t>
      </w:r>
      <w:proofErr w:type="spellStart"/>
      <w:r w:rsidRPr="000375F3">
        <w:rPr>
          <w:rFonts w:ascii="Times New Roman" w:hAnsi="Times New Roman"/>
          <w:szCs w:val="24"/>
        </w:rPr>
        <w:t>enteral</w:t>
      </w:r>
      <w:proofErr w:type="spellEnd"/>
      <w:r w:rsidRPr="000375F3">
        <w:rPr>
          <w:rFonts w:ascii="Times New Roman" w:hAnsi="Times New Roman"/>
          <w:szCs w:val="24"/>
        </w:rPr>
        <w:t xml:space="preserve"> ernæring ikke er mulig, utilstrækkelig eller kontraindiceret.</w:t>
      </w:r>
    </w:p>
    <w:p w:rsidR="00BE115E" w:rsidRPr="000375F3" w:rsidRDefault="00BE115E" w:rsidP="00BE115E">
      <w:pPr>
        <w:ind w:left="851"/>
        <w:rPr>
          <w:sz w:val="24"/>
          <w:szCs w:val="24"/>
        </w:rPr>
      </w:pPr>
    </w:p>
    <w:p w:rsidR="00BE115E" w:rsidRPr="000375F3" w:rsidRDefault="00BE115E" w:rsidP="00BE115E">
      <w:pPr>
        <w:ind w:left="851"/>
        <w:rPr>
          <w:sz w:val="24"/>
          <w:szCs w:val="24"/>
        </w:rPr>
      </w:pPr>
      <w:proofErr w:type="spellStart"/>
      <w:r w:rsidRPr="000375F3">
        <w:rPr>
          <w:sz w:val="24"/>
          <w:szCs w:val="24"/>
        </w:rPr>
        <w:t>Nutriflex</w:t>
      </w:r>
      <w:proofErr w:type="spellEnd"/>
      <w:r w:rsidRPr="000375F3">
        <w:rPr>
          <w:sz w:val="24"/>
          <w:szCs w:val="24"/>
        </w:rPr>
        <w:t xml:space="preserve"> Omega Special elektrolytfri er indiceret til voksne</w:t>
      </w:r>
      <w:r w:rsidR="009B199C">
        <w:rPr>
          <w:sz w:val="24"/>
          <w:szCs w:val="24"/>
        </w:rPr>
        <w:t>, unge og børn over 2 år.</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4.2</w:t>
      </w:r>
      <w:r w:rsidRPr="000375F3">
        <w:rPr>
          <w:b/>
          <w:sz w:val="24"/>
          <w:szCs w:val="24"/>
        </w:rPr>
        <w:tab/>
        <w:t xml:space="preserve">Dosering og </w:t>
      </w:r>
      <w:r w:rsidR="000C222F">
        <w:rPr>
          <w:b/>
          <w:sz w:val="24"/>
          <w:szCs w:val="24"/>
        </w:rPr>
        <w:t>administration</w:t>
      </w:r>
    </w:p>
    <w:p w:rsidR="00BE115E" w:rsidRPr="000375F3" w:rsidRDefault="00BE115E" w:rsidP="00BE115E">
      <w:pPr>
        <w:pStyle w:val="Brdtekstindrykning"/>
        <w:tabs>
          <w:tab w:val="clear" w:pos="851"/>
        </w:tabs>
        <w:jc w:val="left"/>
        <w:rPr>
          <w:rFonts w:ascii="Times New Roman" w:hAnsi="Times New Roman"/>
          <w:szCs w:val="24"/>
          <w:u w:val="single"/>
        </w:rPr>
      </w:pPr>
      <w:r w:rsidRPr="000375F3">
        <w:rPr>
          <w:rFonts w:ascii="Times New Roman" w:hAnsi="Times New Roman"/>
          <w:szCs w:val="24"/>
          <w:u w:val="single"/>
        </w:rPr>
        <w:t>Dosering</w:t>
      </w:r>
    </w:p>
    <w:p w:rsidR="00BE115E" w:rsidRPr="00A45FAC"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Doseringen skal justeres til patienternes individuelle behov. </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Det anbefales, at </w:t>
      </w:r>
      <w:proofErr w:type="spellStart"/>
      <w:r w:rsidRPr="000375F3">
        <w:rPr>
          <w:rFonts w:ascii="Times New Roman" w:hAnsi="Times New Roman"/>
          <w:szCs w:val="24"/>
        </w:rPr>
        <w:t>Nutriflex</w:t>
      </w:r>
      <w:proofErr w:type="spellEnd"/>
      <w:r w:rsidRPr="000375F3">
        <w:rPr>
          <w:rFonts w:ascii="Times New Roman" w:hAnsi="Times New Roman"/>
          <w:szCs w:val="24"/>
        </w:rPr>
        <w:t xml:space="preserve"> Omega Special elektrolytfri administreres kontinuerligt. En trinvis øgning af infusionshastigheden i løbet af de første 30 minutter op til den ønskede infusionshastighed forhindrer mulige komplikationer.</w:t>
      </w:r>
    </w:p>
    <w:p w:rsidR="00BE115E" w:rsidRPr="000375F3" w:rsidRDefault="00BE115E" w:rsidP="00BE115E">
      <w:pPr>
        <w:pStyle w:val="Brdtekstindrykning"/>
        <w:tabs>
          <w:tab w:val="clear" w:pos="851"/>
        </w:tabs>
        <w:jc w:val="left"/>
        <w:rPr>
          <w:rFonts w:ascii="Times New Roman" w:hAnsi="Times New Roman"/>
          <w:szCs w:val="24"/>
        </w:rPr>
      </w:pPr>
    </w:p>
    <w:p w:rsidR="00BE115E" w:rsidRPr="009B199C" w:rsidRDefault="00BE115E" w:rsidP="00BE115E">
      <w:pPr>
        <w:pStyle w:val="Brdtekstindrykning"/>
        <w:tabs>
          <w:tab w:val="clear" w:pos="851"/>
        </w:tabs>
        <w:jc w:val="left"/>
        <w:rPr>
          <w:rFonts w:ascii="Times New Roman" w:hAnsi="Times New Roman"/>
          <w:i/>
          <w:szCs w:val="24"/>
        </w:rPr>
      </w:pPr>
      <w:r w:rsidRPr="009B199C">
        <w:rPr>
          <w:rFonts w:ascii="Times New Roman" w:hAnsi="Times New Roman"/>
          <w:i/>
          <w:szCs w:val="24"/>
        </w:rPr>
        <w:t>Voksne</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Den maksimale daglige dosis udgør 35 ml/kg legemsvægt, hvilket svarer til </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2,0 g aminosyrer/kg legemsvægt </w:t>
      </w:r>
      <w:r>
        <w:rPr>
          <w:rFonts w:ascii="Times New Roman" w:hAnsi="Times New Roman"/>
          <w:szCs w:val="24"/>
        </w:rPr>
        <w:t>daglig</w:t>
      </w:r>
      <w:r w:rsidRPr="000375F3">
        <w:rPr>
          <w:rFonts w:ascii="Times New Roman" w:hAnsi="Times New Roman"/>
          <w:szCs w:val="24"/>
        </w:rPr>
        <w:t xml:space="preserve"> </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5,04 g </w:t>
      </w:r>
      <w:proofErr w:type="spellStart"/>
      <w:r w:rsidRPr="000375F3">
        <w:rPr>
          <w:rFonts w:ascii="Times New Roman" w:hAnsi="Times New Roman"/>
          <w:szCs w:val="24"/>
        </w:rPr>
        <w:t>glucose</w:t>
      </w:r>
      <w:proofErr w:type="spellEnd"/>
      <w:r w:rsidRPr="000375F3">
        <w:rPr>
          <w:rFonts w:ascii="Times New Roman" w:hAnsi="Times New Roman"/>
          <w:szCs w:val="24"/>
        </w:rPr>
        <w:t xml:space="preserve">/kg legemsvægt </w:t>
      </w:r>
      <w:r>
        <w:rPr>
          <w:rFonts w:ascii="Times New Roman" w:hAnsi="Times New Roman"/>
          <w:szCs w:val="24"/>
        </w:rPr>
        <w:t>daglig</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1,4 g lipid/kg legemsvægt </w:t>
      </w:r>
      <w:r>
        <w:rPr>
          <w:rFonts w:ascii="Times New Roman" w:hAnsi="Times New Roman"/>
          <w:szCs w:val="24"/>
        </w:rPr>
        <w:t>daglig</w:t>
      </w:r>
      <w:r w:rsidRPr="000375F3">
        <w:rPr>
          <w:rFonts w:ascii="Times New Roman" w:hAnsi="Times New Roman"/>
          <w:szCs w:val="24"/>
        </w:rPr>
        <w:t xml:space="preserve"> </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Den maksimale infusionshastighed er 1,7 ml/kg legemsvægt pr. time, hvilket svarer til</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0,1 g aminosyrer/kg legemsvægt pr. time</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0,24 g </w:t>
      </w:r>
      <w:proofErr w:type="spellStart"/>
      <w:r w:rsidRPr="000375F3">
        <w:rPr>
          <w:rFonts w:ascii="Times New Roman" w:hAnsi="Times New Roman"/>
          <w:szCs w:val="24"/>
        </w:rPr>
        <w:t>glucose</w:t>
      </w:r>
      <w:proofErr w:type="spellEnd"/>
      <w:r w:rsidRPr="000375F3">
        <w:rPr>
          <w:rFonts w:ascii="Times New Roman" w:hAnsi="Times New Roman"/>
          <w:szCs w:val="24"/>
        </w:rPr>
        <w:t>/kg legemsvægt pr. time</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0,07 g lipid/kg legemsvægt pr. time</w:t>
      </w:r>
    </w:p>
    <w:p w:rsidR="00BE115E" w:rsidRPr="000375F3" w:rsidRDefault="00BE115E" w:rsidP="00BE115E">
      <w:pPr>
        <w:pStyle w:val="Brdtekstindrykning"/>
        <w:tabs>
          <w:tab w:val="clear" w:pos="851"/>
        </w:tabs>
        <w:jc w:val="left"/>
        <w:rPr>
          <w:rFonts w:ascii="Times New Roman" w:hAnsi="Times New Roman"/>
          <w:szCs w:val="24"/>
        </w:rPr>
      </w:pPr>
    </w:p>
    <w:p w:rsidR="00BE115E" w:rsidRDefault="00BE115E" w:rsidP="009B199C">
      <w:pPr>
        <w:pStyle w:val="Brdtekstindrykning"/>
        <w:tabs>
          <w:tab w:val="clear" w:pos="851"/>
        </w:tabs>
        <w:jc w:val="left"/>
        <w:rPr>
          <w:rFonts w:ascii="Times New Roman" w:hAnsi="Times New Roman"/>
          <w:szCs w:val="24"/>
        </w:rPr>
      </w:pPr>
      <w:r w:rsidRPr="000375F3">
        <w:rPr>
          <w:rFonts w:ascii="Times New Roman" w:hAnsi="Times New Roman"/>
          <w:szCs w:val="24"/>
        </w:rPr>
        <w:t xml:space="preserve">For en patient, der vejer 70 kg, svarer dette til en maksimal infusionshastighed på 119 ml pr. time. Mængden af administreret substrat er således 6,8 g aminosyrer pr. time, 17,1 g </w:t>
      </w:r>
      <w:proofErr w:type="spellStart"/>
      <w:r w:rsidRPr="000375F3">
        <w:rPr>
          <w:rFonts w:ascii="Times New Roman" w:hAnsi="Times New Roman"/>
          <w:szCs w:val="24"/>
        </w:rPr>
        <w:t>glucose</w:t>
      </w:r>
      <w:proofErr w:type="spellEnd"/>
      <w:r w:rsidRPr="000375F3">
        <w:rPr>
          <w:rFonts w:ascii="Times New Roman" w:hAnsi="Times New Roman"/>
          <w:szCs w:val="24"/>
        </w:rPr>
        <w:t xml:space="preserve"> pr. time og 4,8 g lipider pr. time. </w:t>
      </w:r>
    </w:p>
    <w:p w:rsidR="009B199C" w:rsidRDefault="009B199C" w:rsidP="009B199C">
      <w:pPr>
        <w:pStyle w:val="Brdtekstindrykning"/>
        <w:tabs>
          <w:tab w:val="clear" w:pos="851"/>
        </w:tabs>
        <w:jc w:val="left"/>
        <w:rPr>
          <w:rFonts w:ascii="Times New Roman" w:hAnsi="Times New Roman"/>
          <w:szCs w:val="24"/>
        </w:rPr>
      </w:pPr>
    </w:p>
    <w:p w:rsidR="009B199C" w:rsidRPr="009B199C" w:rsidRDefault="009B199C" w:rsidP="009B199C">
      <w:pPr>
        <w:pStyle w:val="Brdtekstindrykning"/>
        <w:tabs>
          <w:tab w:val="clear" w:pos="851"/>
          <w:tab w:val="left" w:pos="1304"/>
        </w:tabs>
        <w:jc w:val="left"/>
        <w:rPr>
          <w:rFonts w:ascii="Times New Roman" w:hAnsi="Times New Roman"/>
          <w:i/>
          <w:szCs w:val="24"/>
        </w:rPr>
      </w:pPr>
      <w:r w:rsidRPr="009B199C">
        <w:rPr>
          <w:rFonts w:ascii="Times New Roman" w:hAnsi="Times New Roman"/>
          <w:i/>
          <w:szCs w:val="24"/>
        </w:rPr>
        <w:t>Pædiatrisk population</w:t>
      </w:r>
    </w:p>
    <w:p w:rsidR="009B199C" w:rsidRPr="009B199C" w:rsidRDefault="009B199C" w:rsidP="009B199C">
      <w:pPr>
        <w:tabs>
          <w:tab w:val="left" w:pos="567"/>
          <w:tab w:val="left" w:pos="851"/>
          <w:tab w:val="left" w:pos="2835"/>
          <w:tab w:val="left" w:pos="5103"/>
        </w:tabs>
        <w:ind w:left="851"/>
        <w:rPr>
          <w:sz w:val="24"/>
          <w:szCs w:val="24"/>
          <w:u w:val="single"/>
        </w:rPr>
      </w:pPr>
      <w:r w:rsidRPr="009B199C">
        <w:rPr>
          <w:sz w:val="24"/>
          <w:szCs w:val="24"/>
          <w:u w:val="single"/>
          <w:lang w:eastAsia="da-DK"/>
        </w:rPr>
        <w:t>Nyfødte, spædbørn og småbørn under to år</w:t>
      </w:r>
    </w:p>
    <w:p w:rsidR="009B199C" w:rsidRPr="009B199C" w:rsidRDefault="009B199C" w:rsidP="009B199C">
      <w:pPr>
        <w:pStyle w:val="Brdtekstindrykning"/>
        <w:tabs>
          <w:tab w:val="clear" w:pos="851"/>
          <w:tab w:val="left" w:pos="1304"/>
        </w:tabs>
        <w:jc w:val="left"/>
        <w:rPr>
          <w:rFonts w:ascii="Times New Roman" w:hAnsi="Times New Roman"/>
          <w:szCs w:val="24"/>
        </w:rPr>
      </w:pPr>
      <w:proofErr w:type="spellStart"/>
      <w:r w:rsidRPr="009B199C">
        <w:rPr>
          <w:rFonts w:ascii="Times New Roman" w:hAnsi="Times New Roman"/>
          <w:szCs w:val="24"/>
        </w:rPr>
        <w:t>Nutriflex</w:t>
      </w:r>
      <w:proofErr w:type="spellEnd"/>
      <w:r w:rsidRPr="009B199C">
        <w:rPr>
          <w:rFonts w:ascii="Times New Roman" w:hAnsi="Times New Roman"/>
          <w:szCs w:val="24"/>
        </w:rPr>
        <w:t xml:space="preserve"> Omega Special elektrolytfri er kontraindiceret hos nyfødte, spædbørn og småbørn &lt;2 år for hvem aminosyren </w:t>
      </w:r>
      <w:proofErr w:type="spellStart"/>
      <w:r w:rsidRPr="009B199C">
        <w:rPr>
          <w:rFonts w:ascii="Times New Roman" w:hAnsi="Times New Roman"/>
          <w:szCs w:val="24"/>
        </w:rPr>
        <w:t>cystein</w:t>
      </w:r>
      <w:proofErr w:type="spellEnd"/>
      <w:r w:rsidRPr="009B199C">
        <w:rPr>
          <w:rFonts w:ascii="Times New Roman" w:hAnsi="Times New Roman"/>
          <w:szCs w:val="24"/>
        </w:rPr>
        <w:t xml:space="preserve"> kan betragtes som betinget essentiel (se pkt. 4.3). </w:t>
      </w:r>
    </w:p>
    <w:p w:rsidR="009B199C" w:rsidRPr="009B199C" w:rsidRDefault="009B199C" w:rsidP="009B199C">
      <w:pPr>
        <w:pStyle w:val="Brdtekstindrykning"/>
        <w:tabs>
          <w:tab w:val="clear" w:pos="851"/>
          <w:tab w:val="left" w:pos="1304"/>
        </w:tabs>
        <w:jc w:val="left"/>
        <w:rPr>
          <w:rFonts w:ascii="Times New Roman" w:hAnsi="Times New Roman"/>
          <w:szCs w:val="24"/>
        </w:rPr>
      </w:pPr>
    </w:p>
    <w:p w:rsidR="009B199C" w:rsidRPr="009B199C" w:rsidRDefault="009B199C" w:rsidP="009B199C">
      <w:pPr>
        <w:tabs>
          <w:tab w:val="left" w:pos="567"/>
          <w:tab w:val="left" w:pos="851"/>
          <w:tab w:val="left" w:pos="2835"/>
          <w:tab w:val="left" w:pos="5103"/>
        </w:tabs>
        <w:ind w:left="851"/>
        <w:rPr>
          <w:sz w:val="24"/>
          <w:szCs w:val="24"/>
          <w:u w:val="single"/>
        </w:rPr>
      </w:pPr>
      <w:r w:rsidRPr="009B199C">
        <w:rPr>
          <w:sz w:val="24"/>
          <w:szCs w:val="24"/>
          <w:u w:val="single"/>
          <w:lang w:eastAsia="da-DK"/>
        </w:rPr>
        <w:t>Børn i alderen 2-18 år</w:t>
      </w:r>
    </w:p>
    <w:p w:rsidR="009B199C" w:rsidRPr="009B199C" w:rsidRDefault="009B199C" w:rsidP="009B199C">
      <w:pPr>
        <w:ind w:left="851"/>
        <w:rPr>
          <w:sz w:val="24"/>
          <w:szCs w:val="24"/>
        </w:rPr>
      </w:pPr>
      <w:r w:rsidRPr="009B199C">
        <w:rPr>
          <w:sz w:val="24"/>
          <w:szCs w:val="24"/>
        </w:rPr>
        <w:t>Der er ikke udført kliniske studier med den pædiatriske population.</w:t>
      </w:r>
    </w:p>
    <w:p w:rsidR="009B199C" w:rsidRPr="009B199C" w:rsidRDefault="009B199C" w:rsidP="009B199C">
      <w:pPr>
        <w:ind w:left="851"/>
        <w:rPr>
          <w:color w:val="000000"/>
          <w:sz w:val="24"/>
          <w:szCs w:val="24"/>
        </w:rPr>
      </w:pPr>
    </w:p>
    <w:p w:rsidR="009B199C" w:rsidRPr="009B199C" w:rsidRDefault="009B199C" w:rsidP="009B199C">
      <w:pPr>
        <w:ind w:left="851"/>
        <w:rPr>
          <w:color w:val="000000"/>
          <w:sz w:val="24"/>
          <w:szCs w:val="24"/>
        </w:rPr>
      </w:pPr>
      <w:proofErr w:type="spellStart"/>
      <w:r w:rsidRPr="009B199C">
        <w:rPr>
          <w:color w:val="000000"/>
          <w:sz w:val="24"/>
          <w:szCs w:val="24"/>
        </w:rPr>
        <w:t>Nutriflex</w:t>
      </w:r>
      <w:proofErr w:type="spellEnd"/>
      <w:r w:rsidRPr="009B199C">
        <w:rPr>
          <w:color w:val="000000"/>
          <w:sz w:val="24"/>
          <w:szCs w:val="24"/>
        </w:rPr>
        <w:t xml:space="preserve"> Omega Special elektrolytfri kan kun levere en basal næringsstof- og energiforsyning til de pædiatriske patienter. Afhængigt af det individuelle behov kan et tilskud af </w:t>
      </w:r>
      <w:proofErr w:type="spellStart"/>
      <w:r w:rsidRPr="009B199C">
        <w:rPr>
          <w:color w:val="000000"/>
          <w:sz w:val="24"/>
          <w:szCs w:val="24"/>
        </w:rPr>
        <w:t>carnitin</w:t>
      </w:r>
      <w:proofErr w:type="spellEnd"/>
      <w:r w:rsidRPr="009B199C">
        <w:rPr>
          <w:color w:val="000000"/>
          <w:sz w:val="24"/>
          <w:szCs w:val="24"/>
        </w:rPr>
        <w:t xml:space="preserve"> overvejes hos pædiatriske patienter, der forventes at få PN i mere end 4 uger. Den nøjagtige dosering afhænger af patientens energiforbrug og evnen til at </w:t>
      </w:r>
      <w:proofErr w:type="spellStart"/>
      <w:r w:rsidRPr="009B199C">
        <w:rPr>
          <w:color w:val="000000"/>
          <w:sz w:val="24"/>
          <w:szCs w:val="24"/>
        </w:rPr>
        <w:t>metabolisere</w:t>
      </w:r>
      <w:proofErr w:type="spellEnd"/>
      <w:r w:rsidRPr="009B199C">
        <w:rPr>
          <w:color w:val="000000"/>
          <w:sz w:val="24"/>
          <w:szCs w:val="24"/>
        </w:rPr>
        <w:t xml:space="preserve"> de aktive ingredienser i </w:t>
      </w:r>
      <w:proofErr w:type="spellStart"/>
      <w:r w:rsidRPr="009B199C">
        <w:rPr>
          <w:color w:val="000000"/>
          <w:sz w:val="24"/>
          <w:szCs w:val="24"/>
        </w:rPr>
        <w:t>Nutriflex</w:t>
      </w:r>
      <w:proofErr w:type="spellEnd"/>
      <w:r w:rsidRPr="009B199C">
        <w:rPr>
          <w:color w:val="000000"/>
          <w:sz w:val="24"/>
          <w:szCs w:val="24"/>
        </w:rPr>
        <w:t xml:space="preserve"> Omega Special elektrolytfri og bør derfor tilpasses individuelt efter alder, kropsvægt, klinisk tilstand og underliggende sygdom.</w:t>
      </w:r>
    </w:p>
    <w:p w:rsidR="009B199C" w:rsidRPr="009B199C" w:rsidRDefault="009B199C" w:rsidP="009B199C">
      <w:pPr>
        <w:ind w:left="851"/>
        <w:rPr>
          <w:color w:val="000000"/>
          <w:sz w:val="24"/>
          <w:szCs w:val="24"/>
        </w:rPr>
      </w:pPr>
      <w:r w:rsidRPr="009B199C">
        <w:rPr>
          <w:color w:val="000000"/>
          <w:sz w:val="24"/>
          <w:szCs w:val="24"/>
        </w:rPr>
        <w:t xml:space="preserve">På grund af pædiatriske patienters individuelle behov dækker </w:t>
      </w:r>
      <w:proofErr w:type="spellStart"/>
      <w:r w:rsidRPr="009B199C">
        <w:rPr>
          <w:color w:val="000000"/>
          <w:sz w:val="24"/>
          <w:szCs w:val="24"/>
        </w:rPr>
        <w:t>Nutriflex</w:t>
      </w:r>
      <w:proofErr w:type="spellEnd"/>
      <w:r w:rsidRPr="009B199C">
        <w:rPr>
          <w:color w:val="000000"/>
          <w:sz w:val="24"/>
          <w:szCs w:val="24"/>
        </w:rPr>
        <w:t xml:space="preserve"> Omega Special elektrolytfri muligvis ikke i tilstrækkelig grad det samlede energi-, næringsstof-, elektrolyt- og væskebehov. I sådanne tilfælde skal der desuden tilføres yderligere aminosyrer, kulhydrater og/eller lipider, mineraler og/eller væsker, alt efter hvad der er relevant.</w:t>
      </w:r>
    </w:p>
    <w:p w:rsidR="009B199C" w:rsidRPr="009B199C" w:rsidRDefault="009B199C" w:rsidP="009B199C">
      <w:pPr>
        <w:ind w:left="851"/>
        <w:rPr>
          <w:color w:val="000000"/>
          <w:sz w:val="24"/>
          <w:szCs w:val="24"/>
        </w:rPr>
      </w:pPr>
      <w:r w:rsidRPr="009B199C">
        <w:rPr>
          <w:sz w:val="24"/>
          <w:szCs w:val="24"/>
        </w:rPr>
        <w:t xml:space="preserve">Ved beregning af dosis skal den pædiatriske patients hydreringsstatus tages i </w:t>
      </w:r>
      <w:proofErr w:type="spellStart"/>
      <w:proofErr w:type="gramStart"/>
      <w:r w:rsidRPr="009B199C">
        <w:rPr>
          <w:sz w:val="24"/>
          <w:szCs w:val="24"/>
        </w:rPr>
        <w:t>betragtning.</w:t>
      </w:r>
      <w:r w:rsidRPr="009B199C">
        <w:rPr>
          <w:color w:val="000000"/>
          <w:sz w:val="24"/>
          <w:szCs w:val="24"/>
        </w:rPr>
        <w:t>Pakningsstørrelsen</w:t>
      </w:r>
      <w:proofErr w:type="spellEnd"/>
      <w:proofErr w:type="gramEnd"/>
      <w:r w:rsidRPr="009B199C">
        <w:rPr>
          <w:color w:val="000000"/>
          <w:sz w:val="24"/>
          <w:szCs w:val="24"/>
        </w:rPr>
        <w:t xml:space="preserve"> skal vælges i overensstemmelse hermed.</w:t>
      </w:r>
    </w:p>
    <w:p w:rsidR="009B199C" w:rsidRPr="009B199C" w:rsidRDefault="009B199C" w:rsidP="009B199C">
      <w:pPr>
        <w:ind w:left="851"/>
        <w:rPr>
          <w:color w:val="000000"/>
          <w:sz w:val="24"/>
          <w:szCs w:val="24"/>
        </w:rPr>
      </w:pPr>
      <w:r w:rsidRPr="009B199C">
        <w:rPr>
          <w:color w:val="000000"/>
          <w:sz w:val="24"/>
          <w:szCs w:val="24"/>
        </w:rPr>
        <w:t xml:space="preserve">Derudover falder det daglige væske-, </w:t>
      </w:r>
      <w:proofErr w:type="spellStart"/>
      <w:r w:rsidRPr="009B199C">
        <w:rPr>
          <w:color w:val="000000"/>
          <w:sz w:val="24"/>
          <w:szCs w:val="24"/>
        </w:rPr>
        <w:t>glucose</w:t>
      </w:r>
      <w:proofErr w:type="spellEnd"/>
      <w:r w:rsidRPr="009B199C">
        <w:rPr>
          <w:color w:val="000000"/>
          <w:sz w:val="24"/>
          <w:szCs w:val="24"/>
        </w:rPr>
        <w:t>- og energibehov med alderen. Derfor skelnes der mellem to aldersgrupper, fra 2 til 12 år og 12 til 18 år.</w:t>
      </w:r>
    </w:p>
    <w:p w:rsidR="009B199C" w:rsidRPr="009B199C" w:rsidRDefault="009B199C" w:rsidP="009B199C">
      <w:pPr>
        <w:pStyle w:val="Brdtekstindrykning"/>
        <w:rPr>
          <w:rFonts w:ascii="Times New Roman" w:hAnsi="Times New Roman"/>
          <w:szCs w:val="24"/>
        </w:rPr>
      </w:pPr>
    </w:p>
    <w:p w:rsidR="009B199C" w:rsidRPr="009B199C" w:rsidRDefault="009B199C" w:rsidP="009B199C">
      <w:pPr>
        <w:keepNext/>
        <w:ind w:left="851"/>
        <w:rPr>
          <w:color w:val="000000"/>
          <w:sz w:val="24"/>
          <w:szCs w:val="24"/>
          <w:u w:val="single"/>
        </w:rPr>
      </w:pPr>
      <w:r w:rsidRPr="009B199C">
        <w:rPr>
          <w:color w:val="000000"/>
          <w:sz w:val="24"/>
          <w:szCs w:val="24"/>
          <w:u w:val="single"/>
        </w:rPr>
        <w:lastRenderedPageBreak/>
        <w:t>Maksimal daglig dosis</w:t>
      </w:r>
    </w:p>
    <w:p w:rsidR="009B199C" w:rsidRPr="009B199C" w:rsidRDefault="009B199C" w:rsidP="009B199C">
      <w:pPr>
        <w:keepNext/>
        <w:ind w:left="851"/>
        <w:rPr>
          <w:color w:val="000000"/>
          <w:sz w:val="24"/>
          <w:szCs w:val="24"/>
        </w:rPr>
      </w:pPr>
      <w:r w:rsidRPr="009B199C">
        <w:rPr>
          <w:color w:val="000000"/>
          <w:sz w:val="24"/>
          <w:szCs w:val="24"/>
        </w:rPr>
        <w:t>Ifølge de pædiatriske retningslinjer afhænger dosis ikke kun af alder, men også af den pædiatriske patients medicinske tilstand (akut-, stabil- og restitutionsfase).</w:t>
      </w:r>
    </w:p>
    <w:p w:rsidR="009B199C" w:rsidRPr="009B199C" w:rsidRDefault="009B199C" w:rsidP="009B199C">
      <w:pPr>
        <w:ind w:left="851"/>
        <w:rPr>
          <w:color w:val="000000"/>
          <w:sz w:val="24"/>
          <w:szCs w:val="24"/>
        </w:rPr>
      </w:pPr>
      <w:r w:rsidRPr="009B199C">
        <w:rPr>
          <w:color w:val="000000"/>
          <w:sz w:val="24"/>
          <w:szCs w:val="24"/>
        </w:rPr>
        <w:t xml:space="preserve">For </w:t>
      </w:r>
      <w:proofErr w:type="spellStart"/>
      <w:r w:rsidRPr="009B199C">
        <w:rPr>
          <w:color w:val="000000"/>
          <w:sz w:val="24"/>
          <w:szCs w:val="24"/>
        </w:rPr>
        <w:t>Nutriflex</w:t>
      </w:r>
      <w:proofErr w:type="spellEnd"/>
      <w:r w:rsidRPr="009B199C">
        <w:rPr>
          <w:color w:val="000000"/>
          <w:sz w:val="24"/>
          <w:szCs w:val="24"/>
        </w:rPr>
        <w:t xml:space="preserve"> Omega Special elektrolytfri i aldersgruppen 2 til 12 år er </w:t>
      </w:r>
      <w:proofErr w:type="spellStart"/>
      <w:r w:rsidRPr="009B199C">
        <w:rPr>
          <w:color w:val="000000"/>
          <w:sz w:val="24"/>
          <w:szCs w:val="24"/>
        </w:rPr>
        <w:t>glucosekoncentrationen</w:t>
      </w:r>
      <w:proofErr w:type="spellEnd"/>
      <w:r w:rsidRPr="009B199C">
        <w:rPr>
          <w:color w:val="000000"/>
          <w:sz w:val="24"/>
          <w:szCs w:val="24"/>
        </w:rPr>
        <w:t xml:space="preserve"> den begrænsende faktor i den akutte fase og aminosyrekoncentrationen i stabil- og restitutionsfasen. For aldersgruppen 12-18 år er </w:t>
      </w:r>
      <w:proofErr w:type="spellStart"/>
      <w:r w:rsidRPr="009B199C">
        <w:rPr>
          <w:color w:val="000000"/>
          <w:sz w:val="24"/>
          <w:szCs w:val="24"/>
        </w:rPr>
        <w:t>glucosekoncentrationen</w:t>
      </w:r>
      <w:proofErr w:type="spellEnd"/>
      <w:r w:rsidRPr="009B199C">
        <w:rPr>
          <w:color w:val="000000"/>
          <w:sz w:val="24"/>
          <w:szCs w:val="24"/>
        </w:rPr>
        <w:t xml:space="preserve"> den begrænsende faktor for den maksimale daglige dosis under alle medicinske tilstande.</w:t>
      </w:r>
    </w:p>
    <w:p w:rsidR="009B199C" w:rsidRPr="009B199C" w:rsidRDefault="009B199C" w:rsidP="009B199C">
      <w:pPr>
        <w:ind w:left="851"/>
        <w:rPr>
          <w:color w:val="000000"/>
          <w:sz w:val="24"/>
          <w:szCs w:val="24"/>
        </w:rPr>
      </w:pPr>
      <w:r w:rsidRPr="009B199C">
        <w:rPr>
          <w:color w:val="000000"/>
          <w:sz w:val="24"/>
          <w:szCs w:val="24"/>
        </w:rPr>
        <w:t>De resulterende maksimale daglige doser er angivet i nedenstående tabel.</w:t>
      </w:r>
    </w:p>
    <w:p w:rsidR="009B199C" w:rsidRDefault="009B199C" w:rsidP="009B199C">
      <w:pPr>
        <w:rPr>
          <w:color w:val="000000"/>
        </w:rPr>
      </w:pPr>
    </w:p>
    <w:tbl>
      <w:tblPr>
        <w:tblW w:w="8488" w:type="dxa"/>
        <w:tblInd w:w="582" w:type="dxa"/>
        <w:tblLayout w:type="fixed"/>
        <w:tblCellMar>
          <w:top w:w="57" w:type="dxa"/>
          <w:left w:w="57" w:type="dxa"/>
          <w:bottom w:w="57" w:type="dxa"/>
          <w:right w:w="57" w:type="dxa"/>
        </w:tblCellMar>
        <w:tblLook w:val="04A0" w:firstRow="1" w:lastRow="0" w:firstColumn="1" w:lastColumn="0" w:noHBand="0" w:noVBand="1"/>
      </w:tblPr>
      <w:tblGrid>
        <w:gridCol w:w="1667"/>
        <w:gridCol w:w="1158"/>
        <w:gridCol w:w="647"/>
        <w:gridCol w:w="770"/>
        <w:gridCol w:w="773"/>
        <w:gridCol w:w="1156"/>
        <w:gridCol w:w="771"/>
        <w:gridCol w:w="647"/>
        <w:gridCol w:w="124"/>
        <w:gridCol w:w="775"/>
      </w:tblGrid>
      <w:tr w:rsidR="009B199C" w:rsidTr="000C222F">
        <w:trPr>
          <w:trHeight w:val="232"/>
          <w:tblHeader/>
        </w:trPr>
        <w:tc>
          <w:tcPr>
            <w:tcW w:w="1667" w:type="dxa"/>
          </w:tcPr>
          <w:p w:rsidR="009B199C" w:rsidRDefault="009B199C">
            <w:pPr>
              <w:jc w:val="both"/>
            </w:pPr>
          </w:p>
        </w:tc>
        <w:tc>
          <w:tcPr>
            <w:tcW w:w="3348" w:type="dxa"/>
            <w:gridSpan w:val="4"/>
            <w:vAlign w:val="center"/>
            <w:hideMark/>
          </w:tcPr>
          <w:p w:rsidR="009B199C" w:rsidRDefault="009B199C">
            <w:pPr>
              <w:jc w:val="center"/>
              <w:rPr>
                <w:lang w:val="fr-LU"/>
              </w:rPr>
            </w:pPr>
            <w:r>
              <w:t xml:space="preserve">2 til </w:t>
            </w:r>
            <w:r>
              <w:rPr>
                <w:rFonts w:eastAsia="Calibri"/>
              </w:rPr>
              <w:t xml:space="preserve">≤ </w:t>
            </w:r>
            <w:r>
              <w:t>12 år</w:t>
            </w:r>
          </w:p>
        </w:tc>
        <w:tc>
          <w:tcPr>
            <w:tcW w:w="3473" w:type="dxa"/>
            <w:gridSpan w:val="5"/>
            <w:vAlign w:val="center"/>
            <w:hideMark/>
          </w:tcPr>
          <w:p w:rsidR="009B199C" w:rsidRDefault="009B199C">
            <w:pPr>
              <w:jc w:val="center"/>
            </w:pPr>
            <w:r>
              <w:t>12 til 18 år</w:t>
            </w:r>
          </w:p>
        </w:tc>
      </w:tr>
      <w:tr w:rsidR="009B199C" w:rsidTr="000C222F">
        <w:trPr>
          <w:trHeight w:val="477"/>
          <w:tblHeader/>
        </w:trPr>
        <w:tc>
          <w:tcPr>
            <w:tcW w:w="1667" w:type="dxa"/>
          </w:tcPr>
          <w:p w:rsidR="009B199C" w:rsidRDefault="009B199C">
            <w:pPr>
              <w:jc w:val="both"/>
              <w:rPr>
                <w:lang w:val="en-US"/>
              </w:rPr>
            </w:pPr>
          </w:p>
        </w:tc>
        <w:tc>
          <w:tcPr>
            <w:tcW w:w="1158" w:type="dxa"/>
            <w:vAlign w:val="center"/>
            <w:hideMark/>
          </w:tcPr>
          <w:p w:rsidR="009B199C" w:rsidRDefault="009B199C">
            <w:pPr>
              <w:jc w:val="center"/>
              <w:rPr>
                <w:lang w:val="en-US"/>
              </w:rPr>
            </w:pPr>
            <w:proofErr w:type="spellStart"/>
            <w:r>
              <w:rPr>
                <w:lang w:val="en-US"/>
              </w:rPr>
              <w:t>Anbefalet</w:t>
            </w:r>
            <w:proofErr w:type="spellEnd"/>
          </w:p>
        </w:tc>
        <w:tc>
          <w:tcPr>
            <w:tcW w:w="2190" w:type="dxa"/>
            <w:gridSpan w:val="3"/>
            <w:hideMark/>
          </w:tcPr>
          <w:p w:rsidR="009B199C" w:rsidRDefault="009B199C">
            <w:pPr>
              <w:jc w:val="center"/>
              <w:rPr>
                <w:lang w:val="fr-LU"/>
              </w:rPr>
            </w:pPr>
            <w:proofErr w:type="spellStart"/>
            <w:r>
              <w:rPr>
                <w:lang w:val="en-US"/>
              </w:rPr>
              <w:t>Nutriflex</w:t>
            </w:r>
            <w:proofErr w:type="spellEnd"/>
            <w:r>
              <w:rPr>
                <w:lang w:val="en-US"/>
              </w:rPr>
              <w:t xml:space="preserve"> Omega Special </w:t>
            </w:r>
            <w:r>
              <w:t>elektrolytfri</w:t>
            </w:r>
          </w:p>
        </w:tc>
        <w:tc>
          <w:tcPr>
            <w:tcW w:w="1156" w:type="dxa"/>
            <w:vAlign w:val="center"/>
            <w:hideMark/>
          </w:tcPr>
          <w:p w:rsidR="009B199C" w:rsidRDefault="009B199C">
            <w:pPr>
              <w:rPr>
                <w:lang w:val="en-US"/>
              </w:rPr>
            </w:pPr>
            <w:proofErr w:type="spellStart"/>
            <w:r>
              <w:rPr>
                <w:lang w:val="en-US"/>
              </w:rPr>
              <w:t>Anbefalet</w:t>
            </w:r>
            <w:proofErr w:type="spellEnd"/>
          </w:p>
        </w:tc>
        <w:tc>
          <w:tcPr>
            <w:tcW w:w="2317" w:type="dxa"/>
            <w:gridSpan w:val="4"/>
            <w:vAlign w:val="center"/>
            <w:hideMark/>
          </w:tcPr>
          <w:p w:rsidR="009B199C" w:rsidRDefault="009B199C">
            <w:pPr>
              <w:jc w:val="center"/>
              <w:rPr>
                <w:lang w:val="fr-LU"/>
              </w:rPr>
            </w:pPr>
            <w:proofErr w:type="spellStart"/>
            <w:r>
              <w:rPr>
                <w:lang w:val="en-US"/>
              </w:rPr>
              <w:t>Nutriflex</w:t>
            </w:r>
            <w:proofErr w:type="spellEnd"/>
            <w:r>
              <w:rPr>
                <w:lang w:val="en-US"/>
              </w:rPr>
              <w:t xml:space="preserve"> Omega Special </w:t>
            </w:r>
            <w:r>
              <w:t>elektrolytfri</w:t>
            </w:r>
          </w:p>
        </w:tc>
      </w:tr>
      <w:tr w:rsidR="009B199C" w:rsidTr="000C222F">
        <w:trPr>
          <w:trHeight w:val="723"/>
          <w:tblHeader/>
        </w:trPr>
        <w:tc>
          <w:tcPr>
            <w:tcW w:w="1667" w:type="dxa"/>
          </w:tcPr>
          <w:p w:rsidR="009B199C" w:rsidRDefault="009B199C">
            <w:pPr>
              <w:jc w:val="both"/>
            </w:pPr>
          </w:p>
        </w:tc>
        <w:tc>
          <w:tcPr>
            <w:tcW w:w="1158" w:type="dxa"/>
          </w:tcPr>
          <w:p w:rsidR="009B199C" w:rsidRDefault="009B199C">
            <w:pPr>
              <w:jc w:val="center"/>
            </w:pPr>
          </w:p>
        </w:tc>
        <w:tc>
          <w:tcPr>
            <w:tcW w:w="647" w:type="dxa"/>
            <w:vAlign w:val="center"/>
            <w:hideMark/>
          </w:tcPr>
          <w:p w:rsidR="009B199C" w:rsidRDefault="009B199C">
            <w:pPr>
              <w:jc w:val="center"/>
              <w:rPr>
                <w:lang w:val="en-US"/>
              </w:rPr>
            </w:pPr>
            <w:proofErr w:type="spellStart"/>
            <w:r>
              <w:rPr>
                <w:b/>
                <w:lang w:val="en-US"/>
              </w:rPr>
              <w:t>Akut</w:t>
            </w:r>
            <w:proofErr w:type="spellEnd"/>
            <w:r>
              <w:rPr>
                <w:b/>
                <w:lang w:val="en-US"/>
              </w:rPr>
              <w:t xml:space="preserve"> </w:t>
            </w:r>
            <w:proofErr w:type="spellStart"/>
            <w:r>
              <w:rPr>
                <w:b/>
                <w:lang w:val="en-US"/>
              </w:rPr>
              <w:t>fase</w:t>
            </w:r>
            <w:proofErr w:type="spellEnd"/>
            <w:r>
              <w:rPr>
                <w:b/>
                <w:lang w:val="en-US"/>
              </w:rPr>
              <w:t xml:space="preserve"> </w:t>
            </w:r>
          </w:p>
        </w:tc>
        <w:tc>
          <w:tcPr>
            <w:tcW w:w="770" w:type="dxa"/>
            <w:vAlign w:val="center"/>
            <w:hideMark/>
          </w:tcPr>
          <w:p w:rsidR="009B199C" w:rsidRDefault="009B199C">
            <w:pPr>
              <w:tabs>
                <w:tab w:val="left" w:pos="0"/>
              </w:tabs>
              <w:jc w:val="center"/>
              <w:rPr>
                <w:b/>
                <w:lang w:val="en-US"/>
              </w:rPr>
            </w:pPr>
            <w:r>
              <w:rPr>
                <w:b/>
                <w:lang w:val="en-US"/>
              </w:rPr>
              <w:t>Stabil</w:t>
            </w:r>
          </w:p>
          <w:p w:rsidR="009B199C" w:rsidRDefault="009B199C">
            <w:pPr>
              <w:jc w:val="center"/>
              <w:rPr>
                <w:lang w:val="en-US"/>
              </w:rPr>
            </w:pPr>
            <w:proofErr w:type="spellStart"/>
            <w:r>
              <w:rPr>
                <w:b/>
                <w:lang w:val="en-US"/>
              </w:rPr>
              <w:t>fase</w:t>
            </w:r>
            <w:proofErr w:type="spellEnd"/>
          </w:p>
        </w:tc>
        <w:tc>
          <w:tcPr>
            <w:tcW w:w="773" w:type="dxa"/>
            <w:vAlign w:val="center"/>
            <w:hideMark/>
          </w:tcPr>
          <w:p w:rsidR="009B199C" w:rsidRDefault="009B199C">
            <w:pPr>
              <w:jc w:val="center"/>
              <w:rPr>
                <w:b/>
                <w:lang w:val="en-US"/>
              </w:rPr>
            </w:pPr>
            <w:proofErr w:type="spellStart"/>
            <w:r>
              <w:rPr>
                <w:b/>
                <w:lang w:val="en-US"/>
              </w:rPr>
              <w:t>Restitu</w:t>
            </w:r>
            <w:proofErr w:type="spellEnd"/>
            <w:r>
              <w:rPr>
                <w:b/>
                <w:lang w:val="en-US"/>
              </w:rPr>
              <w:t>.</w:t>
            </w:r>
          </w:p>
          <w:p w:rsidR="009B199C" w:rsidRDefault="009B199C">
            <w:pPr>
              <w:jc w:val="center"/>
              <w:rPr>
                <w:lang w:val="en-US"/>
              </w:rPr>
            </w:pPr>
            <w:proofErr w:type="spellStart"/>
            <w:r>
              <w:rPr>
                <w:b/>
                <w:lang w:val="en-US"/>
              </w:rPr>
              <w:t>fase</w:t>
            </w:r>
            <w:proofErr w:type="spellEnd"/>
          </w:p>
        </w:tc>
        <w:tc>
          <w:tcPr>
            <w:tcW w:w="1156" w:type="dxa"/>
          </w:tcPr>
          <w:p w:rsidR="009B199C" w:rsidRDefault="009B199C">
            <w:pPr>
              <w:jc w:val="center"/>
              <w:rPr>
                <w:lang w:val="en-US"/>
              </w:rPr>
            </w:pPr>
          </w:p>
        </w:tc>
        <w:tc>
          <w:tcPr>
            <w:tcW w:w="771" w:type="dxa"/>
            <w:vAlign w:val="center"/>
            <w:hideMark/>
          </w:tcPr>
          <w:p w:rsidR="009B199C" w:rsidRDefault="009B199C">
            <w:pPr>
              <w:jc w:val="center"/>
              <w:rPr>
                <w:lang w:val="en-US"/>
              </w:rPr>
            </w:pPr>
            <w:proofErr w:type="spellStart"/>
            <w:r>
              <w:rPr>
                <w:b/>
                <w:lang w:val="en-US"/>
              </w:rPr>
              <w:t>Akut</w:t>
            </w:r>
            <w:proofErr w:type="spellEnd"/>
            <w:r>
              <w:rPr>
                <w:b/>
                <w:lang w:val="en-US"/>
              </w:rPr>
              <w:t xml:space="preserve"> </w:t>
            </w:r>
            <w:proofErr w:type="spellStart"/>
            <w:r>
              <w:rPr>
                <w:b/>
                <w:lang w:val="en-US"/>
              </w:rPr>
              <w:t>fase</w:t>
            </w:r>
            <w:proofErr w:type="spellEnd"/>
          </w:p>
        </w:tc>
        <w:tc>
          <w:tcPr>
            <w:tcW w:w="647" w:type="dxa"/>
            <w:vAlign w:val="center"/>
            <w:hideMark/>
          </w:tcPr>
          <w:p w:rsidR="009B199C" w:rsidRDefault="009B199C">
            <w:pPr>
              <w:tabs>
                <w:tab w:val="left" w:pos="0"/>
              </w:tabs>
              <w:jc w:val="center"/>
              <w:rPr>
                <w:b/>
                <w:lang w:val="en-US"/>
              </w:rPr>
            </w:pPr>
            <w:r>
              <w:rPr>
                <w:b/>
                <w:lang w:val="en-US"/>
              </w:rPr>
              <w:t>Stabil</w:t>
            </w:r>
          </w:p>
          <w:p w:rsidR="009B199C" w:rsidRDefault="009B199C">
            <w:pPr>
              <w:jc w:val="center"/>
              <w:rPr>
                <w:lang w:val="en-US"/>
              </w:rPr>
            </w:pPr>
            <w:proofErr w:type="spellStart"/>
            <w:r>
              <w:rPr>
                <w:b/>
                <w:lang w:val="en-US"/>
              </w:rPr>
              <w:t>fase</w:t>
            </w:r>
            <w:proofErr w:type="spellEnd"/>
          </w:p>
        </w:tc>
        <w:tc>
          <w:tcPr>
            <w:tcW w:w="899" w:type="dxa"/>
            <w:gridSpan w:val="2"/>
            <w:vAlign w:val="center"/>
            <w:hideMark/>
          </w:tcPr>
          <w:p w:rsidR="009B199C" w:rsidRDefault="009B199C">
            <w:pPr>
              <w:jc w:val="center"/>
              <w:rPr>
                <w:lang w:val="en-US"/>
              </w:rPr>
            </w:pPr>
            <w:proofErr w:type="spellStart"/>
            <w:r>
              <w:rPr>
                <w:b/>
                <w:lang w:val="en-US"/>
              </w:rPr>
              <w:t>Restitu</w:t>
            </w:r>
            <w:proofErr w:type="spellEnd"/>
            <w:r>
              <w:rPr>
                <w:b/>
                <w:lang w:val="en-US"/>
              </w:rPr>
              <w:t xml:space="preserve">. </w:t>
            </w:r>
            <w:proofErr w:type="spellStart"/>
            <w:r>
              <w:rPr>
                <w:b/>
                <w:lang w:val="en-US"/>
              </w:rPr>
              <w:t>fase</w:t>
            </w:r>
            <w:proofErr w:type="spellEnd"/>
          </w:p>
        </w:tc>
      </w:tr>
      <w:tr w:rsidR="009B199C" w:rsidTr="000C222F">
        <w:trPr>
          <w:trHeight w:val="464"/>
          <w:tblHeader/>
        </w:trPr>
        <w:tc>
          <w:tcPr>
            <w:tcW w:w="1667" w:type="dxa"/>
            <w:hideMark/>
          </w:tcPr>
          <w:p w:rsidR="009B199C" w:rsidRDefault="009B199C">
            <w:pPr>
              <w:rPr>
                <w:b/>
                <w:lang w:val="nb-NO"/>
              </w:rPr>
            </w:pPr>
            <w:r>
              <w:rPr>
                <w:b/>
                <w:lang w:val="nb-NO"/>
              </w:rPr>
              <w:t>Maksimal daglig dosis [ml/kg/d]</w:t>
            </w:r>
          </w:p>
        </w:tc>
        <w:tc>
          <w:tcPr>
            <w:tcW w:w="1158" w:type="dxa"/>
          </w:tcPr>
          <w:p w:rsidR="009B199C" w:rsidRDefault="009B199C">
            <w:pPr>
              <w:jc w:val="center"/>
              <w:rPr>
                <w:lang w:val="nb-NO"/>
              </w:rPr>
            </w:pPr>
          </w:p>
        </w:tc>
        <w:tc>
          <w:tcPr>
            <w:tcW w:w="647" w:type="dxa"/>
            <w:vAlign w:val="center"/>
            <w:hideMark/>
          </w:tcPr>
          <w:p w:rsidR="009B199C" w:rsidRDefault="009B199C">
            <w:pPr>
              <w:jc w:val="center"/>
              <w:rPr>
                <w:b/>
                <w:lang w:val="en-US"/>
              </w:rPr>
            </w:pPr>
            <w:r>
              <w:rPr>
                <w:b/>
                <w:lang w:val="en-US"/>
              </w:rPr>
              <w:t>25</w:t>
            </w:r>
          </w:p>
        </w:tc>
        <w:tc>
          <w:tcPr>
            <w:tcW w:w="1543" w:type="dxa"/>
            <w:gridSpan w:val="2"/>
            <w:vAlign w:val="center"/>
            <w:hideMark/>
          </w:tcPr>
          <w:p w:rsidR="009B199C" w:rsidRDefault="009B199C">
            <w:pPr>
              <w:jc w:val="center"/>
              <w:rPr>
                <w:b/>
                <w:lang w:val="en-US"/>
              </w:rPr>
            </w:pPr>
            <w:r>
              <w:rPr>
                <w:b/>
                <w:lang w:val="en-US"/>
              </w:rPr>
              <w:t>35,5</w:t>
            </w:r>
          </w:p>
        </w:tc>
        <w:tc>
          <w:tcPr>
            <w:tcW w:w="1156" w:type="dxa"/>
            <w:vAlign w:val="center"/>
          </w:tcPr>
          <w:p w:rsidR="009B199C" w:rsidRDefault="009B199C">
            <w:pPr>
              <w:jc w:val="center"/>
              <w:rPr>
                <w:b/>
                <w:lang w:val="en-US"/>
              </w:rPr>
            </w:pPr>
          </w:p>
        </w:tc>
        <w:tc>
          <w:tcPr>
            <w:tcW w:w="771" w:type="dxa"/>
            <w:vAlign w:val="center"/>
            <w:hideMark/>
          </w:tcPr>
          <w:p w:rsidR="009B199C" w:rsidRDefault="009B199C">
            <w:pPr>
              <w:jc w:val="center"/>
              <w:rPr>
                <w:b/>
                <w:lang w:val="en-US"/>
              </w:rPr>
            </w:pPr>
            <w:r>
              <w:rPr>
                <w:b/>
                <w:lang w:val="en-US"/>
              </w:rPr>
              <w:t>9,5</w:t>
            </w:r>
          </w:p>
        </w:tc>
        <w:tc>
          <w:tcPr>
            <w:tcW w:w="647" w:type="dxa"/>
            <w:vAlign w:val="center"/>
            <w:hideMark/>
          </w:tcPr>
          <w:p w:rsidR="009B199C" w:rsidRDefault="009B199C">
            <w:pPr>
              <w:jc w:val="center"/>
              <w:rPr>
                <w:b/>
                <w:lang w:val="en-US"/>
              </w:rPr>
            </w:pPr>
            <w:r>
              <w:rPr>
                <w:b/>
                <w:lang w:val="en-US"/>
              </w:rPr>
              <w:t>20</w:t>
            </w:r>
          </w:p>
        </w:tc>
        <w:tc>
          <w:tcPr>
            <w:tcW w:w="899" w:type="dxa"/>
            <w:gridSpan w:val="2"/>
            <w:vAlign w:val="center"/>
            <w:hideMark/>
          </w:tcPr>
          <w:p w:rsidR="009B199C" w:rsidRDefault="009B199C">
            <w:pPr>
              <w:jc w:val="center"/>
              <w:rPr>
                <w:b/>
                <w:lang w:val="en-US"/>
              </w:rPr>
            </w:pPr>
            <w:r>
              <w:rPr>
                <w:b/>
                <w:lang w:val="en-US"/>
              </w:rPr>
              <w:t>30</w:t>
            </w:r>
          </w:p>
        </w:tc>
      </w:tr>
      <w:tr w:rsidR="009B199C" w:rsidTr="000C222F">
        <w:trPr>
          <w:trHeight w:val="245"/>
          <w:tblHeader/>
        </w:trPr>
        <w:tc>
          <w:tcPr>
            <w:tcW w:w="1667" w:type="dxa"/>
            <w:tcBorders>
              <w:top w:val="nil"/>
              <w:left w:val="nil"/>
              <w:bottom w:val="single" w:sz="12" w:space="0" w:color="auto"/>
              <w:right w:val="nil"/>
            </w:tcBorders>
          </w:tcPr>
          <w:p w:rsidR="009B199C" w:rsidRDefault="009B199C">
            <w:pPr>
              <w:jc w:val="both"/>
              <w:rPr>
                <w:lang w:val="en-US"/>
              </w:rPr>
            </w:pPr>
          </w:p>
        </w:tc>
        <w:tc>
          <w:tcPr>
            <w:tcW w:w="1158" w:type="dxa"/>
            <w:tcBorders>
              <w:top w:val="nil"/>
              <w:left w:val="nil"/>
              <w:bottom w:val="single" w:sz="12" w:space="0" w:color="auto"/>
              <w:right w:val="nil"/>
            </w:tcBorders>
          </w:tcPr>
          <w:p w:rsidR="009B199C" w:rsidRDefault="009B199C">
            <w:pPr>
              <w:jc w:val="center"/>
              <w:rPr>
                <w:lang w:val="en-US"/>
              </w:rPr>
            </w:pPr>
          </w:p>
        </w:tc>
        <w:tc>
          <w:tcPr>
            <w:tcW w:w="2190" w:type="dxa"/>
            <w:gridSpan w:val="3"/>
            <w:tcBorders>
              <w:top w:val="nil"/>
              <w:left w:val="nil"/>
              <w:bottom w:val="single" w:sz="12" w:space="0" w:color="auto"/>
              <w:right w:val="nil"/>
            </w:tcBorders>
            <w:vAlign w:val="center"/>
            <w:hideMark/>
          </w:tcPr>
          <w:p w:rsidR="009B199C" w:rsidRDefault="009B199C">
            <w:pPr>
              <w:jc w:val="center"/>
              <w:rPr>
                <w:lang w:val="en-US"/>
              </w:rPr>
            </w:pPr>
            <w:proofErr w:type="spellStart"/>
            <w:r>
              <w:rPr>
                <w:lang w:val="en-US"/>
              </w:rPr>
              <w:t>Svarende</w:t>
            </w:r>
            <w:proofErr w:type="spellEnd"/>
            <w:r>
              <w:rPr>
                <w:lang w:val="en-US"/>
              </w:rPr>
              <w:t xml:space="preserve"> </w:t>
            </w:r>
            <w:proofErr w:type="spellStart"/>
            <w:r>
              <w:rPr>
                <w:lang w:val="en-US"/>
              </w:rPr>
              <w:t>til</w:t>
            </w:r>
            <w:proofErr w:type="spellEnd"/>
          </w:p>
        </w:tc>
        <w:tc>
          <w:tcPr>
            <w:tcW w:w="1156" w:type="dxa"/>
            <w:tcBorders>
              <w:top w:val="nil"/>
              <w:left w:val="nil"/>
              <w:bottom w:val="single" w:sz="12" w:space="0" w:color="auto"/>
              <w:right w:val="nil"/>
            </w:tcBorders>
          </w:tcPr>
          <w:p w:rsidR="009B199C" w:rsidRDefault="009B199C">
            <w:pPr>
              <w:jc w:val="center"/>
              <w:rPr>
                <w:lang w:val="en-US"/>
              </w:rPr>
            </w:pPr>
          </w:p>
        </w:tc>
        <w:tc>
          <w:tcPr>
            <w:tcW w:w="2317" w:type="dxa"/>
            <w:gridSpan w:val="4"/>
            <w:tcBorders>
              <w:top w:val="nil"/>
              <w:left w:val="nil"/>
              <w:bottom w:val="single" w:sz="12" w:space="0" w:color="auto"/>
              <w:right w:val="nil"/>
            </w:tcBorders>
            <w:vAlign w:val="center"/>
            <w:hideMark/>
          </w:tcPr>
          <w:p w:rsidR="009B199C" w:rsidRDefault="009B199C">
            <w:pPr>
              <w:jc w:val="center"/>
              <w:rPr>
                <w:lang w:val="en-US"/>
              </w:rPr>
            </w:pPr>
            <w:proofErr w:type="spellStart"/>
            <w:r>
              <w:rPr>
                <w:lang w:val="en-US"/>
              </w:rPr>
              <w:t>Svarende</w:t>
            </w:r>
            <w:proofErr w:type="spellEnd"/>
            <w:r>
              <w:rPr>
                <w:lang w:val="en-US"/>
              </w:rPr>
              <w:t xml:space="preserve"> </w:t>
            </w:r>
            <w:proofErr w:type="spellStart"/>
            <w:r>
              <w:rPr>
                <w:lang w:val="en-US"/>
              </w:rPr>
              <w:t>til</w:t>
            </w:r>
            <w:proofErr w:type="spellEnd"/>
          </w:p>
        </w:tc>
      </w:tr>
      <w:tr w:rsidR="009B199C" w:rsidTr="000C222F">
        <w:trPr>
          <w:trHeight w:val="232"/>
        </w:trPr>
        <w:tc>
          <w:tcPr>
            <w:tcW w:w="1667" w:type="dxa"/>
            <w:tcBorders>
              <w:top w:val="single" w:sz="12" w:space="0" w:color="auto"/>
              <w:left w:val="nil"/>
              <w:bottom w:val="nil"/>
              <w:right w:val="nil"/>
            </w:tcBorders>
            <w:vAlign w:val="center"/>
            <w:hideMark/>
          </w:tcPr>
          <w:p w:rsidR="009B199C" w:rsidRDefault="009B199C">
            <w:pPr>
              <w:jc w:val="both"/>
              <w:rPr>
                <w:lang w:val="en-US"/>
              </w:rPr>
            </w:pPr>
            <w:r>
              <w:t>Væske [ml/kg/d]</w:t>
            </w:r>
          </w:p>
        </w:tc>
        <w:tc>
          <w:tcPr>
            <w:tcW w:w="1158" w:type="dxa"/>
            <w:tcBorders>
              <w:top w:val="single" w:sz="12" w:space="0" w:color="auto"/>
              <w:left w:val="nil"/>
              <w:bottom w:val="nil"/>
              <w:right w:val="nil"/>
            </w:tcBorders>
            <w:vAlign w:val="center"/>
            <w:hideMark/>
          </w:tcPr>
          <w:p w:rsidR="009B199C" w:rsidRDefault="009B199C">
            <w:pPr>
              <w:jc w:val="center"/>
              <w:rPr>
                <w:lang w:val="en-US"/>
              </w:rPr>
            </w:pPr>
            <w:r>
              <w:t>60 - 100</w:t>
            </w:r>
          </w:p>
        </w:tc>
        <w:tc>
          <w:tcPr>
            <w:tcW w:w="647" w:type="dxa"/>
            <w:tcBorders>
              <w:top w:val="single" w:sz="12" w:space="0" w:color="auto"/>
              <w:left w:val="nil"/>
              <w:bottom w:val="nil"/>
              <w:right w:val="nil"/>
            </w:tcBorders>
            <w:vAlign w:val="center"/>
            <w:hideMark/>
          </w:tcPr>
          <w:p w:rsidR="009B199C" w:rsidRDefault="009B199C">
            <w:pPr>
              <w:jc w:val="center"/>
              <w:rPr>
                <w:lang w:val="en-US"/>
              </w:rPr>
            </w:pPr>
            <w:r>
              <w:rPr>
                <w:lang w:val="en-US"/>
              </w:rPr>
              <w:t>25</w:t>
            </w:r>
          </w:p>
        </w:tc>
        <w:tc>
          <w:tcPr>
            <w:tcW w:w="1543" w:type="dxa"/>
            <w:gridSpan w:val="2"/>
            <w:tcBorders>
              <w:top w:val="single" w:sz="12" w:space="0" w:color="auto"/>
              <w:left w:val="nil"/>
              <w:bottom w:val="nil"/>
              <w:right w:val="nil"/>
            </w:tcBorders>
            <w:vAlign w:val="center"/>
            <w:hideMark/>
          </w:tcPr>
          <w:p w:rsidR="009B199C" w:rsidRDefault="009B199C">
            <w:pPr>
              <w:jc w:val="center"/>
              <w:rPr>
                <w:lang w:val="en-US"/>
              </w:rPr>
            </w:pPr>
            <w:r>
              <w:rPr>
                <w:lang w:val="en-US"/>
              </w:rPr>
              <w:t>35,5</w:t>
            </w:r>
          </w:p>
        </w:tc>
        <w:tc>
          <w:tcPr>
            <w:tcW w:w="1156" w:type="dxa"/>
            <w:tcBorders>
              <w:top w:val="single" w:sz="12" w:space="0" w:color="auto"/>
              <w:left w:val="nil"/>
              <w:bottom w:val="nil"/>
              <w:right w:val="nil"/>
            </w:tcBorders>
            <w:vAlign w:val="center"/>
            <w:hideMark/>
          </w:tcPr>
          <w:p w:rsidR="009B199C" w:rsidRDefault="009B199C">
            <w:pPr>
              <w:jc w:val="center"/>
              <w:rPr>
                <w:lang w:val="en-US"/>
              </w:rPr>
            </w:pPr>
            <w:r>
              <w:t>50 - 70</w:t>
            </w:r>
          </w:p>
        </w:tc>
        <w:tc>
          <w:tcPr>
            <w:tcW w:w="771" w:type="dxa"/>
            <w:tcBorders>
              <w:top w:val="single" w:sz="12" w:space="0" w:color="auto"/>
              <w:left w:val="nil"/>
              <w:bottom w:val="nil"/>
              <w:right w:val="nil"/>
            </w:tcBorders>
            <w:vAlign w:val="center"/>
            <w:hideMark/>
          </w:tcPr>
          <w:p w:rsidR="009B199C" w:rsidRDefault="009B199C">
            <w:pPr>
              <w:jc w:val="center"/>
              <w:rPr>
                <w:lang w:val="en-US"/>
              </w:rPr>
            </w:pPr>
            <w:r>
              <w:rPr>
                <w:lang w:val="en-US"/>
              </w:rPr>
              <w:t>9,5</w:t>
            </w:r>
          </w:p>
        </w:tc>
        <w:tc>
          <w:tcPr>
            <w:tcW w:w="771" w:type="dxa"/>
            <w:gridSpan w:val="2"/>
            <w:tcBorders>
              <w:top w:val="single" w:sz="12" w:space="0" w:color="auto"/>
              <w:left w:val="nil"/>
              <w:bottom w:val="nil"/>
              <w:right w:val="nil"/>
            </w:tcBorders>
            <w:vAlign w:val="center"/>
            <w:hideMark/>
          </w:tcPr>
          <w:p w:rsidR="009B199C" w:rsidRDefault="009B199C">
            <w:pPr>
              <w:jc w:val="center"/>
              <w:rPr>
                <w:lang w:val="en-US"/>
              </w:rPr>
            </w:pPr>
            <w:r>
              <w:rPr>
                <w:lang w:val="en-US"/>
              </w:rPr>
              <w:t>20</w:t>
            </w:r>
          </w:p>
        </w:tc>
        <w:tc>
          <w:tcPr>
            <w:tcW w:w="775" w:type="dxa"/>
            <w:tcBorders>
              <w:top w:val="single" w:sz="12" w:space="0" w:color="auto"/>
              <w:left w:val="nil"/>
              <w:bottom w:val="nil"/>
              <w:right w:val="nil"/>
            </w:tcBorders>
            <w:vAlign w:val="center"/>
            <w:hideMark/>
          </w:tcPr>
          <w:p w:rsidR="009B199C" w:rsidRDefault="009B199C">
            <w:pPr>
              <w:jc w:val="center"/>
              <w:rPr>
                <w:lang w:val="en-US"/>
              </w:rPr>
            </w:pPr>
            <w:r>
              <w:rPr>
                <w:lang w:val="en-US"/>
              </w:rPr>
              <w:t>30</w:t>
            </w:r>
          </w:p>
        </w:tc>
      </w:tr>
      <w:tr w:rsidR="009B199C" w:rsidTr="000C222F">
        <w:trPr>
          <w:trHeight w:val="477"/>
        </w:trPr>
        <w:tc>
          <w:tcPr>
            <w:tcW w:w="1667" w:type="dxa"/>
            <w:vAlign w:val="center"/>
            <w:hideMark/>
          </w:tcPr>
          <w:p w:rsidR="009B199C" w:rsidRDefault="009B199C">
            <w:pPr>
              <w:jc w:val="both"/>
              <w:rPr>
                <w:lang w:val="pt-PT"/>
              </w:rPr>
            </w:pPr>
            <w:r>
              <w:rPr>
                <w:lang w:val="pt-PT"/>
              </w:rPr>
              <w:t>Aminosyrer [g/kg/d]</w:t>
            </w:r>
          </w:p>
        </w:tc>
        <w:tc>
          <w:tcPr>
            <w:tcW w:w="1158" w:type="dxa"/>
            <w:vAlign w:val="center"/>
            <w:hideMark/>
          </w:tcPr>
          <w:p w:rsidR="009B199C" w:rsidRDefault="009B199C">
            <w:pPr>
              <w:jc w:val="center"/>
              <w:rPr>
                <w:lang w:val="en-US"/>
              </w:rPr>
            </w:pPr>
            <w:r>
              <w:rPr>
                <w:lang w:val="en-US"/>
              </w:rPr>
              <w:t>1,0 – 2,0 (2,5)</w:t>
            </w:r>
          </w:p>
        </w:tc>
        <w:tc>
          <w:tcPr>
            <w:tcW w:w="647" w:type="dxa"/>
            <w:vAlign w:val="center"/>
            <w:hideMark/>
          </w:tcPr>
          <w:p w:rsidR="009B199C" w:rsidRDefault="009B199C">
            <w:pPr>
              <w:jc w:val="center"/>
              <w:rPr>
                <w:lang w:val="en-US"/>
              </w:rPr>
            </w:pPr>
            <w:r>
              <w:rPr>
                <w:lang w:val="en-US"/>
              </w:rPr>
              <w:t>1,4</w:t>
            </w:r>
          </w:p>
        </w:tc>
        <w:tc>
          <w:tcPr>
            <w:tcW w:w="1543" w:type="dxa"/>
            <w:gridSpan w:val="2"/>
            <w:vAlign w:val="center"/>
            <w:hideMark/>
          </w:tcPr>
          <w:p w:rsidR="009B199C" w:rsidRDefault="009B199C">
            <w:pPr>
              <w:jc w:val="center"/>
              <w:rPr>
                <w:lang w:val="en-US"/>
              </w:rPr>
            </w:pPr>
            <w:r>
              <w:rPr>
                <w:lang w:val="en-US"/>
              </w:rPr>
              <w:t>1,99</w:t>
            </w:r>
          </w:p>
        </w:tc>
        <w:tc>
          <w:tcPr>
            <w:tcW w:w="1156" w:type="dxa"/>
            <w:vAlign w:val="center"/>
            <w:hideMark/>
          </w:tcPr>
          <w:p w:rsidR="009B199C" w:rsidRDefault="009B199C">
            <w:pPr>
              <w:jc w:val="center"/>
              <w:rPr>
                <w:lang w:val="en-US"/>
              </w:rPr>
            </w:pPr>
            <w:r>
              <w:rPr>
                <w:lang w:val="en-US"/>
              </w:rPr>
              <w:t>1,0 – 2,0</w:t>
            </w:r>
          </w:p>
        </w:tc>
        <w:tc>
          <w:tcPr>
            <w:tcW w:w="771" w:type="dxa"/>
            <w:vAlign w:val="center"/>
            <w:hideMark/>
          </w:tcPr>
          <w:p w:rsidR="009B199C" w:rsidRDefault="009B199C">
            <w:pPr>
              <w:jc w:val="center"/>
              <w:rPr>
                <w:lang w:val="en-US"/>
              </w:rPr>
            </w:pPr>
            <w:r>
              <w:rPr>
                <w:lang w:val="en-US"/>
              </w:rPr>
              <w:t>0,53</w:t>
            </w:r>
          </w:p>
        </w:tc>
        <w:tc>
          <w:tcPr>
            <w:tcW w:w="771" w:type="dxa"/>
            <w:gridSpan w:val="2"/>
            <w:vAlign w:val="center"/>
            <w:hideMark/>
          </w:tcPr>
          <w:p w:rsidR="009B199C" w:rsidRDefault="009B199C">
            <w:pPr>
              <w:jc w:val="center"/>
              <w:rPr>
                <w:lang w:val="en-US"/>
              </w:rPr>
            </w:pPr>
            <w:r>
              <w:rPr>
                <w:lang w:val="en-US"/>
              </w:rPr>
              <w:t>1,12</w:t>
            </w:r>
          </w:p>
        </w:tc>
        <w:tc>
          <w:tcPr>
            <w:tcW w:w="775" w:type="dxa"/>
            <w:vAlign w:val="center"/>
            <w:hideMark/>
          </w:tcPr>
          <w:p w:rsidR="009B199C" w:rsidRDefault="009B199C">
            <w:pPr>
              <w:jc w:val="center"/>
              <w:rPr>
                <w:lang w:val="en-US"/>
              </w:rPr>
            </w:pPr>
            <w:r>
              <w:rPr>
                <w:lang w:val="en-US"/>
              </w:rPr>
              <w:t>1,68</w:t>
            </w:r>
          </w:p>
        </w:tc>
      </w:tr>
      <w:tr w:rsidR="009B199C" w:rsidTr="000C222F">
        <w:trPr>
          <w:trHeight w:val="232"/>
        </w:trPr>
        <w:tc>
          <w:tcPr>
            <w:tcW w:w="1667" w:type="dxa"/>
            <w:vAlign w:val="center"/>
            <w:hideMark/>
          </w:tcPr>
          <w:p w:rsidR="009B199C" w:rsidRDefault="009B199C">
            <w:pPr>
              <w:rPr>
                <w:lang w:val="en-US"/>
              </w:rPr>
            </w:pPr>
            <w:r>
              <w:rPr>
                <w:lang w:val="en-US"/>
              </w:rPr>
              <w:t>Glucose [g/kg/d]</w:t>
            </w:r>
          </w:p>
        </w:tc>
        <w:tc>
          <w:tcPr>
            <w:tcW w:w="1158" w:type="dxa"/>
            <w:vAlign w:val="center"/>
          </w:tcPr>
          <w:p w:rsidR="009B199C" w:rsidRDefault="009B199C">
            <w:pPr>
              <w:jc w:val="center"/>
              <w:rPr>
                <w:lang w:val="en-US"/>
              </w:rPr>
            </w:pPr>
          </w:p>
        </w:tc>
        <w:tc>
          <w:tcPr>
            <w:tcW w:w="2190" w:type="dxa"/>
            <w:gridSpan w:val="3"/>
            <w:vAlign w:val="center"/>
          </w:tcPr>
          <w:p w:rsidR="009B199C" w:rsidRDefault="009B199C">
            <w:pPr>
              <w:jc w:val="center"/>
              <w:rPr>
                <w:lang w:val="en-US"/>
              </w:rPr>
            </w:pPr>
          </w:p>
        </w:tc>
        <w:tc>
          <w:tcPr>
            <w:tcW w:w="1156" w:type="dxa"/>
            <w:vAlign w:val="center"/>
          </w:tcPr>
          <w:p w:rsidR="009B199C" w:rsidRDefault="009B199C">
            <w:pPr>
              <w:jc w:val="center"/>
              <w:rPr>
                <w:lang w:val="en-US"/>
              </w:rPr>
            </w:pPr>
          </w:p>
        </w:tc>
        <w:tc>
          <w:tcPr>
            <w:tcW w:w="2317" w:type="dxa"/>
            <w:gridSpan w:val="4"/>
            <w:vAlign w:val="center"/>
          </w:tcPr>
          <w:p w:rsidR="009B199C" w:rsidRDefault="009B199C">
            <w:pPr>
              <w:jc w:val="center"/>
              <w:rPr>
                <w:lang w:val="en-US"/>
              </w:rPr>
            </w:pPr>
          </w:p>
        </w:tc>
      </w:tr>
      <w:tr w:rsidR="009B199C" w:rsidTr="000C222F">
        <w:trPr>
          <w:trHeight w:val="232"/>
        </w:trPr>
        <w:tc>
          <w:tcPr>
            <w:tcW w:w="1667" w:type="dxa"/>
            <w:vAlign w:val="center"/>
            <w:hideMark/>
          </w:tcPr>
          <w:p w:rsidR="009B199C" w:rsidRDefault="009B199C">
            <w:pPr>
              <w:jc w:val="right"/>
              <w:rPr>
                <w:lang w:val="en-US"/>
              </w:rPr>
            </w:pPr>
            <w:proofErr w:type="spellStart"/>
            <w:r>
              <w:rPr>
                <w:i/>
                <w:lang w:val="en-US"/>
              </w:rPr>
              <w:t>Akut</w:t>
            </w:r>
            <w:proofErr w:type="spellEnd"/>
            <w:r>
              <w:rPr>
                <w:i/>
                <w:lang w:val="en-US"/>
              </w:rPr>
              <w:t xml:space="preserve"> </w:t>
            </w:r>
            <w:proofErr w:type="spellStart"/>
            <w:r>
              <w:rPr>
                <w:i/>
                <w:lang w:val="en-US"/>
              </w:rPr>
              <w:t>fase</w:t>
            </w:r>
            <w:proofErr w:type="spellEnd"/>
          </w:p>
        </w:tc>
        <w:tc>
          <w:tcPr>
            <w:tcW w:w="1158" w:type="dxa"/>
            <w:vAlign w:val="center"/>
            <w:hideMark/>
          </w:tcPr>
          <w:p w:rsidR="009B199C" w:rsidRDefault="009B199C">
            <w:pPr>
              <w:jc w:val="center"/>
              <w:rPr>
                <w:lang w:val="en-US"/>
              </w:rPr>
            </w:pPr>
            <w:r>
              <w:rPr>
                <w:i/>
                <w:lang w:val="en-US"/>
              </w:rPr>
              <w:t>1,4 – 3,6</w:t>
            </w:r>
          </w:p>
        </w:tc>
        <w:tc>
          <w:tcPr>
            <w:tcW w:w="647" w:type="dxa"/>
            <w:vAlign w:val="center"/>
            <w:hideMark/>
          </w:tcPr>
          <w:p w:rsidR="009B199C" w:rsidRDefault="009B199C">
            <w:pPr>
              <w:jc w:val="center"/>
              <w:rPr>
                <w:lang w:val="en-US"/>
              </w:rPr>
            </w:pPr>
            <w:r>
              <w:rPr>
                <w:lang w:val="en-US"/>
              </w:rPr>
              <w:t>3,6</w:t>
            </w:r>
          </w:p>
        </w:tc>
        <w:tc>
          <w:tcPr>
            <w:tcW w:w="1543" w:type="dxa"/>
            <w:gridSpan w:val="2"/>
            <w:vAlign w:val="center"/>
            <w:hideMark/>
          </w:tcPr>
          <w:p w:rsidR="009B199C" w:rsidRDefault="009B199C">
            <w:pPr>
              <w:jc w:val="center"/>
              <w:rPr>
                <w:lang w:val="en-US"/>
              </w:rPr>
            </w:pPr>
            <w:r>
              <w:rPr>
                <w:lang w:val="en-US"/>
              </w:rPr>
              <w:t>-</w:t>
            </w:r>
          </w:p>
        </w:tc>
        <w:tc>
          <w:tcPr>
            <w:tcW w:w="1156" w:type="dxa"/>
            <w:vAlign w:val="center"/>
            <w:hideMark/>
          </w:tcPr>
          <w:p w:rsidR="009B199C" w:rsidRDefault="009B199C">
            <w:pPr>
              <w:jc w:val="center"/>
              <w:rPr>
                <w:lang w:val="en-US"/>
              </w:rPr>
            </w:pPr>
            <w:r>
              <w:rPr>
                <w:i/>
                <w:lang w:val="en-US"/>
              </w:rPr>
              <w:t>0,7 – 1,4</w:t>
            </w:r>
          </w:p>
        </w:tc>
        <w:tc>
          <w:tcPr>
            <w:tcW w:w="771" w:type="dxa"/>
            <w:vAlign w:val="center"/>
            <w:hideMark/>
          </w:tcPr>
          <w:p w:rsidR="009B199C" w:rsidRDefault="009B199C">
            <w:pPr>
              <w:jc w:val="center"/>
              <w:rPr>
                <w:lang w:val="en-US"/>
              </w:rPr>
            </w:pPr>
            <w:r>
              <w:rPr>
                <w:lang w:val="en-US"/>
              </w:rPr>
              <w:t>1,37</w:t>
            </w:r>
          </w:p>
        </w:tc>
        <w:tc>
          <w:tcPr>
            <w:tcW w:w="771" w:type="dxa"/>
            <w:gridSpan w:val="2"/>
            <w:vAlign w:val="center"/>
            <w:hideMark/>
          </w:tcPr>
          <w:p w:rsidR="009B199C" w:rsidRDefault="009B199C">
            <w:pPr>
              <w:jc w:val="center"/>
              <w:rPr>
                <w:lang w:val="en-US"/>
              </w:rPr>
            </w:pPr>
            <w:r>
              <w:rPr>
                <w:lang w:val="en-US"/>
              </w:rPr>
              <w:t>-</w:t>
            </w:r>
          </w:p>
        </w:tc>
        <w:tc>
          <w:tcPr>
            <w:tcW w:w="775" w:type="dxa"/>
            <w:vAlign w:val="center"/>
            <w:hideMark/>
          </w:tcPr>
          <w:p w:rsidR="009B199C" w:rsidRDefault="009B199C">
            <w:pPr>
              <w:jc w:val="center"/>
              <w:rPr>
                <w:lang w:val="en-US"/>
              </w:rPr>
            </w:pPr>
            <w:r>
              <w:rPr>
                <w:lang w:val="en-US"/>
              </w:rPr>
              <w:t>-</w:t>
            </w:r>
          </w:p>
        </w:tc>
      </w:tr>
      <w:tr w:rsidR="009B199C" w:rsidTr="000C222F">
        <w:trPr>
          <w:trHeight w:val="232"/>
        </w:trPr>
        <w:tc>
          <w:tcPr>
            <w:tcW w:w="1667" w:type="dxa"/>
            <w:vAlign w:val="center"/>
            <w:hideMark/>
          </w:tcPr>
          <w:p w:rsidR="009B199C" w:rsidRDefault="009B199C">
            <w:pPr>
              <w:jc w:val="right"/>
              <w:rPr>
                <w:lang w:val="en-US"/>
              </w:rPr>
            </w:pPr>
            <w:r>
              <w:rPr>
                <w:i/>
                <w:lang w:val="en-US"/>
              </w:rPr>
              <w:t xml:space="preserve">Stabil </w:t>
            </w:r>
            <w:proofErr w:type="spellStart"/>
            <w:r>
              <w:rPr>
                <w:i/>
                <w:lang w:val="en-US"/>
              </w:rPr>
              <w:t>fase</w:t>
            </w:r>
            <w:proofErr w:type="spellEnd"/>
          </w:p>
        </w:tc>
        <w:tc>
          <w:tcPr>
            <w:tcW w:w="1158" w:type="dxa"/>
            <w:vAlign w:val="center"/>
            <w:hideMark/>
          </w:tcPr>
          <w:p w:rsidR="009B199C" w:rsidRDefault="009B199C">
            <w:pPr>
              <w:jc w:val="center"/>
              <w:rPr>
                <w:lang w:val="en-US"/>
              </w:rPr>
            </w:pPr>
            <w:r>
              <w:rPr>
                <w:i/>
                <w:lang w:val="en-US"/>
              </w:rPr>
              <w:t>2,2 – 5,8</w:t>
            </w:r>
          </w:p>
        </w:tc>
        <w:tc>
          <w:tcPr>
            <w:tcW w:w="647" w:type="dxa"/>
            <w:vAlign w:val="center"/>
            <w:hideMark/>
          </w:tcPr>
          <w:p w:rsidR="009B199C" w:rsidRDefault="009B199C">
            <w:pPr>
              <w:jc w:val="center"/>
              <w:rPr>
                <w:lang w:val="en-US"/>
              </w:rPr>
            </w:pPr>
            <w:r>
              <w:rPr>
                <w:lang w:val="en-US"/>
              </w:rPr>
              <w:t>-</w:t>
            </w:r>
          </w:p>
        </w:tc>
        <w:tc>
          <w:tcPr>
            <w:tcW w:w="1543" w:type="dxa"/>
            <w:gridSpan w:val="2"/>
            <w:vMerge w:val="restart"/>
            <w:vAlign w:val="center"/>
            <w:hideMark/>
          </w:tcPr>
          <w:p w:rsidR="009B199C" w:rsidRDefault="009B199C">
            <w:pPr>
              <w:jc w:val="center"/>
              <w:rPr>
                <w:lang w:val="en-US"/>
              </w:rPr>
            </w:pPr>
            <w:r>
              <w:rPr>
                <w:lang w:val="en-US"/>
              </w:rPr>
              <w:t>5,11</w:t>
            </w:r>
          </w:p>
        </w:tc>
        <w:tc>
          <w:tcPr>
            <w:tcW w:w="1156" w:type="dxa"/>
            <w:vAlign w:val="center"/>
            <w:hideMark/>
          </w:tcPr>
          <w:p w:rsidR="009B199C" w:rsidRDefault="009B199C">
            <w:pPr>
              <w:jc w:val="center"/>
              <w:rPr>
                <w:lang w:val="en-US"/>
              </w:rPr>
            </w:pPr>
            <w:r>
              <w:rPr>
                <w:i/>
                <w:lang w:val="en-US"/>
              </w:rPr>
              <w:t>1,4 – 2,9</w:t>
            </w:r>
          </w:p>
        </w:tc>
        <w:tc>
          <w:tcPr>
            <w:tcW w:w="771" w:type="dxa"/>
            <w:vAlign w:val="center"/>
            <w:hideMark/>
          </w:tcPr>
          <w:p w:rsidR="009B199C" w:rsidRDefault="009B199C">
            <w:pPr>
              <w:jc w:val="center"/>
              <w:rPr>
                <w:lang w:val="en-US"/>
              </w:rPr>
            </w:pPr>
            <w:r>
              <w:rPr>
                <w:lang w:val="en-US"/>
              </w:rPr>
              <w:t>-</w:t>
            </w:r>
          </w:p>
        </w:tc>
        <w:tc>
          <w:tcPr>
            <w:tcW w:w="771" w:type="dxa"/>
            <w:gridSpan w:val="2"/>
            <w:vAlign w:val="center"/>
            <w:hideMark/>
          </w:tcPr>
          <w:p w:rsidR="009B199C" w:rsidRDefault="009B199C">
            <w:pPr>
              <w:jc w:val="center"/>
              <w:rPr>
                <w:lang w:val="en-US"/>
              </w:rPr>
            </w:pPr>
            <w:r>
              <w:rPr>
                <w:lang w:val="en-US"/>
              </w:rPr>
              <w:t>2,88</w:t>
            </w:r>
          </w:p>
        </w:tc>
        <w:tc>
          <w:tcPr>
            <w:tcW w:w="775" w:type="dxa"/>
            <w:vAlign w:val="center"/>
            <w:hideMark/>
          </w:tcPr>
          <w:p w:rsidR="009B199C" w:rsidRDefault="009B199C">
            <w:pPr>
              <w:jc w:val="center"/>
              <w:rPr>
                <w:lang w:val="en-US"/>
              </w:rPr>
            </w:pPr>
            <w:r>
              <w:rPr>
                <w:lang w:val="en-US"/>
              </w:rPr>
              <w:t>-</w:t>
            </w:r>
          </w:p>
        </w:tc>
      </w:tr>
      <w:tr w:rsidR="009B199C" w:rsidTr="000C222F">
        <w:trPr>
          <w:trHeight w:val="245"/>
        </w:trPr>
        <w:tc>
          <w:tcPr>
            <w:tcW w:w="1667" w:type="dxa"/>
            <w:vAlign w:val="center"/>
            <w:hideMark/>
          </w:tcPr>
          <w:p w:rsidR="009B199C" w:rsidRDefault="009B199C">
            <w:pPr>
              <w:jc w:val="right"/>
              <w:rPr>
                <w:i/>
                <w:lang w:val="en-US"/>
              </w:rPr>
            </w:pPr>
            <w:proofErr w:type="spellStart"/>
            <w:r>
              <w:rPr>
                <w:i/>
                <w:lang w:val="en-US"/>
              </w:rPr>
              <w:t>Restitu</w:t>
            </w:r>
            <w:proofErr w:type="spellEnd"/>
            <w:r>
              <w:rPr>
                <w:i/>
                <w:lang w:val="en-US"/>
              </w:rPr>
              <w:t xml:space="preserve">. </w:t>
            </w:r>
            <w:proofErr w:type="spellStart"/>
            <w:r>
              <w:rPr>
                <w:i/>
                <w:lang w:val="en-US"/>
              </w:rPr>
              <w:t>fase</w:t>
            </w:r>
            <w:proofErr w:type="spellEnd"/>
          </w:p>
        </w:tc>
        <w:tc>
          <w:tcPr>
            <w:tcW w:w="1158" w:type="dxa"/>
            <w:vAlign w:val="center"/>
            <w:hideMark/>
          </w:tcPr>
          <w:p w:rsidR="009B199C" w:rsidRDefault="009B199C">
            <w:pPr>
              <w:jc w:val="center"/>
              <w:rPr>
                <w:lang w:val="en-US"/>
              </w:rPr>
            </w:pPr>
            <w:r>
              <w:rPr>
                <w:i/>
                <w:lang w:val="en-US"/>
              </w:rPr>
              <w:t>4,3 – 8,6</w:t>
            </w:r>
          </w:p>
        </w:tc>
        <w:tc>
          <w:tcPr>
            <w:tcW w:w="647" w:type="dxa"/>
            <w:vAlign w:val="center"/>
            <w:hideMark/>
          </w:tcPr>
          <w:p w:rsidR="009B199C" w:rsidRDefault="009B199C">
            <w:pPr>
              <w:jc w:val="center"/>
              <w:rPr>
                <w:lang w:val="en-US"/>
              </w:rPr>
            </w:pPr>
            <w:r>
              <w:rPr>
                <w:lang w:val="en-US"/>
              </w:rPr>
              <w:t>-</w:t>
            </w:r>
          </w:p>
        </w:tc>
        <w:tc>
          <w:tcPr>
            <w:tcW w:w="1543" w:type="dxa"/>
            <w:gridSpan w:val="2"/>
            <w:vMerge/>
            <w:vAlign w:val="center"/>
            <w:hideMark/>
          </w:tcPr>
          <w:p w:rsidR="009B199C" w:rsidRDefault="009B199C">
            <w:pPr>
              <w:rPr>
                <w:lang w:val="en-US" w:eastAsia="fr-LU"/>
              </w:rPr>
            </w:pPr>
          </w:p>
        </w:tc>
        <w:tc>
          <w:tcPr>
            <w:tcW w:w="1156" w:type="dxa"/>
            <w:vAlign w:val="center"/>
            <w:hideMark/>
          </w:tcPr>
          <w:p w:rsidR="009B199C" w:rsidRDefault="009B199C">
            <w:pPr>
              <w:jc w:val="center"/>
              <w:rPr>
                <w:lang w:val="en-US"/>
              </w:rPr>
            </w:pPr>
            <w:r>
              <w:rPr>
                <w:i/>
                <w:lang w:val="en-US"/>
              </w:rPr>
              <w:t>2,9 – 4,3</w:t>
            </w:r>
          </w:p>
        </w:tc>
        <w:tc>
          <w:tcPr>
            <w:tcW w:w="771" w:type="dxa"/>
            <w:vAlign w:val="center"/>
            <w:hideMark/>
          </w:tcPr>
          <w:p w:rsidR="009B199C" w:rsidRDefault="009B199C">
            <w:pPr>
              <w:jc w:val="center"/>
              <w:rPr>
                <w:lang w:val="en-US"/>
              </w:rPr>
            </w:pPr>
            <w:r>
              <w:rPr>
                <w:lang w:val="en-US"/>
              </w:rPr>
              <w:t>-</w:t>
            </w:r>
          </w:p>
        </w:tc>
        <w:tc>
          <w:tcPr>
            <w:tcW w:w="771" w:type="dxa"/>
            <w:gridSpan w:val="2"/>
            <w:vAlign w:val="center"/>
            <w:hideMark/>
          </w:tcPr>
          <w:p w:rsidR="009B199C" w:rsidRDefault="009B199C">
            <w:pPr>
              <w:jc w:val="center"/>
              <w:rPr>
                <w:lang w:val="en-US"/>
              </w:rPr>
            </w:pPr>
            <w:r>
              <w:rPr>
                <w:lang w:val="en-US"/>
              </w:rPr>
              <w:t>-</w:t>
            </w:r>
          </w:p>
        </w:tc>
        <w:tc>
          <w:tcPr>
            <w:tcW w:w="775" w:type="dxa"/>
            <w:vAlign w:val="center"/>
            <w:hideMark/>
          </w:tcPr>
          <w:p w:rsidR="009B199C" w:rsidRDefault="009B199C">
            <w:pPr>
              <w:jc w:val="center"/>
              <w:rPr>
                <w:lang w:val="en-US"/>
              </w:rPr>
            </w:pPr>
            <w:r>
              <w:rPr>
                <w:lang w:val="en-US"/>
              </w:rPr>
              <w:t>4,3</w:t>
            </w:r>
          </w:p>
        </w:tc>
      </w:tr>
      <w:tr w:rsidR="009B199C" w:rsidTr="000C222F">
        <w:trPr>
          <w:trHeight w:val="232"/>
        </w:trPr>
        <w:tc>
          <w:tcPr>
            <w:tcW w:w="1667" w:type="dxa"/>
            <w:vAlign w:val="center"/>
            <w:hideMark/>
          </w:tcPr>
          <w:p w:rsidR="009B199C" w:rsidRDefault="009B199C">
            <w:pPr>
              <w:rPr>
                <w:lang w:val="en-US"/>
              </w:rPr>
            </w:pPr>
            <w:proofErr w:type="spellStart"/>
            <w:r>
              <w:rPr>
                <w:lang w:val="en-US"/>
              </w:rPr>
              <w:t>Lipider</w:t>
            </w:r>
            <w:proofErr w:type="spellEnd"/>
            <w:r>
              <w:rPr>
                <w:lang w:val="en-US"/>
              </w:rPr>
              <w:t xml:space="preserve"> [g/kg/d]</w:t>
            </w:r>
            <w:r>
              <w:rPr>
                <w:vertAlign w:val="superscript"/>
                <w:lang w:val="en-US"/>
              </w:rPr>
              <w:t>1)</w:t>
            </w:r>
          </w:p>
        </w:tc>
        <w:tc>
          <w:tcPr>
            <w:tcW w:w="1158" w:type="dxa"/>
            <w:vAlign w:val="center"/>
            <w:hideMark/>
          </w:tcPr>
          <w:p w:rsidR="009B199C" w:rsidRDefault="009B199C">
            <w:pPr>
              <w:jc w:val="center"/>
              <w:rPr>
                <w:lang w:val="en-US"/>
              </w:rPr>
            </w:pPr>
            <w:r>
              <w:rPr>
                <w:lang w:val="en-US"/>
              </w:rPr>
              <w:t>≤ 3</w:t>
            </w:r>
          </w:p>
        </w:tc>
        <w:tc>
          <w:tcPr>
            <w:tcW w:w="647" w:type="dxa"/>
            <w:vAlign w:val="center"/>
            <w:hideMark/>
          </w:tcPr>
          <w:p w:rsidR="009B199C" w:rsidRDefault="009B199C">
            <w:pPr>
              <w:jc w:val="center"/>
              <w:rPr>
                <w:lang w:val="en-US"/>
              </w:rPr>
            </w:pPr>
            <w:r>
              <w:rPr>
                <w:lang w:val="en-US"/>
              </w:rPr>
              <w:t>1,0</w:t>
            </w:r>
          </w:p>
        </w:tc>
        <w:tc>
          <w:tcPr>
            <w:tcW w:w="1543" w:type="dxa"/>
            <w:gridSpan w:val="2"/>
            <w:vAlign w:val="center"/>
            <w:hideMark/>
          </w:tcPr>
          <w:p w:rsidR="009B199C" w:rsidRDefault="009B199C">
            <w:pPr>
              <w:jc w:val="center"/>
              <w:rPr>
                <w:lang w:val="en-US"/>
              </w:rPr>
            </w:pPr>
            <w:r>
              <w:rPr>
                <w:lang w:val="en-US"/>
              </w:rPr>
              <w:t>1,42</w:t>
            </w:r>
          </w:p>
        </w:tc>
        <w:tc>
          <w:tcPr>
            <w:tcW w:w="1156" w:type="dxa"/>
            <w:vAlign w:val="center"/>
            <w:hideMark/>
          </w:tcPr>
          <w:p w:rsidR="009B199C" w:rsidRDefault="009B199C">
            <w:pPr>
              <w:jc w:val="center"/>
              <w:rPr>
                <w:lang w:val="en-US"/>
              </w:rPr>
            </w:pPr>
            <w:r>
              <w:rPr>
                <w:lang w:val="en-US"/>
              </w:rPr>
              <w:t>≤ 3</w:t>
            </w:r>
          </w:p>
        </w:tc>
        <w:tc>
          <w:tcPr>
            <w:tcW w:w="771" w:type="dxa"/>
            <w:vAlign w:val="center"/>
            <w:hideMark/>
          </w:tcPr>
          <w:p w:rsidR="009B199C" w:rsidRDefault="009B199C">
            <w:pPr>
              <w:jc w:val="center"/>
              <w:rPr>
                <w:lang w:val="en-US"/>
              </w:rPr>
            </w:pPr>
            <w:r>
              <w:rPr>
                <w:lang w:val="en-US"/>
              </w:rPr>
              <w:t>0,38</w:t>
            </w:r>
          </w:p>
        </w:tc>
        <w:tc>
          <w:tcPr>
            <w:tcW w:w="771" w:type="dxa"/>
            <w:gridSpan w:val="2"/>
            <w:vAlign w:val="center"/>
            <w:hideMark/>
          </w:tcPr>
          <w:p w:rsidR="009B199C" w:rsidRDefault="009B199C">
            <w:pPr>
              <w:jc w:val="center"/>
              <w:rPr>
                <w:lang w:val="en-US"/>
              </w:rPr>
            </w:pPr>
            <w:r>
              <w:rPr>
                <w:lang w:val="en-US"/>
              </w:rPr>
              <w:t>0,8</w:t>
            </w:r>
          </w:p>
        </w:tc>
        <w:tc>
          <w:tcPr>
            <w:tcW w:w="775" w:type="dxa"/>
            <w:vAlign w:val="center"/>
            <w:hideMark/>
          </w:tcPr>
          <w:p w:rsidR="009B199C" w:rsidRDefault="009B199C">
            <w:pPr>
              <w:jc w:val="center"/>
              <w:rPr>
                <w:lang w:val="en-US"/>
              </w:rPr>
            </w:pPr>
            <w:r>
              <w:rPr>
                <w:lang w:val="en-US"/>
              </w:rPr>
              <w:t>1,2</w:t>
            </w:r>
          </w:p>
        </w:tc>
      </w:tr>
      <w:tr w:rsidR="009B199C" w:rsidTr="000C222F">
        <w:trPr>
          <w:trHeight w:val="232"/>
        </w:trPr>
        <w:tc>
          <w:tcPr>
            <w:tcW w:w="1667" w:type="dxa"/>
            <w:vAlign w:val="center"/>
            <w:hideMark/>
          </w:tcPr>
          <w:p w:rsidR="009B199C" w:rsidRDefault="009B199C">
            <w:pPr>
              <w:rPr>
                <w:i/>
                <w:lang w:val="en-US"/>
              </w:rPr>
            </w:pPr>
            <w:proofErr w:type="spellStart"/>
            <w:r>
              <w:rPr>
                <w:lang w:val="en-US"/>
              </w:rPr>
              <w:t>Energi</w:t>
            </w:r>
            <w:proofErr w:type="spellEnd"/>
            <w:r>
              <w:rPr>
                <w:lang w:val="en-US"/>
              </w:rPr>
              <w:t xml:space="preserve"> [kcal/kg/d]</w:t>
            </w:r>
          </w:p>
        </w:tc>
        <w:tc>
          <w:tcPr>
            <w:tcW w:w="1158" w:type="dxa"/>
            <w:vAlign w:val="center"/>
          </w:tcPr>
          <w:p w:rsidR="009B199C" w:rsidRDefault="009B199C">
            <w:pPr>
              <w:jc w:val="center"/>
              <w:rPr>
                <w:lang w:val="en-US"/>
              </w:rPr>
            </w:pPr>
          </w:p>
        </w:tc>
        <w:tc>
          <w:tcPr>
            <w:tcW w:w="2190" w:type="dxa"/>
            <w:gridSpan w:val="3"/>
            <w:vAlign w:val="center"/>
          </w:tcPr>
          <w:p w:rsidR="009B199C" w:rsidRDefault="009B199C">
            <w:pPr>
              <w:jc w:val="center"/>
              <w:rPr>
                <w:lang w:val="en-US"/>
              </w:rPr>
            </w:pPr>
          </w:p>
        </w:tc>
        <w:tc>
          <w:tcPr>
            <w:tcW w:w="1156" w:type="dxa"/>
            <w:vAlign w:val="center"/>
          </w:tcPr>
          <w:p w:rsidR="009B199C" w:rsidRDefault="009B199C">
            <w:pPr>
              <w:jc w:val="center"/>
              <w:rPr>
                <w:lang w:val="en-US"/>
              </w:rPr>
            </w:pPr>
          </w:p>
        </w:tc>
        <w:tc>
          <w:tcPr>
            <w:tcW w:w="2317" w:type="dxa"/>
            <w:gridSpan w:val="4"/>
            <w:vAlign w:val="center"/>
          </w:tcPr>
          <w:p w:rsidR="009B199C" w:rsidRDefault="009B199C">
            <w:pPr>
              <w:jc w:val="center"/>
              <w:rPr>
                <w:lang w:val="en-US"/>
              </w:rPr>
            </w:pPr>
          </w:p>
        </w:tc>
      </w:tr>
      <w:tr w:rsidR="009B199C" w:rsidTr="000C222F">
        <w:trPr>
          <w:trHeight w:val="232"/>
        </w:trPr>
        <w:tc>
          <w:tcPr>
            <w:tcW w:w="1667" w:type="dxa"/>
            <w:vAlign w:val="center"/>
            <w:hideMark/>
          </w:tcPr>
          <w:p w:rsidR="009B199C" w:rsidRDefault="009B199C">
            <w:pPr>
              <w:jc w:val="right"/>
              <w:rPr>
                <w:i/>
                <w:lang w:val="en-US"/>
              </w:rPr>
            </w:pPr>
            <w:proofErr w:type="spellStart"/>
            <w:r>
              <w:rPr>
                <w:i/>
                <w:lang w:val="en-US"/>
              </w:rPr>
              <w:t>Akut</w:t>
            </w:r>
            <w:proofErr w:type="spellEnd"/>
            <w:r>
              <w:rPr>
                <w:i/>
                <w:lang w:val="en-US"/>
              </w:rPr>
              <w:t xml:space="preserve"> </w:t>
            </w:r>
            <w:proofErr w:type="spellStart"/>
            <w:r>
              <w:rPr>
                <w:i/>
                <w:lang w:val="en-US"/>
              </w:rPr>
              <w:t>fase</w:t>
            </w:r>
            <w:proofErr w:type="spellEnd"/>
          </w:p>
        </w:tc>
        <w:tc>
          <w:tcPr>
            <w:tcW w:w="1158" w:type="dxa"/>
            <w:vAlign w:val="center"/>
            <w:hideMark/>
          </w:tcPr>
          <w:p w:rsidR="009B199C" w:rsidRDefault="009B199C">
            <w:pPr>
              <w:jc w:val="center"/>
              <w:rPr>
                <w:lang w:val="en-US"/>
              </w:rPr>
            </w:pPr>
            <w:r>
              <w:rPr>
                <w:i/>
                <w:lang w:val="en-US"/>
              </w:rPr>
              <w:t>30 - 45</w:t>
            </w:r>
          </w:p>
        </w:tc>
        <w:tc>
          <w:tcPr>
            <w:tcW w:w="647" w:type="dxa"/>
            <w:vAlign w:val="center"/>
            <w:hideMark/>
          </w:tcPr>
          <w:p w:rsidR="009B199C" w:rsidRDefault="009B199C">
            <w:pPr>
              <w:jc w:val="center"/>
              <w:rPr>
                <w:lang w:val="en-US"/>
              </w:rPr>
            </w:pPr>
            <w:r>
              <w:rPr>
                <w:lang w:val="en-US"/>
              </w:rPr>
              <w:t>29,5</w:t>
            </w:r>
          </w:p>
        </w:tc>
        <w:tc>
          <w:tcPr>
            <w:tcW w:w="1543" w:type="dxa"/>
            <w:gridSpan w:val="2"/>
            <w:vAlign w:val="center"/>
            <w:hideMark/>
          </w:tcPr>
          <w:p w:rsidR="009B199C" w:rsidRDefault="009B199C">
            <w:pPr>
              <w:jc w:val="center"/>
              <w:rPr>
                <w:lang w:val="en-US"/>
              </w:rPr>
            </w:pPr>
            <w:r>
              <w:rPr>
                <w:lang w:val="en-US"/>
              </w:rPr>
              <w:t>-</w:t>
            </w:r>
          </w:p>
        </w:tc>
        <w:tc>
          <w:tcPr>
            <w:tcW w:w="1156" w:type="dxa"/>
            <w:vAlign w:val="center"/>
            <w:hideMark/>
          </w:tcPr>
          <w:p w:rsidR="009B199C" w:rsidRDefault="009B199C">
            <w:pPr>
              <w:jc w:val="center"/>
              <w:rPr>
                <w:lang w:val="en-US"/>
              </w:rPr>
            </w:pPr>
            <w:r>
              <w:rPr>
                <w:i/>
                <w:lang w:val="en-US"/>
              </w:rPr>
              <w:t>20 - 30</w:t>
            </w:r>
          </w:p>
        </w:tc>
        <w:tc>
          <w:tcPr>
            <w:tcW w:w="771" w:type="dxa"/>
            <w:vAlign w:val="center"/>
            <w:hideMark/>
          </w:tcPr>
          <w:p w:rsidR="009B199C" w:rsidRDefault="009B199C">
            <w:pPr>
              <w:jc w:val="center"/>
              <w:rPr>
                <w:lang w:val="en-US"/>
              </w:rPr>
            </w:pPr>
            <w:r>
              <w:rPr>
                <w:lang w:val="en-US"/>
              </w:rPr>
              <w:t>11,2</w:t>
            </w:r>
          </w:p>
        </w:tc>
        <w:tc>
          <w:tcPr>
            <w:tcW w:w="771" w:type="dxa"/>
            <w:gridSpan w:val="2"/>
            <w:vAlign w:val="center"/>
            <w:hideMark/>
          </w:tcPr>
          <w:p w:rsidR="009B199C" w:rsidRDefault="009B199C">
            <w:pPr>
              <w:jc w:val="center"/>
              <w:rPr>
                <w:lang w:val="en-US"/>
              </w:rPr>
            </w:pPr>
            <w:r>
              <w:rPr>
                <w:lang w:val="en-US"/>
              </w:rPr>
              <w:t>-</w:t>
            </w:r>
          </w:p>
        </w:tc>
        <w:tc>
          <w:tcPr>
            <w:tcW w:w="775" w:type="dxa"/>
            <w:vAlign w:val="center"/>
            <w:hideMark/>
          </w:tcPr>
          <w:p w:rsidR="009B199C" w:rsidRDefault="009B199C">
            <w:pPr>
              <w:jc w:val="center"/>
              <w:rPr>
                <w:lang w:val="en-US"/>
              </w:rPr>
            </w:pPr>
            <w:r>
              <w:rPr>
                <w:lang w:val="en-US"/>
              </w:rPr>
              <w:t>-</w:t>
            </w:r>
          </w:p>
        </w:tc>
      </w:tr>
      <w:tr w:rsidR="009B199C" w:rsidTr="000C222F">
        <w:trPr>
          <w:trHeight w:val="245"/>
        </w:trPr>
        <w:tc>
          <w:tcPr>
            <w:tcW w:w="1667" w:type="dxa"/>
            <w:vAlign w:val="center"/>
            <w:hideMark/>
          </w:tcPr>
          <w:p w:rsidR="009B199C" w:rsidRDefault="009B199C">
            <w:pPr>
              <w:jc w:val="right"/>
              <w:rPr>
                <w:i/>
                <w:lang w:val="en-US"/>
              </w:rPr>
            </w:pPr>
            <w:r>
              <w:rPr>
                <w:i/>
                <w:lang w:val="en-US"/>
              </w:rPr>
              <w:t xml:space="preserve">Stabil </w:t>
            </w:r>
            <w:proofErr w:type="spellStart"/>
            <w:r>
              <w:rPr>
                <w:i/>
                <w:lang w:val="en-US"/>
              </w:rPr>
              <w:t>fase</w:t>
            </w:r>
            <w:proofErr w:type="spellEnd"/>
          </w:p>
        </w:tc>
        <w:tc>
          <w:tcPr>
            <w:tcW w:w="1158" w:type="dxa"/>
            <w:vAlign w:val="center"/>
            <w:hideMark/>
          </w:tcPr>
          <w:p w:rsidR="009B199C" w:rsidRDefault="009B199C">
            <w:pPr>
              <w:jc w:val="center"/>
              <w:rPr>
                <w:lang w:val="en-US"/>
              </w:rPr>
            </w:pPr>
            <w:r>
              <w:rPr>
                <w:i/>
                <w:lang w:val="en-US"/>
              </w:rPr>
              <w:t>40 - 60</w:t>
            </w:r>
          </w:p>
        </w:tc>
        <w:tc>
          <w:tcPr>
            <w:tcW w:w="647" w:type="dxa"/>
            <w:vAlign w:val="center"/>
            <w:hideMark/>
          </w:tcPr>
          <w:p w:rsidR="009B199C" w:rsidRDefault="009B199C">
            <w:pPr>
              <w:jc w:val="center"/>
              <w:rPr>
                <w:lang w:val="en-US"/>
              </w:rPr>
            </w:pPr>
            <w:r>
              <w:rPr>
                <w:lang w:val="en-US"/>
              </w:rPr>
              <w:t>-</w:t>
            </w:r>
          </w:p>
        </w:tc>
        <w:tc>
          <w:tcPr>
            <w:tcW w:w="1543" w:type="dxa"/>
            <w:gridSpan w:val="2"/>
            <w:vMerge w:val="restart"/>
            <w:vAlign w:val="center"/>
            <w:hideMark/>
          </w:tcPr>
          <w:p w:rsidR="009B199C" w:rsidRDefault="009B199C">
            <w:pPr>
              <w:jc w:val="center"/>
              <w:rPr>
                <w:lang w:val="en-US"/>
              </w:rPr>
            </w:pPr>
            <w:r>
              <w:rPr>
                <w:lang w:val="en-US"/>
              </w:rPr>
              <w:t>41,9</w:t>
            </w:r>
          </w:p>
        </w:tc>
        <w:tc>
          <w:tcPr>
            <w:tcW w:w="1156" w:type="dxa"/>
            <w:vAlign w:val="center"/>
            <w:hideMark/>
          </w:tcPr>
          <w:p w:rsidR="009B199C" w:rsidRDefault="009B199C">
            <w:pPr>
              <w:jc w:val="center"/>
              <w:rPr>
                <w:lang w:val="en-US"/>
              </w:rPr>
            </w:pPr>
            <w:r>
              <w:rPr>
                <w:i/>
                <w:lang w:val="en-US"/>
              </w:rPr>
              <w:t>25 - 40</w:t>
            </w:r>
          </w:p>
        </w:tc>
        <w:tc>
          <w:tcPr>
            <w:tcW w:w="771" w:type="dxa"/>
            <w:vAlign w:val="center"/>
            <w:hideMark/>
          </w:tcPr>
          <w:p w:rsidR="009B199C" w:rsidRDefault="009B199C">
            <w:pPr>
              <w:jc w:val="center"/>
              <w:rPr>
                <w:lang w:val="en-US"/>
              </w:rPr>
            </w:pPr>
            <w:r>
              <w:rPr>
                <w:lang w:val="en-US"/>
              </w:rPr>
              <w:t>-</w:t>
            </w:r>
          </w:p>
        </w:tc>
        <w:tc>
          <w:tcPr>
            <w:tcW w:w="771" w:type="dxa"/>
            <w:gridSpan w:val="2"/>
            <w:vAlign w:val="center"/>
            <w:hideMark/>
          </w:tcPr>
          <w:p w:rsidR="009B199C" w:rsidRDefault="009B199C">
            <w:pPr>
              <w:jc w:val="center"/>
              <w:rPr>
                <w:lang w:val="en-US"/>
              </w:rPr>
            </w:pPr>
            <w:r>
              <w:rPr>
                <w:lang w:val="en-US"/>
              </w:rPr>
              <w:t>23,6</w:t>
            </w:r>
          </w:p>
        </w:tc>
        <w:tc>
          <w:tcPr>
            <w:tcW w:w="775" w:type="dxa"/>
            <w:vAlign w:val="center"/>
            <w:hideMark/>
          </w:tcPr>
          <w:p w:rsidR="009B199C" w:rsidRDefault="009B199C">
            <w:pPr>
              <w:jc w:val="center"/>
              <w:rPr>
                <w:lang w:val="en-US"/>
              </w:rPr>
            </w:pPr>
            <w:r>
              <w:rPr>
                <w:lang w:val="en-US"/>
              </w:rPr>
              <w:t>-</w:t>
            </w:r>
          </w:p>
        </w:tc>
      </w:tr>
      <w:tr w:rsidR="009B199C" w:rsidTr="000C222F">
        <w:trPr>
          <w:trHeight w:val="232"/>
        </w:trPr>
        <w:tc>
          <w:tcPr>
            <w:tcW w:w="1667" w:type="dxa"/>
            <w:vAlign w:val="center"/>
            <w:hideMark/>
          </w:tcPr>
          <w:p w:rsidR="009B199C" w:rsidRDefault="009B199C">
            <w:pPr>
              <w:jc w:val="right"/>
              <w:rPr>
                <w:i/>
                <w:lang w:val="en-US"/>
              </w:rPr>
            </w:pPr>
            <w:proofErr w:type="spellStart"/>
            <w:r>
              <w:rPr>
                <w:i/>
                <w:lang w:val="en-US"/>
              </w:rPr>
              <w:t>Restitu</w:t>
            </w:r>
            <w:proofErr w:type="spellEnd"/>
            <w:r>
              <w:rPr>
                <w:i/>
                <w:lang w:val="en-US"/>
              </w:rPr>
              <w:t xml:space="preserve">. </w:t>
            </w:r>
            <w:proofErr w:type="spellStart"/>
            <w:r>
              <w:rPr>
                <w:i/>
                <w:lang w:val="en-US"/>
              </w:rPr>
              <w:t>fase</w:t>
            </w:r>
            <w:proofErr w:type="spellEnd"/>
          </w:p>
        </w:tc>
        <w:tc>
          <w:tcPr>
            <w:tcW w:w="1158" w:type="dxa"/>
            <w:vAlign w:val="center"/>
            <w:hideMark/>
          </w:tcPr>
          <w:p w:rsidR="009B199C" w:rsidRDefault="009B199C">
            <w:pPr>
              <w:jc w:val="center"/>
              <w:rPr>
                <w:lang w:val="en-US"/>
              </w:rPr>
            </w:pPr>
            <w:r>
              <w:rPr>
                <w:i/>
                <w:lang w:val="en-US"/>
              </w:rPr>
              <w:t>55 - 75</w:t>
            </w:r>
          </w:p>
        </w:tc>
        <w:tc>
          <w:tcPr>
            <w:tcW w:w="647" w:type="dxa"/>
            <w:vAlign w:val="center"/>
            <w:hideMark/>
          </w:tcPr>
          <w:p w:rsidR="009B199C" w:rsidRDefault="009B199C">
            <w:pPr>
              <w:jc w:val="center"/>
              <w:rPr>
                <w:lang w:val="en-US"/>
              </w:rPr>
            </w:pPr>
            <w:r>
              <w:rPr>
                <w:lang w:val="en-US"/>
              </w:rPr>
              <w:t>-</w:t>
            </w:r>
          </w:p>
        </w:tc>
        <w:tc>
          <w:tcPr>
            <w:tcW w:w="1543" w:type="dxa"/>
            <w:gridSpan w:val="2"/>
            <w:vMerge/>
            <w:vAlign w:val="center"/>
            <w:hideMark/>
          </w:tcPr>
          <w:p w:rsidR="009B199C" w:rsidRDefault="009B199C">
            <w:pPr>
              <w:rPr>
                <w:lang w:val="en-US" w:eastAsia="fr-LU"/>
              </w:rPr>
            </w:pPr>
          </w:p>
        </w:tc>
        <w:tc>
          <w:tcPr>
            <w:tcW w:w="1156" w:type="dxa"/>
            <w:vAlign w:val="center"/>
            <w:hideMark/>
          </w:tcPr>
          <w:p w:rsidR="009B199C" w:rsidRDefault="009B199C">
            <w:pPr>
              <w:jc w:val="center"/>
              <w:rPr>
                <w:lang w:val="en-US"/>
              </w:rPr>
            </w:pPr>
            <w:r>
              <w:rPr>
                <w:i/>
                <w:lang w:val="en-US"/>
              </w:rPr>
              <w:t>30 - 55</w:t>
            </w:r>
          </w:p>
        </w:tc>
        <w:tc>
          <w:tcPr>
            <w:tcW w:w="771" w:type="dxa"/>
            <w:vAlign w:val="center"/>
            <w:hideMark/>
          </w:tcPr>
          <w:p w:rsidR="009B199C" w:rsidRDefault="009B199C">
            <w:pPr>
              <w:jc w:val="center"/>
              <w:rPr>
                <w:lang w:val="en-US"/>
              </w:rPr>
            </w:pPr>
            <w:r>
              <w:rPr>
                <w:lang w:val="en-US"/>
              </w:rPr>
              <w:t>-</w:t>
            </w:r>
          </w:p>
        </w:tc>
        <w:tc>
          <w:tcPr>
            <w:tcW w:w="771" w:type="dxa"/>
            <w:gridSpan w:val="2"/>
            <w:vAlign w:val="center"/>
            <w:hideMark/>
          </w:tcPr>
          <w:p w:rsidR="009B199C" w:rsidRDefault="009B199C">
            <w:pPr>
              <w:jc w:val="center"/>
              <w:rPr>
                <w:lang w:val="en-US"/>
              </w:rPr>
            </w:pPr>
            <w:r>
              <w:rPr>
                <w:lang w:val="en-US"/>
              </w:rPr>
              <w:t>-</w:t>
            </w:r>
          </w:p>
        </w:tc>
        <w:tc>
          <w:tcPr>
            <w:tcW w:w="775" w:type="dxa"/>
            <w:vAlign w:val="center"/>
            <w:hideMark/>
          </w:tcPr>
          <w:p w:rsidR="009B199C" w:rsidRDefault="009B199C">
            <w:pPr>
              <w:jc w:val="center"/>
              <w:rPr>
                <w:lang w:val="en-US"/>
              </w:rPr>
            </w:pPr>
            <w:r>
              <w:rPr>
                <w:lang w:val="en-US"/>
              </w:rPr>
              <w:t>35,4</w:t>
            </w:r>
          </w:p>
        </w:tc>
      </w:tr>
      <w:tr w:rsidR="009B199C" w:rsidTr="000C222F">
        <w:trPr>
          <w:trHeight w:val="1924"/>
        </w:trPr>
        <w:tc>
          <w:tcPr>
            <w:tcW w:w="8488" w:type="dxa"/>
            <w:gridSpan w:val="10"/>
            <w:tcBorders>
              <w:top w:val="single" w:sz="12" w:space="0" w:color="auto"/>
              <w:left w:val="nil"/>
              <w:bottom w:val="nil"/>
              <w:right w:val="nil"/>
            </w:tcBorders>
            <w:vAlign w:val="center"/>
          </w:tcPr>
          <w:p w:rsidR="009B199C" w:rsidRPr="000C222F" w:rsidRDefault="009B199C">
            <w:pPr>
              <w:rPr>
                <w:sz w:val="24"/>
                <w:lang w:val="fr-LU"/>
              </w:rPr>
            </w:pPr>
            <w:r w:rsidRPr="000C222F">
              <w:rPr>
                <w:sz w:val="24"/>
              </w:rPr>
              <w:t xml:space="preserve">Akutfase = genoplivningsfase, når patienten kræver vital organstøtte (sedation, mekanisk ventilation, </w:t>
            </w:r>
            <w:proofErr w:type="spellStart"/>
            <w:r w:rsidRPr="000C222F">
              <w:rPr>
                <w:sz w:val="24"/>
              </w:rPr>
              <w:t>vasopressorer</w:t>
            </w:r>
            <w:proofErr w:type="spellEnd"/>
            <w:r w:rsidRPr="000C222F">
              <w:rPr>
                <w:sz w:val="24"/>
              </w:rPr>
              <w:t>, væskegenoplivning); Stabilfase = patienten er stabil eller kan afvænnes fra ovennævnte vitale støtte; Restitutionsfase = når patienten er mobil.</w:t>
            </w:r>
          </w:p>
          <w:p w:rsidR="009B199C" w:rsidRPr="000C222F" w:rsidRDefault="009B199C">
            <w:pPr>
              <w:rPr>
                <w:sz w:val="24"/>
              </w:rPr>
            </w:pPr>
            <w:r w:rsidRPr="000C222F">
              <w:rPr>
                <w:sz w:val="24"/>
                <w:vertAlign w:val="superscript"/>
              </w:rPr>
              <w:t xml:space="preserve">1) </w:t>
            </w:r>
            <w:r w:rsidRPr="000C222F">
              <w:rPr>
                <w:sz w:val="24"/>
              </w:rPr>
              <w:t xml:space="preserve">For at forhindre mangel på essentielle fedtsyrer (EFA) kan der gives en dosering af lipidemulsion med et minimum indtag af linolsyre (LA) på 0,1 g/kg/dag, hvilket også giver et tilstrækkeligt indtag af </w:t>
            </w:r>
            <w:proofErr w:type="spellStart"/>
            <w:r w:rsidRPr="000C222F">
              <w:rPr>
                <w:sz w:val="24"/>
              </w:rPr>
              <w:t>linolensyre</w:t>
            </w:r>
            <w:proofErr w:type="spellEnd"/>
            <w:r w:rsidRPr="000C222F">
              <w:rPr>
                <w:sz w:val="24"/>
              </w:rPr>
              <w:t xml:space="preserve"> (ALA) med alle de lipidemulsioner på 20 %, der i øjeblikket er registreret til pædiatrisk brug (</w:t>
            </w:r>
            <w:proofErr w:type="spellStart"/>
            <w:r w:rsidRPr="000C222F">
              <w:rPr>
                <w:sz w:val="24"/>
              </w:rPr>
              <w:t>Lapillonne</w:t>
            </w:r>
            <w:proofErr w:type="spellEnd"/>
            <w:r w:rsidRPr="000C222F">
              <w:rPr>
                <w:sz w:val="24"/>
              </w:rPr>
              <w:t xml:space="preserve"> et al. 2018).</w:t>
            </w:r>
          </w:p>
          <w:p w:rsidR="009B199C" w:rsidRDefault="009B199C"/>
        </w:tc>
      </w:tr>
    </w:tbl>
    <w:p w:rsidR="009B199C" w:rsidRPr="009B199C" w:rsidRDefault="009B199C" w:rsidP="009B199C">
      <w:pPr>
        <w:rPr>
          <w:color w:val="000000"/>
          <w:sz w:val="20"/>
          <w:lang w:eastAsia="fr-LU"/>
        </w:rPr>
      </w:pPr>
    </w:p>
    <w:p w:rsidR="009B199C" w:rsidRPr="000C222F" w:rsidRDefault="009B199C" w:rsidP="000C222F">
      <w:pPr>
        <w:ind w:left="851"/>
        <w:rPr>
          <w:sz w:val="24"/>
          <w:szCs w:val="24"/>
        </w:rPr>
      </w:pPr>
      <w:r w:rsidRPr="000C222F">
        <w:rPr>
          <w:color w:val="000000"/>
          <w:sz w:val="24"/>
          <w:szCs w:val="24"/>
        </w:rPr>
        <w:lastRenderedPageBreak/>
        <w:t>Det kan være nødvendigt, at børn starter ernæringsbehandlingen med halvdelen af måldoseringen. Doseringen skal øges trinvist til den maksimale dosis under hensyntagen til den individuelle metaboliske kapacitet.</w:t>
      </w:r>
    </w:p>
    <w:p w:rsidR="009B199C" w:rsidRPr="000C222F" w:rsidRDefault="009B199C" w:rsidP="000C222F">
      <w:pPr>
        <w:pStyle w:val="Brdtekstindrykning"/>
        <w:tabs>
          <w:tab w:val="clear" w:pos="851"/>
          <w:tab w:val="left" w:pos="1304"/>
        </w:tabs>
        <w:jc w:val="left"/>
        <w:rPr>
          <w:rFonts w:ascii="Times New Roman" w:hAnsi="Times New Roman"/>
          <w:iCs/>
          <w:szCs w:val="24"/>
        </w:rPr>
      </w:pPr>
    </w:p>
    <w:p w:rsidR="009B199C" w:rsidRPr="000C222F" w:rsidRDefault="009B199C" w:rsidP="000C222F">
      <w:pPr>
        <w:ind w:left="851"/>
        <w:rPr>
          <w:color w:val="000000"/>
          <w:sz w:val="24"/>
          <w:szCs w:val="24"/>
          <w:u w:val="single"/>
        </w:rPr>
      </w:pPr>
      <w:r w:rsidRPr="000C222F">
        <w:rPr>
          <w:color w:val="000000"/>
          <w:sz w:val="24"/>
          <w:szCs w:val="24"/>
          <w:u w:val="single"/>
        </w:rPr>
        <w:t>Maksimal infusionshastighed</w:t>
      </w:r>
    </w:p>
    <w:p w:rsidR="009B199C" w:rsidRPr="000C222F" w:rsidRDefault="009B199C" w:rsidP="000C222F">
      <w:pPr>
        <w:ind w:left="851"/>
        <w:rPr>
          <w:sz w:val="24"/>
          <w:szCs w:val="24"/>
        </w:rPr>
      </w:pPr>
      <w:r w:rsidRPr="000C222F">
        <w:rPr>
          <w:sz w:val="24"/>
          <w:szCs w:val="24"/>
        </w:rPr>
        <w:t>Ifølge de pædiatriske retningslinjer afhænger den maksimale infusionshastighed ikke kun af alder, men også af den pædiatriske patients helbredstilstand (akut-, stabil- og restitutionsfase).</w:t>
      </w:r>
    </w:p>
    <w:p w:rsidR="009B199C" w:rsidRPr="000C222F" w:rsidRDefault="009B199C" w:rsidP="000C222F">
      <w:pPr>
        <w:ind w:left="851"/>
        <w:rPr>
          <w:sz w:val="24"/>
          <w:szCs w:val="24"/>
        </w:rPr>
      </w:pPr>
      <w:r w:rsidRPr="000C222F">
        <w:rPr>
          <w:sz w:val="24"/>
          <w:szCs w:val="24"/>
        </w:rPr>
        <w:t xml:space="preserve">For </w:t>
      </w:r>
      <w:proofErr w:type="spellStart"/>
      <w:r w:rsidRPr="000C222F">
        <w:rPr>
          <w:sz w:val="24"/>
          <w:szCs w:val="24"/>
        </w:rPr>
        <w:t>Nutriflex</w:t>
      </w:r>
      <w:proofErr w:type="spellEnd"/>
      <w:r w:rsidRPr="000C222F">
        <w:rPr>
          <w:sz w:val="24"/>
          <w:szCs w:val="24"/>
        </w:rPr>
        <w:t xml:space="preserve"> Omega Special elektrolytfri er </w:t>
      </w:r>
      <w:proofErr w:type="spellStart"/>
      <w:r w:rsidRPr="000C222F">
        <w:rPr>
          <w:sz w:val="24"/>
          <w:szCs w:val="24"/>
        </w:rPr>
        <w:t>glucoseinfusionshastigheden</w:t>
      </w:r>
      <w:proofErr w:type="spellEnd"/>
      <w:r w:rsidRPr="000C222F">
        <w:rPr>
          <w:sz w:val="24"/>
          <w:szCs w:val="24"/>
        </w:rPr>
        <w:t xml:space="preserve"> den begrænsende faktor for begge pædiatriske aldersgrupper ved alle medicinske tilstande.</w:t>
      </w:r>
    </w:p>
    <w:p w:rsidR="009B199C" w:rsidRPr="000C222F" w:rsidRDefault="009B199C" w:rsidP="000C222F">
      <w:pPr>
        <w:ind w:left="851"/>
        <w:rPr>
          <w:sz w:val="24"/>
          <w:szCs w:val="24"/>
          <w:lang w:val="fr-LU"/>
        </w:rPr>
      </w:pPr>
      <w:r w:rsidRPr="000C222F">
        <w:rPr>
          <w:sz w:val="24"/>
          <w:szCs w:val="24"/>
        </w:rPr>
        <w:t>De resulterende maksimale infusionshastigheder pr. time er angivet i nedenstående tabel.</w:t>
      </w:r>
    </w:p>
    <w:p w:rsidR="009B199C" w:rsidRPr="009B199C" w:rsidRDefault="009B199C" w:rsidP="009B199C">
      <w:pPr>
        <w:pStyle w:val="Brdtekstindrykning"/>
        <w:tabs>
          <w:tab w:val="clear" w:pos="851"/>
          <w:tab w:val="left" w:pos="1304"/>
        </w:tabs>
        <w:ind w:left="0"/>
        <w:jc w:val="left"/>
        <w:rPr>
          <w:rFonts w:ascii="Times New Roman" w:hAnsi="Times New Roman"/>
          <w:iCs/>
          <w:sz w:val="20"/>
        </w:rPr>
      </w:pPr>
    </w:p>
    <w:tbl>
      <w:tblPr>
        <w:tblW w:w="8488" w:type="dxa"/>
        <w:tblInd w:w="791" w:type="dxa"/>
        <w:tblLayout w:type="fixed"/>
        <w:tblCellMar>
          <w:top w:w="57" w:type="dxa"/>
          <w:left w:w="57" w:type="dxa"/>
          <w:bottom w:w="57" w:type="dxa"/>
          <w:right w:w="57" w:type="dxa"/>
        </w:tblCellMar>
        <w:tblLook w:val="04A0" w:firstRow="1" w:lastRow="0" w:firstColumn="1" w:lastColumn="0" w:noHBand="0" w:noVBand="1"/>
      </w:tblPr>
      <w:tblGrid>
        <w:gridCol w:w="1669"/>
        <w:gridCol w:w="1159"/>
        <w:gridCol w:w="644"/>
        <w:gridCol w:w="772"/>
        <w:gridCol w:w="773"/>
        <w:gridCol w:w="1158"/>
        <w:gridCol w:w="773"/>
        <w:gridCol w:w="644"/>
        <w:gridCol w:w="896"/>
      </w:tblGrid>
      <w:tr w:rsidR="009B199C" w:rsidTr="000C222F">
        <w:trPr>
          <w:trHeight w:val="302"/>
        </w:trPr>
        <w:tc>
          <w:tcPr>
            <w:tcW w:w="1669" w:type="dxa"/>
          </w:tcPr>
          <w:p w:rsidR="009B199C" w:rsidRPr="009B199C" w:rsidRDefault="009B199C">
            <w:pPr>
              <w:jc w:val="both"/>
              <w:rPr>
                <w:sz w:val="20"/>
              </w:rPr>
            </w:pPr>
          </w:p>
        </w:tc>
        <w:tc>
          <w:tcPr>
            <w:tcW w:w="3348" w:type="dxa"/>
            <w:gridSpan w:val="4"/>
            <w:vAlign w:val="center"/>
            <w:hideMark/>
          </w:tcPr>
          <w:p w:rsidR="009B199C" w:rsidRDefault="009B199C">
            <w:pPr>
              <w:jc w:val="center"/>
              <w:rPr>
                <w:lang w:val="en-US"/>
              </w:rPr>
            </w:pPr>
            <w:r>
              <w:t xml:space="preserve">2 til </w:t>
            </w:r>
            <w:r>
              <w:rPr>
                <w:rFonts w:eastAsia="Calibri"/>
              </w:rPr>
              <w:t xml:space="preserve">≤ </w:t>
            </w:r>
            <w:r>
              <w:t>12 år</w:t>
            </w:r>
          </w:p>
        </w:tc>
        <w:tc>
          <w:tcPr>
            <w:tcW w:w="3471" w:type="dxa"/>
            <w:gridSpan w:val="4"/>
            <w:vAlign w:val="center"/>
            <w:hideMark/>
          </w:tcPr>
          <w:p w:rsidR="009B199C" w:rsidRDefault="009B199C">
            <w:pPr>
              <w:jc w:val="center"/>
              <w:rPr>
                <w:lang w:val="en-US"/>
              </w:rPr>
            </w:pPr>
            <w:r>
              <w:t>12 til 18 år</w:t>
            </w:r>
          </w:p>
        </w:tc>
      </w:tr>
      <w:tr w:rsidR="009B199C" w:rsidTr="000C222F">
        <w:trPr>
          <w:trHeight w:val="568"/>
        </w:trPr>
        <w:tc>
          <w:tcPr>
            <w:tcW w:w="1669" w:type="dxa"/>
          </w:tcPr>
          <w:p w:rsidR="009B199C" w:rsidRDefault="009B199C">
            <w:pPr>
              <w:jc w:val="both"/>
              <w:rPr>
                <w:lang w:val="en-US"/>
              </w:rPr>
            </w:pPr>
          </w:p>
        </w:tc>
        <w:tc>
          <w:tcPr>
            <w:tcW w:w="1159" w:type="dxa"/>
            <w:hideMark/>
          </w:tcPr>
          <w:p w:rsidR="009B199C" w:rsidRDefault="009B199C">
            <w:pPr>
              <w:jc w:val="center"/>
              <w:rPr>
                <w:lang w:val="en-US"/>
              </w:rPr>
            </w:pPr>
            <w:proofErr w:type="spellStart"/>
            <w:r>
              <w:rPr>
                <w:lang w:val="en-US"/>
              </w:rPr>
              <w:t>Anbefalet</w:t>
            </w:r>
            <w:proofErr w:type="spellEnd"/>
          </w:p>
        </w:tc>
        <w:tc>
          <w:tcPr>
            <w:tcW w:w="2189" w:type="dxa"/>
            <w:gridSpan w:val="3"/>
            <w:hideMark/>
          </w:tcPr>
          <w:p w:rsidR="009B199C" w:rsidRDefault="009B199C">
            <w:pPr>
              <w:jc w:val="center"/>
              <w:rPr>
                <w:lang w:val="fr-LU"/>
              </w:rPr>
            </w:pPr>
            <w:proofErr w:type="spellStart"/>
            <w:r>
              <w:rPr>
                <w:lang w:val="en-US"/>
              </w:rPr>
              <w:t>Nutriflex</w:t>
            </w:r>
            <w:proofErr w:type="spellEnd"/>
            <w:r>
              <w:rPr>
                <w:lang w:val="en-US"/>
              </w:rPr>
              <w:t xml:space="preserve"> Omega Special </w:t>
            </w:r>
            <w:r>
              <w:t>elektrolytfri</w:t>
            </w:r>
          </w:p>
        </w:tc>
        <w:tc>
          <w:tcPr>
            <w:tcW w:w="1158" w:type="dxa"/>
            <w:hideMark/>
          </w:tcPr>
          <w:p w:rsidR="009B199C" w:rsidRDefault="009B199C">
            <w:pPr>
              <w:jc w:val="center"/>
              <w:rPr>
                <w:lang w:val="en-US"/>
              </w:rPr>
            </w:pPr>
            <w:proofErr w:type="spellStart"/>
            <w:r>
              <w:rPr>
                <w:lang w:val="en-US"/>
              </w:rPr>
              <w:t>Anbefalet</w:t>
            </w:r>
            <w:proofErr w:type="spellEnd"/>
          </w:p>
        </w:tc>
        <w:tc>
          <w:tcPr>
            <w:tcW w:w="2312" w:type="dxa"/>
            <w:gridSpan w:val="3"/>
            <w:vAlign w:val="center"/>
            <w:hideMark/>
          </w:tcPr>
          <w:p w:rsidR="009B199C" w:rsidRDefault="009B199C">
            <w:pPr>
              <w:jc w:val="center"/>
              <w:rPr>
                <w:lang w:val="fr-LU"/>
              </w:rPr>
            </w:pPr>
            <w:proofErr w:type="spellStart"/>
            <w:r>
              <w:rPr>
                <w:lang w:val="en-US"/>
              </w:rPr>
              <w:t>Nutriflex</w:t>
            </w:r>
            <w:proofErr w:type="spellEnd"/>
            <w:r>
              <w:rPr>
                <w:lang w:val="en-US"/>
              </w:rPr>
              <w:t xml:space="preserve"> Omega Special </w:t>
            </w:r>
            <w:r>
              <w:t>elektrolytfri</w:t>
            </w:r>
          </w:p>
        </w:tc>
      </w:tr>
      <w:tr w:rsidR="009B199C" w:rsidTr="000C222F">
        <w:trPr>
          <w:trHeight w:val="568"/>
        </w:trPr>
        <w:tc>
          <w:tcPr>
            <w:tcW w:w="1669" w:type="dxa"/>
          </w:tcPr>
          <w:p w:rsidR="009B199C" w:rsidRDefault="009B199C">
            <w:pPr>
              <w:jc w:val="both"/>
            </w:pPr>
          </w:p>
        </w:tc>
        <w:tc>
          <w:tcPr>
            <w:tcW w:w="1159" w:type="dxa"/>
          </w:tcPr>
          <w:p w:rsidR="009B199C" w:rsidRDefault="009B199C">
            <w:pPr>
              <w:jc w:val="center"/>
            </w:pPr>
          </w:p>
        </w:tc>
        <w:tc>
          <w:tcPr>
            <w:tcW w:w="644" w:type="dxa"/>
            <w:vAlign w:val="center"/>
            <w:hideMark/>
          </w:tcPr>
          <w:p w:rsidR="009B199C" w:rsidRDefault="009B199C">
            <w:pPr>
              <w:jc w:val="center"/>
              <w:rPr>
                <w:lang w:val="en-US"/>
              </w:rPr>
            </w:pPr>
            <w:proofErr w:type="spellStart"/>
            <w:r>
              <w:rPr>
                <w:b/>
                <w:lang w:val="en-US"/>
              </w:rPr>
              <w:t>Akut</w:t>
            </w:r>
            <w:proofErr w:type="spellEnd"/>
            <w:r>
              <w:rPr>
                <w:b/>
                <w:lang w:val="en-US"/>
              </w:rPr>
              <w:t xml:space="preserve"> </w:t>
            </w:r>
            <w:proofErr w:type="spellStart"/>
            <w:r>
              <w:rPr>
                <w:b/>
                <w:lang w:val="en-US"/>
              </w:rPr>
              <w:t>fase</w:t>
            </w:r>
            <w:proofErr w:type="spellEnd"/>
          </w:p>
        </w:tc>
        <w:tc>
          <w:tcPr>
            <w:tcW w:w="772" w:type="dxa"/>
            <w:vAlign w:val="center"/>
            <w:hideMark/>
          </w:tcPr>
          <w:p w:rsidR="009B199C" w:rsidRDefault="009B199C">
            <w:pPr>
              <w:tabs>
                <w:tab w:val="left" w:pos="0"/>
              </w:tabs>
              <w:jc w:val="center"/>
              <w:rPr>
                <w:b/>
                <w:lang w:val="en-US"/>
              </w:rPr>
            </w:pPr>
            <w:r>
              <w:rPr>
                <w:b/>
                <w:lang w:val="en-US"/>
              </w:rPr>
              <w:t>Stabil</w:t>
            </w:r>
          </w:p>
          <w:p w:rsidR="009B199C" w:rsidRDefault="009B199C">
            <w:pPr>
              <w:jc w:val="center"/>
              <w:rPr>
                <w:lang w:val="en-US"/>
              </w:rPr>
            </w:pPr>
            <w:proofErr w:type="spellStart"/>
            <w:r>
              <w:rPr>
                <w:b/>
                <w:lang w:val="en-US"/>
              </w:rPr>
              <w:t>fase</w:t>
            </w:r>
            <w:proofErr w:type="spellEnd"/>
          </w:p>
        </w:tc>
        <w:tc>
          <w:tcPr>
            <w:tcW w:w="773" w:type="dxa"/>
            <w:vAlign w:val="center"/>
            <w:hideMark/>
          </w:tcPr>
          <w:p w:rsidR="009B199C" w:rsidRDefault="009B199C">
            <w:pPr>
              <w:jc w:val="center"/>
              <w:rPr>
                <w:lang w:val="en-US"/>
              </w:rPr>
            </w:pPr>
            <w:proofErr w:type="spellStart"/>
            <w:r>
              <w:rPr>
                <w:b/>
                <w:lang w:val="en-US"/>
              </w:rPr>
              <w:t>Restitu</w:t>
            </w:r>
            <w:proofErr w:type="spellEnd"/>
            <w:r>
              <w:rPr>
                <w:b/>
                <w:lang w:val="en-US"/>
              </w:rPr>
              <w:t xml:space="preserve">. </w:t>
            </w:r>
            <w:proofErr w:type="spellStart"/>
            <w:r>
              <w:rPr>
                <w:b/>
                <w:lang w:val="en-US"/>
              </w:rPr>
              <w:t>fase</w:t>
            </w:r>
            <w:proofErr w:type="spellEnd"/>
          </w:p>
        </w:tc>
        <w:tc>
          <w:tcPr>
            <w:tcW w:w="1158" w:type="dxa"/>
          </w:tcPr>
          <w:p w:rsidR="009B199C" w:rsidRDefault="009B199C">
            <w:pPr>
              <w:jc w:val="center"/>
              <w:rPr>
                <w:lang w:val="en-US"/>
              </w:rPr>
            </w:pPr>
          </w:p>
        </w:tc>
        <w:tc>
          <w:tcPr>
            <w:tcW w:w="773" w:type="dxa"/>
            <w:vAlign w:val="center"/>
            <w:hideMark/>
          </w:tcPr>
          <w:p w:rsidR="009B199C" w:rsidRDefault="009B199C">
            <w:pPr>
              <w:jc w:val="center"/>
              <w:rPr>
                <w:lang w:val="en-US"/>
              </w:rPr>
            </w:pPr>
            <w:proofErr w:type="spellStart"/>
            <w:r>
              <w:rPr>
                <w:b/>
                <w:lang w:val="en-US"/>
              </w:rPr>
              <w:t>Akut</w:t>
            </w:r>
            <w:proofErr w:type="spellEnd"/>
            <w:r>
              <w:rPr>
                <w:b/>
                <w:lang w:val="en-US"/>
              </w:rPr>
              <w:t xml:space="preserve"> </w:t>
            </w:r>
            <w:proofErr w:type="spellStart"/>
            <w:r>
              <w:rPr>
                <w:b/>
                <w:lang w:val="en-US"/>
              </w:rPr>
              <w:t>fase</w:t>
            </w:r>
            <w:proofErr w:type="spellEnd"/>
          </w:p>
        </w:tc>
        <w:tc>
          <w:tcPr>
            <w:tcW w:w="644" w:type="dxa"/>
            <w:vAlign w:val="center"/>
            <w:hideMark/>
          </w:tcPr>
          <w:p w:rsidR="009B199C" w:rsidRDefault="009B199C">
            <w:pPr>
              <w:tabs>
                <w:tab w:val="left" w:pos="0"/>
              </w:tabs>
              <w:jc w:val="center"/>
              <w:rPr>
                <w:b/>
                <w:lang w:val="en-US"/>
              </w:rPr>
            </w:pPr>
            <w:r>
              <w:rPr>
                <w:b/>
                <w:lang w:val="en-US"/>
              </w:rPr>
              <w:t>Stabil</w:t>
            </w:r>
          </w:p>
          <w:p w:rsidR="009B199C" w:rsidRDefault="009B199C">
            <w:pPr>
              <w:jc w:val="center"/>
              <w:rPr>
                <w:lang w:val="en-US"/>
              </w:rPr>
            </w:pPr>
            <w:proofErr w:type="spellStart"/>
            <w:r>
              <w:rPr>
                <w:b/>
                <w:lang w:val="en-US"/>
              </w:rPr>
              <w:t>fase</w:t>
            </w:r>
            <w:proofErr w:type="spellEnd"/>
          </w:p>
        </w:tc>
        <w:tc>
          <w:tcPr>
            <w:tcW w:w="895" w:type="dxa"/>
            <w:vAlign w:val="center"/>
            <w:hideMark/>
          </w:tcPr>
          <w:p w:rsidR="009B199C" w:rsidRDefault="009B199C">
            <w:pPr>
              <w:jc w:val="center"/>
              <w:rPr>
                <w:lang w:val="en-US"/>
              </w:rPr>
            </w:pPr>
            <w:proofErr w:type="spellStart"/>
            <w:r>
              <w:rPr>
                <w:b/>
                <w:lang w:val="en-US"/>
              </w:rPr>
              <w:t>Restitu</w:t>
            </w:r>
            <w:proofErr w:type="spellEnd"/>
            <w:r>
              <w:rPr>
                <w:b/>
                <w:lang w:val="en-US"/>
              </w:rPr>
              <w:t xml:space="preserve">. </w:t>
            </w:r>
            <w:proofErr w:type="spellStart"/>
            <w:r>
              <w:rPr>
                <w:b/>
                <w:lang w:val="en-US"/>
              </w:rPr>
              <w:t>fase</w:t>
            </w:r>
            <w:proofErr w:type="spellEnd"/>
          </w:p>
        </w:tc>
      </w:tr>
      <w:tr w:rsidR="009B199C" w:rsidTr="000C222F">
        <w:trPr>
          <w:trHeight w:val="869"/>
        </w:trPr>
        <w:tc>
          <w:tcPr>
            <w:tcW w:w="1669" w:type="dxa"/>
            <w:hideMark/>
          </w:tcPr>
          <w:p w:rsidR="009B199C" w:rsidRDefault="009B199C">
            <w:pPr>
              <w:rPr>
                <w:b/>
              </w:rPr>
            </w:pPr>
            <w:r>
              <w:rPr>
                <w:b/>
              </w:rPr>
              <w:t xml:space="preserve">Maksimal </w:t>
            </w:r>
          </w:p>
          <w:p w:rsidR="009B199C" w:rsidRDefault="009B199C">
            <w:pPr>
              <w:rPr>
                <w:b/>
              </w:rPr>
            </w:pPr>
            <w:r>
              <w:rPr>
                <w:b/>
              </w:rPr>
              <w:t>infusionshastighed [ml/kg/t]</w:t>
            </w:r>
          </w:p>
        </w:tc>
        <w:tc>
          <w:tcPr>
            <w:tcW w:w="1159" w:type="dxa"/>
          </w:tcPr>
          <w:p w:rsidR="009B199C" w:rsidRDefault="009B199C">
            <w:pPr>
              <w:jc w:val="center"/>
            </w:pPr>
          </w:p>
        </w:tc>
        <w:tc>
          <w:tcPr>
            <w:tcW w:w="644" w:type="dxa"/>
            <w:vAlign w:val="center"/>
            <w:hideMark/>
          </w:tcPr>
          <w:p w:rsidR="009B199C" w:rsidRDefault="009B199C">
            <w:pPr>
              <w:jc w:val="center"/>
              <w:rPr>
                <w:b/>
                <w:lang w:val="en-US"/>
              </w:rPr>
            </w:pPr>
            <w:r>
              <w:rPr>
                <w:b/>
                <w:lang w:val="en-US"/>
              </w:rPr>
              <w:t>0,63</w:t>
            </w:r>
          </w:p>
        </w:tc>
        <w:tc>
          <w:tcPr>
            <w:tcW w:w="772" w:type="dxa"/>
            <w:vAlign w:val="center"/>
            <w:hideMark/>
          </w:tcPr>
          <w:p w:rsidR="009B199C" w:rsidRDefault="009B199C">
            <w:pPr>
              <w:jc w:val="center"/>
              <w:rPr>
                <w:b/>
                <w:lang w:val="en-US"/>
              </w:rPr>
            </w:pPr>
            <w:r>
              <w:rPr>
                <w:b/>
                <w:lang w:val="en-US"/>
              </w:rPr>
              <w:t>1,25</w:t>
            </w:r>
          </w:p>
        </w:tc>
        <w:tc>
          <w:tcPr>
            <w:tcW w:w="773" w:type="dxa"/>
            <w:vAlign w:val="center"/>
            <w:hideMark/>
          </w:tcPr>
          <w:p w:rsidR="009B199C" w:rsidRDefault="009B199C">
            <w:pPr>
              <w:jc w:val="center"/>
              <w:rPr>
                <w:b/>
                <w:lang w:val="en-US"/>
              </w:rPr>
            </w:pPr>
            <w:r>
              <w:rPr>
                <w:b/>
                <w:lang w:val="en-US"/>
              </w:rPr>
              <w:t>1,67</w:t>
            </w:r>
          </w:p>
        </w:tc>
        <w:tc>
          <w:tcPr>
            <w:tcW w:w="1158" w:type="dxa"/>
            <w:vAlign w:val="center"/>
          </w:tcPr>
          <w:p w:rsidR="009B199C" w:rsidRDefault="009B199C">
            <w:pPr>
              <w:jc w:val="center"/>
              <w:rPr>
                <w:b/>
                <w:lang w:val="en-US"/>
              </w:rPr>
            </w:pPr>
          </w:p>
        </w:tc>
        <w:tc>
          <w:tcPr>
            <w:tcW w:w="773" w:type="dxa"/>
            <w:vAlign w:val="center"/>
            <w:hideMark/>
          </w:tcPr>
          <w:p w:rsidR="009B199C" w:rsidRDefault="009B199C">
            <w:pPr>
              <w:jc w:val="center"/>
              <w:rPr>
                <w:b/>
                <w:lang w:val="en-US"/>
              </w:rPr>
            </w:pPr>
            <w:r>
              <w:rPr>
                <w:b/>
                <w:lang w:val="en-US"/>
              </w:rPr>
              <w:t>0,42</w:t>
            </w:r>
          </w:p>
        </w:tc>
        <w:tc>
          <w:tcPr>
            <w:tcW w:w="644" w:type="dxa"/>
            <w:vAlign w:val="center"/>
            <w:hideMark/>
          </w:tcPr>
          <w:p w:rsidR="009B199C" w:rsidRDefault="009B199C">
            <w:pPr>
              <w:jc w:val="center"/>
              <w:rPr>
                <w:b/>
                <w:lang w:val="en-US"/>
              </w:rPr>
            </w:pPr>
            <w:r>
              <w:rPr>
                <w:b/>
                <w:lang w:val="en-US"/>
              </w:rPr>
              <w:t>0,83</w:t>
            </w:r>
          </w:p>
        </w:tc>
        <w:tc>
          <w:tcPr>
            <w:tcW w:w="895" w:type="dxa"/>
            <w:vAlign w:val="center"/>
            <w:hideMark/>
          </w:tcPr>
          <w:p w:rsidR="009B199C" w:rsidRDefault="009B199C">
            <w:pPr>
              <w:jc w:val="center"/>
              <w:rPr>
                <w:b/>
                <w:lang w:val="en-US"/>
              </w:rPr>
            </w:pPr>
            <w:r>
              <w:rPr>
                <w:b/>
                <w:lang w:val="en-US"/>
              </w:rPr>
              <w:t>1,25</w:t>
            </w:r>
          </w:p>
        </w:tc>
      </w:tr>
      <w:tr w:rsidR="009B199C" w:rsidTr="000C222F">
        <w:trPr>
          <w:trHeight w:val="284"/>
        </w:trPr>
        <w:tc>
          <w:tcPr>
            <w:tcW w:w="1669" w:type="dxa"/>
            <w:tcBorders>
              <w:top w:val="nil"/>
              <w:left w:val="nil"/>
              <w:bottom w:val="single" w:sz="12" w:space="0" w:color="auto"/>
              <w:right w:val="nil"/>
            </w:tcBorders>
          </w:tcPr>
          <w:p w:rsidR="009B199C" w:rsidRDefault="009B199C">
            <w:pPr>
              <w:jc w:val="both"/>
              <w:rPr>
                <w:lang w:val="en-US"/>
              </w:rPr>
            </w:pPr>
          </w:p>
        </w:tc>
        <w:tc>
          <w:tcPr>
            <w:tcW w:w="1159" w:type="dxa"/>
            <w:tcBorders>
              <w:top w:val="nil"/>
              <w:left w:val="nil"/>
              <w:bottom w:val="single" w:sz="12" w:space="0" w:color="auto"/>
              <w:right w:val="nil"/>
            </w:tcBorders>
          </w:tcPr>
          <w:p w:rsidR="009B199C" w:rsidRDefault="009B199C">
            <w:pPr>
              <w:jc w:val="center"/>
              <w:rPr>
                <w:lang w:val="en-US"/>
              </w:rPr>
            </w:pPr>
          </w:p>
        </w:tc>
        <w:tc>
          <w:tcPr>
            <w:tcW w:w="2189" w:type="dxa"/>
            <w:gridSpan w:val="3"/>
            <w:tcBorders>
              <w:top w:val="nil"/>
              <w:left w:val="nil"/>
              <w:bottom w:val="single" w:sz="12" w:space="0" w:color="auto"/>
              <w:right w:val="nil"/>
            </w:tcBorders>
            <w:vAlign w:val="center"/>
            <w:hideMark/>
          </w:tcPr>
          <w:p w:rsidR="009B199C" w:rsidRDefault="009B199C">
            <w:pPr>
              <w:jc w:val="center"/>
              <w:rPr>
                <w:lang w:val="en-US"/>
              </w:rPr>
            </w:pPr>
            <w:proofErr w:type="spellStart"/>
            <w:r>
              <w:rPr>
                <w:lang w:val="en-US"/>
              </w:rPr>
              <w:t>svarende</w:t>
            </w:r>
            <w:proofErr w:type="spellEnd"/>
            <w:r>
              <w:rPr>
                <w:lang w:val="en-US"/>
              </w:rPr>
              <w:t xml:space="preserve"> </w:t>
            </w:r>
            <w:proofErr w:type="spellStart"/>
            <w:r>
              <w:rPr>
                <w:lang w:val="en-US"/>
              </w:rPr>
              <w:t>til</w:t>
            </w:r>
            <w:proofErr w:type="spellEnd"/>
          </w:p>
        </w:tc>
        <w:tc>
          <w:tcPr>
            <w:tcW w:w="1158" w:type="dxa"/>
            <w:tcBorders>
              <w:top w:val="nil"/>
              <w:left w:val="nil"/>
              <w:bottom w:val="single" w:sz="12" w:space="0" w:color="auto"/>
              <w:right w:val="nil"/>
            </w:tcBorders>
          </w:tcPr>
          <w:p w:rsidR="009B199C" w:rsidRDefault="009B199C">
            <w:pPr>
              <w:jc w:val="center"/>
              <w:rPr>
                <w:lang w:val="en-US"/>
              </w:rPr>
            </w:pPr>
          </w:p>
        </w:tc>
        <w:tc>
          <w:tcPr>
            <w:tcW w:w="2312" w:type="dxa"/>
            <w:gridSpan w:val="3"/>
            <w:tcBorders>
              <w:top w:val="nil"/>
              <w:left w:val="nil"/>
              <w:bottom w:val="single" w:sz="12" w:space="0" w:color="auto"/>
              <w:right w:val="nil"/>
            </w:tcBorders>
            <w:vAlign w:val="center"/>
            <w:hideMark/>
          </w:tcPr>
          <w:p w:rsidR="009B199C" w:rsidRDefault="009B199C">
            <w:pPr>
              <w:jc w:val="center"/>
              <w:rPr>
                <w:lang w:val="en-US"/>
              </w:rPr>
            </w:pPr>
            <w:proofErr w:type="spellStart"/>
            <w:r>
              <w:rPr>
                <w:lang w:val="en-US"/>
              </w:rPr>
              <w:t>svarende</w:t>
            </w:r>
            <w:proofErr w:type="spellEnd"/>
            <w:r>
              <w:rPr>
                <w:lang w:val="en-US"/>
              </w:rPr>
              <w:t xml:space="preserve"> </w:t>
            </w:r>
            <w:proofErr w:type="spellStart"/>
            <w:r>
              <w:rPr>
                <w:lang w:val="en-US"/>
              </w:rPr>
              <w:t>til</w:t>
            </w:r>
            <w:proofErr w:type="spellEnd"/>
          </w:p>
        </w:tc>
      </w:tr>
      <w:tr w:rsidR="009B199C" w:rsidTr="000C222F">
        <w:trPr>
          <w:trHeight w:val="568"/>
        </w:trPr>
        <w:tc>
          <w:tcPr>
            <w:tcW w:w="1669" w:type="dxa"/>
            <w:tcBorders>
              <w:top w:val="single" w:sz="12" w:space="0" w:color="auto"/>
              <w:left w:val="nil"/>
              <w:bottom w:val="nil"/>
              <w:right w:val="nil"/>
            </w:tcBorders>
            <w:hideMark/>
          </w:tcPr>
          <w:p w:rsidR="009B199C" w:rsidRDefault="009B199C">
            <w:pPr>
              <w:jc w:val="both"/>
              <w:rPr>
                <w:lang w:val="pt-PT"/>
              </w:rPr>
            </w:pPr>
            <w:r>
              <w:rPr>
                <w:lang w:val="pt-PT"/>
              </w:rPr>
              <w:t>Aminosyrer [g/kg/t]</w:t>
            </w:r>
          </w:p>
        </w:tc>
        <w:tc>
          <w:tcPr>
            <w:tcW w:w="1159" w:type="dxa"/>
            <w:tcBorders>
              <w:top w:val="single" w:sz="12" w:space="0" w:color="auto"/>
              <w:left w:val="nil"/>
              <w:bottom w:val="nil"/>
              <w:right w:val="nil"/>
            </w:tcBorders>
            <w:vAlign w:val="center"/>
            <w:hideMark/>
          </w:tcPr>
          <w:p w:rsidR="009B199C" w:rsidRDefault="009B199C">
            <w:pPr>
              <w:jc w:val="center"/>
              <w:rPr>
                <w:lang w:val="en-US"/>
              </w:rPr>
            </w:pPr>
            <w:r>
              <w:rPr>
                <w:lang w:val="en-US"/>
              </w:rPr>
              <w:t>≤ 0,1</w:t>
            </w:r>
          </w:p>
        </w:tc>
        <w:tc>
          <w:tcPr>
            <w:tcW w:w="644" w:type="dxa"/>
            <w:tcBorders>
              <w:top w:val="single" w:sz="12" w:space="0" w:color="auto"/>
              <w:left w:val="nil"/>
              <w:bottom w:val="nil"/>
              <w:right w:val="nil"/>
            </w:tcBorders>
            <w:vAlign w:val="center"/>
            <w:hideMark/>
          </w:tcPr>
          <w:p w:rsidR="009B199C" w:rsidRDefault="009B199C">
            <w:pPr>
              <w:jc w:val="center"/>
              <w:rPr>
                <w:lang w:val="en-US"/>
              </w:rPr>
            </w:pPr>
            <w:r>
              <w:rPr>
                <w:lang w:val="en-US"/>
              </w:rPr>
              <w:t>0,035</w:t>
            </w:r>
          </w:p>
        </w:tc>
        <w:tc>
          <w:tcPr>
            <w:tcW w:w="772" w:type="dxa"/>
            <w:tcBorders>
              <w:top w:val="single" w:sz="12" w:space="0" w:color="auto"/>
              <w:left w:val="nil"/>
              <w:bottom w:val="nil"/>
              <w:right w:val="nil"/>
            </w:tcBorders>
            <w:vAlign w:val="center"/>
            <w:hideMark/>
          </w:tcPr>
          <w:p w:rsidR="009B199C" w:rsidRDefault="009B199C">
            <w:pPr>
              <w:jc w:val="center"/>
              <w:rPr>
                <w:lang w:val="en-US"/>
              </w:rPr>
            </w:pPr>
            <w:r>
              <w:rPr>
                <w:lang w:val="en-US"/>
              </w:rPr>
              <w:t>0,07</w:t>
            </w:r>
          </w:p>
        </w:tc>
        <w:tc>
          <w:tcPr>
            <w:tcW w:w="773" w:type="dxa"/>
            <w:tcBorders>
              <w:top w:val="single" w:sz="12" w:space="0" w:color="auto"/>
              <w:left w:val="nil"/>
              <w:bottom w:val="nil"/>
              <w:right w:val="nil"/>
            </w:tcBorders>
            <w:vAlign w:val="center"/>
            <w:hideMark/>
          </w:tcPr>
          <w:p w:rsidR="009B199C" w:rsidRDefault="009B199C">
            <w:pPr>
              <w:jc w:val="center"/>
              <w:rPr>
                <w:lang w:val="en-US"/>
              </w:rPr>
            </w:pPr>
            <w:r>
              <w:rPr>
                <w:lang w:val="en-US"/>
              </w:rPr>
              <w:t>0,094</w:t>
            </w:r>
          </w:p>
        </w:tc>
        <w:tc>
          <w:tcPr>
            <w:tcW w:w="1158" w:type="dxa"/>
            <w:tcBorders>
              <w:top w:val="single" w:sz="12" w:space="0" w:color="auto"/>
              <w:left w:val="nil"/>
              <w:bottom w:val="nil"/>
              <w:right w:val="nil"/>
            </w:tcBorders>
            <w:vAlign w:val="center"/>
            <w:hideMark/>
          </w:tcPr>
          <w:p w:rsidR="009B199C" w:rsidRDefault="009B199C">
            <w:pPr>
              <w:jc w:val="center"/>
              <w:rPr>
                <w:lang w:val="en-US"/>
              </w:rPr>
            </w:pPr>
            <w:r>
              <w:rPr>
                <w:lang w:val="en-US"/>
              </w:rPr>
              <w:t>≤ 0,1</w:t>
            </w:r>
          </w:p>
        </w:tc>
        <w:tc>
          <w:tcPr>
            <w:tcW w:w="773" w:type="dxa"/>
            <w:tcBorders>
              <w:top w:val="single" w:sz="12" w:space="0" w:color="auto"/>
              <w:left w:val="nil"/>
              <w:bottom w:val="nil"/>
              <w:right w:val="nil"/>
            </w:tcBorders>
            <w:vAlign w:val="center"/>
            <w:hideMark/>
          </w:tcPr>
          <w:p w:rsidR="009B199C" w:rsidRDefault="009B199C">
            <w:pPr>
              <w:jc w:val="center"/>
              <w:rPr>
                <w:lang w:val="en-US"/>
              </w:rPr>
            </w:pPr>
            <w:r>
              <w:rPr>
                <w:lang w:val="en-US"/>
              </w:rPr>
              <w:t>0,024</w:t>
            </w:r>
          </w:p>
        </w:tc>
        <w:tc>
          <w:tcPr>
            <w:tcW w:w="644" w:type="dxa"/>
            <w:tcBorders>
              <w:top w:val="single" w:sz="12" w:space="0" w:color="auto"/>
              <w:left w:val="nil"/>
              <w:bottom w:val="nil"/>
              <w:right w:val="nil"/>
            </w:tcBorders>
            <w:vAlign w:val="center"/>
            <w:hideMark/>
          </w:tcPr>
          <w:p w:rsidR="009B199C" w:rsidRDefault="009B199C">
            <w:pPr>
              <w:jc w:val="center"/>
              <w:rPr>
                <w:lang w:val="en-US"/>
              </w:rPr>
            </w:pPr>
            <w:r>
              <w:rPr>
                <w:lang w:val="en-US"/>
              </w:rPr>
              <w:t>0,046</w:t>
            </w:r>
          </w:p>
        </w:tc>
        <w:tc>
          <w:tcPr>
            <w:tcW w:w="895" w:type="dxa"/>
            <w:tcBorders>
              <w:top w:val="single" w:sz="12" w:space="0" w:color="auto"/>
              <w:left w:val="nil"/>
              <w:bottom w:val="nil"/>
              <w:right w:val="nil"/>
            </w:tcBorders>
            <w:vAlign w:val="center"/>
            <w:hideMark/>
          </w:tcPr>
          <w:p w:rsidR="009B199C" w:rsidRDefault="009B199C">
            <w:pPr>
              <w:jc w:val="center"/>
              <w:rPr>
                <w:lang w:val="en-US"/>
              </w:rPr>
            </w:pPr>
            <w:r>
              <w:rPr>
                <w:lang w:val="en-US"/>
              </w:rPr>
              <w:t>0,07</w:t>
            </w:r>
          </w:p>
        </w:tc>
      </w:tr>
      <w:tr w:rsidR="009B199C" w:rsidTr="000C222F">
        <w:trPr>
          <w:trHeight w:val="302"/>
        </w:trPr>
        <w:tc>
          <w:tcPr>
            <w:tcW w:w="1669" w:type="dxa"/>
            <w:hideMark/>
          </w:tcPr>
          <w:p w:rsidR="009B199C" w:rsidRDefault="009B199C">
            <w:pPr>
              <w:jc w:val="both"/>
              <w:rPr>
                <w:lang w:val="en-US"/>
              </w:rPr>
            </w:pPr>
            <w:r>
              <w:rPr>
                <w:lang w:val="en-US"/>
              </w:rPr>
              <w:t>Glucose [g/kg/t]</w:t>
            </w:r>
          </w:p>
        </w:tc>
        <w:tc>
          <w:tcPr>
            <w:tcW w:w="1159" w:type="dxa"/>
            <w:vAlign w:val="center"/>
          </w:tcPr>
          <w:p w:rsidR="009B199C" w:rsidRDefault="009B199C">
            <w:pPr>
              <w:jc w:val="center"/>
              <w:rPr>
                <w:lang w:val="en-US"/>
              </w:rPr>
            </w:pPr>
          </w:p>
        </w:tc>
        <w:tc>
          <w:tcPr>
            <w:tcW w:w="644" w:type="dxa"/>
            <w:vAlign w:val="center"/>
          </w:tcPr>
          <w:p w:rsidR="009B199C" w:rsidRDefault="009B199C">
            <w:pPr>
              <w:jc w:val="center"/>
              <w:rPr>
                <w:lang w:val="en-US"/>
              </w:rPr>
            </w:pPr>
          </w:p>
        </w:tc>
        <w:tc>
          <w:tcPr>
            <w:tcW w:w="772" w:type="dxa"/>
            <w:vAlign w:val="center"/>
          </w:tcPr>
          <w:p w:rsidR="009B199C" w:rsidRDefault="009B199C">
            <w:pPr>
              <w:jc w:val="center"/>
              <w:rPr>
                <w:lang w:val="en-US"/>
              </w:rPr>
            </w:pPr>
          </w:p>
        </w:tc>
        <w:tc>
          <w:tcPr>
            <w:tcW w:w="773" w:type="dxa"/>
            <w:vAlign w:val="center"/>
          </w:tcPr>
          <w:p w:rsidR="009B199C" w:rsidRDefault="009B199C">
            <w:pPr>
              <w:jc w:val="center"/>
              <w:rPr>
                <w:lang w:val="en-US"/>
              </w:rPr>
            </w:pPr>
          </w:p>
        </w:tc>
        <w:tc>
          <w:tcPr>
            <w:tcW w:w="1158" w:type="dxa"/>
            <w:vAlign w:val="center"/>
          </w:tcPr>
          <w:p w:rsidR="009B199C" w:rsidRDefault="009B199C">
            <w:pPr>
              <w:jc w:val="center"/>
              <w:rPr>
                <w:lang w:val="en-US"/>
              </w:rPr>
            </w:pPr>
          </w:p>
        </w:tc>
        <w:tc>
          <w:tcPr>
            <w:tcW w:w="773" w:type="dxa"/>
            <w:vAlign w:val="center"/>
          </w:tcPr>
          <w:p w:rsidR="009B199C" w:rsidRDefault="009B199C">
            <w:pPr>
              <w:jc w:val="center"/>
              <w:rPr>
                <w:lang w:val="en-US"/>
              </w:rPr>
            </w:pPr>
          </w:p>
        </w:tc>
        <w:tc>
          <w:tcPr>
            <w:tcW w:w="644" w:type="dxa"/>
            <w:vAlign w:val="center"/>
          </w:tcPr>
          <w:p w:rsidR="009B199C" w:rsidRDefault="009B199C">
            <w:pPr>
              <w:jc w:val="center"/>
              <w:rPr>
                <w:lang w:val="en-US"/>
              </w:rPr>
            </w:pPr>
          </w:p>
        </w:tc>
        <w:tc>
          <w:tcPr>
            <w:tcW w:w="895" w:type="dxa"/>
            <w:vAlign w:val="center"/>
          </w:tcPr>
          <w:p w:rsidR="009B199C" w:rsidRDefault="009B199C">
            <w:pPr>
              <w:jc w:val="center"/>
              <w:rPr>
                <w:lang w:val="en-US"/>
              </w:rPr>
            </w:pPr>
          </w:p>
        </w:tc>
      </w:tr>
      <w:tr w:rsidR="009B199C" w:rsidTr="000C222F">
        <w:trPr>
          <w:trHeight w:val="302"/>
        </w:trPr>
        <w:tc>
          <w:tcPr>
            <w:tcW w:w="1669" w:type="dxa"/>
            <w:vAlign w:val="center"/>
            <w:hideMark/>
          </w:tcPr>
          <w:p w:rsidR="009B199C" w:rsidRDefault="009B199C">
            <w:pPr>
              <w:jc w:val="right"/>
              <w:rPr>
                <w:lang w:val="en-US"/>
              </w:rPr>
            </w:pPr>
            <w:proofErr w:type="spellStart"/>
            <w:r>
              <w:rPr>
                <w:i/>
                <w:lang w:val="en-US"/>
              </w:rPr>
              <w:t>Akut</w:t>
            </w:r>
            <w:proofErr w:type="spellEnd"/>
            <w:r>
              <w:rPr>
                <w:i/>
                <w:lang w:val="en-US"/>
              </w:rPr>
              <w:t xml:space="preserve"> </w:t>
            </w:r>
            <w:proofErr w:type="spellStart"/>
            <w:r>
              <w:rPr>
                <w:i/>
                <w:lang w:val="en-US"/>
              </w:rPr>
              <w:t>fase</w:t>
            </w:r>
            <w:proofErr w:type="spellEnd"/>
          </w:p>
        </w:tc>
        <w:tc>
          <w:tcPr>
            <w:tcW w:w="1159" w:type="dxa"/>
            <w:vAlign w:val="center"/>
            <w:hideMark/>
          </w:tcPr>
          <w:p w:rsidR="009B199C" w:rsidRDefault="009B199C">
            <w:pPr>
              <w:jc w:val="center"/>
              <w:rPr>
                <w:lang w:val="en-US"/>
              </w:rPr>
            </w:pPr>
            <w:r>
              <w:rPr>
                <w:lang w:val="en-US"/>
              </w:rPr>
              <w:t>0,09</w:t>
            </w:r>
          </w:p>
        </w:tc>
        <w:tc>
          <w:tcPr>
            <w:tcW w:w="644" w:type="dxa"/>
            <w:vAlign w:val="center"/>
            <w:hideMark/>
          </w:tcPr>
          <w:p w:rsidR="009B199C" w:rsidRDefault="009B199C">
            <w:pPr>
              <w:jc w:val="center"/>
              <w:rPr>
                <w:lang w:val="en-US"/>
              </w:rPr>
            </w:pPr>
            <w:r>
              <w:rPr>
                <w:lang w:val="en-US"/>
              </w:rPr>
              <w:t>0,09</w:t>
            </w:r>
          </w:p>
        </w:tc>
        <w:tc>
          <w:tcPr>
            <w:tcW w:w="772" w:type="dxa"/>
            <w:vAlign w:val="center"/>
            <w:hideMark/>
          </w:tcPr>
          <w:p w:rsidR="009B199C" w:rsidRDefault="009B199C">
            <w:pPr>
              <w:jc w:val="center"/>
              <w:rPr>
                <w:lang w:val="en-US"/>
              </w:rPr>
            </w:pPr>
            <w:r>
              <w:rPr>
                <w:lang w:val="en-US"/>
              </w:rPr>
              <w:t>-</w:t>
            </w:r>
          </w:p>
        </w:tc>
        <w:tc>
          <w:tcPr>
            <w:tcW w:w="773" w:type="dxa"/>
            <w:vAlign w:val="center"/>
            <w:hideMark/>
          </w:tcPr>
          <w:p w:rsidR="009B199C" w:rsidRDefault="009B199C">
            <w:pPr>
              <w:jc w:val="center"/>
              <w:rPr>
                <w:lang w:val="en-US"/>
              </w:rPr>
            </w:pPr>
            <w:r>
              <w:rPr>
                <w:lang w:val="en-US"/>
              </w:rPr>
              <w:t>-</w:t>
            </w:r>
          </w:p>
        </w:tc>
        <w:tc>
          <w:tcPr>
            <w:tcW w:w="1158" w:type="dxa"/>
            <w:vAlign w:val="center"/>
            <w:hideMark/>
          </w:tcPr>
          <w:p w:rsidR="009B199C" w:rsidRDefault="009B199C">
            <w:pPr>
              <w:jc w:val="center"/>
              <w:rPr>
                <w:lang w:val="en-US"/>
              </w:rPr>
            </w:pPr>
            <w:r>
              <w:rPr>
                <w:lang w:val="en-US"/>
              </w:rPr>
              <w:t>0,03 – 0,06</w:t>
            </w:r>
          </w:p>
        </w:tc>
        <w:tc>
          <w:tcPr>
            <w:tcW w:w="773" w:type="dxa"/>
            <w:vAlign w:val="center"/>
            <w:hideMark/>
          </w:tcPr>
          <w:p w:rsidR="009B199C" w:rsidRDefault="009B199C">
            <w:pPr>
              <w:jc w:val="center"/>
              <w:rPr>
                <w:lang w:val="en-US"/>
              </w:rPr>
            </w:pPr>
            <w:r>
              <w:rPr>
                <w:lang w:val="en-US"/>
              </w:rPr>
              <w:t>0,06</w:t>
            </w:r>
          </w:p>
        </w:tc>
        <w:tc>
          <w:tcPr>
            <w:tcW w:w="644" w:type="dxa"/>
            <w:vAlign w:val="center"/>
            <w:hideMark/>
          </w:tcPr>
          <w:p w:rsidR="009B199C" w:rsidRDefault="009B199C">
            <w:pPr>
              <w:jc w:val="center"/>
              <w:rPr>
                <w:lang w:val="en-US"/>
              </w:rPr>
            </w:pPr>
            <w:r>
              <w:rPr>
                <w:lang w:val="en-US"/>
              </w:rPr>
              <w:t>-</w:t>
            </w:r>
          </w:p>
        </w:tc>
        <w:tc>
          <w:tcPr>
            <w:tcW w:w="895" w:type="dxa"/>
            <w:vAlign w:val="center"/>
            <w:hideMark/>
          </w:tcPr>
          <w:p w:rsidR="009B199C" w:rsidRDefault="009B199C">
            <w:pPr>
              <w:jc w:val="center"/>
              <w:rPr>
                <w:lang w:val="en-US"/>
              </w:rPr>
            </w:pPr>
            <w:r>
              <w:rPr>
                <w:lang w:val="en-US"/>
              </w:rPr>
              <w:t>-</w:t>
            </w:r>
          </w:p>
        </w:tc>
      </w:tr>
      <w:tr w:rsidR="009B199C" w:rsidTr="000C222F">
        <w:trPr>
          <w:trHeight w:val="284"/>
        </w:trPr>
        <w:tc>
          <w:tcPr>
            <w:tcW w:w="1669" w:type="dxa"/>
            <w:vAlign w:val="center"/>
            <w:hideMark/>
          </w:tcPr>
          <w:p w:rsidR="009B199C" w:rsidRDefault="009B199C">
            <w:pPr>
              <w:jc w:val="right"/>
              <w:rPr>
                <w:lang w:val="en-US"/>
              </w:rPr>
            </w:pPr>
            <w:r>
              <w:rPr>
                <w:i/>
                <w:lang w:val="en-US"/>
              </w:rPr>
              <w:t xml:space="preserve">Stabil </w:t>
            </w:r>
            <w:proofErr w:type="spellStart"/>
            <w:r>
              <w:rPr>
                <w:i/>
                <w:lang w:val="en-US"/>
              </w:rPr>
              <w:t>fase</w:t>
            </w:r>
            <w:proofErr w:type="spellEnd"/>
          </w:p>
        </w:tc>
        <w:tc>
          <w:tcPr>
            <w:tcW w:w="1159" w:type="dxa"/>
            <w:vAlign w:val="center"/>
            <w:hideMark/>
          </w:tcPr>
          <w:p w:rsidR="009B199C" w:rsidRDefault="009B199C">
            <w:pPr>
              <w:jc w:val="center"/>
              <w:rPr>
                <w:lang w:val="en-US"/>
              </w:rPr>
            </w:pPr>
            <w:r>
              <w:rPr>
                <w:lang w:val="en-US"/>
              </w:rPr>
              <w:t>0,09 – 0,18</w:t>
            </w:r>
          </w:p>
        </w:tc>
        <w:tc>
          <w:tcPr>
            <w:tcW w:w="644" w:type="dxa"/>
            <w:vAlign w:val="center"/>
            <w:hideMark/>
          </w:tcPr>
          <w:p w:rsidR="009B199C" w:rsidRDefault="009B199C">
            <w:pPr>
              <w:jc w:val="center"/>
              <w:rPr>
                <w:lang w:val="en-US"/>
              </w:rPr>
            </w:pPr>
            <w:r>
              <w:rPr>
                <w:lang w:val="en-US"/>
              </w:rPr>
              <w:t>-</w:t>
            </w:r>
          </w:p>
        </w:tc>
        <w:tc>
          <w:tcPr>
            <w:tcW w:w="772" w:type="dxa"/>
            <w:vAlign w:val="center"/>
            <w:hideMark/>
          </w:tcPr>
          <w:p w:rsidR="009B199C" w:rsidRDefault="009B199C">
            <w:pPr>
              <w:jc w:val="center"/>
              <w:rPr>
                <w:lang w:val="en-US"/>
              </w:rPr>
            </w:pPr>
            <w:r>
              <w:rPr>
                <w:lang w:val="en-US"/>
              </w:rPr>
              <w:t>0,18</w:t>
            </w:r>
          </w:p>
        </w:tc>
        <w:tc>
          <w:tcPr>
            <w:tcW w:w="773" w:type="dxa"/>
            <w:vAlign w:val="center"/>
            <w:hideMark/>
          </w:tcPr>
          <w:p w:rsidR="009B199C" w:rsidRDefault="009B199C">
            <w:pPr>
              <w:jc w:val="center"/>
              <w:rPr>
                <w:lang w:val="en-US"/>
              </w:rPr>
            </w:pPr>
            <w:r>
              <w:rPr>
                <w:lang w:val="en-US"/>
              </w:rPr>
              <w:t>-</w:t>
            </w:r>
          </w:p>
        </w:tc>
        <w:tc>
          <w:tcPr>
            <w:tcW w:w="1158" w:type="dxa"/>
            <w:vAlign w:val="center"/>
            <w:hideMark/>
          </w:tcPr>
          <w:p w:rsidR="009B199C" w:rsidRDefault="009B199C">
            <w:pPr>
              <w:jc w:val="center"/>
              <w:rPr>
                <w:lang w:val="en-US"/>
              </w:rPr>
            </w:pPr>
            <w:r>
              <w:rPr>
                <w:lang w:val="en-US"/>
              </w:rPr>
              <w:t>0,06 – 0,12</w:t>
            </w:r>
          </w:p>
        </w:tc>
        <w:tc>
          <w:tcPr>
            <w:tcW w:w="773" w:type="dxa"/>
            <w:vAlign w:val="center"/>
            <w:hideMark/>
          </w:tcPr>
          <w:p w:rsidR="009B199C" w:rsidRDefault="009B199C">
            <w:pPr>
              <w:jc w:val="center"/>
              <w:rPr>
                <w:lang w:val="en-US"/>
              </w:rPr>
            </w:pPr>
            <w:r>
              <w:rPr>
                <w:lang w:val="en-US"/>
              </w:rPr>
              <w:t>-</w:t>
            </w:r>
          </w:p>
        </w:tc>
        <w:tc>
          <w:tcPr>
            <w:tcW w:w="644" w:type="dxa"/>
            <w:vAlign w:val="center"/>
            <w:hideMark/>
          </w:tcPr>
          <w:p w:rsidR="009B199C" w:rsidRDefault="009B199C">
            <w:pPr>
              <w:jc w:val="center"/>
              <w:rPr>
                <w:lang w:val="en-US"/>
              </w:rPr>
            </w:pPr>
            <w:r>
              <w:rPr>
                <w:lang w:val="en-US"/>
              </w:rPr>
              <w:t>0,12</w:t>
            </w:r>
          </w:p>
        </w:tc>
        <w:tc>
          <w:tcPr>
            <w:tcW w:w="895" w:type="dxa"/>
            <w:vAlign w:val="center"/>
            <w:hideMark/>
          </w:tcPr>
          <w:p w:rsidR="009B199C" w:rsidRDefault="009B199C">
            <w:pPr>
              <w:jc w:val="center"/>
              <w:rPr>
                <w:lang w:val="en-US"/>
              </w:rPr>
            </w:pPr>
            <w:r>
              <w:rPr>
                <w:lang w:val="en-US"/>
              </w:rPr>
              <w:t>-</w:t>
            </w:r>
          </w:p>
        </w:tc>
      </w:tr>
      <w:tr w:rsidR="009B199C" w:rsidTr="000C222F">
        <w:trPr>
          <w:trHeight w:val="302"/>
        </w:trPr>
        <w:tc>
          <w:tcPr>
            <w:tcW w:w="1669" w:type="dxa"/>
            <w:vAlign w:val="center"/>
            <w:hideMark/>
          </w:tcPr>
          <w:p w:rsidR="009B199C" w:rsidRDefault="009B199C">
            <w:pPr>
              <w:jc w:val="right"/>
              <w:rPr>
                <w:lang w:val="en-US"/>
              </w:rPr>
            </w:pPr>
            <w:proofErr w:type="spellStart"/>
            <w:r>
              <w:rPr>
                <w:i/>
                <w:lang w:val="en-US"/>
              </w:rPr>
              <w:t>Restitu</w:t>
            </w:r>
            <w:proofErr w:type="spellEnd"/>
            <w:r>
              <w:rPr>
                <w:i/>
                <w:lang w:val="en-US"/>
              </w:rPr>
              <w:t xml:space="preserve">. </w:t>
            </w:r>
            <w:proofErr w:type="spellStart"/>
            <w:r>
              <w:rPr>
                <w:i/>
                <w:lang w:val="en-US"/>
              </w:rPr>
              <w:t>fase</w:t>
            </w:r>
            <w:proofErr w:type="spellEnd"/>
          </w:p>
        </w:tc>
        <w:tc>
          <w:tcPr>
            <w:tcW w:w="1159" w:type="dxa"/>
            <w:vAlign w:val="center"/>
            <w:hideMark/>
          </w:tcPr>
          <w:p w:rsidR="009B199C" w:rsidRDefault="009B199C">
            <w:pPr>
              <w:jc w:val="center"/>
              <w:rPr>
                <w:lang w:val="en-US"/>
              </w:rPr>
            </w:pPr>
            <w:r>
              <w:rPr>
                <w:lang w:val="en-US"/>
              </w:rPr>
              <w:t>0,18 – 0,24</w:t>
            </w:r>
          </w:p>
        </w:tc>
        <w:tc>
          <w:tcPr>
            <w:tcW w:w="644" w:type="dxa"/>
            <w:vAlign w:val="center"/>
            <w:hideMark/>
          </w:tcPr>
          <w:p w:rsidR="009B199C" w:rsidRDefault="009B199C">
            <w:pPr>
              <w:jc w:val="center"/>
              <w:rPr>
                <w:lang w:val="en-US"/>
              </w:rPr>
            </w:pPr>
            <w:r>
              <w:rPr>
                <w:lang w:val="en-US"/>
              </w:rPr>
              <w:t>-</w:t>
            </w:r>
          </w:p>
        </w:tc>
        <w:tc>
          <w:tcPr>
            <w:tcW w:w="772" w:type="dxa"/>
            <w:vAlign w:val="center"/>
            <w:hideMark/>
          </w:tcPr>
          <w:p w:rsidR="009B199C" w:rsidRDefault="009B199C">
            <w:pPr>
              <w:jc w:val="center"/>
              <w:rPr>
                <w:lang w:val="en-US"/>
              </w:rPr>
            </w:pPr>
            <w:r>
              <w:rPr>
                <w:lang w:val="en-US"/>
              </w:rPr>
              <w:t>-</w:t>
            </w:r>
          </w:p>
        </w:tc>
        <w:tc>
          <w:tcPr>
            <w:tcW w:w="773" w:type="dxa"/>
            <w:vAlign w:val="center"/>
            <w:hideMark/>
          </w:tcPr>
          <w:p w:rsidR="009B199C" w:rsidRDefault="009B199C">
            <w:pPr>
              <w:jc w:val="center"/>
              <w:rPr>
                <w:lang w:val="en-US"/>
              </w:rPr>
            </w:pPr>
            <w:r>
              <w:rPr>
                <w:lang w:val="en-US"/>
              </w:rPr>
              <w:t>0,24</w:t>
            </w:r>
          </w:p>
        </w:tc>
        <w:tc>
          <w:tcPr>
            <w:tcW w:w="1158" w:type="dxa"/>
            <w:vAlign w:val="center"/>
            <w:hideMark/>
          </w:tcPr>
          <w:p w:rsidR="009B199C" w:rsidRDefault="009B199C">
            <w:pPr>
              <w:jc w:val="center"/>
              <w:rPr>
                <w:lang w:val="en-US"/>
              </w:rPr>
            </w:pPr>
            <w:r>
              <w:rPr>
                <w:lang w:val="en-US"/>
              </w:rPr>
              <w:t>0,12 – 0,18</w:t>
            </w:r>
          </w:p>
        </w:tc>
        <w:tc>
          <w:tcPr>
            <w:tcW w:w="773" w:type="dxa"/>
            <w:vAlign w:val="center"/>
            <w:hideMark/>
          </w:tcPr>
          <w:p w:rsidR="009B199C" w:rsidRDefault="009B199C">
            <w:pPr>
              <w:jc w:val="center"/>
              <w:rPr>
                <w:lang w:val="en-US"/>
              </w:rPr>
            </w:pPr>
            <w:r>
              <w:rPr>
                <w:lang w:val="en-US"/>
              </w:rPr>
              <w:t>-</w:t>
            </w:r>
          </w:p>
        </w:tc>
        <w:tc>
          <w:tcPr>
            <w:tcW w:w="644" w:type="dxa"/>
            <w:vAlign w:val="center"/>
            <w:hideMark/>
          </w:tcPr>
          <w:p w:rsidR="009B199C" w:rsidRDefault="009B199C">
            <w:pPr>
              <w:jc w:val="center"/>
              <w:rPr>
                <w:lang w:val="en-US"/>
              </w:rPr>
            </w:pPr>
            <w:r>
              <w:rPr>
                <w:lang w:val="en-US"/>
              </w:rPr>
              <w:t>-</w:t>
            </w:r>
          </w:p>
        </w:tc>
        <w:tc>
          <w:tcPr>
            <w:tcW w:w="895" w:type="dxa"/>
            <w:vAlign w:val="center"/>
            <w:hideMark/>
          </w:tcPr>
          <w:p w:rsidR="009B199C" w:rsidRDefault="009B199C">
            <w:pPr>
              <w:jc w:val="center"/>
              <w:rPr>
                <w:lang w:val="en-US"/>
              </w:rPr>
            </w:pPr>
            <w:r>
              <w:rPr>
                <w:lang w:val="en-US"/>
              </w:rPr>
              <w:t>0,18</w:t>
            </w:r>
          </w:p>
        </w:tc>
      </w:tr>
      <w:tr w:rsidR="009B199C" w:rsidTr="000C222F">
        <w:trPr>
          <w:trHeight w:val="284"/>
        </w:trPr>
        <w:tc>
          <w:tcPr>
            <w:tcW w:w="1669" w:type="dxa"/>
            <w:tcBorders>
              <w:top w:val="nil"/>
              <w:left w:val="nil"/>
              <w:bottom w:val="single" w:sz="12" w:space="0" w:color="auto"/>
              <w:right w:val="nil"/>
            </w:tcBorders>
            <w:vAlign w:val="center"/>
            <w:hideMark/>
          </w:tcPr>
          <w:p w:rsidR="009B199C" w:rsidRDefault="009B199C">
            <w:pPr>
              <w:rPr>
                <w:lang w:val="en-US"/>
              </w:rPr>
            </w:pPr>
            <w:proofErr w:type="spellStart"/>
            <w:r>
              <w:rPr>
                <w:lang w:val="en-US"/>
              </w:rPr>
              <w:t>Lipider</w:t>
            </w:r>
            <w:proofErr w:type="spellEnd"/>
            <w:r>
              <w:rPr>
                <w:lang w:val="en-US"/>
              </w:rPr>
              <w:t xml:space="preserve"> [g/kg/t]</w:t>
            </w:r>
          </w:p>
        </w:tc>
        <w:tc>
          <w:tcPr>
            <w:tcW w:w="1159" w:type="dxa"/>
            <w:tcBorders>
              <w:top w:val="nil"/>
              <w:left w:val="nil"/>
              <w:bottom w:val="single" w:sz="12" w:space="0" w:color="auto"/>
              <w:right w:val="nil"/>
            </w:tcBorders>
            <w:vAlign w:val="center"/>
            <w:hideMark/>
          </w:tcPr>
          <w:p w:rsidR="009B199C" w:rsidRDefault="009B199C">
            <w:pPr>
              <w:jc w:val="center"/>
              <w:rPr>
                <w:lang w:val="en-US"/>
              </w:rPr>
            </w:pPr>
            <w:r>
              <w:rPr>
                <w:lang w:val="en-US"/>
              </w:rPr>
              <w:t>≤ 0,15</w:t>
            </w:r>
          </w:p>
        </w:tc>
        <w:tc>
          <w:tcPr>
            <w:tcW w:w="644" w:type="dxa"/>
            <w:tcBorders>
              <w:top w:val="nil"/>
              <w:left w:val="nil"/>
              <w:bottom w:val="single" w:sz="12" w:space="0" w:color="auto"/>
              <w:right w:val="nil"/>
            </w:tcBorders>
            <w:vAlign w:val="center"/>
            <w:hideMark/>
          </w:tcPr>
          <w:p w:rsidR="009B199C" w:rsidRDefault="009B199C">
            <w:pPr>
              <w:jc w:val="center"/>
              <w:rPr>
                <w:lang w:val="en-US"/>
              </w:rPr>
            </w:pPr>
            <w:r>
              <w:rPr>
                <w:lang w:val="en-US"/>
              </w:rPr>
              <w:t>0,025</w:t>
            </w:r>
          </w:p>
        </w:tc>
        <w:tc>
          <w:tcPr>
            <w:tcW w:w="772" w:type="dxa"/>
            <w:tcBorders>
              <w:top w:val="nil"/>
              <w:left w:val="nil"/>
              <w:bottom w:val="single" w:sz="12" w:space="0" w:color="auto"/>
              <w:right w:val="nil"/>
            </w:tcBorders>
            <w:vAlign w:val="center"/>
            <w:hideMark/>
          </w:tcPr>
          <w:p w:rsidR="009B199C" w:rsidRDefault="009B199C">
            <w:pPr>
              <w:jc w:val="center"/>
              <w:rPr>
                <w:lang w:val="en-US"/>
              </w:rPr>
            </w:pPr>
            <w:r>
              <w:rPr>
                <w:lang w:val="en-US"/>
              </w:rPr>
              <w:t>0,05</w:t>
            </w:r>
          </w:p>
        </w:tc>
        <w:tc>
          <w:tcPr>
            <w:tcW w:w="773" w:type="dxa"/>
            <w:tcBorders>
              <w:top w:val="nil"/>
              <w:left w:val="nil"/>
              <w:bottom w:val="single" w:sz="12" w:space="0" w:color="auto"/>
              <w:right w:val="nil"/>
            </w:tcBorders>
            <w:vAlign w:val="center"/>
            <w:hideMark/>
          </w:tcPr>
          <w:p w:rsidR="009B199C" w:rsidRDefault="009B199C">
            <w:pPr>
              <w:jc w:val="center"/>
              <w:rPr>
                <w:lang w:val="en-US"/>
              </w:rPr>
            </w:pPr>
            <w:r>
              <w:rPr>
                <w:lang w:val="en-US"/>
              </w:rPr>
              <w:t>0,067</w:t>
            </w:r>
          </w:p>
        </w:tc>
        <w:tc>
          <w:tcPr>
            <w:tcW w:w="1158" w:type="dxa"/>
            <w:tcBorders>
              <w:top w:val="nil"/>
              <w:left w:val="nil"/>
              <w:bottom w:val="single" w:sz="12" w:space="0" w:color="auto"/>
              <w:right w:val="nil"/>
            </w:tcBorders>
            <w:vAlign w:val="center"/>
            <w:hideMark/>
          </w:tcPr>
          <w:p w:rsidR="009B199C" w:rsidRDefault="009B199C">
            <w:pPr>
              <w:jc w:val="center"/>
              <w:rPr>
                <w:lang w:val="en-US"/>
              </w:rPr>
            </w:pPr>
            <w:r>
              <w:rPr>
                <w:lang w:val="en-US"/>
              </w:rPr>
              <w:t>≤ 0,15</w:t>
            </w:r>
          </w:p>
        </w:tc>
        <w:tc>
          <w:tcPr>
            <w:tcW w:w="773" w:type="dxa"/>
            <w:tcBorders>
              <w:top w:val="nil"/>
              <w:left w:val="nil"/>
              <w:bottom w:val="single" w:sz="12" w:space="0" w:color="auto"/>
              <w:right w:val="nil"/>
            </w:tcBorders>
            <w:vAlign w:val="center"/>
            <w:hideMark/>
          </w:tcPr>
          <w:p w:rsidR="009B199C" w:rsidRDefault="009B199C">
            <w:pPr>
              <w:jc w:val="center"/>
              <w:rPr>
                <w:lang w:val="en-US"/>
              </w:rPr>
            </w:pPr>
            <w:r>
              <w:rPr>
                <w:lang w:val="en-US"/>
              </w:rPr>
              <w:t>0,017</w:t>
            </w:r>
          </w:p>
        </w:tc>
        <w:tc>
          <w:tcPr>
            <w:tcW w:w="644" w:type="dxa"/>
            <w:tcBorders>
              <w:top w:val="nil"/>
              <w:left w:val="nil"/>
              <w:bottom w:val="single" w:sz="12" w:space="0" w:color="auto"/>
              <w:right w:val="nil"/>
            </w:tcBorders>
            <w:vAlign w:val="center"/>
            <w:hideMark/>
          </w:tcPr>
          <w:p w:rsidR="009B199C" w:rsidRDefault="009B199C">
            <w:pPr>
              <w:jc w:val="center"/>
              <w:rPr>
                <w:lang w:val="en-US"/>
              </w:rPr>
            </w:pPr>
            <w:r>
              <w:rPr>
                <w:lang w:val="en-US"/>
              </w:rPr>
              <w:t>0,033</w:t>
            </w:r>
          </w:p>
        </w:tc>
        <w:tc>
          <w:tcPr>
            <w:tcW w:w="895" w:type="dxa"/>
            <w:tcBorders>
              <w:top w:val="nil"/>
              <w:left w:val="nil"/>
              <w:bottom w:val="single" w:sz="12" w:space="0" w:color="auto"/>
              <w:right w:val="nil"/>
            </w:tcBorders>
            <w:vAlign w:val="center"/>
            <w:hideMark/>
          </w:tcPr>
          <w:p w:rsidR="009B199C" w:rsidRDefault="009B199C">
            <w:pPr>
              <w:jc w:val="center"/>
              <w:rPr>
                <w:lang w:val="en-US"/>
              </w:rPr>
            </w:pPr>
            <w:r>
              <w:rPr>
                <w:lang w:val="en-US"/>
              </w:rPr>
              <w:t>0,05</w:t>
            </w:r>
          </w:p>
        </w:tc>
      </w:tr>
    </w:tbl>
    <w:p w:rsidR="009B199C" w:rsidRPr="009B199C" w:rsidRDefault="009B199C" w:rsidP="009B199C">
      <w:pPr>
        <w:pStyle w:val="Brdtekstindrykning"/>
        <w:tabs>
          <w:tab w:val="clear" w:pos="851"/>
          <w:tab w:val="left" w:pos="1304"/>
        </w:tabs>
        <w:ind w:left="0"/>
        <w:jc w:val="left"/>
        <w:rPr>
          <w:rFonts w:ascii="Times New Roman" w:hAnsi="Times New Roman"/>
          <w:iCs/>
          <w:sz w:val="20"/>
        </w:rPr>
      </w:pPr>
    </w:p>
    <w:p w:rsidR="009B199C" w:rsidRDefault="009B199C" w:rsidP="000C222F">
      <w:pPr>
        <w:pStyle w:val="Brdtekstindrykning"/>
        <w:tabs>
          <w:tab w:val="clear" w:pos="851"/>
          <w:tab w:val="left" w:pos="1304"/>
        </w:tabs>
        <w:jc w:val="left"/>
        <w:rPr>
          <w:rFonts w:ascii="Times New Roman" w:hAnsi="Times New Roman"/>
          <w:i/>
          <w:sz w:val="20"/>
        </w:rPr>
      </w:pPr>
    </w:p>
    <w:p w:rsidR="009B199C" w:rsidRPr="000C222F" w:rsidRDefault="009B199C" w:rsidP="000C222F">
      <w:pPr>
        <w:pStyle w:val="Brdtekstindrykning"/>
        <w:tabs>
          <w:tab w:val="clear" w:pos="851"/>
          <w:tab w:val="left" w:pos="1304"/>
        </w:tabs>
        <w:jc w:val="left"/>
        <w:rPr>
          <w:rFonts w:ascii="Times New Roman" w:hAnsi="Times New Roman"/>
          <w:i/>
          <w:szCs w:val="24"/>
        </w:rPr>
      </w:pPr>
      <w:r w:rsidRPr="000C222F">
        <w:rPr>
          <w:rFonts w:ascii="Times New Roman" w:hAnsi="Times New Roman"/>
          <w:i/>
          <w:szCs w:val="24"/>
        </w:rPr>
        <w:t>Patienter med nedsat nyre-/leverfunktion</w:t>
      </w:r>
    </w:p>
    <w:p w:rsidR="009B199C" w:rsidRPr="000C222F" w:rsidRDefault="009B199C" w:rsidP="000C222F">
      <w:pPr>
        <w:pStyle w:val="Brdtekstindrykning"/>
        <w:tabs>
          <w:tab w:val="clear" w:pos="851"/>
          <w:tab w:val="left" w:pos="1304"/>
        </w:tabs>
        <w:jc w:val="left"/>
        <w:rPr>
          <w:rFonts w:ascii="Times New Roman" w:hAnsi="Times New Roman"/>
          <w:i/>
          <w:szCs w:val="24"/>
        </w:rPr>
      </w:pPr>
      <w:r w:rsidRPr="000C222F">
        <w:rPr>
          <w:rFonts w:ascii="Times New Roman" w:hAnsi="Times New Roman"/>
          <w:szCs w:val="24"/>
        </w:rPr>
        <w:t>Doserne skal justeres individuelt hos patienter med lever- eller nyreinsufficiens (se også pkt. 4.4).</w:t>
      </w:r>
    </w:p>
    <w:p w:rsidR="009B199C" w:rsidRPr="000C222F" w:rsidRDefault="009B199C" w:rsidP="000C222F">
      <w:pPr>
        <w:pStyle w:val="Brdtekstindrykning"/>
        <w:tabs>
          <w:tab w:val="clear" w:pos="851"/>
          <w:tab w:val="left" w:pos="1304"/>
        </w:tabs>
        <w:jc w:val="left"/>
        <w:rPr>
          <w:rFonts w:ascii="Times New Roman" w:hAnsi="Times New Roman"/>
          <w:i/>
          <w:szCs w:val="24"/>
        </w:rPr>
      </w:pPr>
      <w:r w:rsidRPr="000C222F">
        <w:rPr>
          <w:rFonts w:ascii="Times New Roman" w:hAnsi="Times New Roman"/>
          <w:i/>
          <w:szCs w:val="24"/>
        </w:rPr>
        <w:t xml:space="preserve">Patienter med </w:t>
      </w:r>
      <w:proofErr w:type="spellStart"/>
      <w:r w:rsidRPr="000C222F">
        <w:rPr>
          <w:rFonts w:ascii="Times New Roman" w:hAnsi="Times New Roman"/>
          <w:i/>
          <w:szCs w:val="24"/>
        </w:rPr>
        <w:t>intradialytisk</w:t>
      </w:r>
      <w:proofErr w:type="spellEnd"/>
      <w:r w:rsidRPr="000C222F">
        <w:rPr>
          <w:rFonts w:ascii="Times New Roman" w:hAnsi="Times New Roman"/>
          <w:i/>
          <w:szCs w:val="24"/>
        </w:rPr>
        <w:t xml:space="preserve"> parenteral ernæring (IDPN)</w:t>
      </w:r>
    </w:p>
    <w:p w:rsidR="009B199C" w:rsidRPr="000C222F" w:rsidRDefault="009B199C" w:rsidP="000C222F">
      <w:pPr>
        <w:pStyle w:val="Brdtekstindrykning"/>
        <w:tabs>
          <w:tab w:val="clear" w:pos="851"/>
          <w:tab w:val="left" w:pos="1304"/>
        </w:tabs>
        <w:jc w:val="left"/>
        <w:rPr>
          <w:rFonts w:ascii="Times New Roman" w:hAnsi="Times New Roman"/>
          <w:iCs/>
          <w:szCs w:val="24"/>
        </w:rPr>
      </w:pPr>
      <w:proofErr w:type="spellStart"/>
      <w:r w:rsidRPr="000C222F">
        <w:rPr>
          <w:rFonts w:ascii="Times New Roman" w:hAnsi="Times New Roman"/>
          <w:iCs/>
          <w:szCs w:val="24"/>
        </w:rPr>
        <w:t>Intradialytisk</w:t>
      </w:r>
      <w:proofErr w:type="spellEnd"/>
      <w:r w:rsidRPr="000C222F">
        <w:rPr>
          <w:rFonts w:ascii="Times New Roman" w:hAnsi="Times New Roman"/>
          <w:iCs/>
          <w:szCs w:val="24"/>
        </w:rPr>
        <w:t xml:space="preserve"> parenteral ernæring er beregnet til ikke-akut syge underernærede dialysepatienter, hvor ernæringsrådgivning eller behandling med orale kosttilskud har været ineffektiv. Valget af den passende mængde </w:t>
      </w:r>
      <w:proofErr w:type="spellStart"/>
      <w:r w:rsidRPr="000C222F">
        <w:rPr>
          <w:rFonts w:ascii="Times New Roman" w:hAnsi="Times New Roman"/>
          <w:iCs/>
          <w:szCs w:val="24"/>
        </w:rPr>
        <w:t>Nutriflex</w:t>
      </w:r>
      <w:proofErr w:type="spellEnd"/>
      <w:r w:rsidRPr="000C222F">
        <w:rPr>
          <w:rFonts w:ascii="Times New Roman" w:hAnsi="Times New Roman"/>
          <w:iCs/>
          <w:szCs w:val="24"/>
        </w:rPr>
        <w:t xml:space="preserve"> Omega Special elektrolytfri, der skal anvendes til IDPN, bør styres af forskellen mellem det spontane indtag og det anbefalede indtag. Derudover skal metabolisk tolerance tages i betragtning. For patienter på IDPN med </w:t>
      </w:r>
      <w:proofErr w:type="spellStart"/>
      <w:r w:rsidRPr="000C222F">
        <w:rPr>
          <w:rFonts w:ascii="Times New Roman" w:hAnsi="Times New Roman"/>
          <w:iCs/>
          <w:szCs w:val="24"/>
        </w:rPr>
        <w:t>Nutriflex</w:t>
      </w:r>
      <w:proofErr w:type="spellEnd"/>
      <w:r w:rsidRPr="000C222F">
        <w:rPr>
          <w:rFonts w:ascii="Times New Roman" w:hAnsi="Times New Roman"/>
          <w:iCs/>
          <w:szCs w:val="24"/>
        </w:rPr>
        <w:t xml:space="preserve"> Omega Special elektrolytfri, er den maksimale infusionshastighed pr. time 2,3 ml/kg/time, svarende til 0,13 g/kg/time aminosyrer, 0,33 g/kg/time </w:t>
      </w:r>
      <w:proofErr w:type="spellStart"/>
      <w:r w:rsidRPr="000C222F">
        <w:rPr>
          <w:rFonts w:ascii="Times New Roman" w:hAnsi="Times New Roman"/>
          <w:iCs/>
          <w:szCs w:val="24"/>
        </w:rPr>
        <w:t>glucose</w:t>
      </w:r>
      <w:proofErr w:type="spellEnd"/>
      <w:r w:rsidRPr="000C222F">
        <w:rPr>
          <w:rFonts w:ascii="Times New Roman" w:hAnsi="Times New Roman"/>
          <w:iCs/>
          <w:szCs w:val="24"/>
        </w:rPr>
        <w:t xml:space="preserve"> og 0,092 g/kg/time lipider administreret i 4 timer. Under hensyntagen til det kendte tab af henholdsvis aminosyre (retentionshastighed 73%) og glukose (25 g/4-timers dialysesession) under dialyse vil patienten endelig modtage 0,095 g/kg/time aminosyrer, 0,24 g/kg/time </w:t>
      </w:r>
      <w:proofErr w:type="spellStart"/>
      <w:r w:rsidRPr="000C222F">
        <w:rPr>
          <w:rFonts w:ascii="Times New Roman" w:hAnsi="Times New Roman"/>
          <w:iCs/>
          <w:szCs w:val="24"/>
        </w:rPr>
        <w:t>glucose</w:t>
      </w:r>
      <w:proofErr w:type="spellEnd"/>
      <w:r w:rsidRPr="000C222F">
        <w:rPr>
          <w:rFonts w:ascii="Times New Roman" w:hAnsi="Times New Roman"/>
          <w:iCs/>
          <w:szCs w:val="24"/>
        </w:rPr>
        <w:t xml:space="preserve"> og 0,092 g/kg/time lipider i en 4-timers dialysesession. For en </w:t>
      </w:r>
      <w:r w:rsidRPr="000C222F">
        <w:rPr>
          <w:rFonts w:ascii="Times New Roman" w:hAnsi="Times New Roman"/>
          <w:iCs/>
          <w:szCs w:val="24"/>
        </w:rPr>
        <w:lastRenderedPageBreak/>
        <w:t xml:space="preserve">patient på 70 kg svarer dette til 27 g aminosyrer, 67 g </w:t>
      </w:r>
      <w:proofErr w:type="spellStart"/>
      <w:r w:rsidRPr="000C222F">
        <w:rPr>
          <w:rFonts w:ascii="Times New Roman" w:hAnsi="Times New Roman"/>
          <w:iCs/>
          <w:szCs w:val="24"/>
        </w:rPr>
        <w:t>glucose</w:t>
      </w:r>
      <w:proofErr w:type="spellEnd"/>
      <w:r w:rsidRPr="000C222F">
        <w:rPr>
          <w:rFonts w:ascii="Times New Roman" w:hAnsi="Times New Roman"/>
          <w:iCs/>
          <w:szCs w:val="24"/>
        </w:rPr>
        <w:t>, 26 g lipider og 644 ml væske.</w:t>
      </w:r>
    </w:p>
    <w:p w:rsidR="009B199C" w:rsidRPr="000C222F" w:rsidRDefault="009B199C" w:rsidP="000C222F">
      <w:pPr>
        <w:pStyle w:val="Brdtekstindrykning"/>
        <w:ind w:hanging="851"/>
        <w:rPr>
          <w:rFonts w:ascii="Times New Roman" w:hAnsi="Times New Roman"/>
          <w:i/>
          <w:szCs w:val="24"/>
        </w:rPr>
      </w:pPr>
    </w:p>
    <w:p w:rsidR="009B199C" w:rsidRPr="000C222F" w:rsidRDefault="009B199C" w:rsidP="000C222F">
      <w:pPr>
        <w:pStyle w:val="Brdtekstindrykning"/>
        <w:tabs>
          <w:tab w:val="clear" w:pos="851"/>
          <w:tab w:val="left" w:pos="1304"/>
        </w:tabs>
        <w:jc w:val="left"/>
        <w:rPr>
          <w:rFonts w:ascii="Times New Roman" w:hAnsi="Times New Roman"/>
          <w:szCs w:val="24"/>
        </w:rPr>
      </w:pPr>
      <w:r w:rsidRPr="000C222F">
        <w:rPr>
          <w:rFonts w:ascii="Times New Roman" w:hAnsi="Times New Roman"/>
          <w:i/>
          <w:szCs w:val="24"/>
        </w:rPr>
        <w:t xml:space="preserve">Behandlingsvarighed </w:t>
      </w:r>
    </w:p>
    <w:p w:rsidR="009B199C" w:rsidRPr="000C222F" w:rsidRDefault="009B199C" w:rsidP="000C222F">
      <w:pPr>
        <w:pStyle w:val="Brdtekstindrykning"/>
        <w:tabs>
          <w:tab w:val="clear" w:pos="851"/>
          <w:tab w:val="left" w:pos="1304"/>
        </w:tabs>
        <w:jc w:val="left"/>
        <w:rPr>
          <w:rFonts w:ascii="Times New Roman" w:hAnsi="Times New Roman"/>
          <w:b/>
          <w:szCs w:val="24"/>
        </w:rPr>
      </w:pPr>
      <w:r w:rsidRPr="000C222F">
        <w:rPr>
          <w:rFonts w:ascii="Times New Roman" w:hAnsi="Times New Roman"/>
          <w:szCs w:val="24"/>
        </w:rPr>
        <w:t xml:space="preserve">Behandlingsvarigheden for de angivne indikationer er ikke begrænset. Under administrationen af </w:t>
      </w:r>
      <w:proofErr w:type="spellStart"/>
      <w:r w:rsidRPr="000C222F">
        <w:rPr>
          <w:rFonts w:ascii="Times New Roman" w:hAnsi="Times New Roman"/>
          <w:szCs w:val="24"/>
        </w:rPr>
        <w:t>Nutriflex</w:t>
      </w:r>
      <w:proofErr w:type="spellEnd"/>
      <w:r w:rsidRPr="000C222F">
        <w:rPr>
          <w:rFonts w:ascii="Times New Roman" w:hAnsi="Times New Roman"/>
          <w:szCs w:val="24"/>
        </w:rPr>
        <w:t xml:space="preserve"> Omega Special elektrolytfri er det nødvendigt at give en passende tilførsel af elektrolytter, sporstoffer og vitaminer.</w:t>
      </w:r>
    </w:p>
    <w:p w:rsidR="009B199C" w:rsidRPr="000C222F" w:rsidRDefault="009B199C" w:rsidP="000C222F">
      <w:pPr>
        <w:ind w:left="851"/>
        <w:rPr>
          <w:i/>
          <w:sz w:val="24"/>
          <w:szCs w:val="24"/>
          <w:lang w:eastAsia="da-DK" w:bidi="da-DK"/>
        </w:rPr>
      </w:pPr>
    </w:p>
    <w:p w:rsidR="009B199C" w:rsidRPr="000C222F" w:rsidRDefault="009B199C" w:rsidP="000C222F">
      <w:pPr>
        <w:ind w:left="851"/>
        <w:rPr>
          <w:i/>
          <w:sz w:val="24"/>
          <w:szCs w:val="24"/>
          <w:lang w:eastAsia="da-DK" w:bidi="da-DK"/>
        </w:rPr>
      </w:pPr>
      <w:r w:rsidRPr="000C222F">
        <w:rPr>
          <w:i/>
          <w:sz w:val="24"/>
          <w:szCs w:val="24"/>
          <w:lang w:eastAsia="da-DK" w:bidi="da-DK"/>
        </w:rPr>
        <w:t>Varighed af infusion af en enkelt pose</w:t>
      </w:r>
    </w:p>
    <w:p w:rsidR="009B199C" w:rsidRPr="000C222F" w:rsidRDefault="009B199C" w:rsidP="000C222F">
      <w:pPr>
        <w:ind w:left="851"/>
        <w:rPr>
          <w:sz w:val="24"/>
          <w:szCs w:val="24"/>
          <w:lang w:eastAsia="da-DK" w:bidi="da-DK"/>
        </w:rPr>
      </w:pPr>
      <w:r w:rsidRPr="000C222F">
        <w:rPr>
          <w:sz w:val="24"/>
          <w:szCs w:val="24"/>
          <w:lang w:eastAsia="da-DK" w:bidi="da-DK"/>
        </w:rPr>
        <w:t>Den anbefalede varighed af infusionen af en pose med parenteral ernæring er maksimalt 24 timer.</w:t>
      </w:r>
    </w:p>
    <w:p w:rsidR="009B199C" w:rsidRPr="000C222F" w:rsidRDefault="009B199C" w:rsidP="000C222F">
      <w:pPr>
        <w:pStyle w:val="Brdtekstindrykning"/>
        <w:tabs>
          <w:tab w:val="clear" w:pos="851"/>
          <w:tab w:val="left" w:pos="1304"/>
        </w:tabs>
        <w:jc w:val="left"/>
        <w:rPr>
          <w:rFonts w:ascii="Times New Roman" w:hAnsi="Times New Roman"/>
          <w:szCs w:val="24"/>
        </w:rPr>
      </w:pPr>
    </w:p>
    <w:p w:rsidR="009B199C" w:rsidRPr="000C222F" w:rsidRDefault="009B199C" w:rsidP="000C222F">
      <w:pPr>
        <w:pStyle w:val="Brdtekstindrykning"/>
        <w:tabs>
          <w:tab w:val="clear" w:pos="851"/>
          <w:tab w:val="left" w:pos="1304"/>
        </w:tabs>
        <w:jc w:val="left"/>
        <w:rPr>
          <w:rFonts w:ascii="Times New Roman" w:hAnsi="Times New Roman"/>
          <w:iCs/>
          <w:szCs w:val="24"/>
          <w:u w:val="single"/>
        </w:rPr>
      </w:pPr>
      <w:r w:rsidRPr="000C222F">
        <w:rPr>
          <w:rFonts w:ascii="Times New Roman" w:hAnsi="Times New Roman"/>
          <w:iCs/>
          <w:szCs w:val="24"/>
          <w:u w:val="single"/>
        </w:rPr>
        <w:t>Administration</w:t>
      </w:r>
    </w:p>
    <w:p w:rsidR="009B199C" w:rsidRPr="000C222F" w:rsidRDefault="009B199C" w:rsidP="000C222F">
      <w:pPr>
        <w:pStyle w:val="Brdtekstindrykning"/>
        <w:tabs>
          <w:tab w:val="clear" w:pos="851"/>
          <w:tab w:val="left" w:pos="1304"/>
        </w:tabs>
        <w:jc w:val="left"/>
        <w:rPr>
          <w:rFonts w:ascii="Times New Roman" w:hAnsi="Times New Roman"/>
          <w:szCs w:val="24"/>
        </w:rPr>
      </w:pPr>
      <w:r w:rsidRPr="000C222F">
        <w:rPr>
          <w:rFonts w:ascii="Times New Roman" w:hAnsi="Times New Roman"/>
          <w:szCs w:val="24"/>
        </w:rPr>
        <w:t>Intravenøs anvendelse. Kun til infusion via et centralt venekateter.</w:t>
      </w:r>
    </w:p>
    <w:p w:rsidR="009B199C" w:rsidRPr="000C222F" w:rsidRDefault="009B199C" w:rsidP="000C222F">
      <w:pPr>
        <w:pStyle w:val="Brdtekstindrykning"/>
        <w:tabs>
          <w:tab w:val="clear" w:pos="851"/>
          <w:tab w:val="left" w:pos="1304"/>
        </w:tabs>
        <w:jc w:val="left"/>
        <w:rPr>
          <w:rFonts w:ascii="Times New Roman" w:hAnsi="Times New Roman"/>
          <w:szCs w:val="24"/>
        </w:rPr>
      </w:pPr>
      <w:r w:rsidRPr="000C222F">
        <w:rPr>
          <w:rFonts w:ascii="Times New Roman" w:hAnsi="Times New Roman"/>
          <w:szCs w:val="24"/>
        </w:rPr>
        <w:t xml:space="preserve">Under </w:t>
      </w:r>
      <w:proofErr w:type="spellStart"/>
      <w:r w:rsidRPr="000C222F">
        <w:rPr>
          <w:rFonts w:ascii="Times New Roman" w:hAnsi="Times New Roman"/>
          <w:szCs w:val="24"/>
        </w:rPr>
        <w:t>intradialytisk</w:t>
      </w:r>
      <w:proofErr w:type="spellEnd"/>
      <w:r w:rsidRPr="000C222F">
        <w:rPr>
          <w:rFonts w:ascii="Times New Roman" w:hAnsi="Times New Roman"/>
          <w:szCs w:val="24"/>
        </w:rPr>
        <w:t xml:space="preserve"> parenteral ernæring (IDPN) skal posen administreres gennem det venøse drypkammer i de </w:t>
      </w:r>
      <w:proofErr w:type="spellStart"/>
      <w:r w:rsidRPr="000C222F">
        <w:rPr>
          <w:rFonts w:ascii="Times New Roman" w:hAnsi="Times New Roman"/>
          <w:szCs w:val="24"/>
        </w:rPr>
        <w:t>ekstrakorporeale</w:t>
      </w:r>
      <w:proofErr w:type="spellEnd"/>
      <w:r w:rsidRPr="000C222F">
        <w:rPr>
          <w:rFonts w:ascii="Times New Roman" w:hAnsi="Times New Roman"/>
          <w:szCs w:val="24"/>
        </w:rPr>
        <w:t xml:space="preserve"> cirkulationslinjer.</w:t>
      </w:r>
    </w:p>
    <w:p w:rsidR="00BE115E" w:rsidRPr="000375F3" w:rsidRDefault="00BE115E" w:rsidP="000C222F">
      <w:pPr>
        <w:rPr>
          <w:sz w:val="24"/>
          <w:szCs w:val="24"/>
        </w:rPr>
      </w:pPr>
    </w:p>
    <w:p w:rsidR="00BE115E" w:rsidRPr="000375F3" w:rsidRDefault="00BE115E" w:rsidP="00BE115E">
      <w:pPr>
        <w:ind w:left="851" w:hanging="851"/>
        <w:rPr>
          <w:b/>
          <w:sz w:val="24"/>
          <w:szCs w:val="24"/>
        </w:rPr>
      </w:pPr>
      <w:r w:rsidRPr="000375F3">
        <w:rPr>
          <w:b/>
          <w:sz w:val="24"/>
          <w:szCs w:val="24"/>
        </w:rPr>
        <w:t>4.3</w:t>
      </w:r>
      <w:r w:rsidRPr="000375F3">
        <w:rPr>
          <w:b/>
          <w:sz w:val="24"/>
          <w:szCs w:val="24"/>
        </w:rPr>
        <w:tab/>
        <w:t>Kontraindikationer</w:t>
      </w:r>
    </w:p>
    <w:p w:rsidR="00BE115E" w:rsidRPr="000375F3" w:rsidRDefault="00BE115E" w:rsidP="00BE115E">
      <w:pPr>
        <w:numPr>
          <w:ilvl w:val="0"/>
          <w:numId w:val="6"/>
        </w:numPr>
        <w:ind w:left="1276" w:hanging="425"/>
        <w:rPr>
          <w:sz w:val="24"/>
          <w:szCs w:val="24"/>
        </w:rPr>
      </w:pPr>
      <w:r w:rsidRPr="000375F3">
        <w:rPr>
          <w:sz w:val="24"/>
          <w:szCs w:val="24"/>
        </w:rPr>
        <w:t>Overfølsomhed over for de aktive stoffer, æg, fisk, jordnødder eller sojaprotein eller over for et eller flere af hjælpestofferne, anført i pkt. 6.1</w:t>
      </w:r>
    </w:p>
    <w:p w:rsidR="00BE115E" w:rsidRPr="000375F3" w:rsidRDefault="00BE115E" w:rsidP="00BE115E">
      <w:pPr>
        <w:numPr>
          <w:ilvl w:val="0"/>
          <w:numId w:val="6"/>
        </w:numPr>
        <w:ind w:left="1276" w:hanging="425"/>
        <w:rPr>
          <w:sz w:val="24"/>
          <w:szCs w:val="24"/>
        </w:rPr>
      </w:pPr>
      <w:r w:rsidRPr="000375F3">
        <w:rPr>
          <w:sz w:val="24"/>
          <w:szCs w:val="24"/>
        </w:rPr>
        <w:t>medfødte forstyrrelser af aminosyremetabolismen</w:t>
      </w:r>
    </w:p>
    <w:p w:rsidR="00BE115E" w:rsidRPr="000375F3" w:rsidRDefault="00BE115E" w:rsidP="00BE115E">
      <w:pPr>
        <w:numPr>
          <w:ilvl w:val="0"/>
          <w:numId w:val="6"/>
        </w:numPr>
        <w:ind w:left="1276" w:hanging="425"/>
        <w:rPr>
          <w:sz w:val="24"/>
          <w:szCs w:val="24"/>
        </w:rPr>
      </w:pPr>
      <w:r w:rsidRPr="000375F3">
        <w:rPr>
          <w:sz w:val="24"/>
          <w:szCs w:val="24"/>
        </w:rPr>
        <w:t xml:space="preserve">svær </w:t>
      </w:r>
      <w:proofErr w:type="spellStart"/>
      <w:r w:rsidRPr="000375F3">
        <w:rPr>
          <w:sz w:val="24"/>
          <w:szCs w:val="24"/>
        </w:rPr>
        <w:t>hyperlipidæmi</w:t>
      </w:r>
      <w:proofErr w:type="spellEnd"/>
      <w:r w:rsidRPr="000375F3">
        <w:rPr>
          <w:sz w:val="24"/>
          <w:szCs w:val="24"/>
        </w:rPr>
        <w:t xml:space="preserve"> kendetegnet ved </w:t>
      </w:r>
      <w:proofErr w:type="spellStart"/>
      <w:r w:rsidRPr="000375F3">
        <w:rPr>
          <w:sz w:val="24"/>
          <w:szCs w:val="24"/>
        </w:rPr>
        <w:t>hypertriglyceridæmi</w:t>
      </w:r>
      <w:proofErr w:type="spellEnd"/>
      <w:r w:rsidRPr="000375F3">
        <w:rPr>
          <w:sz w:val="24"/>
          <w:szCs w:val="24"/>
        </w:rPr>
        <w:t xml:space="preserve"> (≥ 1.000 mg/dl eller 11,4 mmol/l)</w:t>
      </w:r>
    </w:p>
    <w:p w:rsidR="00BE115E" w:rsidRPr="000375F3" w:rsidRDefault="00BE115E" w:rsidP="00BE115E">
      <w:pPr>
        <w:numPr>
          <w:ilvl w:val="0"/>
          <w:numId w:val="6"/>
        </w:numPr>
        <w:ind w:left="1276" w:hanging="425"/>
        <w:rPr>
          <w:sz w:val="24"/>
          <w:szCs w:val="24"/>
        </w:rPr>
      </w:pPr>
      <w:r w:rsidRPr="000375F3">
        <w:rPr>
          <w:sz w:val="24"/>
          <w:szCs w:val="24"/>
        </w:rPr>
        <w:t xml:space="preserve">svær </w:t>
      </w:r>
      <w:proofErr w:type="spellStart"/>
      <w:r w:rsidRPr="000375F3">
        <w:rPr>
          <w:sz w:val="24"/>
          <w:szCs w:val="24"/>
        </w:rPr>
        <w:t>koagulopati</w:t>
      </w:r>
      <w:proofErr w:type="spellEnd"/>
    </w:p>
    <w:p w:rsidR="00BE115E" w:rsidRPr="000375F3" w:rsidRDefault="00BE115E" w:rsidP="00BE115E">
      <w:pPr>
        <w:numPr>
          <w:ilvl w:val="0"/>
          <w:numId w:val="6"/>
        </w:numPr>
        <w:ind w:left="1276" w:hanging="425"/>
        <w:rPr>
          <w:sz w:val="24"/>
          <w:szCs w:val="24"/>
        </w:rPr>
      </w:pPr>
      <w:proofErr w:type="spellStart"/>
      <w:r w:rsidRPr="000375F3">
        <w:rPr>
          <w:sz w:val="24"/>
          <w:szCs w:val="24"/>
        </w:rPr>
        <w:t>hyperglykæmi</w:t>
      </w:r>
      <w:proofErr w:type="spellEnd"/>
      <w:r w:rsidRPr="000375F3">
        <w:rPr>
          <w:sz w:val="24"/>
          <w:szCs w:val="24"/>
        </w:rPr>
        <w:t>, der ikke responderer på insulindoser op til 6 enheder insulin/time</w:t>
      </w:r>
    </w:p>
    <w:p w:rsidR="00BE115E" w:rsidRPr="000375F3" w:rsidRDefault="00BE115E" w:rsidP="00BE115E">
      <w:pPr>
        <w:numPr>
          <w:ilvl w:val="0"/>
          <w:numId w:val="6"/>
        </w:numPr>
        <w:ind w:left="1276" w:hanging="425"/>
        <w:rPr>
          <w:sz w:val="24"/>
          <w:szCs w:val="24"/>
        </w:rPr>
      </w:pPr>
      <w:proofErr w:type="spellStart"/>
      <w:r w:rsidRPr="000375F3">
        <w:rPr>
          <w:sz w:val="24"/>
          <w:szCs w:val="24"/>
        </w:rPr>
        <w:t>acidose</w:t>
      </w:r>
      <w:proofErr w:type="spellEnd"/>
    </w:p>
    <w:p w:rsidR="00BE115E" w:rsidRPr="000375F3" w:rsidRDefault="00BE115E" w:rsidP="00BE115E">
      <w:pPr>
        <w:numPr>
          <w:ilvl w:val="0"/>
          <w:numId w:val="6"/>
        </w:numPr>
        <w:ind w:left="1276" w:hanging="425"/>
        <w:rPr>
          <w:sz w:val="24"/>
          <w:szCs w:val="24"/>
        </w:rPr>
      </w:pPr>
      <w:proofErr w:type="spellStart"/>
      <w:r w:rsidRPr="000375F3">
        <w:rPr>
          <w:sz w:val="24"/>
          <w:szCs w:val="24"/>
        </w:rPr>
        <w:t>intrahepatisk</w:t>
      </w:r>
      <w:proofErr w:type="spellEnd"/>
      <w:r w:rsidRPr="000375F3">
        <w:rPr>
          <w:sz w:val="24"/>
          <w:szCs w:val="24"/>
        </w:rPr>
        <w:t xml:space="preserve"> </w:t>
      </w:r>
      <w:proofErr w:type="spellStart"/>
      <w:r w:rsidRPr="000375F3">
        <w:rPr>
          <w:sz w:val="24"/>
          <w:szCs w:val="24"/>
        </w:rPr>
        <w:t>kolestase</w:t>
      </w:r>
      <w:proofErr w:type="spellEnd"/>
    </w:p>
    <w:p w:rsidR="00BE115E" w:rsidRPr="000375F3" w:rsidRDefault="00BE115E" w:rsidP="00BE115E">
      <w:pPr>
        <w:numPr>
          <w:ilvl w:val="0"/>
          <w:numId w:val="6"/>
        </w:numPr>
        <w:ind w:left="1276" w:hanging="425"/>
        <w:rPr>
          <w:sz w:val="24"/>
          <w:szCs w:val="24"/>
        </w:rPr>
      </w:pPr>
      <w:r w:rsidRPr="000375F3">
        <w:rPr>
          <w:sz w:val="24"/>
          <w:szCs w:val="24"/>
        </w:rPr>
        <w:t>alvorlig leverinsufficiens</w:t>
      </w:r>
    </w:p>
    <w:p w:rsidR="00BE115E" w:rsidRPr="000375F3" w:rsidRDefault="00BE115E" w:rsidP="00BE115E">
      <w:pPr>
        <w:numPr>
          <w:ilvl w:val="0"/>
          <w:numId w:val="6"/>
        </w:numPr>
        <w:ind w:left="1276" w:hanging="425"/>
        <w:rPr>
          <w:sz w:val="24"/>
          <w:szCs w:val="24"/>
        </w:rPr>
      </w:pPr>
      <w:r w:rsidRPr="000375F3">
        <w:rPr>
          <w:sz w:val="24"/>
          <w:szCs w:val="24"/>
        </w:rPr>
        <w:t>alvorlig nyreinsufficiens uden nyresubstitutionsterapi</w:t>
      </w:r>
    </w:p>
    <w:p w:rsidR="00BE115E" w:rsidRPr="000375F3" w:rsidRDefault="00BE115E" w:rsidP="00BE115E">
      <w:pPr>
        <w:numPr>
          <w:ilvl w:val="0"/>
          <w:numId w:val="6"/>
        </w:numPr>
        <w:ind w:left="1276" w:hanging="425"/>
        <w:rPr>
          <w:sz w:val="24"/>
          <w:szCs w:val="24"/>
        </w:rPr>
      </w:pPr>
      <w:r w:rsidRPr="000375F3">
        <w:rPr>
          <w:sz w:val="24"/>
          <w:szCs w:val="24"/>
        </w:rPr>
        <w:t>aggraverende blødende diateser</w:t>
      </w:r>
    </w:p>
    <w:p w:rsidR="00BE115E" w:rsidRPr="000375F3" w:rsidRDefault="00BE115E" w:rsidP="00BE115E">
      <w:pPr>
        <w:numPr>
          <w:ilvl w:val="0"/>
          <w:numId w:val="6"/>
        </w:numPr>
        <w:ind w:left="1276" w:hanging="425"/>
        <w:rPr>
          <w:sz w:val="24"/>
          <w:szCs w:val="24"/>
        </w:rPr>
      </w:pPr>
      <w:r w:rsidRPr="000375F3">
        <w:rPr>
          <w:sz w:val="24"/>
          <w:szCs w:val="24"/>
        </w:rPr>
        <w:t xml:space="preserve">akutte </w:t>
      </w:r>
      <w:proofErr w:type="spellStart"/>
      <w:r w:rsidRPr="000375F3">
        <w:rPr>
          <w:sz w:val="24"/>
          <w:szCs w:val="24"/>
        </w:rPr>
        <w:t>tromboemboliske</w:t>
      </w:r>
      <w:proofErr w:type="spellEnd"/>
      <w:r w:rsidRPr="000375F3">
        <w:rPr>
          <w:sz w:val="24"/>
          <w:szCs w:val="24"/>
        </w:rPr>
        <w:t xml:space="preserve"> hændelser, </w:t>
      </w:r>
      <w:proofErr w:type="spellStart"/>
      <w:r w:rsidRPr="000375F3">
        <w:rPr>
          <w:sz w:val="24"/>
          <w:szCs w:val="24"/>
        </w:rPr>
        <w:t>lipidembolisme</w:t>
      </w:r>
      <w:proofErr w:type="spellEnd"/>
      <w:r w:rsidRPr="000375F3">
        <w:rPr>
          <w:sz w:val="24"/>
          <w:szCs w:val="24"/>
        </w:rPr>
        <w:t>.</w:t>
      </w:r>
    </w:p>
    <w:p w:rsidR="00BE115E" w:rsidRPr="000375F3" w:rsidRDefault="00BE115E" w:rsidP="00BE115E">
      <w:pPr>
        <w:rPr>
          <w:sz w:val="24"/>
          <w:szCs w:val="24"/>
        </w:rPr>
      </w:pPr>
    </w:p>
    <w:p w:rsidR="00BE115E" w:rsidRPr="000375F3" w:rsidRDefault="00BE115E" w:rsidP="00BE115E">
      <w:pPr>
        <w:ind w:left="851"/>
        <w:rPr>
          <w:sz w:val="24"/>
          <w:szCs w:val="24"/>
        </w:rPr>
      </w:pPr>
      <w:r w:rsidRPr="000375F3">
        <w:rPr>
          <w:sz w:val="24"/>
          <w:szCs w:val="24"/>
        </w:rPr>
        <w:t xml:space="preserve">Grundet sammensætningen må </w:t>
      </w:r>
      <w:proofErr w:type="spellStart"/>
      <w:r w:rsidRPr="000375F3">
        <w:rPr>
          <w:sz w:val="24"/>
          <w:szCs w:val="24"/>
        </w:rPr>
        <w:t>Nutriflex</w:t>
      </w:r>
      <w:proofErr w:type="spellEnd"/>
      <w:r w:rsidRPr="000375F3">
        <w:rPr>
          <w:sz w:val="24"/>
          <w:szCs w:val="24"/>
        </w:rPr>
        <w:t xml:space="preserve"> Omega Special elektrolytfri ikke anvendes til nyfødte, spædbørn og småbørn under 2 år.</w:t>
      </w:r>
    </w:p>
    <w:p w:rsidR="00BE115E" w:rsidRPr="000375F3" w:rsidRDefault="00BE115E" w:rsidP="00BE115E">
      <w:pPr>
        <w:rPr>
          <w:sz w:val="24"/>
          <w:szCs w:val="24"/>
        </w:rPr>
      </w:pPr>
    </w:p>
    <w:p w:rsidR="00BE115E" w:rsidRPr="000375F3" w:rsidRDefault="00BE115E" w:rsidP="00BE115E">
      <w:pPr>
        <w:ind w:firstLine="851"/>
        <w:rPr>
          <w:sz w:val="24"/>
          <w:szCs w:val="24"/>
        </w:rPr>
      </w:pPr>
      <w:r w:rsidRPr="000375F3">
        <w:rPr>
          <w:sz w:val="24"/>
          <w:szCs w:val="24"/>
        </w:rPr>
        <w:t>Generelle kontraindikationer for parenteral ernæring omfatter:</w:t>
      </w:r>
    </w:p>
    <w:p w:rsidR="00BE115E" w:rsidRPr="000375F3" w:rsidRDefault="00BE115E" w:rsidP="00BE115E">
      <w:pPr>
        <w:numPr>
          <w:ilvl w:val="0"/>
          <w:numId w:val="7"/>
        </w:numPr>
        <w:ind w:left="1276" w:hanging="425"/>
        <w:rPr>
          <w:sz w:val="24"/>
          <w:szCs w:val="24"/>
        </w:rPr>
      </w:pPr>
      <w:r w:rsidRPr="000375F3">
        <w:rPr>
          <w:sz w:val="24"/>
          <w:szCs w:val="24"/>
        </w:rPr>
        <w:t xml:space="preserve">ustabil, livstruende kredsløbsstatus (stadier med kollaps og </w:t>
      </w:r>
      <w:proofErr w:type="spellStart"/>
      <w:r w:rsidRPr="000375F3">
        <w:rPr>
          <w:sz w:val="24"/>
          <w:szCs w:val="24"/>
        </w:rPr>
        <w:t>shock</w:t>
      </w:r>
      <w:proofErr w:type="spellEnd"/>
      <w:r w:rsidRPr="000375F3">
        <w:rPr>
          <w:sz w:val="24"/>
          <w:szCs w:val="24"/>
        </w:rPr>
        <w:t>)</w:t>
      </w:r>
    </w:p>
    <w:p w:rsidR="00BE115E" w:rsidRPr="000375F3" w:rsidRDefault="00BE115E" w:rsidP="00BE115E">
      <w:pPr>
        <w:numPr>
          <w:ilvl w:val="0"/>
          <w:numId w:val="7"/>
        </w:numPr>
        <w:ind w:left="1276" w:hanging="425"/>
        <w:rPr>
          <w:sz w:val="24"/>
          <w:szCs w:val="24"/>
        </w:rPr>
      </w:pPr>
      <w:r w:rsidRPr="000375F3">
        <w:rPr>
          <w:sz w:val="24"/>
          <w:szCs w:val="24"/>
        </w:rPr>
        <w:t>akutte faser af hjerteinfarkt og apopleksi</w:t>
      </w:r>
    </w:p>
    <w:p w:rsidR="00BE115E" w:rsidRPr="000375F3" w:rsidRDefault="00BE115E" w:rsidP="00BE115E">
      <w:pPr>
        <w:numPr>
          <w:ilvl w:val="0"/>
          <w:numId w:val="7"/>
        </w:numPr>
        <w:ind w:left="1276" w:hanging="425"/>
        <w:rPr>
          <w:sz w:val="24"/>
          <w:szCs w:val="24"/>
        </w:rPr>
      </w:pPr>
      <w:r w:rsidRPr="000375F3">
        <w:rPr>
          <w:sz w:val="24"/>
          <w:szCs w:val="24"/>
        </w:rPr>
        <w:t>ustabil metabolisme (f.eks. svært postaggressionssyndrom, koma af ukendt oprindelse)</w:t>
      </w:r>
    </w:p>
    <w:p w:rsidR="00BE115E" w:rsidRPr="000375F3" w:rsidRDefault="00BE115E" w:rsidP="00BE115E">
      <w:pPr>
        <w:numPr>
          <w:ilvl w:val="0"/>
          <w:numId w:val="7"/>
        </w:numPr>
        <w:ind w:left="1276" w:hanging="425"/>
        <w:rPr>
          <w:sz w:val="24"/>
          <w:szCs w:val="24"/>
        </w:rPr>
      </w:pPr>
      <w:r w:rsidRPr="000375F3">
        <w:rPr>
          <w:sz w:val="24"/>
          <w:szCs w:val="24"/>
        </w:rPr>
        <w:t>utilstrækkelig cellulær iltforsyning</w:t>
      </w:r>
    </w:p>
    <w:p w:rsidR="00BE115E" w:rsidRPr="000375F3" w:rsidRDefault="00BE115E" w:rsidP="00BE115E">
      <w:pPr>
        <w:numPr>
          <w:ilvl w:val="0"/>
          <w:numId w:val="7"/>
        </w:numPr>
        <w:ind w:left="1276" w:hanging="425"/>
        <w:rPr>
          <w:sz w:val="24"/>
          <w:szCs w:val="24"/>
        </w:rPr>
      </w:pPr>
      <w:r w:rsidRPr="000375F3">
        <w:rPr>
          <w:sz w:val="24"/>
          <w:szCs w:val="24"/>
        </w:rPr>
        <w:t>forstyrrelse af elektrolyt- og væskebalancen</w:t>
      </w:r>
    </w:p>
    <w:p w:rsidR="00BE115E" w:rsidRPr="000375F3" w:rsidRDefault="00BE115E" w:rsidP="00BE115E">
      <w:pPr>
        <w:numPr>
          <w:ilvl w:val="0"/>
          <w:numId w:val="7"/>
        </w:numPr>
        <w:ind w:left="1276" w:hanging="425"/>
        <w:rPr>
          <w:sz w:val="24"/>
          <w:szCs w:val="24"/>
        </w:rPr>
      </w:pPr>
      <w:r w:rsidRPr="000375F3">
        <w:rPr>
          <w:sz w:val="24"/>
          <w:szCs w:val="24"/>
        </w:rPr>
        <w:t>akut lungeødem</w:t>
      </w:r>
    </w:p>
    <w:p w:rsidR="00BE115E" w:rsidRPr="000375F3" w:rsidRDefault="00BE115E" w:rsidP="00BE115E">
      <w:pPr>
        <w:numPr>
          <w:ilvl w:val="0"/>
          <w:numId w:val="7"/>
        </w:numPr>
        <w:ind w:left="1276" w:hanging="425"/>
        <w:rPr>
          <w:sz w:val="24"/>
          <w:szCs w:val="24"/>
        </w:rPr>
      </w:pPr>
      <w:proofErr w:type="spellStart"/>
      <w:r w:rsidRPr="000375F3">
        <w:rPr>
          <w:sz w:val="24"/>
          <w:szCs w:val="24"/>
        </w:rPr>
        <w:t>dekompenseret</w:t>
      </w:r>
      <w:proofErr w:type="spellEnd"/>
      <w:r w:rsidRPr="000375F3">
        <w:rPr>
          <w:sz w:val="24"/>
          <w:szCs w:val="24"/>
        </w:rPr>
        <w:t xml:space="preserve"> hjerteinsufficiens.</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4.4</w:t>
      </w:r>
      <w:r w:rsidRPr="000375F3">
        <w:rPr>
          <w:b/>
          <w:sz w:val="24"/>
          <w:szCs w:val="24"/>
        </w:rPr>
        <w:tab/>
        <w:t>Særlige advarsler og forsigtighedsregler vedrørende brugen</w:t>
      </w:r>
    </w:p>
    <w:p w:rsidR="00BE115E" w:rsidRPr="00A35B16" w:rsidRDefault="00BE115E" w:rsidP="00BE115E">
      <w:pPr>
        <w:ind w:left="851"/>
        <w:rPr>
          <w:sz w:val="24"/>
          <w:szCs w:val="24"/>
        </w:rPr>
      </w:pPr>
      <w:r w:rsidRPr="00A35B16">
        <w:rPr>
          <w:sz w:val="24"/>
          <w:szCs w:val="24"/>
        </w:rPr>
        <w:t xml:space="preserve">Der bør udvises forsigtighed hos patienter med forhøjet </w:t>
      </w:r>
      <w:proofErr w:type="spellStart"/>
      <w:r w:rsidRPr="00A35B16">
        <w:rPr>
          <w:sz w:val="24"/>
          <w:szCs w:val="24"/>
        </w:rPr>
        <w:t>serumosmolaritet</w:t>
      </w:r>
      <w:proofErr w:type="spellEnd"/>
      <w:r w:rsidRPr="00A35B16">
        <w:rPr>
          <w:sz w:val="24"/>
          <w:szCs w:val="24"/>
        </w:rPr>
        <w:t>.</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t xml:space="preserve">Forstyrrelser af væske-, elektrolyt- eller syre-base-balancen skal korrigeres, før infusionen påbegyndes. </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lastRenderedPageBreak/>
        <w:t>For hurtig infusion kan føre til væskeoverbelastning med patologiske elektrolyt</w:t>
      </w:r>
      <w:r>
        <w:rPr>
          <w:sz w:val="24"/>
          <w:szCs w:val="24"/>
        </w:rPr>
        <w:softHyphen/>
      </w:r>
      <w:r w:rsidRPr="00A35B16">
        <w:rPr>
          <w:sz w:val="24"/>
          <w:szCs w:val="24"/>
        </w:rPr>
        <w:t xml:space="preserve">koncentrationer i serum, </w:t>
      </w:r>
      <w:proofErr w:type="spellStart"/>
      <w:r w:rsidRPr="00A35B16">
        <w:rPr>
          <w:sz w:val="24"/>
          <w:szCs w:val="24"/>
        </w:rPr>
        <w:t>hyperhydrering</w:t>
      </w:r>
      <w:proofErr w:type="spellEnd"/>
      <w:r w:rsidRPr="00A35B16">
        <w:rPr>
          <w:sz w:val="24"/>
          <w:szCs w:val="24"/>
        </w:rPr>
        <w:t xml:space="preserve"> og lungeødem.</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t xml:space="preserve">Alle tegn eller symptomer på en </w:t>
      </w:r>
      <w:proofErr w:type="spellStart"/>
      <w:r w:rsidRPr="00A35B16">
        <w:rPr>
          <w:sz w:val="24"/>
          <w:szCs w:val="24"/>
        </w:rPr>
        <w:t>anafylaktisk</w:t>
      </w:r>
      <w:proofErr w:type="spellEnd"/>
      <w:r w:rsidRPr="00A35B16">
        <w:rPr>
          <w:sz w:val="24"/>
          <w:szCs w:val="24"/>
        </w:rPr>
        <w:t xml:space="preserve"> reaktion (såsom feber, kulderystelser, udslæt eller dyspnø), bør føre til øjeblikkelig afbrydelse af infusionen.</w:t>
      </w:r>
    </w:p>
    <w:p w:rsidR="00BE115E" w:rsidRPr="00A35B16" w:rsidRDefault="00BE115E" w:rsidP="00BE115E">
      <w:pPr>
        <w:ind w:left="851"/>
        <w:rPr>
          <w:sz w:val="24"/>
          <w:szCs w:val="24"/>
        </w:rPr>
      </w:pPr>
    </w:p>
    <w:p w:rsidR="00BE115E" w:rsidRPr="00A35B16" w:rsidRDefault="00BE115E" w:rsidP="00BE115E">
      <w:pPr>
        <w:ind w:left="851"/>
        <w:rPr>
          <w:sz w:val="24"/>
          <w:szCs w:val="24"/>
          <w:lang w:bidi="da-DK"/>
        </w:rPr>
      </w:pPr>
      <w:r w:rsidRPr="00A35B16">
        <w:rPr>
          <w:sz w:val="24"/>
          <w:szCs w:val="24"/>
          <w:lang w:bidi="da-DK"/>
        </w:rPr>
        <w:t>Det er nødvendigt med kontrol af serum-elektrolytter, væskebalance, syre-base-balance og antallet af blodlegemer, koagulationsstatus og lever- og nyrefunktion.</w:t>
      </w:r>
    </w:p>
    <w:p w:rsidR="00BE115E" w:rsidRPr="00A35B16" w:rsidRDefault="00BE115E" w:rsidP="00BE115E">
      <w:pPr>
        <w:ind w:left="851"/>
        <w:rPr>
          <w:sz w:val="24"/>
          <w:szCs w:val="24"/>
          <w:lang w:bidi="da-DK"/>
        </w:rPr>
      </w:pPr>
    </w:p>
    <w:p w:rsidR="00BE115E" w:rsidRPr="00A35B16" w:rsidRDefault="00BE115E" w:rsidP="00BE115E">
      <w:pPr>
        <w:ind w:left="851"/>
        <w:rPr>
          <w:sz w:val="24"/>
          <w:szCs w:val="24"/>
        </w:rPr>
      </w:pPr>
      <w:proofErr w:type="spellStart"/>
      <w:r w:rsidRPr="00A35B16">
        <w:rPr>
          <w:sz w:val="24"/>
          <w:szCs w:val="24"/>
        </w:rPr>
        <w:t>Nutriflex</w:t>
      </w:r>
      <w:proofErr w:type="spellEnd"/>
      <w:r w:rsidRPr="00A35B16">
        <w:rPr>
          <w:sz w:val="24"/>
          <w:szCs w:val="24"/>
        </w:rPr>
        <w:t xml:space="preserve"> Omega Special elektrolytfri er næsten elektrolytfri og anvendes derfor især til patienter med begrænset og/eller specifikt behov for elektrolytter. Natrium, kalium, calcium, magnesium og </w:t>
      </w:r>
      <w:proofErr w:type="spellStart"/>
      <w:r w:rsidRPr="00A35B16">
        <w:rPr>
          <w:sz w:val="24"/>
          <w:szCs w:val="24"/>
        </w:rPr>
        <w:t>phosphat</w:t>
      </w:r>
      <w:proofErr w:type="spellEnd"/>
      <w:r w:rsidRPr="00A35B16">
        <w:rPr>
          <w:sz w:val="24"/>
          <w:szCs w:val="24"/>
        </w:rPr>
        <w:t xml:space="preserve"> skal erstattes i henhold til specifikke behov vurderet ud fra den kliniske status. Det er nødvendigt med tæt overvågning af elektrolytniveauerne.</w:t>
      </w:r>
    </w:p>
    <w:p w:rsidR="00BE115E" w:rsidRPr="00A35B16" w:rsidRDefault="00BE115E" w:rsidP="00BE115E">
      <w:pPr>
        <w:ind w:left="851"/>
        <w:rPr>
          <w:sz w:val="24"/>
          <w:szCs w:val="24"/>
        </w:rPr>
      </w:pPr>
    </w:p>
    <w:p w:rsidR="00BE115E" w:rsidRPr="00A35B16" w:rsidRDefault="00BE115E" w:rsidP="00BE115E">
      <w:pPr>
        <w:ind w:left="851"/>
        <w:rPr>
          <w:sz w:val="24"/>
          <w:szCs w:val="24"/>
        </w:rPr>
      </w:pPr>
      <w:proofErr w:type="spellStart"/>
      <w:r w:rsidRPr="00A35B16">
        <w:rPr>
          <w:i/>
          <w:sz w:val="24"/>
          <w:szCs w:val="24"/>
        </w:rPr>
        <w:t>Refeeding</w:t>
      </w:r>
      <w:proofErr w:type="spellEnd"/>
      <w:r w:rsidRPr="00A35B16">
        <w:rPr>
          <w:sz w:val="24"/>
          <w:szCs w:val="24"/>
        </w:rPr>
        <w:t xml:space="preserve"> eller genoprettelse af fejlernærede eller svækkede patienter kan forårsage </w:t>
      </w:r>
      <w:proofErr w:type="spellStart"/>
      <w:r w:rsidRPr="00A35B16">
        <w:rPr>
          <w:sz w:val="24"/>
          <w:szCs w:val="24"/>
        </w:rPr>
        <w:t>hypokaliæmi</w:t>
      </w:r>
      <w:proofErr w:type="spellEnd"/>
      <w:r w:rsidRPr="00A35B16">
        <w:rPr>
          <w:sz w:val="24"/>
          <w:szCs w:val="24"/>
        </w:rPr>
        <w:t xml:space="preserve">, </w:t>
      </w:r>
      <w:proofErr w:type="spellStart"/>
      <w:r w:rsidRPr="00A35B16">
        <w:rPr>
          <w:sz w:val="24"/>
          <w:szCs w:val="24"/>
        </w:rPr>
        <w:t>hypofosfatæmi</w:t>
      </w:r>
      <w:proofErr w:type="spellEnd"/>
      <w:r w:rsidRPr="00A35B16">
        <w:rPr>
          <w:sz w:val="24"/>
          <w:szCs w:val="24"/>
        </w:rPr>
        <w:t xml:space="preserve"> og </w:t>
      </w:r>
      <w:proofErr w:type="spellStart"/>
      <w:r w:rsidRPr="00A35B16">
        <w:rPr>
          <w:sz w:val="24"/>
          <w:szCs w:val="24"/>
        </w:rPr>
        <w:t>hypomagnesiæmi</w:t>
      </w:r>
      <w:proofErr w:type="spellEnd"/>
      <w:r w:rsidRPr="00A35B16">
        <w:rPr>
          <w:sz w:val="24"/>
          <w:szCs w:val="24"/>
        </w:rPr>
        <w:t xml:space="preserve">. Tæt overvågning af serum-elektrolytter er obligatorisk. </w:t>
      </w:r>
      <w:r w:rsidRPr="00A35B16">
        <w:rPr>
          <w:sz w:val="24"/>
          <w:szCs w:val="24"/>
          <w:lang w:bidi="da-DK"/>
        </w:rPr>
        <w:t>Det er nødvendigt med et t</w:t>
      </w:r>
      <w:r w:rsidRPr="00A35B16">
        <w:rPr>
          <w:sz w:val="24"/>
          <w:szCs w:val="24"/>
        </w:rPr>
        <w:t>ilstrækkeligt tilskud af elektrolytter i forhold til afvigelserne fra normalværdierne.</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t xml:space="preserve">Triglyceridkoncentrationen i serum skal overvåges under infusion af </w:t>
      </w:r>
      <w:proofErr w:type="spellStart"/>
      <w:r w:rsidRPr="00A35B16">
        <w:rPr>
          <w:sz w:val="24"/>
          <w:szCs w:val="24"/>
        </w:rPr>
        <w:t>Nutriflex</w:t>
      </w:r>
      <w:proofErr w:type="spellEnd"/>
      <w:r w:rsidRPr="00A35B16">
        <w:rPr>
          <w:sz w:val="24"/>
          <w:szCs w:val="24"/>
        </w:rPr>
        <w:t xml:space="preserve"> Omega Special elektrolytfri.</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t xml:space="preserve">Afhængig af patientens metaboliske tilstand kan der til tider opstå </w:t>
      </w:r>
      <w:proofErr w:type="spellStart"/>
      <w:r w:rsidRPr="00A35B16">
        <w:rPr>
          <w:sz w:val="24"/>
          <w:szCs w:val="24"/>
        </w:rPr>
        <w:t>hypertriglyceridæmi</w:t>
      </w:r>
      <w:proofErr w:type="spellEnd"/>
      <w:r w:rsidRPr="00A35B16">
        <w:rPr>
          <w:sz w:val="24"/>
          <w:szCs w:val="24"/>
        </w:rPr>
        <w:t xml:space="preserve">. Hvis triglyceridkoncentrationen i plasma overstiger 4,6 mmol/l (400 mg/dl) under administration af lipider anbefales det at nedsætte infusionshastigheden. Infusionen skal afbrydes, hvis triglyceridkoncentrationen i plasma overstiger 11,4 mmol/l (1.000 mg/dl), da disse niveauer er blevet forbundet med akut </w:t>
      </w:r>
      <w:proofErr w:type="spellStart"/>
      <w:r w:rsidRPr="00A35B16">
        <w:rPr>
          <w:sz w:val="24"/>
          <w:szCs w:val="24"/>
        </w:rPr>
        <w:t>pankreatitis</w:t>
      </w:r>
      <w:proofErr w:type="spellEnd"/>
      <w:r w:rsidRPr="00A35B16">
        <w:rPr>
          <w:sz w:val="24"/>
          <w:szCs w:val="24"/>
        </w:rPr>
        <w:t>.</w:t>
      </w:r>
    </w:p>
    <w:p w:rsidR="00BE115E" w:rsidRPr="00A35B16" w:rsidRDefault="00BE115E" w:rsidP="00BE115E">
      <w:pPr>
        <w:ind w:left="851"/>
        <w:rPr>
          <w:i/>
          <w:sz w:val="24"/>
          <w:szCs w:val="24"/>
        </w:rPr>
      </w:pPr>
    </w:p>
    <w:p w:rsidR="00BE115E" w:rsidRPr="00A35B16" w:rsidRDefault="00BE115E" w:rsidP="00BE115E">
      <w:pPr>
        <w:ind w:left="851"/>
        <w:rPr>
          <w:i/>
          <w:sz w:val="24"/>
          <w:szCs w:val="24"/>
        </w:rPr>
      </w:pPr>
      <w:r w:rsidRPr="00A35B16">
        <w:rPr>
          <w:i/>
          <w:sz w:val="24"/>
          <w:szCs w:val="24"/>
        </w:rPr>
        <w:t>Patienter med nedsat lipidmetabolisme</w:t>
      </w:r>
    </w:p>
    <w:p w:rsidR="00BE115E" w:rsidRPr="00A35B16" w:rsidRDefault="00BE115E" w:rsidP="00BE115E">
      <w:pPr>
        <w:ind w:left="851"/>
        <w:rPr>
          <w:sz w:val="24"/>
          <w:szCs w:val="24"/>
        </w:rPr>
      </w:pPr>
      <w:proofErr w:type="spellStart"/>
      <w:r w:rsidRPr="00A35B16">
        <w:rPr>
          <w:sz w:val="24"/>
          <w:szCs w:val="24"/>
        </w:rPr>
        <w:t>Nutriflex</w:t>
      </w:r>
      <w:proofErr w:type="spellEnd"/>
      <w:r w:rsidRPr="00A35B16">
        <w:rPr>
          <w:sz w:val="24"/>
          <w:szCs w:val="24"/>
        </w:rPr>
        <w:t xml:space="preserve"> Omega Special elektrolytfri bør administreres med forsigtighed til patienter med forstyrrelser af lipidmetabolismen med forhøjede serum-triglycerider, f.eks. nyreinsufficiens, diabetes mellitus, </w:t>
      </w:r>
      <w:proofErr w:type="spellStart"/>
      <w:r w:rsidRPr="00A35B16">
        <w:rPr>
          <w:sz w:val="24"/>
          <w:szCs w:val="24"/>
        </w:rPr>
        <w:t>pankreatitis</w:t>
      </w:r>
      <w:proofErr w:type="spellEnd"/>
      <w:r w:rsidRPr="00A35B16">
        <w:rPr>
          <w:sz w:val="24"/>
          <w:szCs w:val="24"/>
        </w:rPr>
        <w:t xml:space="preserve">, nedsat leverfunktion, </w:t>
      </w:r>
      <w:proofErr w:type="spellStart"/>
      <w:r w:rsidRPr="00A35B16">
        <w:rPr>
          <w:sz w:val="24"/>
          <w:szCs w:val="24"/>
        </w:rPr>
        <w:t>hypotyreoidisme</w:t>
      </w:r>
      <w:proofErr w:type="spellEnd"/>
      <w:r w:rsidRPr="00A35B16">
        <w:rPr>
          <w:sz w:val="24"/>
          <w:szCs w:val="24"/>
        </w:rPr>
        <w:t xml:space="preserve"> (med </w:t>
      </w:r>
      <w:proofErr w:type="spellStart"/>
      <w:r w:rsidRPr="00A35B16">
        <w:rPr>
          <w:sz w:val="24"/>
          <w:szCs w:val="24"/>
        </w:rPr>
        <w:t>hypertriglyceridæmi</w:t>
      </w:r>
      <w:proofErr w:type="spellEnd"/>
      <w:r w:rsidRPr="00A35B16">
        <w:rPr>
          <w:sz w:val="24"/>
          <w:szCs w:val="24"/>
        </w:rPr>
        <w:t xml:space="preserve">), sepsis og metabolisk syndrom. Hvis </w:t>
      </w:r>
      <w:proofErr w:type="spellStart"/>
      <w:r w:rsidRPr="00A35B16">
        <w:rPr>
          <w:sz w:val="24"/>
          <w:szCs w:val="24"/>
        </w:rPr>
        <w:t>Nutriflex</w:t>
      </w:r>
      <w:proofErr w:type="spellEnd"/>
      <w:r w:rsidRPr="00A35B16">
        <w:rPr>
          <w:sz w:val="24"/>
          <w:szCs w:val="24"/>
        </w:rPr>
        <w:t xml:space="preserve"> Omega Special elektrolytfri gives til patienter med disse tilstande, er det nødvendigt at overvåge serum-triglycerider hyppigere for at sikre triglyceridelimination og stabile triglyceridniveauer under 11,4 mmol/l (1.000 mg/dl).</w:t>
      </w:r>
    </w:p>
    <w:p w:rsidR="00BE115E" w:rsidRPr="00A35B16" w:rsidRDefault="00BE115E" w:rsidP="00BE115E">
      <w:pPr>
        <w:ind w:left="851"/>
        <w:rPr>
          <w:sz w:val="24"/>
          <w:szCs w:val="24"/>
        </w:rPr>
      </w:pPr>
      <w:r w:rsidRPr="00A35B16">
        <w:rPr>
          <w:sz w:val="24"/>
          <w:szCs w:val="24"/>
        </w:rPr>
        <w:t xml:space="preserve">Ved kombineret </w:t>
      </w:r>
      <w:proofErr w:type="spellStart"/>
      <w:r w:rsidRPr="00A35B16">
        <w:rPr>
          <w:sz w:val="24"/>
          <w:szCs w:val="24"/>
        </w:rPr>
        <w:t>hyperlipidæmi</w:t>
      </w:r>
      <w:proofErr w:type="spellEnd"/>
      <w:r w:rsidRPr="00A35B16">
        <w:rPr>
          <w:sz w:val="24"/>
          <w:szCs w:val="24"/>
        </w:rPr>
        <w:t xml:space="preserve"> og ved metabolisk syndrom reagerer triglyceridniveauerne på </w:t>
      </w:r>
      <w:proofErr w:type="spellStart"/>
      <w:r w:rsidRPr="00A35B16">
        <w:rPr>
          <w:sz w:val="24"/>
          <w:szCs w:val="24"/>
        </w:rPr>
        <w:t>glucose</w:t>
      </w:r>
      <w:proofErr w:type="spellEnd"/>
      <w:r w:rsidRPr="00A35B16">
        <w:rPr>
          <w:sz w:val="24"/>
          <w:szCs w:val="24"/>
        </w:rPr>
        <w:t xml:space="preserve">, lipider og overernæring. Dosis tilpasses i henhold hertil. Vurder og overvåg andre lipid- og </w:t>
      </w:r>
      <w:proofErr w:type="spellStart"/>
      <w:r w:rsidRPr="00A35B16">
        <w:rPr>
          <w:sz w:val="24"/>
          <w:szCs w:val="24"/>
        </w:rPr>
        <w:t>glucosekilder</w:t>
      </w:r>
      <w:proofErr w:type="spellEnd"/>
      <w:r w:rsidRPr="00A35B16">
        <w:rPr>
          <w:sz w:val="24"/>
          <w:szCs w:val="24"/>
        </w:rPr>
        <w:t xml:space="preserve"> samt lægemidler, der påvirker deres metabolisme.</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t xml:space="preserve">Tilstedeværelsen af </w:t>
      </w:r>
      <w:proofErr w:type="spellStart"/>
      <w:r w:rsidRPr="00A35B16">
        <w:rPr>
          <w:sz w:val="24"/>
          <w:szCs w:val="24"/>
        </w:rPr>
        <w:t>hypertriglyceridæmi</w:t>
      </w:r>
      <w:proofErr w:type="spellEnd"/>
      <w:r w:rsidRPr="00A35B16">
        <w:rPr>
          <w:sz w:val="24"/>
          <w:szCs w:val="24"/>
        </w:rPr>
        <w:t xml:space="preserve"> 12 timer efter lipidadministration indikerer også en forstyrrelse af lipidmetabolismen.</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t xml:space="preserve">Som for alle opløsninger, der indeholder kulhydrater, kan administration af </w:t>
      </w:r>
      <w:proofErr w:type="spellStart"/>
      <w:r w:rsidRPr="00A35B16">
        <w:rPr>
          <w:sz w:val="24"/>
          <w:szCs w:val="24"/>
        </w:rPr>
        <w:t>Nutriflex</w:t>
      </w:r>
      <w:proofErr w:type="spellEnd"/>
      <w:r w:rsidRPr="00A35B16">
        <w:rPr>
          <w:sz w:val="24"/>
          <w:szCs w:val="24"/>
        </w:rPr>
        <w:t xml:space="preserve"> Omega Special elektrolytfri føre til </w:t>
      </w:r>
      <w:proofErr w:type="spellStart"/>
      <w:r w:rsidRPr="00A35B16">
        <w:rPr>
          <w:sz w:val="24"/>
          <w:szCs w:val="24"/>
        </w:rPr>
        <w:t>hyperglykæmi</w:t>
      </w:r>
      <w:proofErr w:type="spellEnd"/>
      <w:r w:rsidRPr="00A35B16">
        <w:rPr>
          <w:sz w:val="24"/>
          <w:szCs w:val="24"/>
        </w:rPr>
        <w:t xml:space="preserve">. </w:t>
      </w:r>
      <w:proofErr w:type="spellStart"/>
      <w:r w:rsidRPr="00A35B16">
        <w:rPr>
          <w:sz w:val="24"/>
          <w:szCs w:val="24"/>
        </w:rPr>
        <w:t>Glucoseniveauet</w:t>
      </w:r>
      <w:proofErr w:type="spellEnd"/>
      <w:r w:rsidRPr="00A35B16">
        <w:rPr>
          <w:sz w:val="24"/>
          <w:szCs w:val="24"/>
        </w:rPr>
        <w:t xml:space="preserve"> i blodet bør overvåges. Hvis der er </w:t>
      </w:r>
      <w:proofErr w:type="spellStart"/>
      <w:r w:rsidRPr="00A35B16">
        <w:rPr>
          <w:sz w:val="24"/>
          <w:szCs w:val="24"/>
        </w:rPr>
        <w:t>hyperglykæmi</w:t>
      </w:r>
      <w:proofErr w:type="spellEnd"/>
      <w:r w:rsidRPr="00A35B16">
        <w:rPr>
          <w:sz w:val="24"/>
          <w:szCs w:val="24"/>
        </w:rPr>
        <w:t xml:space="preserve"> skal infusionshastigheden nedsættes, eller der skal administreres insulin. Hvis patienten samtidigt får andre intravenøse </w:t>
      </w:r>
      <w:proofErr w:type="spellStart"/>
      <w:r w:rsidRPr="00A35B16">
        <w:rPr>
          <w:sz w:val="24"/>
          <w:szCs w:val="24"/>
        </w:rPr>
        <w:t>glucoseopløsninger</w:t>
      </w:r>
      <w:proofErr w:type="spellEnd"/>
      <w:r w:rsidRPr="00A35B16">
        <w:rPr>
          <w:sz w:val="24"/>
          <w:szCs w:val="24"/>
        </w:rPr>
        <w:t xml:space="preserve">, skal mængden af ekstra administreret </w:t>
      </w:r>
      <w:proofErr w:type="spellStart"/>
      <w:r w:rsidRPr="00A35B16">
        <w:rPr>
          <w:sz w:val="24"/>
          <w:szCs w:val="24"/>
        </w:rPr>
        <w:t>glucose</w:t>
      </w:r>
      <w:proofErr w:type="spellEnd"/>
      <w:r w:rsidRPr="00A35B16">
        <w:rPr>
          <w:sz w:val="24"/>
          <w:szCs w:val="24"/>
        </w:rPr>
        <w:t xml:space="preserve"> tages i betragtning.</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t xml:space="preserve">Afbrydelse af administration af emulsionen kan være indiceret, hvis </w:t>
      </w:r>
      <w:proofErr w:type="spellStart"/>
      <w:r w:rsidRPr="00A35B16">
        <w:rPr>
          <w:sz w:val="24"/>
          <w:szCs w:val="24"/>
        </w:rPr>
        <w:t>glucose</w:t>
      </w:r>
      <w:r>
        <w:rPr>
          <w:sz w:val="24"/>
          <w:szCs w:val="24"/>
        </w:rPr>
        <w:softHyphen/>
      </w:r>
      <w:r w:rsidRPr="00A35B16">
        <w:rPr>
          <w:sz w:val="24"/>
          <w:szCs w:val="24"/>
        </w:rPr>
        <w:t>koncentrationen</w:t>
      </w:r>
      <w:proofErr w:type="spellEnd"/>
      <w:r w:rsidRPr="00A35B16">
        <w:rPr>
          <w:sz w:val="24"/>
          <w:szCs w:val="24"/>
        </w:rPr>
        <w:t xml:space="preserve"> i blodet stiger til over 14 mmol/l (250 mg/dl) under administration.</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rPr>
        <w:t>Der skal tilføjes tilskud af sporstoffer og vitaminer i overensstemmelse med ernæringsmæssige og kliniske behov.</w:t>
      </w:r>
    </w:p>
    <w:p w:rsidR="00BE115E" w:rsidRPr="00A35B16" w:rsidRDefault="00BE115E" w:rsidP="00BE115E">
      <w:pPr>
        <w:ind w:left="851"/>
        <w:rPr>
          <w:sz w:val="24"/>
          <w:szCs w:val="24"/>
        </w:rPr>
      </w:pPr>
    </w:p>
    <w:p w:rsidR="00BE115E" w:rsidRPr="00A35B16" w:rsidRDefault="00BE115E" w:rsidP="00BE115E">
      <w:pPr>
        <w:ind w:left="851"/>
        <w:rPr>
          <w:sz w:val="24"/>
          <w:szCs w:val="24"/>
        </w:rPr>
      </w:pPr>
      <w:proofErr w:type="spellStart"/>
      <w:r w:rsidRPr="00A35B16">
        <w:rPr>
          <w:sz w:val="24"/>
          <w:szCs w:val="24"/>
        </w:rPr>
        <w:t>Nutriflex</w:t>
      </w:r>
      <w:proofErr w:type="spellEnd"/>
      <w:r w:rsidRPr="00A35B16">
        <w:rPr>
          <w:sz w:val="24"/>
          <w:szCs w:val="24"/>
        </w:rPr>
        <w:t xml:space="preserve"> Omega Special elektrolytfri må ikke administreres sammen med blod i samme infusionssæt på grund af risiko for pseudoagglutination (se også pkt. 4.5).</w:t>
      </w:r>
    </w:p>
    <w:p w:rsidR="00BE115E" w:rsidRPr="00A35B16" w:rsidRDefault="00BE115E" w:rsidP="00BE115E">
      <w:pPr>
        <w:ind w:left="851"/>
        <w:rPr>
          <w:sz w:val="24"/>
          <w:szCs w:val="24"/>
        </w:rPr>
      </w:pPr>
    </w:p>
    <w:p w:rsidR="00BE115E" w:rsidRPr="00A35B16" w:rsidRDefault="00BE115E" w:rsidP="00BE115E">
      <w:pPr>
        <w:ind w:left="851"/>
        <w:rPr>
          <w:sz w:val="24"/>
          <w:szCs w:val="24"/>
          <w:lang w:bidi="da-DK"/>
        </w:rPr>
      </w:pPr>
      <w:proofErr w:type="spellStart"/>
      <w:r w:rsidRPr="00A35B16">
        <w:rPr>
          <w:sz w:val="24"/>
          <w:szCs w:val="24"/>
        </w:rPr>
        <w:t>Nutriflex</w:t>
      </w:r>
      <w:proofErr w:type="spellEnd"/>
      <w:r w:rsidRPr="00A35B16">
        <w:rPr>
          <w:sz w:val="24"/>
          <w:szCs w:val="24"/>
        </w:rPr>
        <w:t xml:space="preserve"> Omega Special elektrolytfri </w:t>
      </w:r>
      <w:r w:rsidRPr="00A35B16">
        <w:rPr>
          <w:sz w:val="24"/>
          <w:szCs w:val="24"/>
          <w:lang w:bidi="da-DK"/>
        </w:rPr>
        <w:t>er en blanding med en kompleks sammensætning. Det frarådes derfor på det kraftigste at tilsætte andre opløsninger (så længe der ikke er påvist forligelighed – se pkt. 6.2).</w:t>
      </w:r>
    </w:p>
    <w:p w:rsidR="00BE115E" w:rsidRPr="00A35B16" w:rsidRDefault="00BE115E" w:rsidP="00BE115E">
      <w:pPr>
        <w:ind w:left="851"/>
        <w:rPr>
          <w:sz w:val="24"/>
          <w:szCs w:val="24"/>
        </w:rPr>
      </w:pPr>
    </w:p>
    <w:p w:rsidR="00BE115E" w:rsidRPr="00A35B16" w:rsidRDefault="00BE115E" w:rsidP="00BE115E">
      <w:pPr>
        <w:ind w:left="851"/>
        <w:rPr>
          <w:sz w:val="24"/>
          <w:szCs w:val="24"/>
        </w:rPr>
      </w:pPr>
      <w:r w:rsidRPr="00A35B16">
        <w:rPr>
          <w:sz w:val="24"/>
          <w:szCs w:val="24"/>
          <w:lang w:bidi="da-DK"/>
        </w:rPr>
        <w:t>Som ved alle intravenøse opløsninger, særligt til parenteral ernæring</w:t>
      </w:r>
      <w:r w:rsidRPr="00A35B16">
        <w:rPr>
          <w:sz w:val="24"/>
          <w:szCs w:val="24"/>
        </w:rPr>
        <w:t xml:space="preserve">, er det nødvendigt med strenge aseptiske forholdsregler for infusion af </w:t>
      </w:r>
      <w:proofErr w:type="spellStart"/>
      <w:r w:rsidRPr="00A35B16">
        <w:rPr>
          <w:sz w:val="24"/>
          <w:szCs w:val="24"/>
        </w:rPr>
        <w:t>Nutriflex</w:t>
      </w:r>
      <w:proofErr w:type="spellEnd"/>
      <w:r w:rsidRPr="00A35B16">
        <w:rPr>
          <w:sz w:val="24"/>
          <w:szCs w:val="24"/>
        </w:rPr>
        <w:t xml:space="preserve"> Omega Special elektrolytfri.</w:t>
      </w:r>
    </w:p>
    <w:p w:rsidR="00BE115E" w:rsidRPr="00A35B16" w:rsidRDefault="00BE115E" w:rsidP="00BE115E">
      <w:pPr>
        <w:ind w:left="851"/>
        <w:rPr>
          <w:sz w:val="24"/>
          <w:szCs w:val="24"/>
        </w:rPr>
      </w:pPr>
    </w:p>
    <w:p w:rsidR="00BE115E" w:rsidRPr="00A35B16" w:rsidRDefault="00BE115E" w:rsidP="00BE115E">
      <w:pPr>
        <w:ind w:left="851"/>
        <w:rPr>
          <w:i/>
          <w:sz w:val="24"/>
          <w:szCs w:val="24"/>
        </w:rPr>
      </w:pPr>
      <w:r w:rsidRPr="00A35B16">
        <w:rPr>
          <w:i/>
          <w:sz w:val="24"/>
          <w:szCs w:val="24"/>
        </w:rPr>
        <w:t>Pædiatrisk population</w:t>
      </w:r>
    </w:p>
    <w:p w:rsidR="00BE115E" w:rsidRPr="00A35B16" w:rsidRDefault="00BE115E" w:rsidP="00BE115E">
      <w:pPr>
        <w:ind w:left="851"/>
        <w:rPr>
          <w:sz w:val="24"/>
          <w:szCs w:val="24"/>
        </w:rPr>
      </w:pPr>
      <w:r w:rsidRPr="00A35B16">
        <w:rPr>
          <w:sz w:val="24"/>
          <w:szCs w:val="24"/>
        </w:rPr>
        <w:t xml:space="preserve">Der er på nuværende tidspunkt ingen klinisk erfaring med brug af </w:t>
      </w:r>
      <w:proofErr w:type="spellStart"/>
      <w:r w:rsidRPr="00A35B16">
        <w:rPr>
          <w:sz w:val="24"/>
          <w:szCs w:val="24"/>
        </w:rPr>
        <w:t>Nutriflex</w:t>
      </w:r>
      <w:proofErr w:type="spellEnd"/>
      <w:r w:rsidRPr="00A35B16">
        <w:rPr>
          <w:sz w:val="24"/>
          <w:szCs w:val="24"/>
        </w:rPr>
        <w:t xml:space="preserve"> Omega Special elektrolytfri til børn og unge.</w:t>
      </w:r>
    </w:p>
    <w:p w:rsidR="00BE115E" w:rsidRPr="00A35B16" w:rsidRDefault="00BE115E" w:rsidP="00BE115E">
      <w:pPr>
        <w:ind w:left="851"/>
        <w:rPr>
          <w:sz w:val="24"/>
          <w:szCs w:val="24"/>
        </w:rPr>
      </w:pPr>
    </w:p>
    <w:p w:rsidR="00BE115E" w:rsidRPr="00A35B16" w:rsidRDefault="00BE115E" w:rsidP="00BE115E">
      <w:pPr>
        <w:ind w:left="851"/>
        <w:rPr>
          <w:i/>
          <w:sz w:val="24"/>
          <w:szCs w:val="24"/>
          <w:lang w:eastAsia="da-DK" w:bidi="da-DK"/>
        </w:rPr>
      </w:pPr>
      <w:r w:rsidRPr="00A35B16">
        <w:rPr>
          <w:i/>
          <w:sz w:val="24"/>
          <w:szCs w:val="24"/>
          <w:lang w:eastAsia="da-DK" w:bidi="da-DK"/>
        </w:rPr>
        <w:t>Ældre patienter</w:t>
      </w:r>
    </w:p>
    <w:p w:rsidR="00BE115E" w:rsidRPr="00A35B16" w:rsidRDefault="00BE115E" w:rsidP="00BE115E">
      <w:pPr>
        <w:ind w:left="851"/>
        <w:rPr>
          <w:sz w:val="24"/>
          <w:szCs w:val="24"/>
          <w:lang w:eastAsia="da-DK" w:bidi="da-DK"/>
        </w:rPr>
      </w:pPr>
      <w:r w:rsidRPr="00A35B16">
        <w:rPr>
          <w:sz w:val="24"/>
          <w:szCs w:val="24"/>
          <w:lang w:eastAsia="da-DK" w:bidi="da-DK"/>
        </w:rPr>
        <w:t>Grundlæggende gælder den samme dosering som for voksne, men der skal udvises forsigtighed hos patienter, der lider af andre sygdomme såsom hjerteinsufficiens eller nyreinsufficiens, der hyppigt er forbundet med en fremskreden alder.</w:t>
      </w:r>
    </w:p>
    <w:p w:rsidR="00BE115E" w:rsidRPr="00A35B16" w:rsidRDefault="00BE115E" w:rsidP="00BE115E">
      <w:pPr>
        <w:ind w:left="851"/>
        <w:rPr>
          <w:sz w:val="24"/>
          <w:szCs w:val="24"/>
          <w:lang w:eastAsia="da-DK" w:bidi="da-DK"/>
        </w:rPr>
      </w:pPr>
    </w:p>
    <w:p w:rsidR="00BE115E" w:rsidRPr="00A35B16" w:rsidRDefault="00BE115E" w:rsidP="00BE115E">
      <w:pPr>
        <w:ind w:left="851"/>
        <w:rPr>
          <w:i/>
          <w:sz w:val="24"/>
          <w:szCs w:val="24"/>
          <w:lang w:eastAsia="da-DK" w:bidi="da-DK"/>
        </w:rPr>
      </w:pPr>
      <w:r w:rsidRPr="00A35B16">
        <w:rPr>
          <w:i/>
          <w:sz w:val="24"/>
          <w:szCs w:val="24"/>
          <w:lang w:eastAsia="da-DK" w:bidi="da-DK"/>
        </w:rPr>
        <w:t>Patienter med diabetes mellitus, nedsat hjerte- eller nyrefunktion</w:t>
      </w:r>
    </w:p>
    <w:p w:rsidR="00BE115E" w:rsidRPr="00A35B16" w:rsidRDefault="00BE115E" w:rsidP="00BE115E">
      <w:pPr>
        <w:ind w:left="851"/>
        <w:rPr>
          <w:sz w:val="24"/>
          <w:szCs w:val="24"/>
          <w:lang w:eastAsia="da-DK" w:bidi="da-DK"/>
        </w:rPr>
      </w:pPr>
      <w:r w:rsidRPr="00A35B16">
        <w:rPr>
          <w:sz w:val="24"/>
          <w:szCs w:val="24"/>
          <w:lang w:eastAsia="da-DK" w:bidi="da-DK"/>
        </w:rPr>
        <w:t xml:space="preserve">Ligesom alle store mængder af infusionsopløsninger skal </w:t>
      </w:r>
      <w:proofErr w:type="spellStart"/>
      <w:r w:rsidRPr="00A35B16">
        <w:rPr>
          <w:sz w:val="24"/>
          <w:szCs w:val="24"/>
        </w:rPr>
        <w:t>Nutriflex</w:t>
      </w:r>
      <w:proofErr w:type="spellEnd"/>
      <w:r w:rsidRPr="00A35B16">
        <w:rPr>
          <w:sz w:val="24"/>
          <w:szCs w:val="24"/>
        </w:rPr>
        <w:t xml:space="preserve"> Omega Special elektrolytfri</w:t>
      </w:r>
      <w:r w:rsidRPr="00A35B16">
        <w:rPr>
          <w:sz w:val="24"/>
          <w:szCs w:val="24"/>
          <w:lang w:eastAsia="da-DK" w:bidi="da-DK"/>
        </w:rPr>
        <w:t xml:space="preserve"> administreres med forsigtighed til patienter med nedsat hjerte- eller nyrefunktion.</w:t>
      </w:r>
    </w:p>
    <w:p w:rsidR="00BE115E" w:rsidRPr="00A35B16" w:rsidRDefault="00BE115E" w:rsidP="00BE115E">
      <w:pPr>
        <w:ind w:left="851"/>
        <w:rPr>
          <w:sz w:val="24"/>
          <w:szCs w:val="24"/>
          <w:lang w:eastAsia="da-DK" w:bidi="da-DK"/>
        </w:rPr>
      </w:pPr>
      <w:r w:rsidRPr="00A35B16">
        <w:rPr>
          <w:sz w:val="24"/>
          <w:szCs w:val="24"/>
          <w:lang w:eastAsia="da-DK" w:bidi="da-DK"/>
        </w:rPr>
        <w:t>Der er kun begrænset erfaring med anvendelse til patienter med diabetes mellitus eller nyresvigt.</w:t>
      </w:r>
    </w:p>
    <w:p w:rsidR="00BE115E" w:rsidRPr="00A35B16" w:rsidRDefault="00BE115E" w:rsidP="00BE115E">
      <w:pPr>
        <w:ind w:left="851"/>
        <w:rPr>
          <w:sz w:val="24"/>
          <w:szCs w:val="24"/>
          <w:lang w:eastAsia="da-DK" w:bidi="da-DK"/>
        </w:rPr>
      </w:pPr>
    </w:p>
    <w:p w:rsidR="00BE115E" w:rsidRPr="00A35B16" w:rsidRDefault="00BE115E" w:rsidP="00BE115E">
      <w:pPr>
        <w:ind w:left="851"/>
        <w:rPr>
          <w:sz w:val="24"/>
          <w:szCs w:val="24"/>
          <w:lang w:eastAsia="da-DK" w:bidi="da-DK"/>
        </w:rPr>
      </w:pPr>
      <w:r w:rsidRPr="00A35B16">
        <w:rPr>
          <w:sz w:val="24"/>
          <w:szCs w:val="24"/>
          <w:lang w:eastAsia="da-DK" w:bidi="da-DK"/>
        </w:rPr>
        <w:t xml:space="preserve">Hos patienter med nyreinsufficiens er tæt overvågning af </w:t>
      </w:r>
      <w:proofErr w:type="spellStart"/>
      <w:r w:rsidRPr="00A35B16">
        <w:rPr>
          <w:sz w:val="24"/>
          <w:szCs w:val="24"/>
          <w:lang w:eastAsia="da-DK" w:bidi="da-DK"/>
        </w:rPr>
        <w:t>phosphatniveauerne</w:t>
      </w:r>
      <w:proofErr w:type="spellEnd"/>
      <w:r w:rsidRPr="00A35B16">
        <w:rPr>
          <w:sz w:val="24"/>
          <w:szCs w:val="24"/>
          <w:lang w:eastAsia="da-DK" w:bidi="da-DK"/>
        </w:rPr>
        <w:t xml:space="preserve"> nødvendig for at forebygge </w:t>
      </w:r>
      <w:proofErr w:type="spellStart"/>
      <w:r w:rsidRPr="00A35B16">
        <w:rPr>
          <w:b/>
          <w:sz w:val="24"/>
          <w:szCs w:val="24"/>
          <w:lang w:eastAsia="da-DK" w:bidi="da-DK"/>
        </w:rPr>
        <w:t>hyper</w:t>
      </w:r>
      <w:r w:rsidRPr="00A35B16">
        <w:rPr>
          <w:sz w:val="24"/>
          <w:szCs w:val="24"/>
          <w:lang w:eastAsia="da-DK" w:bidi="da-DK"/>
        </w:rPr>
        <w:t>fosfatæmi</w:t>
      </w:r>
      <w:proofErr w:type="spellEnd"/>
      <w:r w:rsidRPr="00A35B16">
        <w:rPr>
          <w:sz w:val="24"/>
          <w:szCs w:val="24"/>
          <w:lang w:eastAsia="da-DK" w:bidi="da-DK"/>
        </w:rPr>
        <w:t xml:space="preserve">. Omvendt er det hos patienter i kontinuerlig </w:t>
      </w:r>
      <w:proofErr w:type="spellStart"/>
      <w:r w:rsidRPr="00A35B16">
        <w:rPr>
          <w:sz w:val="24"/>
          <w:szCs w:val="24"/>
          <w:lang w:eastAsia="da-DK" w:bidi="da-DK"/>
        </w:rPr>
        <w:t>nyresubstitionsterapi</w:t>
      </w:r>
      <w:proofErr w:type="spellEnd"/>
      <w:r w:rsidRPr="00A35B16">
        <w:rPr>
          <w:sz w:val="24"/>
          <w:szCs w:val="24"/>
          <w:lang w:eastAsia="da-DK" w:bidi="da-DK"/>
        </w:rPr>
        <w:t xml:space="preserve"> nødvendigt med regelmæssig overvågning og tilstrækkelig erstatning af </w:t>
      </w:r>
      <w:proofErr w:type="spellStart"/>
      <w:r w:rsidRPr="00A35B16">
        <w:rPr>
          <w:sz w:val="24"/>
          <w:szCs w:val="24"/>
          <w:lang w:eastAsia="da-DK" w:bidi="da-DK"/>
        </w:rPr>
        <w:t>phosphat</w:t>
      </w:r>
      <w:proofErr w:type="spellEnd"/>
      <w:r w:rsidRPr="00A35B16">
        <w:rPr>
          <w:sz w:val="24"/>
          <w:szCs w:val="24"/>
          <w:lang w:eastAsia="da-DK" w:bidi="da-DK"/>
        </w:rPr>
        <w:t xml:space="preserve"> for at forebygge </w:t>
      </w:r>
      <w:proofErr w:type="spellStart"/>
      <w:r w:rsidRPr="00A35B16">
        <w:rPr>
          <w:b/>
          <w:sz w:val="24"/>
          <w:szCs w:val="24"/>
          <w:lang w:eastAsia="da-DK" w:bidi="da-DK"/>
        </w:rPr>
        <w:t>hypo</w:t>
      </w:r>
      <w:r w:rsidRPr="00A35B16">
        <w:rPr>
          <w:sz w:val="24"/>
          <w:szCs w:val="24"/>
          <w:lang w:eastAsia="da-DK" w:bidi="da-DK"/>
        </w:rPr>
        <w:t>fosfatæmi</w:t>
      </w:r>
      <w:proofErr w:type="spellEnd"/>
      <w:r w:rsidRPr="00A35B16">
        <w:rPr>
          <w:sz w:val="24"/>
          <w:szCs w:val="24"/>
          <w:lang w:eastAsia="da-DK" w:bidi="da-DK"/>
        </w:rPr>
        <w:t>.</w:t>
      </w:r>
    </w:p>
    <w:p w:rsidR="00BE115E" w:rsidRPr="00A35B16" w:rsidRDefault="00BE115E" w:rsidP="00BE115E">
      <w:pPr>
        <w:ind w:left="851"/>
        <w:rPr>
          <w:sz w:val="24"/>
          <w:szCs w:val="24"/>
          <w:lang w:eastAsia="da-DK" w:bidi="da-DK"/>
        </w:rPr>
      </w:pPr>
    </w:p>
    <w:p w:rsidR="00BE115E" w:rsidRPr="00A35B16" w:rsidRDefault="00BE115E" w:rsidP="00BE115E">
      <w:pPr>
        <w:ind w:left="851"/>
        <w:rPr>
          <w:b/>
          <w:sz w:val="24"/>
          <w:szCs w:val="24"/>
          <w:lang w:eastAsia="da-DK" w:bidi="da-DK"/>
        </w:rPr>
      </w:pPr>
      <w:r w:rsidRPr="00A35B16">
        <w:rPr>
          <w:b/>
          <w:sz w:val="24"/>
          <w:szCs w:val="24"/>
          <w:lang w:eastAsia="da-DK" w:bidi="da-DK"/>
        </w:rPr>
        <w:t>Særlige advarsler/forsigtighedsregler vedrørende hjælpestoffer</w:t>
      </w:r>
    </w:p>
    <w:p w:rsidR="00BE115E" w:rsidRPr="00A35B16" w:rsidRDefault="00BE115E" w:rsidP="00BE115E">
      <w:pPr>
        <w:ind w:left="851"/>
        <w:rPr>
          <w:sz w:val="24"/>
          <w:szCs w:val="24"/>
          <w:lang w:eastAsia="da-DK" w:bidi="da-DK"/>
        </w:rPr>
      </w:pPr>
      <w:r w:rsidRPr="00A35B16">
        <w:rPr>
          <w:sz w:val="24"/>
          <w:szCs w:val="24"/>
          <w:lang w:eastAsia="da-DK" w:bidi="da-DK"/>
        </w:rPr>
        <w:t xml:space="preserve">Denne medicin indeholder mindre end 1 mmol (23 mg) natrium pr. flerkammerpose, dvs. den er i det væsentlige natriumfri. </w:t>
      </w:r>
    </w:p>
    <w:p w:rsidR="00BE115E" w:rsidRPr="00A35B16" w:rsidRDefault="00BE115E" w:rsidP="00BE115E">
      <w:pPr>
        <w:ind w:left="851"/>
        <w:rPr>
          <w:sz w:val="24"/>
          <w:szCs w:val="24"/>
        </w:rPr>
      </w:pPr>
    </w:p>
    <w:p w:rsidR="00BE115E" w:rsidRPr="00A35B16" w:rsidRDefault="00BE115E" w:rsidP="00BE115E">
      <w:pPr>
        <w:ind w:left="851"/>
        <w:rPr>
          <w:b/>
          <w:sz w:val="24"/>
          <w:szCs w:val="24"/>
          <w:u w:val="single"/>
        </w:rPr>
      </w:pPr>
      <w:r w:rsidRPr="00A35B16">
        <w:rPr>
          <w:b/>
          <w:sz w:val="24"/>
          <w:szCs w:val="24"/>
          <w:u w:val="single"/>
        </w:rPr>
        <w:t>Påvirkning af laboratorieprøver</w:t>
      </w:r>
    </w:p>
    <w:p w:rsidR="00BE115E" w:rsidRPr="00A35B16" w:rsidRDefault="00BE115E" w:rsidP="00BE115E">
      <w:pPr>
        <w:ind w:left="851"/>
        <w:rPr>
          <w:sz w:val="24"/>
          <w:szCs w:val="24"/>
        </w:rPr>
      </w:pPr>
      <w:r w:rsidRPr="00A35B16">
        <w:rPr>
          <w:sz w:val="24"/>
          <w:szCs w:val="24"/>
        </w:rPr>
        <w:t xml:space="preserve">Fedtindholdet kan påvirke visse laboratorieresultater (f.eks. bilirubin, </w:t>
      </w:r>
      <w:proofErr w:type="spellStart"/>
      <w:r w:rsidRPr="00A35B16">
        <w:rPr>
          <w:sz w:val="24"/>
          <w:szCs w:val="24"/>
        </w:rPr>
        <w:t>lactatdehydrogenase</w:t>
      </w:r>
      <w:proofErr w:type="spellEnd"/>
      <w:r w:rsidRPr="00A35B16">
        <w:rPr>
          <w:sz w:val="24"/>
          <w:szCs w:val="24"/>
        </w:rPr>
        <w:t>, iltmætning), hvis blodprøven blev taget, før fedtstoffet er tilstrækkeligt elimineret fra blodet.</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4.5</w:t>
      </w:r>
      <w:r w:rsidRPr="000375F3">
        <w:rPr>
          <w:b/>
          <w:sz w:val="24"/>
          <w:szCs w:val="24"/>
        </w:rPr>
        <w:tab/>
        <w:t>Interaktion med andre lægemidler og andre former for interaktion</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Nogle lægemidler, såsom insulin, kan påvirke kroppens </w:t>
      </w:r>
      <w:proofErr w:type="spellStart"/>
      <w:r w:rsidRPr="000375F3">
        <w:rPr>
          <w:rFonts w:ascii="Times New Roman" w:hAnsi="Times New Roman"/>
          <w:szCs w:val="24"/>
        </w:rPr>
        <w:t>lipasesystem</w:t>
      </w:r>
      <w:proofErr w:type="spellEnd"/>
      <w:r w:rsidRPr="000375F3">
        <w:rPr>
          <w:rFonts w:ascii="Times New Roman" w:hAnsi="Times New Roman"/>
          <w:szCs w:val="24"/>
        </w:rPr>
        <w:t>. Denne type interaktion ser imidlertid ud til kun at være af begrænset klinisk relevans.</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proofErr w:type="spellStart"/>
      <w:r w:rsidRPr="000375F3">
        <w:rPr>
          <w:rFonts w:ascii="Times New Roman" w:hAnsi="Times New Roman"/>
          <w:szCs w:val="24"/>
        </w:rPr>
        <w:t>Heparin</w:t>
      </w:r>
      <w:proofErr w:type="spellEnd"/>
      <w:r w:rsidRPr="000375F3">
        <w:rPr>
          <w:rFonts w:ascii="Times New Roman" w:hAnsi="Times New Roman"/>
          <w:szCs w:val="24"/>
        </w:rPr>
        <w:t xml:space="preserve">, der gives i kliniske doser, forårsager en </w:t>
      </w:r>
      <w:bookmarkStart w:id="0" w:name="OLE_LINK2"/>
      <w:bookmarkStart w:id="1" w:name="OLE_LINK1"/>
      <w:r w:rsidRPr="000375F3">
        <w:rPr>
          <w:rFonts w:ascii="Times New Roman" w:hAnsi="Times New Roman"/>
          <w:szCs w:val="24"/>
        </w:rPr>
        <w:t xml:space="preserve">forbigående frigivelse af </w:t>
      </w:r>
      <w:proofErr w:type="spellStart"/>
      <w:r w:rsidRPr="000375F3">
        <w:rPr>
          <w:rFonts w:ascii="Times New Roman" w:hAnsi="Times New Roman"/>
          <w:szCs w:val="24"/>
        </w:rPr>
        <w:t>lipoprotein-lipase</w:t>
      </w:r>
      <w:bookmarkEnd w:id="0"/>
      <w:bookmarkEnd w:id="1"/>
      <w:proofErr w:type="spellEnd"/>
      <w:r w:rsidRPr="000375F3">
        <w:rPr>
          <w:rFonts w:ascii="Times New Roman" w:hAnsi="Times New Roman"/>
          <w:szCs w:val="24"/>
        </w:rPr>
        <w:t xml:space="preserve"> i kredsløbet. Dette kan i starten føre til øget </w:t>
      </w:r>
      <w:proofErr w:type="spellStart"/>
      <w:r w:rsidRPr="000375F3">
        <w:rPr>
          <w:rFonts w:ascii="Times New Roman" w:hAnsi="Times New Roman"/>
          <w:szCs w:val="24"/>
        </w:rPr>
        <w:t>lipolyse</w:t>
      </w:r>
      <w:proofErr w:type="spellEnd"/>
      <w:r w:rsidRPr="000375F3">
        <w:rPr>
          <w:rFonts w:ascii="Times New Roman" w:hAnsi="Times New Roman"/>
          <w:szCs w:val="24"/>
        </w:rPr>
        <w:t xml:space="preserve"> i plasma efterfulgt af et forbigående fald i triglycerid-</w:t>
      </w:r>
      <w:proofErr w:type="spellStart"/>
      <w:r w:rsidRPr="000375F3">
        <w:rPr>
          <w:rFonts w:ascii="Times New Roman" w:hAnsi="Times New Roman"/>
          <w:szCs w:val="24"/>
        </w:rPr>
        <w:t>clearance</w:t>
      </w:r>
      <w:proofErr w:type="spellEnd"/>
      <w:r w:rsidRPr="000375F3">
        <w:rPr>
          <w:rFonts w:ascii="Times New Roman" w:hAnsi="Times New Roman"/>
          <w:szCs w:val="24"/>
        </w:rPr>
        <w:t>.</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Sojaolie har et naturligt indhold af K</w:t>
      </w:r>
      <w:r w:rsidRPr="000375F3">
        <w:rPr>
          <w:rFonts w:ascii="Times New Roman" w:hAnsi="Times New Roman"/>
          <w:szCs w:val="24"/>
          <w:vertAlign w:val="subscript"/>
        </w:rPr>
        <w:t>1</w:t>
      </w:r>
      <w:r w:rsidRPr="000375F3">
        <w:rPr>
          <w:rFonts w:ascii="Times New Roman" w:hAnsi="Times New Roman"/>
          <w:szCs w:val="24"/>
        </w:rPr>
        <w:t xml:space="preserve">-vitamin. Dette kan påvirke den terapeutiske virkning af </w:t>
      </w:r>
      <w:proofErr w:type="spellStart"/>
      <w:r w:rsidRPr="000375F3">
        <w:rPr>
          <w:rFonts w:ascii="Times New Roman" w:hAnsi="Times New Roman"/>
          <w:szCs w:val="24"/>
        </w:rPr>
        <w:t>coumarinderivater</w:t>
      </w:r>
      <w:proofErr w:type="spellEnd"/>
      <w:r w:rsidRPr="000375F3">
        <w:rPr>
          <w:rFonts w:ascii="Times New Roman" w:hAnsi="Times New Roman"/>
          <w:szCs w:val="24"/>
        </w:rPr>
        <w:t>, som bør overvåges nøje hos patienter i behandling med sådanne lægemidler.</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proofErr w:type="spellStart"/>
      <w:r w:rsidRPr="000375F3">
        <w:rPr>
          <w:rFonts w:ascii="Times New Roman" w:hAnsi="Times New Roman"/>
          <w:szCs w:val="24"/>
        </w:rPr>
        <w:t>Nutriflex</w:t>
      </w:r>
      <w:proofErr w:type="spellEnd"/>
      <w:r w:rsidRPr="000375F3">
        <w:rPr>
          <w:rFonts w:ascii="Times New Roman" w:hAnsi="Times New Roman"/>
          <w:szCs w:val="24"/>
        </w:rPr>
        <w:t xml:space="preserve"> Omega Special elektrolytfri må ikke administreres sammen med blod i samme infusionssæt på grund af risiko for pseudoagglutination (se også pkt. 4.4).</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4.6</w:t>
      </w:r>
      <w:r w:rsidRPr="000375F3">
        <w:rPr>
          <w:b/>
          <w:sz w:val="24"/>
          <w:szCs w:val="24"/>
        </w:rPr>
        <w:tab/>
      </w:r>
      <w:r w:rsidR="000C222F">
        <w:rPr>
          <w:b/>
          <w:sz w:val="24"/>
          <w:szCs w:val="24"/>
        </w:rPr>
        <w:t>Fertilitet, g</w:t>
      </w:r>
      <w:r w:rsidRPr="000375F3">
        <w:rPr>
          <w:b/>
          <w:sz w:val="24"/>
          <w:szCs w:val="24"/>
        </w:rPr>
        <w:t>raviditet og amning</w:t>
      </w:r>
    </w:p>
    <w:p w:rsidR="00BE115E" w:rsidRPr="00712891" w:rsidRDefault="00BE115E" w:rsidP="00BE115E">
      <w:pPr>
        <w:ind w:left="851"/>
        <w:rPr>
          <w:i/>
          <w:sz w:val="24"/>
        </w:rPr>
      </w:pPr>
      <w:r w:rsidRPr="00712891">
        <w:rPr>
          <w:i/>
          <w:sz w:val="24"/>
        </w:rPr>
        <w:t>Fertilitet</w:t>
      </w:r>
    </w:p>
    <w:p w:rsidR="00BE115E" w:rsidRPr="000375F3" w:rsidRDefault="00BE115E" w:rsidP="00BE115E">
      <w:pPr>
        <w:ind w:left="851"/>
        <w:rPr>
          <w:sz w:val="24"/>
        </w:rPr>
      </w:pPr>
      <w:r w:rsidRPr="000375F3">
        <w:rPr>
          <w:sz w:val="24"/>
        </w:rPr>
        <w:t xml:space="preserve">Der er ingen tilgængelige data fra anvendelse af </w:t>
      </w:r>
      <w:proofErr w:type="spellStart"/>
      <w:r w:rsidRPr="000375F3">
        <w:rPr>
          <w:sz w:val="24"/>
        </w:rPr>
        <w:t>Nutriflex</w:t>
      </w:r>
      <w:proofErr w:type="spellEnd"/>
      <w:r w:rsidRPr="000375F3">
        <w:rPr>
          <w:sz w:val="24"/>
        </w:rPr>
        <w:t xml:space="preserve"> Omega Special elektrolytfri.</w:t>
      </w:r>
    </w:p>
    <w:p w:rsidR="00BE115E" w:rsidRDefault="00BE115E" w:rsidP="00BE115E">
      <w:pPr>
        <w:ind w:left="851"/>
      </w:pPr>
    </w:p>
    <w:p w:rsidR="00BE115E" w:rsidRPr="00712891" w:rsidRDefault="00BE115E" w:rsidP="00BE115E">
      <w:pPr>
        <w:ind w:left="851"/>
        <w:rPr>
          <w:i/>
          <w:sz w:val="24"/>
        </w:rPr>
      </w:pPr>
      <w:r w:rsidRPr="00712891">
        <w:rPr>
          <w:i/>
          <w:sz w:val="24"/>
        </w:rPr>
        <w:t>Graviditet</w:t>
      </w:r>
    </w:p>
    <w:p w:rsidR="00BE115E" w:rsidRPr="000375F3" w:rsidRDefault="00BE115E" w:rsidP="00BE115E">
      <w:pPr>
        <w:ind w:left="851"/>
        <w:rPr>
          <w:sz w:val="24"/>
          <w:lang w:bidi="da-DK"/>
        </w:rPr>
      </w:pPr>
      <w:r w:rsidRPr="000375F3">
        <w:rPr>
          <w:sz w:val="24"/>
        </w:rPr>
        <w:t xml:space="preserve">Der er ingen eller utilstrækkelige data fra anvendelse af </w:t>
      </w:r>
      <w:proofErr w:type="spellStart"/>
      <w:r w:rsidRPr="000375F3">
        <w:rPr>
          <w:sz w:val="24"/>
        </w:rPr>
        <w:t>Nutriflex</w:t>
      </w:r>
      <w:proofErr w:type="spellEnd"/>
      <w:r w:rsidRPr="000375F3">
        <w:rPr>
          <w:sz w:val="24"/>
        </w:rPr>
        <w:t xml:space="preserve"> Omega Special elektrolytfri til gravide kvinder. </w:t>
      </w:r>
      <w:r w:rsidRPr="000375F3">
        <w:rPr>
          <w:sz w:val="24"/>
          <w:lang w:bidi="da-DK"/>
        </w:rPr>
        <w:t xml:space="preserve">Data fra dyrestudier er utilstrækkelige, hvad angår reproduktionstoksicitet (se pkt. 5.3). </w:t>
      </w:r>
    </w:p>
    <w:p w:rsidR="00BE115E" w:rsidRPr="000375F3" w:rsidRDefault="00BE115E" w:rsidP="00BE115E">
      <w:pPr>
        <w:ind w:left="851"/>
        <w:rPr>
          <w:sz w:val="24"/>
        </w:rPr>
      </w:pPr>
      <w:r w:rsidRPr="000375F3">
        <w:rPr>
          <w:sz w:val="24"/>
        </w:rPr>
        <w:t xml:space="preserve">Det kan blive nødvendigt med parenteral ernæring i løbet af graviditeten. </w:t>
      </w:r>
      <w:proofErr w:type="spellStart"/>
      <w:r w:rsidRPr="000375F3">
        <w:rPr>
          <w:sz w:val="24"/>
        </w:rPr>
        <w:t>Nutriflex</w:t>
      </w:r>
      <w:proofErr w:type="spellEnd"/>
      <w:r w:rsidRPr="000375F3">
        <w:rPr>
          <w:sz w:val="24"/>
        </w:rPr>
        <w:t xml:space="preserve"> Omega Special elektrolytfri bør kun gives til gravide kvinder efter nøje overvejelse.</w:t>
      </w:r>
    </w:p>
    <w:p w:rsidR="00BE115E" w:rsidRPr="000375F3" w:rsidRDefault="00BE115E" w:rsidP="00BE115E">
      <w:pPr>
        <w:ind w:left="851"/>
        <w:rPr>
          <w:sz w:val="24"/>
        </w:rPr>
      </w:pPr>
    </w:p>
    <w:p w:rsidR="00BE115E" w:rsidRPr="00712891" w:rsidRDefault="00BE115E" w:rsidP="00BE115E">
      <w:pPr>
        <w:ind w:left="851"/>
        <w:rPr>
          <w:i/>
          <w:sz w:val="24"/>
        </w:rPr>
      </w:pPr>
      <w:r w:rsidRPr="00712891">
        <w:rPr>
          <w:i/>
          <w:sz w:val="24"/>
        </w:rPr>
        <w:t>Amning</w:t>
      </w:r>
    </w:p>
    <w:p w:rsidR="00BE115E" w:rsidRPr="000375F3" w:rsidRDefault="00BE115E" w:rsidP="00BE115E">
      <w:pPr>
        <w:ind w:left="851"/>
        <w:rPr>
          <w:sz w:val="24"/>
        </w:rPr>
      </w:pPr>
      <w:r w:rsidRPr="000375F3">
        <w:rPr>
          <w:sz w:val="24"/>
        </w:rPr>
        <w:t xml:space="preserve">Komponenter/metabolitter af </w:t>
      </w:r>
      <w:proofErr w:type="spellStart"/>
      <w:r w:rsidRPr="000375F3">
        <w:rPr>
          <w:sz w:val="24"/>
        </w:rPr>
        <w:t>Nutriflex</w:t>
      </w:r>
      <w:proofErr w:type="spellEnd"/>
      <w:r w:rsidRPr="000375F3">
        <w:rPr>
          <w:sz w:val="24"/>
        </w:rPr>
        <w:t xml:space="preserve"> Omega Special elektrolytfri udskilles i human mælk, men der forventes ingen påvirkning af det ammede nyfødte barn/spædbarn ved terapeutiske doser. Alligevel frarådes amning hos kvinder, der får parenteral ernæring.</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4.7</w:t>
      </w:r>
      <w:r w:rsidRPr="000375F3">
        <w:rPr>
          <w:b/>
          <w:sz w:val="24"/>
          <w:szCs w:val="24"/>
        </w:rPr>
        <w:tab/>
        <w:t xml:space="preserve">Virkning på evnen til at føre motorkøretøj </w:t>
      </w:r>
      <w:r w:rsidR="000C222F">
        <w:rPr>
          <w:b/>
          <w:sz w:val="24"/>
          <w:szCs w:val="24"/>
        </w:rPr>
        <w:t>og</w:t>
      </w:r>
      <w:r w:rsidRPr="000375F3">
        <w:rPr>
          <w:b/>
          <w:sz w:val="24"/>
          <w:szCs w:val="24"/>
        </w:rPr>
        <w:t xml:space="preserve"> betjene maskiner</w:t>
      </w:r>
    </w:p>
    <w:p w:rsidR="00BE115E" w:rsidRDefault="00BE115E" w:rsidP="00BE115E">
      <w:pPr>
        <w:ind w:left="851"/>
        <w:rPr>
          <w:sz w:val="24"/>
          <w:szCs w:val="24"/>
        </w:rPr>
      </w:pPr>
      <w:r>
        <w:rPr>
          <w:sz w:val="24"/>
          <w:szCs w:val="24"/>
        </w:rPr>
        <w:t>Ikke mærkning.</w:t>
      </w:r>
    </w:p>
    <w:p w:rsidR="00BE115E" w:rsidRPr="000375F3" w:rsidRDefault="00BE115E" w:rsidP="00BE115E">
      <w:pPr>
        <w:ind w:left="851"/>
        <w:rPr>
          <w:sz w:val="24"/>
          <w:szCs w:val="24"/>
          <w:lang w:bidi="da-DK"/>
        </w:rPr>
      </w:pPr>
      <w:proofErr w:type="spellStart"/>
      <w:r w:rsidRPr="000375F3">
        <w:rPr>
          <w:sz w:val="24"/>
          <w:szCs w:val="24"/>
        </w:rPr>
        <w:t>Nutriflex</w:t>
      </w:r>
      <w:proofErr w:type="spellEnd"/>
      <w:r w:rsidRPr="000375F3">
        <w:rPr>
          <w:sz w:val="24"/>
          <w:szCs w:val="24"/>
        </w:rPr>
        <w:t xml:space="preserve"> Omega Special elektrolytfri</w:t>
      </w:r>
      <w:r w:rsidRPr="000375F3">
        <w:rPr>
          <w:sz w:val="24"/>
          <w:szCs w:val="24"/>
          <w:lang w:bidi="da-DK"/>
        </w:rPr>
        <w:t xml:space="preserve"> påvirker ikke eller kun i ubetydelig grad evnen til at føre motorkøretøj og betjene maskiner.</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4.8</w:t>
      </w:r>
      <w:r w:rsidRPr="000375F3">
        <w:rPr>
          <w:b/>
          <w:sz w:val="24"/>
          <w:szCs w:val="24"/>
        </w:rPr>
        <w:tab/>
        <w:t>Bivirkninger</w:t>
      </w:r>
    </w:p>
    <w:p w:rsidR="00BE115E" w:rsidRPr="00712891" w:rsidRDefault="00BE115E" w:rsidP="00BE115E">
      <w:pPr>
        <w:ind w:left="851"/>
        <w:rPr>
          <w:sz w:val="24"/>
          <w:szCs w:val="24"/>
        </w:rPr>
      </w:pPr>
      <w:r w:rsidRPr="00712891">
        <w:rPr>
          <w:sz w:val="24"/>
          <w:szCs w:val="24"/>
        </w:rPr>
        <w:t xml:space="preserve">Ved korrekt anvendelse med hensyn til dosisovervågning, overholdelse af sikkerhedsrestriktioner og instruktioner kan der stadig opstå bivirkninger. </w:t>
      </w:r>
      <w:r w:rsidRPr="00712891">
        <w:rPr>
          <w:sz w:val="24"/>
          <w:szCs w:val="24"/>
          <w:lang w:bidi="da-DK"/>
        </w:rPr>
        <w:t xml:space="preserve">Den følgende liste omfatter flere systemiske reaktioner, der kan være forbundet med anvendelse af </w:t>
      </w:r>
      <w:proofErr w:type="spellStart"/>
      <w:r w:rsidRPr="00712891">
        <w:rPr>
          <w:sz w:val="24"/>
          <w:szCs w:val="24"/>
        </w:rPr>
        <w:t>Nutriflex</w:t>
      </w:r>
      <w:proofErr w:type="spellEnd"/>
      <w:r w:rsidRPr="00712891">
        <w:rPr>
          <w:sz w:val="24"/>
          <w:szCs w:val="24"/>
        </w:rPr>
        <w:t xml:space="preserve"> Omega Special elektrolytfri.</w:t>
      </w:r>
    </w:p>
    <w:p w:rsidR="00BE115E" w:rsidRPr="00712891" w:rsidRDefault="00BE115E" w:rsidP="00BE115E">
      <w:pPr>
        <w:ind w:left="851"/>
        <w:rPr>
          <w:sz w:val="24"/>
          <w:szCs w:val="24"/>
        </w:rPr>
      </w:pPr>
    </w:p>
    <w:p w:rsidR="00BE115E" w:rsidRPr="00712891" w:rsidRDefault="00BE115E" w:rsidP="00BE115E">
      <w:pPr>
        <w:ind w:left="851"/>
        <w:rPr>
          <w:sz w:val="24"/>
          <w:szCs w:val="24"/>
        </w:rPr>
      </w:pPr>
      <w:r w:rsidRPr="00712891">
        <w:rPr>
          <w:sz w:val="24"/>
          <w:szCs w:val="24"/>
        </w:rPr>
        <w:t>Bivirkningerne er opført i henhold til deres hyppigheder på følgende måde:</w:t>
      </w:r>
    </w:p>
    <w:p w:rsidR="00BE115E" w:rsidRPr="00C36917" w:rsidRDefault="00BE115E" w:rsidP="00BE115E">
      <w:pPr>
        <w:tabs>
          <w:tab w:val="left" w:pos="2835"/>
        </w:tabs>
        <w:ind w:left="851"/>
        <w:rPr>
          <w:bCs/>
          <w:sz w:val="24"/>
          <w:szCs w:val="24"/>
        </w:rPr>
      </w:pPr>
      <w:r w:rsidRPr="00C36917">
        <w:rPr>
          <w:bCs/>
          <w:sz w:val="24"/>
          <w:szCs w:val="24"/>
        </w:rPr>
        <w:t>Meget almindelig:</w:t>
      </w:r>
      <w:r w:rsidRPr="00C36917">
        <w:rPr>
          <w:bCs/>
          <w:sz w:val="24"/>
          <w:szCs w:val="24"/>
        </w:rPr>
        <w:tab/>
        <w:t>(</w:t>
      </w:r>
      <w:r w:rsidRPr="00C36917">
        <w:rPr>
          <w:bCs/>
          <w:sz w:val="24"/>
          <w:szCs w:val="24"/>
        </w:rPr>
        <w:sym w:font="Symbol" w:char="F0B3"/>
      </w:r>
      <w:r w:rsidRPr="00C36917">
        <w:rPr>
          <w:bCs/>
          <w:sz w:val="24"/>
          <w:szCs w:val="24"/>
        </w:rPr>
        <w:t xml:space="preserve"> 1/10)</w:t>
      </w:r>
    </w:p>
    <w:p w:rsidR="00BE115E" w:rsidRPr="00C36917" w:rsidRDefault="00BE115E" w:rsidP="00BE115E">
      <w:pPr>
        <w:tabs>
          <w:tab w:val="left" w:pos="2835"/>
        </w:tabs>
        <w:ind w:left="851"/>
        <w:rPr>
          <w:bCs/>
          <w:sz w:val="24"/>
          <w:szCs w:val="24"/>
        </w:rPr>
      </w:pPr>
      <w:r w:rsidRPr="00C36917">
        <w:rPr>
          <w:bCs/>
          <w:sz w:val="24"/>
          <w:szCs w:val="24"/>
        </w:rPr>
        <w:t>Almindelig:</w:t>
      </w:r>
      <w:r w:rsidRPr="00C36917">
        <w:rPr>
          <w:bCs/>
          <w:sz w:val="24"/>
          <w:szCs w:val="24"/>
        </w:rPr>
        <w:tab/>
        <w:t>(</w:t>
      </w:r>
      <w:r w:rsidRPr="00C36917">
        <w:rPr>
          <w:bCs/>
          <w:sz w:val="24"/>
          <w:szCs w:val="24"/>
        </w:rPr>
        <w:sym w:font="Symbol" w:char="F0B3"/>
      </w:r>
      <w:r w:rsidRPr="00C36917">
        <w:rPr>
          <w:bCs/>
          <w:sz w:val="24"/>
          <w:szCs w:val="24"/>
        </w:rPr>
        <w:t> 1/100 til &lt; 1/10)</w:t>
      </w:r>
    </w:p>
    <w:p w:rsidR="00BE115E" w:rsidRPr="00C36917" w:rsidRDefault="00BE115E" w:rsidP="00BE115E">
      <w:pPr>
        <w:tabs>
          <w:tab w:val="left" w:pos="2835"/>
        </w:tabs>
        <w:ind w:left="851"/>
        <w:rPr>
          <w:bCs/>
          <w:sz w:val="24"/>
          <w:szCs w:val="24"/>
        </w:rPr>
      </w:pPr>
      <w:r w:rsidRPr="00C36917">
        <w:rPr>
          <w:bCs/>
          <w:sz w:val="24"/>
          <w:szCs w:val="24"/>
        </w:rPr>
        <w:t>Ikke almindelig:</w:t>
      </w:r>
      <w:r w:rsidRPr="00C36917">
        <w:rPr>
          <w:bCs/>
          <w:sz w:val="24"/>
          <w:szCs w:val="24"/>
        </w:rPr>
        <w:tab/>
        <w:t>(</w:t>
      </w:r>
      <w:r w:rsidRPr="00C36917">
        <w:rPr>
          <w:bCs/>
          <w:sz w:val="24"/>
          <w:szCs w:val="24"/>
        </w:rPr>
        <w:sym w:font="Symbol" w:char="F0B3"/>
      </w:r>
      <w:r w:rsidRPr="00C36917">
        <w:rPr>
          <w:bCs/>
          <w:sz w:val="24"/>
          <w:szCs w:val="24"/>
        </w:rPr>
        <w:t xml:space="preserve"> 1/1.000 til &lt; 1/100)</w:t>
      </w:r>
    </w:p>
    <w:p w:rsidR="00BE115E" w:rsidRPr="00C36917" w:rsidRDefault="00BE115E" w:rsidP="00BE115E">
      <w:pPr>
        <w:tabs>
          <w:tab w:val="left" w:pos="2835"/>
        </w:tabs>
        <w:ind w:left="851"/>
        <w:rPr>
          <w:bCs/>
          <w:sz w:val="24"/>
          <w:szCs w:val="24"/>
        </w:rPr>
      </w:pPr>
      <w:r w:rsidRPr="00C36917">
        <w:rPr>
          <w:bCs/>
          <w:sz w:val="24"/>
          <w:szCs w:val="24"/>
        </w:rPr>
        <w:t>Sjælden</w:t>
      </w:r>
      <w:r w:rsidRPr="00C36917">
        <w:rPr>
          <w:bCs/>
          <w:sz w:val="24"/>
          <w:szCs w:val="24"/>
        </w:rPr>
        <w:tab/>
        <w:t>(</w:t>
      </w:r>
      <w:r w:rsidRPr="00C36917">
        <w:rPr>
          <w:bCs/>
          <w:sz w:val="24"/>
          <w:szCs w:val="24"/>
        </w:rPr>
        <w:sym w:font="Symbol" w:char="F0B3"/>
      </w:r>
      <w:r w:rsidRPr="00C36917">
        <w:rPr>
          <w:bCs/>
          <w:sz w:val="24"/>
          <w:szCs w:val="24"/>
        </w:rPr>
        <w:t xml:space="preserve"> 1/10.000 til &lt; 1/1.000)</w:t>
      </w:r>
    </w:p>
    <w:p w:rsidR="00BE115E" w:rsidRPr="00C36917" w:rsidRDefault="00BE115E" w:rsidP="00BE115E">
      <w:pPr>
        <w:tabs>
          <w:tab w:val="left" w:pos="2835"/>
        </w:tabs>
        <w:ind w:left="851"/>
        <w:rPr>
          <w:bCs/>
          <w:sz w:val="24"/>
          <w:szCs w:val="24"/>
        </w:rPr>
      </w:pPr>
      <w:r w:rsidRPr="00C36917">
        <w:rPr>
          <w:bCs/>
          <w:sz w:val="24"/>
          <w:szCs w:val="24"/>
        </w:rPr>
        <w:t xml:space="preserve">Meget sjælden </w:t>
      </w:r>
      <w:r w:rsidRPr="00C36917">
        <w:rPr>
          <w:bCs/>
          <w:sz w:val="24"/>
          <w:szCs w:val="24"/>
        </w:rPr>
        <w:tab/>
        <w:t>(&lt; 1/10.000)</w:t>
      </w:r>
    </w:p>
    <w:p w:rsidR="00BE115E" w:rsidRPr="00C36917" w:rsidRDefault="00BE115E" w:rsidP="00BE115E">
      <w:pPr>
        <w:tabs>
          <w:tab w:val="left" w:pos="2835"/>
        </w:tabs>
        <w:ind w:left="851"/>
        <w:rPr>
          <w:bCs/>
          <w:sz w:val="24"/>
          <w:szCs w:val="24"/>
        </w:rPr>
      </w:pPr>
      <w:r w:rsidRPr="00C36917">
        <w:rPr>
          <w:bCs/>
          <w:sz w:val="24"/>
          <w:szCs w:val="24"/>
        </w:rPr>
        <w:t>Ikke kendt</w:t>
      </w:r>
      <w:r w:rsidRPr="00C36917">
        <w:rPr>
          <w:bCs/>
          <w:sz w:val="24"/>
          <w:szCs w:val="24"/>
        </w:rPr>
        <w:tab/>
        <w:t>(hyppigheden kan ikke estimeres ud fra forhåndenværende data)</w:t>
      </w:r>
    </w:p>
    <w:p w:rsidR="00BE115E" w:rsidRPr="00C36917" w:rsidRDefault="00BE115E" w:rsidP="00BE115E">
      <w:pPr>
        <w:ind w:left="851"/>
        <w:rPr>
          <w:sz w:val="24"/>
          <w:szCs w:val="24"/>
        </w:rPr>
      </w:pPr>
    </w:p>
    <w:p w:rsidR="00BE115E" w:rsidRPr="00712891" w:rsidRDefault="00BE115E" w:rsidP="00BE115E">
      <w:pPr>
        <w:ind w:left="851"/>
        <w:rPr>
          <w:b/>
          <w:i/>
          <w:sz w:val="24"/>
          <w:szCs w:val="24"/>
          <w:lang w:eastAsia="da-DK" w:bidi="da-DK"/>
        </w:rPr>
      </w:pPr>
      <w:r w:rsidRPr="00712891">
        <w:rPr>
          <w:b/>
          <w:i/>
          <w:sz w:val="24"/>
          <w:szCs w:val="24"/>
          <w:lang w:eastAsia="da-DK" w:bidi="da-DK"/>
        </w:rPr>
        <w:t>Blod og lymfesystem</w:t>
      </w:r>
    </w:p>
    <w:p w:rsidR="00BE115E" w:rsidRPr="00712891" w:rsidRDefault="00BE115E" w:rsidP="00BE115E">
      <w:pPr>
        <w:ind w:left="851"/>
        <w:rPr>
          <w:color w:val="000000"/>
          <w:sz w:val="24"/>
          <w:szCs w:val="24"/>
          <w:lang w:eastAsia="da-DK" w:bidi="da-DK"/>
        </w:rPr>
      </w:pPr>
      <w:r w:rsidRPr="00712891">
        <w:rPr>
          <w:color w:val="000000"/>
          <w:sz w:val="24"/>
          <w:szCs w:val="24"/>
          <w:u w:val="single"/>
          <w:lang w:eastAsia="da-DK" w:bidi="da-DK"/>
        </w:rPr>
        <w:t>Sjælden:</w:t>
      </w:r>
      <w:r w:rsidRPr="00712891">
        <w:rPr>
          <w:sz w:val="24"/>
          <w:szCs w:val="24"/>
          <w:lang w:eastAsia="da-DK" w:bidi="da-DK"/>
        </w:rPr>
        <w:tab/>
      </w:r>
      <w:r w:rsidRPr="00712891">
        <w:rPr>
          <w:sz w:val="24"/>
          <w:szCs w:val="24"/>
          <w:lang w:eastAsia="da-DK" w:bidi="da-DK"/>
        </w:rPr>
        <w:tab/>
      </w:r>
      <w:proofErr w:type="spellStart"/>
      <w:r w:rsidRPr="00712891">
        <w:rPr>
          <w:color w:val="000000"/>
          <w:sz w:val="24"/>
          <w:szCs w:val="24"/>
          <w:lang w:eastAsia="da-DK" w:bidi="da-DK"/>
        </w:rPr>
        <w:t>Hyperkoagulation</w:t>
      </w:r>
      <w:proofErr w:type="spellEnd"/>
    </w:p>
    <w:p w:rsidR="00BE115E" w:rsidRPr="00712891" w:rsidRDefault="00BE115E" w:rsidP="00BE115E">
      <w:pPr>
        <w:ind w:left="851"/>
        <w:rPr>
          <w:color w:val="000000"/>
          <w:sz w:val="24"/>
          <w:szCs w:val="24"/>
          <w:lang w:eastAsia="da-DK" w:bidi="da-DK"/>
        </w:rPr>
      </w:pPr>
      <w:r w:rsidRPr="00712891">
        <w:rPr>
          <w:color w:val="000000"/>
          <w:sz w:val="24"/>
          <w:szCs w:val="24"/>
          <w:u w:val="single"/>
          <w:lang w:eastAsia="da-DK" w:bidi="da-DK"/>
        </w:rPr>
        <w:t>Ikke kendt:</w:t>
      </w:r>
      <w:r w:rsidRPr="00712891">
        <w:rPr>
          <w:sz w:val="24"/>
          <w:szCs w:val="24"/>
          <w:lang w:eastAsia="da-DK" w:bidi="da-DK"/>
        </w:rPr>
        <w:tab/>
      </w:r>
      <w:r w:rsidRPr="00712891">
        <w:rPr>
          <w:sz w:val="24"/>
          <w:szCs w:val="24"/>
          <w:lang w:eastAsia="da-DK" w:bidi="da-DK"/>
        </w:rPr>
        <w:tab/>
      </w:r>
      <w:proofErr w:type="spellStart"/>
      <w:r w:rsidRPr="00712891">
        <w:rPr>
          <w:color w:val="000000"/>
          <w:sz w:val="24"/>
          <w:szCs w:val="24"/>
          <w:lang w:eastAsia="da-DK" w:bidi="da-DK"/>
        </w:rPr>
        <w:t>Leukopeni</w:t>
      </w:r>
      <w:proofErr w:type="spellEnd"/>
      <w:r w:rsidRPr="00712891">
        <w:rPr>
          <w:color w:val="000000"/>
          <w:sz w:val="24"/>
          <w:szCs w:val="24"/>
          <w:lang w:eastAsia="da-DK" w:bidi="da-DK"/>
        </w:rPr>
        <w:t xml:space="preserve">, </w:t>
      </w:r>
      <w:proofErr w:type="spellStart"/>
      <w:r w:rsidRPr="00712891">
        <w:rPr>
          <w:color w:val="000000"/>
          <w:sz w:val="24"/>
          <w:szCs w:val="24"/>
          <w:lang w:eastAsia="da-DK" w:bidi="da-DK"/>
        </w:rPr>
        <w:t>trombocytopeni</w:t>
      </w:r>
      <w:proofErr w:type="spellEnd"/>
    </w:p>
    <w:p w:rsidR="00BE115E" w:rsidRDefault="00BE115E" w:rsidP="00BE115E">
      <w:pPr>
        <w:ind w:left="851"/>
        <w:rPr>
          <w:b/>
          <w:i/>
          <w:sz w:val="24"/>
          <w:szCs w:val="24"/>
        </w:rPr>
      </w:pPr>
    </w:p>
    <w:p w:rsidR="00BE115E" w:rsidRPr="00712891" w:rsidRDefault="00BE115E" w:rsidP="00BE115E">
      <w:pPr>
        <w:ind w:left="851"/>
        <w:rPr>
          <w:b/>
          <w:i/>
          <w:sz w:val="24"/>
          <w:szCs w:val="24"/>
        </w:rPr>
      </w:pPr>
      <w:r w:rsidRPr="00712891">
        <w:rPr>
          <w:b/>
          <w:i/>
          <w:sz w:val="24"/>
          <w:szCs w:val="24"/>
        </w:rPr>
        <w:t>Immunsystemet</w:t>
      </w:r>
    </w:p>
    <w:p w:rsidR="00BE115E" w:rsidRPr="00712891" w:rsidRDefault="00BE115E" w:rsidP="00BE115E">
      <w:pPr>
        <w:ind w:left="851"/>
        <w:rPr>
          <w:sz w:val="24"/>
          <w:szCs w:val="24"/>
        </w:rPr>
      </w:pPr>
      <w:r w:rsidRPr="00712891">
        <w:rPr>
          <w:sz w:val="24"/>
          <w:szCs w:val="24"/>
          <w:u w:val="single"/>
        </w:rPr>
        <w:t>Sjælden:</w:t>
      </w:r>
      <w:r w:rsidRPr="00712891">
        <w:rPr>
          <w:sz w:val="24"/>
          <w:szCs w:val="24"/>
        </w:rPr>
        <w:tab/>
      </w:r>
      <w:r w:rsidRPr="00712891">
        <w:rPr>
          <w:sz w:val="24"/>
          <w:szCs w:val="24"/>
        </w:rPr>
        <w:tab/>
        <w:t xml:space="preserve">Allergiske reaktioner (f.eks. </w:t>
      </w:r>
      <w:proofErr w:type="spellStart"/>
      <w:r w:rsidRPr="00712891">
        <w:rPr>
          <w:sz w:val="24"/>
          <w:szCs w:val="24"/>
        </w:rPr>
        <w:t>anafylaktiske</w:t>
      </w:r>
      <w:proofErr w:type="spellEnd"/>
      <w:r w:rsidRPr="00712891">
        <w:rPr>
          <w:sz w:val="24"/>
          <w:szCs w:val="24"/>
        </w:rPr>
        <w:t xml:space="preserve"> reaktioner, </w:t>
      </w:r>
      <w:r w:rsidRPr="00712891">
        <w:rPr>
          <w:sz w:val="24"/>
          <w:szCs w:val="24"/>
        </w:rPr>
        <w:tab/>
      </w:r>
      <w:r>
        <w:rPr>
          <w:sz w:val="24"/>
          <w:szCs w:val="24"/>
        </w:rPr>
        <w:tab/>
      </w:r>
      <w:r>
        <w:rPr>
          <w:sz w:val="24"/>
          <w:szCs w:val="24"/>
        </w:rPr>
        <w:tab/>
      </w:r>
      <w:r>
        <w:rPr>
          <w:sz w:val="24"/>
          <w:szCs w:val="24"/>
        </w:rPr>
        <w:tab/>
      </w:r>
      <w:proofErr w:type="spellStart"/>
      <w:r w:rsidRPr="00712891">
        <w:rPr>
          <w:sz w:val="24"/>
          <w:szCs w:val="24"/>
        </w:rPr>
        <w:t>dermale</w:t>
      </w:r>
      <w:proofErr w:type="spellEnd"/>
      <w:r w:rsidRPr="00712891">
        <w:rPr>
          <w:sz w:val="24"/>
          <w:szCs w:val="24"/>
        </w:rPr>
        <w:t xml:space="preserve"> eruptioner, </w:t>
      </w:r>
      <w:proofErr w:type="spellStart"/>
      <w:r w:rsidRPr="00712891">
        <w:rPr>
          <w:sz w:val="24"/>
          <w:szCs w:val="24"/>
        </w:rPr>
        <w:t>laryngeale</w:t>
      </w:r>
      <w:proofErr w:type="spellEnd"/>
      <w:r w:rsidRPr="00712891">
        <w:rPr>
          <w:sz w:val="24"/>
          <w:szCs w:val="24"/>
        </w:rPr>
        <w:t xml:space="preserve">, orale og </w:t>
      </w:r>
      <w:proofErr w:type="spellStart"/>
      <w:r w:rsidRPr="00712891">
        <w:rPr>
          <w:sz w:val="24"/>
          <w:szCs w:val="24"/>
        </w:rPr>
        <w:t>faciale</w:t>
      </w:r>
      <w:proofErr w:type="spellEnd"/>
      <w:r w:rsidRPr="00712891">
        <w:rPr>
          <w:sz w:val="24"/>
          <w:szCs w:val="24"/>
        </w:rPr>
        <w:t xml:space="preserve"> ødemer)</w:t>
      </w:r>
    </w:p>
    <w:p w:rsidR="00BE115E" w:rsidRDefault="00BE115E" w:rsidP="00BE115E">
      <w:pPr>
        <w:ind w:left="851"/>
        <w:rPr>
          <w:b/>
          <w:i/>
          <w:sz w:val="24"/>
          <w:szCs w:val="24"/>
        </w:rPr>
      </w:pPr>
    </w:p>
    <w:p w:rsidR="00BE115E" w:rsidRDefault="00BE115E" w:rsidP="00BE115E">
      <w:pPr>
        <w:ind w:left="851"/>
        <w:rPr>
          <w:b/>
          <w:i/>
          <w:sz w:val="24"/>
          <w:szCs w:val="24"/>
        </w:rPr>
      </w:pPr>
      <w:r w:rsidRPr="00712891">
        <w:rPr>
          <w:b/>
          <w:i/>
          <w:sz w:val="24"/>
          <w:szCs w:val="24"/>
        </w:rPr>
        <w:lastRenderedPageBreak/>
        <w:t>Metabolisme og ernæring</w:t>
      </w:r>
    </w:p>
    <w:p w:rsidR="000C222F" w:rsidRPr="00712891" w:rsidRDefault="000C222F" w:rsidP="00BE115E">
      <w:pPr>
        <w:ind w:left="851"/>
        <w:rPr>
          <w:b/>
          <w:i/>
          <w:sz w:val="24"/>
          <w:szCs w:val="24"/>
        </w:rPr>
      </w:pPr>
      <w:r w:rsidRPr="00712891">
        <w:rPr>
          <w:sz w:val="24"/>
          <w:szCs w:val="24"/>
          <w:u w:val="single"/>
          <w:lang w:bidi="da-DK"/>
        </w:rPr>
        <w:t>Ikke almindelig:</w:t>
      </w:r>
      <w:r w:rsidRPr="00712891">
        <w:rPr>
          <w:sz w:val="24"/>
          <w:szCs w:val="24"/>
          <w:lang w:bidi="da-DK"/>
        </w:rPr>
        <w:tab/>
      </w:r>
      <w:r>
        <w:rPr>
          <w:sz w:val="24"/>
          <w:szCs w:val="24"/>
          <w:lang w:bidi="da-DK"/>
        </w:rPr>
        <w:tab/>
      </w:r>
      <w:r w:rsidRPr="00712891">
        <w:rPr>
          <w:sz w:val="24"/>
          <w:szCs w:val="24"/>
          <w:lang w:bidi="da-DK"/>
        </w:rPr>
        <w:t>Appetitløshed</w:t>
      </w:r>
    </w:p>
    <w:p w:rsidR="00BE115E" w:rsidRPr="00712891" w:rsidRDefault="00BE115E" w:rsidP="00BE115E">
      <w:pPr>
        <w:ind w:left="851"/>
        <w:rPr>
          <w:sz w:val="24"/>
          <w:szCs w:val="24"/>
        </w:rPr>
      </w:pPr>
      <w:r w:rsidRPr="00712891">
        <w:rPr>
          <w:color w:val="000000"/>
          <w:sz w:val="24"/>
          <w:szCs w:val="24"/>
          <w:u w:val="single"/>
        </w:rPr>
        <w:t>Meget sjælden</w:t>
      </w:r>
      <w:r w:rsidRPr="00712891">
        <w:rPr>
          <w:sz w:val="24"/>
          <w:szCs w:val="24"/>
          <w:u w:val="single"/>
        </w:rPr>
        <w:t>:</w:t>
      </w:r>
      <w:r w:rsidRPr="00712891">
        <w:rPr>
          <w:sz w:val="24"/>
          <w:szCs w:val="24"/>
        </w:rPr>
        <w:tab/>
      </w:r>
      <w:r w:rsidRPr="00712891">
        <w:rPr>
          <w:sz w:val="24"/>
          <w:szCs w:val="24"/>
        </w:rPr>
        <w:tab/>
      </w:r>
      <w:proofErr w:type="spellStart"/>
      <w:r w:rsidRPr="00712891">
        <w:rPr>
          <w:sz w:val="24"/>
          <w:szCs w:val="24"/>
        </w:rPr>
        <w:t>Hyperlipidæmi</w:t>
      </w:r>
      <w:proofErr w:type="spellEnd"/>
      <w:r w:rsidRPr="00712891">
        <w:rPr>
          <w:sz w:val="24"/>
          <w:szCs w:val="24"/>
        </w:rPr>
        <w:t xml:space="preserve">, </w:t>
      </w:r>
      <w:proofErr w:type="spellStart"/>
      <w:r w:rsidRPr="00712891">
        <w:rPr>
          <w:sz w:val="24"/>
          <w:szCs w:val="24"/>
        </w:rPr>
        <w:t>hyperglykæmi</w:t>
      </w:r>
      <w:proofErr w:type="spellEnd"/>
      <w:r w:rsidRPr="00712891">
        <w:rPr>
          <w:sz w:val="24"/>
          <w:szCs w:val="24"/>
        </w:rPr>
        <w:t xml:space="preserve">, metabolisk </w:t>
      </w:r>
      <w:proofErr w:type="spellStart"/>
      <w:r w:rsidRPr="00712891">
        <w:rPr>
          <w:sz w:val="24"/>
          <w:szCs w:val="24"/>
        </w:rPr>
        <w:t>acidose</w:t>
      </w:r>
      <w:proofErr w:type="spellEnd"/>
      <w:r w:rsidRPr="00712891">
        <w:rPr>
          <w:sz w:val="24"/>
          <w:szCs w:val="24"/>
        </w:rPr>
        <w:t xml:space="preserve"> </w:t>
      </w:r>
      <w:r w:rsidRPr="00712891">
        <w:rPr>
          <w:sz w:val="24"/>
          <w:szCs w:val="24"/>
        </w:rPr>
        <w:tab/>
      </w:r>
    </w:p>
    <w:p w:rsidR="00BE115E" w:rsidRPr="00712891" w:rsidRDefault="00BE115E" w:rsidP="00BE115E">
      <w:pPr>
        <w:ind w:left="3912"/>
        <w:rPr>
          <w:sz w:val="24"/>
          <w:szCs w:val="24"/>
        </w:rPr>
      </w:pPr>
      <w:r w:rsidRPr="00712891">
        <w:rPr>
          <w:sz w:val="24"/>
          <w:szCs w:val="24"/>
        </w:rPr>
        <w:t xml:space="preserve">Hyppigheden af disse bivirkninger er dosisafhængig og kan være øget ved lidelser med absolut eller relativ lipidoverdosering. </w:t>
      </w:r>
    </w:p>
    <w:p w:rsidR="00BE115E" w:rsidRDefault="00BE115E" w:rsidP="00BE115E">
      <w:pPr>
        <w:ind w:left="851"/>
        <w:rPr>
          <w:b/>
          <w:i/>
          <w:sz w:val="24"/>
          <w:szCs w:val="24"/>
        </w:rPr>
      </w:pPr>
    </w:p>
    <w:p w:rsidR="00BE115E" w:rsidRDefault="00BE115E" w:rsidP="00BE115E">
      <w:pPr>
        <w:ind w:left="851"/>
        <w:rPr>
          <w:b/>
          <w:i/>
          <w:sz w:val="24"/>
          <w:szCs w:val="24"/>
        </w:rPr>
      </w:pPr>
    </w:p>
    <w:p w:rsidR="00BE115E" w:rsidRPr="00712891" w:rsidRDefault="00BE115E" w:rsidP="00BE115E">
      <w:pPr>
        <w:ind w:left="851"/>
        <w:rPr>
          <w:b/>
          <w:i/>
          <w:sz w:val="24"/>
          <w:szCs w:val="24"/>
        </w:rPr>
      </w:pPr>
      <w:r w:rsidRPr="00712891">
        <w:rPr>
          <w:b/>
          <w:i/>
          <w:sz w:val="24"/>
          <w:szCs w:val="24"/>
        </w:rPr>
        <w:t>Nervesystemet</w:t>
      </w:r>
    </w:p>
    <w:p w:rsidR="00BE115E" w:rsidRPr="00712891" w:rsidRDefault="00BE115E" w:rsidP="00BE115E">
      <w:pPr>
        <w:ind w:left="851"/>
        <w:rPr>
          <w:sz w:val="24"/>
          <w:szCs w:val="24"/>
        </w:rPr>
      </w:pPr>
      <w:r w:rsidRPr="00712891">
        <w:rPr>
          <w:sz w:val="24"/>
          <w:szCs w:val="24"/>
          <w:u w:val="single"/>
        </w:rPr>
        <w:t>Sjælden:</w:t>
      </w:r>
      <w:r w:rsidRPr="00712891">
        <w:rPr>
          <w:sz w:val="24"/>
          <w:szCs w:val="24"/>
        </w:rPr>
        <w:tab/>
      </w:r>
      <w:r w:rsidRPr="00712891">
        <w:rPr>
          <w:sz w:val="24"/>
          <w:szCs w:val="24"/>
        </w:rPr>
        <w:tab/>
        <w:t>Hovedpine, døsighed</w:t>
      </w:r>
    </w:p>
    <w:p w:rsidR="00BE115E" w:rsidRDefault="00BE115E" w:rsidP="00BE115E">
      <w:pPr>
        <w:ind w:left="851"/>
        <w:rPr>
          <w:b/>
          <w:i/>
          <w:sz w:val="24"/>
          <w:szCs w:val="24"/>
        </w:rPr>
      </w:pPr>
    </w:p>
    <w:p w:rsidR="00BE115E" w:rsidRPr="00712891" w:rsidRDefault="00BE115E" w:rsidP="00BE115E">
      <w:pPr>
        <w:ind w:left="851"/>
        <w:rPr>
          <w:b/>
          <w:i/>
          <w:sz w:val="24"/>
          <w:szCs w:val="24"/>
        </w:rPr>
      </w:pPr>
      <w:proofErr w:type="spellStart"/>
      <w:r w:rsidRPr="00712891">
        <w:rPr>
          <w:b/>
          <w:i/>
          <w:sz w:val="24"/>
          <w:szCs w:val="24"/>
        </w:rPr>
        <w:t>Vaskulære</w:t>
      </w:r>
      <w:proofErr w:type="spellEnd"/>
      <w:r w:rsidRPr="00712891">
        <w:rPr>
          <w:b/>
          <w:i/>
          <w:sz w:val="24"/>
          <w:szCs w:val="24"/>
        </w:rPr>
        <w:t xml:space="preserve"> sygdomme</w:t>
      </w:r>
    </w:p>
    <w:p w:rsidR="00BE115E" w:rsidRPr="00712891" w:rsidRDefault="00BE115E" w:rsidP="00BE115E">
      <w:pPr>
        <w:ind w:left="851"/>
        <w:rPr>
          <w:sz w:val="24"/>
          <w:szCs w:val="24"/>
        </w:rPr>
      </w:pPr>
      <w:r w:rsidRPr="00712891">
        <w:rPr>
          <w:sz w:val="24"/>
          <w:szCs w:val="24"/>
          <w:u w:val="single"/>
        </w:rPr>
        <w:t>Sjælden:</w:t>
      </w:r>
      <w:r w:rsidRPr="00712891">
        <w:rPr>
          <w:sz w:val="24"/>
          <w:szCs w:val="24"/>
        </w:rPr>
        <w:tab/>
      </w:r>
      <w:r w:rsidRPr="00712891">
        <w:rPr>
          <w:sz w:val="24"/>
          <w:szCs w:val="24"/>
        </w:rPr>
        <w:tab/>
        <w:t>Hypertension eller hypotension, rødme</w:t>
      </w:r>
    </w:p>
    <w:p w:rsidR="00BE115E" w:rsidRDefault="00BE115E" w:rsidP="00BE115E">
      <w:pPr>
        <w:ind w:left="851"/>
        <w:rPr>
          <w:b/>
          <w:i/>
          <w:sz w:val="24"/>
          <w:szCs w:val="24"/>
        </w:rPr>
      </w:pPr>
    </w:p>
    <w:p w:rsidR="00BE115E" w:rsidRPr="00712891" w:rsidRDefault="00BE115E" w:rsidP="00BE115E">
      <w:pPr>
        <w:ind w:left="851"/>
        <w:rPr>
          <w:b/>
          <w:i/>
          <w:sz w:val="24"/>
          <w:szCs w:val="24"/>
        </w:rPr>
      </w:pPr>
      <w:r w:rsidRPr="00712891">
        <w:rPr>
          <w:b/>
          <w:i/>
          <w:sz w:val="24"/>
          <w:szCs w:val="24"/>
        </w:rPr>
        <w:t xml:space="preserve">Luftveje, thorax og </w:t>
      </w:r>
      <w:proofErr w:type="spellStart"/>
      <w:r w:rsidRPr="00712891">
        <w:rPr>
          <w:b/>
          <w:i/>
          <w:sz w:val="24"/>
          <w:szCs w:val="24"/>
        </w:rPr>
        <w:t>mediastinum</w:t>
      </w:r>
      <w:proofErr w:type="spellEnd"/>
    </w:p>
    <w:p w:rsidR="00BE115E" w:rsidRPr="00712891" w:rsidRDefault="00BE115E" w:rsidP="00BE115E">
      <w:pPr>
        <w:ind w:left="851"/>
        <w:rPr>
          <w:sz w:val="24"/>
          <w:szCs w:val="24"/>
        </w:rPr>
      </w:pPr>
      <w:r w:rsidRPr="00712891">
        <w:rPr>
          <w:sz w:val="24"/>
          <w:szCs w:val="24"/>
          <w:u w:val="single"/>
        </w:rPr>
        <w:t>Sjælden:</w:t>
      </w:r>
      <w:r w:rsidRPr="00712891">
        <w:rPr>
          <w:sz w:val="24"/>
          <w:szCs w:val="24"/>
        </w:rPr>
        <w:tab/>
      </w:r>
      <w:r w:rsidRPr="00712891">
        <w:rPr>
          <w:sz w:val="24"/>
          <w:szCs w:val="24"/>
        </w:rPr>
        <w:tab/>
        <w:t>Dyspnø, cyanose</w:t>
      </w:r>
    </w:p>
    <w:p w:rsidR="00BE115E" w:rsidRDefault="00BE115E" w:rsidP="00BE115E">
      <w:pPr>
        <w:ind w:left="851"/>
        <w:rPr>
          <w:b/>
          <w:i/>
          <w:sz w:val="24"/>
          <w:szCs w:val="24"/>
        </w:rPr>
      </w:pPr>
    </w:p>
    <w:p w:rsidR="00BE115E" w:rsidRPr="00712891" w:rsidRDefault="00BE115E" w:rsidP="00BE115E">
      <w:pPr>
        <w:ind w:left="851"/>
        <w:rPr>
          <w:b/>
          <w:i/>
          <w:sz w:val="24"/>
          <w:szCs w:val="24"/>
        </w:rPr>
      </w:pPr>
      <w:r w:rsidRPr="00712891">
        <w:rPr>
          <w:b/>
          <w:i/>
          <w:sz w:val="24"/>
          <w:szCs w:val="24"/>
        </w:rPr>
        <w:t>Mave-tarm-kanalen</w:t>
      </w:r>
    </w:p>
    <w:p w:rsidR="00BE115E" w:rsidRPr="000C222F" w:rsidRDefault="00BE115E" w:rsidP="000C222F">
      <w:pPr>
        <w:ind w:left="851"/>
        <w:rPr>
          <w:sz w:val="24"/>
          <w:szCs w:val="24"/>
        </w:rPr>
      </w:pPr>
      <w:r w:rsidRPr="00712891">
        <w:rPr>
          <w:sz w:val="24"/>
          <w:szCs w:val="24"/>
          <w:u w:val="single"/>
        </w:rPr>
        <w:t>Ikke almindelig:</w:t>
      </w:r>
      <w:r w:rsidRPr="00712891">
        <w:rPr>
          <w:sz w:val="24"/>
          <w:szCs w:val="24"/>
        </w:rPr>
        <w:t xml:space="preserve"> </w:t>
      </w:r>
      <w:r w:rsidRPr="00712891">
        <w:rPr>
          <w:sz w:val="24"/>
          <w:szCs w:val="24"/>
        </w:rPr>
        <w:tab/>
      </w:r>
      <w:r w:rsidRPr="00712891">
        <w:rPr>
          <w:sz w:val="24"/>
          <w:szCs w:val="24"/>
        </w:rPr>
        <w:tab/>
        <w:t>Kvalme, opkastning</w:t>
      </w:r>
    </w:p>
    <w:p w:rsidR="00BE115E" w:rsidRDefault="00BE115E" w:rsidP="00BE115E">
      <w:pPr>
        <w:ind w:left="851"/>
        <w:rPr>
          <w:b/>
          <w:i/>
          <w:sz w:val="24"/>
          <w:szCs w:val="24"/>
          <w:lang w:bidi="da-DK"/>
        </w:rPr>
      </w:pPr>
    </w:p>
    <w:p w:rsidR="00BE115E" w:rsidRPr="00712891" w:rsidRDefault="00BE115E" w:rsidP="00BE115E">
      <w:pPr>
        <w:ind w:left="851"/>
        <w:rPr>
          <w:b/>
          <w:i/>
          <w:sz w:val="24"/>
          <w:szCs w:val="24"/>
          <w:lang w:bidi="da-DK"/>
        </w:rPr>
      </w:pPr>
      <w:r w:rsidRPr="00712891">
        <w:rPr>
          <w:b/>
          <w:i/>
          <w:sz w:val="24"/>
          <w:szCs w:val="24"/>
          <w:lang w:bidi="da-DK"/>
        </w:rPr>
        <w:t>Lever og galdeveje</w:t>
      </w:r>
    </w:p>
    <w:p w:rsidR="00BE115E" w:rsidRPr="00712891" w:rsidRDefault="00BE115E" w:rsidP="00BE115E">
      <w:pPr>
        <w:ind w:left="851"/>
        <w:rPr>
          <w:sz w:val="24"/>
          <w:szCs w:val="24"/>
          <w:lang w:bidi="da-DK"/>
        </w:rPr>
      </w:pPr>
      <w:r w:rsidRPr="00712891">
        <w:rPr>
          <w:sz w:val="24"/>
          <w:szCs w:val="24"/>
          <w:u w:val="single"/>
          <w:lang w:bidi="da-DK"/>
        </w:rPr>
        <w:t>Ikke kendt:</w:t>
      </w:r>
      <w:r w:rsidRPr="00712891">
        <w:rPr>
          <w:sz w:val="24"/>
          <w:szCs w:val="24"/>
          <w:lang w:bidi="da-DK"/>
        </w:rPr>
        <w:tab/>
      </w:r>
      <w:proofErr w:type="spellStart"/>
      <w:r w:rsidRPr="00712891">
        <w:rPr>
          <w:sz w:val="24"/>
          <w:szCs w:val="24"/>
          <w:lang w:bidi="da-DK"/>
        </w:rPr>
        <w:t>Kolestase</w:t>
      </w:r>
      <w:proofErr w:type="spellEnd"/>
    </w:p>
    <w:p w:rsidR="00BE115E" w:rsidRPr="00712891" w:rsidRDefault="00BE115E" w:rsidP="00BE115E">
      <w:pPr>
        <w:ind w:left="851"/>
        <w:rPr>
          <w:b/>
          <w:i/>
          <w:sz w:val="24"/>
          <w:szCs w:val="24"/>
        </w:rPr>
      </w:pPr>
    </w:p>
    <w:p w:rsidR="00BE115E" w:rsidRPr="00712891" w:rsidRDefault="00BE115E" w:rsidP="00BE115E">
      <w:pPr>
        <w:ind w:left="851"/>
        <w:rPr>
          <w:b/>
          <w:i/>
          <w:sz w:val="24"/>
          <w:szCs w:val="24"/>
        </w:rPr>
      </w:pPr>
      <w:r w:rsidRPr="00712891">
        <w:rPr>
          <w:b/>
          <w:i/>
          <w:sz w:val="24"/>
          <w:szCs w:val="24"/>
        </w:rPr>
        <w:t>Hud og subkutane væv</w:t>
      </w:r>
    </w:p>
    <w:p w:rsidR="00BE115E" w:rsidRPr="00712891" w:rsidRDefault="00BE115E" w:rsidP="00BE115E">
      <w:pPr>
        <w:ind w:left="851"/>
        <w:rPr>
          <w:sz w:val="24"/>
          <w:szCs w:val="24"/>
        </w:rPr>
      </w:pPr>
      <w:r w:rsidRPr="00712891">
        <w:rPr>
          <w:sz w:val="24"/>
          <w:szCs w:val="24"/>
          <w:u w:val="single"/>
        </w:rPr>
        <w:t>Sjælden:</w:t>
      </w:r>
      <w:r w:rsidRPr="00712891">
        <w:rPr>
          <w:sz w:val="24"/>
          <w:szCs w:val="24"/>
        </w:rPr>
        <w:tab/>
      </w:r>
      <w:proofErr w:type="spellStart"/>
      <w:r w:rsidRPr="00712891">
        <w:rPr>
          <w:sz w:val="24"/>
          <w:szCs w:val="24"/>
        </w:rPr>
        <w:t>Erytem</w:t>
      </w:r>
      <w:proofErr w:type="spellEnd"/>
      <w:r w:rsidRPr="00712891">
        <w:rPr>
          <w:sz w:val="24"/>
          <w:szCs w:val="24"/>
        </w:rPr>
        <w:t>, svedtendens</w:t>
      </w:r>
    </w:p>
    <w:p w:rsidR="00BE115E" w:rsidRPr="00712891" w:rsidRDefault="00BE115E" w:rsidP="00BE115E">
      <w:pPr>
        <w:ind w:left="851"/>
        <w:rPr>
          <w:b/>
          <w:i/>
          <w:sz w:val="24"/>
          <w:szCs w:val="24"/>
        </w:rPr>
      </w:pPr>
    </w:p>
    <w:p w:rsidR="00BE115E" w:rsidRPr="00712891" w:rsidRDefault="00BE115E" w:rsidP="00BE115E">
      <w:pPr>
        <w:ind w:left="851"/>
        <w:rPr>
          <w:b/>
          <w:i/>
          <w:sz w:val="24"/>
          <w:szCs w:val="24"/>
        </w:rPr>
      </w:pPr>
      <w:r w:rsidRPr="00712891">
        <w:rPr>
          <w:b/>
          <w:i/>
          <w:sz w:val="24"/>
          <w:szCs w:val="24"/>
        </w:rPr>
        <w:t>Knogler, led, muskler og bindevæv:</w:t>
      </w:r>
    </w:p>
    <w:p w:rsidR="00BE115E" w:rsidRPr="00712891" w:rsidRDefault="00BE115E" w:rsidP="00BE115E">
      <w:pPr>
        <w:ind w:left="851"/>
        <w:rPr>
          <w:i/>
          <w:sz w:val="24"/>
          <w:szCs w:val="24"/>
        </w:rPr>
      </w:pPr>
      <w:r w:rsidRPr="00712891">
        <w:rPr>
          <w:sz w:val="24"/>
          <w:szCs w:val="24"/>
          <w:u w:val="single"/>
        </w:rPr>
        <w:t>Sjælden:</w:t>
      </w:r>
      <w:r w:rsidRPr="00712891">
        <w:rPr>
          <w:i/>
          <w:sz w:val="24"/>
          <w:szCs w:val="24"/>
        </w:rPr>
        <w:tab/>
      </w:r>
      <w:r w:rsidRPr="00712891">
        <w:rPr>
          <w:sz w:val="24"/>
          <w:szCs w:val="24"/>
        </w:rPr>
        <w:t>Smerter i ryggen, knoglerne, brystet og lumbal region</w:t>
      </w:r>
    </w:p>
    <w:p w:rsidR="00BE115E" w:rsidRPr="00712891" w:rsidRDefault="00BE115E" w:rsidP="00BE115E">
      <w:pPr>
        <w:ind w:left="851"/>
        <w:rPr>
          <w:b/>
          <w:i/>
          <w:sz w:val="24"/>
          <w:szCs w:val="24"/>
        </w:rPr>
      </w:pPr>
    </w:p>
    <w:p w:rsidR="00BE115E" w:rsidRPr="00712891" w:rsidRDefault="00BE115E" w:rsidP="00BE115E">
      <w:pPr>
        <w:ind w:left="851"/>
        <w:rPr>
          <w:b/>
          <w:i/>
          <w:sz w:val="24"/>
          <w:szCs w:val="24"/>
        </w:rPr>
      </w:pPr>
      <w:r w:rsidRPr="00712891">
        <w:rPr>
          <w:b/>
          <w:i/>
          <w:sz w:val="24"/>
          <w:szCs w:val="24"/>
        </w:rPr>
        <w:t>Almene symptomer og reaktioner på administrationsstedet</w:t>
      </w:r>
    </w:p>
    <w:p w:rsidR="00BE115E" w:rsidRPr="00712891" w:rsidRDefault="00BE115E" w:rsidP="00BE115E">
      <w:pPr>
        <w:ind w:left="851"/>
        <w:rPr>
          <w:sz w:val="24"/>
          <w:szCs w:val="24"/>
        </w:rPr>
      </w:pPr>
      <w:r w:rsidRPr="00712891">
        <w:rPr>
          <w:sz w:val="24"/>
          <w:szCs w:val="24"/>
          <w:u w:val="single"/>
        </w:rPr>
        <w:t>Sjælden:</w:t>
      </w:r>
      <w:r w:rsidRPr="00712891">
        <w:rPr>
          <w:sz w:val="24"/>
          <w:szCs w:val="24"/>
        </w:rPr>
        <w:tab/>
        <w:t xml:space="preserve">Forhøjet legemstemperatur, kuldefølelse, kulderystelser </w:t>
      </w:r>
    </w:p>
    <w:p w:rsidR="00BE115E" w:rsidRPr="00712891" w:rsidRDefault="00BE115E" w:rsidP="00BE115E">
      <w:pPr>
        <w:ind w:left="851"/>
        <w:rPr>
          <w:sz w:val="24"/>
          <w:szCs w:val="24"/>
        </w:rPr>
      </w:pPr>
      <w:r w:rsidRPr="00712891">
        <w:rPr>
          <w:sz w:val="24"/>
          <w:szCs w:val="24"/>
          <w:u w:val="single"/>
        </w:rPr>
        <w:t>Meget sjælden:</w:t>
      </w:r>
      <w:r w:rsidRPr="00712891">
        <w:rPr>
          <w:sz w:val="24"/>
          <w:szCs w:val="24"/>
        </w:rPr>
        <w:tab/>
        <w:t>Fedtoverbelastningssyndrom (se detaljer nedenfor).</w:t>
      </w:r>
    </w:p>
    <w:p w:rsidR="00BE115E" w:rsidRPr="00712891" w:rsidRDefault="00BE115E" w:rsidP="00BE115E">
      <w:pPr>
        <w:ind w:left="851"/>
        <w:rPr>
          <w:sz w:val="24"/>
          <w:szCs w:val="24"/>
        </w:rPr>
      </w:pPr>
    </w:p>
    <w:p w:rsidR="00BE115E" w:rsidRPr="00712891" w:rsidRDefault="00BE115E" w:rsidP="00BE115E">
      <w:pPr>
        <w:ind w:left="851"/>
        <w:rPr>
          <w:sz w:val="24"/>
          <w:szCs w:val="24"/>
        </w:rPr>
      </w:pPr>
      <w:r w:rsidRPr="00712891">
        <w:rPr>
          <w:sz w:val="24"/>
          <w:szCs w:val="24"/>
        </w:rPr>
        <w:t>Hvis der opstår bivirkninger, skal infusionen stoppes.</w:t>
      </w:r>
    </w:p>
    <w:p w:rsidR="00BE115E" w:rsidRPr="00712891" w:rsidRDefault="00BE115E" w:rsidP="00BE115E">
      <w:pPr>
        <w:ind w:left="851"/>
        <w:rPr>
          <w:sz w:val="24"/>
          <w:szCs w:val="24"/>
        </w:rPr>
      </w:pPr>
    </w:p>
    <w:p w:rsidR="00BE115E" w:rsidRPr="00712891" w:rsidRDefault="00BE115E" w:rsidP="00BE115E">
      <w:pPr>
        <w:ind w:left="851"/>
        <w:rPr>
          <w:sz w:val="24"/>
          <w:szCs w:val="24"/>
        </w:rPr>
      </w:pPr>
      <w:r w:rsidRPr="00712891">
        <w:rPr>
          <w:sz w:val="24"/>
          <w:szCs w:val="24"/>
        </w:rPr>
        <w:t>Hvis triglyceridniveauet stiger til over 11,4 mmol/l (1.000 mg/dl) i løbet af infusionen, skal infusionen stoppes. Ved niveauer over 4,6 mmol/l (400 mg/dl) kan infusionen fortsættes med reduceret dosis (se pkt. 4.4).</w:t>
      </w:r>
    </w:p>
    <w:p w:rsidR="00BE115E" w:rsidRPr="00712891" w:rsidRDefault="00BE115E" w:rsidP="00BE115E">
      <w:pPr>
        <w:ind w:left="851"/>
        <w:rPr>
          <w:sz w:val="24"/>
          <w:szCs w:val="24"/>
        </w:rPr>
      </w:pPr>
    </w:p>
    <w:p w:rsidR="00BE115E" w:rsidRPr="00712891" w:rsidRDefault="00BE115E" w:rsidP="00BE115E">
      <w:pPr>
        <w:ind w:left="851"/>
        <w:rPr>
          <w:sz w:val="24"/>
          <w:szCs w:val="24"/>
        </w:rPr>
      </w:pPr>
      <w:r w:rsidRPr="00712891">
        <w:rPr>
          <w:sz w:val="24"/>
          <w:szCs w:val="24"/>
        </w:rPr>
        <w:t>Hvis infusionen startes igen, skal patienten monitoreres nøje, især i begyndelsen, og niveauet af serumtriglycerider skal bestemmes med korte mellemrum.</w:t>
      </w:r>
    </w:p>
    <w:p w:rsidR="00BE115E" w:rsidRPr="00712891" w:rsidRDefault="00BE115E" w:rsidP="00BE115E">
      <w:pPr>
        <w:ind w:left="851"/>
        <w:rPr>
          <w:sz w:val="24"/>
          <w:szCs w:val="24"/>
        </w:rPr>
      </w:pPr>
    </w:p>
    <w:p w:rsidR="00BE115E" w:rsidRPr="00712891" w:rsidRDefault="00BE115E" w:rsidP="00BE115E">
      <w:pPr>
        <w:ind w:left="851"/>
        <w:rPr>
          <w:b/>
          <w:sz w:val="24"/>
          <w:szCs w:val="24"/>
        </w:rPr>
      </w:pPr>
      <w:r w:rsidRPr="00712891">
        <w:rPr>
          <w:b/>
          <w:sz w:val="24"/>
          <w:szCs w:val="24"/>
        </w:rPr>
        <w:t>Information om særlige bivirkninger</w:t>
      </w:r>
    </w:p>
    <w:p w:rsidR="00BE115E" w:rsidRPr="00712891" w:rsidRDefault="00BE115E" w:rsidP="00BE115E">
      <w:pPr>
        <w:ind w:left="851"/>
        <w:rPr>
          <w:sz w:val="24"/>
          <w:szCs w:val="24"/>
        </w:rPr>
      </w:pPr>
      <w:r w:rsidRPr="00712891">
        <w:rPr>
          <w:sz w:val="24"/>
          <w:szCs w:val="24"/>
        </w:rPr>
        <w:t>Kvalme, opkastning og appetitløshed er symptomer, der ofte er forbundet med tilstande, hvor parenteral ernæring er indiceret, og de kan på samme tid være forbundet med parenteral ernæring.</w:t>
      </w:r>
    </w:p>
    <w:p w:rsidR="00BE115E" w:rsidRPr="00712891" w:rsidRDefault="00BE115E" w:rsidP="00BE115E">
      <w:pPr>
        <w:ind w:left="851"/>
        <w:rPr>
          <w:sz w:val="24"/>
          <w:szCs w:val="24"/>
        </w:rPr>
      </w:pPr>
    </w:p>
    <w:p w:rsidR="00BE115E" w:rsidRPr="00712891" w:rsidRDefault="00BE115E" w:rsidP="00BE115E">
      <w:pPr>
        <w:ind w:left="851"/>
        <w:rPr>
          <w:i/>
          <w:sz w:val="24"/>
          <w:szCs w:val="24"/>
        </w:rPr>
      </w:pPr>
      <w:r w:rsidRPr="00712891">
        <w:rPr>
          <w:i/>
          <w:sz w:val="24"/>
          <w:szCs w:val="24"/>
        </w:rPr>
        <w:t>Fedtoverbelastningssyndrom</w:t>
      </w:r>
    </w:p>
    <w:p w:rsidR="00BE115E" w:rsidRPr="00712891" w:rsidRDefault="00BE115E" w:rsidP="00BE115E">
      <w:pPr>
        <w:ind w:left="851"/>
        <w:rPr>
          <w:sz w:val="24"/>
          <w:szCs w:val="24"/>
        </w:rPr>
      </w:pPr>
      <w:r w:rsidRPr="00712891">
        <w:rPr>
          <w:sz w:val="24"/>
          <w:szCs w:val="24"/>
        </w:rPr>
        <w:t xml:space="preserve">Nedsat evne til at udskille triglycerider kan føre til ”fedtoverbelastnings syndrom”, hvilket kan forårsages af en overdosering. Der bør observeres for mulige tegn på metabolisk overbelastning. Årsagen kan være genetisk (individuelle forskelle i metabolisme), eller </w:t>
      </w:r>
      <w:r w:rsidRPr="00712891">
        <w:rPr>
          <w:sz w:val="24"/>
          <w:szCs w:val="24"/>
        </w:rPr>
        <w:lastRenderedPageBreak/>
        <w:t xml:space="preserve">fedtmetabolismen kan være påvirket af eksisterende eller tidligere sygdom. Dette syndrom kan ligeledes forekomme under alvorlig </w:t>
      </w:r>
      <w:proofErr w:type="spellStart"/>
      <w:r w:rsidRPr="00712891">
        <w:rPr>
          <w:sz w:val="24"/>
          <w:szCs w:val="24"/>
        </w:rPr>
        <w:t>hypertriglyceridæmi</w:t>
      </w:r>
      <w:proofErr w:type="spellEnd"/>
      <w:r w:rsidRPr="00712891">
        <w:rPr>
          <w:sz w:val="24"/>
          <w:szCs w:val="24"/>
        </w:rPr>
        <w:t xml:space="preserve">, selv ved den anbefalede infusionshastighed og i forbindelse med en pludselig ændring i patientens kliniske tilstand såsom nedsat nyrefunktion eller infektion. </w:t>
      </w:r>
    </w:p>
    <w:p w:rsidR="00BE115E" w:rsidRPr="00712891" w:rsidRDefault="00BE115E" w:rsidP="00BE115E">
      <w:pPr>
        <w:ind w:left="851"/>
        <w:rPr>
          <w:sz w:val="24"/>
          <w:szCs w:val="24"/>
        </w:rPr>
      </w:pPr>
      <w:r w:rsidRPr="00712891">
        <w:rPr>
          <w:sz w:val="24"/>
          <w:szCs w:val="24"/>
        </w:rPr>
        <w:t xml:space="preserve">Fedtoverbelastningssyndrom er karakteriseret ved </w:t>
      </w:r>
      <w:proofErr w:type="spellStart"/>
      <w:r w:rsidRPr="00712891">
        <w:rPr>
          <w:sz w:val="24"/>
          <w:szCs w:val="24"/>
        </w:rPr>
        <w:t>hyperlipidæmi</w:t>
      </w:r>
      <w:proofErr w:type="spellEnd"/>
      <w:r w:rsidRPr="00712891">
        <w:rPr>
          <w:sz w:val="24"/>
          <w:szCs w:val="24"/>
        </w:rPr>
        <w:t xml:space="preserve">, feber, fedtinfiltration, </w:t>
      </w:r>
      <w:proofErr w:type="spellStart"/>
      <w:r w:rsidRPr="00712891">
        <w:rPr>
          <w:sz w:val="24"/>
          <w:szCs w:val="24"/>
        </w:rPr>
        <w:t>hepatomegali</w:t>
      </w:r>
      <w:proofErr w:type="spellEnd"/>
      <w:r w:rsidRPr="00712891">
        <w:rPr>
          <w:sz w:val="24"/>
          <w:szCs w:val="24"/>
        </w:rPr>
        <w:t xml:space="preserve"> med eller uden </w:t>
      </w:r>
      <w:proofErr w:type="spellStart"/>
      <w:r w:rsidRPr="00712891">
        <w:rPr>
          <w:sz w:val="24"/>
          <w:szCs w:val="24"/>
        </w:rPr>
        <w:t>ikterus</w:t>
      </w:r>
      <w:proofErr w:type="spellEnd"/>
      <w:r w:rsidRPr="00712891">
        <w:rPr>
          <w:sz w:val="24"/>
          <w:szCs w:val="24"/>
        </w:rPr>
        <w:t xml:space="preserve">, </w:t>
      </w:r>
      <w:proofErr w:type="spellStart"/>
      <w:r w:rsidRPr="00712891">
        <w:rPr>
          <w:sz w:val="24"/>
          <w:szCs w:val="24"/>
        </w:rPr>
        <w:t>splenomegali</w:t>
      </w:r>
      <w:proofErr w:type="spellEnd"/>
      <w:r w:rsidRPr="00712891">
        <w:rPr>
          <w:sz w:val="24"/>
          <w:szCs w:val="24"/>
        </w:rPr>
        <w:t xml:space="preserve">, anæmi, </w:t>
      </w:r>
      <w:proofErr w:type="spellStart"/>
      <w:r w:rsidRPr="00712891">
        <w:rPr>
          <w:sz w:val="24"/>
          <w:szCs w:val="24"/>
        </w:rPr>
        <w:t>leukopeni</w:t>
      </w:r>
      <w:proofErr w:type="spellEnd"/>
      <w:r w:rsidRPr="00712891">
        <w:rPr>
          <w:sz w:val="24"/>
          <w:szCs w:val="24"/>
        </w:rPr>
        <w:t xml:space="preserve">, </w:t>
      </w:r>
      <w:proofErr w:type="spellStart"/>
      <w:r w:rsidRPr="00712891">
        <w:rPr>
          <w:sz w:val="24"/>
          <w:szCs w:val="24"/>
        </w:rPr>
        <w:t>trombocytopeni</w:t>
      </w:r>
      <w:proofErr w:type="spellEnd"/>
      <w:r w:rsidRPr="00712891">
        <w:rPr>
          <w:sz w:val="24"/>
          <w:szCs w:val="24"/>
        </w:rPr>
        <w:t xml:space="preserve">, koagulationsforstyrrelse, </w:t>
      </w:r>
      <w:proofErr w:type="spellStart"/>
      <w:r w:rsidRPr="00712891">
        <w:rPr>
          <w:sz w:val="24"/>
          <w:szCs w:val="24"/>
        </w:rPr>
        <w:t>hæmolyse</w:t>
      </w:r>
      <w:proofErr w:type="spellEnd"/>
      <w:r w:rsidRPr="00712891">
        <w:rPr>
          <w:sz w:val="24"/>
          <w:szCs w:val="24"/>
        </w:rPr>
        <w:t xml:space="preserve"> og </w:t>
      </w:r>
      <w:proofErr w:type="spellStart"/>
      <w:r w:rsidRPr="00712891">
        <w:rPr>
          <w:sz w:val="24"/>
          <w:szCs w:val="24"/>
        </w:rPr>
        <w:t>retikulocytose</w:t>
      </w:r>
      <w:proofErr w:type="spellEnd"/>
      <w:r w:rsidRPr="00712891">
        <w:rPr>
          <w:sz w:val="24"/>
          <w:szCs w:val="24"/>
        </w:rPr>
        <w:t xml:space="preserve">, unormale leverfunktionsprøver og koma. Symptomerne er normalt reversible, når infusionen med fedtemulsionen seponeres. Hvis der forekommer tegn på fedtoverbelastningssyndrom, skal infusionen af </w:t>
      </w:r>
      <w:proofErr w:type="spellStart"/>
      <w:r w:rsidRPr="00712891">
        <w:rPr>
          <w:sz w:val="24"/>
          <w:szCs w:val="24"/>
        </w:rPr>
        <w:t>Nutriflex</w:t>
      </w:r>
      <w:proofErr w:type="spellEnd"/>
      <w:r w:rsidRPr="00712891">
        <w:rPr>
          <w:sz w:val="24"/>
          <w:szCs w:val="24"/>
        </w:rPr>
        <w:t xml:space="preserve"> Omega Special elektrolytfri øjeblikkeligt seponeres.</w:t>
      </w:r>
    </w:p>
    <w:p w:rsidR="00BE115E" w:rsidRPr="00712891" w:rsidRDefault="00BE115E" w:rsidP="00BE115E">
      <w:pPr>
        <w:ind w:left="851"/>
        <w:rPr>
          <w:sz w:val="24"/>
          <w:szCs w:val="24"/>
        </w:rPr>
      </w:pPr>
    </w:p>
    <w:p w:rsidR="00BE115E" w:rsidRPr="00712891" w:rsidRDefault="00BE115E" w:rsidP="00BE115E">
      <w:pPr>
        <w:ind w:left="851"/>
        <w:rPr>
          <w:b/>
          <w:sz w:val="24"/>
          <w:szCs w:val="24"/>
        </w:rPr>
      </w:pPr>
      <w:r w:rsidRPr="00712891">
        <w:rPr>
          <w:b/>
          <w:sz w:val="24"/>
          <w:szCs w:val="24"/>
        </w:rPr>
        <w:t>Indberetning af formodede bivirkninger</w:t>
      </w:r>
    </w:p>
    <w:p w:rsidR="004C0F83" w:rsidRPr="00712891" w:rsidRDefault="004C0F83" w:rsidP="004C0F83">
      <w:pPr>
        <w:ind w:left="851"/>
        <w:rPr>
          <w:sz w:val="24"/>
          <w:szCs w:val="24"/>
        </w:rPr>
      </w:pPr>
      <w:r w:rsidRPr="00712891">
        <w:rPr>
          <w:sz w:val="24"/>
          <w:szCs w:val="24"/>
        </w:rPr>
        <w:t>Når lægemidlet er godkendt, er indberetning af formodede bivirkninger vigtig. Det muliggør løbende overvågning af benefit/</w:t>
      </w:r>
      <w:proofErr w:type="spellStart"/>
      <w:r w:rsidRPr="00712891">
        <w:rPr>
          <w:sz w:val="24"/>
          <w:szCs w:val="24"/>
        </w:rPr>
        <w:t>risk</w:t>
      </w:r>
      <w:proofErr w:type="spellEnd"/>
      <w:r w:rsidRPr="00712891">
        <w:rPr>
          <w:sz w:val="24"/>
          <w:szCs w:val="24"/>
        </w:rPr>
        <w:t xml:space="preserve">-forholdet for lægemidlet. </w:t>
      </w:r>
      <w:r>
        <w:rPr>
          <w:sz w:val="24"/>
          <w:szCs w:val="24"/>
        </w:rPr>
        <w:t>S</w:t>
      </w:r>
      <w:r w:rsidRPr="00712891">
        <w:rPr>
          <w:sz w:val="24"/>
          <w:szCs w:val="24"/>
        </w:rPr>
        <w:t>undhedsperson</w:t>
      </w:r>
      <w:r>
        <w:rPr>
          <w:sz w:val="24"/>
          <w:szCs w:val="24"/>
        </w:rPr>
        <w:t>er</w:t>
      </w:r>
      <w:r w:rsidRPr="00712891">
        <w:rPr>
          <w:sz w:val="24"/>
          <w:szCs w:val="24"/>
        </w:rPr>
        <w:t xml:space="preserve"> anmodes om at indberette alle formodede bivirkninger via:</w:t>
      </w:r>
    </w:p>
    <w:p w:rsidR="004C0F83" w:rsidRPr="00712891" w:rsidRDefault="004C0F83" w:rsidP="004C0F83">
      <w:pPr>
        <w:ind w:left="851"/>
        <w:rPr>
          <w:rFonts w:eastAsia="Calibri"/>
          <w:color w:val="000000"/>
          <w:sz w:val="24"/>
          <w:szCs w:val="24"/>
          <w:lang w:eastAsia="zh-CN"/>
        </w:rPr>
      </w:pPr>
    </w:p>
    <w:p w:rsidR="004C0F83" w:rsidRPr="00712891" w:rsidRDefault="004C0F83" w:rsidP="004C0F83">
      <w:pPr>
        <w:ind w:left="851"/>
        <w:rPr>
          <w:rFonts w:eastAsia="Calibri"/>
          <w:color w:val="000000"/>
          <w:sz w:val="24"/>
          <w:szCs w:val="24"/>
          <w:lang w:eastAsia="zh-CN"/>
        </w:rPr>
      </w:pPr>
      <w:r w:rsidRPr="00712891">
        <w:rPr>
          <w:rFonts w:eastAsia="Calibri"/>
          <w:color w:val="000000"/>
          <w:sz w:val="24"/>
          <w:szCs w:val="24"/>
          <w:lang w:eastAsia="zh-CN"/>
        </w:rPr>
        <w:t>Lægemiddelstyrelsen</w:t>
      </w:r>
    </w:p>
    <w:p w:rsidR="004C0F83" w:rsidRPr="00712891" w:rsidRDefault="004C0F83" w:rsidP="004C0F83">
      <w:pPr>
        <w:ind w:left="851"/>
        <w:rPr>
          <w:rFonts w:eastAsia="Calibri"/>
          <w:sz w:val="24"/>
          <w:szCs w:val="24"/>
          <w:lang w:eastAsia="zh-CN"/>
        </w:rPr>
      </w:pPr>
      <w:r w:rsidRPr="00712891">
        <w:rPr>
          <w:rFonts w:eastAsia="Calibri"/>
          <w:sz w:val="24"/>
          <w:szCs w:val="24"/>
          <w:lang w:eastAsia="zh-CN"/>
        </w:rPr>
        <w:t>Axel Heides Gade 1</w:t>
      </w:r>
    </w:p>
    <w:p w:rsidR="004C0F83" w:rsidRPr="00712891" w:rsidRDefault="004C0F83" w:rsidP="004C0F83">
      <w:pPr>
        <w:ind w:left="851"/>
        <w:rPr>
          <w:rFonts w:eastAsia="Calibri"/>
          <w:sz w:val="24"/>
          <w:szCs w:val="24"/>
          <w:lang w:eastAsia="zh-CN"/>
        </w:rPr>
      </w:pPr>
      <w:r w:rsidRPr="00712891">
        <w:rPr>
          <w:rFonts w:eastAsia="Calibri"/>
          <w:sz w:val="24"/>
          <w:szCs w:val="24"/>
          <w:lang w:eastAsia="zh-CN"/>
        </w:rPr>
        <w:t>DK-2300 København S</w:t>
      </w:r>
    </w:p>
    <w:p w:rsidR="004C0F83" w:rsidRPr="004C0F83" w:rsidRDefault="004C0F83" w:rsidP="004C0F83">
      <w:pPr>
        <w:ind w:left="851"/>
        <w:rPr>
          <w:rFonts w:eastAsia="Calibri"/>
          <w:sz w:val="24"/>
          <w:szCs w:val="24"/>
          <w:lang w:eastAsia="zh-CN"/>
        </w:rPr>
      </w:pPr>
      <w:r w:rsidRPr="004C0F83">
        <w:rPr>
          <w:rFonts w:eastAsia="Calibri"/>
          <w:sz w:val="24"/>
          <w:szCs w:val="24"/>
          <w:lang w:eastAsia="zh-CN"/>
        </w:rPr>
        <w:t xml:space="preserve">Websted: </w:t>
      </w:r>
      <w:hyperlink r:id="rId8" w:history="1">
        <w:r w:rsidRPr="004C0F83">
          <w:rPr>
            <w:rStyle w:val="Hyperlink"/>
            <w:rFonts w:eastAsia="Calibri"/>
            <w:sz w:val="24"/>
            <w:szCs w:val="24"/>
            <w:lang w:eastAsia="zh-CN"/>
          </w:rPr>
          <w:t>www.meldenbivirkning.dk</w:t>
        </w:r>
      </w:hyperlink>
    </w:p>
    <w:p w:rsidR="00BE115E" w:rsidRPr="004C0F83" w:rsidRDefault="00BE115E" w:rsidP="00BE115E">
      <w:pPr>
        <w:pStyle w:val="Sidehoved"/>
        <w:tabs>
          <w:tab w:val="clear" w:pos="4819"/>
          <w:tab w:val="clear" w:pos="9638"/>
        </w:tabs>
        <w:ind w:left="851"/>
        <w:rPr>
          <w:szCs w:val="24"/>
        </w:rPr>
      </w:pPr>
    </w:p>
    <w:p w:rsidR="00BE115E" w:rsidRPr="000375F3" w:rsidRDefault="00BE115E" w:rsidP="00BE115E">
      <w:pPr>
        <w:ind w:left="851" w:hanging="851"/>
        <w:rPr>
          <w:b/>
          <w:sz w:val="24"/>
          <w:szCs w:val="24"/>
        </w:rPr>
      </w:pPr>
      <w:r w:rsidRPr="000375F3">
        <w:rPr>
          <w:b/>
          <w:sz w:val="24"/>
          <w:szCs w:val="24"/>
        </w:rPr>
        <w:t>4.9</w:t>
      </w:r>
      <w:r w:rsidRPr="000375F3">
        <w:rPr>
          <w:b/>
          <w:sz w:val="24"/>
          <w:szCs w:val="24"/>
        </w:rPr>
        <w:tab/>
        <w:t>Overdosering</w:t>
      </w:r>
    </w:p>
    <w:p w:rsidR="00BE115E" w:rsidRPr="001057F7" w:rsidRDefault="00BE115E" w:rsidP="00BE115E">
      <w:pPr>
        <w:ind w:left="851"/>
        <w:rPr>
          <w:i/>
          <w:sz w:val="24"/>
          <w:szCs w:val="24"/>
          <w:lang w:eastAsia="da-DK"/>
        </w:rPr>
      </w:pPr>
      <w:r w:rsidRPr="001057F7">
        <w:rPr>
          <w:i/>
          <w:sz w:val="24"/>
          <w:szCs w:val="24"/>
        </w:rPr>
        <w:t>Symptomer på overdosering med væske</w:t>
      </w:r>
    </w:p>
    <w:p w:rsidR="00BE115E" w:rsidRPr="00712891" w:rsidRDefault="00BE115E" w:rsidP="00BE115E">
      <w:pPr>
        <w:ind w:left="851"/>
        <w:rPr>
          <w:sz w:val="24"/>
          <w:szCs w:val="24"/>
        </w:rPr>
      </w:pPr>
      <w:proofErr w:type="spellStart"/>
      <w:r w:rsidRPr="00712891">
        <w:rPr>
          <w:sz w:val="24"/>
          <w:szCs w:val="24"/>
        </w:rPr>
        <w:t>Hyperhydrering</w:t>
      </w:r>
      <w:proofErr w:type="spellEnd"/>
      <w:r w:rsidRPr="00712891">
        <w:rPr>
          <w:sz w:val="24"/>
          <w:szCs w:val="24"/>
        </w:rPr>
        <w:t>, forstyrrelse i elektrolytbalancen og lungeødem</w:t>
      </w:r>
    </w:p>
    <w:p w:rsidR="00BE115E" w:rsidRPr="00712891" w:rsidRDefault="00BE115E" w:rsidP="00BE115E">
      <w:pPr>
        <w:ind w:left="851"/>
        <w:rPr>
          <w:sz w:val="24"/>
          <w:szCs w:val="24"/>
        </w:rPr>
      </w:pPr>
    </w:p>
    <w:p w:rsidR="00BE115E" w:rsidRPr="001057F7" w:rsidRDefault="00BE115E" w:rsidP="00BE115E">
      <w:pPr>
        <w:ind w:left="851"/>
        <w:rPr>
          <w:i/>
          <w:sz w:val="24"/>
          <w:szCs w:val="24"/>
        </w:rPr>
      </w:pPr>
      <w:r w:rsidRPr="001057F7">
        <w:rPr>
          <w:i/>
          <w:sz w:val="24"/>
          <w:szCs w:val="24"/>
        </w:rPr>
        <w:t>Symptomer på overdosering med aminosyrer</w:t>
      </w:r>
    </w:p>
    <w:p w:rsidR="00BE115E" w:rsidRPr="00712891" w:rsidRDefault="00BE115E" w:rsidP="00BE115E">
      <w:pPr>
        <w:ind w:left="851"/>
        <w:rPr>
          <w:sz w:val="24"/>
          <w:szCs w:val="24"/>
        </w:rPr>
      </w:pPr>
      <w:proofErr w:type="spellStart"/>
      <w:r w:rsidRPr="00712891">
        <w:rPr>
          <w:sz w:val="24"/>
          <w:szCs w:val="24"/>
        </w:rPr>
        <w:t>Renalt</w:t>
      </w:r>
      <w:proofErr w:type="spellEnd"/>
      <w:r w:rsidRPr="00712891">
        <w:rPr>
          <w:sz w:val="24"/>
          <w:szCs w:val="24"/>
        </w:rPr>
        <w:t xml:space="preserve"> tab af aminosyrer med efterfølgende forstyrrelser af aminosyrebalancen, kvalme, opkastning og kulderystelser</w:t>
      </w:r>
    </w:p>
    <w:p w:rsidR="00BE115E" w:rsidRPr="00712891" w:rsidRDefault="00BE115E" w:rsidP="00BE115E">
      <w:pPr>
        <w:ind w:left="851"/>
        <w:rPr>
          <w:sz w:val="24"/>
          <w:szCs w:val="24"/>
        </w:rPr>
      </w:pPr>
    </w:p>
    <w:p w:rsidR="00BE115E" w:rsidRPr="001057F7" w:rsidRDefault="00BE115E" w:rsidP="00BE115E">
      <w:pPr>
        <w:ind w:left="851"/>
        <w:rPr>
          <w:i/>
          <w:sz w:val="24"/>
          <w:szCs w:val="24"/>
        </w:rPr>
      </w:pPr>
      <w:r w:rsidRPr="001057F7">
        <w:rPr>
          <w:i/>
          <w:sz w:val="24"/>
          <w:szCs w:val="24"/>
        </w:rPr>
        <w:t xml:space="preserve">Symptomer på overdosering med </w:t>
      </w:r>
      <w:proofErr w:type="spellStart"/>
      <w:r w:rsidRPr="001057F7">
        <w:rPr>
          <w:i/>
          <w:sz w:val="24"/>
          <w:szCs w:val="24"/>
        </w:rPr>
        <w:t>glucose</w:t>
      </w:r>
      <w:proofErr w:type="spellEnd"/>
    </w:p>
    <w:p w:rsidR="00BE115E" w:rsidRPr="00712891" w:rsidRDefault="00BE115E" w:rsidP="00BE115E">
      <w:pPr>
        <w:ind w:left="851"/>
        <w:rPr>
          <w:sz w:val="24"/>
          <w:szCs w:val="24"/>
        </w:rPr>
      </w:pPr>
      <w:proofErr w:type="spellStart"/>
      <w:r w:rsidRPr="00712891">
        <w:rPr>
          <w:sz w:val="24"/>
          <w:szCs w:val="24"/>
        </w:rPr>
        <w:t>Hyperglykæmi</w:t>
      </w:r>
      <w:proofErr w:type="spellEnd"/>
      <w:r w:rsidRPr="00712891">
        <w:rPr>
          <w:sz w:val="24"/>
          <w:szCs w:val="24"/>
        </w:rPr>
        <w:t xml:space="preserve">, </w:t>
      </w:r>
      <w:proofErr w:type="spellStart"/>
      <w:r w:rsidRPr="00712891">
        <w:rPr>
          <w:sz w:val="24"/>
          <w:szCs w:val="24"/>
        </w:rPr>
        <w:t>glucosuri</w:t>
      </w:r>
      <w:proofErr w:type="spellEnd"/>
      <w:r w:rsidRPr="00712891">
        <w:rPr>
          <w:sz w:val="24"/>
          <w:szCs w:val="24"/>
        </w:rPr>
        <w:t xml:space="preserve">, dehydrering, </w:t>
      </w:r>
      <w:proofErr w:type="spellStart"/>
      <w:r w:rsidRPr="00712891">
        <w:rPr>
          <w:sz w:val="24"/>
          <w:szCs w:val="24"/>
        </w:rPr>
        <w:t>hyperosmolalitet</w:t>
      </w:r>
      <w:proofErr w:type="spellEnd"/>
      <w:r w:rsidRPr="00712891">
        <w:rPr>
          <w:sz w:val="24"/>
          <w:szCs w:val="24"/>
        </w:rPr>
        <w:t xml:space="preserve">, </w:t>
      </w:r>
      <w:proofErr w:type="spellStart"/>
      <w:r w:rsidRPr="00712891">
        <w:rPr>
          <w:sz w:val="24"/>
          <w:szCs w:val="24"/>
        </w:rPr>
        <w:t>hyperglykæmisk</w:t>
      </w:r>
      <w:proofErr w:type="spellEnd"/>
      <w:r w:rsidRPr="00712891">
        <w:rPr>
          <w:sz w:val="24"/>
          <w:szCs w:val="24"/>
        </w:rPr>
        <w:t xml:space="preserve"> </w:t>
      </w:r>
      <w:proofErr w:type="spellStart"/>
      <w:r w:rsidRPr="00712891">
        <w:rPr>
          <w:sz w:val="24"/>
          <w:szCs w:val="24"/>
        </w:rPr>
        <w:t>hyperosmolært</w:t>
      </w:r>
      <w:proofErr w:type="spellEnd"/>
      <w:r w:rsidRPr="00712891">
        <w:rPr>
          <w:sz w:val="24"/>
          <w:szCs w:val="24"/>
        </w:rPr>
        <w:t xml:space="preserve"> koma</w:t>
      </w:r>
    </w:p>
    <w:p w:rsidR="00BE115E" w:rsidRPr="00712891" w:rsidRDefault="00BE115E" w:rsidP="00BE115E">
      <w:pPr>
        <w:ind w:left="851"/>
        <w:rPr>
          <w:sz w:val="24"/>
          <w:szCs w:val="24"/>
        </w:rPr>
      </w:pPr>
    </w:p>
    <w:p w:rsidR="00BE115E" w:rsidRPr="001057F7" w:rsidRDefault="00BE115E" w:rsidP="00BE115E">
      <w:pPr>
        <w:ind w:left="851"/>
        <w:rPr>
          <w:i/>
          <w:sz w:val="24"/>
          <w:szCs w:val="24"/>
        </w:rPr>
      </w:pPr>
      <w:r w:rsidRPr="001057F7">
        <w:rPr>
          <w:i/>
          <w:sz w:val="24"/>
          <w:szCs w:val="24"/>
        </w:rPr>
        <w:t>Symptomer på overdosering med lipider</w:t>
      </w:r>
    </w:p>
    <w:p w:rsidR="00BE115E" w:rsidRPr="00712891" w:rsidRDefault="00BE115E" w:rsidP="00BE115E">
      <w:pPr>
        <w:ind w:left="851"/>
        <w:rPr>
          <w:sz w:val="24"/>
          <w:szCs w:val="24"/>
        </w:rPr>
      </w:pPr>
      <w:r w:rsidRPr="00712891">
        <w:rPr>
          <w:sz w:val="24"/>
          <w:szCs w:val="24"/>
        </w:rPr>
        <w:t>Se pkt. 4.8.</w:t>
      </w:r>
    </w:p>
    <w:p w:rsidR="00BE115E" w:rsidRPr="00712891" w:rsidRDefault="00BE115E" w:rsidP="00BE115E">
      <w:pPr>
        <w:ind w:left="851"/>
        <w:rPr>
          <w:sz w:val="24"/>
          <w:szCs w:val="24"/>
        </w:rPr>
      </w:pPr>
    </w:p>
    <w:p w:rsidR="00BE115E" w:rsidRPr="001057F7" w:rsidRDefault="00BE115E" w:rsidP="00BE115E">
      <w:pPr>
        <w:ind w:left="851"/>
        <w:rPr>
          <w:i/>
          <w:sz w:val="24"/>
          <w:szCs w:val="24"/>
        </w:rPr>
      </w:pPr>
      <w:r w:rsidRPr="001057F7">
        <w:rPr>
          <w:i/>
          <w:sz w:val="24"/>
          <w:szCs w:val="24"/>
        </w:rPr>
        <w:t>Behandling</w:t>
      </w:r>
    </w:p>
    <w:p w:rsidR="00BE115E" w:rsidRPr="00712891" w:rsidRDefault="00BE115E" w:rsidP="00BE115E">
      <w:pPr>
        <w:ind w:left="851"/>
        <w:rPr>
          <w:sz w:val="24"/>
          <w:szCs w:val="24"/>
        </w:rPr>
      </w:pPr>
      <w:r w:rsidRPr="00712891">
        <w:rPr>
          <w:sz w:val="24"/>
          <w:szCs w:val="24"/>
        </w:rPr>
        <w:t xml:space="preserve">Øjeblikkelig </w:t>
      </w:r>
      <w:proofErr w:type="spellStart"/>
      <w:r w:rsidRPr="00712891">
        <w:rPr>
          <w:sz w:val="24"/>
          <w:szCs w:val="24"/>
        </w:rPr>
        <w:t>seponering</w:t>
      </w:r>
      <w:proofErr w:type="spellEnd"/>
      <w:r w:rsidRPr="00712891">
        <w:rPr>
          <w:sz w:val="24"/>
          <w:szCs w:val="24"/>
        </w:rPr>
        <w:t xml:space="preserve"> af infusionen er indiceret ved overdosering. Yderligere behandling afhænger af de specifikke symptomer og deres sværhedsgrad. Hvis infusion genoptages efter symptomernes aftagen, anbefales det, at infusionshastigheden øges gradvist med monitorering med korte intervaller.</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4.10</w:t>
      </w:r>
      <w:r w:rsidRPr="000375F3">
        <w:rPr>
          <w:b/>
          <w:sz w:val="24"/>
          <w:szCs w:val="24"/>
        </w:rPr>
        <w:tab/>
        <w:t>Udlevering</w:t>
      </w:r>
    </w:p>
    <w:p w:rsidR="00BE115E" w:rsidRPr="000375F3" w:rsidRDefault="00BE115E" w:rsidP="00BE115E">
      <w:pPr>
        <w:ind w:left="851"/>
        <w:rPr>
          <w:sz w:val="24"/>
          <w:szCs w:val="24"/>
        </w:rPr>
      </w:pPr>
      <w:r w:rsidRPr="000375F3">
        <w:rPr>
          <w:sz w:val="24"/>
          <w:szCs w:val="24"/>
        </w:rPr>
        <w:t>B</w:t>
      </w:r>
    </w:p>
    <w:p w:rsidR="00BE115E" w:rsidRPr="000375F3" w:rsidRDefault="00BE115E" w:rsidP="00BE115E">
      <w:pPr>
        <w:ind w:left="851"/>
        <w:rPr>
          <w:sz w:val="24"/>
          <w:szCs w:val="24"/>
        </w:rPr>
      </w:pPr>
    </w:p>
    <w:p w:rsidR="00BE115E" w:rsidRPr="000375F3" w:rsidRDefault="00BE115E" w:rsidP="00BE115E">
      <w:pPr>
        <w:ind w:left="851"/>
        <w:rPr>
          <w:sz w:val="24"/>
          <w:szCs w:val="24"/>
        </w:rPr>
      </w:pPr>
    </w:p>
    <w:p w:rsidR="00BE115E" w:rsidRDefault="00BE115E" w:rsidP="00B915A7">
      <w:pPr>
        <w:ind w:left="851" w:hanging="851"/>
        <w:rPr>
          <w:sz w:val="24"/>
          <w:szCs w:val="24"/>
        </w:rPr>
      </w:pPr>
      <w:r w:rsidRPr="000375F3">
        <w:rPr>
          <w:b/>
          <w:sz w:val="24"/>
          <w:szCs w:val="24"/>
        </w:rPr>
        <w:t>5.</w:t>
      </w:r>
      <w:r w:rsidRPr="000375F3">
        <w:rPr>
          <w:b/>
          <w:sz w:val="24"/>
          <w:szCs w:val="24"/>
        </w:rPr>
        <w:tab/>
        <w:t>FARMAKOLOGISKE EGENSKABER</w:t>
      </w:r>
    </w:p>
    <w:p w:rsidR="00B915A7" w:rsidRPr="00B915A7" w:rsidRDefault="00B915A7" w:rsidP="00B915A7">
      <w:pPr>
        <w:ind w:left="851" w:hanging="851"/>
        <w:rPr>
          <w:b/>
          <w:sz w:val="24"/>
          <w:szCs w:val="24"/>
        </w:rPr>
      </w:pPr>
    </w:p>
    <w:p w:rsidR="00BE115E" w:rsidRDefault="00BE115E" w:rsidP="00BE115E">
      <w:pPr>
        <w:ind w:left="851" w:hanging="851"/>
        <w:rPr>
          <w:b/>
          <w:sz w:val="24"/>
          <w:szCs w:val="24"/>
        </w:rPr>
      </w:pPr>
      <w:r w:rsidRPr="000375F3">
        <w:rPr>
          <w:b/>
          <w:sz w:val="24"/>
          <w:szCs w:val="24"/>
        </w:rPr>
        <w:t>5.1</w:t>
      </w:r>
      <w:r w:rsidRPr="000375F3">
        <w:rPr>
          <w:b/>
          <w:sz w:val="24"/>
          <w:szCs w:val="24"/>
        </w:rPr>
        <w:tab/>
      </w:r>
      <w:proofErr w:type="spellStart"/>
      <w:r w:rsidRPr="000375F3">
        <w:rPr>
          <w:b/>
          <w:sz w:val="24"/>
          <w:szCs w:val="24"/>
        </w:rPr>
        <w:t>Farmakodynamiske</w:t>
      </w:r>
      <w:proofErr w:type="spellEnd"/>
      <w:r w:rsidRPr="000375F3">
        <w:rPr>
          <w:b/>
          <w:sz w:val="24"/>
          <w:szCs w:val="24"/>
        </w:rPr>
        <w:t xml:space="preserve"> egenskaber</w:t>
      </w:r>
    </w:p>
    <w:p w:rsidR="00B915A7" w:rsidRPr="00B915A7" w:rsidRDefault="00B915A7" w:rsidP="00B915A7">
      <w:pPr>
        <w:ind w:left="851"/>
        <w:rPr>
          <w:sz w:val="24"/>
          <w:szCs w:val="24"/>
        </w:rPr>
      </w:pPr>
      <w:proofErr w:type="spellStart"/>
      <w:r w:rsidRPr="00B915A7">
        <w:rPr>
          <w:sz w:val="24"/>
          <w:szCs w:val="24"/>
        </w:rPr>
        <w:t>Farmakoterapeutisk</w:t>
      </w:r>
      <w:proofErr w:type="spellEnd"/>
      <w:r w:rsidRPr="00B915A7">
        <w:rPr>
          <w:sz w:val="24"/>
          <w:szCs w:val="24"/>
        </w:rPr>
        <w:t xml:space="preserve"> klassifikation: Opløsninger til parenteral ernæring, kombinationer, ATC-kode: B05BA10.</w:t>
      </w:r>
    </w:p>
    <w:p w:rsidR="00B915A7" w:rsidRPr="000375F3" w:rsidRDefault="00B915A7" w:rsidP="00B915A7">
      <w:pPr>
        <w:ind w:left="851"/>
        <w:rPr>
          <w:b/>
          <w:sz w:val="24"/>
          <w:szCs w:val="24"/>
        </w:rPr>
      </w:pPr>
    </w:p>
    <w:p w:rsidR="00BE115E" w:rsidRPr="000375F3" w:rsidRDefault="00BE115E" w:rsidP="00BE115E">
      <w:pPr>
        <w:pStyle w:val="Brdtekstindrykning"/>
        <w:tabs>
          <w:tab w:val="clear" w:pos="851"/>
        </w:tabs>
        <w:ind w:left="0" w:firstLine="851"/>
        <w:jc w:val="left"/>
        <w:rPr>
          <w:rFonts w:ascii="Times New Roman" w:hAnsi="Times New Roman"/>
          <w:szCs w:val="24"/>
          <w:u w:val="single"/>
        </w:rPr>
      </w:pPr>
      <w:r w:rsidRPr="000375F3">
        <w:rPr>
          <w:rFonts w:ascii="Times New Roman" w:hAnsi="Times New Roman"/>
          <w:szCs w:val="24"/>
          <w:u w:val="single"/>
        </w:rPr>
        <w:t>Virkningsmekanisme</w:t>
      </w:r>
    </w:p>
    <w:p w:rsidR="00BE115E" w:rsidRPr="000375F3" w:rsidRDefault="00BE115E" w:rsidP="00BE115E">
      <w:pPr>
        <w:pStyle w:val="Brdtekstindrykning"/>
        <w:tabs>
          <w:tab w:val="clear" w:pos="851"/>
        </w:tabs>
        <w:ind w:left="0"/>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Formålet med parenteral ernæring er at tilføre alle næringsstoffer og energi, som er nødvendige for vækst og/eller regenerering af væv og til opretholdelse af alle kropsfunktioner.</w:t>
      </w:r>
    </w:p>
    <w:p w:rsidR="00BE115E" w:rsidRPr="000375F3" w:rsidRDefault="00BE115E" w:rsidP="00BE115E">
      <w:pPr>
        <w:pStyle w:val="Brdtekstindrykning"/>
        <w:tabs>
          <w:tab w:val="clear" w:pos="851"/>
        </w:tabs>
        <w:ind w:left="0"/>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Aminosyrer er især vigtige, da nogle af dem er essentielle komponenter af proteinsyntesen. Samtidig administration af energikilder (kulhydrater/lipider) er nødvendig for at opbygge et lager af aminosyrer til regenerering af væv og anabolisme og forhindre, at de anvendes som energikilde.</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proofErr w:type="spellStart"/>
      <w:r w:rsidRPr="000375F3">
        <w:rPr>
          <w:rFonts w:ascii="Times New Roman" w:hAnsi="Times New Roman"/>
          <w:szCs w:val="24"/>
        </w:rPr>
        <w:t>Glucose</w:t>
      </w:r>
      <w:proofErr w:type="spellEnd"/>
      <w:r w:rsidRPr="000375F3">
        <w:rPr>
          <w:rFonts w:ascii="Times New Roman" w:hAnsi="Times New Roman"/>
          <w:szCs w:val="24"/>
        </w:rPr>
        <w:t xml:space="preserve"> </w:t>
      </w:r>
      <w:proofErr w:type="spellStart"/>
      <w:r w:rsidRPr="000375F3">
        <w:rPr>
          <w:rFonts w:ascii="Times New Roman" w:hAnsi="Times New Roman"/>
          <w:szCs w:val="24"/>
        </w:rPr>
        <w:t>metaboliseres</w:t>
      </w:r>
      <w:proofErr w:type="spellEnd"/>
      <w:r w:rsidRPr="000375F3">
        <w:rPr>
          <w:rFonts w:ascii="Times New Roman" w:hAnsi="Times New Roman"/>
          <w:szCs w:val="24"/>
        </w:rPr>
        <w:t xml:space="preserve"> overalt i organismen. Nogle væv og organer, såsom centralnervesystemet, knoglemarv, erytrocytter og </w:t>
      </w:r>
      <w:proofErr w:type="spellStart"/>
      <w:r w:rsidRPr="000375F3">
        <w:rPr>
          <w:rFonts w:ascii="Times New Roman" w:hAnsi="Times New Roman"/>
          <w:szCs w:val="24"/>
        </w:rPr>
        <w:t>tubulært</w:t>
      </w:r>
      <w:proofErr w:type="spellEnd"/>
      <w:r w:rsidRPr="000375F3">
        <w:rPr>
          <w:rFonts w:ascii="Times New Roman" w:hAnsi="Times New Roman"/>
          <w:szCs w:val="24"/>
        </w:rPr>
        <w:t xml:space="preserve"> epitel, dækker deres energibehov udelukkende fra </w:t>
      </w:r>
      <w:proofErr w:type="spellStart"/>
      <w:r w:rsidRPr="000375F3">
        <w:rPr>
          <w:rFonts w:ascii="Times New Roman" w:hAnsi="Times New Roman"/>
          <w:szCs w:val="24"/>
        </w:rPr>
        <w:t>glucose</w:t>
      </w:r>
      <w:proofErr w:type="spellEnd"/>
      <w:r w:rsidRPr="000375F3">
        <w:rPr>
          <w:rFonts w:ascii="Times New Roman" w:hAnsi="Times New Roman"/>
          <w:szCs w:val="24"/>
        </w:rPr>
        <w:t xml:space="preserve">. Desuden virker </w:t>
      </w:r>
      <w:proofErr w:type="spellStart"/>
      <w:r w:rsidRPr="000375F3">
        <w:rPr>
          <w:rFonts w:ascii="Times New Roman" w:hAnsi="Times New Roman"/>
          <w:szCs w:val="24"/>
        </w:rPr>
        <w:t>glucose</w:t>
      </w:r>
      <w:proofErr w:type="spellEnd"/>
      <w:r w:rsidRPr="000375F3">
        <w:rPr>
          <w:rFonts w:ascii="Times New Roman" w:hAnsi="Times New Roman"/>
          <w:szCs w:val="24"/>
        </w:rPr>
        <w:t xml:space="preserve"> som en strukturel byggesten for forskellige stoffer i cellen.</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ind w:left="851"/>
        <w:rPr>
          <w:sz w:val="24"/>
          <w:szCs w:val="24"/>
          <w:lang w:eastAsia="da-DK" w:bidi="da-DK"/>
        </w:rPr>
      </w:pPr>
      <w:r w:rsidRPr="000375F3">
        <w:rPr>
          <w:sz w:val="24"/>
          <w:szCs w:val="24"/>
          <w:lang w:eastAsia="da-DK" w:bidi="da-DK"/>
        </w:rPr>
        <w:t>På grund af deres høje energidensitet er lipider en effektiv energikilde. Langkædede triglycerider forsyner organismen med essentielle fedtsyrer til syntese af cellekomponenter. Til disse formål indeholder fedtemulsionen middelkædelængde og langkædede triglycerider (som stammer fra sojaolie og fiskeolie).</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Den langkædede triglyceridfraktion indeholder omega-6 og omega-3 triglycerider som tilførsel af flerumættede fedtsyrer. De er primært beregnet til forebyggelse og behandling af mangel på essentielle fedtsyrer, men også som energikilde. </w:t>
      </w:r>
      <w:proofErr w:type="spellStart"/>
      <w:r w:rsidRPr="000375F3">
        <w:rPr>
          <w:rFonts w:ascii="Times New Roman" w:hAnsi="Times New Roman"/>
          <w:szCs w:val="24"/>
        </w:rPr>
        <w:t>Nutriflex</w:t>
      </w:r>
      <w:proofErr w:type="spellEnd"/>
      <w:r w:rsidRPr="000375F3">
        <w:rPr>
          <w:rFonts w:ascii="Times New Roman" w:hAnsi="Times New Roman"/>
          <w:szCs w:val="24"/>
        </w:rPr>
        <w:t xml:space="preserve"> Omega Special elektrolytfri indeholder essentielle omega-6 fedtsyrer, hovedsagelig i form af </w:t>
      </w:r>
      <w:proofErr w:type="spellStart"/>
      <w:r w:rsidRPr="000375F3">
        <w:rPr>
          <w:rFonts w:ascii="Times New Roman" w:hAnsi="Times New Roman"/>
          <w:szCs w:val="24"/>
        </w:rPr>
        <w:t>linolensyre</w:t>
      </w:r>
      <w:proofErr w:type="spellEnd"/>
      <w:r w:rsidRPr="000375F3">
        <w:rPr>
          <w:rFonts w:ascii="Times New Roman" w:hAnsi="Times New Roman"/>
          <w:szCs w:val="24"/>
        </w:rPr>
        <w:t xml:space="preserve">, og omega-3 fedtsyrer i form af </w:t>
      </w:r>
      <w:proofErr w:type="spellStart"/>
      <w:r w:rsidRPr="000375F3">
        <w:rPr>
          <w:rFonts w:ascii="Times New Roman" w:hAnsi="Times New Roman"/>
          <w:szCs w:val="24"/>
        </w:rPr>
        <w:t>alpha-linolensyre</w:t>
      </w:r>
      <w:proofErr w:type="spellEnd"/>
      <w:r w:rsidRPr="000375F3">
        <w:rPr>
          <w:rFonts w:ascii="Times New Roman" w:hAnsi="Times New Roman"/>
          <w:szCs w:val="24"/>
        </w:rPr>
        <w:t xml:space="preserve">, </w:t>
      </w:r>
      <w:proofErr w:type="spellStart"/>
      <w:r w:rsidRPr="000375F3">
        <w:rPr>
          <w:rFonts w:ascii="Times New Roman" w:hAnsi="Times New Roman"/>
          <w:szCs w:val="24"/>
        </w:rPr>
        <w:t>eicosapentaensyre</w:t>
      </w:r>
      <w:proofErr w:type="spellEnd"/>
      <w:r w:rsidRPr="000375F3">
        <w:rPr>
          <w:rFonts w:ascii="Times New Roman" w:hAnsi="Times New Roman"/>
          <w:szCs w:val="24"/>
        </w:rPr>
        <w:t xml:space="preserve"> og </w:t>
      </w:r>
      <w:proofErr w:type="spellStart"/>
      <w:r w:rsidRPr="000375F3">
        <w:rPr>
          <w:rFonts w:ascii="Times New Roman" w:hAnsi="Times New Roman"/>
          <w:szCs w:val="24"/>
        </w:rPr>
        <w:t>docosahexanoensyre</w:t>
      </w:r>
      <w:proofErr w:type="spellEnd"/>
      <w:r w:rsidRPr="000375F3">
        <w:rPr>
          <w:rFonts w:ascii="Times New Roman" w:hAnsi="Times New Roman"/>
          <w:szCs w:val="24"/>
        </w:rPr>
        <w:t xml:space="preserve">. Forholdet mellem omega-6/omega-3 fedtsyrer i </w:t>
      </w:r>
      <w:proofErr w:type="spellStart"/>
      <w:r w:rsidRPr="000375F3">
        <w:rPr>
          <w:rFonts w:ascii="Times New Roman" w:hAnsi="Times New Roman"/>
          <w:szCs w:val="24"/>
        </w:rPr>
        <w:t>Nutriflex</w:t>
      </w:r>
      <w:proofErr w:type="spellEnd"/>
      <w:r w:rsidRPr="000375F3">
        <w:rPr>
          <w:rFonts w:ascii="Times New Roman" w:hAnsi="Times New Roman"/>
          <w:szCs w:val="24"/>
        </w:rPr>
        <w:t xml:space="preserve"> Omega Special elektrolytfri er ca. 2,5:1.</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Middelkædelængde triglycerider hydrolyseres og elimineres fra kredsløbet og oxideres fuldstændigt hurtigere end langkædede triglycerider. De foretrækkes som energisubstrat, især ved forstyrrelser i nedbrydningen og/eller udnyttelse af langkædede triglycerider, f.eks. ved </w:t>
      </w:r>
      <w:proofErr w:type="spellStart"/>
      <w:r w:rsidRPr="000375F3">
        <w:rPr>
          <w:rFonts w:ascii="Times New Roman" w:hAnsi="Times New Roman"/>
          <w:szCs w:val="24"/>
        </w:rPr>
        <w:t>lipoprotein-lipasemangel</w:t>
      </w:r>
      <w:proofErr w:type="spellEnd"/>
      <w:r w:rsidRPr="000375F3">
        <w:rPr>
          <w:rFonts w:ascii="Times New Roman" w:hAnsi="Times New Roman"/>
          <w:szCs w:val="24"/>
        </w:rPr>
        <w:t xml:space="preserve"> og/eller mangel på </w:t>
      </w:r>
      <w:proofErr w:type="spellStart"/>
      <w:r w:rsidRPr="000375F3">
        <w:rPr>
          <w:rFonts w:ascii="Times New Roman" w:hAnsi="Times New Roman"/>
          <w:szCs w:val="24"/>
        </w:rPr>
        <w:t>lipoprotein-lipase</w:t>
      </w:r>
      <w:proofErr w:type="spellEnd"/>
      <w:r w:rsidRPr="000375F3">
        <w:rPr>
          <w:rFonts w:ascii="Times New Roman" w:hAnsi="Times New Roman"/>
          <w:szCs w:val="24"/>
        </w:rPr>
        <w:t xml:space="preserve"> </w:t>
      </w:r>
      <w:proofErr w:type="spellStart"/>
      <w:r w:rsidRPr="000375F3">
        <w:rPr>
          <w:rFonts w:ascii="Times New Roman" w:hAnsi="Times New Roman"/>
          <w:szCs w:val="24"/>
        </w:rPr>
        <w:t>cofaktorer</w:t>
      </w:r>
      <w:proofErr w:type="spellEnd"/>
      <w:r w:rsidRPr="000375F3">
        <w:rPr>
          <w:rFonts w:ascii="Times New Roman" w:hAnsi="Times New Roman"/>
          <w:szCs w:val="24"/>
        </w:rPr>
        <w:t xml:space="preserve">. </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5.2</w:t>
      </w:r>
      <w:r w:rsidRPr="000375F3">
        <w:rPr>
          <w:b/>
          <w:sz w:val="24"/>
          <w:szCs w:val="24"/>
        </w:rPr>
        <w:tab/>
      </w:r>
      <w:proofErr w:type="spellStart"/>
      <w:r w:rsidRPr="000375F3">
        <w:rPr>
          <w:b/>
          <w:sz w:val="24"/>
          <w:szCs w:val="24"/>
        </w:rPr>
        <w:t>Farmakokinetiske</w:t>
      </w:r>
      <w:proofErr w:type="spellEnd"/>
      <w:r w:rsidRPr="000375F3">
        <w:rPr>
          <w:b/>
          <w:sz w:val="24"/>
          <w:szCs w:val="24"/>
        </w:rPr>
        <w:t xml:space="preserve"> egenskaber</w:t>
      </w:r>
    </w:p>
    <w:p w:rsidR="00BE115E" w:rsidRPr="000375F3" w:rsidRDefault="00BE115E" w:rsidP="00BE115E">
      <w:pPr>
        <w:pStyle w:val="Brdtekstindrykning"/>
        <w:tabs>
          <w:tab w:val="clear" w:pos="851"/>
        </w:tabs>
        <w:ind w:left="0" w:firstLine="851"/>
        <w:jc w:val="left"/>
        <w:rPr>
          <w:rFonts w:ascii="Times New Roman" w:hAnsi="Times New Roman"/>
          <w:szCs w:val="24"/>
          <w:u w:val="single"/>
          <w:lang w:val="fr-FR"/>
        </w:rPr>
      </w:pPr>
      <w:r w:rsidRPr="000375F3">
        <w:rPr>
          <w:rFonts w:ascii="Times New Roman" w:hAnsi="Times New Roman"/>
          <w:szCs w:val="24"/>
          <w:u w:val="single"/>
          <w:lang w:val="fr-FR"/>
        </w:rPr>
        <w:t>Absorption</w:t>
      </w:r>
    </w:p>
    <w:p w:rsidR="00BE115E" w:rsidRPr="000375F3" w:rsidRDefault="00BE115E" w:rsidP="00BE115E">
      <w:pPr>
        <w:pStyle w:val="Brdtekstindrykning"/>
        <w:tabs>
          <w:tab w:val="clear" w:pos="851"/>
        </w:tabs>
        <w:jc w:val="left"/>
        <w:rPr>
          <w:rFonts w:ascii="Times New Roman" w:hAnsi="Times New Roman"/>
          <w:szCs w:val="24"/>
          <w:lang w:val="fr-FR"/>
        </w:rPr>
      </w:pPr>
      <w:proofErr w:type="spellStart"/>
      <w:r w:rsidRPr="000375F3">
        <w:rPr>
          <w:rFonts w:ascii="Times New Roman" w:hAnsi="Times New Roman"/>
          <w:szCs w:val="24"/>
        </w:rPr>
        <w:t>Nutriflex</w:t>
      </w:r>
      <w:proofErr w:type="spellEnd"/>
      <w:r w:rsidRPr="000375F3">
        <w:rPr>
          <w:rFonts w:ascii="Times New Roman" w:hAnsi="Times New Roman"/>
          <w:szCs w:val="24"/>
        </w:rPr>
        <w:t xml:space="preserve"> Omega Special</w:t>
      </w:r>
      <w:r w:rsidRPr="000375F3">
        <w:rPr>
          <w:rFonts w:ascii="Times New Roman" w:hAnsi="Times New Roman"/>
          <w:szCs w:val="24"/>
          <w:lang w:val="fr-FR"/>
        </w:rPr>
        <w:t xml:space="preserve"> elektrolytfri administreres intravenøst. Derfor er alle substrater umiddelbart tilgængelige for metabolisme.</w:t>
      </w:r>
    </w:p>
    <w:p w:rsidR="00BE115E" w:rsidRPr="000375F3" w:rsidRDefault="00BE115E" w:rsidP="00BE115E">
      <w:pPr>
        <w:pStyle w:val="Brdtekstindrykning"/>
        <w:tabs>
          <w:tab w:val="clear" w:pos="851"/>
        </w:tabs>
        <w:jc w:val="left"/>
        <w:rPr>
          <w:rFonts w:ascii="Times New Roman" w:hAnsi="Times New Roman"/>
          <w:szCs w:val="24"/>
          <w:lang w:val="fr-FR"/>
        </w:rPr>
      </w:pPr>
    </w:p>
    <w:p w:rsidR="00BE115E" w:rsidRPr="000375F3" w:rsidRDefault="00BE115E" w:rsidP="00BE115E">
      <w:pPr>
        <w:pStyle w:val="Brdtekstindrykning"/>
        <w:tabs>
          <w:tab w:val="clear" w:pos="851"/>
        </w:tabs>
        <w:jc w:val="left"/>
        <w:rPr>
          <w:rFonts w:ascii="Times New Roman" w:hAnsi="Times New Roman"/>
          <w:szCs w:val="24"/>
          <w:lang w:val="fr-FR"/>
        </w:rPr>
      </w:pPr>
      <w:r w:rsidRPr="000375F3">
        <w:rPr>
          <w:rFonts w:ascii="Times New Roman" w:hAnsi="Times New Roman"/>
          <w:szCs w:val="24"/>
          <w:u w:val="single"/>
          <w:lang w:val="fr-FR"/>
        </w:rPr>
        <w:t>Fordeling</w:t>
      </w:r>
      <w:r w:rsidRPr="000375F3">
        <w:rPr>
          <w:rFonts w:ascii="Times New Roman" w:hAnsi="Times New Roman"/>
          <w:szCs w:val="24"/>
          <w:lang w:val="fr-FR"/>
        </w:rPr>
        <w:t xml:space="preserve"> </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Dosis, infusionshastighed, den metaboliske situation og individuelle faktorer hos patienten (</w:t>
      </w:r>
      <w:proofErr w:type="spellStart"/>
      <w:r w:rsidRPr="000375F3">
        <w:rPr>
          <w:rFonts w:ascii="Times New Roman" w:hAnsi="Times New Roman"/>
          <w:szCs w:val="24"/>
        </w:rPr>
        <w:t>fasteniveuaet</w:t>
      </w:r>
      <w:proofErr w:type="spellEnd"/>
      <w:r w:rsidRPr="000375F3">
        <w:rPr>
          <w:rFonts w:ascii="Times New Roman" w:hAnsi="Times New Roman"/>
          <w:szCs w:val="24"/>
        </w:rPr>
        <w:t>) er af afgørende vigtighed for de maksimale triglyceridkoncentrationer, der opnås. Når doseringsanvisningerne følges, overskrider triglyceridkoncentrationerne normalt ikke 4,6 mmol/l (400 mg/dl).</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 xml:space="preserve">Middelkædelængde fedtsyrer har en lav affinitet for albumin. I dyreeksperimenter er det blevet vist, at middelkædelængde triglycerider kan krydse blod-hjerne-barrieren ved en overdosering ved administration af rene middelkædelængde triglyceridemulsioner. Der blev ikke observeret nogen bivirkninger med en emulsion med en blanding af middelkædelængde og langkædede triglycerider, da langkædede triglycerider har en </w:t>
      </w:r>
      <w:r w:rsidRPr="000375F3">
        <w:rPr>
          <w:sz w:val="24"/>
          <w:szCs w:val="24"/>
        </w:rPr>
        <w:lastRenderedPageBreak/>
        <w:t xml:space="preserve">hæmmende virkning på hydrolysen af middelkædelængde triglycerider. Derfor kan toksiske virkninger på hjernen udelukkes efter administration af </w:t>
      </w:r>
      <w:proofErr w:type="spellStart"/>
      <w:r w:rsidRPr="000375F3">
        <w:rPr>
          <w:sz w:val="24"/>
          <w:szCs w:val="24"/>
        </w:rPr>
        <w:t>Nutriflex</w:t>
      </w:r>
      <w:proofErr w:type="spellEnd"/>
      <w:r w:rsidRPr="000375F3">
        <w:rPr>
          <w:sz w:val="24"/>
          <w:szCs w:val="24"/>
        </w:rPr>
        <w:t xml:space="preserve"> Omega Special elektrolytfri.</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ind w:left="851"/>
        <w:rPr>
          <w:sz w:val="24"/>
          <w:szCs w:val="24"/>
        </w:rPr>
      </w:pPr>
      <w:r w:rsidRPr="000375F3">
        <w:rPr>
          <w:sz w:val="24"/>
          <w:szCs w:val="24"/>
        </w:rPr>
        <w:t>Aminosyrer er bundet til forskellige proteiner i forskellige organer i kroppen. Derudover er hver aminosyre bevaret som fri aminosyre i blodet og i cellerne.</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 xml:space="preserve">Da </w:t>
      </w:r>
      <w:proofErr w:type="spellStart"/>
      <w:r w:rsidRPr="000375F3">
        <w:rPr>
          <w:sz w:val="24"/>
          <w:szCs w:val="24"/>
        </w:rPr>
        <w:t>glucose</w:t>
      </w:r>
      <w:proofErr w:type="spellEnd"/>
      <w:r w:rsidRPr="000375F3">
        <w:rPr>
          <w:sz w:val="24"/>
          <w:szCs w:val="24"/>
        </w:rPr>
        <w:t xml:space="preserve"> er vandopløseligt, fordeles det via blodet til hele kroppen. </w:t>
      </w:r>
      <w:proofErr w:type="spellStart"/>
      <w:r w:rsidRPr="000375F3">
        <w:rPr>
          <w:sz w:val="24"/>
          <w:szCs w:val="24"/>
        </w:rPr>
        <w:t>Glucosen</w:t>
      </w:r>
      <w:proofErr w:type="spellEnd"/>
      <w:r w:rsidRPr="000375F3">
        <w:rPr>
          <w:sz w:val="24"/>
          <w:szCs w:val="24"/>
        </w:rPr>
        <w:t xml:space="preserve"> fordeles først til det </w:t>
      </w:r>
      <w:proofErr w:type="spellStart"/>
      <w:r w:rsidRPr="000375F3">
        <w:rPr>
          <w:sz w:val="24"/>
          <w:szCs w:val="24"/>
        </w:rPr>
        <w:t>intravaskulære</w:t>
      </w:r>
      <w:proofErr w:type="spellEnd"/>
      <w:r w:rsidRPr="000375F3">
        <w:rPr>
          <w:sz w:val="24"/>
          <w:szCs w:val="24"/>
        </w:rPr>
        <w:t xml:space="preserve"> rum, og dernæst optages den i det intracellulære rum.</w:t>
      </w:r>
    </w:p>
    <w:p w:rsidR="00BE115E" w:rsidRPr="000375F3" w:rsidRDefault="00BE115E" w:rsidP="00BE115E">
      <w:pPr>
        <w:ind w:left="851"/>
        <w:rPr>
          <w:sz w:val="24"/>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Der foreligger ingen data, hvad angår transport af komponenter gennem placentabarrieren.</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ind w:left="851"/>
        <w:rPr>
          <w:sz w:val="24"/>
          <w:szCs w:val="24"/>
          <w:u w:val="single"/>
        </w:rPr>
      </w:pPr>
      <w:r w:rsidRPr="000375F3">
        <w:rPr>
          <w:sz w:val="24"/>
          <w:szCs w:val="24"/>
          <w:u w:val="single"/>
        </w:rPr>
        <w:t>Biotransformation</w:t>
      </w:r>
    </w:p>
    <w:p w:rsidR="00BE115E" w:rsidRPr="000375F3" w:rsidRDefault="00BE115E" w:rsidP="00BE115E">
      <w:pPr>
        <w:pStyle w:val="Brdtekstindrykning"/>
        <w:tabs>
          <w:tab w:val="clear" w:pos="851"/>
        </w:tabs>
        <w:jc w:val="left"/>
        <w:rPr>
          <w:rFonts w:ascii="Times New Roman" w:hAnsi="Times New Roman"/>
          <w:szCs w:val="24"/>
          <w:lang w:val="fr-FR"/>
        </w:rPr>
      </w:pPr>
      <w:r w:rsidRPr="000375F3">
        <w:rPr>
          <w:rFonts w:ascii="Times New Roman" w:hAnsi="Times New Roman"/>
          <w:szCs w:val="24"/>
          <w:lang w:val="fr-FR"/>
        </w:rPr>
        <w:t>Aminosyrer, som ikke indgår i proteinsyntesen, metaboliseres på følgende måde. Aminogruppen separeres fra carbonskelettet via transaminering. Carbonkæden oxideres enten direkte til CO</w:t>
      </w:r>
      <w:r w:rsidRPr="000375F3">
        <w:rPr>
          <w:rFonts w:ascii="Times New Roman" w:hAnsi="Times New Roman"/>
          <w:szCs w:val="24"/>
          <w:vertAlign w:val="subscript"/>
          <w:lang w:val="fr-FR"/>
        </w:rPr>
        <w:t>2</w:t>
      </w:r>
      <w:r w:rsidRPr="000375F3">
        <w:rPr>
          <w:rFonts w:ascii="Times New Roman" w:hAnsi="Times New Roman"/>
          <w:szCs w:val="24"/>
          <w:lang w:val="fr-FR"/>
        </w:rPr>
        <w:t xml:space="preserve"> eller udnyttes som et substrat for gluconeogenese i leveren. Aminogruppen metaboliseres også i leveren til urinstof.</w:t>
      </w:r>
    </w:p>
    <w:p w:rsidR="00BE115E" w:rsidRPr="000375F3" w:rsidRDefault="00BE115E" w:rsidP="00BE115E">
      <w:pPr>
        <w:ind w:left="851"/>
        <w:rPr>
          <w:sz w:val="24"/>
          <w:szCs w:val="24"/>
        </w:rPr>
      </w:pPr>
    </w:p>
    <w:p w:rsidR="00BE115E" w:rsidRPr="000375F3" w:rsidRDefault="00BE115E" w:rsidP="00BE115E">
      <w:pPr>
        <w:pStyle w:val="Brdtekstindrykning"/>
        <w:tabs>
          <w:tab w:val="clear" w:pos="851"/>
        </w:tabs>
        <w:jc w:val="left"/>
        <w:rPr>
          <w:rFonts w:ascii="Times New Roman" w:hAnsi="Times New Roman"/>
          <w:szCs w:val="24"/>
        </w:rPr>
      </w:pPr>
      <w:proofErr w:type="spellStart"/>
      <w:r w:rsidRPr="000375F3">
        <w:rPr>
          <w:rFonts w:ascii="Times New Roman" w:hAnsi="Times New Roman"/>
          <w:szCs w:val="24"/>
        </w:rPr>
        <w:t>Glucose</w:t>
      </w:r>
      <w:proofErr w:type="spellEnd"/>
      <w:r w:rsidRPr="000375F3">
        <w:rPr>
          <w:rFonts w:ascii="Times New Roman" w:hAnsi="Times New Roman"/>
          <w:szCs w:val="24"/>
        </w:rPr>
        <w:t xml:space="preserve"> </w:t>
      </w:r>
      <w:proofErr w:type="spellStart"/>
      <w:r w:rsidRPr="000375F3">
        <w:rPr>
          <w:rFonts w:ascii="Times New Roman" w:hAnsi="Times New Roman"/>
          <w:szCs w:val="24"/>
        </w:rPr>
        <w:t>metaboliseres</w:t>
      </w:r>
      <w:proofErr w:type="spellEnd"/>
      <w:r w:rsidRPr="000375F3">
        <w:rPr>
          <w:rFonts w:ascii="Times New Roman" w:hAnsi="Times New Roman"/>
          <w:szCs w:val="24"/>
        </w:rPr>
        <w:t xml:space="preserve"> til CO</w:t>
      </w:r>
      <w:r w:rsidRPr="000375F3">
        <w:rPr>
          <w:rFonts w:ascii="Times New Roman" w:hAnsi="Times New Roman"/>
          <w:szCs w:val="24"/>
          <w:vertAlign w:val="subscript"/>
        </w:rPr>
        <w:t>2</w:t>
      </w:r>
      <w:r w:rsidRPr="000375F3">
        <w:rPr>
          <w:rFonts w:ascii="Times New Roman" w:hAnsi="Times New Roman"/>
          <w:szCs w:val="24"/>
        </w:rPr>
        <w:t xml:space="preserve"> og H</w:t>
      </w:r>
      <w:r w:rsidRPr="000375F3">
        <w:rPr>
          <w:rFonts w:ascii="Times New Roman" w:hAnsi="Times New Roman"/>
          <w:szCs w:val="24"/>
          <w:vertAlign w:val="subscript"/>
        </w:rPr>
        <w:t>2</w:t>
      </w:r>
      <w:r w:rsidRPr="000375F3">
        <w:rPr>
          <w:rFonts w:ascii="Times New Roman" w:hAnsi="Times New Roman"/>
          <w:szCs w:val="24"/>
        </w:rPr>
        <w:t xml:space="preserve">O via de kendte metaboliske veje. En del af </w:t>
      </w:r>
      <w:proofErr w:type="spellStart"/>
      <w:r w:rsidRPr="000375F3">
        <w:rPr>
          <w:rFonts w:ascii="Times New Roman" w:hAnsi="Times New Roman"/>
          <w:szCs w:val="24"/>
        </w:rPr>
        <w:t>glucosen</w:t>
      </w:r>
      <w:proofErr w:type="spellEnd"/>
      <w:r w:rsidRPr="000375F3">
        <w:rPr>
          <w:rFonts w:ascii="Times New Roman" w:hAnsi="Times New Roman"/>
          <w:szCs w:val="24"/>
        </w:rPr>
        <w:t xml:space="preserve"> udnyttes til lipidsyntese.</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 xml:space="preserve">Efter infusion hydrolyseres triglycerider til glycerol og fedtsyrer. Begge er inkorporeret i de fysiologiske veje til energiproduktion, syntese af biologisk aktive molekyler, </w:t>
      </w:r>
      <w:proofErr w:type="spellStart"/>
      <w:r w:rsidRPr="000375F3">
        <w:rPr>
          <w:sz w:val="24"/>
          <w:szCs w:val="24"/>
        </w:rPr>
        <w:t>glukoneogenese</w:t>
      </w:r>
      <w:proofErr w:type="spellEnd"/>
      <w:r w:rsidRPr="000375F3">
        <w:rPr>
          <w:sz w:val="24"/>
          <w:szCs w:val="24"/>
        </w:rPr>
        <w:t xml:space="preserve"> og </w:t>
      </w:r>
      <w:proofErr w:type="spellStart"/>
      <w:r w:rsidRPr="000375F3">
        <w:rPr>
          <w:sz w:val="24"/>
          <w:szCs w:val="24"/>
        </w:rPr>
        <w:t>resyntese</w:t>
      </w:r>
      <w:proofErr w:type="spellEnd"/>
      <w:r w:rsidRPr="000375F3">
        <w:rPr>
          <w:sz w:val="24"/>
          <w:szCs w:val="24"/>
        </w:rPr>
        <w:t xml:space="preserve"> af lipider. </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 xml:space="preserve">Mere detaljeret beskrevet erstatter langkædede omega-3 flerumættede fedtsyrer </w:t>
      </w:r>
      <w:proofErr w:type="spellStart"/>
      <w:r w:rsidRPr="000375F3">
        <w:rPr>
          <w:sz w:val="24"/>
          <w:szCs w:val="24"/>
        </w:rPr>
        <w:t>arachidonisk</w:t>
      </w:r>
      <w:proofErr w:type="spellEnd"/>
      <w:r w:rsidRPr="000375F3">
        <w:rPr>
          <w:sz w:val="24"/>
          <w:szCs w:val="24"/>
        </w:rPr>
        <w:t xml:space="preserve"> syre som et </w:t>
      </w:r>
      <w:proofErr w:type="spellStart"/>
      <w:r w:rsidRPr="000375F3">
        <w:rPr>
          <w:sz w:val="24"/>
          <w:szCs w:val="24"/>
        </w:rPr>
        <w:t>eiocosanoid</w:t>
      </w:r>
      <w:proofErr w:type="spellEnd"/>
      <w:r w:rsidRPr="000375F3">
        <w:rPr>
          <w:sz w:val="24"/>
          <w:szCs w:val="24"/>
        </w:rPr>
        <w:t xml:space="preserve"> substrat i cellemembraner og nedsætter generationen af inflammatoriske </w:t>
      </w:r>
      <w:proofErr w:type="spellStart"/>
      <w:r w:rsidRPr="000375F3">
        <w:rPr>
          <w:sz w:val="24"/>
          <w:szCs w:val="24"/>
        </w:rPr>
        <w:t>eicosanoider</w:t>
      </w:r>
      <w:proofErr w:type="spellEnd"/>
      <w:r w:rsidRPr="000375F3">
        <w:rPr>
          <w:sz w:val="24"/>
          <w:szCs w:val="24"/>
        </w:rPr>
        <w:t xml:space="preserve"> og cytokiner i kroppen. Dette kan være en fordel for patienter med risiko for at udvikle en </w:t>
      </w:r>
      <w:proofErr w:type="spellStart"/>
      <w:r w:rsidRPr="000375F3">
        <w:rPr>
          <w:sz w:val="24"/>
          <w:szCs w:val="24"/>
        </w:rPr>
        <w:t>hyperinflammatorisk</w:t>
      </w:r>
      <w:proofErr w:type="spellEnd"/>
      <w:r w:rsidRPr="000375F3">
        <w:rPr>
          <w:sz w:val="24"/>
          <w:szCs w:val="24"/>
        </w:rPr>
        <w:t xml:space="preserve"> tilstand og sepsis. </w:t>
      </w:r>
    </w:p>
    <w:p w:rsidR="00BE115E" w:rsidRPr="000375F3" w:rsidRDefault="00BE115E" w:rsidP="00BE115E">
      <w:pPr>
        <w:ind w:left="851"/>
        <w:rPr>
          <w:sz w:val="24"/>
          <w:szCs w:val="24"/>
        </w:rPr>
      </w:pPr>
    </w:p>
    <w:p w:rsidR="00BE115E" w:rsidRPr="000375F3" w:rsidRDefault="00BE115E" w:rsidP="00BE115E">
      <w:pPr>
        <w:ind w:left="851"/>
        <w:rPr>
          <w:sz w:val="24"/>
          <w:szCs w:val="24"/>
          <w:u w:val="single"/>
        </w:rPr>
      </w:pPr>
      <w:r w:rsidRPr="000375F3">
        <w:rPr>
          <w:sz w:val="24"/>
          <w:szCs w:val="24"/>
          <w:u w:val="single"/>
        </w:rPr>
        <w:t>Elimination</w:t>
      </w:r>
    </w:p>
    <w:p w:rsidR="00BE115E" w:rsidRPr="000375F3" w:rsidRDefault="00BE115E" w:rsidP="00BE115E">
      <w:pPr>
        <w:ind w:left="851"/>
        <w:rPr>
          <w:sz w:val="24"/>
          <w:szCs w:val="24"/>
        </w:rPr>
      </w:pPr>
      <w:r w:rsidRPr="000375F3">
        <w:rPr>
          <w:sz w:val="24"/>
          <w:szCs w:val="24"/>
        </w:rPr>
        <w:t xml:space="preserve">Kun mindre mængder aminosyrer udskilles </w:t>
      </w:r>
      <w:proofErr w:type="spellStart"/>
      <w:r w:rsidRPr="000375F3">
        <w:rPr>
          <w:sz w:val="24"/>
          <w:szCs w:val="24"/>
        </w:rPr>
        <w:t>uomdannet</w:t>
      </w:r>
      <w:proofErr w:type="spellEnd"/>
      <w:r w:rsidRPr="000375F3">
        <w:rPr>
          <w:sz w:val="24"/>
          <w:szCs w:val="24"/>
        </w:rPr>
        <w:t xml:space="preserve"> i urinen.</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 xml:space="preserve">Overskydende </w:t>
      </w:r>
      <w:proofErr w:type="spellStart"/>
      <w:r w:rsidRPr="000375F3">
        <w:rPr>
          <w:sz w:val="24"/>
          <w:szCs w:val="24"/>
        </w:rPr>
        <w:t>glucose</w:t>
      </w:r>
      <w:proofErr w:type="spellEnd"/>
      <w:r w:rsidRPr="000375F3">
        <w:rPr>
          <w:sz w:val="24"/>
          <w:szCs w:val="24"/>
        </w:rPr>
        <w:t xml:space="preserve"> udskilles kun i urinen hvis den </w:t>
      </w:r>
      <w:proofErr w:type="spellStart"/>
      <w:r w:rsidRPr="000375F3">
        <w:rPr>
          <w:sz w:val="24"/>
          <w:szCs w:val="24"/>
        </w:rPr>
        <w:t>renale</w:t>
      </w:r>
      <w:proofErr w:type="spellEnd"/>
      <w:r w:rsidRPr="000375F3">
        <w:rPr>
          <w:sz w:val="24"/>
          <w:szCs w:val="24"/>
        </w:rPr>
        <w:t xml:space="preserve"> </w:t>
      </w:r>
      <w:proofErr w:type="spellStart"/>
      <w:r w:rsidRPr="000375F3">
        <w:rPr>
          <w:sz w:val="24"/>
          <w:szCs w:val="24"/>
        </w:rPr>
        <w:t>glucosetærskel</w:t>
      </w:r>
      <w:proofErr w:type="spellEnd"/>
      <w:r w:rsidRPr="000375F3">
        <w:rPr>
          <w:sz w:val="24"/>
          <w:szCs w:val="24"/>
        </w:rPr>
        <w:t xml:space="preserve"> er nået.</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 xml:space="preserve">Både triglycerider fra sojaolie og middelkædelængde triglycerider </w:t>
      </w:r>
      <w:proofErr w:type="spellStart"/>
      <w:r w:rsidRPr="000375F3">
        <w:rPr>
          <w:sz w:val="24"/>
          <w:szCs w:val="24"/>
        </w:rPr>
        <w:t>metaboliseres</w:t>
      </w:r>
      <w:proofErr w:type="spellEnd"/>
      <w:r w:rsidRPr="000375F3">
        <w:rPr>
          <w:sz w:val="24"/>
          <w:szCs w:val="24"/>
        </w:rPr>
        <w:t xml:space="preserve"> fuldstændigt til CO</w:t>
      </w:r>
      <w:r w:rsidRPr="000375F3">
        <w:rPr>
          <w:sz w:val="24"/>
          <w:szCs w:val="24"/>
          <w:vertAlign w:val="subscript"/>
        </w:rPr>
        <w:t>2</w:t>
      </w:r>
      <w:r w:rsidRPr="000375F3">
        <w:rPr>
          <w:sz w:val="24"/>
          <w:szCs w:val="24"/>
        </w:rPr>
        <w:t xml:space="preserve"> og H</w:t>
      </w:r>
      <w:r w:rsidRPr="000375F3">
        <w:rPr>
          <w:sz w:val="24"/>
          <w:szCs w:val="24"/>
          <w:vertAlign w:val="subscript"/>
        </w:rPr>
        <w:t>2</w:t>
      </w:r>
      <w:r w:rsidRPr="000375F3">
        <w:rPr>
          <w:sz w:val="24"/>
          <w:szCs w:val="24"/>
        </w:rPr>
        <w:t xml:space="preserve">O. Der mistes kun små mængder af lipider ved afstødning af hudceller og andre epitelmembraner. Der forekommer nærmest ingen </w:t>
      </w:r>
      <w:proofErr w:type="spellStart"/>
      <w:r w:rsidRPr="000375F3">
        <w:rPr>
          <w:sz w:val="24"/>
          <w:szCs w:val="24"/>
        </w:rPr>
        <w:t>renal</w:t>
      </w:r>
      <w:proofErr w:type="spellEnd"/>
      <w:r w:rsidRPr="000375F3">
        <w:rPr>
          <w:sz w:val="24"/>
          <w:szCs w:val="24"/>
        </w:rPr>
        <w:t xml:space="preserve"> udskillelse.</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5.3</w:t>
      </w:r>
      <w:r w:rsidRPr="000375F3">
        <w:rPr>
          <w:b/>
          <w:sz w:val="24"/>
          <w:szCs w:val="24"/>
        </w:rPr>
        <w:tab/>
      </w:r>
      <w:r w:rsidR="00B915A7">
        <w:rPr>
          <w:b/>
          <w:sz w:val="24"/>
          <w:szCs w:val="24"/>
        </w:rPr>
        <w:t>Non-</w:t>
      </w:r>
      <w:r w:rsidRPr="000375F3">
        <w:rPr>
          <w:b/>
          <w:sz w:val="24"/>
          <w:szCs w:val="24"/>
        </w:rPr>
        <w:t>kliniske sikkerhedsdata</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 xml:space="preserve">Der er ikke udført prækliniske studier med </w:t>
      </w:r>
      <w:proofErr w:type="spellStart"/>
      <w:r w:rsidRPr="000375F3">
        <w:rPr>
          <w:rFonts w:ascii="Times New Roman" w:hAnsi="Times New Roman"/>
          <w:szCs w:val="24"/>
        </w:rPr>
        <w:t>Nutriflex</w:t>
      </w:r>
      <w:proofErr w:type="spellEnd"/>
      <w:r w:rsidRPr="000375F3">
        <w:rPr>
          <w:rFonts w:ascii="Times New Roman" w:hAnsi="Times New Roman"/>
          <w:szCs w:val="24"/>
        </w:rPr>
        <w:t xml:space="preserve"> Omega Special elektrolytfri.</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ind w:left="851"/>
        <w:rPr>
          <w:sz w:val="24"/>
          <w:szCs w:val="24"/>
          <w:lang w:eastAsia="da-DK" w:bidi="da-DK"/>
        </w:rPr>
      </w:pPr>
      <w:r w:rsidRPr="000375F3">
        <w:rPr>
          <w:sz w:val="24"/>
          <w:szCs w:val="24"/>
          <w:lang w:eastAsia="da-DK" w:bidi="da-DK"/>
        </w:rPr>
        <w:t>Der kan ikke forventes toksiske virkninger af blandinger af næringsstoffer, der gives som erstatningsbehandling ved den anbefalede dosering.</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ind w:left="851"/>
        <w:rPr>
          <w:sz w:val="24"/>
          <w:szCs w:val="24"/>
          <w:u w:val="single"/>
        </w:rPr>
      </w:pPr>
      <w:r w:rsidRPr="000375F3">
        <w:rPr>
          <w:sz w:val="24"/>
          <w:szCs w:val="24"/>
          <w:u w:val="single"/>
        </w:rPr>
        <w:t xml:space="preserve">Reproduktionstoksicitet </w:t>
      </w:r>
    </w:p>
    <w:p w:rsidR="00BE115E" w:rsidRPr="000375F3" w:rsidRDefault="00BE115E" w:rsidP="00BE115E">
      <w:pPr>
        <w:ind w:left="851"/>
        <w:rPr>
          <w:sz w:val="24"/>
          <w:szCs w:val="24"/>
        </w:rPr>
      </w:pPr>
      <w:proofErr w:type="spellStart"/>
      <w:r w:rsidRPr="000375F3">
        <w:rPr>
          <w:sz w:val="24"/>
          <w:szCs w:val="24"/>
        </w:rPr>
        <w:t>Phytoestrogener</w:t>
      </w:r>
      <w:proofErr w:type="spellEnd"/>
      <w:r w:rsidRPr="000375F3">
        <w:rPr>
          <w:sz w:val="24"/>
          <w:szCs w:val="24"/>
        </w:rPr>
        <w:t xml:space="preserve"> som </w:t>
      </w:r>
      <w:r w:rsidRPr="000375F3">
        <w:rPr>
          <w:sz w:val="24"/>
          <w:szCs w:val="24"/>
        </w:rPr>
        <w:sym w:font="Symbol" w:char="F062"/>
      </w:r>
      <w:r w:rsidRPr="000375F3">
        <w:rPr>
          <w:sz w:val="24"/>
          <w:szCs w:val="24"/>
        </w:rPr>
        <w:t>-</w:t>
      </w:r>
      <w:proofErr w:type="spellStart"/>
      <w:r w:rsidRPr="000375F3">
        <w:rPr>
          <w:sz w:val="24"/>
          <w:szCs w:val="24"/>
        </w:rPr>
        <w:t>sitosterol</w:t>
      </w:r>
      <w:proofErr w:type="spellEnd"/>
      <w:r w:rsidRPr="000375F3">
        <w:rPr>
          <w:sz w:val="24"/>
          <w:szCs w:val="24"/>
        </w:rPr>
        <w:t xml:space="preserve"> kan findes i forskellige vegetabilske olier, især sojaolie. Nedsættelse af fertiliteten blev påvist hos rotter og kaniner efter subkutan og intravaginal administration af β-</w:t>
      </w:r>
      <w:proofErr w:type="spellStart"/>
      <w:r w:rsidRPr="000375F3">
        <w:rPr>
          <w:sz w:val="24"/>
          <w:szCs w:val="24"/>
        </w:rPr>
        <w:t>sitosterol</w:t>
      </w:r>
      <w:proofErr w:type="spellEnd"/>
      <w:r w:rsidRPr="000375F3">
        <w:rPr>
          <w:sz w:val="24"/>
          <w:szCs w:val="24"/>
        </w:rPr>
        <w:t>. Efter administration af ren β-</w:t>
      </w:r>
      <w:proofErr w:type="spellStart"/>
      <w:r w:rsidRPr="000375F3">
        <w:rPr>
          <w:sz w:val="24"/>
          <w:szCs w:val="24"/>
        </w:rPr>
        <w:t>sitosterol</w:t>
      </w:r>
      <w:proofErr w:type="spellEnd"/>
      <w:r w:rsidRPr="000375F3">
        <w:rPr>
          <w:sz w:val="24"/>
          <w:szCs w:val="24"/>
        </w:rPr>
        <w:t xml:space="preserve"> er der protokolleret en nedsat testikelvægt og en reduktion af spermiekoncentrationen hos hanrotter og en nedsat </w:t>
      </w:r>
      <w:r w:rsidRPr="000375F3">
        <w:rPr>
          <w:sz w:val="24"/>
          <w:szCs w:val="24"/>
        </w:rPr>
        <w:lastRenderedPageBreak/>
        <w:t>drægtighedsrate hos hunkaniner. De virkninger, som blev set hos dyr, ser dog ikke ud til at være relevante for klinisk anvendelse i henhold til den aktuelle viden.</w:t>
      </w:r>
    </w:p>
    <w:p w:rsidR="00BE115E" w:rsidRPr="000375F3" w:rsidRDefault="00BE115E" w:rsidP="00BE115E">
      <w:pPr>
        <w:ind w:left="851"/>
        <w:rPr>
          <w:sz w:val="24"/>
          <w:szCs w:val="24"/>
        </w:rPr>
      </w:pP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6.</w:t>
      </w:r>
      <w:r w:rsidRPr="000375F3">
        <w:rPr>
          <w:b/>
          <w:sz w:val="24"/>
          <w:szCs w:val="24"/>
        </w:rPr>
        <w:tab/>
        <w:t>FARMACEUTISKE OPLYSNINGER</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6.1</w:t>
      </w:r>
      <w:r w:rsidRPr="000375F3">
        <w:rPr>
          <w:b/>
          <w:sz w:val="24"/>
          <w:szCs w:val="24"/>
        </w:rPr>
        <w:tab/>
        <w:t>Hjælpestoffer</w:t>
      </w:r>
    </w:p>
    <w:p w:rsidR="004C0F83" w:rsidRPr="004C0F83" w:rsidRDefault="004C0F83" w:rsidP="004C0F83">
      <w:pPr>
        <w:ind w:left="851"/>
        <w:rPr>
          <w:sz w:val="24"/>
          <w:szCs w:val="24"/>
          <w:lang w:eastAsia="da-DK"/>
        </w:rPr>
      </w:pPr>
      <w:r w:rsidRPr="004C0F83">
        <w:rPr>
          <w:sz w:val="24"/>
          <w:szCs w:val="24"/>
          <w:lang w:eastAsia="da-DK"/>
        </w:rPr>
        <w:t>Citronsyremonohydrat (til pH-justering)</w:t>
      </w:r>
    </w:p>
    <w:p w:rsidR="004C0F83" w:rsidRPr="004C0F83" w:rsidRDefault="004C0F83" w:rsidP="004C0F83">
      <w:pPr>
        <w:ind w:left="851"/>
        <w:rPr>
          <w:sz w:val="24"/>
          <w:szCs w:val="24"/>
          <w:lang w:eastAsia="da-DK"/>
        </w:rPr>
      </w:pPr>
      <w:r w:rsidRPr="004C0F83">
        <w:rPr>
          <w:sz w:val="24"/>
          <w:szCs w:val="24"/>
          <w:lang w:eastAsia="da-DK"/>
        </w:rPr>
        <w:t>Glycerol</w:t>
      </w:r>
    </w:p>
    <w:p w:rsidR="004C0F83" w:rsidRPr="004C0F83" w:rsidRDefault="004C0F83" w:rsidP="004C0F83">
      <w:pPr>
        <w:ind w:left="851"/>
        <w:rPr>
          <w:sz w:val="24"/>
          <w:szCs w:val="24"/>
          <w:lang w:eastAsia="da-DK"/>
        </w:rPr>
      </w:pPr>
      <w:proofErr w:type="spellStart"/>
      <w:r w:rsidRPr="004C0F83">
        <w:rPr>
          <w:sz w:val="24"/>
          <w:szCs w:val="24"/>
          <w:lang w:eastAsia="da-DK"/>
        </w:rPr>
        <w:t>Æggephospholipider</w:t>
      </w:r>
      <w:proofErr w:type="spellEnd"/>
      <w:r w:rsidRPr="004C0F83">
        <w:rPr>
          <w:sz w:val="24"/>
          <w:szCs w:val="24"/>
          <w:lang w:eastAsia="da-DK"/>
        </w:rPr>
        <w:t xml:space="preserve"> til parenteral anvendelse</w:t>
      </w:r>
    </w:p>
    <w:p w:rsidR="004C0F83" w:rsidRPr="009155BE" w:rsidRDefault="004C0F83" w:rsidP="004C0F83">
      <w:pPr>
        <w:ind w:left="851"/>
        <w:rPr>
          <w:sz w:val="24"/>
          <w:szCs w:val="24"/>
          <w:lang w:eastAsia="da-DK"/>
        </w:rPr>
      </w:pPr>
      <w:proofErr w:type="spellStart"/>
      <w:r w:rsidRPr="009155BE">
        <w:rPr>
          <w:sz w:val="24"/>
          <w:szCs w:val="24"/>
          <w:lang w:eastAsia="da-DK"/>
        </w:rPr>
        <w:t>Natriumoleat</w:t>
      </w:r>
      <w:proofErr w:type="spellEnd"/>
    </w:p>
    <w:p w:rsidR="004C0F83" w:rsidRPr="004C0F83" w:rsidRDefault="004C0F83" w:rsidP="004C0F83">
      <w:pPr>
        <w:ind w:left="851"/>
        <w:rPr>
          <w:sz w:val="24"/>
          <w:szCs w:val="24"/>
          <w:lang w:val="en-GB" w:eastAsia="da-DK"/>
        </w:rPr>
      </w:pPr>
      <w:r w:rsidRPr="004C0F83">
        <w:rPr>
          <w:sz w:val="24"/>
          <w:szCs w:val="24"/>
          <w:lang w:val="en-GB" w:eastAsia="da-DK"/>
        </w:rPr>
        <w:t>all-</w:t>
      </w:r>
      <w:proofErr w:type="spellStart"/>
      <w:r w:rsidRPr="004C0F83">
        <w:rPr>
          <w:sz w:val="24"/>
          <w:szCs w:val="24"/>
          <w:lang w:val="en-GB" w:eastAsia="da-DK"/>
        </w:rPr>
        <w:t>rac</w:t>
      </w:r>
      <w:proofErr w:type="spellEnd"/>
      <w:r w:rsidRPr="004C0F83">
        <w:rPr>
          <w:sz w:val="24"/>
          <w:szCs w:val="24"/>
          <w:lang w:val="en-GB" w:eastAsia="da-DK"/>
        </w:rPr>
        <w:t>-</w:t>
      </w:r>
      <w:r w:rsidRPr="004C0F83">
        <w:rPr>
          <w:sz w:val="24"/>
          <w:szCs w:val="24"/>
          <w:lang w:eastAsia="da-DK"/>
        </w:rPr>
        <w:t>α</w:t>
      </w:r>
      <w:r w:rsidRPr="004C0F83">
        <w:rPr>
          <w:sz w:val="24"/>
          <w:szCs w:val="24"/>
          <w:lang w:val="en-GB" w:eastAsia="da-DK"/>
        </w:rPr>
        <w:t>-tocopherol</w:t>
      </w:r>
    </w:p>
    <w:p w:rsidR="004C0F83" w:rsidRPr="004C0F83" w:rsidRDefault="004C0F83" w:rsidP="004C0F83">
      <w:pPr>
        <w:ind w:left="851"/>
        <w:rPr>
          <w:sz w:val="24"/>
          <w:szCs w:val="24"/>
          <w:lang w:val="en-US" w:eastAsia="da-DK"/>
        </w:rPr>
      </w:pPr>
      <w:proofErr w:type="spellStart"/>
      <w:r w:rsidRPr="004C0F83">
        <w:rPr>
          <w:sz w:val="24"/>
          <w:szCs w:val="24"/>
          <w:lang w:val="en-US" w:eastAsia="da-DK"/>
        </w:rPr>
        <w:t>Natriumhydroxid</w:t>
      </w:r>
      <w:proofErr w:type="spellEnd"/>
      <w:r w:rsidRPr="004C0F83">
        <w:rPr>
          <w:sz w:val="24"/>
          <w:szCs w:val="24"/>
          <w:lang w:val="en-US" w:eastAsia="da-DK"/>
        </w:rPr>
        <w:t xml:space="preserve"> (</w:t>
      </w:r>
      <w:proofErr w:type="spellStart"/>
      <w:r w:rsidRPr="004C0F83">
        <w:rPr>
          <w:sz w:val="24"/>
          <w:szCs w:val="24"/>
          <w:lang w:val="en-US" w:eastAsia="da-DK"/>
        </w:rPr>
        <w:t>til</w:t>
      </w:r>
      <w:proofErr w:type="spellEnd"/>
      <w:r w:rsidRPr="004C0F83">
        <w:rPr>
          <w:sz w:val="24"/>
          <w:szCs w:val="24"/>
          <w:lang w:val="en-US" w:eastAsia="da-DK"/>
        </w:rPr>
        <w:t xml:space="preserve"> pH-</w:t>
      </w:r>
      <w:proofErr w:type="spellStart"/>
      <w:r w:rsidRPr="004C0F83">
        <w:rPr>
          <w:sz w:val="24"/>
          <w:szCs w:val="24"/>
          <w:lang w:val="en-US" w:eastAsia="da-DK"/>
        </w:rPr>
        <w:t>justering</w:t>
      </w:r>
      <w:proofErr w:type="spellEnd"/>
      <w:r w:rsidRPr="004C0F83">
        <w:rPr>
          <w:sz w:val="24"/>
          <w:szCs w:val="24"/>
          <w:lang w:val="en-US" w:eastAsia="da-DK"/>
        </w:rPr>
        <w:t>)</w:t>
      </w:r>
    </w:p>
    <w:p w:rsidR="004C0F83" w:rsidRPr="004C0F83" w:rsidRDefault="004C0F83" w:rsidP="004C0F83">
      <w:pPr>
        <w:ind w:left="851"/>
        <w:rPr>
          <w:sz w:val="24"/>
          <w:szCs w:val="24"/>
          <w:lang w:eastAsia="da-DK"/>
        </w:rPr>
      </w:pPr>
      <w:r w:rsidRPr="004C0F83">
        <w:rPr>
          <w:sz w:val="24"/>
          <w:szCs w:val="24"/>
          <w:lang w:eastAsia="da-DK"/>
        </w:rPr>
        <w:t>Vand til injektionsvæsker</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6.2</w:t>
      </w:r>
      <w:r w:rsidRPr="000375F3">
        <w:rPr>
          <w:b/>
          <w:sz w:val="24"/>
          <w:szCs w:val="24"/>
        </w:rPr>
        <w:tab/>
        <w:t>Uforligeligheder</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Dette lægemiddel må ikke blandes med andre lægemidler, hvor der ikke er blevet dokumenteret forligelighed. Se pkt. 6.6.</w:t>
      </w:r>
    </w:p>
    <w:p w:rsidR="00BE115E" w:rsidRPr="000375F3" w:rsidRDefault="00BE115E" w:rsidP="00BE115E">
      <w:pPr>
        <w:pStyle w:val="Brdtekstindrykning"/>
        <w:tabs>
          <w:tab w:val="clear" w:pos="851"/>
        </w:tabs>
        <w:ind w:left="0"/>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proofErr w:type="spellStart"/>
      <w:r w:rsidRPr="000375F3">
        <w:rPr>
          <w:rFonts w:ascii="Times New Roman" w:hAnsi="Times New Roman"/>
          <w:szCs w:val="24"/>
        </w:rPr>
        <w:t>Nutriflex</w:t>
      </w:r>
      <w:proofErr w:type="spellEnd"/>
      <w:r w:rsidRPr="000375F3">
        <w:rPr>
          <w:rFonts w:ascii="Times New Roman" w:hAnsi="Times New Roman"/>
          <w:szCs w:val="24"/>
        </w:rPr>
        <w:t xml:space="preserve"> Omega Special elektrolytfri må ikke administreres sammen med blod, se pkt. 4.4 og 4.5.</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6.3</w:t>
      </w:r>
      <w:r w:rsidRPr="000375F3">
        <w:rPr>
          <w:b/>
          <w:sz w:val="24"/>
          <w:szCs w:val="24"/>
        </w:rPr>
        <w:tab/>
        <w:t>Opbevaringstid</w:t>
      </w:r>
    </w:p>
    <w:p w:rsidR="00BE115E" w:rsidRPr="000375F3" w:rsidRDefault="00BE115E" w:rsidP="00BE115E">
      <w:pPr>
        <w:pStyle w:val="Brdtekstindrykning"/>
        <w:tabs>
          <w:tab w:val="clear" w:pos="851"/>
        </w:tabs>
        <w:ind w:left="0" w:firstLine="851"/>
        <w:jc w:val="left"/>
        <w:rPr>
          <w:rFonts w:ascii="Times New Roman" w:hAnsi="Times New Roman"/>
          <w:szCs w:val="24"/>
        </w:rPr>
      </w:pPr>
      <w:r w:rsidRPr="000375F3">
        <w:rPr>
          <w:rFonts w:ascii="Times New Roman" w:hAnsi="Times New Roman"/>
          <w:i/>
          <w:szCs w:val="24"/>
        </w:rPr>
        <w:t>Uåbnet</w:t>
      </w:r>
      <w:r w:rsidRPr="000375F3">
        <w:rPr>
          <w:rFonts w:ascii="Times New Roman" w:hAnsi="Times New Roman"/>
          <w:szCs w:val="24"/>
        </w:rPr>
        <w:t xml:space="preserve"> </w:t>
      </w:r>
    </w:p>
    <w:p w:rsidR="00BE115E" w:rsidRPr="000375F3" w:rsidRDefault="00BE115E" w:rsidP="00BE115E">
      <w:pPr>
        <w:pStyle w:val="Brdtekstindrykning"/>
        <w:tabs>
          <w:tab w:val="clear" w:pos="851"/>
        </w:tabs>
        <w:ind w:left="0" w:firstLine="851"/>
        <w:jc w:val="left"/>
        <w:rPr>
          <w:rFonts w:ascii="Times New Roman" w:hAnsi="Times New Roman"/>
          <w:szCs w:val="24"/>
        </w:rPr>
      </w:pPr>
      <w:r w:rsidRPr="000375F3">
        <w:rPr>
          <w:rFonts w:ascii="Times New Roman" w:hAnsi="Times New Roman"/>
          <w:szCs w:val="24"/>
        </w:rPr>
        <w:t>2 år.</w:t>
      </w:r>
    </w:p>
    <w:p w:rsidR="00BE115E" w:rsidRPr="000375F3" w:rsidRDefault="00BE115E" w:rsidP="00BE115E">
      <w:pPr>
        <w:pStyle w:val="Brdtekstindrykning"/>
        <w:tabs>
          <w:tab w:val="clear" w:pos="851"/>
        </w:tabs>
        <w:ind w:left="0"/>
        <w:jc w:val="left"/>
        <w:rPr>
          <w:rFonts w:ascii="Times New Roman" w:hAnsi="Times New Roman"/>
          <w:szCs w:val="24"/>
        </w:rPr>
      </w:pPr>
    </w:p>
    <w:p w:rsidR="00BE115E" w:rsidRPr="000375F3" w:rsidRDefault="00BE115E" w:rsidP="00BE115E">
      <w:pPr>
        <w:pStyle w:val="Brdtekstindrykning"/>
        <w:tabs>
          <w:tab w:val="clear" w:pos="851"/>
        </w:tabs>
        <w:ind w:left="0" w:firstLine="851"/>
        <w:rPr>
          <w:rFonts w:ascii="Times New Roman" w:hAnsi="Times New Roman"/>
          <w:i/>
          <w:szCs w:val="24"/>
        </w:rPr>
      </w:pPr>
      <w:r w:rsidRPr="000375F3">
        <w:rPr>
          <w:rFonts w:ascii="Times New Roman" w:hAnsi="Times New Roman"/>
          <w:i/>
          <w:szCs w:val="24"/>
        </w:rPr>
        <w:t>Når den beskyttende yderpose er fjernet, og indholdet af posen er blandet</w:t>
      </w:r>
    </w:p>
    <w:p w:rsidR="00BE115E" w:rsidRPr="00991CF0" w:rsidRDefault="00BE115E" w:rsidP="00BE115E">
      <w:pPr>
        <w:pStyle w:val="Brdtekstindrykning"/>
        <w:tabs>
          <w:tab w:val="clear" w:pos="851"/>
        </w:tabs>
        <w:jc w:val="left"/>
        <w:rPr>
          <w:rFonts w:ascii="Times New Roman" w:hAnsi="Times New Roman"/>
          <w:szCs w:val="24"/>
        </w:rPr>
      </w:pPr>
      <w:r>
        <w:rPr>
          <w:rFonts w:ascii="Times New Roman" w:hAnsi="Times New Roman"/>
          <w:szCs w:val="24"/>
        </w:rPr>
        <w:t>Kemisk og f</w:t>
      </w:r>
      <w:r w:rsidRPr="00683E35">
        <w:rPr>
          <w:rFonts w:ascii="Times New Roman" w:hAnsi="Times New Roman"/>
          <w:szCs w:val="24"/>
        </w:rPr>
        <w:t xml:space="preserve">ysisk-kemisk stabilitet ved brug af blandingen af aminosyrer, </w:t>
      </w:r>
      <w:proofErr w:type="spellStart"/>
      <w:r w:rsidRPr="00683E35">
        <w:rPr>
          <w:rFonts w:ascii="Times New Roman" w:hAnsi="Times New Roman"/>
          <w:szCs w:val="24"/>
        </w:rPr>
        <w:t>glucose</w:t>
      </w:r>
      <w:proofErr w:type="spellEnd"/>
      <w:r w:rsidRPr="00683E35">
        <w:rPr>
          <w:rFonts w:ascii="Times New Roman" w:hAnsi="Times New Roman"/>
          <w:szCs w:val="24"/>
        </w:rPr>
        <w:t xml:space="preserve"> og fedt er undersøgt og kan garanteres i 7 dage ved 2 til 8</w:t>
      </w:r>
      <w:r>
        <w:rPr>
          <w:rFonts w:ascii="Times New Roman" w:hAnsi="Times New Roman"/>
          <w:szCs w:val="24"/>
        </w:rPr>
        <w:t> </w:t>
      </w:r>
      <w:r w:rsidRPr="00683E35">
        <w:rPr>
          <w:rFonts w:ascii="Times New Roman" w:hAnsi="Times New Roman"/>
          <w:szCs w:val="24"/>
        </w:rPr>
        <w:t>°C og i yderligere 2 dage ved 25</w:t>
      </w:r>
      <w:r>
        <w:rPr>
          <w:rFonts w:ascii="Times New Roman" w:hAnsi="Times New Roman"/>
          <w:szCs w:val="24"/>
        </w:rPr>
        <w:t> </w:t>
      </w:r>
      <w:r w:rsidRPr="00683E35">
        <w:rPr>
          <w:rFonts w:ascii="Times New Roman" w:hAnsi="Times New Roman"/>
          <w:szCs w:val="24"/>
        </w:rPr>
        <w:t>°C.</w:t>
      </w:r>
    </w:p>
    <w:p w:rsidR="00BE115E" w:rsidRDefault="00BE115E" w:rsidP="00BE115E">
      <w:pPr>
        <w:pStyle w:val="Brdtekstindrykning"/>
        <w:tabs>
          <w:tab w:val="clear" w:pos="851"/>
        </w:tabs>
        <w:ind w:left="0" w:firstLine="851"/>
        <w:rPr>
          <w:rFonts w:ascii="Times New Roman" w:hAnsi="Times New Roman"/>
          <w:i/>
          <w:szCs w:val="24"/>
        </w:rPr>
      </w:pPr>
    </w:p>
    <w:p w:rsidR="00BE115E" w:rsidRPr="000375F3" w:rsidRDefault="00BE115E" w:rsidP="00BE115E">
      <w:pPr>
        <w:pStyle w:val="Brdtekstindrykning"/>
        <w:tabs>
          <w:tab w:val="clear" w:pos="851"/>
        </w:tabs>
        <w:ind w:left="0" w:firstLine="851"/>
        <w:rPr>
          <w:rFonts w:ascii="Times New Roman" w:hAnsi="Times New Roman"/>
          <w:i/>
          <w:szCs w:val="24"/>
        </w:rPr>
      </w:pPr>
      <w:r w:rsidRPr="000375F3">
        <w:rPr>
          <w:rFonts w:ascii="Times New Roman" w:hAnsi="Times New Roman"/>
          <w:i/>
          <w:szCs w:val="24"/>
        </w:rPr>
        <w:t>Når forligelige tilsætningsstoffer er blandet i</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Fra et mikrobiologisk synspunkt bør præparatet anvendes umiddelbart efter, at tilsætningsstofferne er blandet i. Hvis det ikke anvendes, straks efter tilsætningsstofferne er blevet blandet i, er opbevaringstiderne under anvendelse og forholdene før anvendelse brugerens ansvar.</w:t>
      </w:r>
    </w:p>
    <w:p w:rsidR="00BE115E" w:rsidRPr="000375F3" w:rsidRDefault="00BE115E" w:rsidP="00BE115E">
      <w:pPr>
        <w:pStyle w:val="Brdtekstindrykning"/>
        <w:tabs>
          <w:tab w:val="clear" w:pos="851"/>
        </w:tabs>
        <w:ind w:left="0"/>
        <w:jc w:val="left"/>
        <w:rPr>
          <w:rFonts w:ascii="Times New Roman" w:hAnsi="Times New Roman"/>
          <w:szCs w:val="24"/>
        </w:rPr>
      </w:pPr>
    </w:p>
    <w:p w:rsidR="00BE115E" w:rsidRPr="000375F3" w:rsidRDefault="00BE115E" w:rsidP="00BE115E">
      <w:pPr>
        <w:pStyle w:val="Brdtekstindrykning"/>
        <w:tabs>
          <w:tab w:val="clear" w:pos="851"/>
        </w:tabs>
        <w:ind w:left="0" w:firstLine="851"/>
        <w:rPr>
          <w:rFonts w:ascii="Times New Roman" w:hAnsi="Times New Roman"/>
          <w:i/>
          <w:szCs w:val="24"/>
        </w:rPr>
      </w:pPr>
      <w:r w:rsidRPr="000375F3">
        <w:rPr>
          <w:rFonts w:ascii="Times New Roman" w:hAnsi="Times New Roman"/>
          <w:i/>
          <w:szCs w:val="24"/>
        </w:rPr>
        <w:t>Efter første åbning (når infusionsporten er brudt)</w:t>
      </w:r>
    </w:p>
    <w:p w:rsidR="00BE115E" w:rsidRPr="000375F3" w:rsidRDefault="00BE115E" w:rsidP="00BE115E">
      <w:pPr>
        <w:pStyle w:val="Brdtekstindrykning"/>
        <w:tabs>
          <w:tab w:val="clear" w:pos="851"/>
        </w:tabs>
        <w:ind w:left="0" w:firstLine="851"/>
        <w:jc w:val="left"/>
        <w:rPr>
          <w:rFonts w:ascii="Times New Roman" w:hAnsi="Times New Roman"/>
          <w:szCs w:val="24"/>
        </w:rPr>
      </w:pPr>
      <w:r w:rsidRPr="000375F3">
        <w:rPr>
          <w:rFonts w:ascii="Times New Roman" w:hAnsi="Times New Roman"/>
          <w:szCs w:val="24"/>
        </w:rPr>
        <w:t>Emulsionen skal anvendes, straks efter beholderen er åbnet.</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6.4</w:t>
      </w:r>
      <w:r w:rsidRPr="000375F3">
        <w:rPr>
          <w:b/>
          <w:sz w:val="24"/>
          <w:szCs w:val="24"/>
        </w:rPr>
        <w:tab/>
        <w:t>Særlige opbevaringsforhold</w:t>
      </w:r>
    </w:p>
    <w:p w:rsidR="00BE115E" w:rsidRPr="000375F3" w:rsidRDefault="00BE115E" w:rsidP="00BE115E">
      <w:pPr>
        <w:pStyle w:val="Brdtekstindrykning"/>
        <w:tabs>
          <w:tab w:val="clear" w:pos="851"/>
        </w:tabs>
        <w:ind w:left="0" w:firstLine="851"/>
        <w:jc w:val="left"/>
        <w:rPr>
          <w:rFonts w:ascii="Times New Roman" w:hAnsi="Times New Roman"/>
          <w:szCs w:val="24"/>
        </w:rPr>
      </w:pPr>
      <w:r w:rsidRPr="000375F3">
        <w:rPr>
          <w:rFonts w:ascii="Times New Roman" w:hAnsi="Times New Roman"/>
          <w:szCs w:val="24"/>
        </w:rPr>
        <w:t>Må ikke opbevares ved temperaturer over 25</w:t>
      </w:r>
      <w:r w:rsidRPr="000375F3">
        <w:rPr>
          <w:rFonts w:ascii="Times New Roman" w:hAnsi="Times New Roman"/>
          <w:szCs w:val="24"/>
        </w:rPr>
        <w:sym w:font="Symbol" w:char="F0B0"/>
      </w:r>
      <w:r w:rsidRPr="000375F3">
        <w:rPr>
          <w:rFonts w:ascii="Times New Roman" w:hAnsi="Times New Roman"/>
          <w:szCs w:val="24"/>
        </w:rPr>
        <w:t xml:space="preserve">C. </w:t>
      </w:r>
    </w:p>
    <w:p w:rsidR="00BE115E" w:rsidRPr="000375F3" w:rsidRDefault="00BE115E" w:rsidP="00BE115E">
      <w:pPr>
        <w:pStyle w:val="Brdtekstindrykning"/>
        <w:tabs>
          <w:tab w:val="clear" w:pos="851"/>
        </w:tabs>
        <w:ind w:left="0" w:firstLine="851"/>
        <w:jc w:val="left"/>
        <w:rPr>
          <w:rFonts w:ascii="Times New Roman" w:hAnsi="Times New Roman"/>
          <w:szCs w:val="24"/>
        </w:rPr>
      </w:pPr>
      <w:r w:rsidRPr="000375F3">
        <w:rPr>
          <w:rFonts w:ascii="Times New Roman" w:hAnsi="Times New Roman"/>
          <w:szCs w:val="24"/>
        </w:rPr>
        <w:t>Må ikke nedfryses. Ved utilsigtet nedfrysning skal posen bortskaffes.</w:t>
      </w:r>
    </w:p>
    <w:p w:rsidR="00BE115E" w:rsidRPr="000375F3" w:rsidRDefault="00BE115E" w:rsidP="00BE115E">
      <w:pPr>
        <w:pStyle w:val="Brdtekstindrykning"/>
        <w:tabs>
          <w:tab w:val="clear" w:pos="851"/>
        </w:tabs>
        <w:ind w:left="0" w:firstLine="851"/>
        <w:jc w:val="left"/>
        <w:rPr>
          <w:rFonts w:ascii="Times New Roman" w:hAnsi="Times New Roman"/>
          <w:szCs w:val="24"/>
        </w:rPr>
      </w:pPr>
      <w:r w:rsidRPr="000375F3">
        <w:rPr>
          <w:rFonts w:ascii="Times New Roman" w:hAnsi="Times New Roman"/>
          <w:szCs w:val="24"/>
        </w:rPr>
        <w:t>Opbevar posen i den beskyttende yderpose for at beskytte mod lys.</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6.5</w:t>
      </w:r>
      <w:r w:rsidRPr="000375F3">
        <w:rPr>
          <w:b/>
          <w:sz w:val="24"/>
          <w:szCs w:val="24"/>
        </w:rPr>
        <w:tab/>
        <w:t>Emballagetype og pakningsstørrelser</w:t>
      </w:r>
    </w:p>
    <w:p w:rsidR="00BE115E" w:rsidRDefault="00BE115E" w:rsidP="00BE115E">
      <w:pPr>
        <w:pStyle w:val="Brdtekstindrykning"/>
        <w:tabs>
          <w:tab w:val="clear" w:pos="851"/>
        </w:tabs>
        <w:jc w:val="left"/>
        <w:rPr>
          <w:rFonts w:ascii="Times New Roman" w:hAnsi="Times New Roman"/>
          <w:szCs w:val="24"/>
        </w:rPr>
      </w:pPr>
      <w:proofErr w:type="spellStart"/>
      <w:r w:rsidRPr="000375F3">
        <w:rPr>
          <w:rFonts w:ascii="Times New Roman" w:hAnsi="Times New Roman"/>
          <w:szCs w:val="24"/>
        </w:rPr>
        <w:t>Nutriflex</w:t>
      </w:r>
      <w:proofErr w:type="spellEnd"/>
      <w:r w:rsidRPr="000375F3">
        <w:rPr>
          <w:rFonts w:ascii="Times New Roman" w:hAnsi="Times New Roman"/>
          <w:szCs w:val="24"/>
        </w:rPr>
        <w:t xml:space="preserve"> Omega Special elektrolytfri leveres som fleksible flerkammerposer af flere lag folie. Det indre lag, der er i kontakt med opløsningen, består af polypropylen. Bunden med de to porte er fremstillet af polypropylen og </w:t>
      </w:r>
      <w:proofErr w:type="spellStart"/>
      <w:r w:rsidRPr="000375F3">
        <w:rPr>
          <w:rFonts w:ascii="Times New Roman" w:hAnsi="Times New Roman"/>
          <w:szCs w:val="24"/>
        </w:rPr>
        <w:t>styrenethylenbutylenstyren</w:t>
      </w:r>
      <w:proofErr w:type="spellEnd"/>
      <w:r w:rsidRPr="000375F3">
        <w:rPr>
          <w:rFonts w:ascii="Times New Roman" w:hAnsi="Times New Roman"/>
          <w:szCs w:val="24"/>
        </w:rPr>
        <w:t xml:space="preserve">. </w:t>
      </w:r>
    </w:p>
    <w:p w:rsidR="00BE115E" w:rsidRDefault="00BE115E" w:rsidP="00BE115E">
      <w:pPr>
        <w:pStyle w:val="Brdtekstindrykning"/>
        <w:tabs>
          <w:tab w:val="clear" w:pos="851"/>
        </w:tabs>
        <w:jc w:val="left"/>
        <w:rPr>
          <w:rFonts w:ascii="Times New Roman" w:hAnsi="Times New Roman"/>
          <w:szCs w:val="24"/>
        </w:rPr>
      </w:pPr>
    </w:p>
    <w:p w:rsidR="00BE115E" w:rsidRDefault="00BE115E" w:rsidP="00BE115E">
      <w:pPr>
        <w:pStyle w:val="Brdtekstindrykning"/>
        <w:tabs>
          <w:tab w:val="clear" w:pos="851"/>
        </w:tabs>
        <w:jc w:val="left"/>
        <w:rPr>
          <w:rFonts w:ascii="Times New Roman" w:hAnsi="Times New Roman"/>
          <w:szCs w:val="24"/>
        </w:rPr>
      </w:pPr>
    </w:p>
    <w:p w:rsidR="00BE115E"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lastRenderedPageBreak/>
        <w:t>Flerkammerposerne indeholder:</w:t>
      </w:r>
    </w:p>
    <w:p w:rsidR="00BE115E" w:rsidRPr="000375F3" w:rsidRDefault="00BE115E" w:rsidP="00BE115E">
      <w:pPr>
        <w:pStyle w:val="Brdtekstindrykning"/>
        <w:numPr>
          <w:ilvl w:val="0"/>
          <w:numId w:val="9"/>
        </w:numPr>
        <w:tabs>
          <w:tab w:val="clear" w:pos="851"/>
        </w:tabs>
        <w:ind w:left="1276" w:hanging="425"/>
        <w:jc w:val="left"/>
        <w:rPr>
          <w:rFonts w:ascii="Times New Roman" w:hAnsi="Times New Roman"/>
          <w:szCs w:val="24"/>
        </w:rPr>
      </w:pPr>
      <w:r w:rsidRPr="000375F3">
        <w:rPr>
          <w:rFonts w:ascii="Times New Roman" w:hAnsi="Times New Roman"/>
          <w:szCs w:val="24"/>
        </w:rPr>
        <w:t xml:space="preserve">625 ml (250 ml aminosyreopløsning + 125 ml fedtemulsion + 250 ml </w:t>
      </w:r>
      <w:proofErr w:type="spellStart"/>
      <w:r w:rsidRPr="000375F3">
        <w:rPr>
          <w:rFonts w:ascii="Times New Roman" w:hAnsi="Times New Roman"/>
          <w:szCs w:val="24"/>
        </w:rPr>
        <w:t>glucoseopløsning</w:t>
      </w:r>
      <w:proofErr w:type="spellEnd"/>
      <w:r w:rsidRPr="000375F3">
        <w:rPr>
          <w:rFonts w:ascii="Times New Roman" w:hAnsi="Times New Roman"/>
          <w:szCs w:val="24"/>
        </w:rPr>
        <w:t>)</w:t>
      </w:r>
    </w:p>
    <w:p w:rsidR="00BE115E" w:rsidRPr="000375F3" w:rsidRDefault="00BE115E" w:rsidP="00BE115E">
      <w:pPr>
        <w:pStyle w:val="Brdtekstindrykning"/>
        <w:numPr>
          <w:ilvl w:val="0"/>
          <w:numId w:val="9"/>
        </w:numPr>
        <w:tabs>
          <w:tab w:val="clear" w:pos="851"/>
        </w:tabs>
        <w:ind w:left="1276" w:hanging="425"/>
        <w:jc w:val="left"/>
        <w:rPr>
          <w:rFonts w:ascii="Times New Roman" w:hAnsi="Times New Roman"/>
          <w:szCs w:val="24"/>
        </w:rPr>
      </w:pPr>
      <w:r w:rsidRPr="000375F3">
        <w:rPr>
          <w:rFonts w:ascii="Times New Roman" w:hAnsi="Times New Roman"/>
          <w:szCs w:val="24"/>
        </w:rPr>
        <w:t xml:space="preserve">1250 ml (500 ml aminosyreopløsning + 250 ml fedtemulsion + 500 ml </w:t>
      </w:r>
      <w:proofErr w:type="spellStart"/>
      <w:r w:rsidRPr="000375F3">
        <w:rPr>
          <w:rFonts w:ascii="Times New Roman" w:hAnsi="Times New Roman"/>
          <w:szCs w:val="24"/>
        </w:rPr>
        <w:t>glucoseopløsning</w:t>
      </w:r>
      <w:proofErr w:type="spellEnd"/>
      <w:r w:rsidRPr="000375F3">
        <w:rPr>
          <w:rFonts w:ascii="Times New Roman" w:hAnsi="Times New Roman"/>
          <w:szCs w:val="24"/>
        </w:rPr>
        <w:t>)</w:t>
      </w:r>
    </w:p>
    <w:p w:rsidR="00BE115E" w:rsidRPr="000375F3" w:rsidRDefault="00BE115E" w:rsidP="00BE115E">
      <w:pPr>
        <w:pStyle w:val="Brdtekstindrykning"/>
        <w:numPr>
          <w:ilvl w:val="0"/>
          <w:numId w:val="9"/>
        </w:numPr>
        <w:tabs>
          <w:tab w:val="clear" w:pos="851"/>
        </w:tabs>
        <w:ind w:left="1276" w:hanging="425"/>
        <w:jc w:val="left"/>
        <w:rPr>
          <w:rFonts w:ascii="Times New Roman" w:hAnsi="Times New Roman"/>
          <w:szCs w:val="24"/>
        </w:rPr>
      </w:pPr>
      <w:r w:rsidRPr="000375F3">
        <w:rPr>
          <w:rFonts w:ascii="Times New Roman" w:hAnsi="Times New Roman"/>
          <w:szCs w:val="24"/>
        </w:rPr>
        <w:t xml:space="preserve">1875 ml (750 ml aminosyreopløsning + 375 ml fedtemulsion + 750 ml </w:t>
      </w:r>
      <w:proofErr w:type="spellStart"/>
      <w:r w:rsidRPr="000375F3">
        <w:rPr>
          <w:rFonts w:ascii="Times New Roman" w:hAnsi="Times New Roman"/>
          <w:szCs w:val="24"/>
        </w:rPr>
        <w:t>glucoseopløsning</w:t>
      </w:r>
      <w:proofErr w:type="spellEnd"/>
      <w:r w:rsidRPr="000375F3">
        <w:rPr>
          <w:rFonts w:ascii="Times New Roman" w:hAnsi="Times New Roman"/>
          <w:szCs w:val="24"/>
        </w:rPr>
        <w:t>)</w:t>
      </w:r>
    </w:p>
    <w:p w:rsidR="00BE115E" w:rsidRPr="000375F3" w:rsidRDefault="00BE115E" w:rsidP="00BE115E">
      <w:pPr>
        <w:jc w:val="center"/>
        <w:rPr>
          <w:sz w:val="24"/>
          <w:szCs w:val="24"/>
        </w:rPr>
      </w:pPr>
    </w:p>
    <w:p w:rsidR="00BE115E" w:rsidRPr="000375F3" w:rsidRDefault="00BE115E" w:rsidP="00BE115E">
      <w:pPr>
        <w:jc w:val="center"/>
        <w:rPr>
          <w:noProof/>
          <w:sz w:val="24"/>
          <w:szCs w:val="24"/>
          <w:lang w:val="fi-FI" w:eastAsia="fi-FI"/>
        </w:rPr>
      </w:pPr>
      <w:r w:rsidRPr="000375F3">
        <w:rPr>
          <w:noProof/>
          <w:sz w:val="24"/>
          <w:szCs w:val="24"/>
          <w:lang w:eastAsia="da-DK"/>
        </w:rPr>
        <w:drawing>
          <wp:inline distT="0" distB="0" distL="0" distR="0" wp14:anchorId="016B0F6B" wp14:editId="033B3B0A">
            <wp:extent cx="2847975" cy="309562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3095625"/>
                    </a:xfrm>
                    <a:prstGeom prst="rect">
                      <a:avLst/>
                    </a:prstGeom>
                    <a:noFill/>
                    <a:ln>
                      <a:noFill/>
                    </a:ln>
                  </pic:spPr>
                </pic:pic>
              </a:graphicData>
            </a:graphic>
          </wp:inline>
        </w:drawing>
      </w:r>
      <w:r w:rsidRPr="000375F3">
        <w:rPr>
          <w:noProof/>
          <w:sz w:val="24"/>
          <w:szCs w:val="24"/>
          <w:lang w:eastAsia="da-DK"/>
        </w:rPr>
        <w:drawing>
          <wp:inline distT="0" distB="0" distL="0" distR="0" wp14:anchorId="1254A6D5" wp14:editId="54910132">
            <wp:extent cx="2762250" cy="30956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3095625"/>
                    </a:xfrm>
                    <a:prstGeom prst="rect">
                      <a:avLst/>
                    </a:prstGeom>
                    <a:noFill/>
                    <a:ln>
                      <a:noFill/>
                    </a:ln>
                  </pic:spPr>
                </pic:pic>
              </a:graphicData>
            </a:graphic>
          </wp:inline>
        </w:drawing>
      </w:r>
    </w:p>
    <w:p w:rsidR="00BE115E" w:rsidRPr="000375F3" w:rsidRDefault="00BE115E" w:rsidP="00BE115E">
      <w:pPr>
        <w:ind w:firstLine="1985"/>
        <w:rPr>
          <w:sz w:val="24"/>
          <w:szCs w:val="24"/>
        </w:rPr>
      </w:pPr>
      <w:r w:rsidRPr="000375F3">
        <w:rPr>
          <w:sz w:val="24"/>
          <w:szCs w:val="24"/>
        </w:rPr>
        <w:t>Figur A</w:t>
      </w:r>
      <w:r w:rsidRPr="000375F3">
        <w:rPr>
          <w:sz w:val="24"/>
          <w:szCs w:val="24"/>
        </w:rPr>
        <w:tab/>
      </w:r>
      <w:r w:rsidRPr="000375F3">
        <w:rPr>
          <w:sz w:val="24"/>
          <w:szCs w:val="24"/>
        </w:rPr>
        <w:tab/>
      </w:r>
      <w:r>
        <w:rPr>
          <w:sz w:val="24"/>
          <w:szCs w:val="24"/>
        </w:rPr>
        <w:tab/>
      </w:r>
      <w:r w:rsidRPr="000375F3">
        <w:rPr>
          <w:sz w:val="24"/>
          <w:szCs w:val="24"/>
        </w:rPr>
        <w:t>Figur B</w:t>
      </w:r>
    </w:p>
    <w:p w:rsidR="00BE115E" w:rsidRPr="000375F3" w:rsidRDefault="00BE115E" w:rsidP="00BE115E">
      <w:pPr>
        <w:jc w:val="center"/>
        <w:rPr>
          <w:sz w:val="24"/>
          <w:szCs w:val="24"/>
        </w:rPr>
      </w:pPr>
    </w:p>
    <w:p w:rsidR="00BE115E" w:rsidRPr="000375F3" w:rsidRDefault="00BE115E" w:rsidP="00BE115E">
      <w:pPr>
        <w:ind w:left="851"/>
        <w:rPr>
          <w:sz w:val="24"/>
          <w:szCs w:val="24"/>
        </w:rPr>
      </w:pPr>
      <w:r w:rsidRPr="000375F3">
        <w:rPr>
          <w:sz w:val="24"/>
          <w:szCs w:val="24"/>
        </w:rPr>
        <w:t>Figur A: Flerkammerposen er pakket i en beskyttende yderpose. Der er placeret en iltabsorber og en iltindikator mellem posen og yderposen. Brevet med iltabsorberen er fremstillet af inert materiale og indeholder jernhydroxid.</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 xml:space="preserve">Figur B: Det øverste kammer indeholder en </w:t>
      </w:r>
      <w:proofErr w:type="spellStart"/>
      <w:r w:rsidRPr="000375F3">
        <w:rPr>
          <w:sz w:val="24"/>
          <w:szCs w:val="24"/>
        </w:rPr>
        <w:t>glucoseopløsning</w:t>
      </w:r>
      <w:proofErr w:type="spellEnd"/>
      <w:r w:rsidRPr="000375F3">
        <w:rPr>
          <w:sz w:val="24"/>
          <w:szCs w:val="24"/>
        </w:rPr>
        <w:t>, det mellemste kammer indeholder en fedtemulsion, og det nederste kammer indeholder en aminosyreopløsning.</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Det øverste kammer og det mellemste kammer kan forbindes med det nederste kammer ved at åbne mellemforseglingerne.</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 xml:space="preserve">Posens design gør det muligt at blande aminosyrer, </w:t>
      </w:r>
      <w:proofErr w:type="spellStart"/>
      <w:r w:rsidRPr="000375F3">
        <w:rPr>
          <w:sz w:val="24"/>
          <w:szCs w:val="24"/>
        </w:rPr>
        <w:t>glucose</w:t>
      </w:r>
      <w:proofErr w:type="spellEnd"/>
      <w:r w:rsidRPr="000375F3">
        <w:rPr>
          <w:sz w:val="24"/>
          <w:szCs w:val="24"/>
        </w:rPr>
        <w:t xml:space="preserve"> og lipider i et enkelt kammer. Når de aftagelige forseglinger åbnes, fører det til en steril blanding, og der dannes en emulsion.</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De forskellige beholderstørrelser leveres i kartoner med fem poser.</w:t>
      </w:r>
    </w:p>
    <w:p w:rsidR="00BE115E" w:rsidRPr="000375F3" w:rsidRDefault="00BE115E" w:rsidP="00BE115E">
      <w:pPr>
        <w:ind w:left="851"/>
        <w:rPr>
          <w:sz w:val="24"/>
          <w:szCs w:val="24"/>
        </w:rPr>
      </w:pPr>
      <w:r w:rsidRPr="000375F3">
        <w:rPr>
          <w:sz w:val="24"/>
          <w:szCs w:val="24"/>
        </w:rPr>
        <w:t xml:space="preserve">Pakningsstørrelser: 5 </w:t>
      </w:r>
      <w:r>
        <w:rPr>
          <w:sz w:val="24"/>
          <w:szCs w:val="24"/>
        </w:rPr>
        <w:t>×</w:t>
      </w:r>
      <w:r w:rsidRPr="000375F3">
        <w:rPr>
          <w:sz w:val="24"/>
          <w:szCs w:val="24"/>
        </w:rPr>
        <w:t xml:space="preserve"> 625 ml, 5 </w:t>
      </w:r>
      <w:r>
        <w:rPr>
          <w:sz w:val="24"/>
          <w:szCs w:val="24"/>
        </w:rPr>
        <w:t>×</w:t>
      </w:r>
      <w:r w:rsidRPr="000375F3">
        <w:rPr>
          <w:sz w:val="24"/>
          <w:szCs w:val="24"/>
        </w:rPr>
        <w:t xml:space="preserve"> 1.250 ml, 5 </w:t>
      </w:r>
      <w:r>
        <w:rPr>
          <w:sz w:val="24"/>
          <w:szCs w:val="24"/>
        </w:rPr>
        <w:t>×</w:t>
      </w:r>
      <w:r w:rsidRPr="000375F3">
        <w:rPr>
          <w:sz w:val="24"/>
          <w:szCs w:val="24"/>
        </w:rPr>
        <w:t xml:space="preserve"> 1.875 ml.</w:t>
      </w:r>
    </w:p>
    <w:p w:rsidR="00BE115E" w:rsidRPr="000375F3" w:rsidRDefault="00BE115E" w:rsidP="00BE115E">
      <w:pPr>
        <w:ind w:left="851"/>
        <w:rPr>
          <w:sz w:val="24"/>
          <w:szCs w:val="24"/>
        </w:rPr>
      </w:pPr>
    </w:p>
    <w:p w:rsidR="00BE115E" w:rsidRPr="000375F3" w:rsidRDefault="00BE115E" w:rsidP="00BE115E">
      <w:pPr>
        <w:ind w:left="851"/>
        <w:rPr>
          <w:sz w:val="24"/>
          <w:szCs w:val="24"/>
        </w:rPr>
      </w:pPr>
      <w:r w:rsidRPr="000375F3">
        <w:rPr>
          <w:sz w:val="24"/>
          <w:szCs w:val="24"/>
        </w:rPr>
        <w:t>Ikke alle pakningsstørrelser er nødvendigvis markedsført.</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6.6</w:t>
      </w:r>
      <w:r w:rsidRPr="000375F3">
        <w:rPr>
          <w:b/>
          <w:sz w:val="24"/>
          <w:szCs w:val="24"/>
        </w:rPr>
        <w:tab/>
        <w:t xml:space="preserve">Regler for </w:t>
      </w:r>
      <w:r w:rsidR="00B915A7">
        <w:rPr>
          <w:b/>
          <w:sz w:val="24"/>
          <w:szCs w:val="24"/>
        </w:rPr>
        <w:t>bortskaffelse</w:t>
      </w:r>
      <w:r w:rsidRPr="000375F3">
        <w:rPr>
          <w:b/>
          <w:sz w:val="24"/>
          <w:szCs w:val="24"/>
        </w:rPr>
        <w:t xml:space="preserve"> og anden håndtering</w:t>
      </w:r>
    </w:p>
    <w:p w:rsidR="00BE115E" w:rsidRDefault="00BE115E" w:rsidP="00B915A7">
      <w:pPr>
        <w:pStyle w:val="Brdtekstindrykning"/>
        <w:tabs>
          <w:tab w:val="clear" w:pos="851"/>
          <w:tab w:val="left" w:pos="1304"/>
        </w:tabs>
        <w:ind w:left="0"/>
        <w:jc w:val="left"/>
        <w:rPr>
          <w:rFonts w:ascii="Times New Roman" w:hAnsi="Times New Roman"/>
          <w:i/>
          <w:szCs w:val="24"/>
        </w:rPr>
      </w:pPr>
    </w:p>
    <w:p w:rsidR="00BE115E" w:rsidRDefault="00BE115E" w:rsidP="00BE115E">
      <w:pPr>
        <w:pStyle w:val="Brdtekstindrykning"/>
        <w:tabs>
          <w:tab w:val="clear" w:pos="851"/>
          <w:tab w:val="left" w:pos="1304"/>
        </w:tabs>
        <w:jc w:val="left"/>
        <w:rPr>
          <w:rFonts w:ascii="Times New Roman" w:hAnsi="Times New Roman"/>
          <w:szCs w:val="24"/>
        </w:rPr>
      </w:pPr>
      <w:r>
        <w:rPr>
          <w:rFonts w:ascii="Times New Roman" w:hAnsi="Times New Roman"/>
          <w:szCs w:val="24"/>
        </w:rPr>
        <w:t>Parenterale ernæringsprodukter skal inspiceres visuelt for beskadigelse, misfarvning og ustabilitet af emulsionen før anvendelse.</w:t>
      </w:r>
    </w:p>
    <w:p w:rsidR="00BE115E" w:rsidRDefault="00BE115E" w:rsidP="00BE115E">
      <w:pPr>
        <w:pStyle w:val="Brdtekstindrykning"/>
        <w:tabs>
          <w:tab w:val="clear" w:pos="851"/>
          <w:tab w:val="left" w:pos="1304"/>
        </w:tabs>
        <w:jc w:val="left"/>
        <w:rPr>
          <w:rFonts w:ascii="Times New Roman" w:hAnsi="Times New Roman"/>
          <w:szCs w:val="24"/>
        </w:rPr>
      </w:pPr>
    </w:p>
    <w:p w:rsidR="00BE115E" w:rsidRDefault="00BE115E" w:rsidP="00BE115E">
      <w:pPr>
        <w:ind w:left="851"/>
        <w:rPr>
          <w:sz w:val="24"/>
          <w:szCs w:val="24"/>
        </w:rPr>
      </w:pPr>
      <w:r>
        <w:rPr>
          <w:sz w:val="24"/>
          <w:szCs w:val="24"/>
        </w:rPr>
        <w:lastRenderedPageBreak/>
        <w:t xml:space="preserve">Poser, som er beskadigede, må ikke anvendes. Yderposen, den primære pose og mellemforseglingerne skal være intakte. Må kun anvendes, hvis aminosyre- og </w:t>
      </w:r>
      <w:proofErr w:type="spellStart"/>
      <w:r>
        <w:rPr>
          <w:sz w:val="24"/>
          <w:szCs w:val="24"/>
        </w:rPr>
        <w:t>glucoseopløsningerne</w:t>
      </w:r>
      <w:proofErr w:type="spellEnd"/>
      <w:r>
        <w:rPr>
          <w:sz w:val="24"/>
          <w:szCs w:val="24"/>
        </w:rPr>
        <w:t xml:space="preserve"> er klare og farveløse til stråfarvede, og lipidemulsionen er homogen med et mælkehvidt udseende. Må ikke anvendes, hvis opløsningerne indeholder partikler.</w:t>
      </w:r>
    </w:p>
    <w:p w:rsidR="00BE115E" w:rsidRDefault="00BE115E" w:rsidP="00BE115E">
      <w:pPr>
        <w:ind w:left="851"/>
        <w:rPr>
          <w:sz w:val="24"/>
          <w:szCs w:val="24"/>
        </w:rPr>
      </w:pPr>
    </w:p>
    <w:p w:rsidR="00BE115E" w:rsidRDefault="00BE115E" w:rsidP="00BE115E">
      <w:pPr>
        <w:ind w:left="851"/>
        <w:rPr>
          <w:sz w:val="24"/>
          <w:szCs w:val="24"/>
        </w:rPr>
      </w:pPr>
      <w:r>
        <w:rPr>
          <w:sz w:val="24"/>
          <w:szCs w:val="24"/>
        </w:rPr>
        <w:t>Må ikke anvendes, hvis emulsionen er misfarvet eller viser tegn på faseseparation (oliedråber, olielag) efter blanding af indholdet i de tre kamre. Infusionen skal straks stoppes, hvis der er tegn på misfarvning af emulsionen eller tegn på faseseparation.</w:t>
      </w:r>
    </w:p>
    <w:p w:rsidR="00BE115E" w:rsidRDefault="00BE115E" w:rsidP="00BE115E">
      <w:pPr>
        <w:pStyle w:val="Brdtekstindrykning"/>
        <w:tabs>
          <w:tab w:val="clear" w:pos="851"/>
          <w:tab w:val="left" w:pos="1304"/>
        </w:tabs>
        <w:jc w:val="left"/>
        <w:rPr>
          <w:rFonts w:ascii="Times New Roman" w:hAnsi="Times New Roman"/>
          <w:szCs w:val="24"/>
        </w:rPr>
      </w:pPr>
      <w:r>
        <w:rPr>
          <w:rFonts w:ascii="Times New Roman" w:hAnsi="Times New Roman"/>
          <w:szCs w:val="24"/>
        </w:rPr>
        <w:t xml:space="preserve">Før yderposen åbnes, skal farven på iltindikatoren kontrolleres (se figur A): Må ikke anvendes, hvis iltindikatoren </w:t>
      </w:r>
      <w:r w:rsidR="00376EDE">
        <w:rPr>
          <w:rFonts w:ascii="Times New Roman" w:hAnsi="Times New Roman"/>
          <w:szCs w:val="24"/>
        </w:rPr>
        <w:t>bliver</w:t>
      </w:r>
      <w:r>
        <w:rPr>
          <w:rFonts w:ascii="Times New Roman" w:hAnsi="Times New Roman"/>
          <w:szCs w:val="24"/>
        </w:rPr>
        <w:t xml:space="preserve"> lyserød. Må kun anvendes, hvis iltindikatoren er gul.</w:t>
      </w:r>
    </w:p>
    <w:p w:rsidR="00BE115E" w:rsidRDefault="00BE115E" w:rsidP="00BE115E">
      <w:pPr>
        <w:pStyle w:val="Brdtekstindrykning"/>
        <w:tabs>
          <w:tab w:val="clear" w:pos="851"/>
          <w:tab w:val="left" w:pos="1304"/>
        </w:tabs>
        <w:jc w:val="left"/>
        <w:rPr>
          <w:rFonts w:ascii="Times New Roman" w:hAnsi="Times New Roman"/>
          <w:szCs w:val="24"/>
        </w:rPr>
      </w:pPr>
    </w:p>
    <w:p w:rsidR="00BE115E" w:rsidRPr="00B915A7" w:rsidRDefault="00BE115E" w:rsidP="00BE115E">
      <w:pPr>
        <w:pStyle w:val="Brdtekstindrykning"/>
        <w:tabs>
          <w:tab w:val="clear" w:pos="851"/>
          <w:tab w:val="left" w:pos="1304"/>
        </w:tabs>
        <w:jc w:val="left"/>
        <w:rPr>
          <w:rFonts w:ascii="Times New Roman" w:hAnsi="Times New Roman"/>
          <w:i/>
          <w:szCs w:val="24"/>
          <w:u w:val="single"/>
        </w:rPr>
      </w:pPr>
      <w:r w:rsidRPr="00B915A7">
        <w:rPr>
          <w:rFonts w:ascii="Times New Roman" w:hAnsi="Times New Roman"/>
          <w:i/>
          <w:szCs w:val="24"/>
          <w:u w:val="single"/>
        </w:rPr>
        <w:t>Forberedelse af den blandede emulsion</w:t>
      </w:r>
    </w:p>
    <w:p w:rsidR="00B915A7" w:rsidRDefault="00B915A7" w:rsidP="00BE115E">
      <w:pPr>
        <w:pStyle w:val="Brdtekstindrykning"/>
        <w:tabs>
          <w:tab w:val="clear" w:pos="851"/>
          <w:tab w:val="left" w:pos="1304"/>
        </w:tabs>
        <w:jc w:val="left"/>
        <w:rPr>
          <w:rFonts w:ascii="Times New Roman" w:hAnsi="Times New Roman"/>
          <w:i/>
          <w:szCs w:val="24"/>
        </w:rPr>
      </w:pPr>
    </w:p>
    <w:p w:rsidR="00BE115E" w:rsidRDefault="00BE115E" w:rsidP="00BE115E">
      <w:pPr>
        <w:pStyle w:val="Brdtekstindrykning"/>
        <w:tabs>
          <w:tab w:val="clear" w:pos="851"/>
          <w:tab w:val="left" w:pos="1304"/>
        </w:tabs>
        <w:jc w:val="left"/>
        <w:rPr>
          <w:rFonts w:ascii="Times New Roman" w:hAnsi="Times New Roman"/>
          <w:szCs w:val="24"/>
        </w:rPr>
      </w:pPr>
      <w:r>
        <w:rPr>
          <w:rFonts w:ascii="Times New Roman" w:hAnsi="Times New Roman"/>
          <w:szCs w:val="24"/>
        </w:rPr>
        <w:t>Aseptiske principper for håndtering skal nøje overholdes.</w:t>
      </w:r>
    </w:p>
    <w:p w:rsidR="00BE115E" w:rsidRDefault="00BE115E" w:rsidP="00BE115E">
      <w:pPr>
        <w:pStyle w:val="Brdtekstindrykning"/>
        <w:tabs>
          <w:tab w:val="clear" w:pos="851"/>
          <w:tab w:val="left" w:pos="1304"/>
        </w:tabs>
        <w:jc w:val="left"/>
        <w:rPr>
          <w:rFonts w:ascii="Times New Roman" w:hAnsi="Times New Roman"/>
          <w:szCs w:val="24"/>
        </w:rPr>
      </w:pPr>
    </w:p>
    <w:p w:rsidR="00BE115E" w:rsidRDefault="00BE115E" w:rsidP="00BE115E">
      <w:pPr>
        <w:pStyle w:val="Brdtekstindrykning"/>
        <w:tabs>
          <w:tab w:val="clear" w:pos="851"/>
          <w:tab w:val="left" w:pos="1304"/>
        </w:tabs>
        <w:jc w:val="left"/>
        <w:rPr>
          <w:rFonts w:ascii="Times New Roman" w:hAnsi="Times New Roman"/>
          <w:szCs w:val="24"/>
        </w:rPr>
      </w:pPr>
      <w:r>
        <w:rPr>
          <w:rFonts w:ascii="Times New Roman" w:hAnsi="Times New Roman"/>
          <w:szCs w:val="24"/>
        </w:rPr>
        <w:t>Åbning: Afriv yderposen ved at starte fra perforeringerne (figur 1). Fjern posen fra den beskyttende yderpose. Smid yderposen, iltindikatoren og iltabsorberen væk.</w:t>
      </w:r>
    </w:p>
    <w:p w:rsidR="00BE115E" w:rsidRPr="003C3EEF" w:rsidRDefault="00BE115E" w:rsidP="00BE115E">
      <w:pPr>
        <w:rPr>
          <w:sz w:val="24"/>
          <w:szCs w:val="24"/>
        </w:rPr>
      </w:pPr>
    </w:p>
    <w:p w:rsidR="00B915A7" w:rsidRDefault="00B915A7" w:rsidP="00B915A7">
      <w:pPr>
        <w:pStyle w:val="Brdtekstindrykning"/>
        <w:tabs>
          <w:tab w:val="clear" w:pos="851"/>
          <w:tab w:val="left" w:pos="1304"/>
        </w:tabs>
        <w:ind w:left="0"/>
        <w:jc w:val="left"/>
        <w:rPr>
          <w:rFonts w:ascii="Times New Roman" w:hAnsi="Times New Roman"/>
          <w:sz w:val="20"/>
        </w:rPr>
      </w:pPr>
    </w:p>
    <w:p w:rsidR="00B915A7" w:rsidRDefault="00B915A7" w:rsidP="00B915A7">
      <w:pPr>
        <w:pStyle w:val="Brdtekstindrykning"/>
        <w:tabs>
          <w:tab w:val="clear" w:pos="851"/>
          <w:tab w:val="left" w:pos="1304"/>
        </w:tabs>
        <w:jc w:val="left"/>
        <w:rPr>
          <w:rFonts w:ascii="Times New Roman" w:hAnsi="Times New Roman"/>
          <w:sz w:val="20"/>
        </w:rPr>
      </w:pPr>
      <w:r>
        <w:rPr>
          <w:noProof/>
          <w:sz w:val="20"/>
        </w:rPr>
        <w:drawing>
          <wp:inline distT="0" distB="0" distL="0" distR="0">
            <wp:extent cx="1818005" cy="1510030"/>
            <wp:effectExtent l="0" t="0" r="0" b="0"/>
            <wp:docPr id="15" name="Billede 15" descr="A drawing of hands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357997" descr="A drawing of hands holding a piece of pap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005" cy="1510030"/>
                    </a:xfrm>
                    <a:prstGeom prst="rect">
                      <a:avLst/>
                    </a:prstGeom>
                    <a:noFill/>
                    <a:ln>
                      <a:noFill/>
                    </a:ln>
                  </pic:spPr>
                </pic:pic>
              </a:graphicData>
            </a:graphic>
          </wp:inline>
        </w:drawing>
      </w:r>
    </w:p>
    <w:p w:rsidR="00B915A7" w:rsidRPr="00B915A7" w:rsidRDefault="00B915A7" w:rsidP="00B915A7">
      <w:pPr>
        <w:pStyle w:val="Brdtekstindrykning"/>
        <w:tabs>
          <w:tab w:val="left" w:pos="1304"/>
        </w:tabs>
        <w:rPr>
          <w:rFonts w:ascii="Times New Roman" w:hAnsi="Times New Roman"/>
          <w:szCs w:val="24"/>
        </w:rPr>
      </w:pPr>
    </w:p>
    <w:p w:rsidR="00B915A7" w:rsidRPr="00B915A7" w:rsidRDefault="00B915A7" w:rsidP="00B915A7">
      <w:pPr>
        <w:pStyle w:val="Brdtekstindrykning"/>
        <w:tabs>
          <w:tab w:val="clear" w:pos="851"/>
          <w:tab w:val="left" w:pos="1304"/>
        </w:tabs>
        <w:jc w:val="left"/>
        <w:rPr>
          <w:rFonts w:ascii="Times New Roman" w:hAnsi="Times New Roman"/>
          <w:szCs w:val="24"/>
        </w:rPr>
      </w:pPr>
      <w:r w:rsidRPr="00B915A7">
        <w:rPr>
          <w:rFonts w:ascii="Times New Roman" w:hAnsi="Times New Roman"/>
          <w:szCs w:val="24"/>
        </w:rPr>
        <w:t>Inspicer den primære pose visuelt for lækage. Lækkende poser skal bortskaffes, da steriliteten ikke kan garanteres.</w:t>
      </w:r>
    </w:p>
    <w:p w:rsidR="00B915A7" w:rsidRPr="00B915A7" w:rsidRDefault="00B915A7" w:rsidP="00B915A7">
      <w:pPr>
        <w:ind w:left="851"/>
        <w:rPr>
          <w:sz w:val="24"/>
          <w:szCs w:val="24"/>
        </w:rPr>
      </w:pPr>
    </w:p>
    <w:p w:rsidR="00B915A7" w:rsidRPr="00B915A7" w:rsidRDefault="00B915A7" w:rsidP="00B915A7">
      <w:pPr>
        <w:ind w:left="851"/>
        <w:rPr>
          <w:i/>
          <w:iCs/>
          <w:sz w:val="24"/>
          <w:szCs w:val="24"/>
          <w:lang w:val="fr-LU"/>
        </w:rPr>
      </w:pPr>
      <w:r w:rsidRPr="00B915A7">
        <w:rPr>
          <w:i/>
          <w:iCs/>
          <w:sz w:val="24"/>
          <w:szCs w:val="24"/>
          <w:lang w:eastAsia="fr-LU"/>
        </w:rPr>
        <w:t>Blanding af posen og tilsætning af tilsætningsstoffer</w:t>
      </w:r>
    </w:p>
    <w:p w:rsidR="00B915A7" w:rsidRPr="00B915A7" w:rsidRDefault="00B915A7" w:rsidP="00B915A7">
      <w:pPr>
        <w:ind w:left="851"/>
        <w:rPr>
          <w:sz w:val="24"/>
          <w:szCs w:val="24"/>
          <w:lang w:eastAsia="fr-LU"/>
        </w:rPr>
      </w:pPr>
      <w:r w:rsidRPr="00B915A7">
        <w:rPr>
          <w:sz w:val="24"/>
          <w:szCs w:val="24"/>
        </w:rPr>
        <w:t>Åbn og bland indholdet i kamrene i rækkefølge ved at rulle posen med begge hænder. Start med at åbne den mellemforsegling, der adskiller det øverste kammer (</w:t>
      </w:r>
      <w:proofErr w:type="spellStart"/>
      <w:r w:rsidRPr="00B915A7">
        <w:rPr>
          <w:sz w:val="24"/>
          <w:szCs w:val="24"/>
        </w:rPr>
        <w:t>glucose</w:t>
      </w:r>
      <w:proofErr w:type="spellEnd"/>
      <w:r w:rsidRPr="00B915A7">
        <w:rPr>
          <w:sz w:val="24"/>
          <w:szCs w:val="24"/>
        </w:rPr>
        <w:t xml:space="preserve">) og det nederste kammer (aminosyrer) (figur 2). </w:t>
      </w:r>
    </w:p>
    <w:p w:rsidR="00B915A7" w:rsidRDefault="00B915A7" w:rsidP="00B915A7">
      <w:pPr>
        <w:pStyle w:val="Brdtekstindrykning"/>
        <w:tabs>
          <w:tab w:val="clear" w:pos="851"/>
          <w:tab w:val="left" w:pos="1304"/>
        </w:tabs>
        <w:ind w:left="0"/>
        <w:jc w:val="left"/>
        <w:rPr>
          <w:rFonts w:ascii="Times New Roman" w:hAnsi="Times New Roman"/>
          <w:sz w:val="20"/>
        </w:rPr>
      </w:pPr>
    </w:p>
    <w:p w:rsidR="00B915A7" w:rsidRDefault="00B915A7" w:rsidP="00B915A7">
      <w:pPr>
        <w:pStyle w:val="Brdtekstindrykning"/>
        <w:tabs>
          <w:tab w:val="clear" w:pos="851"/>
          <w:tab w:val="left" w:pos="1304"/>
        </w:tabs>
        <w:jc w:val="left"/>
        <w:rPr>
          <w:rFonts w:ascii="Times New Roman" w:hAnsi="Times New Roman"/>
          <w:sz w:val="20"/>
        </w:rPr>
      </w:pPr>
      <w:r>
        <w:rPr>
          <w:noProof/>
          <w:sz w:val="20"/>
        </w:rPr>
        <w:drawing>
          <wp:inline distT="0" distB="0" distL="0" distR="0">
            <wp:extent cx="1669415" cy="1510030"/>
            <wp:effectExtent l="0" t="0" r="6985" b="0"/>
            <wp:docPr id="14" name="Billede 14" descr="A drawing of a hand holding a pair of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A drawing of a hand holding a pair of short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1510030"/>
                    </a:xfrm>
                    <a:prstGeom prst="rect">
                      <a:avLst/>
                    </a:prstGeom>
                    <a:noFill/>
                    <a:ln>
                      <a:noFill/>
                    </a:ln>
                  </pic:spPr>
                </pic:pic>
              </a:graphicData>
            </a:graphic>
          </wp:inline>
        </w:drawing>
      </w:r>
    </w:p>
    <w:p w:rsidR="00B915A7" w:rsidRDefault="00B915A7" w:rsidP="00B915A7">
      <w:pPr>
        <w:pStyle w:val="Brdtekstindrykning"/>
        <w:tabs>
          <w:tab w:val="clear" w:pos="851"/>
          <w:tab w:val="left" w:pos="1304"/>
        </w:tabs>
        <w:jc w:val="left"/>
        <w:rPr>
          <w:rFonts w:ascii="Times New Roman" w:hAnsi="Times New Roman"/>
          <w:sz w:val="20"/>
        </w:rPr>
      </w:pPr>
    </w:p>
    <w:p w:rsidR="00B915A7" w:rsidRDefault="00B915A7" w:rsidP="00B915A7">
      <w:pPr>
        <w:tabs>
          <w:tab w:val="left" w:pos="567"/>
          <w:tab w:val="left" w:pos="851"/>
          <w:tab w:val="left" w:pos="2835"/>
          <w:tab w:val="left" w:pos="5103"/>
        </w:tabs>
      </w:pPr>
    </w:p>
    <w:p w:rsidR="00B915A7" w:rsidRPr="00B915A7" w:rsidRDefault="00B915A7" w:rsidP="00B915A7">
      <w:pPr>
        <w:ind w:left="851"/>
        <w:rPr>
          <w:sz w:val="24"/>
        </w:rPr>
      </w:pPr>
      <w:r w:rsidRPr="00B915A7">
        <w:rPr>
          <w:sz w:val="24"/>
        </w:rPr>
        <w:t xml:space="preserve">Fortsæt dernæst med at trykke, så den mellemforsegling, der adskiller det mellemste kammer (lipider) og det nederste kammer, åbnes (figur 3). </w:t>
      </w:r>
    </w:p>
    <w:p w:rsidR="00B915A7" w:rsidRPr="00B915A7" w:rsidRDefault="00B915A7" w:rsidP="00B915A7"/>
    <w:p w:rsidR="00B915A7" w:rsidRPr="00B915A7" w:rsidRDefault="00B915A7" w:rsidP="00B915A7">
      <w:pPr>
        <w:ind w:left="851"/>
      </w:pPr>
      <w:r>
        <w:rPr>
          <w:noProof/>
        </w:rPr>
        <w:lastRenderedPageBreak/>
        <w:drawing>
          <wp:inline distT="0" distB="0" distL="0" distR="0">
            <wp:extent cx="1669415" cy="1510030"/>
            <wp:effectExtent l="0" t="0" r="6985" b="0"/>
            <wp:docPr id="13" name="Billede 13" descr="A drawing of hands holding a p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A drawing of hands holding a purs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9415" cy="1510030"/>
                    </a:xfrm>
                    <a:prstGeom prst="rect">
                      <a:avLst/>
                    </a:prstGeom>
                    <a:noFill/>
                    <a:ln>
                      <a:noFill/>
                    </a:ln>
                  </pic:spPr>
                </pic:pic>
              </a:graphicData>
            </a:graphic>
          </wp:inline>
        </w:drawing>
      </w:r>
      <w:r>
        <w:t xml:space="preserve"> </w:t>
      </w:r>
      <w:r>
        <w:rPr>
          <w:noProof/>
        </w:rPr>
        <w:drawing>
          <wp:inline distT="0" distB="0" distL="0" distR="0">
            <wp:extent cx="1828800" cy="1520190"/>
            <wp:effectExtent l="0" t="0" r="0" b="3810"/>
            <wp:docPr id="12" name="Billede 12" descr="A black and white illustration of hands holding a plastic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descr="A black and white illustration of hands holding a plastic tub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520190"/>
                    </a:xfrm>
                    <a:prstGeom prst="rect">
                      <a:avLst/>
                    </a:prstGeom>
                    <a:noFill/>
                    <a:ln>
                      <a:noFill/>
                    </a:ln>
                  </pic:spPr>
                </pic:pic>
              </a:graphicData>
            </a:graphic>
          </wp:inline>
        </w:drawing>
      </w:r>
    </w:p>
    <w:p w:rsidR="00B915A7" w:rsidRDefault="00B915A7" w:rsidP="00B915A7">
      <w:pPr>
        <w:rPr>
          <w:lang w:val="fr-LU"/>
        </w:rPr>
      </w:pPr>
    </w:p>
    <w:p w:rsidR="00B915A7" w:rsidRPr="00B915A7" w:rsidRDefault="00B915A7" w:rsidP="00B915A7">
      <w:pPr>
        <w:ind w:left="851"/>
        <w:rPr>
          <w:sz w:val="24"/>
          <w:szCs w:val="24"/>
        </w:rPr>
      </w:pPr>
      <w:r w:rsidRPr="00B915A7">
        <w:rPr>
          <w:sz w:val="24"/>
          <w:szCs w:val="24"/>
          <w:lang w:val="fr-LU"/>
        </w:rPr>
        <w:t>Når alle kamre er blandet og aluminiumsforseglingerne er fjernet (figur 3A),</w:t>
      </w:r>
      <w:r w:rsidRPr="00B915A7">
        <w:rPr>
          <w:sz w:val="24"/>
          <w:szCs w:val="24"/>
        </w:rPr>
        <w:t xml:space="preserve"> kan </w:t>
      </w:r>
      <w:r w:rsidRPr="00B915A7">
        <w:rPr>
          <w:sz w:val="24"/>
          <w:szCs w:val="24"/>
          <w:lang w:val="fr-LU"/>
        </w:rPr>
        <w:t xml:space="preserve">man </w:t>
      </w:r>
      <w:r w:rsidRPr="00B915A7">
        <w:rPr>
          <w:sz w:val="24"/>
          <w:szCs w:val="24"/>
        </w:rPr>
        <w:t xml:space="preserve">tilføje forligelige tilsætningsstoffer via tilsætningsporten (fig. 4). Bland indholdet grundigt (fig. 5) og inspicer blandingen visuelt (fig. 6). Blandingen er en mælkehvid homogen olie-i-vand-emulsion. </w:t>
      </w:r>
    </w:p>
    <w:p w:rsidR="00B915A7" w:rsidRPr="00B915A7" w:rsidRDefault="00B915A7" w:rsidP="00B915A7">
      <w:pPr>
        <w:ind w:left="851"/>
        <w:rPr>
          <w:sz w:val="24"/>
          <w:szCs w:val="24"/>
        </w:rPr>
      </w:pPr>
      <w:r w:rsidRPr="00B915A7">
        <w:rPr>
          <w:sz w:val="24"/>
          <w:szCs w:val="24"/>
        </w:rPr>
        <w:t>Der må ikke være tegn på faseseparering af emulsionen.</w:t>
      </w:r>
    </w:p>
    <w:p w:rsidR="00B915A7" w:rsidRPr="00B915A7" w:rsidRDefault="00B915A7" w:rsidP="00B915A7"/>
    <w:p w:rsidR="00B915A7" w:rsidRPr="00B915A7" w:rsidRDefault="00B915A7" w:rsidP="00B915A7">
      <w:pPr>
        <w:ind w:left="851"/>
      </w:pPr>
      <w:r>
        <w:rPr>
          <w:noProof/>
        </w:rPr>
        <w:drawing>
          <wp:inline distT="0" distB="0" distL="0" distR="0">
            <wp:extent cx="5762625" cy="1595120"/>
            <wp:effectExtent l="0" t="0" r="9525" b="5080"/>
            <wp:docPr id="11" name="Billede 11" descr="A drawing of a cd 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A drawing of a cd cas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1595120"/>
                    </a:xfrm>
                    <a:prstGeom prst="rect">
                      <a:avLst/>
                    </a:prstGeom>
                    <a:noFill/>
                    <a:ln>
                      <a:noFill/>
                    </a:ln>
                  </pic:spPr>
                </pic:pic>
              </a:graphicData>
            </a:graphic>
          </wp:inline>
        </w:drawing>
      </w:r>
    </w:p>
    <w:p w:rsidR="00B915A7" w:rsidRPr="00B915A7" w:rsidRDefault="00B915A7" w:rsidP="00B915A7">
      <w:pPr>
        <w:tabs>
          <w:tab w:val="left" w:pos="567"/>
          <w:tab w:val="left" w:pos="851"/>
          <w:tab w:val="left" w:pos="2835"/>
          <w:tab w:val="left" w:pos="5103"/>
        </w:tabs>
      </w:pPr>
    </w:p>
    <w:p w:rsidR="00B915A7" w:rsidRDefault="00B915A7" w:rsidP="00B915A7">
      <w:pPr>
        <w:pStyle w:val="Brdtekstindrykning"/>
        <w:tabs>
          <w:tab w:val="clear" w:pos="851"/>
          <w:tab w:val="left" w:pos="1304"/>
        </w:tabs>
        <w:jc w:val="left"/>
        <w:rPr>
          <w:rFonts w:ascii="Times New Roman" w:hAnsi="Times New Roman"/>
          <w:sz w:val="20"/>
        </w:rPr>
      </w:pPr>
    </w:p>
    <w:p w:rsidR="00687AEA" w:rsidRPr="00B915A7" w:rsidRDefault="00B915A7" w:rsidP="00687AEA">
      <w:pPr>
        <w:pStyle w:val="Brdtekstindrykning"/>
        <w:tabs>
          <w:tab w:val="clear" w:pos="851"/>
          <w:tab w:val="left" w:pos="1304"/>
        </w:tabs>
        <w:jc w:val="left"/>
        <w:rPr>
          <w:rFonts w:ascii="Times New Roman" w:hAnsi="Times New Roman"/>
        </w:rPr>
      </w:pPr>
      <w:proofErr w:type="spellStart"/>
      <w:r w:rsidRPr="00B915A7">
        <w:rPr>
          <w:rFonts w:ascii="Times New Roman" w:hAnsi="Times New Roman"/>
        </w:rPr>
        <w:t>Nutriflex</w:t>
      </w:r>
      <w:proofErr w:type="spellEnd"/>
      <w:r w:rsidRPr="00B915A7">
        <w:rPr>
          <w:rFonts w:ascii="Times New Roman" w:hAnsi="Times New Roman"/>
        </w:rPr>
        <w:t xml:space="preserve"> Omega Special elektrolytfri kan blandes med følgende tilsætningsstoffer op til den nedenfor fastsatte øvre koncentrationsgrænse eller maksimale mængde af tilsætningsstoffer efter iblanding. De deraf følgende blandinger er stabile i 7 dage ved 2 til 8 °C og i yderligere 2 dage ved 25 °C.</w:t>
      </w:r>
    </w:p>
    <w:p w:rsidR="00B915A7" w:rsidRPr="00B915A7" w:rsidRDefault="00B915A7" w:rsidP="00B915A7">
      <w:pPr>
        <w:pStyle w:val="Brdtekstindrykning"/>
        <w:tabs>
          <w:tab w:val="clear" w:pos="851"/>
          <w:tab w:val="left" w:pos="1304"/>
        </w:tabs>
        <w:jc w:val="left"/>
        <w:rPr>
          <w:rFonts w:ascii="Times New Roman" w:hAnsi="Times New Roman"/>
        </w:rPr>
      </w:pPr>
    </w:p>
    <w:p w:rsidR="00B915A7" w:rsidRPr="00B915A7" w:rsidRDefault="00B915A7" w:rsidP="00B915A7">
      <w:pPr>
        <w:pStyle w:val="Brdtekstindrykning"/>
        <w:numPr>
          <w:ilvl w:val="0"/>
          <w:numId w:val="10"/>
        </w:numPr>
        <w:tabs>
          <w:tab w:val="clear" w:pos="851"/>
          <w:tab w:val="left" w:pos="1304"/>
        </w:tabs>
        <w:ind w:left="851"/>
        <w:jc w:val="left"/>
        <w:rPr>
          <w:rFonts w:ascii="Times New Roman" w:hAnsi="Times New Roman"/>
        </w:rPr>
      </w:pPr>
      <w:r w:rsidRPr="00B915A7">
        <w:rPr>
          <w:rFonts w:ascii="Times New Roman" w:hAnsi="Times New Roman"/>
        </w:rPr>
        <w:t>Elektrolytter: Stabilitet er påvist ved en mængde på i alt 200 mmol/l natrium + kalium (total), 9,6 mmol/l magnesium og 6,4 mmol/l calcium i den ternære blanding.</w:t>
      </w:r>
    </w:p>
    <w:p w:rsidR="00B915A7" w:rsidRPr="00B915A7" w:rsidRDefault="00B915A7" w:rsidP="00B915A7">
      <w:pPr>
        <w:pStyle w:val="Brdtekstindrykning"/>
        <w:tabs>
          <w:tab w:val="clear" w:pos="851"/>
          <w:tab w:val="left" w:pos="1304"/>
        </w:tabs>
        <w:jc w:val="left"/>
        <w:rPr>
          <w:rFonts w:ascii="Times New Roman" w:hAnsi="Times New Roman"/>
        </w:rPr>
      </w:pPr>
    </w:p>
    <w:p w:rsidR="00B915A7" w:rsidRPr="00B915A7" w:rsidRDefault="00B915A7" w:rsidP="00B915A7">
      <w:pPr>
        <w:pStyle w:val="Brdtekstindrykning"/>
        <w:numPr>
          <w:ilvl w:val="0"/>
          <w:numId w:val="10"/>
        </w:numPr>
        <w:tabs>
          <w:tab w:val="clear" w:pos="851"/>
          <w:tab w:val="left" w:pos="1304"/>
        </w:tabs>
        <w:ind w:left="851"/>
        <w:jc w:val="left"/>
        <w:rPr>
          <w:rFonts w:ascii="Times New Roman" w:hAnsi="Times New Roman"/>
        </w:rPr>
      </w:pPr>
      <w:proofErr w:type="spellStart"/>
      <w:r w:rsidRPr="00B915A7">
        <w:rPr>
          <w:rFonts w:ascii="Times New Roman" w:hAnsi="Times New Roman"/>
        </w:rPr>
        <w:t>Phosphat</w:t>
      </w:r>
      <w:proofErr w:type="spellEnd"/>
      <w:r w:rsidRPr="00B915A7">
        <w:rPr>
          <w:rFonts w:ascii="Times New Roman" w:hAnsi="Times New Roman"/>
        </w:rPr>
        <w:t xml:space="preserve">: Stabilitet er påvist ved en maksimal koncentration på op til 20 mmol/l for uorganisk </w:t>
      </w:r>
      <w:proofErr w:type="spellStart"/>
      <w:r w:rsidRPr="00B915A7">
        <w:rPr>
          <w:rFonts w:ascii="Times New Roman" w:hAnsi="Times New Roman"/>
        </w:rPr>
        <w:t>phosphat</w:t>
      </w:r>
      <w:proofErr w:type="spellEnd"/>
      <w:r w:rsidRPr="00B915A7">
        <w:rPr>
          <w:rFonts w:ascii="Times New Roman" w:hAnsi="Times New Roman"/>
        </w:rPr>
        <w:t xml:space="preserve"> eller ved en maksimal koncentration på op til 30 mmol/l for organisk </w:t>
      </w:r>
      <w:proofErr w:type="spellStart"/>
      <w:r w:rsidRPr="00B915A7">
        <w:rPr>
          <w:rFonts w:ascii="Times New Roman" w:hAnsi="Times New Roman"/>
        </w:rPr>
        <w:t>phosphat</w:t>
      </w:r>
      <w:proofErr w:type="spellEnd"/>
      <w:r w:rsidRPr="00B915A7">
        <w:rPr>
          <w:rFonts w:ascii="Times New Roman" w:hAnsi="Times New Roman"/>
        </w:rPr>
        <w:t xml:space="preserve"> (ikke begge samtidigt).</w:t>
      </w:r>
    </w:p>
    <w:p w:rsidR="00B915A7" w:rsidRPr="00B915A7" w:rsidRDefault="00B915A7" w:rsidP="00B915A7">
      <w:pPr>
        <w:pStyle w:val="Listeafsnit"/>
        <w:ind w:left="851"/>
        <w:rPr>
          <w:sz w:val="24"/>
        </w:rPr>
      </w:pPr>
    </w:p>
    <w:p w:rsidR="00B915A7" w:rsidRPr="00B915A7" w:rsidRDefault="00B915A7" w:rsidP="00B915A7">
      <w:pPr>
        <w:pStyle w:val="Brdtekstindrykning"/>
        <w:numPr>
          <w:ilvl w:val="0"/>
          <w:numId w:val="10"/>
        </w:numPr>
        <w:tabs>
          <w:tab w:val="clear" w:pos="851"/>
          <w:tab w:val="left" w:pos="1304"/>
        </w:tabs>
        <w:ind w:left="851"/>
        <w:jc w:val="left"/>
        <w:rPr>
          <w:rFonts w:ascii="Times New Roman" w:hAnsi="Times New Roman"/>
        </w:rPr>
      </w:pPr>
      <w:proofErr w:type="spellStart"/>
      <w:r w:rsidRPr="00B915A7">
        <w:rPr>
          <w:rFonts w:ascii="Times New Roman" w:hAnsi="Times New Roman"/>
        </w:rPr>
        <w:t>Alanyl-glutamin</w:t>
      </w:r>
      <w:proofErr w:type="spellEnd"/>
      <w:r w:rsidRPr="00B915A7">
        <w:rPr>
          <w:rFonts w:ascii="Times New Roman" w:hAnsi="Times New Roman"/>
        </w:rPr>
        <w:t xml:space="preserve"> op til 24 g/l.</w:t>
      </w:r>
    </w:p>
    <w:p w:rsidR="00B915A7" w:rsidRPr="00B915A7" w:rsidRDefault="00B915A7" w:rsidP="00B915A7">
      <w:pPr>
        <w:pStyle w:val="Listeafsnit"/>
        <w:ind w:left="851"/>
        <w:rPr>
          <w:sz w:val="24"/>
        </w:rPr>
      </w:pPr>
    </w:p>
    <w:p w:rsidR="00B915A7" w:rsidRPr="00B915A7" w:rsidRDefault="00B915A7" w:rsidP="00B915A7">
      <w:pPr>
        <w:pStyle w:val="Brdtekstindrykning"/>
        <w:numPr>
          <w:ilvl w:val="0"/>
          <w:numId w:val="10"/>
        </w:numPr>
        <w:tabs>
          <w:tab w:val="clear" w:pos="851"/>
          <w:tab w:val="left" w:pos="1304"/>
        </w:tabs>
        <w:ind w:left="851"/>
        <w:jc w:val="left"/>
      </w:pPr>
      <w:r w:rsidRPr="00B915A7">
        <w:rPr>
          <w:rFonts w:ascii="Times New Roman" w:hAnsi="Times New Roman"/>
        </w:rPr>
        <w:t xml:space="preserve">Sporstoffer og vitaminer: Stabilitet er påvist med markedsførte produkter, der indeholder flere sporstoffer og multivitaminer (f.eks. </w:t>
      </w:r>
      <w:proofErr w:type="spellStart"/>
      <w:r w:rsidRPr="00B915A7">
        <w:rPr>
          <w:rFonts w:ascii="Times New Roman" w:hAnsi="Times New Roman"/>
        </w:rPr>
        <w:t>Tracutil</w:t>
      </w:r>
      <w:proofErr w:type="spellEnd"/>
      <w:r w:rsidRPr="00B915A7">
        <w:rPr>
          <w:rFonts w:ascii="Times New Roman" w:hAnsi="Times New Roman"/>
        </w:rPr>
        <w:t xml:space="preserve">, </w:t>
      </w:r>
      <w:proofErr w:type="spellStart"/>
      <w:r w:rsidRPr="00B915A7">
        <w:rPr>
          <w:rFonts w:ascii="Times New Roman" w:hAnsi="Times New Roman"/>
        </w:rPr>
        <w:t>Cernevit</w:t>
      </w:r>
      <w:proofErr w:type="spellEnd"/>
      <w:r w:rsidRPr="00B915A7">
        <w:rPr>
          <w:rFonts w:ascii="Times New Roman" w:hAnsi="Times New Roman"/>
        </w:rPr>
        <w:t>) op til den standarddosering af mikronæringsstof, som anbefales af den respektive fremstiller.</w:t>
      </w:r>
    </w:p>
    <w:p w:rsidR="00B915A7" w:rsidRPr="00B915A7" w:rsidRDefault="00B915A7" w:rsidP="00B915A7">
      <w:pPr>
        <w:pStyle w:val="Brdtekstindrykning"/>
        <w:tabs>
          <w:tab w:val="clear" w:pos="851"/>
          <w:tab w:val="left" w:pos="1304"/>
        </w:tabs>
        <w:jc w:val="left"/>
        <w:rPr>
          <w:rFonts w:ascii="Times New Roman" w:hAnsi="Times New Roman"/>
        </w:rPr>
      </w:pPr>
    </w:p>
    <w:p w:rsidR="00B915A7" w:rsidRPr="00B915A7" w:rsidRDefault="00B915A7" w:rsidP="00B915A7">
      <w:pPr>
        <w:pStyle w:val="Brdtekstindrykning"/>
        <w:tabs>
          <w:tab w:val="clear" w:pos="851"/>
          <w:tab w:val="left" w:pos="1304"/>
        </w:tabs>
        <w:jc w:val="left"/>
        <w:rPr>
          <w:rFonts w:ascii="Times New Roman" w:hAnsi="Times New Roman"/>
        </w:rPr>
      </w:pPr>
      <w:r w:rsidRPr="00B915A7">
        <w:rPr>
          <w:rFonts w:ascii="Times New Roman" w:hAnsi="Times New Roman"/>
        </w:rPr>
        <w:t>Detaljerede oplysninger om ovennævnte tilsætningsstoffer og holdbarheden efter iblanding af disse kan fås hos fremstilleren.</w:t>
      </w:r>
    </w:p>
    <w:p w:rsidR="00B915A7" w:rsidRPr="00B915A7" w:rsidRDefault="00B915A7" w:rsidP="00B915A7">
      <w:pPr>
        <w:pStyle w:val="Brdtekstindrykning"/>
        <w:tabs>
          <w:tab w:val="clear" w:pos="851"/>
          <w:tab w:val="left" w:pos="1304"/>
        </w:tabs>
        <w:jc w:val="left"/>
        <w:rPr>
          <w:rFonts w:ascii="Times New Roman" w:hAnsi="Times New Roman"/>
        </w:rPr>
      </w:pPr>
    </w:p>
    <w:p w:rsidR="00B915A7" w:rsidRPr="00B915A7" w:rsidRDefault="00B915A7" w:rsidP="00B915A7">
      <w:pPr>
        <w:pStyle w:val="Brdtekstindrykning"/>
        <w:tabs>
          <w:tab w:val="clear" w:pos="851"/>
          <w:tab w:val="left" w:pos="1304"/>
        </w:tabs>
        <w:jc w:val="left"/>
        <w:rPr>
          <w:rFonts w:ascii="Times New Roman" w:hAnsi="Times New Roman"/>
          <w:i/>
          <w:u w:val="single"/>
        </w:rPr>
      </w:pPr>
      <w:r w:rsidRPr="00B915A7">
        <w:rPr>
          <w:rFonts w:ascii="Times New Roman" w:hAnsi="Times New Roman"/>
          <w:i/>
          <w:u w:val="single"/>
        </w:rPr>
        <w:t>Forberedelse til infusion</w:t>
      </w:r>
    </w:p>
    <w:p w:rsidR="00B915A7" w:rsidRPr="00B915A7" w:rsidRDefault="00B915A7" w:rsidP="00B915A7">
      <w:pPr>
        <w:pStyle w:val="Brdtekstindrykning"/>
        <w:tabs>
          <w:tab w:val="clear" w:pos="851"/>
          <w:tab w:val="left" w:pos="1304"/>
        </w:tabs>
        <w:jc w:val="left"/>
        <w:rPr>
          <w:rFonts w:ascii="Times New Roman" w:hAnsi="Times New Roman"/>
        </w:rPr>
      </w:pPr>
    </w:p>
    <w:p w:rsidR="00B915A7" w:rsidRPr="00B915A7" w:rsidRDefault="00B915A7" w:rsidP="00B915A7">
      <w:pPr>
        <w:pStyle w:val="Brdtekstindrykning"/>
        <w:tabs>
          <w:tab w:val="clear" w:pos="851"/>
          <w:tab w:val="left" w:pos="1304"/>
        </w:tabs>
        <w:jc w:val="left"/>
        <w:rPr>
          <w:rFonts w:ascii="Times New Roman" w:hAnsi="Times New Roman"/>
        </w:rPr>
      </w:pPr>
      <w:r w:rsidRPr="00B915A7">
        <w:rPr>
          <w:rFonts w:ascii="Times New Roman" w:hAnsi="Times New Roman"/>
        </w:rPr>
        <w:t>Emulsionen skal altid opnå stuetemperatur før infusion.</w:t>
      </w:r>
    </w:p>
    <w:p w:rsidR="00B915A7" w:rsidRPr="00B915A7" w:rsidRDefault="00B915A7" w:rsidP="00B915A7">
      <w:pPr>
        <w:pStyle w:val="Brdtekstindrykning"/>
        <w:tabs>
          <w:tab w:val="clear" w:pos="851"/>
          <w:tab w:val="left" w:pos="1304"/>
        </w:tabs>
        <w:jc w:val="left"/>
        <w:rPr>
          <w:rFonts w:ascii="Times New Roman" w:hAnsi="Times New Roman"/>
        </w:rPr>
      </w:pPr>
    </w:p>
    <w:p w:rsidR="00B915A7" w:rsidRPr="00B915A7" w:rsidRDefault="00B915A7" w:rsidP="00B915A7">
      <w:pPr>
        <w:pStyle w:val="Brdtekstindrykning"/>
        <w:tabs>
          <w:tab w:val="clear" w:pos="851"/>
          <w:tab w:val="left" w:pos="1304"/>
        </w:tabs>
        <w:jc w:val="left"/>
        <w:rPr>
          <w:rFonts w:ascii="Times New Roman" w:hAnsi="Times New Roman"/>
        </w:rPr>
      </w:pPr>
      <w:r w:rsidRPr="00B915A7">
        <w:rPr>
          <w:rFonts w:ascii="Times New Roman" w:hAnsi="Times New Roman"/>
        </w:rPr>
        <w:lastRenderedPageBreak/>
        <w:t>Fjern aluminiumsfolien fra infusionsporten (figur 7), og tilslut infusionssættet (figur 8). Anvend et infusionssæt uden udluftning, eller luk luftventilen, hvis der anvendes et sæt med udluftning. Hæng posen på infusionsstativet (figur 9), og udfør infusionen med standardteknikken.</w:t>
      </w:r>
    </w:p>
    <w:p w:rsidR="00B915A7" w:rsidRPr="00B915A7" w:rsidRDefault="00AC2E34" w:rsidP="00B915A7">
      <w:pPr>
        <w:ind w:left="851"/>
        <w:rPr>
          <w:sz w:val="24"/>
        </w:rPr>
      </w:pPr>
      <w:r>
        <w:rPr>
          <w:noProof/>
        </w:rPr>
        <w:drawing>
          <wp:anchor distT="0" distB="0" distL="114300" distR="114300" simplePos="0" relativeHeight="251661312" behindDoc="0" locked="0" layoutInCell="1" allowOverlap="1">
            <wp:simplePos x="0" y="0"/>
            <wp:positionH relativeFrom="margin">
              <wp:posOffset>2490027</wp:posOffset>
            </wp:positionH>
            <wp:positionV relativeFrom="margin">
              <wp:posOffset>915980</wp:posOffset>
            </wp:positionV>
            <wp:extent cx="1903095" cy="1583690"/>
            <wp:effectExtent l="0" t="0" r="1905" b="0"/>
            <wp:wrapSquare wrapText="bothSides"/>
            <wp:docPr id="7" name="Billede 7" descr="A drawing of a hand holding a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A drawing of a hand holding a tool&#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3095" cy="158369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margin">
              <wp:posOffset>595423</wp:posOffset>
            </wp:positionH>
            <wp:positionV relativeFrom="margin">
              <wp:posOffset>915537</wp:posOffset>
            </wp:positionV>
            <wp:extent cx="1913890" cy="1605280"/>
            <wp:effectExtent l="0" t="0" r="0" b="0"/>
            <wp:wrapSquare wrapText="bothSides"/>
            <wp:docPr id="10" name="Billede 10" descr="A close-up of hands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A close-up of hands holding a piece of pap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3890" cy="1605280"/>
                    </a:xfrm>
                    <a:prstGeom prst="rect">
                      <a:avLst/>
                    </a:prstGeom>
                    <a:noFill/>
                    <a:ln>
                      <a:noFill/>
                    </a:ln>
                  </pic:spPr>
                </pic:pic>
              </a:graphicData>
            </a:graphic>
          </wp:anchor>
        </w:drawing>
      </w:r>
    </w:p>
    <w:p w:rsidR="00B915A7" w:rsidRDefault="00AC2E34" w:rsidP="00687AEA">
      <w:pPr>
        <w:ind w:left="851"/>
      </w:pPr>
      <w:r>
        <w:rPr>
          <w:noProof/>
        </w:rPr>
        <w:drawing>
          <wp:anchor distT="0" distB="0" distL="114300" distR="114300" simplePos="0" relativeHeight="251660288" behindDoc="0" locked="0" layoutInCell="1" allowOverlap="1">
            <wp:simplePos x="0" y="0"/>
            <wp:positionH relativeFrom="margin">
              <wp:posOffset>4438355</wp:posOffset>
            </wp:positionH>
            <wp:positionV relativeFrom="margin">
              <wp:posOffset>885515</wp:posOffset>
            </wp:positionV>
            <wp:extent cx="1903095" cy="1595120"/>
            <wp:effectExtent l="0" t="0" r="1905" b="5080"/>
            <wp:wrapSquare wrapText="bothSides"/>
            <wp:docPr id="6" name="Billede 6" descr="A drawing of hands holding a white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descr="A drawing of hands holding a white bag&#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3095" cy="1595120"/>
                    </a:xfrm>
                    <a:prstGeom prst="rect">
                      <a:avLst/>
                    </a:prstGeom>
                    <a:noFill/>
                    <a:ln>
                      <a:noFill/>
                    </a:ln>
                  </pic:spPr>
                </pic:pic>
              </a:graphicData>
            </a:graphic>
          </wp:anchor>
        </w:drawing>
      </w:r>
    </w:p>
    <w:p w:rsidR="00B915A7" w:rsidRDefault="00B915A7" w:rsidP="00B915A7">
      <w:pPr>
        <w:pStyle w:val="Brdtekstindrykning"/>
        <w:tabs>
          <w:tab w:val="clear" w:pos="851"/>
          <w:tab w:val="left" w:pos="1304"/>
        </w:tabs>
        <w:jc w:val="left"/>
        <w:rPr>
          <w:rFonts w:ascii="Times New Roman" w:hAnsi="Times New Roman"/>
          <w:sz w:val="20"/>
        </w:rPr>
      </w:pPr>
    </w:p>
    <w:p w:rsidR="00B915A7" w:rsidRPr="00AC2E34" w:rsidRDefault="00B915A7" w:rsidP="00AC2E34">
      <w:pPr>
        <w:pStyle w:val="Brdtekstindrykning"/>
        <w:tabs>
          <w:tab w:val="clear" w:pos="851"/>
          <w:tab w:val="left" w:pos="1304"/>
        </w:tabs>
        <w:jc w:val="left"/>
        <w:rPr>
          <w:rFonts w:ascii="Times New Roman" w:hAnsi="Times New Roman"/>
        </w:rPr>
      </w:pPr>
      <w:r w:rsidRPr="00AC2E34">
        <w:rPr>
          <w:rFonts w:ascii="Times New Roman" w:hAnsi="Times New Roman"/>
        </w:rPr>
        <w:t>Kun til engangsbrug. Beholderen og ubrugte rester skal bortskaffes efter brug.</w:t>
      </w:r>
    </w:p>
    <w:p w:rsidR="00B915A7" w:rsidRPr="00AC2E34" w:rsidRDefault="00B915A7" w:rsidP="00AC2E34">
      <w:pPr>
        <w:pStyle w:val="Brdtekstindrykning"/>
        <w:tabs>
          <w:tab w:val="clear" w:pos="851"/>
          <w:tab w:val="left" w:pos="1304"/>
        </w:tabs>
        <w:jc w:val="left"/>
        <w:rPr>
          <w:rFonts w:ascii="Times New Roman" w:hAnsi="Times New Roman"/>
        </w:rPr>
      </w:pPr>
    </w:p>
    <w:p w:rsidR="00B915A7" w:rsidRPr="00AC2E34" w:rsidRDefault="00B915A7" w:rsidP="00AC2E34">
      <w:pPr>
        <w:pStyle w:val="Brdtekstindrykning"/>
        <w:tabs>
          <w:tab w:val="clear" w:pos="851"/>
          <w:tab w:val="left" w:pos="1304"/>
        </w:tabs>
        <w:jc w:val="left"/>
        <w:rPr>
          <w:rFonts w:ascii="Times New Roman" w:hAnsi="Times New Roman"/>
        </w:rPr>
      </w:pPr>
      <w:r w:rsidRPr="00AC2E34">
        <w:rPr>
          <w:rFonts w:ascii="Times New Roman" w:hAnsi="Times New Roman"/>
        </w:rPr>
        <w:t>Ikke anvendt lægemiddel samt affald heraf skal bortskaffes i henhold til lokale retningslinjer.</w:t>
      </w:r>
    </w:p>
    <w:p w:rsidR="00B915A7" w:rsidRPr="00AC2E34" w:rsidRDefault="00B915A7" w:rsidP="00AC2E34">
      <w:pPr>
        <w:pStyle w:val="Brdtekstindrykning"/>
        <w:tabs>
          <w:tab w:val="clear" w:pos="851"/>
          <w:tab w:val="left" w:pos="1304"/>
        </w:tabs>
        <w:jc w:val="left"/>
        <w:rPr>
          <w:rFonts w:ascii="Times New Roman" w:hAnsi="Times New Roman"/>
        </w:rPr>
      </w:pPr>
    </w:p>
    <w:p w:rsidR="00B915A7" w:rsidRPr="00AC2E34" w:rsidRDefault="00B915A7" w:rsidP="00AC2E34">
      <w:pPr>
        <w:pStyle w:val="Brdtekstindrykning"/>
        <w:tabs>
          <w:tab w:val="clear" w:pos="851"/>
          <w:tab w:val="left" w:pos="1304"/>
        </w:tabs>
        <w:jc w:val="left"/>
        <w:rPr>
          <w:rFonts w:ascii="Times New Roman" w:hAnsi="Times New Roman"/>
        </w:rPr>
      </w:pPr>
      <w:r w:rsidRPr="00AC2E34">
        <w:rPr>
          <w:rFonts w:ascii="Times New Roman" w:hAnsi="Times New Roman"/>
        </w:rPr>
        <w:t>Delvist brugte beholdere må ikke tilsluttes igen.</w:t>
      </w:r>
    </w:p>
    <w:p w:rsidR="00B915A7" w:rsidRPr="00AC2E34" w:rsidRDefault="00B915A7" w:rsidP="00AC2E34">
      <w:pPr>
        <w:pStyle w:val="Brdtekstindrykning"/>
        <w:tabs>
          <w:tab w:val="clear" w:pos="851"/>
          <w:tab w:val="left" w:pos="1304"/>
        </w:tabs>
        <w:jc w:val="left"/>
        <w:rPr>
          <w:rFonts w:ascii="Times New Roman" w:hAnsi="Times New Roman"/>
        </w:rPr>
      </w:pPr>
    </w:p>
    <w:p w:rsidR="00B915A7" w:rsidRPr="00AC2E34" w:rsidRDefault="00B915A7" w:rsidP="00AC2E34">
      <w:pPr>
        <w:pStyle w:val="Brdtekstindrykning"/>
        <w:tabs>
          <w:tab w:val="clear" w:pos="851"/>
          <w:tab w:val="left" w:pos="1304"/>
        </w:tabs>
        <w:jc w:val="left"/>
        <w:rPr>
          <w:rFonts w:ascii="Times New Roman" w:hAnsi="Times New Roman"/>
        </w:rPr>
      </w:pPr>
      <w:r w:rsidRPr="00AC2E34">
        <w:rPr>
          <w:rFonts w:ascii="Times New Roman" w:hAnsi="Times New Roman"/>
        </w:rPr>
        <w:t>Hvis der anvendes filtre, skal de være lipidpermeable (porestørrelse ≥ 1,2 µm).</w:t>
      </w:r>
    </w:p>
    <w:p w:rsidR="00B915A7" w:rsidRDefault="00B915A7" w:rsidP="00AC2E34">
      <w:pPr>
        <w:pStyle w:val="Brdtekstindrykning"/>
        <w:tabs>
          <w:tab w:val="clear" w:pos="851"/>
          <w:tab w:val="left" w:pos="1304"/>
        </w:tabs>
        <w:ind w:left="0"/>
        <w:jc w:val="left"/>
        <w:rPr>
          <w:rFonts w:ascii="Times New Roman" w:hAnsi="Times New Roman"/>
          <w:szCs w:val="24"/>
        </w:rPr>
      </w:pPr>
    </w:p>
    <w:p w:rsidR="00BE115E" w:rsidRPr="000375F3" w:rsidRDefault="00BE115E" w:rsidP="00BE115E">
      <w:pPr>
        <w:ind w:left="851"/>
        <w:jc w:val="both"/>
        <w:rPr>
          <w:sz w:val="24"/>
          <w:szCs w:val="24"/>
        </w:rPr>
      </w:pPr>
    </w:p>
    <w:p w:rsidR="00BE115E" w:rsidRPr="000375F3" w:rsidRDefault="00BE115E" w:rsidP="00BE115E">
      <w:pPr>
        <w:ind w:left="851" w:hanging="851"/>
        <w:rPr>
          <w:b/>
          <w:sz w:val="24"/>
          <w:szCs w:val="24"/>
        </w:rPr>
      </w:pPr>
      <w:r w:rsidRPr="000375F3">
        <w:rPr>
          <w:b/>
          <w:sz w:val="24"/>
          <w:szCs w:val="24"/>
        </w:rPr>
        <w:t>7.</w:t>
      </w:r>
      <w:r w:rsidRPr="000375F3">
        <w:rPr>
          <w:b/>
          <w:sz w:val="24"/>
          <w:szCs w:val="24"/>
        </w:rPr>
        <w:tab/>
        <w:t>INDEHAVER AF MARKEDSFØRINGSTILLADELSEN</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B. Braun Melsungen AG</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Carl-Braun-</w:t>
      </w:r>
      <w:proofErr w:type="spellStart"/>
      <w:r w:rsidRPr="000375F3">
        <w:rPr>
          <w:rFonts w:ascii="Times New Roman" w:hAnsi="Times New Roman"/>
          <w:szCs w:val="24"/>
        </w:rPr>
        <w:t>Stra</w:t>
      </w:r>
      <w:r w:rsidRPr="000375F3">
        <w:rPr>
          <w:rFonts w:ascii="Times New Roman" w:hAnsi="Times New Roman"/>
          <w:szCs w:val="24"/>
          <w:lang w:val="de-DE"/>
        </w:rPr>
        <w:t>sse</w:t>
      </w:r>
      <w:proofErr w:type="spellEnd"/>
      <w:r w:rsidRPr="000375F3">
        <w:rPr>
          <w:rFonts w:ascii="Times New Roman" w:hAnsi="Times New Roman"/>
          <w:szCs w:val="24"/>
        </w:rPr>
        <w:t xml:space="preserve"> 1</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34212 Melsungen</w:t>
      </w:r>
    </w:p>
    <w:p w:rsidR="00BE115E" w:rsidRPr="000375F3" w:rsidRDefault="00BE115E" w:rsidP="00BE115E">
      <w:pPr>
        <w:pStyle w:val="Brdtekstindrykning"/>
        <w:tabs>
          <w:tab w:val="clear" w:pos="851"/>
        </w:tabs>
        <w:jc w:val="left"/>
        <w:rPr>
          <w:rFonts w:ascii="Times New Roman" w:hAnsi="Times New Roman"/>
          <w:szCs w:val="24"/>
        </w:rPr>
      </w:pPr>
      <w:r w:rsidRPr="000375F3">
        <w:rPr>
          <w:rFonts w:ascii="Times New Roman" w:hAnsi="Times New Roman"/>
          <w:szCs w:val="24"/>
        </w:rPr>
        <w:t>Tyskland</w:t>
      </w:r>
    </w:p>
    <w:p w:rsidR="00BE115E" w:rsidRPr="000375F3" w:rsidRDefault="00BE115E" w:rsidP="00BE115E">
      <w:pPr>
        <w:pStyle w:val="Brdtekstindrykning"/>
        <w:tabs>
          <w:tab w:val="clear" w:pos="851"/>
        </w:tabs>
        <w:jc w:val="left"/>
        <w:rPr>
          <w:rFonts w:ascii="Times New Roman" w:hAnsi="Times New Roman"/>
          <w:szCs w:val="24"/>
        </w:rPr>
      </w:pPr>
    </w:p>
    <w:p w:rsidR="00BE115E" w:rsidRPr="000375F3" w:rsidRDefault="00BE115E" w:rsidP="00BE115E">
      <w:pPr>
        <w:pStyle w:val="Brdtekstindrykning"/>
        <w:tabs>
          <w:tab w:val="clear" w:pos="851"/>
        </w:tabs>
        <w:jc w:val="left"/>
        <w:rPr>
          <w:rFonts w:ascii="Times New Roman" w:hAnsi="Times New Roman"/>
          <w:b/>
          <w:szCs w:val="24"/>
        </w:rPr>
      </w:pPr>
      <w:r w:rsidRPr="000375F3">
        <w:rPr>
          <w:rFonts w:ascii="Times New Roman" w:hAnsi="Times New Roman"/>
          <w:b/>
          <w:szCs w:val="24"/>
        </w:rPr>
        <w:t>Repræsentant</w:t>
      </w:r>
    </w:p>
    <w:p w:rsidR="00BE115E" w:rsidRPr="00423C75" w:rsidRDefault="00BE115E" w:rsidP="00BE115E">
      <w:pPr>
        <w:pStyle w:val="Brdtekstindrykning"/>
        <w:tabs>
          <w:tab w:val="clear" w:pos="851"/>
        </w:tabs>
        <w:jc w:val="left"/>
        <w:rPr>
          <w:rFonts w:ascii="Times New Roman" w:hAnsi="Times New Roman"/>
          <w:szCs w:val="24"/>
          <w:lang w:val="en-US"/>
        </w:rPr>
      </w:pPr>
      <w:r w:rsidRPr="00423C75">
        <w:rPr>
          <w:rFonts w:ascii="Times New Roman" w:hAnsi="Times New Roman"/>
          <w:szCs w:val="24"/>
          <w:lang w:val="en-US"/>
        </w:rPr>
        <w:t>B. Braun Medical A/S</w:t>
      </w:r>
    </w:p>
    <w:p w:rsidR="00BE115E" w:rsidRPr="00423C75" w:rsidRDefault="00BE115E" w:rsidP="00BE115E">
      <w:pPr>
        <w:ind w:left="851"/>
        <w:rPr>
          <w:color w:val="000000"/>
          <w:sz w:val="24"/>
          <w:szCs w:val="24"/>
          <w:lang w:val="en-US"/>
        </w:rPr>
      </w:pPr>
      <w:proofErr w:type="spellStart"/>
      <w:r w:rsidRPr="00423C75">
        <w:rPr>
          <w:color w:val="000000"/>
          <w:sz w:val="24"/>
          <w:szCs w:val="24"/>
          <w:lang w:val="en-US"/>
        </w:rPr>
        <w:t>Dirch</w:t>
      </w:r>
      <w:proofErr w:type="spellEnd"/>
      <w:r w:rsidRPr="00423C75">
        <w:rPr>
          <w:color w:val="000000"/>
          <w:sz w:val="24"/>
          <w:szCs w:val="24"/>
          <w:lang w:val="en-US"/>
        </w:rPr>
        <w:t xml:space="preserve"> Passers </w:t>
      </w:r>
      <w:proofErr w:type="spellStart"/>
      <w:r w:rsidRPr="00423C75">
        <w:rPr>
          <w:color w:val="000000"/>
          <w:sz w:val="24"/>
          <w:szCs w:val="24"/>
          <w:lang w:val="en-US"/>
        </w:rPr>
        <w:t>Allé</w:t>
      </w:r>
      <w:proofErr w:type="spellEnd"/>
      <w:r w:rsidRPr="00423C75">
        <w:rPr>
          <w:color w:val="000000"/>
          <w:sz w:val="24"/>
          <w:szCs w:val="24"/>
          <w:lang w:val="en-US"/>
        </w:rPr>
        <w:t xml:space="preserve"> 27, 3. </w:t>
      </w:r>
      <w:proofErr w:type="spellStart"/>
      <w:r w:rsidRPr="00423C75">
        <w:rPr>
          <w:color w:val="000000"/>
          <w:sz w:val="24"/>
          <w:szCs w:val="24"/>
          <w:lang w:val="en-US"/>
        </w:rPr>
        <w:t>sal</w:t>
      </w:r>
      <w:proofErr w:type="spellEnd"/>
    </w:p>
    <w:p w:rsidR="00BE115E" w:rsidRPr="00F15A87" w:rsidRDefault="00BE115E" w:rsidP="00BE115E">
      <w:pPr>
        <w:ind w:left="851"/>
        <w:rPr>
          <w:sz w:val="24"/>
          <w:szCs w:val="24"/>
        </w:rPr>
      </w:pPr>
      <w:r w:rsidRPr="00F15A87">
        <w:rPr>
          <w:sz w:val="24"/>
          <w:szCs w:val="24"/>
        </w:rPr>
        <w:t>2000 Frederiksberg</w:t>
      </w:r>
    </w:p>
    <w:p w:rsidR="00BE115E" w:rsidRPr="00F15A87"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8.</w:t>
      </w:r>
      <w:r w:rsidRPr="000375F3">
        <w:rPr>
          <w:b/>
          <w:sz w:val="24"/>
          <w:szCs w:val="24"/>
        </w:rPr>
        <w:tab/>
        <w:t>MARKEDSFØRINGSTILLADELSESNUMMER (</w:t>
      </w:r>
      <w:r w:rsidR="00AC2E34">
        <w:rPr>
          <w:b/>
          <w:sz w:val="24"/>
          <w:szCs w:val="24"/>
        </w:rPr>
        <w:t>-</w:t>
      </w:r>
      <w:r w:rsidRPr="000375F3">
        <w:rPr>
          <w:b/>
          <w:sz w:val="24"/>
          <w:szCs w:val="24"/>
        </w:rPr>
        <w:t>NUMRE)</w:t>
      </w:r>
    </w:p>
    <w:p w:rsidR="00BE115E" w:rsidRPr="000375F3" w:rsidRDefault="00BE115E" w:rsidP="00BE115E">
      <w:pPr>
        <w:ind w:left="851"/>
        <w:rPr>
          <w:sz w:val="24"/>
          <w:szCs w:val="24"/>
        </w:rPr>
      </w:pPr>
      <w:r w:rsidRPr="000375F3">
        <w:rPr>
          <w:sz w:val="24"/>
          <w:szCs w:val="24"/>
        </w:rPr>
        <w:t>54617</w:t>
      </w:r>
    </w:p>
    <w:p w:rsidR="00BE115E" w:rsidRPr="000375F3" w:rsidRDefault="00BE115E" w:rsidP="00BE115E">
      <w:pPr>
        <w:ind w:left="851"/>
        <w:jc w:val="both"/>
        <w:rPr>
          <w:sz w:val="24"/>
          <w:szCs w:val="24"/>
        </w:rPr>
      </w:pPr>
    </w:p>
    <w:p w:rsidR="00BE115E" w:rsidRPr="000375F3" w:rsidRDefault="00BE115E" w:rsidP="00BE115E">
      <w:pPr>
        <w:ind w:left="851" w:hanging="851"/>
        <w:rPr>
          <w:b/>
          <w:sz w:val="24"/>
          <w:szCs w:val="24"/>
        </w:rPr>
      </w:pPr>
      <w:r w:rsidRPr="000375F3">
        <w:rPr>
          <w:b/>
          <w:sz w:val="24"/>
          <w:szCs w:val="24"/>
        </w:rPr>
        <w:t>9.</w:t>
      </w:r>
      <w:r w:rsidRPr="000375F3">
        <w:rPr>
          <w:b/>
          <w:sz w:val="24"/>
          <w:szCs w:val="24"/>
        </w:rPr>
        <w:tab/>
        <w:t>DATO FOR FØRSTE MARKEDSFØRINGSTILLADELSE</w:t>
      </w:r>
    </w:p>
    <w:p w:rsidR="00BE115E" w:rsidRPr="000375F3" w:rsidRDefault="00BE115E" w:rsidP="00BE115E">
      <w:pPr>
        <w:ind w:left="851"/>
        <w:rPr>
          <w:sz w:val="24"/>
          <w:szCs w:val="24"/>
        </w:rPr>
      </w:pPr>
      <w:r w:rsidRPr="000375F3">
        <w:rPr>
          <w:sz w:val="24"/>
          <w:szCs w:val="24"/>
        </w:rPr>
        <w:t>3. janua</w:t>
      </w:r>
      <w:bookmarkStart w:id="2" w:name="_GoBack"/>
      <w:bookmarkEnd w:id="2"/>
      <w:r w:rsidRPr="000375F3">
        <w:rPr>
          <w:sz w:val="24"/>
          <w:szCs w:val="24"/>
        </w:rPr>
        <w:t>r 2017</w:t>
      </w:r>
    </w:p>
    <w:p w:rsidR="00BE115E" w:rsidRPr="000375F3" w:rsidRDefault="00BE115E" w:rsidP="00BE115E">
      <w:pPr>
        <w:ind w:left="851"/>
        <w:rPr>
          <w:sz w:val="24"/>
          <w:szCs w:val="24"/>
        </w:rPr>
      </w:pPr>
    </w:p>
    <w:p w:rsidR="00BE115E" w:rsidRPr="000375F3" w:rsidRDefault="00BE115E" w:rsidP="00BE115E">
      <w:pPr>
        <w:ind w:left="851" w:hanging="851"/>
        <w:rPr>
          <w:b/>
          <w:sz w:val="24"/>
          <w:szCs w:val="24"/>
        </w:rPr>
      </w:pPr>
      <w:r w:rsidRPr="000375F3">
        <w:rPr>
          <w:b/>
          <w:sz w:val="24"/>
          <w:szCs w:val="24"/>
        </w:rPr>
        <w:t>10.</w:t>
      </w:r>
      <w:r w:rsidRPr="000375F3">
        <w:rPr>
          <w:b/>
          <w:sz w:val="24"/>
          <w:szCs w:val="24"/>
        </w:rPr>
        <w:tab/>
        <w:t>DATO FOR ÆNDRING AF TEKSTEN</w:t>
      </w:r>
    </w:p>
    <w:p w:rsidR="00BE115E" w:rsidRPr="000375F3" w:rsidRDefault="00AC2E34" w:rsidP="00BE115E">
      <w:pPr>
        <w:ind w:left="851"/>
        <w:rPr>
          <w:sz w:val="24"/>
          <w:szCs w:val="24"/>
        </w:rPr>
      </w:pPr>
      <w:r>
        <w:rPr>
          <w:sz w:val="24"/>
          <w:szCs w:val="24"/>
        </w:rPr>
        <w:t>27</w:t>
      </w:r>
      <w:r w:rsidR="00C13147">
        <w:rPr>
          <w:sz w:val="24"/>
          <w:szCs w:val="24"/>
        </w:rPr>
        <w:t>. ju</w:t>
      </w:r>
      <w:r>
        <w:rPr>
          <w:sz w:val="24"/>
          <w:szCs w:val="24"/>
        </w:rPr>
        <w:t>n</w:t>
      </w:r>
      <w:r w:rsidR="00C13147">
        <w:rPr>
          <w:sz w:val="24"/>
          <w:szCs w:val="24"/>
        </w:rPr>
        <w:t>i 202</w:t>
      </w:r>
      <w:r>
        <w:rPr>
          <w:sz w:val="24"/>
          <w:szCs w:val="24"/>
        </w:rPr>
        <w:t>4</w:t>
      </w:r>
    </w:p>
    <w:p w:rsidR="00BE115E" w:rsidRPr="00336BF1" w:rsidRDefault="00BE115E" w:rsidP="00BE115E"/>
    <w:p w:rsidR="00BE115E" w:rsidRPr="00E92CD3" w:rsidRDefault="00BE115E" w:rsidP="00BE115E"/>
    <w:p w:rsidR="009260DE" w:rsidRPr="00BE115E" w:rsidRDefault="009260DE" w:rsidP="00BE115E"/>
    <w:sectPr w:rsidR="009260DE" w:rsidRPr="00BE115E"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99C" w:rsidRDefault="009B199C">
      <w:r>
        <w:separator/>
      </w:r>
    </w:p>
  </w:endnote>
  <w:endnote w:type="continuationSeparator" w:id="0">
    <w:p w:rsidR="009B199C" w:rsidRDefault="009B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9C" w:rsidRDefault="009B199C">
    <w:pPr>
      <w:pStyle w:val="Sidefod"/>
      <w:pBdr>
        <w:bottom w:val="single" w:sz="6" w:space="1" w:color="auto"/>
      </w:pBdr>
    </w:pPr>
  </w:p>
  <w:p w:rsidR="009B199C" w:rsidRDefault="009B199C" w:rsidP="00C42586">
    <w:pPr>
      <w:pStyle w:val="Sidefod"/>
      <w:tabs>
        <w:tab w:val="clear" w:pos="4819"/>
        <w:tab w:val="left" w:pos="8505"/>
      </w:tabs>
      <w:rPr>
        <w:i/>
        <w:sz w:val="18"/>
        <w:szCs w:val="18"/>
      </w:rPr>
    </w:pPr>
  </w:p>
  <w:p w:rsidR="009B199C" w:rsidRPr="00B373D7" w:rsidRDefault="009B199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Nutriflex Omega Special elektrolytfri,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99C" w:rsidRDefault="009B199C">
      <w:r>
        <w:separator/>
      </w:r>
    </w:p>
  </w:footnote>
  <w:footnote w:type="continuationSeparator" w:id="0">
    <w:p w:rsidR="009B199C" w:rsidRDefault="009B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11C9"/>
    <w:multiLevelType w:val="hybridMultilevel"/>
    <w:tmpl w:val="16AC2EA8"/>
    <w:lvl w:ilvl="0" w:tplc="6714D578">
      <w:start w:val="5"/>
      <w:numFmt w:val="bullet"/>
      <w:lvlText w:val="-"/>
      <w:lvlJc w:val="left"/>
      <w:pPr>
        <w:tabs>
          <w:tab w:val="num" w:pos="1211"/>
        </w:tabs>
        <w:ind w:left="1211" w:hanging="360"/>
      </w:pPr>
      <w:rPr>
        <w:rFonts w:ascii="Times New Roman" w:eastAsia="Times New Roman" w:hAnsi="Times New Roman" w:cs="Times New Roman"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181842"/>
    <w:multiLevelType w:val="hybridMultilevel"/>
    <w:tmpl w:val="B09CC472"/>
    <w:lvl w:ilvl="0" w:tplc="04060001">
      <w:start w:val="1"/>
      <w:numFmt w:val="bullet"/>
      <w:lvlText w:val=""/>
      <w:lvlJc w:val="left"/>
      <w:pPr>
        <w:ind w:left="1782" w:hanging="360"/>
      </w:pPr>
      <w:rPr>
        <w:rFonts w:ascii="Symbol" w:hAnsi="Symbol" w:hint="default"/>
      </w:rPr>
    </w:lvl>
    <w:lvl w:ilvl="1" w:tplc="04060003">
      <w:start w:val="1"/>
      <w:numFmt w:val="bullet"/>
      <w:lvlText w:val="o"/>
      <w:lvlJc w:val="left"/>
      <w:pPr>
        <w:ind w:left="2502" w:hanging="360"/>
      </w:pPr>
      <w:rPr>
        <w:rFonts w:ascii="Courier New" w:hAnsi="Courier New" w:cs="Courier New" w:hint="default"/>
      </w:rPr>
    </w:lvl>
    <w:lvl w:ilvl="2" w:tplc="04060005">
      <w:start w:val="1"/>
      <w:numFmt w:val="bullet"/>
      <w:lvlText w:val=""/>
      <w:lvlJc w:val="left"/>
      <w:pPr>
        <w:ind w:left="3222" w:hanging="360"/>
      </w:pPr>
      <w:rPr>
        <w:rFonts w:ascii="Wingdings" w:hAnsi="Wingdings" w:hint="default"/>
      </w:rPr>
    </w:lvl>
    <w:lvl w:ilvl="3" w:tplc="04060001">
      <w:start w:val="1"/>
      <w:numFmt w:val="bullet"/>
      <w:lvlText w:val=""/>
      <w:lvlJc w:val="left"/>
      <w:pPr>
        <w:ind w:left="3942" w:hanging="360"/>
      </w:pPr>
      <w:rPr>
        <w:rFonts w:ascii="Symbol" w:hAnsi="Symbol" w:hint="default"/>
      </w:rPr>
    </w:lvl>
    <w:lvl w:ilvl="4" w:tplc="04060003">
      <w:start w:val="1"/>
      <w:numFmt w:val="bullet"/>
      <w:lvlText w:val="o"/>
      <w:lvlJc w:val="left"/>
      <w:pPr>
        <w:ind w:left="4662" w:hanging="360"/>
      </w:pPr>
      <w:rPr>
        <w:rFonts w:ascii="Courier New" w:hAnsi="Courier New" w:cs="Courier New" w:hint="default"/>
      </w:rPr>
    </w:lvl>
    <w:lvl w:ilvl="5" w:tplc="04060005">
      <w:start w:val="1"/>
      <w:numFmt w:val="bullet"/>
      <w:lvlText w:val=""/>
      <w:lvlJc w:val="left"/>
      <w:pPr>
        <w:ind w:left="5382" w:hanging="360"/>
      </w:pPr>
      <w:rPr>
        <w:rFonts w:ascii="Wingdings" w:hAnsi="Wingdings" w:hint="default"/>
      </w:rPr>
    </w:lvl>
    <w:lvl w:ilvl="6" w:tplc="04060001">
      <w:start w:val="1"/>
      <w:numFmt w:val="bullet"/>
      <w:lvlText w:val=""/>
      <w:lvlJc w:val="left"/>
      <w:pPr>
        <w:ind w:left="6102" w:hanging="360"/>
      </w:pPr>
      <w:rPr>
        <w:rFonts w:ascii="Symbol" w:hAnsi="Symbol" w:hint="default"/>
      </w:rPr>
    </w:lvl>
    <w:lvl w:ilvl="7" w:tplc="04060003">
      <w:start w:val="1"/>
      <w:numFmt w:val="bullet"/>
      <w:lvlText w:val="o"/>
      <w:lvlJc w:val="left"/>
      <w:pPr>
        <w:ind w:left="6822" w:hanging="360"/>
      </w:pPr>
      <w:rPr>
        <w:rFonts w:ascii="Courier New" w:hAnsi="Courier New" w:cs="Courier New" w:hint="default"/>
      </w:rPr>
    </w:lvl>
    <w:lvl w:ilvl="8" w:tplc="04060005">
      <w:start w:val="1"/>
      <w:numFmt w:val="bullet"/>
      <w:lvlText w:val=""/>
      <w:lvlJc w:val="left"/>
      <w:pPr>
        <w:ind w:left="7542"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2A5136"/>
    <w:multiLevelType w:val="singleLevel"/>
    <w:tmpl w:val="04060001"/>
    <w:lvl w:ilvl="0">
      <w:start w:val="1"/>
      <w:numFmt w:val="bullet"/>
      <w:lvlText w:val=""/>
      <w:lvlJc w:val="left"/>
      <w:pPr>
        <w:ind w:left="360" w:hanging="360"/>
      </w:pPr>
      <w:rPr>
        <w:rFonts w:ascii="Symbol" w:hAnsi="Symbol"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724D01"/>
    <w:multiLevelType w:val="hybridMultilevel"/>
    <w:tmpl w:val="B770BC0E"/>
    <w:lvl w:ilvl="0" w:tplc="6714D578">
      <w:start w:val="5"/>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7"/>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5E"/>
    <w:rsid w:val="000259B9"/>
    <w:rsid w:val="00041491"/>
    <w:rsid w:val="00050D16"/>
    <w:rsid w:val="00074F2A"/>
    <w:rsid w:val="000A1CA8"/>
    <w:rsid w:val="000A466B"/>
    <w:rsid w:val="000B058C"/>
    <w:rsid w:val="000C222F"/>
    <w:rsid w:val="000E4EE6"/>
    <w:rsid w:val="001454E2"/>
    <w:rsid w:val="001A656D"/>
    <w:rsid w:val="00206CE8"/>
    <w:rsid w:val="0021526C"/>
    <w:rsid w:val="00260505"/>
    <w:rsid w:val="00283A2B"/>
    <w:rsid w:val="002B30AD"/>
    <w:rsid w:val="002C2C01"/>
    <w:rsid w:val="00376EDE"/>
    <w:rsid w:val="003A29AE"/>
    <w:rsid w:val="003A32D7"/>
    <w:rsid w:val="003B4074"/>
    <w:rsid w:val="003C769A"/>
    <w:rsid w:val="003F1838"/>
    <w:rsid w:val="00423C75"/>
    <w:rsid w:val="0045746C"/>
    <w:rsid w:val="0049104B"/>
    <w:rsid w:val="004C0F83"/>
    <w:rsid w:val="004E3B12"/>
    <w:rsid w:val="00532310"/>
    <w:rsid w:val="00560ECC"/>
    <w:rsid w:val="00565F0F"/>
    <w:rsid w:val="00594A86"/>
    <w:rsid w:val="00596D86"/>
    <w:rsid w:val="00637F5A"/>
    <w:rsid w:val="006560B1"/>
    <w:rsid w:val="006756DD"/>
    <w:rsid w:val="00687AEA"/>
    <w:rsid w:val="00737275"/>
    <w:rsid w:val="00740EEC"/>
    <w:rsid w:val="0078011A"/>
    <w:rsid w:val="00782AF4"/>
    <w:rsid w:val="00790EE7"/>
    <w:rsid w:val="007B6649"/>
    <w:rsid w:val="0081546F"/>
    <w:rsid w:val="00822E9A"/>
    <w:rsid w:val="0082576E"/>
    <w:rsid w:val="00836CEB"/>
    <w:rsid w:val="008A691F"/>
    <w:rsid w:val="008D0CE4"/>
    <w:rsid w:val="008D1E7C"/>
    <w:rsid w:val="00907F75"/>
    <w:rsid w:val="009155BE"/>
    <w:rsid w:val="009260DE"/>
    <w:rsid w:val="0093258A"/>
    <w:rsid w:val="00986FBD"/>
    <w:rsid w:val="009B199C"/>
    <w:rsid w:val="009C7BA3"/>
    <w:rsid w:val="009D1F5A"/>
    <w:rsid w:val="00AB62B6"/>
    <w:rsid w:val="00AC2E34"/>
    <w:rsid w:val="00B003BF"/>
    <w:rsid w:val="00B373D7"/>
    <w:rsid w:val="00B915A7"/>
    <w:rsid w:val="00BE115E"/>
    <w:rsid w:val="00C13147"/>
    <w:rsid w:val="00C36276"/>
    <w:rsid w:val="00C42586"/>
    <w:rsid w:val="00C60CCD"/>
    <w:rsid w:val="00C84483"/>
    <w:rsid w:val="00C95551"/>
    <w:rsid w:val="00CB20D7"/>
    <w:rsid w:val="00CC17CF"/>
    <w:rsid w:val="00D020B0"/>
    <w:rsid w:val="00D11748"/>
    <w:rsid w:val="00D366CF"/>
    <w:rsid w:val="00E108AA"/>
    <w:rsid w:val="00E31812"/>
    <w:rsid w:val="00E3749A"/>
    <w:rsid w:val="00E7437F"/>
    <w:rsid w:val="00E865B8"/>
    <w:rsid w:val="00EC0B9B"/>
    <w:rsid w:val="00ED5E9F"/>
    <w:rsid w:val="00F55EEF"/>
    <w:rsid w:val="00F66D4F"/>
    <w:rsid w:val="00FB6D01"/>
    <w:rsid w:val="00FF6E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DF525"/>
  <w15:chartTrackingRefBased/>
  <w15:docId w15:val="{B164B55B-3641-4FE6-B3E0-E578B909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nhideWhenUsed/>
    <w:rsid w:val="00BE115E"/>
    <w:pPr>
      <w:tabs>
        <w:tab w:val="left" w:pos="851"/>
      </w:tabs>
      <w:ind w:left="851"/>
      <w:jc w:val="both"/>
    </w:pPr>
    <w:rPr>
      <w:rFonts w:ascii="Arial" w:hAnsi="Arial"/>
      <w:sz w:val="24"/>
      <w:lang w:eastAsia="da-DK"/>
    </w:rPr>
  </w:style>
  <w:style w:type="character" w:customStyle="1" w:styleId="BrdtekstindrykningTegn">
    <w:name w:val="Brødtekstindrykning Tegn"/>
    <w:basedOn w:val="Standardskrifttypeiafsnit"/>
    <w:link w:val="Brdtekstindrykning"/>
    <w:rsid w:val="00BE115E"/>
    <w:rPr>
      <w:rFonts w:ascii="Arial" w:hAnsi="Arial"/>
      <w:sz w:val="24"/>
    </w:rPr>
  </w:style>
  <w:style w:type="character" w:styleId="Hyperlink">
    <w:name w:val="Hyperlink"/>
    <w:uiPriority w:val="99"/>
    <w:semiHidden/>
    <w:unhideWhenUsed/>
    <w:rsid w:val="00BE115E"/>
    <w:rPr>
      <w:color w:val="0563C1"/>
      <w:u w:val="single"/>
    </w:rPr>
  </w:style>
  <w:style w:type="paragraph" w:styleId="Listeafsnit">
    <w:name w:val="List Paragraph"/>
    <w:basedOn w:val="Normal"/>
    <w:uiPriority w:val="34"/>
    <w:qFormat/>
    <w:rsid w:val="00BE1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0602454">
      <w:bodyDiv w:val="1"/>
      <w:marLeft w:val="0"/>
      <w:marRight w:val="0"/>
      <w:marTop w:val="0"/>
      <w:marBottom w:val="0"/>
      <w:divBdr>
        <w:top w:val="none" w:sz="0" w:space="0" w:color="auto"/>
        <w:left w:val="none" w:sz="0" w:space="0" w:color="auto"/>
        <w:bottom w:val="none" w:sz="0" w:space="0" w:color="auto"/>
        <w:right w:val="none" w:sz="0" w:space="0" w:color="auto"/>
      </w:divBdr>
    </w:div>
    <w:div w:id="407850002">
      <w:bodyDiv w:val="1"/>
      <w:marLeft w:val="0"/>
      <w:marRight w:val="0"/>
      <w:marTop w:val="0"/>
      <w:marBottom w:val="0"/>
      <w:divBdr>
        <w:top w:val="none" w:sz="0" w:space="0" w:color="auto"/>
        <w:left w:val="none" w:sz="0" w:space="0" w:color="auto"/>
        <w:bottom w:val="none" w:sz="0" w:space="0" w:color="auto"/>
        <w:right w:val="none" w:sz="0" w:space="0" w:color="auto"/>
      </w:divBdr>
    </w:div>
    <w:div w:id="1488667144">
      <w:bodyDiv w:val="1"/>
      <w:marLeft w:val="0"/>
      <w:marRight w:val="0"/>
      <w:marTop w:val="0"/>
      <w:marBottom w:val="0"/>
      <w:divBdr>
        <w:top w:val="none" w:sz="0" w:space="0" w:color="auto"/>
        <w:left w:val="none" w:sz="0" w:space="0" w:color="auto"/>
        <w:bottom w:val="none" w:sz="0" w:space="0" w:color="auto"/>
        <w:right w:val="none" w:sz="0" w:space="0" w:color="auto"/>
      </w:divBdr>
    </w:div>
    <w:div w:id="21041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4933</Words>
  <Characters>32003</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2023052448_x000d_
SPC pkt. 4.1, 4.2, 4.8, 6.6 + overskrifter iht. QRD</dc:description>
  <cp:lastModifiedBy>Victoria Alexsandra Ringgaard</cp:lastModifiedBy>
  <cp:revision>10</cp:revision>
  <cp:lastPrinted>2012-08-22T08:53:00Z</cp:lastPrinted>
  <dcterms:created xsi:type="dcterms:W3CDTF">2024-06-25T10:25:00Z</dcterms:created>
  <dcterms:modified xsi:type="dcterms:W3CDTF">2024-06-25T10:57:00Z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