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5C44" w14:textId="77777777" w:rsidR="009260DE" w:rsidRPr="008A4F23" w:rsidRDefault="0021526C" w:rsidP="009260DE">
      <w:pPr>
        <w:rPr>
          <w:sz w:val="24"/>
          <w:szCs w:val="24"/>
        </w:rPr>
      </w:pPr>
      <w:r w:rsidRPr="008A4F23">
        <w:rPr>
          <w:noProof/>
          <w:sz w:val="24"/>
          <w:szCs w:val="24"/>
          <w:lang w:eastAsia="da-DK"/>
        </w:rPr>
        <w:drawing>
          <wp:anchor distT="0" distB="0" distL="114300" distR="114300" simplePos="0" relativeHeight="251658240" behindDoc="0" locked="0" layoutInCell="1" allowOverlap="1" wp14:anchorId="46EFA083" wp14:editId="71EDA65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8A4F23">
        <w:rPr>
          <w:sz w:val="24"/>
          <w:szCs w:val="24"/>
        </w:rPr>
        <w:br w:type="textWrapping" w:clear="all"/>
      </w:r>
    </w:p>
    <w:p w14:paraId="64ECCBC8" w14:textId="78CBC988" w:rsidR="009260DE" w:rsidRPr="008A4F23" w:rsidRDefault="009260DE" w:rsidP="009260DE">
      <w:pPr>
        <w:pStyle w:val="Titel"/>
        <w:tabs>
          <w:tab w:val="right" w:pos="9356"/>
        </w:tabs>
        <w:jc w:val="left"/>
        <w:rPr>
          <w:b w:val="0"/>
          <w:szCs w:val="24"/>
          <w:lang w:eastAsia="en-US"/>
        </w:rPr>
      </w:pPr>
      <w:r w:rsidRPr="008A4F23">
        <w:rPr>
          <w:b w:val="0"/>
          <w:szCs w:val="24"/>
          <w:lang w:eastAsia="en-US"/>
        </w:rPr>
        <w:tab/>
      </w:r>
      <w:r w:rsidR="00A55206">
        <w:rPr>
          <w:szCs w:val="24"/>
        </w:rPr>
        <w:t>1. juni 2026</w:t>
      </w:r>
    </w:p>
    <w:p w14:paraId="6B52977D" w14:textId="77777777" w:rsidR="009260DE" w:rsidRPr="008A4F23" w:rsidRDefault="009260DE" w:rsidP="009260DE">
      <w:pPr>
        <w:pStyle w:val="Titel"/>
        <w:tabs>
          <w:tab w:val="left" w:pos="8222"/>
        </w:tabs>
        <w:jc w:val="left"/>
        <w:rPr>
          <w:b w:val="0"/>
          <w:szCs w:val="24"/>
        </w:rPr>
      </w:pPr>
    </w:p>
    <w:p w14:paraId="5A8A7C76" w14:textId="77777777" w:rsidR="009260DE" w:rsidRPr="008A4F23" w:rsidRDefault="009260DE" w:rsidP="009260DE">
      <w:pPr>
        <w:pStyle w:val="Titel"/>
        <w:jc w:val="left"/>
        <w:rPr>
          <w:b w:val="0"/>
          <w:szCs w:val="24"/>
        </w:rPr>
      </w:pPr>
    </w:p>
    <w:p w14:paraId="0DD5A3FF" w14:textId="77777777" w:rsidR="009260DE" w:rsidRPr="008A4F23" w:rsidRDefault="009260DE" w:rsidP="009260DE">
      <w:pPr>
        <w:pStyle w:val="Titel"/>
        <w:jc w:val="left"/>
        <w:rPr>
          <w:b w:val="0"/>
          <w:szCs w:val="24"/>
        </w:rPr>
      </w:pPr>
    </w:p>
    <w:p w14:paraId="58011B0B" w14:textId="77777777" w:rsidR="009260DE" w:rsidRPr="008A4F23" w:rsidRDefault="009260DE" w:rsidP="009260DE">
      <w:pPr>
        <w:jc w:val="center"/>
        <w:rPr>
          <w:b/>
          <w:sz w:val="24"/>
          <w:szCs w:val="24"/>
        </w:rPr>
      </w:pPr>
      <w:r w:rsidRPr="008A4F23">
        <w:rPr>
          <w:b/>
          <w:sz w:val="24"/>
          <w:szCs w:val="24"/>
        </w:rPr>
        <w:t>PRODUKTRESUMÉ</w:t>
      </w:r>
    </w:p>
    <w:p w14:paraId="3D7751AF" w14:textId="77777777" w:rsidR="009260DE" w:rsidRPr="008A4F23" w:rsidRDefault="009260DE" w:rsidP="009260DE">
      <w:pPr>
        <w:jc w:val="center"/>
        <w:rPr>
          <w:b/>
          <w:sz w:val="24"/>
          <w:szCs w:val="24"/>
        </w:rPr>
      </w:pPr>
    </w:p>
    <w:p w14:paraId="25857480" w14:textId="77777777" w:rsidR="009260DE" w:rsidRPr="008A4F23" w:rsidRDefault="009260DE" w:rsidP="009260DE">
      <w:pPr>
        <w:jc w:val="center"/>
        <w:rPr>
          <w:b/>
          <w:sz w:val="24"/>
          <w:szCs w:val="24"/>
        </w:rPr>
      </w:pPr>
      <w:r w:rsidRPr="008A4F23">
        <w:rPr>
          <w:b/>
          <w:sz w:val="24"/>
          <w:szCs w:val="24"/>
        </w:rPr>
        <w:t>for</w:t>
      </w:r>
    </w:p>
    <w:p w14:paraId="0BD328BF" w14:textId="77777777" w:rsidR="000B058C" w:rsidRPr="008A4F23" w:rsidRDefault="000B058C" w:rsidP="009260DE">
      <w:pPr>
        <w:jc w:val="center"/>
        <w:rPr>
          <w:b/>
          <w:sz w:val="24"/>
          <w:szCs w:val="24"/>
        </w:rPr>
      </w:pPr>
    </w:p>
    <w:p w14:paraId="3ECEDD7C" w14:textId="36FD54D8" w:rsidR="009260DE" w:rsidRPr="008A4F23" w:rsidRDefault="001B5037" w:rsidP="009260DE">
      <w:pPr>
        <w:jc w:val="center"/>
        <w:rPr>
          <w:b/>
          <w:sz w:val="24"/>
          <w:szCs w:val="24"/>
        </w:rPr>
      </w:pPr>
      <w:r w:rsidRPr="008A4F23">
        <w:rPr>
          <w:b/>
          <w:sz w:val="24"/>
          <w:szCs w:val="24"/>
        </w:rPr>
        <w:t>Nutritrace Elements, koncentrat til infusionsvæske, opløsning</w:t>
      </w:r>
    </w:p>
    <w:p w14:paraId="2113BD6F" w14:textId="77777777" w:rsidR="009260DE" w:rsidRPr="008A4F23" w:rsidRDefault="009260DE" w:rsidP="009260DE">
      <w:pPr>
        <w:jc w:val="both"/>
        <w:rPr>
          <w:sz w:val="24"/>
          <w:szCs w:val="24"/>
        </w:rPr>
      </w:pPr>
    </w:p>
    <w:p w14:paraId="0D570792" w14:textId="77777777" w:rsidR="009260DE" w:rsidRPr="008A4F23" w:rsidRDefault="009260DE" w:rsidP="009260DE">
      <w:pPr>
        <w:jc w:val="both"/>
        <w:rPr>
          <w:sz w:val="24"/>
          <w:szCs w:val="24"/>
        </w:rPr>
      </w:pPr>
    </w:p>
    <w:p w14:paraId="5ECA2103" w14:textId="77777777" w:rsidR="009260DE" w:rsidRPr="008A4F23" w:rsidRDefault="009260DE" w:rsidP="009260DE">
      <w:pPr>
        <w:tabs>
          <w:tab w:val="left" w:pos="851"/>
        </w:tabs>
        <w:ind w:left="851" w:hanging="851"/>
        <w:rPr>
          <w:b/>
          <w:sz w:val="24"/>
          <w:szCs w:val="24"/>
        </w:rPr>
      </w:pPr>
      <w:r w:rsidRPr="008A4F23">
        <w:rPr>
          <w:b/>
          <w:sz w:val="24"/>
          <w:szCs w:val="24"/>
        </w:rPr>
        <w:t>0.</w:t>
      </w:r>
      <w:r w:rsidRPr="008A4F23">
        <w:rPr>
          <w:b/>
          <w:sz w:val="24"/>
          <w:szCs w:val="24"/>
        </w:rPr>
        <w:tab/>
        <w:t>D.SP.NR.</w:t>
      </w:r>
    </w:p>
    <w:p w14:paraId="0B615A0B" w14:textId="15093916" w:rsidR="009260DE" w:rsidRPr="008A4F23" w:rsidRDefault="001B5037" w:rsidP="009260DE">
      <w:pPr>
        <w:tabs>
          <w:tab w:val="left" w:pos="851"/>
        </w:tabs>
        <w:ind w:left="851"/>
        <w:rPr>
          <w:sz w:val="24"/>
          <w:szCs w:val="24"/>
        </w:rPr>
      </w:pPr>
      <w:r w:rsidRPr="008A4F23">
        <w:rPr>
          <w:sz w:val="24"/>
          <w:szCs w:val="24"/>
        </w:rPr>
        <w:t>20665</w:t>
      </w:r>
    </w:p>
    <w:p w14:paraId="30C80554" w14:textId="77777777" w:rsidR="009260DE" w:rsidRPr="008A4F23" w:rsidRDefault="009260DE" w:rsidP="009260DE">
      <w:pPr>
        <w:tabs>
          <w:tab w:val="left" w:pos="851"/>
        </w:tabs>
        <w:ind w:left="851"/>
        <w:rPr>
          <w:sz w:val="24"/>
          <w:szCs w:val="24"/>
        </w:rPr>
      </w:pPr>
    </w:p>
    <w:p w14:paraId="04813D3D" w14:textId="77777777" w:rsidR="009260DE" w:rsidRPr="008A4F23" w:rsidRDefault="009260DE" w:rsidP="009260DE">
      <w:pPr>
        <w:tabs>
          <w:tab w:val="left" w:pos="851"/>
        </w:tabs>
        <w:ind w:left="851" w:hanging="851"/>
        <w:rPr>
          <w:b/>
          <w:sz w:val="24"/>
          <w:szCs w:val="24"/>
        </w:rPr>
      </w:pPr>
      <w:r w:rsidRPr="008A4F23">
        <w:rPr>
          <w:b/>
          <w:sz w:val="24"/>
          <w:szCs w:val="24"/>
        </w:rPr>
        <w:t>1.</w:t>
      </w:r>
      <w:r w:rsidRPr="008A4F23">
        <w:rPr>
          <w:b/>
          <w:sz w:val="24"/>
          <w:szCs w:val="24"/>
        </w:rPr>
        <w:tab/>
        <w:t>LÆGEMIDLETS NAVN</w:t>
      </w:r>
    </w:p>
    <w:p w14:paraId="25554C57" w14:textId="761BA0B5" w:rsidR="009260DE" w:rsidRPr="008A4F23" w:rsidRDefault="001B5037" w:rsidP="009260DE">
      <w:pPr>
        <w:tabs>
          <w:tab w:val="left" w:pos="851"/>
        </w:tabs>
        <w:ind w:left="851"/>
        <w:rPr>
          <w:sz w:val="24"/>
          <w:szCs w:val="24"/>
        </w:rPr>
      </w:pPr>
      <w:r w:rsidRPr="008A4F23">
        <w:rPr>
          <w:sz w:val="24"/>
          <w:szCs w:val="24"/>
        </w:rPr>
        <w:t>Nutritrace Elements</w:t>
      </w:r>
    </w:p>
    <w:p w14:paraId="6B60CC14" w14:textId="77777777" w:rsidR="001B5037" w:rsidRPr="008A4F23" w:rsidRDefault="001B5037" w:rsidP="009260DE">
      <w:pPr>
        <w:tabs>
          <w:tab w:val="left" w:pos="851"/>
        </w:tabs>
        <w:ind w:left="851"/>
        <w:rPr>
          <w:sz w:val="24"/>
          <w:szCs w:val="24"/>
        </w:rPr>
      </w:pPr>
    </w:p>
    <w:p w14:paraId="545E5F60" w14:textId="77777777" w:rsidR="009260DE" w:rsidRPr="008A4F23" w:rsidRDefault="009260DE" w:rsidP="009260DE">
      <w:pPr>
        <w:tabs>
          <w:tab w:val="left" w:pos="851"/>
        </w:tabs>
        <w:ind w:left="851" w:hanging="851"/>
        <w:rPr>
          <w:b/>
          <w:sz w:val="24"/>
          <w:szCs w:val="24"/>
        </w:rPr>
      </w:pPr>
      <w:r w:rsidRPr="008A4F23">
        <w:rPr>
          <w:b/>
          <w:sz w:val="24"/>
          <w:szCs w:val="24"/>
        </w:rPr>
        <w:t>2.</w:t>
      </w:r>
      <w:r w:rsidRPr="008A4F23">
        <w:rPr>
          <w:b/>
          <w:sz w:val="24"/>
          <w:szCs w:val="24"/>
        </w:rPr>
        <w:tab/>
        <w:t>KVALITATIV OG KVANTITATIV SAMMENSÆTNING</w:t>
      </w:r>
    </w:p>
    <w:p w14:paraId="66580683" w14:textId="77777777" w:rsidR="00BB2716" w:rsidRPr="00BB2716" w:rsidRDefault="00BB2716" w:rsidP="00BB2716">
      <w:pPr>
        <w:tabs>
          <w:tab w:val="left" w:pos="851"/>
        </w:tabs>
        <w:ind w:left="851"/>
        <w:rPr>
          <w:sz w:val="24"/>
          <w:szCs w:val="24"/>
        </w:rPr>
      </w:pPr>
      <w:r w:rsidRPr="00BB2716">
        <w:rPr>
          <w:sz w:val="24"/>
          <w:szCs w:val="24"/>
        </w:rPr>
        <w:t>10 ml opløsning (= 1 ampul) indeholder:</w:t>
      </w:r>
    </w:p>
    <w:p w14:paraId="59FEBDCF" w14:textId="77777777" w:rsidR="00BB2716" w:rsidRPr="00BB2716" w:rsidRDefault="00BB2716" w:rsidP="00BB2716">
      <w:pPr>
        <w:tabs>
          <w:tab w:val="left" w:pos="851"/>
        </w:tabs>
        <w:ind w:left="851"/>
        <w:rPr>
          <w:sz w:val="24"/>
          <w:szCs w:val="24"/>
        </w:rPr>
      </w:pPr>
    </w:p>
    <w:tbl>
      <w:tblPr>
        <w:tblW w:w="0" w:type="auto"/>
        <w:tblInd w:w="846" w:type="dxa"/>
        <w:tblLayout w:type="fixed"/>
        <w:tblCellMar>
          <w:left w:w="71" w:type="dxa"/>
          <w:right w:w="71" w:type="dxa"/>
        </w:tblCellMar>
        <w:tblLook w:val="04A0" w:firstRow="1" w:lastRow="0" w:firstColumn="1" w:lastColumn="0" w:noHBand="0" w:noVBand="1"/>
      </w:tblPr>
      <w:tblGrid>
        <w:gridCol w:w="3828"/>
        <w:gridCol w:w="2772"/>
      </w:tblGrid>
      <w:tr w:rsidR="00BB2716" w:rsidRPr="00BB2716" w14:paraId="5B43B1E6" w14:textId="77777777" w:rsidTr="008A4F23">
        <w:tc>
          <w:tcPr>
            <w:tcW w:w="3828" w:type="dxa"/>
            <w:tcBorders>
              <w:top w:val="single" w:sz="4" w:space="0" w:color="auto"/>
              <w:left w:val="single" w:sz="4" w:space="0" w:color="auto"/>
              <w:bottom w:val="nil"/>
              <w:right w:val="single" w:sz="4" w:space="0" w:color="auto"/>
            </w:tcBorders>
            <w:hideMark/>
          </w:tcPr>
          <w:p w14:paraId="1CC48F75" w14:textId="77777777" w:rsidR="00BB2716" w:rsidRPr="00BB2716" w:rsidRDefault="00BB2716" w:rsidP="008A4F23">
            <w:pPr>
              <w:rPr>
                <w:sz w:val="24"/>
                <w:szCs w:val="24"/>
                <w:lang w:val="en-GB"/>
              </w:rPr>
            </w:pPr>
            <w:r w:rsidRPr="00BB2716">
              <w:rPr>
                <w:sz w:val="24"/>
                <w:szCs w:val="24"/>
                <w:lang w:val="en-GB"/>
              </w:rPr>
              <w:t>Ferrichloridhexahydrat</w:t>
            </w:r>
          </w:p>
        </w:tc>
        <w:tc>
          <w:tcPr>
            <w:tcW w:w="2772" w:type="dxa"/>
            <w:tcBorders>
              <w:top w:val="single" w:sz="4" w:space="0" w:color="auto"/>
              <w:left w:val="single" w:sz="4" w:space="0" w:color="auto"/>
              <w:bottom w:val="nil"/>
              <w:right w:val="single" w:sz="4" w:space="0" w:color="auto"/>
            </w:tcBorders>
            <w:hideMark/>
          </w:tcPr>
          <w:p w14:paraId="3BC04C81" w14:textId="77777777" w:rsidR="00BB2716" w:rsidRPr="00BB2716" w:rsidRDefault="00BB2716" w:rsidP="008A4F23">
            <w:pPr>
              <w:rPr>
                <w:sz w:val="24"/>
                <w:szCs w:val="24"/>
                <w:lang w:val="en-GB"/>
              </w:rPr>
            </w:pPr>
            <w:r w:rsidRPr="00BB2716">
              <w:rPr>
                <w:sz w:val="24"/>
                <w:szCs w:val="24"/>
                <w:lang w:val="en-GB"/>
              </w:rPr>
              <w:t>4,865 mg</w:t>
            </w:r>
          </w:p>
        </w:tc>
      </w:tr>
      <w:tr w:rsidR="00BB2716" w:rsidRPr="00BB2716" w14:paraId="538D1E00" w14:textId="77777777" w:rsidTr="008A4F23">
        <w:tc>
          <w:tcPr>
            <w:tcW w:w="3828" w:type="dxa"/>
            <w:tcBorders>
              <w:top w:val="nil"/>
              <w:left w:val="single" w:sz="4" w:space="0" w:color="auto"/>
              <w:bottom w:val="nil"/>
              <w:right w:val="single" w:sz="4" w:space="0" w:color="auto"/>
            </w:tcBorders>
            <w:hideMark/>
          </w:tcPr>
          <w:p w14:paraId="4F0CB7DE" w14:textId="77777777" w:rsidR="00BB2716" w:rsidRPr="00BB2716" w:rsidRDefault="00BB2716" w:rsidP="008A4F23">
            <w:pPr>
              <w:rPr>
                <w:sz w:val="24"/>
                <w:szCs w:val="24"/>
                <w:lang w:val="en-GB"/>
              </w:rPr>
            </w:pPr>
            <w:r w:rsidRPr="00BB2716">
              <w:rPr>
                <w:sz w:val="24"/>
                <w:szCs w:val="24"/>
                <w:lang w:val="en-GB"/>
              </w:rPr>
              <w:t>Zinkchlorid</w:t>
            </w:r>
          </w:p>
        </w:tc>
        <w:tc>
          <w:tcPr>
            <w:tcW w:w="2772" w:type="dxa"/>
            <w:tcBorders>
              <w:top w:val="nil"/>
              <w:left w:val="single" w:sz="4" w:space="0" w:color="auto"/>
              <w:bottom w:val="nil"/>
              <w:right w:val="single" w:sz="4" w:space="0" w:color="auto"/>
            </w:tcBorders>
            <w:hideMark/>
          </w:tcPr>
          <w:p w14:paraId="35F6AE65" w14:textId="77777777" w:rsidR="00BB2716" w:rsidRPr="00BB2716" w:rsidRDefault="00BB2716" w:rsidP="008A4F23">
            <w:pPr>
              <w:rPr>
                <w:sz w:val="24"/>
                <w:szCs w:val="24"/>
                <w:lang w:val="en-GB"/>
              </w:rPr>
            </w:pPr>
            <w:r w:rsidRPr="00BB2716">
              <w:rPr>
                <w:sz w:val="24"/>
                <w:szCs w:val="24"/>
                <w:lang w:val="en-GB"/>
              </w:rPr>
              <w:t>6,814 mg</w:t>
            </w:r>
          </w:p>
        </w:tc>
      </w:tr>
      <w:tr w:rsidR="00BB2716" w:rsidRPr="00BB2716" w14:paraId="45D3A0B3" w14:textId="77777777" w:rsidTr="008A4F23">
        <w:tc>
          <w:tcPr>
            <w:tcW w:w="3828" w:type="dxa"/>
            <w:tcBorders>
              <w:top w:val="nil"/>
              <w:left w:val="single" w:sz="4" w:space="0" w:color="auto"/>
              <w:bottom w:val="nil"/>
              <w:right w:val="single" w:sz="4" w:space="0" w:color="auto"/>
            </w:tcBorders>
            <w:hideMark/>
          </w:tcPr>
          <w:p w14:paraId="67C4C083" w14:textId="77777777" w:rsidR="00BB2716" w:rsidRPr="00BB2716" w:rsidRDefault="00BB2716" w:rsidP="008A4F23">
            <w:pPr>
              <w:rPr>
                <w:sz w:val="24"/>
                <w:szCs w:val="24"/>
                <w:lang w:val="en-GB"/>
              </w:rPr>
            </w:pPr>
            <w:r w:rsidRPr="00BB2716">
              <w:rPr>
                <w:sz w:val="24"/>
                <w:szCs w:val="24"/>
                <w:lang w:val="en-GB"/>
              </w:rPr>
              <w:t>Manganchloridtetrahydrat</w:t>
            </w:r>
          </w:p>
        </w:tc>
        <w:tc>
          <w:tcPr>
            <w:tcW w:w="2772" w:type="dxa"/>
            <w:tcBorders>
              <w:top w:val="nil"/>
              <w:left w:val="single" w:sz="4" w:space="0" w:color="auto"/>
              <w:bottom w:val="nil"/>
              <w:right w:val="single" w:sz="4" w:space="0" w:color="auto"/>
            </w:tcBorders>
            <w:hideMark/>
          </w:tcPr>
          <w:p w14:paraId="021A4B9E" w14:textId="77777777" w:rsidR="00BB2716" w:rsidRPr="00BB2716" w:rsidRDefault="00BB2716" w:rsidP="008A4F23">
            <w:pPr>
              <w:rPr>
                <w:sz w:val="24"/>
                <w:szCs w:val="24"/>
                <w:lang w:val="en-GB"/>
              </w:rPr>
            </w:pPr>
            <w:r w:rsidRPr="00BB2716">
              <w:rPr>
                <w:sz w:val="24"/>
                <w:szCs w:val="24"/>
                <w:lang w:val="en-GB"/>
              </w:rPr>
              <w:t>0,198 mg</w:t>
            </w:r>
          </w:p>
        </w:tc>
      </w:tr>
      <w:tr w:rsidR="00BB2716" w:rsidRPr="00BB2716" w14:paraId="75904580" w14:textId="77777777" w:rsidTr="008A4F23">
        <w:tc>
          <w:tcPr>
            <w:tcW w:w="3828" w:type="dxa"/>
            <w:tcBorders>
              <w:top w:val="nil"/>
              <w:left w:val="single" w:sz="4" w:space="0" w:color="auto"/>
              <w:bottom w:val="nil"/>
              <w:right w:val="single" w:sz="4" w:space="0" w:color="auto"/>
            </w:tcBorders>
            <w:hideMark/>
          </w:tcPr>
          <w:p w14:paraId="62C8C4A0" w14:textId="77777777" w:rsidR="00BB2716" w:rsidRPr="00BB2716" w:rsidRDefault="00BB2716" w:rsidP="008A4F23">
            <w:pPr>
              <w:rPr>
                <w:sz w:val="24"/>
                <w:szCs w:val="24"/>
                <w:lang w:val="en-GB"/>
              </w:rPr>
            </w:pPr>
            <w:proofErr w:type="gramStart"/>
            <w:r w:rsidRPr="00BB2716">
              <w:rPr>
                <w:sz w:val="24"/>
                <w:szCs w:val="24"/>
                <w:lang w:val="en-GB"/>
              </w:rPr>
              <w:t>Kobber(</w:t>
            </w:r>
            <w:proofErr w:type="gramEnd"/>
            <w:r w:rsidRPr="00BB2716">
              <w:rPr>
                <w:sz w:val="24"/>
                <w:szCs w:val="24"/>
                <w:lang w:val="en-GB"/>
              </w:rPr>
              <w:t>II)chloriddihydrat</w:t>
            </w:r>
          </w:p>
        </w:tc>
        <w:tc>
          <w:tcPr>
            <w:tcW w:w="2772" w:type="dxa"/>
            <w:tcBorders>
              <w:top w:val="nil"/>
              <w:left w:val="single" w:sz="4" w:space="0" w:color="auto"/>
              <w:bottom w:val="nil"/>
              <w:right w:val="single" w:sz="4" w:space="0" w:color="auto"/>
            </w:tcBorders>
            <w:hideMark/>
          </w:tcPr>
          <w:p w14:paraId="4B2C178C" w14:textId="77777777" w:rsidR="00BB2716" w:rsidRPr="00BB2716" w:rsidRDefault="00BB2716" w:rsidP="008A4F23">
            <w:pPr>
              <w:rPr>
                <w:sz w:val="24"/>
                <w:szCs w:val="24"/>
                <w:lang w:val="en-GB"/>
              </w:rPr>
            </w:pPr>
            <w:bookmarkStart w:id="0" w:name="_Hlk116035806"/>
            <w:r w:rsidRPr="00BB2716">
              <w:rPr>
                <w:sz w:val="24"/>
                <w:szCs w:val="24"/>
                <w:lang w:val="en-GB"/>
              </w:rPr>
              <w:t>1,074 mg</w:t>
            </w:r>
            <w:bookmarkEnd w:id="0"/>
          </w:p>
        </w:tc>
      </w:tr>
      <w:tr w:rsidR="00BB2716" w:rsidRPr="00BB2716" w14:paraId="3B8D0CF9" w14:textId="77777777" w:rsidTr="008A4F23">
        <w:tc>
          <w:tcPr>
            <w:tcW w:w="3828" w:type="dxa"/>
            <w:tcBorders>
              <w:top w:val="nil"/>
              <w:left w:val="single" w:sz="4" w:space="0" w:color="auto"/>
              <w:bottom w:val="nil"/>
              <w:right w:val="single" w:sz="4" w:space="0" w:color="auto"/>
            </w:tcBorders>
            <w:hideMark/>
          </w:tcPr>
          <w:p w14:paraId="3AC73211" w14:textId="77777777" w:rsidR="00BB2716" w:rsidRPr="00BB2716" w:rsidRDefault="00BB2716" w:rsidP="008A4F23">
            <w:pPr>
              <w:rPr>
                <w:sz w:val="24"/>
                <w:szCs w:val="24"/>
                <w:lang w:val="en-GB"/>
              </w:rPr>
            </w:pPr>
            <w:proofErr w:type="gramStart"/>
            <w:r w:rsidRPr="00BB2716">
              <w:rPr>
                <w:sz w:val="24"/>
                <w:szCs w:val="24"/>
                <w:lang w:val="en-GB"/>
              </w:rPr>
              <w:t>Chrom(</w:t>
            </w:r>
            <w:proofErr w:type="gramEnd"/>
            <w:r w:rsidRPr="00BB2716">
              <w:rPr>
                <w:sz w:val="24"/>
                <w:szCs w:val="24"/>
                <w:lang w:val="en-GB"/>
              </w:rPr>
              <w:t>III)chloridhexahydrat</w:t>
            </w:r>
          </w:p>
        </w:tc>
        <w:tc>
          <w:tcPr>
            <w:tcW w:w="2772" w:type="dxa"/>
            <w:tcBorders>
              <w:top w:val="nil"/>
              <w:left w:val="single" w:sz="4" w:space="0" w:color="auto"/>
              <w:bottom w:val="nil"/>
              <w:right w:val="single" w:sz="4" w:space="0" w:color="auto"/>
            </w:tcBorders>
            <w:hideMark/>
          </w:tcPr>
          <w:p w14:paraId="06D885AE" w14:textId="77777777" w:rsidR="00BB2716" w:rsidRPr="00BB2716" w:rsidRDefault="00BB2716" w:rsidP="008A4F23">
            <w:pPr>
              <w:rPr>
                <w:sz w:val="24"/>
                <w:szCs w:val="24"/>
                <w:lang w:val="en-GB"/>
              </w:rPr>
            </w:pPr>
            <w:r w:rsidRPr="00BB2716">
              <w:rPr>
                <w:sz w:val="24"/>
                <w:szCs w:val="24"/>
                <w:lang w:val="en-GB"/>
              </w:rPr>
              <w:t>0,053 mg</w:t>
            </w:r>
          </w:p>
        </w:tc>
      </w:tr>
      <w:tr w:rsidR="00BB2716" w:rsidRPr="00BB2716" w14:paraId="28DF650B" w14:textId="77777777" w:rsidTr="008A4F23">
        <w:tc>
          <w:tcPr>
            <w:tcW w:w="3828" w:type="dxa"/>
            <w:tcBorders>
              <w:top w:val="nil"/>
              <w:left w:val="single" w:sz="4" w:space="0" w:color="auto"/>
              <w:bottom w:val="nil"/>
              <w:right w:val="single" w:sz="4" w:space="0" w:color="auto"/>
            </w:tcBorders>
            <w:hideMark/>
          </w:tcPr>
          <w:p w14:paraId="2D377F1B" w14:textId="77777777" w:rsidR="00BB2716" w:rsidRPr="00BB2716" w:rsidRDefault="00BB2716" w:rsidP="008A4F23">
            <w:pPr>
              <w:rPr>
                <w:sz w:val="24"/>
                <w:szCs w:val="24"/>
                <w:lang w:val="en-GB"/>
              </w:rPr>
            </w:pPr>
            <w:r w:rsidRPr="00BB2716">
              <w:rPr>
                <w:sz w:val="24"/>
                <w:szCs w:val="24"/>
                <w:lang w:val="en-GB"/>
              </w:rPr>
              <w:t>Natriumselenitpentahydrat</w:t>
            </w:r>
          </w:p>
        </w:tc>
        <w:tc>
          <w:tcPr>
            <w:tcW w:w="2772" w:type="dxa"/>
            <w:tcBorders>
              <w:top w:val="nil"/>
              <w:left w:val="single" w:sz="4" w:space="0" w:color="auto"/>
              <w:bottom w:val="nil"/>
              <w:right w:val="single" w:sz="4" w:space="0" w:color="auto"/>
            </w:tcBorders>
            <w:hideMark/>
          </w:tcPr>
          <w:p w14:paraId="4513EFB2" w14:textId="77777777" w:rsidR="00BB2716" w:rsidRPr="00BB2716" w:rsidRDefault="00BB2716" w:rsidP="008A4F23">
            <w:pPr>
              <w:rPr>
                <w:sz w:val="24"/>
                <w:szCs w:val="24"/>
                <w:lang w:val="en-GB"/>
              </w:rPr>
            </w:pPr>
            <w:r w:rsidRPr="00BB2716">
              <w:rPr>
                <w:sz w:val="24"/>
                <w:szCs w:val="24"/>
                <w:lang w:val="en-GB"/>
              </w:rPr>
              <w:t>0,263 mg</w:t>
            </w:r>
          </w:p>
        </w:tc>
      </w:tr>
      <w:tr w:rsidR="00BB2716" w:rsidRPr="00BB2716" w14:paraId="6DB20258" w14:textId="77777777" w:rsidTr="008A4F23">
        <w:tc>
          <w:tcPr>
            <w:tcW w:w="3828" w:type="dxa"/>
            <w:tcBorders>
              <w:top w:val="nil"/>
              <w:left w:val="single" w:sz="4" w:space="0" w:color="auto"/>
              <w:bottom w:val="nil"/>
              <w:right w:val="single" w:sz="4" w:space="0" w:color="auto"/>
            </w:tcBorders>
            <w:hideMark/>
          </w:tcPr>
          <w:p w14:paraId="1D34279F" w14:textId="77777777" w:rsidR="00BB2716" w:rsidRPr="00BB2716" w:rsidRDefault="00BB2716" w:rsidP="008A4F23">
            <w:pPr>
              <w:rPr>
                <w:sz w:val="24"/>
                <w:szCs w:val="24"/>
                <w:lang w:val="en-GB"/>
              </w:rPr>
            </w:pPr>
            <w:r w:rsidRPr="00BB2716">
              <w:rPr>
                <w:sz w:val="24"/>
                <w:szCs w:val="24"/>
                <w:lang w:val="en-GB"/>
              </w:rPr>
              <w:t>Natriummolybdatdihydrat</w:t>
            </w:r>
          </w:p>
        </w:tc>
        <w:tc>
          <w:tcPr>
            <w:tcW w:w="2772" w:type="dxa"/>
            <w:tcBorders>
              <w:top w:val="nil"/>
              <w:left w:val="single" w:sz="4" w:space="0" w:color="auto"/>
              <w:bottom w:val="nil"/>
              <w:right w:val="single" w:sz="4" w:space="0" w:color="auto"/>
            </w:tcBorders>
            <w:hideMark/>
          </w:tcPr>
          <w:p w14:paraId="74E0C351" w14:textId="77777777" w:rsidR="00BB2716" w:rsidRPr="00BB2716" w:rsidRDefault="00BB2716" w:rsidP="008A4F23">
            <w:pPr>
              <w:rPr>
                <w:sz w:val="24"/>
                <w:szCs w:val="24"/>
                <w:lang w:val="en-GB"/>
              </w:rPr>
            </w:pPr>
            <w:r w:rsidRPr="00BB2716">
              <w:rPr>
                <w:sz w:val="24"/>
                <w:szCs w:val="24"/>
                <w:lang w:val="en-GB"/>
              </w:rPr>
              <w:t>0,048 mg</w:t>
            </w:r>
          </w:p>
        </w:tc>
      </w:tr>
      <w:tr w:rsidR="00BB2716" w:rsidRPr="00BB2716" w14:paraId="556BE148" w14:textId="77777777" w:rsidTr="008A4F23">
        <w:tc>
          <w:tcPr>
            <w:tcW w:w="3828" w:type="dxa"/>
            <w:tcBorders>
              <w:top w:val="nil"/>
              <w:left w:val="single" w:sz="4" w:space="0" w:color="auto"/>
              <w:bottom w:val="nil"/>
              <w:right w:val="single" w:sz="4" w:space="0" w:color="auto"/>
            </w:tcBorders>
            <w:hideMark/>
          </w:tcPr>
          <w:p w14:paraId="6110D6FD" w14:textId="77777777" w:rsidR="00BB2716" w:rsidRPr="00BB2716" w:rsidRDefault="00BB2716" w:rsidP="008A4F23">
            <w:pPr>
              <w:rPr>
                <w:sz w:val="24"/>
                <w:szCs w:val="24"/>
                <w:lang w:val="en-GB"/>
              </w:rPr>
            </w:pPr>
            <w:r w:rsidRPr="00BB2716">
              <w:rPr>
                <w:sz w:val="24"/>
                <w:szCs w:val="24"/>
                <w:lang w:val="en-GB"/>
              </w:rPr>
              <w:t>Kaliumiodid</w:t>
            </w:r>
          </w:p>
        </w:tc>
        <w:tc>
          <w:tcPr>
            <w:tcW w:w="2772" w:type="dxa"/>
            <w:tcBorders>
              <w:top w:val="nil"/>
              <w:left w:val="single" w:sz="4" w:space="0" w:color="auto"/>
              <w:bottom w:val="nil"/>
              <w:right w:val="single" w:sz="4" w:space="0" w:color="auto"/>
            </w:tcBorders>
            <w:hideMark/>
          </w:tcPr>
          <w:p w14:paraId="5E148CD6" w14:textId="77777777" w:rsidR="00BB2716" w:rsidRPr="00BB2716" w:rsidRDefault="00BB2716" w:rsidP="008A4F23">
            <w:pPr>
              <w:rPr>
                <w:sz w:val="24"/>
                <w:szCs w:val="24"/>
                <w:lang w:val="en-GB"/>
              </w:rPr>
            </w:pPr>
            <w:r w:rsidRPr="00BB2716">
              <w:rPr>
                <w:sz w:val="24"/>
                <w:szCs w:val="24"/>
                <w:lang w:val="en-GB"/>
              </w:rPr>
              <w:t>0,166 mg</w:t>
            </w:r>
          </w:p>
        </w:tc>
      </w:tr>
      <w:tr w:rsidR="00BB2716" w:rsidRPr="00BB2716" w14:paraId="1C42FF10" w14:textId="77777777" w:rsidTr="008A4F23">
        <w:tc>
          <w:tcPr>
            <w:tcW w:w="3828" w:type="dxa"/>
            <w:tcBorders>
              <w:top w:val="nil"/>
              <w:left w:val="single" w:sz="4" w:space="0" w:color="auto"/>
              <w:bottom w:val="single" w:sz="4" w:space="0" w:color="auto"/>
              <w:right w:val="single" w:sz="4" w:space="0" w:color="auto"/>
            </w:tcBorders>
            <w:hideMark/>
          </w:tcPr>
          <w:p w14:paraId="26AE6472" w14:textId="77777777" w:rsidR="00BB2716" w:rsidRPr="00BB2716" w:rsidRDefault="00BB2716" w:rsidP="008A4F23">
            <w:pPr>
              <w:rPr>
                <w:sz w:val="24"/>
                <w:szCs w:val="24"/>
                <w:lang w:val="en-GB"/>
              </w:rPr>
            </w:pPr>
            <w:r w:rsidRPr="00BB2716">
              <w:rPr>
                <w:sz w:val="24"/>
                <w:szCs w:val="24"/>
                <w:lang w:val="en-GB"/>
              </w:rPr>
              <w:t>Natriumfluorid</w:t>
            </w:r>
          </w:p>
        </w:tc>
        <w:tc>
          <w:tcPr>
            <w:tcW w:w="2772" w:type="dxa"/>
            <w:tcBorders>
              <w:top w:val="nil"/>
              <w:left w:val="single" w:sz="4" w:space="0" w:color="auto"/>
              <w:bottom w:val="single" w:sz="4" w:space="0" w:color="auto"/>
              <w:right w:val="single" w:sz="4" w:space="0" w:color="auto"/>
            </w:tcBorders>
            <w:hideMark/>
          </w:tcPr>
          <w:p w14:paraId="0B50225D" w14:textId="77777777" w:rsidR="00BB2716" w:rsidRPr="00BB2716" w:rsidRDefault="00BB2716" w:rsidP="008A4F23">
            <w:pPr>
              <w:rPr>
                <w:sz w:val="24"/>
                <w:szCs w:val="24"/>
                <w:lang w:val="en-GB"/>
              </w:rPr>
            </w:pPr>
            <w:r w:rsidRPr="00BB2716">
              <w:rPr>
                <w:sz w:val="24"/>
                <w:szCs w:val="24"/>
                <w:lang w:val="en-GB"/>
              </w:rPr>
              <w:t>2,099 mg</w:t>
            </w:r>
          </w:p>
        </w:tc>
      </w:tr>
    </w:tbl>
    <w:p w14:paraId="513FC1E8" w14:textId="77777777" w:rsidR="00BB2716" w:rsidRPr="00BB2716" w:rsidRDefault="00BB2716" w:rsidP="00BB2716">
      <w:pPr>
        <w:tabs>
          <w:tab w:val="left" w:pos="851"/>
        </w:tabs>
        <w:ind w:left="851"/>
        <w:rPr>
          <w:sz w:val="24"/>
          <w:szCs w:val="24"/>
        </w:rPr>
      </w:pPr>
    </w:p>
    <w:p w14:paraId="15FECADC" w14:textId="77777777" w:rsidR="00BB2716" w:rsidRPr="00BB2716" w:rsidRDefault="00BB2716" w:rsidP="00BB2716">
      <w:pPr>
        <w:tabs>
          <w:tab w:val="left" w:pos="851"/>
        </w:tabs>
        <w:ind w:left="851"/>
        <w:rPr>
          <w:sz w:val="24"/>
          <w:szCs w:val="24"/>
        </w:rPr>
      </w:pPr>
      <w:r w:rsidRPr="00BB2716">
        <w:rPr>
          <w:sz w:val="24"/>
          <w:szCs w:val="24"/>
        </w:rPr>
        <w:t>Hver ampul indeholder således:</w:t>
      </w:r>
    </w:p>
    <w:p w14:paraId="6AB90AC6" w14:textId="77777777" w:rsidR="00BB2716" w:rsidRPr="00BB2716" w:rsidRDefault="00BB2716" w:rsidP="00BB2716">
      <w:pPr>
        <w:tabs>
          <w:tab w:val="left" w:pos="851"/>
        </w:tabs>
        <w:ind w:left="851"/>
        <w:rPr>
          <w:sz w:val="24"/>
          <w:szCs w:val="24"/>
        </w:rPr>
      </w:pPr>
    </w:p>
    <w:tbl>
      <w:tblPr>
        <w:tblW w:w="6662" w:type="dxa"/>
        <w:tblInd w:w="84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2385"/>
        <w:gridCol w:w="2384"/>
        <w:gridCol w:w="484"/>
        <w:gridCol w:w="1409"/>
      </w:tblGrid>
      <w:tr w:rsidR="00BB2716" w:rsidRPr="00BB2716" w14:paraId="2BDD1EB6" w14:textId="77777777" w:rsidTr="008A4F23">
        <w:trPr>
          <w:cantSplit/>
          <w:trHeight w:val="257"/>
        </w:trPr>
        <w:tc>
          <w:tcPr>
            <w:tcW w:w="2385" w:type="dxa"/>
            <w:tcBorders>
              <w:top w:val="single" w:sz="4" w:space="0" w:color="auto"/>
              <w:left w:val="single" w:sz="4" w:space="0" w:color="auto"/>
              <w:bottom w:val="single" w:sz="4" w:space="0" w:color="auto"/>
              <w:right w:val="single" w:sz="4" w:space="0" w:color="auto"/>
            </w:tcBorders>
            <w:hideMark/>
          </w:tcPr>
          <w:p w14:paraId="57DF3840" w14:textId="77777777" w:rsidR="00BB2716" w:rsidRPr="00BB2716" w:rsidRDefault="00BB2716" w:rsidP="008A4F23">
            <w:pPr>
              <w:rPr>
                <w:b/>
                <w:i/>
                <w:sz w:val="24"/>
                <w:szCs w:val="24"/>
                <w:lang w:val="en-GB"/>
              </w:rPr>
            </w:pPr>
            <w:r w:rsidRPr="00BB2716">
              <w:rPr>
                <w:b/>
                <w:i/>
                <w:sz w:val="24"/>
                <w:szCs w:val="24"/>
                <w:lang w:val="en-GB"/>
              </w:rPr>
              <w:t>Sporstof</w:t>
            </w:r>
          </w:p>
        </w:tc>
        <w:tc>
          <w:tcPr>
            <w:tcW w:w="2384" w:type="dxa"/>
            <w:tcBorders>
              <w:top w:val="single" w:sz="4" w:space="0" w:color="auto"/>
              <w:left w:val="single" w:sz="4" w:space="0" w:color="auto"/>
              <w:bottom w:val="single" w:sz="4" w:space="0" w:color="auto"/>
              <w:right w:val="single" w:sz="4" w:space="0" w:color="auto"/>
            </w:tcBorders>
            <w:hideMark/>
          </w:tcPr>
          <w:p w14:paraId="297DE5CA" w14:textId="77777777" w:rsidR="00BB2716" w:rsidRPr="00BB2716" w:rsidRDefault="00BB2716" w:rsidP="008A4F23">
            <w:pPr>
              <w:rPr>
                <w:b/>
                <w:i/>
                <w:sz w:val="24"/>
                <w:szCs w:val="24"/>
                <w:lang w:val="en-GB"/>
              </w:rPr>
            </w:pPr>
            <w:r w:rsidRPr="00BB2716">
              <w:rPr>
                <w:b/>
                <w:i/>
                <w:sz w:val="24"/>
                <w:szCs w:val="24"/>
                <w:lang w:val="en-GB"/>
              </w:rPr>
              <w:t>μmol/ampul</w:t>
            </w:r>
          </w:p>
        </w:tc>
        <w:tc>
          <w:tcPr>
            <w:tcW w:w="484" w:type="dxa"/>
            <w:tcBorders>
              <w:top w:val="single" w:sz="4" w:space="0" w:color="auto"/>
              <w:left w:val="single" w:sz="4" w:space="0" w:color="auto"/>
              <w:bottom w:val="single" w:sz="4" w:space="0" w:color="auto"/>
              <w:right w:val="single" w:sz="4" w:space="0" w:color="auto"/>
            </w:tcBorders>
          </w:tcPr>
          <w:p w14:paraId="5DE5377E" w14:textId="77777777" w:rsidR="00BB2716" w:rsidRPr="00BB2716" w:rsidRDefault="00BB2716" w:rsidP="008A4F23">
            <w:pPr>
              <w:rPr>
                <w:b/>
                <w:i/>
                <w:sz w:val="24"/>
                <w:szCs w:val="24"/>
                <w:lang w:val="en-GB"/>
              </w:rPr>
            </w:pPr>
          </w:p>
        </w:tc>
        <w:tc>
          <w:tcPr>
            <w:tcW w:w="1409" w:type="dxa"/>
            <w:tcBorders>
              <w:top w:val="single" w:sz="4" w:space="0" w:color="auto"/>
              <w:left w:val="single" w:sz="4" w:space="0" w:color="auto"/>
              <w:bottom w:val="single" w:sz="4" w:space="0" w:color="auto"/>
              <w:right w:val="single" w:sz="4" w:space="0" w:color="auto"/>
            </w:tcBorders>
            <w:hideMark/>
          </w:tcPr>
          <w:p w14:paraId="3D8ED70F" w14:textId="77777777" w:rsidR="00BB2716" w:rsidRPr="00BB2716" w:rsidRDefault="00BB2716" w:rsidP="008A4F23">
            <w:pPr>
              <w:rPr>
                <w:b/>
                <w:i/>
                <w:sz w:val="24"/>
                <w:szCs w:val="24"/>
                <w:lang w:val="en-GB"/>
              </w:rPr>
            </w:pPr>
            <w:r w:rsidRPr="00BB2716">
              <w:rPr>
                <w:b/>
                <w:i/>
                <w:sz w:val="24"/>
                <w:szCs w:val="24"/>
                <w:lang w:val="en-GB"/>
              </w:rPr>
              <w:t>μg/ampul</w:t>
            </w:r>
          </w:p>
        </w:tc>
      </w:tr>
      <w:tr w:rsidR="00BB2716" w:rsidRPr="00BB2716" w14:paraId="4CCC7075" w14:textId="77777777" w:rsidTr="008A4F23">
        <w:trPr>
          <w:trHeight w:val="302"/>
        </w:trPr>
        <w:tc>
          <w:tcPr>
            <w:tcW w:w="2385" w:type="dxa"/>
            <w:tcBorders>
              <w:top w:val="single" w:sz="4" w:space="0" w:color="auto"/>
              <w:left w:val="single" w:sz="4" w:space="0" w:color="auto"/>
              <w:bottom w:val="nil"/>
              <w:right w:val="single" w:sz="4" w:space="0" w:color="auto"/>
            </w:tcBorders>
            <w:hideMark/>
          </w:tcPr>
          <w:p w14:paraId="5CEFF1CD" w14:textId="77777777" w:rsidR="00BB2716" w:rsidRPr="00BB2716" w:rsidRDefault="00BB2716" w:rsidP="008A4F23">
            <w:pPr>
              <w:rPr>
                <w:sz w:val="24"/>
                <w:szCs w:val="24"/>
                <w:lang w:val="en-GB"/>
              </w:rPr>
            </w:pPr>
            <w:r w:rsidRPr="00BB2716">
              <w:rPr>
                <w:sz w:val="24"/>
                <w:szCs w:val="24"/>
                <w:lang w:val="en-GB"/>
              </w:rPr>
              <w:t>Jern</w:t>
            </w:r>
          </w:p>
        </w:tc>
        <w:tc>
          <w:tcPr>
            <w:tcW w:w="2384" w:type="dxa"/>
            <w:tcBorders>
              <w:top w:val="single" w:sz="4" w:space="0" w:color="auto"/>
              <w:left w:val="single" w:sz="4" w:space="0" w:color="auto"/>
              <w:bottom w:val="nil"/>
              <w:right w:val="single" w:sz="4" w:space="0" w:color="auto"/>
            </w:tcBorders>
            <w:hideMark/>
          </w:tcPr>
          <w:p w14:paraId="7C1C1C76" w14:textId="77777777" w:rsidR="00BB2716" w:rsidRPr="00BB2716" w:rsidRDefault="00BB2716" w:rsidP="008A4F23">
            <w:pPr>
              <w:rPr>
                <w:sz w:val="24"/>
                <w:szCs w:val="24"/>
                <w:lang w:val="en-GB"/>
              </w:rPr>
            </w:pPr>
            <w:r w:rsidRPr="00BB2716">
              <w:rPr>
                <w:sz w:val="24"/>
                <w:szCs w:val="24"/>
                <w:lang w:val="en-GB"/>
              </w:rPr>
              <w:t>18</w:t>
            </w:r>
          </w:p>
        </w:tc>
        <w:tc>
          <w:tcPr>
            <w:tcW w:w="484" w:type="dxa"/>
            <w:tcBorders>
              <w:top w:val="single" w:sz="4" w:space="0" w:color="auto"/>
              <w:left w:val="single" w:sz="4" w:space="0" w:color="auto"/>
              <w:bottom w:val="nil"/>
              <w:right w:val="single" w:sz="4" w:space="0" w:color="auto"/>
            </w:tcBorders>
            <w:hideMark/>
          </w:tcPr>
          <w:p w14:paraId="5D7CD6A6" w14:textId="77777777" w:rsidR="00BB2716" w:rsidRPr="00BB2716" w:rsidRDefault="00BB2716" w:rsidP="008A4F23">
            <w:pPr>
              <w:rPr>
                <w:sz w:val="24"/>
                <w:szCs w:val="24"/>
                <w:lang w:val="en-GB"/>
              </w:rPr>
            </w:pPr>
            <w:r w:rsidRPr="00BB2716">
              <w:rPr>
                <w:rFonts w:ascii="Cambria Math" w:hAnsi="Cambria Math" w:cs="Cambria Math"/>
                <w:sz w:val="24"/>
                <w:szCs w:val="24"/>
                <w:lang w:val="en-GB"/>
              </w:rPr>
              <w:t>≙</w:t>
            </w:r>
          </w:p>
        </w:tc>
        <w:tc>
          <w:tcPr>
            <w:tcW w:w="1409" w:type="dxa"/>
            <w:tcBorders>
              <w:top w:val="single" w:sz="4" w:space="0" w:color="auto"/>
              <w:left w:val="single" w:sz="4" w:space="0" w:color="auto"/>
              <w:bottom w:val="nil"/>
              <w:right w:val="single" w:sz="4" w:space="0" w:color="auto"/>
            </w:tcBorders>
            <w:hideMark/>
          </w:tcPr>
          <w:p w14:paraId="19437AD8" w14:textId="77777777" w:rsidR="00BB2716" w:rsidRPr="00BB2716" w:rsidRDefault="00BB2716" w:rsidP="008A4F23">
            <w:pPr>
              <w:rPr>
                <w:sz w:val="24"/>
                <w:szCs w:val="24"/>
                <w:lang w:val="en-GB"/>
              </w:rPr>
            </w:pPr>
            <w:r w:rsidRPr="00BB2716">
              <w:rPr>
                <w:sz w:val="24"/>
                <w:szCs w:val="24"/>
                <w:lang w:val="en-GB"/>
              </w:rPr>
              <w:t>1005</w:t>
            </w:r>
          </w:p>
        </w:tc>
      </w:tr>
      <w:tr w:rsidR="00BB2716" w:rsidRPr="00BB2716" w14:paraId="2B2BD96C" w14:textId="77777777" w:rsidTr="008A4F23">
        <w:trPr>
          <w:trHeight w:val="302"/>
        </w:trPr>
        <w:tc>
          <w:tcPr>
            <w:tcW w:w="2385" w:type="dxa"/>
            <w:tcBorders>
              <w:top w:val="nil"/>
              <w:left w:val="single" w:sz="4" w:space="0" w:color="auto"/>
              <w:bottom w:val="nil"/>
              <w:right w:val="single" w:sz="4" w:space="0" w:color="auto"/>
            </w:tcBorders>
            <w:hideMark/>
          </w:tcPr>
          <w:p w14:paraId="5A0316FD" w14:textId="77777777" w:rsidR="00BB2716" w:rsidRPr="00BB2716" w:rsidRDefault="00BB2716" w:rsidP="008A4F23">
            <w:pPr>
              <w:rPr>
                <w:sz w:val="24"/>
                <w:szCs w:val="24"/>
                <w:lang w:val="en-GB"/>
              </w:rPr>
            </w:pPr>
            <w:r w:rsidRPr="00BB2716">
              <w:rPr>
                <w:sz w:val="24"/>
                <w:szCs w:val="24"/>
                <w:lang w:val="en-GB"/>
              </w:rPr>
              <w:t>Zink</w:t>
            </w:r>
          </w:p>
        </w:tc>
        <w:tc>
          <w:tcPr>
            <w:tcW w:w="2384" w:type="dxa"/>
            <w:tcBorders>
              <w:top w:val="nil"/>
              <w:left w:val="single" w:sz="4" w:space="0" w:color="auto"/>
              <w:bottom w:val="nil"/>
              <w:right w:val="single" w:sz="4" w:space="0" w:color="auto"/>
            </w:tcBorders>
            <w:hideMark/>
          </w:tcPr>
          <w:p w14:paraId="4395C39F" w14:textId="77777777" w:rsidR="00BB2716" w:rsidRPr="00BB2716" w:rsidRDefault="00BB2716" w:rsidP="008A4F23">
            <w:pPr>
              <w:rPr>
                <w:sz w:val="24"/>
                <w:szCs w:val="24"/>
                <w:lang w:val="en-GB"/>
              </w:rPr>
            </w:pPr>
            <w:r w:rsidRPr="00BB2716">
              <w:rPr>
                <w:sz w:val="24"/>
                <w:szCs w:val="24"/>
                <w:lang w:val="en-GB"/>
              </w:rPr>
              <w:t>50</w:t>
            </w:r>
          </w:p>
        </w:tc>
        <w:tc>
          <w:tcPr>
            <w:tcW w:w="484" w:type="dxa"/>
            <w:tcBorders>
              <w:top w:val="nil"/>
              <w:left w:val="single" w:sz="4" w:space="0" w:color="auto"/>
              <w:bottom w:val="nil"/>
              <w:right w:val="single" w:sz="4" w:space="0" w:color="auto"/>
            </w:tcBorders>
            <w:hideMark/>
          </w:tcPr>
          <w:p w14:paraId="637E9130" w14:textId="77777777" w:rsidR="00BB2716" w:rsidRPr="00BB2716" w:rsidRDefault="00BB2716" w:rsidP="008A4F23">
            <w:pPr>
              <w:rPr>
                <w:sz w:val="24"/>
                <w:szCs w:val="24"/>
                <w:lang w:val="en-GB"/>
              </w:rPr>
            </w:pPr>
            <w:r w:rsidRPr="00BB2716">
              <w:rPr>
                <w:rFonts w:ascii="Cambria Math" w:hAnsi="Cambria Math" w:cs="Cambria Math"/>
                <w:sz w:val="24"/>
                <w:szCs w:val="24"/>
                <w:lang w:val="en-GB"/>
              </w:rPr>
              <w:t>≙</w:t>
            </w:r>
          </w:p>
        </w:tc>
        <w:tc>
          <w:tcPr>
            <w:tcW w:w="1409" w:type="dxa"/>
            <w:tcBorders>
              <w:top w:val="nil"/>
              <w:left w:val="single" w:sz="4" w:space="0" w:color="auto"/>
              <w:bottom w:val="nil"/>
              <w:right w:val="single" w:sz="4" w:space="0" w:color="auto"/>
            </w:tcBorders>
            <w:hideMark/>
          </w:tcPr>
          <w:p w14:paraId="0994C3E5" w14:textId="77777777" w:rsidR="00BB2716" w:rsidRPr="00BB2716" w:rsidRDefault="00BB2716" w:rsidP="008A4F23">
            <w:pPr>
              <w:rPr>
                <w:sz w:val="24"/>
                <w:szCs w:val="24"/>
                <w:lang w:val="en-GB"/>
              </w:rPr>
            </w:pPr>
            <w:r w:rsidRPr="00BB2716">
              <w:rPr>
                <w:sz w:val="24"/>
                <w:szCs w:val="24"/>
                <w:lang w:val="en-GB"/>
              </w:rPr>
              <w:t>3270</w:t>
            </w:r>
          </w:p>
        </w:tc>
      </w:tr>
      <w:tr w:rsidR="00BB2716" w:rsidRPr="00BB2716" w14:paraId="478BCEDC" w14:textId="77777777" w:rsidTr="008A4F23">
        <w:trPr>
          <w:trHeight w:val="318"/>
        </w:trPr>
        <w:tc>
          <w:tcPr>
            <w:tcW w:w="2385" w:type="dxa"/>
            <w:tcBorders>
              <w:top w:val="nil"/>
              <w:left w:val="single" w:sz="4" w:space="0" w:color="auto"/>
              <w:bottom w:val="nil"/>
              <w:right w:val="single" w:sz="4" w:space="0" w:color="auto"/>
            </w:tcBorders>
            <w:hideMark/>
          </w:tcPr>
          <w:p w14:paraId="4C40C4AC" w14:textId="77777777" w:rsidR="00BB2716" w:rsidRPr="00BB2716" w:rsidRDefault="00BB2716" w:rsidP="008A4F23">
            <w:pPr>
              <w:rPr>
                <w:sz w:val="24"/>
                <w:szCs w:val="24"/>
                <w:lang w:val="en-GB"/>
              </w:rPr>
            </w:pPr>
            <w:r w:rsidRPr="00BB2716">
              <w:rPr>
                <w:sz w:val="24"/>
                <w:szCs w:val="24"/>
                <w:lang w:val="en-GB"/>
              </w:rPr>
              <w:t>Mangan</w:t>
            </w:r>
          </w:p>
        </w:tc>
        <w:tc>
          <w:tcPr>
            <w:tcW w:w="2384" w:type="dxa"/>
            <w:tcBorders>
              <w:top w:val="nil"/>
              <w:left w:val="single" w:sz="4" w:space="0" w:color="auto"/>
              <w:bottom w:val="nil"/>
              <w:right w:val="single" w:sz="4" w:space="0" w:color="auto"/>
            </w:tcBorders>
            <w:hideMark/>
          </w:tcPr>
          <w:p w14:paraId="6BC5DC6A" w14:textId="77777777" w:rsidR="00BB2716" w:rsidRPr="00BB2716" w:rsidRDefault="00BB2716" w:rsidP="008A4F23">
            <w:pPr>
              <w:rPr>
                <w:sz w:val="24"/>
                <w:szCs w:val="24"/>
                <w:lang w:val="en-GB"/>
              </w:rPr>
            </w:pPr>
            <w:r w:rsidRPr="00BB2716">
              <w:rPr>
                <w:sz w:val="24"/>
                <w:szCs w:val="24"/>
                <w:lang w:val="en-GB"/>
              </w:rPr>
              <w:t>1,0</w:t>
            </w:r>
          </w:p>
        </w:tc>
        <w:tc>
          <w:tcPr>
            <w:tcW w:w="484" w:type="dxa"/>
            <w:tcBorders>
              <w:top w:val="nil"/>
              <w:left w:val="single" w:sz="4" w:space="0" w:color="auto"/>
              <w:bottom w:val="nil"/>
              <w:right w:val="single" w:sz="4" w:space="0" w:color="auto"/>
            </w:tcBorders>
            <w:hideMark/>
          </w:tcPr>
          <w:p w14:paraId="20A5B7DC" w14:textId="77777777" w:rsidR="00BB2716" w:rsidRPr="00BB2716" w:rsidRDefault="00BB2716" w:rsidP="008A4F23">
            <w:pPr>
              <w:rPr>
                <w:sz w:val="24"/>
                <w:szCs w:val="24"/>
                <w:lang w:val="en-GB"/>
              </w:rPr>
            </w:pPr>
            <w:r w:rsidRPr="00BB2716">
              <w:rPr>
                <w:rFonts w:ascii="Cambria Math" w:hAnsi="Cambria Math" w:cs="Cambria Math"/>
                <w:sz w:val="24"/>
                <w:szCs w:val="24"/>
                <w:lang w:val="en-GB"/>
              </w:rPr>
              <w:t>≙</w:t>
            </w:r>
          </w:p>
        </w:tc>
        <w:tc>
          <w:tcPr>
            <w:tcW w:w="1409" w:type="dxa"/>
            <w:tcBorders>
              <w:top w:val="nil"/>
              <w:left w:val="single" w:sz="4" w:space="0" w:color="auto"/>
              <w:bottom w:val="nil"/>
              <w:right w:val="single" w:sz="4" w:space="0" w:color="auto"/>
            </w:tcBorders>
            <w:hideMark/>
          </w:tcPr>
          <w:p w14:paraId="108B3563" w14:textId="77777777" w:rsidR="00BB2716" w:rsidRPr="00BB2716" w:rsidRDefault="00BB2716" w:rsidP="008A4F23">
            <w:pPr>
              <w:rPr>
                <w:sz w:val="24"/>
                <w:szCs w:val="24"/>
                <w:lang w:val="en-GB"/>
              </w:rPr>
            </w:pPr>
            <w:r w:rsidRPr="00BB2716">
              <w:rPr>
                <w:sz w:val="24"/>
                <w:szCs w:val="24"/>
                <w:lang w:val="en-GB"/>
              </w:rPr>
              <w:t>55</w:t>
            </w:r>
          </w:p>
        </w:tc>
      </w:tr>
      <w:tr w:rsidR="00BB2716" w:rsidRPr="00BB2716" w14:paraId="3BD0C719" w14:textId="77777777" w:rsidTr="008A4F23">
        <w:trPr>
          <w:trHeight w:val="302"/>
        </w:trPr>
        <w:tc>
          <w:tcPr>
            <w:tcW w:w="2385" w:type="dxa"/>
            <w:tcBorders>
              <w:top w:val="nil"/>
              <w:left w:val="single" w:sz="4" w:space="0" w:color="auto"/>
              <w:bottom w:val="nil"/>
              <w:right w:val="single" w:sz="4" w:space="0" w:color="auto"/>
            </w:tcBorders>
            <w:hideMark/>
          </w:tcPr>
          <w:p w14:paraId="598BBB17" w14:textId="77777777" w:rsidR="00BB2716" w:rsidRPr="00BB2716" w:rsidRDefault="00BB2716" w:rsidP="008A4F23">
            <w:pPr>
              <w:rPr>
                <w:sz w:val="24"/>
                <w:szCs w:val="24"/>
                <w:lang w:val="en-GB"/>
              </w:rPr>
            </w:pPr>
            <w:r w:rsidRPr="00BB2716">
              <w:rPr>
                <w:sz w:val="24"/>
                <w:szCs w:val="24"/>
                <w:lang w:val="en-GB"/>
              </w:rPr>
              <w:t>Kobber</w:t>
            </w:r>
          </w:p>
        </w:tc>
        <w:tc>
          <w:tcPr>
            <w:tcW w:w="2384" w:type="dxa"/>
            <w:tcBorders>
              <w:top w:val="nil"/>
              <w:left w:val="single" w:sz="4" w:space="0" w:color="auto"/>
              <w:bottom w:val="nil"/>
              <w:right w:val="single" w:sz="4" w:space="0" w:color="auto"/>
            </w:tcBorders>
            <w:hideMark/>
          </w:tcPr>
          <w:p w14:paraId="60955425" w14:textId="77777777" w:rsidR="00BB2716" w:rsidRPr="00BB2716" w:rsidRDefault="00BB2716" w:rsidP="008A4F23">
            <w:pPr>
              <w:rPr>
                <w:sz w:val="24"/>
                <w:szCs w:val="24"/>
                <w:lang w:val="en-GB"/>
              </w:rPr>
            </w:pPr>
            <w:r w:rsidRPr="00BB2716">
              <w:rPr>
                <w:sz w:val="24"/>
                <w:szCs w:val="24"/>
                <w:lang w:val="en-GB"/>
              </w:rPr>
              <w:t>6,3</w:t>
            </w:r>
          </w:p>
        </w:tc>
        <w:tc>
          <w:tcPr>
            <w:tcW w:w="484" w:type="dxa"/>
            <w:tcBorders>
              <w:top w:val="nil"/>
              <w:left w:val="single" w:sz="4" w:space="0" w:color="auto"/>
              <w:bottom w:val="nil"/>
              <w:right w:val="single" w:sz="4" w:space="0" w:color="auto"/>
            </w:tcBorders>
            <w:hideMark/>
          </w:tcPr>
          <w:p w14:paraId="5BC9F3C5" w14:textId="77777777" w:rsidR="00BB2716" w:rsidRPr="00BB2716" w:rsidRDefault="00BB2716" w:rsidP="008A4F23">
            <w:pPr>
              <w:rPr>
                <w:sz w:val="24"/>
                <w:szCs w:val="24"/>
                <w:lang w:val="en-GB"/>
              </w:rPr>
            </w:pPr>
            <w:r w:rsidRPr="00BB2716">
              <w:rPr>
                <w:rFonts w:ascii="Cambria Math" w:hAnsi="Cambria Math" w:cs="Cambria Math"/>
                <w:sz w:val="24"/>
                <w:szCs w:val="24"/>
                <w:lang w:val="en-GB"/>
              </w:rPr>
              <w:t>≙</w:t>
            </w:r>
          </w:p>
        </w:tc>
        <w:tc>
          <w:tcPr>
            <w:tcW w:w="1409" w:type="dxa"/>
            <w:tcBorders>
              <w:top w:val="nil"/>
              <w:left w:val="single" w:sz="4" w:space="0" w:color="auto"/>
              <w:bottom w:val="nil"/>
              <w:right w:val="single" w:sz="4" w:space="0" w:color="auto"/>
            </w:tcBorders>
            <w:hideMark/>
          </w:tcPr>
          <w:p w14:paraId="6D99AEB8" w14:textId="77777777" w:rsidR="00BB2716" w:rsidRPr="00BB2716" w:rsidRDefault="00BB2716" w:rsidP="008A4F23">
            <w:pPr>
              <w:rPr>
                <w:sz w:val="24"/>
                <w:szCs w:val="24"/>
                <w:lang w:val="en-GB"/>
              </w:rPr>
            </w:pPr>
            <w:r w:rsidRPr="00BB2716">
              <w:rPr>
                <w:sz w:val="24"/>
                <w:szCs w:val="24"/>
                <w:lang w:val="en-GB"/>
              </w:rPr>
              <w:t>400</w:t>
            </w:r>
          </w:p>
        </w:tc>
      </w:tr>
      <w:tr w:rsidR="00BB2716" w:rsidRPr="00BB2716" w14:paraId="6FB3D0DC" w14:textId="77777777" w:rsidTr="008A4F23">
        <w:trPr>
          <w:trHeight w:val="318"/>
        </w:trPr>
        <w:tc>
          <w:tcPr>
            <w:tcW w:w="2385" w:type="dxa"/>
            <w:tcBorders>
              <w:top w:val="nil"/>
              <w:left w:val="single" w:sz="4" w:space="0" w:color="auto"/>
              <w:bottom w:val="nil"/>
              <w:right w:val="single" w:sz="4" w:space="0" w:color="auto"/>
            </w:tcBorders>
            <w:hideMark/>
          </w:tcPr>
          <w:p w14:paraId="5372E678" w14:textId="77777777" w:rsidR="00BB2716" w:rsidRPr="00BB2716" w:rsidRDefault="00BB2716" w:rsidP="008A4F23">
            <w:pPr>
              <w:rPr>
                <w:sz w:val="24"/>
                <w:szCs w:val="24"/>
                <w:lang w:val="en-GB"/>
              </w:rPr>
            </w:pPr>
            <w:r w:rsidRPr="00BB2716">
              <w:rPr>
                <w:sz w:val="24"/>
                <w:szCs w:val="24"/>
                <w:lang w:val="en-GB"/>
              </w:rPr>
              <w:t>Chrom</w:t>
            </w:r>
          </w:p>
        </w:tc>
        <w:tc>
          <w:tcPr>
            <w:tcW w:w="2384" w:type="dxa"/>
            <w:tcBorders>
              <w:top w:val="nil"/>
              <w:left w:val="single" w:sz="4" w:space="0" w:color="auto"/>
              <w:bottom w:val="nil"/>
              <w:right w:val="single" w:sz="4" w:space="0" w:color="auto"/>
            </w:tcBorders>
            <w:hideMark/>
          </w:tcPr>
          <w:p w14:paraId="7A006202" w14:textId="77777777" w:rsidR="00BB2716" w:rsidRPr="00BB2716" w:rsidRDefault="00BB2716" w:rsidP="008A4F23">
            <w:pPr>
              <w:rPr>
                <w:sz w:val="24"/>
                <w:szCs w:val="24"/>
                <w:lang w:val="en-GB"/>
              </w:rPr>
            </w:pPr>
            <w:r w:rsidRPr="00BB2716">
              <w:rPr>
                <w:sz w:val="24"/>
                <w:szCs w:val="24"/>
                <w:lang w:val="en-GB"/>
              </w:rPr>
              <w:t>0,2</w:t>
            </w:r>
          </w:p>
        </w:tc>
        <w:tc>
          <w:tcPr>
            <w:tcW w:w="484" w:type="dxa"/>
            <w:tcBorders>
              <w:top w:val="nil"/>
              <w:left w:val="single" w:sz="4" w:space="0" w:color="auto"/>
              <w:bottom w:val="nil"/>
              <w:right w:val="single" w:sz="4" w:space="0" w:color="auto"/>
            </w:tcBorders>
            <w:hideMark/>
          </w:tcPr>
          <w:p w14:paraId="7BBCCD73" w14:textId="77777777" w:rsidR="00BB2716" w:rsidRPr="00BB2716" w:rsidRDefault="00BB2716" w:rsidP="008A4F23">
            <w:pPr>
              <w:rPr>
                <w:sz w:val="24"/>
                <w:szCs w:val="24"/>
                <w:lang w:val="en-GB"/>
              </w:rPr>
            </w:pPr>
            <w:r w:rsidRPr="00BB2716">
              <w:rPr>
                <w:rFonts w:ascii="Cambria Math" w:hAnsi="Cambria Math" w:cs="Cambria Math"/>
                <w:sz w:val="24"/>
                <w:szCs w:val="24"/>
                <w:lang w:val="en-GB"/>
              </w:rPr>
              <w:t>≙</w:t>
            </w:r>
          </w:p>
        </w:tc>
        <w:tc>
          <w:tcPr>
            <w:tcW w:w="1409" w:type="dxa"/>
            <w:tcBorders>
              <w:top w:val="nil"/>
              <w:left w:val="single" w:sz="4" w:space="0" w:color="auto"/>
              <w:bottom w:val="nil"/>
              <w:right w:val="single" w:sz="4" w:space="0" w:color="auto"/>
            </w:tcBorders>
            <w:hideMark/>
          </w:tcPr>
          <w:p w14:paraId="1522B62E" w14:textId="77777777" w:rsidR="00BB2716" w:rsidRPr="00BB2716" w:rsidRDefault="00BB2716" w:rsidP="008A4F23">
            <w:pPr>
              <w:rPr>
                <w:sz w:val="24"/>
                <w:szCs w:val="24"/>
                <w:lang w:val="en-GB"/>
              </w:rPr>
            </w:pPr>
            <w:r w:rsidRPr="00BB2716">
              <w:rPr>
                <w:sz w:val="24"/>
                <w:szCs w:val="24"/>
                <w:lang w:val="en-GB"/>
              </w:rPr>
              <w:t>10</w:t>
            </w:r>
          </w:p>
        </w:tc>
      </w:tr>
      <w:tr w:rsidR="00BB2716" w:rsidRPr="00BB2716" w14:paraId="79FA4A47" w14:textId="77777777" w:rsidTr="008A4F23">
        <w:trPr>
          <w:trHeight w:val="302"/>
        </w:trPr>
        <w:tc>
          <w:tcPr>
            <w:tcW w:w="2385" w:type="dxa"/>
            <w:tcBorders>
              <w:top w:val="nil"/>
              <w:left w:val="single" w:sz="4" w:space="0" w:color="auto"/>
              <w:bottom w:val="nil"/>
              <w:right w:val="single" w:sz="4" w:space="0" w:color="auto"/>
            </w:tcBorders>
            <w:hideMark/>
          </w:tcPr>
          <w:p w14:paraId="60607311" w14:textId="77777777" w:rsidR="00BB2716" w:rsidRPr="00BB2716" w:rsidRDefault="00BB2716" w:rsidP="008A4F23">
            <w:pPr>
              <w:rPr>
                <w:sz w:val="24"/>
                <w:szCs w:val="24"/>
                <w:lang w:val="en-GB"/>
              </w:rPr>
            </w:pPr>
            <w:r w:rsidRPr="00BB2716">
              <w:rPr>
                <w:sz w:val="24"/>
                <w:szCs w:val="24"/>
                <w:lang w:val="en-GB"/>
              </w:rPr>
              <w:t>Selen</w:t>
            </w:r>
          </w:p>
        </w:tc>
        <w:tc>
          <w:tcPr>
            <w:tcW w:w="2384" w:type="dxa"/>
            <w:tcBorders>
              <w:top w:val="nil"/>
              <w:left w:val="single" w:sz="4" w:space="0" w:color="auto"/>
              <w:bottom w:val="nil"/>
              <w:right w:val="single" w:sz="4" w:space="0" w:color="auto"/>
            </w:tcBorders>
            <w:hideMark/>
          </w:tcPr>
          <w:p w14:paraId="6F2B49C9" w14:textId="77777777" w:rsidR="00BB2716" w:rsidRPr="00BB2716" w:rsidRDefault="00BB2716" w:rsidP="008A4F23">
            <w:pPr>
              <w:rPr>
                <w:sz w:val="24"/>
                <w:szCs w:val="24"/>
                <w:lang w:val="en-GB"/>
              </w:rPr>
            </w:pPr>
            <w:r w:rsidRPr="00BB2716">
              <w:rPr>
                <w:sz w:val="24"/>
                <w:szCs w:val="24"/>
                <w:lang w:val="en-GB"/>
              </w:rPr>
              <w:t>1,0</w:t>
            </w:r>
          </w:p>
        </w:tc>
        <w:tc>
          <w:tcPr>
            <w:tcW w:w="484" w:type="dxa"/>
            <w:tcBorders>
              <w:top w:val="nil"/>
              <w:left w:val="single" w:sz="4" w:space="0" w:color="auto"/>
              <w:bottom w:val="nil"/>
              <w:right w:val="single" w:sz="4" w:space="0" w:color="auto"/>
            </w:tcBorders>
            <w:hideMark/>
          </w:tcPr>
          <w:p w14:paraId="6ABA9276" w14:textId="77777777" w:rsidR="00BB2716" w:rsidRPr="00BB2716" w:rsidRDefault="00BB2716" w:rsidP="008A4F23">
            <w:pPr>
              <w:rPr>
                <w:sz w:val="24"/>
                <w:szCs w:val="24"/>
                <w:lang w:val="en-GB"/>
              </w:rPr>
            </w:pPr>
            <w:r w:rsidRPr="00BB2716">
              <w:rPr>
                <w:rFonts w:ascii="Cambria Math" w:hAnsi="Cambria Math" w:cs="Cambria Math"/>
                <w:sz w:val="24"/>
                <w:szCs w:val="24"/>
                <w:lang w:val="en-GB"/>
              </w:rPr>
              <w:t>≙</w:t>
            </w:r>
          </w:p>
        </w:tc>
        <w:tc>
          <w:tcPr>
            <w:tcW w:w="1409" w:type="dxa"/>
            <w:tcBorders>
              <w:top w:val="nil"/>
              <w:left w:val="single" w:sz="4" w:space="0" w:color="auto"/>
              <w:bottom w:val="nil"/>
              <w:right w:val="single" w:sz="4" w:space="0" w:color="auto"/>
            </w:tcBorders>
            <w:hideMark/>
          </w:tcPr>
          <w:p w14:paraId="1291AF2F" w14:textId="77777777" w:rsidR="00BB2716" w:rsidRPr="00BB2716" w:rsidRDefault="00BB2716" w:rsidP="008A4F23">
            <w:pPr>
              <w:rPr>
                <w:sz w:val="24"/>
                <w:szCs w:val="24"/>
                <w:lang w:val="en-GB"/>
              </w:rPr>
            </w:pPr>
            <w:r w:rsidRPr="00BB2716">
              <w:rPr>
                <w:sz w:val="24"/>
                <w:szCs w:val="24"/>
                <w:lang w:val="en-GB"/>
              </w:rPr>
              <w:t>79</w:t>
            </w:r>
          </w:p>
        </w:tc>
      </w:tr>
      <w:tr w:rsidR="00BB2716" w:rsidRPr="00BB2716" w14:paraId="6D5FF6D1" w14:textId="77777777" w:rsidTr="008A4F23">
        <w:trPr>
          <w:trHeight w:val="318"/>
        </w:trPr>
        <w:tc>
          <w:tcPr>
            <w:tcW w:w="2385" w:type="dxa"/>
            <w:tcBorders>
              <w:top w:val="nil"/>
              <w:left w:val="single" w:sz="4" w:space="0" w:color="auto"/>
              <w:bottom w:val="nil"/>
              <w:right w:val="single" w:sz="4" w:space="0" w:color="auto"/>
            </w:tcBorders>
            <w:hideMark/>
          </w:tcPr>
          <w:p w14:paraId="12008C71" w14:textId="77777777" w:rsidR="00BB2716" w:rsidRPr="00BB2716" w:rsidRDefault="00BB2716" w:rsidP="008A4F23">
            <w:pPr>
              <w:rPr>
                <w:sz w:val="24"/>
                <w:szCs w:val="24"/>
                <w:lang w:val="en-GB"/>
              </w:rPr>
            </w:pPr>
            <w:r w:rsidRPr="00BB2716">
              <w:rPr>
                <w:sz w:val="24"/>
                <w:szCs w:val="24"/>
                <w:lang w:val="en-GB"/>
              </w:rPr>
              <w:t>Molybdæn</w:t>
            </w:r>
          </w:p>
        </w:tc>
        <w:tc>
          <w:tcPr>
            <w:tcW w:w="2384" w:type="dxa"/>
            <w:tcBorders>
              <w:top w:val="nil"/>
              <w:left w:val="single" w:sz="4" w:space="0" w:color="auto"/>
              <w:bottom w:val="nil"/>
              <w:right w:val="single" w:sz="4" w:space="0" w:color="auto"/>
            </w:tcBorders>
            <w:hideMark/>
          </w:tcPr>
          <w:p w14:paraId="3A188E43" w14:textId="77777777" w:rsidR="00BB2716" w:rsidRPr="00BB2716" w:rsidRDefault="00BB2716" w:rsidP="008A4F23">
            <w:pPr>
              <w:rPr>
                <w:sz w:val="24"/>
                <w:szCs w:val="24"/>
                <w:lang w:val="en-GB"/>
              </w:rPr>
            </w:pPr>
            <w:r w:rsidRPr="00BB2716">
              <w:rPr>
                <w:sz w:val="24"/>
                <w:szCs w:val="24"/>
                <w:lang w:val="en-GB"/>
              </w:rPr>
              <w:t>0,2</w:t>
            </w:r>
          </w:p>
        </w:tc>
        <w:tc>
          <w:tcPr>
            <w:tcW w:w="484" w:type="dxa"/>
            <w:tcBorders>
              <w:top w:val="nil"/>
              <w:left w:val="single" w:sz="4" w:space="0" w:color="auto"/>
              <w:bottom w:val="nil"/>
              <w:right w:val="single" w:sz="4" w:space="0" w:color="auto"/>
            </w:tcBorders>
            <w:hideMark/>
          </w:tcPr>
          <w:p w14:paraId="5B16778E" w14:textId="77777777" w:rsidR="00BB2716" w:rsidRPr="00BB2716" w:rsidRDefault="00BB2716" w:rsidP="008A4F23">
            <w:pPr>
              <w:rPr>
                <w:sz w:val="24"/>
                <w:szCs w:val="24"/>
                <w:lang w:val="en-GB"/>
              </w:rPr>
            </w:pPr>
            <w:r w:rsidRPr="00BB2716">
              <w:rPr>
                <w:rFonts w:ascii="Cambria Math" w:hAnsi="Cambria Math" w:cs="Cambria Math"/>
                <w:sz w:val="24"/>
                <w:szCs w:val="24"/>
                <w:lang w:val="en-GB"/>
              </w:rPr>
              <w:t>≙</w:t>
            </w:r>
          </w:p>
        </w:tc>
        <w:tc>
          <w:tcPr>
            <w:tcW w:w="1409" w:type="dxa"/>
            <w:tcBorders>
              <w:top w:val="nil"/>
              <w:left w:val="single" w:sz="4" w:space="0" w:color="auto"/>
              <w:bottom w:val="nil"/>
              <w:right w:val="single" w:sz="4" w:space="0" w:color="auto"/>
            </w:tcBorders>
            <w:hideMark/>
          </w:tcPr>
          <w:p w14:paraId="07F56CEA" w14:textId="77777777" w:rsidR="00BB2716" w:rsidRPr="00BB2716" w:rsidRDefault="00BB2716" w:rsidP="008A4F23">
            <w:pPr>
              <w:rPr>
                <w:sz w:val="24"/>
                <w:szCs w:val="24"/>
                <w:lang w:val="en-GB"/>
              </w:rPr>
            </w:pPr>
            <w:r w:rsidRPr="00BB2716">
              <w:rPr>
                <w:sz w:val="24"/>
                <w:szCs w:val="24"/>
                <w:lang w:val="en-GB"/>
              </w:rPr>
              <w:t>19</w:t>
            </w:r>
          </w:p>
        </w:tc>
      </w:tr>
      <w:tr w:rsidR="00BB2716" w:rsidRPr="00BB2716" w14:paraId="77A41112" w14:textId="77777777" w:rsidTr="008A4F23">
        <w:trPr>
          <w:trHeight w:val="302"/>
        </w:trPr>
        <w:tc>
          <w:tcPr>
            <w:tcW w:w="2385" w:type="dxa"/>
            <w:tcBorders>
              <w:top w:val="nil"/>
              <w:left w:val="single" w:sz="4" w:space="0" w:color="auto"/>
              <w:bottom w:val="nil"/>
              <w:right w:val="single" w:sz="4" w:space="0" w:color="auto"/>
            </w:tcBorders>
            <w:hideMark/>
          </w:tcPr>
          <w:p w14:paraId="158C9768" w14:textId="77777777" w:rsidR="00BB2716" w:rsidRPr="00BB2716" w:rsidRDefault="00BB2716" w:rsidP="008A4F23">
            <w:pPr>
              <w:rPr>
                <w:sz w:val="24"/>
                <w:szCs w:val="24"/>
                <w:lang w:val="en-GB"/>
              </w:rPr>
            </w:pPr>
            <w:r w:rsidRPr="00BB2716">
              <w:rPr>
                <w:sz w:val="24"/>
                <w:szCs w:val="24"/>
                <w:lang w:val="en-GB"/>
              </w:rPr>
              <w:t>Iod</w:t>
            </w:r>
          </w:p>
        </w:tc>
        <w:tc>
          <w:tcPr>
            <w:tcW w:w="2384" w:type="dxa"/>
            <w:tcBorders>
              <w:top w:val="nil"/>
              <w:left w:val="single" w:sz="4" w:space="0" w:color="auto"/>
              <w:bottom w:val="nil"/>
              <w:right w:val="single" w:sz="4" w:space="0" w:color="auto"/>
            </w:tcBorders>
            <w:hideMark/>
          </w:tcPr>
          <w:p w14:paraId="4D991E69" w14:textId="77777777" w:rsidR="00BB2716" w:rsidRPr="00BB2716" w:rsidRDefault="00BB2716" w:rsidP="008A4F23">
            <w:pPr>
              <w:rPr>
                <w:sz w:val="24"/>
                <w:szCs w:val="24"/>
                <w:lang w:val="en-GB"/>
              </w:rPr>
            </w:pPr>
            <w:r w:rsidRPr="00BB2716">
              <w:rPr>
                <w:sz w:val="24"/>
                <w:szCs w:val="24"/>
                <w:lang w:val="en-GB"/>
              </w:rPr>
              <w:t>1,0</w:t>
            </w:r>
          </w:p>
        </w:tc>
        <w:tc>
          <w:tcPr>
            <w:tcW w:w="484" w:type="dxa"/>
            <w:tcBorders>
              <w:top w:val="nil"/>
              <w:left w:val="single" w:sz="4" w:space="0" w:color="auto"/>
              <w:bottom w:val="nil"/>
              <w:right w:val="single" w:sz="4" w:space="0" w:color="auto"/>
            </w:tcBorders>
            <w:hideMark/>
          </w:tcPr>
          <w:p w14:paraId="063093BD" w14:textId="77777777" w:rsidR="00BB2716" w:rsidRPr="00BB2716" w:rsidRDefault="00BB2716" w:rsidP="008A4F23">
            <w:pPr>
              <w:rPr>
                <w:sz w:val="24"/>
                <w:szCs w:val="24"/>
                <w:lang w:val="en-GB"/>
              </w:rPr>
            </w:pPr>
            <w:r w:rsidRPr="00BB2716">
              <w:rPr>
                <w:rFonts w:ascii="Cambria Math" w:hAnsi="Cambria Math" w:cs="Cambria Math"/>
                <w:sz w:val="24"/>
                <w:szCs w:val="24"/>
                <w:lang w:val="en-GB"/>
              </w:rPr>
              <w:t>≙</w:t>
            </w:r>
          </w:p>
        </w:tc>
        <w:tc>
          <w:tcPr>
            <w:tcW w:w="1409" w:type="dxa"/>
            <w:tcBorders>
              <w:top w:val="nil"/>
              <w:left w:val="single" w:sz="4" w:space="0" w:color="auto"/>
              <w:bottom w:val="nil"/>
              <w:right w:val="single" w:sz="4" w:space="0" w:color="auto"/>
            </w:tcBorders>
            <w:hideMark/>
          </w:tcPr>
          <w:p w14:paraId="10A07B3A" w14:textId="77777777" w:rsidR="00BB2716" w:rsidRPr="00BB2716" w:rsidRDefault="00BB2716" w:rsidP="008A4F23">
            <w:pPr>
              <w:rPr>
                <w:sz w:val="24"/>
                <w:szCs w:val="24"/>
                <w:lang w:val="en-GB"/>
              </w:rPr>
            </w:pPr>
            <w:r w:rsidRPr="00BB2716">
              <w:rPr>
                <w:sz w:val="24"/>
                <w:szCs w:val="24"/>
                <w:lang w:val="en-GB"/>
              </w:rPr>
              <w:t>127</w:t>
            </w:r>
          </w:p>
        </w:tc>
      </w:tr>
      <w:tr w:rsidR="00BB2716" w:rsidRPr="00BB2716" w14:paraId="10290ECD" w14:textId="77777777" w:rsidTr="008A4F23">
        <w:trPr>
          <w:trHeight w:val="302"/>
        </w:trPr>
        <w:tc>
          <w:tcPr>
            <w:tcW w:w="2385" w:type="dxa"/>
            <w:tcBorders>
              <w:top w:val="nil"/>
              <w:left w:val="single" w:sz="4" w:space="0" w:color="auto"/>
              <w:bottom w:val="single" w:sz="4" w:space="0" w:color="auto"/>
              <w:right w:val="single" w:sz="4" w:space="0" w:color="auto"/>
            </w:tcBorders>
            <w:hideMark/>
          </w:tcPr>
          <w:p w14:paraId="6C2FD7CC" w14:textId="77777777" w:rsidR="00BB2716" w:rsidRPr="00BB2716" w:rsidRDefault="00BB2716" w:rsidP="008A4F23">
            <w:pPr>
              <w:rPr>
                <w:sz w:val="24"/>
                <w:szCs w:val="24"/>
                <w:lang w:val="en-GB"/>
              </w:rPr>
            </w:pPr>
            <w:r w:rsidRPr="00BB2716">
              <w:rPr>
                <w:sz w:val="24"/>
                <w:szCs w:val="24"/>
                <w:lang w:val="en-GB"/>
              </w:rPr>
              <w:t>Fluor</w:t>
            </w:r>
          </w:p>
        </w:tc>
        <w:tc>
          <w:tcPr>
            <w:tcW w:w="2384" w:type="dxa"/>
            <w:tcBorders>
              <w:top w:val="nil"/>
              <w:left w:val="single" w:sz="4" w:space="0" w:color="auto"/>
              <w:bottom w:val="single" w:sz="4" w:space="0" w:color="auto"/>
              <w:right w:val="single" w:sz="4" w:space="0" w:color="auto"/>
            </w:tcBorders>
            <w:hideMark/>
          </w:tcPr>
          <w:p w14:paraId="02769B7C" w14:textId="77777777" w:rsidR="00BB2716" w:rsidRPr="00BB2716" w:rsidRDefault="00BB2716" w:rsidP="008A4F23">
            <w:pPr>
              <w:rPr>
                <w:sz w:val="24"/>
                <w:szCs w:val="24"/>
                <w:lang w:val="en-GB"/>
              </w:rPr>
            </w:pPr>
            <w:r w:rsidRPr="00BB2716">
              <w:rPr>
                <w:sz w:val="24"/>
                <w:szCs w:val="24"/>
                <w:lang w:val="en-GB"/>
              </w:rPr>
              <w:t>50</w:t>
            </w:r>
          </w:p>
        </w:tc>
        <w:tc>
          <w:tcPr>
            <w:tcW w:w="484" w:type="dxa"/>
            <w:tcBorders>
              <w:top w:val="nil"/>
              <w:left w:val="single" w:sz="4" w:space="0" w:color="auto"/>
              <w:bottom w:val="single" w:sz="4" w:space="0" w:color="auto"/>
              <w:right w:val="single" w:sz="4" w:space="0" w:color="auto"/>
            </w:tcBorders>
            <w:hideMark/>
          </w:tcPr>
          <w:p w14:paraId="1B378697" w14:textId="77777777" w:rsidR="00BB2716" w:rsidRPr="00BB2716" w:rsidRDefault="00BB2716" w:rsidP="008A4F23">
            <w:pPr>
              <w:rPr>
                <w:sz w:val="24"/>
                <w:szCs w:val="24"/>
                <w:lang w:val="en-GB"/>
              </w:rPr>
            </w:pPr>
            <w:r w:rsidRPr="00BB2716">
              <w:rPr>
                <w:rFonts w:ascii="Cambria Math" w:hAnsi="Cambria Math" w:cs="Cambria Math"/>
                <w:sz w:val="24"/>
                <w:szCs w:val="24"/>
                <w:lang w:val="en-GB"/>
              </w:rPr>
              <w:t>≙</w:t>
            </w:r>
          </w:p>
        </w:tc>
        <w:tc>
          <w:tcPr>
            <w:tcW w:w="1409" w:type="dxa"/>
            <w:tcBorders>
              <w:top w:val="nil"/>
              <w:left w:val="single" w:sz="4" w:space="0" w:color="auto"/>
              <w:bottom w:val="single" w:sz="4" w:space="0" w:color="auto"/>
              <w:right w:val="single" w:sz="4" w:space="0" w:color="auto"/>
            </w:tcBorders>
            <w:hideMark/>
          </w:tcPr>
          <w:p w14:paraId="3C331E95" w14:textId="77777777" w:rsidR="00BB2716" w:rsidRPr="00BB2716" w:rsidRDefault="00BB2716" w:rsidP="008A4F23">
            <w:pPr>
              <w:rPr>
                <w:sz w:val="24"/>
                <w:szCs w:val="24"/>
                <w:lang w:val="en-GB"/>
              </w:rPr>
            </w:pPr>
            <w:r w:rsidRPr="00BB2716">
              <w:rPr>
                <w:sz w:val="24"/>
                <w:szCs w:val="24"/>
                <w:lang w:val="en-GB"/>
              </w:rPr>
              <w:t>950</w:t>
            </w:r>
          </w:p>
        </w:tc>
      </w:tr>
    </w:tbl>
    <w:p w14:paraId="12298BB1" w14:textId="740A7CF0" w:rsidR="005540F9" w:rsidRDefault="005540F9" w:rsidP="00BB2716">
      <w:pPr>
        <w:tabs>
          <w:tab w:val="left" w:pos="851"/>
        </w:tabs>
        <w:ind w:left="851"/>
        <w:rPr>
          <w:iCs/>
          <w:sz w:val="24"/>
          <w:szCs w:val="24"/>
        </w:rPr>
      </w:pPr>
    </w:p>
    <w:p w14:paraId="5167E69E" w14:textId="77777777" w:rsidR="005540F9" w:rsidRDefault="005540F9">
      <w:pPr>
        <w:rPr>
          <w:iCs/>
          <w:sz w:val="24"/>
          <w:szCs w:val="24"/>
        </w:rPr>
      </w:pPr>
      <w:r>
        <w:rPr>
          <w:iCs/>
          <w:sz w:val="24"/>
          <w:szCs w:val="24"/>
        </w:rPr>
        <w:br w:type="page"/>
      </w:r>
    </w:p>
    <w:p w14:paraId="2256B92B" w14:textId="77777777" w:rsidR="00BB2716" w:rsidRPr="00BB2716" w:rsidRDefault="00BB2716" w:rsidP="00BB2716">
      <w:pPr>
        <w:tabs>
          <w:tab w:val="left" w:pos="851"/>
        </w:tabs>
        <w:ind w:left="851"/>
        <w:rPr>
          <w:iCs/>
          <w:sz w:val="24"/>
          <w:szCs w:val="24"/>
        </w:rPr>
      </w:pPr>
    </w:p>
    <w:p w14:paraId="5EE0C823" w14:textId="77777777" w:rsidR="00BB2716" w:rsidRPr="00BB2716" w:rsidRDefault="00BB2716" w:rsidP="008A4F23">
      <w:pPr>
        <w:ind w:left="851"/>
        <w:rPr>
          <w:iCs/>
          <w:sz w:val="24"/>
          <w:szCs w:val="24"/>
        </w:rPr>
      </w:pPr>
      <w:r w:rsidRPr="00BB2716">
        <w:rPr>
          <w:iCs/>
          <w:sz w:val="24"/>
          <w:szCs w:val="24"/>
        </w:rPr>
        <w:t>Hjælpestof, som behandleren skal være opmærksom på:</w:t>
      </w:r>
    </w:p>
    <w:p w14:paraId="706AC173" w14:textId="77777777" w:rsidR="00BB2716" w:rsidRPr="00BB2716" w:rsidRDefault="00BB2716" w:rsidP="008A4F23">
      <w:pPr>
        <w:ind w:left="851"/>
        <w:rPr>
          <w:i/>
          <w:sz w:val="24"/>
          <w:szCs w:val="24"/>
        </w:rPr>
      </w:pPr>
      <w:r w:rsidRPr="00BB2716">
        <w:rPr>
          <w:sz w:val="24"/>
          <w:szCs w:val="24"/>
        </w:rPr>
        <w:t>Dette lægemiddel indeholder mindre end 1 mmol natrium (23 mg) pr. ampul (10 ml), dvs. det er i det væsentlige ‘natriumfrit’.</w:t>
      </w:r>
    </w:p>
    <w:p w14:paraId="4A8C57B5" w14:textId="77777777" w:rsidR="00BB2716" w:rsidRPr="00BB2716" w:rsidRDefault="00BB2716" w:rsidP="008A4F23">
      <w:pPr>
        <w:ind w:left="851"/>
        <w:rPr>
          <w:sz w:val="24"/>
          <w:szCs w:val="24"/>
        </w:rPr>
      </w:pPr>
    </w:p>
    <w:p w14:paraId="050D8935" w14:textId="77777777" w:rsidR="00BB2716" w:rsidRPr="00BB2716" w:rsidRDefault="00BB2716" w:rsidP="008A4F23">
      <w:pPr>
        <w:ind w:left="851"/>
        <w:rPr>
          <w:sz w:val="24"/>
          <w:szCs w:val="24"/>
        </w:rPr>
      </w:pPr>
      <w:r w:rsidRPr="00BB2716">
        <w:rPr>
          <w:sz w:val="24"/>
          <w:szCs w:val="24"/>
        </w:rPr>
        <w:t>Alle hjælpestoffer er anført under pkt. 6.1.</w:t>
      </w:r>
    </w:p>
    <w:p w14:paraId="4A72BE2D" w14:textId="77777777" w:rsidR="009260DE" w:rsidRPr="008A4F23" w:rsidRDefault="009260DE" w:rsidP="009260DE">
      <w:pPr>
        <w:tabs>
          <w:tab w:val="left" w:pos="851"/>
        </w:tabs>
        <w:ind w:left="851"/>
        <w:rPr>
          <w:sz w:val="24"/>
          <w:szCs w:val="24"/>
        </w:rPr>
      </w:pPr>
    </w:p>
    <w:p w14:paraId="2EF6B20B" w14:textId="77777777" w:rsidR="009260DE" w:rsidRPr="008A4F23" w:rsidRDefault="009260DE" w:rsidP="009260DE">
      <w:pPr>
        <w:tabs>
          <w:tab w:val="left" w:pos="851"/>
        </w:tabs>
        <w:ind w:left="851" w:hanging="851"/>
        <w:rPr>
          <w:b/>
          <w:sz w:val="24"/>
          <w:szCs w:val="24"/>
        </w:rPr>
      </w:pPr>
      <w:r w:rsidRPr="008A4F23">
        <w:rPr>
          <w:b/>
          <w:sz w:val="24"/>
          <w:szCs w:val="24"/>
        </w:rPr>
        <w:t>3.</w:t>
      </w:r>
      <w:r w:rsidRPr="008A4F23">
        <w:rPr>
          <w:b/>
          <w:sz w:val="24"/>
          <w:szCs w:val="24"/>
        </w:rPr>
        <w:tab/>
        <w:t>LÆGEMIDDELFORM</w:t>
      </w:r>
    </w:p>
    <w:p w14:paraId="7E43D814" w14:textId="1A0716BD" w:rsidR="00BB2716" w:rsidRDefault="00BB2716" w:rsidP="008A4F23">
      <w:pPr>
        <w:ind w:left="851"/>
        <w:rPr>
          <w:sz w:val="24"/>
          <w:szCs w:val="24"/>
        </w:rPr>
      </w:pPr>
      <w:r w:rsidRPr="00BB2716">
        <w:rPr>
          <w:sz w:val="24"/>
          <w:szCs w:val="24"/>
        </w:rPr>
        <w:t>Koncentrat til infusionsvæske, opløsning (sterilt koncentrat)</w:t>
      </w:r>
    </w:p>
    <w:p w14:paraId="27158895" w14:textId="77777777" w:rsidR="005540F9" w:rsidRPr="00BB2716" w:rsidRDefault="005540F9" w:rsidP="008A4F23">
      <w:pPr>
        <w:ind w:left="851"/>
        <w:rPr>
          <w:sz w:val="24"/>
          <w:szCs w:val="24"/>
        </w:rPr>
      </w:pPr>
    </w:p>
    <w:p w14:paraId="0BC56078" w14:textId="77777777" w:rsidR="00BB2716" w:rsidRPr="00BB2716" w:rsidRDefault="00BB2716" w:rsidP="008A4F23">
      <w:pPr>
        <w:ind w:left="851"/>
        <w:rPr>
          <w:sz w:val="24"/>
          <w:szCs w:val="24"/>
        </w:rPr>
      </w:pPr>
      <w:r w:rsidRPr="00BB2716">
        <w:rPr>
          <w:sz w:val="24"/>
          <w:szCs w:val="24"/>
        </w:rPr>
        <w:t>Klar, næsten farveløs til let gullig-brunlig vandig opløsning</w:t>
      </w:r>
      <w:bookmarkStart w:id="1" w:name="_Hlk224733947"/>
      <w:r w:rsidRPr="00BB2716">
        <w:rPr>
          <w:sz w:val="24"/>
          <w:szCs w:val="24"/>
        </w:rPr>
        <w:t>, praktisk taget fri for synlige partikle</w:t>
      </w:r>
      <w:bookmarkEnd w:id="1"/>
      <w:r w:rsidRPr="00BB2716">
        <w:rPr>
          <w:sz w:val="24"/>
          <w:szCs w:val="24"/>
        </w:rPr>
        <w:t>r.</w:t>
      </w:r>
    </w:p>
    <w:p w14:paraId="2E128FF8" w14:textId="77777777" w:rsidR="00BB2716" w:rsidRPr="00BB2716" w:rsidRDefault="00BB2716" w:rsidP="008A4F23">
      <w:pPr>
        <w:ind w:left="851"/>
        <w:rPr>
          <w:sz w:val="24"/>
          <w:szCs w:val="24"/>
        </w:rPr>
      </w:pPr>
      <w:bookmarkStart w:id="2" w:name="_Hlk118447400"/>
      <w:r w:rsidRPr="00BB2716">
        <w:rPr>
          <w:sz w:val="24"/>
          <w:szCs w:val="24"/>
        </w:rPr>
        <w:t>Maksimal teoretisk osmolaritet: 2065 mOsmol/l.</w:t>
      </w:r>
    </w:p>
    <w:p w14:paraId="1929F5A9" w14:textId="3114253D" w:rsidR="00BB2716" w:rsidRPr="00BB2716" w:rsidRDefault="00BB2716" w:rsidP="008A4F23">
      <w:pPr>
        <w:ind w:left="851"/>
        <w:rPr>
          <w:sz w:val="24"/>
          <w:szCs w:val="24"/>
        </w:rPr>
      </w:pPr>
      <w:r w:rsidRPr="00BB2716">
        <w:rPr>
          <w:sz w:val="24"/>
          <w:szCs w:val="24"/>
        </w:rPr>
        <w:t xml:space="preserve">pH: </w:t>
      </w:r>
      <w:r w:rsidRPr="00BB2716">
        <w:rPr>
          <w:sz w:val="24"/>
          <w:szCs w:val="24"/>
        </w:rPr>
        <w:tab/>
      </w:r>
      <w:r w:rsidRPr="00BB2716">
        <w:rPr>
          <w:sz w:val="24"/>
          <w:szCs w:val="24"/>
        </w:rPr>
        <w:tab/>
        <w:t>2,3 – 2,9</w:t>
      </w:r>
      <w:bookmarkEnd w:id="2"/>
    </w:p>
    <w:p w14:paraId="64F3CD96" w14:textId="77777777" w:rsidR="009260DE" w:rsidRPr="008A4F23" w:rsidRDefault="009260DE" w:rsidP="009260DE">
      <w:pPr>
        <w:tabs>
          <w:tab w:val="left" w:pos="851"/>
        </w:tabs>
        <w:ind w:left="851"/>
        <w:rPr>
          <w:sz w:val="24"/>
          <w:szCs w:val="24"/>
        </w:rPr>
      </w:pPr>
    </w:p>
    <w:p w14:paraId="7822D845" w14:textId="77777777" w:rsidR="009260DE" w:rsidRPr="008A4F23" w:rsidRDefault="009260DE" w:rsidP="009260DE">
      <w:pPr>
        <w:tabs>
          <w:tab w:val="left" w:pos="851"/>
        </w:tabs>
        <w:ind w:left="851"/>
        <w:rPr>
          <w:sz w:val="24"/>
          <w:szCs w:val="24"/>
        </w:rPr>
      </w:pPr>
    </w:p>
    <w:p w14:paraId="6BCFB4AB" w14:textId="77777777" w:rsidR="009260DE" w:rsidRPr="008A4F23" w:rsidRDefault="009260DE" w:rsidP="009260DE">
      <w:pPr>
        <w:tabs>
          <w:tab w:val="left" w:pos="851"/>
        </w:tabs>
        <w:ind w:left="851" w:hanging="851"/>
        <w:rPr>
          <w:b/>
          <w:sz w:val="24"/>
          <w:szCs w:val="24"/>
        </w:rPr>
      </w:pPr>
      <w:r w:rsidRPr="008A4F23">
        <w:rPr>
          <w:b/>
          <w:sz w:val="24"/>
          <w:szCs w:val="24"/>
        </w:rPr>
        <w:t>4.</w:t>
      </w:r>
      <w:r w:rsidRPr="008A4F23">
        <w:rPr>
          <w:b/>
          <w:sz w:val="24"/>
          <w:szCs w:val="24"/>
        </w:rPr>
        <w:tab/>
        <w:t>KLINISKE OPLYSNINGER</w:t>
      </w:r>
    </w:p>
    <w:p w14:paraId="1A52E9A7" w14:textId="77777777" w:rsidR="009260DE" w:rsidRPr="008A4F23" w:rsidRDefault="009260DE" w:rsidP="009260DE">
      <w:pPr>
        <w:tabs>
          <w:tab w:val="left" w:pos="851"/>
        </w:tabs>
        <w:ind w:left="851"/>
        <w:rPr>
          <w:b/>
          <w:sz w:val="24"/>
          <w:szCs w:val="24"/>
        </w:rPr>
      </w:pPr>
    </w:p>
    <w:p w14:paraId="79DA63F0" w14:textId="77777777" w:rsidR="009260DE" w:rsidRPr="008A4F23" w:rsidRDefault="009260DE" w:rsidP="009260DE">
      <w:pPr>
        <w:tabs>
          <w:tab w:val="left" w:pos="851"/>
        </w:tabs>
        <w:ind w:left="851" w:hanging="851"/>
        <w:rPr>
          <w:b/>
          <w:sz w:val="24"/>
          <w:szCs w:val="24"/>
          <w:u w:val="single"/>
        </w:rPr>
      </w:pPr>
      <w:r w:rsidRPr="008A4F23">
        <w:rPr>
          <w:b/>
          <w:sz w:val="24"/>
          <w:szCs w:val="24"/>
        </w:rPr>
        <w:t>4.1</w:t>
      </w:r>
      <w:r w:rsidRPr="008A4F23">
        <w:rPr>
          <w:b/>
          <w:sz w:val="24"/>
          <w:szCs w:val="24"/>
        </w:rPr>
        <w:tab/>
        <w:t>Terapeutiske indikationer</w:t>
      </w:r>
    </w:p>
    <w:p w14:paraId="71609E2C" w14:textId="77777777" w:rsidR="00BB2716" w:rsidRPr="00BB2716" w:rsidRDefault="00BB2716" w:rsidP="008A4F23">
      <w:pPr>
        <w:ind w:left="851"/>
        <w:rPr>
          <w:sz w:val="24"/>
          <w:szCs w:val="24"/>
        </w:rPr>
      </w:pPr>
      <w:bookmarkStart w:id="3" w:name="_Hlk188274700"/>
      <w:r w:rsidRPr="00BB2716">
        <w:rPr>
          <w:sz w:val="24"/>
          <w:szCs w:val="24"/>
        </w:rPr>
        <w:t>Nutritrace Elements anvendes til at dække basalt eller moderat forhøjet behov for sporstoffer i forbindelse med parenteral ernæring af voksne og unge på 12 år og derover, der vejer mere end 40 kg.</w:t>
      </w:r>
    </w:p>
    <w:bookmarkEnd w:id="3"/>
    <w:p w14:paraId="01BD0B15" w14:textId="77777777" w:rsidR="009260DE" w:rsidRPr="008A4F23" w:rsidRDefault="009260DE" w:rsidP="009260DE">
      <w:pPr>
        <w:tabs>
          <w:tab w:val="left" w:pos="851"/>
        </w:tabs>
        <w:ind w:left="851"/>
        <w:rPr>
          <w:sz w:val="24"/>
          <w:szCs w:val="24"/>
        </w:rPr>
      </w:pPr>
    </w:p>
    <w:p w14:paraId="4C5ECC0A" w14:textId="77777777" w:rsidR="009260DE" w:rsidRPr="008A4F23" w:rsidRDefault="009260DE" w:rsidP="009260DE">
      <w:pPr>
        <w:tabs>
          <w:tab w:val="left" w:pos="851"/>
        </w:tabs>
        <w:ind w:left="851" w:hanging="851"/>
        <w:rPr>
          <w:b/>
          <w:sz w:val="24"/>
          <w:szCs w:val="24"/>
        </w:rPr>
      </w:pPr>
      <w:r w:rsidRPr="008A4F23">
        <w:rPr>
          <w:b/>
          <w:sz w:val="24"/>
          <w:szCs w:val="24"/>
        </w:rPr>
        <w:t>4.2</w:t>
      </w:r>
      <w:r w:rsidRPr="008A4F23">
        <w:rPr>
          <w:b/>
          <w:sz w:val="24"/>
          <w:szCs w:val="24"/>
        </w:rPr>
        <w:tab/>
        <w:t xml:space="preserve">Dosering og </w:t>
      </w:r>
      <w:r w:rsidR="002C1EC0" w:rsidRPr="008A4F23">
        <w:rPr>
          <w:b/>
          <w:sz w:val="24"/>
          <w:szCs w:val="24"/>
        </w:rPr>
        <w:t>administration</w:t>
      </w:r>
    </w:p>
    <w:p w14:paraId="6F4833C1" w14:textId="77777777" w:rsidR="00BB2716" w:rsidRPr="00BB2716" w:rsidRDefault="00BB2716" w:rsidP="00BB2716">
      <w:pPr>
        <w:tabs>
          <w:tab w:val="left" w:pos="851"/>
        </w:tabs>
        <w:ind w:left="851"/>
        <w:rPr>
          <w:sz w:val="24"/>
          <w:szCs w:val="24"/>
        </w:rPr>
      </w:pPr>
    </w:p>
    <w:p w14:paraId="3FF6665A" w14:textId="77777777" w:rsidR="00BB2716" w:rsidRPr="00BB2716" w:rsidRDefault="00BB2716" w:rsidP="008A4F23">
      <w:pPr>
        <w:ind w:left="851"/>
        <w:rPr>
          <w:sz w:val="24"/>
          <w:szCs w:val="24"/>
          <w:u w:val="single"/>
        </w:rPr>
      </w:pPr>
      <w:r w:rsidRPr="00BB2716">
        <w:rPr>
          <w:sz w:val="24"/>
          <w:szCs w:val="24"/>
          <w:u w:val="single"/>
        </w:rPr>
        <w:t>Dosering</w:t>
      </w:r>
    </w:p>
    <w:p w14:paraId="6AC1729E" w14:textId="77777777" w:rsidR="00BB2716" w:rsidRPr="00BB2716" w:rsidRDefault="00BB2716" w:rsidP="008A4F23">
      <w:pPr>
        <w:ind w:left="851"/>
        <w:rPr>
          <w:sz w:val="24"/>
          <w:szCs w:val="24"/>
        </w:rPr>
      </w:pPr>
    </w:p>
    <w:p w14:paraId="1A571521" w14:textId="77777777" w:rsidR="00BB2716" w:rsidRPr="00BB2716" w:rsidRDefault="00BB2716" w:rsidP="008A4F23">
      <w:pPr>
        <w:ind w:left="851"/>
        <w:rPr>
          <w:i/>
          <w:sz w:val="24"/>
          <w:szCs w:val="24"/>
        </w:rPr>
      </w:pPr>
      <w:r w:rsidRPr="00BB2716">
        <w:rPr>
          <w:i/>
          <w:sz w:val="24"/>
          <w:szCs w:val="24"/>
        </w:rPr>
        <w:t>Voksne</w:t>
      </w:r>
    </w:p>
    <w:p w14:paraId="19D264E3" w14:textId="77777777" w:rsidR="00BB2716" w:rsidRPr="00BB2716" w:rsidRDefault="00BB2716" w:rsidP="008A4F23">
      <w:pPr>
        <w:ind w:left="851"/>
        <w:rPr>
          <w:sz w:val="24"/>
          <w:szCs w:val="24"/>
        </w:rPr>
      </w:pPr>
      <w:r w:rsidRPr="00BB2716">
        <w:rPr>
          <w:sz w:val="24"/>
          <w:szCs w:val="24"/>
        </w:rPr>
        <w:t>Den anbefalede daglige dosis er 10 ml (1 ampul).</w:t>
      </w:r>
    </w:p>
    <w:p w14:paraId="37752066" w14:textId="77777777" w:rsidR="00BB2716" w:rsidRPr="00BB2716" w:rsidRDefault="00BB2716" w:rsidP="008A4F23">
      <w:pPr>
        <w:ind w:left="851"/>
        <w:rPr>
          <w:i/>
          <w:sz w:val="24"/>
          <w:szCs w:val="24"/>
        </w:rPr>
      </w:pPr>
    </w:p>
    <w:p w14:paraId="2368AAEB" w14:textId="77777777" w:rsidR="00BB2716" w:rsidRPr="00BB2716" w:rsidRDefault="00BB2716" w:rsidP="008A4F23">
      <w:pPr>
        <w:ind w:left="851"/>
        <w:rPr>
          <w:i/>
          <w:sz w:val="24"/>
          <w:szCs w:val="24"/>
        </w:rPr>
      </w:pPr>
      <w:r w:rsidRPr="00BB2716">
        <w:rPr>
          <w:i/>
          <w:sz w:val="24"/>
          <w:szCs w:val="24"/>
        </w:rPr>
        <w:t>Ældre</w:t>
      </w:r>
    </w:p>
    <w:p w14:paraId="0171C640" w14:textId="77777777" w:rsidR="00BB2716" w:rsidRPr="00BB2716" w:rsidRDefault="00BB2716" w:rsidP="008A4F23">
      <w:pPr>
        <w:ind w:left="851"/>
        <w:rPr>
          <w:sz w:val="24"/>
          <w:szCs w:val="24"/>
        </w:rPr>
      </w:pPr>
      <w:r w:rsidRPr="00BB2716">
        <w:rPr>
          <w:sz w:val="24"/>
          <w:szCs w:val="24"/>
        </w:rPr>
        <w:t>Dosis til voksne behøver ikke nødvendigvis at justeres på grund af alder i sig selv. Lægen bør dog være opmærksom på den øgede risiko for tilstande, der kan påvirke doseringen i denne population (se pkt. 4.4).</w:t>
      </w:r>
    </w:p>
    <w:p w14:paraId="04CF46AB" w14:textId="77777777" w:rsidR="00BB2716" w:rsidRPr="00BB2716" w:rsidRDefault="00BB2716" w:rsidP="008A4F23">
      <w:pPr>
        <w:ind w:left="851"/>
        <w:rPr>
          <w:sz w:val="24"/>
          <w:szCs w:val="24"/>
        </w:rPr>
      </w:pPr>
    </w:p>
    <w:p w14:paraId="1ED6B131" w14:textId="77777777" w:rsidR="00BB2716" w:rsidRPr="00BB2716" w:rsidRDefault="00BB2716" w:rsidP="008A4F23">
      <w:pPr>
        <w:ind w:left="851"/>
        <w:rPr>
          <w:i/>
          <w:sz w:val="24"/>
          <w:szCs w:val="24"/>
        </w:rPr>
      </w:pPr>
      <w:r w:rsidRPr="00BB2716">
        <w:rPr>
          <w:i/>
          <w:sz w:val="24"/>
          <w:szCs w:val="24"/>
        </w:rPr>
        <w:t>Patienter med nedsat lever</w:t>
      </w:r>
      <w:r w:rsidRPr="00BB2716">
        <w:rPr>
          <w:i/>
          <w:sz w:val="24"/>
          <w:szCs w:val="24"/>
        </w:rPr>
        <w:noBreakHyphen/>
        <w:t xml:space="preserve"> og nyrefunktion</w:t>
      </w:r>
    </w:p>
    <w:p w14:paraId="2D586413" w14:textId="77777777" w:rsidR="00BB2716" w:rsidRPr="00BB2716" w:rsidRDefault="00BB2716" w:rsidP="008A4F23">
      <w:pPr>
        <w:ind w:left="851"/>
        <w:rPr>
          <w:sz w:val="24"/>
          <w:szCs w:val="24"/>
        </w:rPr>
      </w:pPr>
      <w:r w:rsidRPr="00BB2716">
        <w:rPr>
          <w:sz w:val="24"/>
          <w:szCs w:val="24"/>
        </w:rPr>
        <w:t>Doser til patienter med nedsat funktion i lever og galdeveje og/eller nedsat nyrefunktion, skal fastsættes individuelt. Til disse patienter kan overvågning af blodniveauer og lavere doser være påkrævet (se pkt. 4.4).</w:t>
      </w:r>
    </w:p>
    <w:p w14:paraId="3303FB17" w14:textId="77777777" w:rsidR="00BB2716" w:rsidRPr="00BB2716" w:rsidRDefault="00BB2716" w:rsidP="008A4F23">
      <w:pPr>
        <w:ind w:left="851"/>
        <w:rPr>
          <w:i/>
          <w:sz w:val="24"/>
          <w:szCs w:val="24"/>
        </w:rPr>
      </w:pPr>
    </w:p>
    <w:p w14:paraId="3AC47CCE" w14:textId="77777777" w:rsidR="00BB2716" w:rsidRPr="00BB2716" w:rsidRDefault="00BB2716" w:rsidP="008A4F23">
      <w:pPr>
        <w:ind w:left="851"/>
        <w:rPr>
          <w:sz w:val="24"/>
          <w:szCs w:val="24"/>
        </w:rPr>
      </w:pPr>
      <w:r w:rsidRPr="00BB2716">
        <w:rPr>
          <w:i/>
          <w:sz w:val="24"/>
          <w:szCs w:val="24"/>
        </w:rPr>
        <w:t>Pædiatrisk population</w:t>
      </w:r>
    </w:p>
    <w:p w14:paraId="1EF4CC0F" w14:textId="77777777" w:rsidR="00BB2716" w:rsidRPr="00BB2716" w:rsidRDefault="00BB2716" w:rsidP="008A4F23">
      <w:pPr>
        <w:ind w:left="851"/>
        <w:rPr>
          <w:iCs/>
          <w:sz w:val="24"/>
          <w:szCs w:val="24"/>
        </w:rPr>
      </w:pPr>
      <w:bookmarkStart w:id="4" w:name="_Hlk115942223"/>
      <w:r w:rsidRPr="00BB2716">
        <w:rPr>
          <w:iCs/>
          <w:sz w:val="24"/>
          <w:szCs w:val="24"/>
        </w:rPr>
        <w:t>Unge på 12 år og derover, der vejer</w:t>
      </w:r>
      <w:r w:rsidRPr="00BB2716">
        <w:rPr>
          <w:sz w:val="24"/>
          <w:szCs w:val="24"/>
        </w:rPr>
        <w:t xml:space="preserve"> mere end 40 kg</w:t>
      </w:r>
      <w:r w:rsidRPr="00BB2716">
        <w:rPr>
          <w:iCs/>
          <w:sz w:val="24"/>
          <w:szCs w:val="24"/>
        </w:rPr>
        <w:t xml:space="preserve">: </w:t>
      </w:r>
    </w:p>
    <w:p w14:paraId="304515BF" w14:textId="77777777" w:rsidR="00BB2716" w:rsidRPr="00BB2716" w:rsidRDefault="00BB2716" w:rsidP="008A4F23">
      <w:pPr>
        <w:ind w:left="851"/>
        <w:rPr>
          <w:sz w:val="24"/>
          <w:szCs w:val="24"/>
        </w:rPr>
      </w:pPr>
      <w:r w:rsidRPr="00BB2716">
        <w:rPr>
          <w:sz w:val="24"/>
          <w:szCs w:val="24"/>
        </w:rPr>
        <w:t>Den anbefalede daglige dosis er 10 ml (1 ampul).</w:t>
      </w:r>
    </w:p>
    <w:p w14:paraId="65600000" w14:textId="77777777" w:rsidR="00BB2716" w:rsidRPr="00BB2716" w:rsidRDefault="00BB2716" w:rsidP="008A4F23">
      <w:pPr>
        <w:ind w:left="851"/>
        <w:rPr>
          <w:iCs/>
          <w:sz w:val="24"/>
          <w:szCs w:val="24"/>
        </w:rPr>
      </w:pPr>
    </w:p>
    <w:p w14:paraId="2EECE202" w14:textId="77777777" w:rsidR="00BB2716" w:rsidRPr="00BB2716" w:rsidRDefault="00BB2716" w:rsidP="008A4F23">
      <w:pPr>
        <w:ind w:left="851"/>
        <w:rPr>
          <w:iCs/>
          <w:sz w:val="24"/>
          <w:szCs w:val="24"/>
        </w:rPr>
      </w:pPr>
      <w:r w:rsidRPr="00BB2716">
        <w:rPr>
          <w:iCs/>
          <w:sz w:val="24"/>
          <w:szCs w:val="24"/>
        </w:rPr>
        <w:t>Børn under 12 år eller børn, der vejer 40 kg eller mindre:</w:t>
      </w:r>
    </w:p>
    <w:p w14:paraId="50A730AE" w14:textId="77777777" w:rsidR="00BB2716" w:rsidRPr="00BB2716" w:rsidRDefault="00BB2716" w:rsidP="008A4F23">
      <w:pPr>
        <w:ind w:left="851"/>
        <w:rPr>
          <w:sz w:val="24"/>
          <w:szCs w:val="24"/>
        </w:rPr>
      </w:pPr>
      <w:r w:rsidRPr="00BB2716">
        <w:rPr>
          <w:iCs/>
          <w:sz w:val="24"/>
          <w:szCs w:val="24"/>
        </w:rPr>
        <w:t>Nutritrace Elements’ sikkerhed og virkning hos børn under 12 år eller børn, der vejer 40 kg eller mindre, er ikke klarlagt.</w:t>
      </w:r>
      <w:bookmarkEnd w:id="4"/>
    </w:p>
    <w:p w14:paraId="390367C4" w14:textId="77777777" w:rsidR="00BB2716" w:rsidRPr="00BB2716" w:rsidRDefault="00BB2716" w:rsidP="008A4F23">
      <w:pPr>
        <w:ind w:left="851"/>
        <w:rPr>
          <w:sz w:val="24"/>
          <w:szCs w:val="24"/>
        </w:rPr>
      </w:pPr>
    </w:p>
    <w:p w14:paraId="52B09AE6" w14:textId="77777777" w:rsidR="00BB2716" w:rsidRPr="00BB2716" w:rsidRDefault="00BB2716" w:rsidP="008A4F23">
      <w:pPr>
        <w:ind w:left="851"/>
        <w:rPr>
          <w:sz w:val="24"/>
          <w:szCs w:val="24"/>
          <w:u w:val="single"/>
        </w:rPr>
      </w:pPr>
      <w:r w:rsidRPr="00BB2716">
        <w:rPr>
          <w:sz w:val="24"/>
          <w:szCs w:val="24"/>
          <w:u w:val="single"/>
        </w:rPr>
        <w:t>Administration</w:t>
      </w:r>
    </w:p>
    <w:p w14:paraId="394801DA" w14:textId="77777777" w:rsidR="00BB2716" w:rsidRPr="00BB2716" w:rsidRDefault="00BB2716" w:rsidP="008A4F23">
      <w:pPr>
        <w:ind w:left="851"/>
        <w:rPr>
          <w:sz w:val="24"/>
          <w:szCs w:val="24"/>
        </w:rPr>
      </w:pPr>
      <w:r w:rsidRPr="00BB2716">
        <w:rPr>
          <w:sz w:val="24"/>
          <w:szCs w:val="24"/>
        </w:rPr>
        <w:t>Intravenøs anvendelse.</w:t>
      </w:r>
    </w:p>
    <w:p w14:paraId="1A7BCF15" w14:textId="77777777" w:rsidR="00BB2716" w:rsidRPr="00BB2716" w:rsidRDefault="00BB2716" w:rsidP="008A4F23">
      <w:pPr>
        <w:ind w:left="851"/>
        <w:rPr>
          <w:sz w:val="24"/>
          <w:szCs w:val="24"/>
        </w:rPr>
      </w:pPr>
      <w:r w:rsidRPr="00BB2716">
        <w:rPr>
          <w:sz w:val="24"/>
          <w:szCs w:val="24"/>
        </w:rPr>
        <w:lastRenderedPageBreak/>
        <w:t>Nutritrace Elements må kun administreres intravenøst efter fortynding i kompatible infusionsvæsker (se pkt. 6.2 og 6.6).</w:t>
      </w:r>
    </w:p>
    <w:p w14:paraId="1AC405AA" w14:textId="77777777" w:rsidR="00BB2716" w:rsidRPr="00BB2716" w:rsidRDefault="00BB2716" w:rsidP="008A4F23">
      <w:pPr>
        <w:ind w:left="851"/>
        <w:rPr>
          <w:sz w:val="24"/>
          <w:szCs w:val="24"/>
        </w:rPr>
      </w:pPr>
    </w:p>
    <w:p w14:paraId="6D1A049A" w14:textId="77777777" w:rsidR="00BB2716" w:rsidRPr="00BB2716" w:rsidRDefault="00BB2716" w:rsidP="008A4F23">
      <w:pPr>
        <w:ind w:left="851"/>
        <w:rPr>
          <w:sz w:val="24"/>
          <w:szCs w:val="24"/>
        </w:rPr>
      </w:pPr>
      <w:r w:rsidRPr="00BB2716">
        <w:rPr>
          <w:sz w:val="24"/>
          <w:szCs w:val="24"/>
        </w:rPr>
        <w:t>Behandlingsvarigheden for den angivne indikation er ikke begrænset. Hvis behandlingen varer længere end 2 uger, skal sporstofniveauerne i plasma, især mangan, overvåges (se pkt. 4.4).</w:t>
      </w:r>
    </w:p>
    <w:p w14:paraId="3AB4A7AE" w14:textId="77777777" w:rsidR="009260DE" w:rsidRPr="008A4F23" w:rsidRDefault="009260DE" w:rsidP="009260DE">
      <w:pPr>
        <w:tabs>
          <w:tab w:val="left" w:pos="851"/>
        </w:tabs>
        <w:ind w:left="851"/>
        <w:rPr>
          <w:sz w:val="24"/>
          <w:szCs w:val="24"/>
        </w:rPr>
      </w:pPr>
    </w:p>
    <w:p w14:paraId="3F9193DB" w14:textId="77777777" w:rsidR="009260DE" w:rsidRPr="008A4F23" w:rsidRDefault="009260DE" w:rsidP="009260DE">
      <w:pPr>
        <w:tabs>
          <w:tab w:val="left" w:pos="851"/>
        </w:tabs>
        <w:ind w:left="851" w:hanging="851"/>
        <w:rPr>
          <w:b/>
          <w:sz w:val="24"/>
          <w:szCs w:val="24"/>
        </w:rPr>
      </w:pPr>
      <w:r w:rsidRPr="008A4F23">
        <w:rPr>
          <w:b/>
          <w:sz w:val="24"/>
          <w:szCs w:val="24"/>
        </w:rPr>
        <w:t>4.3</w:t>
      </w:r>
      <w:r w:rsidRPr="008A4F23">
        <w:rPr>
          <w:b/>
          <w:sz w:val="24"/>
          <w:szCs w:val="24"/>
        </w:rPr>
        <w:tab/>
        <w:t>Kontraindikationer</w:t>
      </w:r>
    </w:p>
    <w:p w14:paraId="7C0976D4" w14:textId="77777777" w:rsidR="00BB2716" w:rsidRPr="00BB2716" w:rsidRDefault="00BB2716" w:rsidP="008A4F23">
      <w:pPr>
        <w:numPr>
          <w:ilvl w:val="0"/>
          <w:numId w:val="6"/>
        </w:numPr>
        <w:ind w:left="1276" w:hanging="425"/>
        <w:rPr>
          <w:sz w:val="24"/>
          <w:szCs w:val="24"/>
        </w:rPr>
      </w:pPr>
      <w:r w:rsidRPr="00BB2716">
        <w:rPr>
          <w:sz w:val="24"/>
          <w:szCs w:val="24"/>
        </w:rPr>
        <w:t>Overfølsomhed over for de aktive stoffer eller over for et eller flere af hjælpestofferne anført i pkt. 6.1</w:t>
      </w:r>
    </w:p>
    <w:p w14:paraId="12209150" w14:textId="77777777" w:rsidR="00BB2716" w:rsidRPr="00BB2716" w:rsidRDefault="00BB2716" w:rsidP="008A4F23">
      <w:pPr>
        <w:numPr>
          <w:ilvl w:val="0"/>
          <w:numId w:val="6"/>
        </w:numPr>
        <w:ind w:left="1276" w:hanging="425"/>
        <w:rPr>
          <w:sz w:val="24"/>
          <w:szCs w:val="24"/>
        </w:rPr>
      </w:pPr>
      <w:r w:rsidRPr="00BB2716">
        <w:rPr>
          <w:sz w:val="24"/>
          <w:szCs w:val="24"/>
        </w:rPr>
        <w:t>Udtalt cholestase (serum bilirubin &gt; 140 mmol/l) og forhøjede koncentrationer af γ</w:t>
      </w:r>
      <w:r w:rsidRPr="00BB2716">
        <w:rPr>
          <w:sz w:val="24"/>
          <w:szCs w:val="24"/>
        </w:rPr>
        <w:noBreakHyphen/>
        <w:t>glutamyltransferase og alkalisk fosfatase.</w:t>
      </w:r>
    </w:p>
    <w:p w14:paraId="06736BEE" w14:textId="77777777" w:rsidR="00BB2716" w:rsidRPr="00BB2716" w:rsidRDefault="00BB2716" w:rsidP="008A4F23">
      <w:pPr>
        <w:numPr>
          <w:ilvl w:val="0"/>
          <w:numId w:val="6"/>
        </w:numPr>
        <w:ind w:left="1276" w:hanging="425"/>
        <w:rPr>
          <w:sz w:val="24"/>
          <w:szCs w:val="24"/>
        </w:rPr>
      </w:pPr>
      <w:r w:rsidRPr="00BB2716">
        <w:rPr>
          <w:sz w:val="24"/>
          <w:szCs w:val="24"/>
        </w:rPr>
        <w:t>Wilsons sygdom og forstyrrelser i jerndeponering (dvs. hæmosiderose eller hæmokromatose).</w:t>
      </w:r>
    </w:p>
    <w:p w14:paraId="15002FFA" w14:textId="77777777" w:rsidR="00BB2716" w:rsidRPr="00BB2716" w:rsidRDefault="00BB2716" w:rsidP="008A4F23">
      <w:pPr>
        <w:numPr>
          <w:ilvl w:val="0"/>
          <w:numId w:val="6"/>
        </w:numPr>
        <w:ind w:left="1276" w:hanging="425"/>
        <w:rPr>
          <w:sz w:val="24"/>
          <w:szCs w:val="24"/>
        </w:rPr>
      </w:pPr>
      <w:r w:rsidRPr="00BB2716">
        <w:rPr>
          <w:sz w:val="24"/>
          <w:szCs w:val="24"/>
        </w:rPr>
        <w:t>Øgede serumkoncentrationer af sporstoffer indeholdt i Nutritrace Elements.</w:t>
      </w:r>
    </w:p>
    <w:p w14:paraId="4FB25E34" w14:textId="77777777" w:rsidR="009260DE" w:rsidRPr="008A4F23" w:rsidRDefault="009260DE" w:rsidP="009260DE">
      <w:pPr>
        <w:tabs>
          <w:tab w:val="left" w:pos="851"/>
        </w:tabs>
        <w:ind w:left="851"/>
        <w:rPr>
          <w:sz w:val="24"/>
          <w:szCs w:val="24"/>
        </w:rPr>
      </w:pPr>
    </w:p>
    <w:p w14:paraId="08D4D081" w14:textId="77777777" w:rsidR="009260DE" w:rsidRPr="008A4F23" w:rsidRDefault="009260DE" w:rsidP="009260DE">
      <w:pPr>
        <w:tabs>
          <w:tab w:val="left" w:pos="851"/>
        </w:tabs>
        <w:ind w:left="851" w:hanging="851"/>
        <w:rPr>
          <w:b/>
          <w:sz w:val="24"/>
          <w:szCs w:val="24"/>
        </w:rPr>
      </w:pPr>
      <w:r w:rsidRPr="008A4F23">
        <w:rPr>
          <w:b/>
          <w:sz w:val="24"/>
          <w:szCs w:val="24"/>
        </w:rPr>
        <w:t>4.4</w:t>
      </w:r>
      <w:r w:rsidRPr="008A4F23">
        <w:rPr>
          <w:b/>
          <w:sz w:val="24"/>
          <w:szCs w:val="24"/>
        </w:rPr>
        <w:tab/>
        <w:t>Særlige advarsler og forsigtighedsregler vedrørende brugen</w:t>
      </w:r>
    </w:p>
    <w:p w14:paraId="2BDA4F37" w14:textId="77777777" w:rsidR="00BB2716" w:rsidRPr="00BB2716" w:rsidRDefault="00BB2716" w:rsidP="008A4F23">
      <w:pPr>
        <w:ind w:left="851"/>
        <w:rPr>
          <w:sz w:val="24"/>
          <w:szCs w:val="24"/>
        </w:rPr>
      </w:pPr>
      <w:r w:rsidRPr="00BB2716">
        <w:rPr>
          <w:sz w:val="24"/>
          <w:szCs w:val="24"/>
        </w:rPr>
        <w:t>Før anvendelse af infusionsvæsken skal patientens kliniske og biologiske parametre undersøges omhyggeligt.</w:t>
      </w:r>
    </w:p>
    <w:p w14:paraId="711DBAEF" w14:textId="77777777" w:rsidR="00BB2716" w:rsidRPr="00BB2716" w:rsidRDefault="00BB2716" w:rsidP="008A4F23">
      <w:pPr>
        <w:ind w:left="851"/>
        <w:rPr>
          <w:sz w:val="24"/>
          <w:szCs w:val="24"/>
        </w:rPr>
      </w:pPr>
    </w:p>
    <w:p w14:paraId="1C994761" w14:textId="77777777" w:rsidR="00BB2716" w:rsidRPr="00BB2716" w:rsidRDefault="00BB2716" w:rsidP="008A4F23">
      <w:pPr>
        <w:ind w:left="851"/>
        <w:rPr>
          <w:sz w:val="24"/>
          <w:szCs w:val="24"/>
        </w:rPr>
      </w:pPr>
      <w:r w:rsidRPr="00BB2716">
        <w:rPr>
          <w:sz w:val="24"/>
          <w:szCs w:val="24"/>
        </w:rPr>
        <w:t>Parenteralt administrerede jern- eller jodpræparater kan i sjældne tilfælde forårsage overfølsomhedsreaktioner, herunder alvorlige og potentielt dødelige anafylaktiske reaktioner.</w:t>
      </w:r>
    </w:p>
    <w:p w14:paraId="3F542516" w14:textId="77777777" w:rsidR="00BB2716" w:rsidRPr="00BB2716" w:rsidRDefault="00BB2716" w:rsidP="008A4F23">
      <w:pPr>
        <w:ind w:left="851"/>
        <w:rPr>
          <w:sz w:val="24"/>
          <w:szCs w:val="24"/>
        </w:rPr>
      </w:pPr>
      <w:r w:rsidRPr="00BB2716">
        <w:rPr>
          <w:sz w:val="24"/>
          <w:szCs w:val="24"/>
        </w:rPr>
        <w:t>Patienterne bør observeres klinisk for tegn og symptomer på overfølsomhedsreaktioner (se pkt. 4.8). I tilfælde af overfølsomhedsreaktioner skal infusionen stoppes øjeblikkeligt, og passende foranstaltninger udføres.</w:t>
      </w:r>
    </w:p>
    <w:p w14:paraId="1A1F9676" w14:textId="77777777" w:rsidR="00BB2716" w:rsidRPr="00BB2716" w:rsidRDefault="00BB2716" w:rsidP="008A4F23">
      <w:pPr>
        <w:ind w:left="851"/>
        <w:rPr>
          <w:sz w:val="24"/>
          <w:szCs w:val="24"/>
        </w:rPr>
      </w:pPr>
    </w:p>
    <w:p w14:paraId="48DBDBB2" w14:textId="77777777" w:rsidR="00BB2716" w:rsidRPr="00BB2716" w:rsidRDefault="00BB2716" w:rsidP="008A4F23">
      <w:pPr>
        <w:ind w:left="851"/>
        <w:rPr>
          <w:sz w:val="24"/>
          <w:szCs w:val="24"/>
        </w:rPr>
      </w:pPr>
      <w:r w:rsidRPr="00BB2716">
        <w:rPr>
          <w:sz w:val="24"/>
          <w:szCs w:val="24"/>
        </w:rPr>
        <w:t>Mangan-, kobber- og chromniveauet i blodet bør overvåges regelmæssigt, især hos patienter, der får langvarig PN (parenteral ernæring). Dosisreduktion kan være nødvendig, eller infusionen skal stoppes, hvis der opstår akkumulering.</w:t>
      </w:r>
    </w:p>
    <w:p w14:paraId="358829A9" w14:textId="77777777" w:rsidR="00BB2716" w:rsidRPr="00BB2716" w:rsidRDefault="00BB2716" w:rsidP="008A4F23">
      <w:pPr>
        <w:ind w:left="851"/>
        <w:rPr>
          <w:sz w:val="24"/>
          <w:szCs w:val="24"/>
        </w:rPr>
      </w:pPr>
      <w:r w:rsidRPr="00BB2716">
        <w:rPr>
          <w:sz w:val="24"/>
          <w:szCs w:val="24"/>
        </w:rPr>
        <w:t>Hvis behandlingen varer længere end 2 uger, er overvågning af sporstoffer i plasma, især mangan, påkrævet.</w:t>
      </w:r>
    </w:p>
    <w:p w14:paraId="43B304BF" w14:textId="77777777" w:rsidR="00BB2716" w:rsidRPr="00BB2716" w:rsidRDefault="00BB2716" w:rsidP="008A4F23">
      <w:pPr>
        <w:ind w:left="851"/>
        <w:rPr>
          <w:sz w:val="24"/>
          <w:szCs w:val="24"/>
        </w:rPr>
      </w:pPr>
    </w:p>
    <w:p w14:paraId="45C9F0BF" w14:textId="77777777" w:rsidR="00BB2716" w:rsidRPr="00BB2716" w:rsidRDefault="00BB2716" w:rsidP="008A4F23">
      <w:pPr>
        <w:ind w:left="851"/>
        <w:rPr>
          <w:sz w:val="24"/>
          <w:szCs w:val="24"/>
        </w:rPr>
      </w:pPr>
      <w:r w:rsidRPr="00BB2716">
        <w:rPr>
          <w:sz w:val="24"/>
          <w:szCs w:val="24"/>
        </w:rPr>
        <w:t>I tilfælde af yderligere oralt tilskud af sporstoffer parallelt med infusioner af Nutritrace Elements, bør det samlede indtag af sporstoffer bestemmes for at sikre, at der ikke er nogen akkumulation, relativ eller absolut overdosering.</w:t>
      </w:r>
    </w:p>
    <w:p w14:paraId="6F25B5A9" w14:textId="77777777" w:rsidR="00BB2716" w:rsidRPr="00BB2716" w:rsidRDefault="00BB2716" w:rsidP="008A4F23">
      <w:pPr>
        <w:ind w:left="851"/>
        <w:rPr>
          <w:sz w:val="24"/>
          <w:szCs w:val="24"/>
        </w:rPr>
      </w:pPr>
    </w:p>
    <w:p w14:paraId="14B71247" w14:textId="77777777" w:rsidR="00BB2716" w:rsidRPr="00BB2716" w:rsidRDefault="00BB2716" w:rsidP="008A4F23">
      <w:pPr>
        <w:ind w:left="851"/>
        <w:rPr>
          <w:sz w:val="24"/>
          <w:szCs w:val="24"/>
        </w:rPr>
      </w:pPr>
      <w:r w:rsidRPr="00BB2716">
        <w:rPr>
          <w:sz w:val="24"/>
          <w:szCs w:val="24"/>
        </w:rPr>
        <w:t>Nutritrace Elements skal administreres med forsigtighed ved manifest hyperthyreose eller følsomhed overfor jod ved samtidig administration af andre lægemidler indeholdende jod (f.eks. jodholdige antiseptika).</w:t>
      </w:r>
    </w:p>
    <w:p w14:paraId="4E44E743" w14:textId="77777777" w:rsidR="00BB2716" w:rsidRPr="00BB2716" w:rsidRDefault="00BB2716" w:rsidP="008A4F23">
      <w:pPr>
        <w:ind w:left="851"/>
        <w:rPr>
          <w:sz w:val="24"/>
          <w:szCs w:val="24"/>
        </w:rPr>
      </w:pPr>
    </w:p>
    <w:p w14:paraId="4468DB64" w14:textId="77777777" w:rsidR="00BB2716" w:rsidRPr="00BB2716" w:rsidRDefault="00BB2716" w:rsidP="008A4F23">
      <w:pPr>
        <w:ind w:left="851"/>
        <w:rPr>
          <w:sz w:val="24"/>
          <w:szCs w:val="24"/>
        </w:rPr>
      </w:pPr>
      <w:r w:rsidRPr="00BB2716">
        <w:rPr>
          <w:sz w:val="24"/>
          <w:szCs w:val="24"/>
        </w:rPr>
        <w:t>Chrommangel er forbundet med et fald i glukosetolerance. Glukosetolerance kan derfor forbedres efter chromtilskud. Hos diabetikere i insulinbehandling kan der derfor forekomme en relativ overdosering af insulin med efterfølgende hypoglykæmi. Derfor anbefales kontrol af blodglukose. Det kan blive nødvendigt at foretage en fornyet justering af insulindosis.</w:t>
      </w:r>
    </w:p>
    <w:p w14:paraId="05B5744E" w14:textId="77777777" w:rsidR="00BB2716" w:rsidRPr="00BB2716" w:rsidRDefault="00BB2716" w:rsidP="008A4F23">
      <w:pPr>
        <w:ind w:left="851"/>
        <w:rPr>
          <w:sz w:val="24"/>
          <w:szCs w:val="24"/>
        </w:rPr>
      </w:pPr>
    </w:p>
    <w:p w14:paraId="1D3B9A2C" w14:textId="77777777" w:rsidR="00BB2716" w:rsidRPr="00BB2716" w:rsidRDefault="00BB2716" w:rsidP="008A4F23">
      <w:pPr>
        <w:ind w:left="851"/>
        <w:rPr>
          <w:sz w:val="24"/>
          <w:szCs w:val="24"/>
        </w:rPr>
      </w:pPr>
      <w:r w:rsidRPr="00BB2716">
        <w:rPr>
          <w:sz w:val="24"/>
          <w:szCs w:val="24"/>
        </w:rPr>
        <w:t>Diarré kan føre til øget tab af zink i tarmen. Serumkoncentrationerne skal i dette tilfælde kontrolleres.</w:t>
      </w:r>
    </w:p>
    <w:p w14:paraId="1296488D" w14:textId="77777777" w:rsidR="00BB2716" w:rsidRPr="00BB2716" w:rsidRDefault="00BB2716" w:rsidP="008A4F23">
      <w:pPr>
        <w:ind w:left="851"/>
        <w:rPr>
          <w:sz w:val="24"/>
          <w:szCs w:val="24"/>
        </w:rPr>
      </w:pPr>
    </w:p>
    <w:p w14:paraId="2A6A1667" w14:textId="77777777" w:rsidR="00BB2716" w:rsidRPr="00BB2716" w:rsidRDefault="00BB2716" w:rsidP="008A4F23">
      <w:pPr>
        <w:ind w:left="851"/>
        <w:rPr>
          <w:sz w:val="24"/>
          <w:szCs w:val="24"/>
        </w:rPr>
      </w:pPr>
      <w:r w:rsidRPr="00BB2716">
        <w:rPr>
          <w:sz w:val="24"/>
          <w:szCs w:val="24"/>
        </w:rPr>
        <w:t>Hvis en individuel patient har et markant øget behov for et af sporstofferne, der leveres med Nutritrace Elements, kan regimet justeres ved hjælp af separate tilskud.</w:t>
      </w:r>
    </w:p>
    <w:p w14:paraId="2ED3981E" w14:textId="77777777" w:rsidR="00BB2716" w:rsidRPr="00BB2716" w:rsidRDefault="00BB2716" w:rsidP="008A4F23">
      <w:pPr>
        <w:ind w:left="851"/>
        <w:rPr>
          <w:sz w:val="24"/>
          <w:szCs w:val="24"/>
        </w:rPr>
      </w:pPr>
    </w:p>
    <w:p w14:paraId="2B80FCEA" w14:textId="77777777" w:rsidR="00BB2716" w:rsidRPr="00BB2716" w:rsidRDefault="00BB2716" w:rsidP="008A4F23">
      <w:pPr>
        <w:ind w:left="851"/>
        <w:rPr>
          <w:i/>
          <w:iCs/>
          <w:sz w:val="24"/>
          <w:szCs w:val="24"/>
          <w:u w:val="single"/>
        </w:rPr>
      </w:pPr>
      <w:r w:rsidRPr="00BB2716">
        <w:rPr>
          <w:i/>
          <w:iCs/>
          <w:sz w:val="24"/>
          <w:szCs w:val="24"/>
          <w:u w:val="single"/>
        </w:rPr>
        <w:t>Patienter med nedsat leverfunktion</w:t>
      </w:r>
    </w:p>
    <w:p w14:paraId="0E7378A6" w14:textId="77777777" w:rsidR="00BB2716" w:rsidRPr="00BB2716" w:rsidRDefault="00BB2716" w:rsidP="008A4F23">
      <w:pPr>
        <w:ind w:left="851"/>
        <w:rPr>
          <w:sz w:val="24"/>
          <w:szCs w:val="24"/>
        </w:rPr>
      </w:pPr>
      <w:r w:rsidRPr="00BB2716">
        <w:rPr>
          <w:sz w:val="24"/>
          <w:szCs w:val="24"/>
        </w:rPr>
        <w:t>Nutritrace Elements skal anvendes med forsigtighed ved nedsat funktion af lever og galdeveje, som kan forringe den biliære elimination af jern, mangan, kobber og zink, da dette kan medføre akkumulation og overdosering. Det er nødvendigt med monitorering og dosisjustering af disse sporstoffer.</w:t>
      </w:r>
    </w:p>
    <w:p w14:paraId="7EE83166" w14:textId="77777777" w:rsidR="00BB2716" w:rsidRPr="00BB2716" w:rsidRDefault="00BB2716" w:rsidP="008A4F23">
      <w:pPr>
        <w:ind w:left="851"/>
        <w:rPr>
          <w:sz w:val="24"/>
          <w:szCs w:val="24"/>
        </w:rPr>
      </w:pPr>
      <w:r w:rsidRPr="00BB2716">
        <w:rPr>
          <w:sz w:val="24"/>
          <w:szCs w:val="24"/>
        </w:rPr>
        <w:t>For at forebygge overbelastning med jern, som især er en risiko hos patienter med nedsat leverfunktion eller hos patienter, som får blodtransfusion, skal koncentrationerne af ferritin i serum kontrolleres regelmæssigt og dosis justeres i overensstemmelse hermed.</w:t>
      </w:r>
    </w:p>
    <w:p w14:paraId="2CBBFFA1" w14:textId="77777777" w:rsidR="00BB2716" w:rsidRPr="00BB2716" w:rsidRDefault="00BB2716" w:rsidP="008A4F23">
      <w:pPr>
        <w:ind w:left="851"/>
        <w:rPr>
          <w:sz w:val="24"/>
          <w:szCs w:val="24"/>
        </w:rPr>
      </w:pPr>
    </w:p>
    <w:p w14:paraId="434A9AC8" w14:textId="77777777" w:rsidR="00BB2716" w:rsidRPr="00BB2716" w:rsidRDefault="00BB2716" w:rsidP="008A4F23">
      <w:pPr>
        <w:ind w:left="851"/>
        <w:rPr>
          <w:i/>
          <w:iCs/>
          <w:sz w:val="24"/>
          <w:szCs w:val="24"/>
          <w:u w:val="single"/>
        </w:rPr>
      </w:pPr>
      <w:r w:rsidRPr="00BB2716">
        <w:rPr>
          <w:i/>
          <w:iCs/>
          <w:sz w:val="24"/>
          <w:szCs w:val="24"/>
          <w:u w:val="single"/>
        </w:rPr>
        <w:t>Patienter med nedsat nyrefunktion</w:t>
      </w:r>
    </w:p>
    <w:p w14:paraId="2020B596" w14:textId="77777777" w:rsidR="00BB2716" w:rsidRPr="00BB2716" w:rsidRDefault="00BB2716" w:rsidP="008A4F23">
      <w:pPr>
        <w:ind w:left="851"/>
        <w:rPr>
          <w:sz w:val="24"/>
          <w:szCs w:val="24"/>
        </w:rPr>
      </w:pPr>
      <w:r w:rsidRPr="00BB2716">
        <w:rPr>
          <w:sz w:val="24"/>
          <w:szCs w:val="24"/>
        </w:rPr>
        <w:t>Nutritrace Elements skal anvendes med forsigtighed ved nedsat nyrefunktion, idet udskillelsen af chrom, fluorid, molybdæn, selen og jod kan være betydeligt reduceret. Det er nødvendigt med monitorering og dosisjustering af disse sporstoffer.</w:t>
      </w:r>
    </w:p>
    <w:p w14:paraId="21E3078C" w14:textId="77777777" w:rsidR="00BB2716" w:rsidRPr="00BB2716" w:rsidRDefault="00BB2716" w:rsidP="008A4F23">
      <w:pPr>
        <w:ind w:left="851"/>
        <w:rPr>
          <w:sz w:val="24"/>
          <w:szCs w:val="24"/>
        </w:rPr>
      </w:pPr>
    </w:p>
    <w:p w14:paraId="1DA54759" w14:textId="77777777" w:rsidR="00BB2716" w:rsidRPr="00BB2716" w:rsidRDefault="00BB2716" w:rsidP="008A4F23">
      <w:pPr>
        <w:ind w:left="851"/>
        <w:rPr>
          <w:sz w:val="24"/>
          <w:szCs w:val="24"/>
        </w:rPr>
      </w:pPr>
      <w:r w:rsidRPr="00BB2716">
        <w:rPr>
          <w:i/>
          <w:iCs/>
          <w:sz w:val="24"/>
          <w:szCs w:val="24"/>
          <w:u w:val="single"/>
        </w:rPr>
        <w:t>Patienter med inflammatorisk tilstand</w:t>
      </w:r>
    </w:p>
    <w:p w14:paraId="68AEF1BA" w14:textId="067F8953" w:rsidR="00BB2716" w:rsidRPr="00BB2716" w:rsidRDefault="00BB2716" w:rsidP="008A4F23">
      <w:pPr>
        <w:ind w:left="851"/>
        <w:rPr>
          <w:sz w:val="24"/>
          <w:szCs w:val="24"/>
        </w:rPr>
      </w:pPr>
      <w:r w:rsidRPr="00BB2716">
        <w:rPr>
          <w:sz w:val="24"/>
          <w:szCs w:val="24"/>
        </w:rPr>
        <w:t>Under inflammation kan identifikationen af en mangel på et sporstof være kompliceret på grund af omfordeling af flere mikronæringsstoffer mellem blod- og vævsrum. Inflammation kan føre til forhøjede niveauer af ceruloplasmin, som bærer det meste af det cirkulerende kobber, og reducerede niveauer af selen og zink, hvoraf sidstnævnte især påvirkes af sepsis. Måling af C-reaktivt protein (CRP)</w:t>
      </w:r>
      <w:r w:rsidRPr="00BB2716">
        <w:rPr>
          <w:sz w:val="24"/>
          <w:szCs w:val="24"/>
        </w:rPr>
        <w:noBreakHyphen/>
        <w:t>niveauer sammen med plasma-/serum</w:t>
      </w:r>
      <w:r w:rsidR="005A5AFB">
        <w:rPr>
          <w:sz w:val="24"/>
          <w:szCs w:val="24"/>
        </w:rPr>
        <w:softHyphen/>
      </w:r>
      <w:r w:rsidRPr="00BB2716">
        <w:rPr>
          <w:sz w:val="24"/>
          <w:szCs w:val="24"/>
        </w:rPr>
        <w:t>niveauer af sporstoffer kan hjælpe med at fortolke status af sporstoffer - høje niveauer af CRP kan nødvendiggøre en revurdering af kravene og et behov for øgede doser selen hos indlagte patienter, der får PN.</w:t>
      </w:r>
    </w:p>
    <w:p w14:paraId="1A7C68F4" w14:textId="77777777" w:rsidR="00BB2716" w:rsidRPr="00BB2716" w:rsidRDefault="00BB2716" w:rsidP="008A4F23">
      <w:pPr>
        <w:ind w:left="851"/>
        <w:rPr>
          <w:sz w:val="24"/>
          <w:szCs w:val="24"/>
        </w:rPr>
      </w:pPr>
    </w:p>
    <w:p w14:paraId="31D32033" w14:textId="77777777" w:rsidR="00BB2716" w:rsidRPr="00BB2716" w:rsidRDefault="00BB2716" w:rsidP="008A4F23">
      <w:pPr>
        <w:ind w:left="851"/>
        <w:rPr>
          <w:i/>
          <w:iCs/>
          <w:sz w:val="24"/>
          <w:szCs w:val="24"/>
          <w:u w:val="single"/>
        </w:rPr>
      </w:pPr>
      <w:r w:rsidRPr="00BB2716">
        <w:rPr>
          <w:i/>
          <w:iCs/>
          <w:sz w:val="24"/>
          <w:szCs w:val="24"/>
          <w:u w:val="single"/>
        </w:rPr>
        <w:t>Ældre patienter</w:t>
      </w:r>
    </w:p>
    <w:p w14:paraId="0B8709EA" w14:textId="0102B339" w:rsidR="00BB2716" w:rsidRPr="00BB2716" w:rsidRDefault="00BB2716" w:rsidP="008A4F23">
      <w:pPr>
        <w:ind w:left="851"/>
        <w:rPr>
          <w:sz w:val="24"/>
          <w:szCs w:val="24"/>
        </w:rPr>
      </w:pPr>
      <w:r w:rsidRPr="00BB2716">
        <w:rPr>
          <w:sz w:val="24"/>
          <w:szCs w:val="24"/>
        </w:rPr>
        <w:t>Generelt bør dosisjusteringer (reduktion af dosis og/eller forlængelse af doserings</w:t>
      </w:r>
      <w:r w:rsidR="005A5AFB">
        <w:rPr>
          <w:sz w:val="24"/>
          <w:szCs w:val="24"/>
        </w:rPr>
        <w:softHyphen/>
      </w:r>
      <w:r w:rsidRPr="00BB2716">
        <w:rPr>
          <w:sz w:val="24"/>
          <w:szCs w:val="24"/>
        </w:rPr>
        <w:t>intervallerne) til ældre patienter overvejes på grund af deres høje alder og den dertilhørende øgede hyppighed af nedsat lever</w:t>
      </w:r>
      <w:r w:rsidRPr="00BB2716">
        <w:rPr>
          <w:sz w:val="24"/>
          <w:szCs w:val="24"/>
        </w:rPr>
        <w:noBreakHyphen/>
        <w:t>, nyre</w:t>
      </w:r>
      <w:r w:rsidRPr="00BB2716">
        <w:rPr>
          <w:sz w:val="24"/>
          <w:szCs w:val="24"/>
        </w:rPr>
        <w:noBreakHyphen/>
        <w:t xml:space="preserve"> eller hjertefunktion og også på grund af samtidige sygdomme eller lægemidler.</w:t>
      </w:r>
    </w:p>
    <w:p w14:paraId="56941120" w14:textId="77777777" w:rsidR="00BB2716" w:rsidRPr="00BB2716" w:rsidRDefault="00BB2716" w:rsidP="008A4F23">
      <w:pPr>
        <w:ind w:left="851"/>
        <w:rPr>
          <w:sz w:val="24"/>
          <w:szCs w:val="24"/>
        </w:rPr>
      </w:pPr>
    </w:p>
    <w:p w14:paraId="0961DE88" w14:textId="77777777" w:rsidR="00BB2716" w:rsidRPr="00BB2716" w:rsidRDefault="00BB2716" w:rsidP="008A4F23">
      <w:pPr>
        <w:ind w:left="851"/>
        <w:rPr>
          <w:i/>
          <w:iCs/>
          <w:sz w:val="24"/>
          <w:szCs w:val="24"/>
          <w:u w:val="single"/>
        </w:rPr>
      </w:pPr>
      <w:r w:rsidRPr="00BB2716">
        <w:rPr>
          <w:i/>
          <w:iCs/>
          <w:sz w:val="24"/>
          <w:szCs w:val="24"/>
          <w:u w:val="single"/>
        </w:rPr>
        <w:t>Særlig forsigtighedsregel før brug</w:t>
      </w:r>
    </w:p>
    <w:p w14:paraId="0AA2BC16" w14:textId="77777777" w:rsidR="00BB2716" w:rsidRPr="00BB2716" w:rsidRDefault="00BB2716" w:rsidP="008A4F23">
      <w:pPr>
        <w:ind w:left="851"/>
        <w:rPr>
          <w:sz w:val="24"/>
          <w:szCs w:val="24"/>
        </w:rPr>
      </w:pPr>
      <w:r w:rsidRPr="00BB2716">
        <w:rPr>
          <w:sz w:val="24"/>
          <w:szCs w:val="24"/>
        </w:rPr>
        <w:t>Mangler på individuelle sporstoffer skal korrigeres ved hjælp af specifikke tilskud.</w:t>
      </w:r>
    </w:p>
    <w:p w14:paraId="20163FB5" w14:textId="77777777" w:rsidR="00BB2716" w:rsidRPr="00BB2716" w:rsidRDefault="00BB2716" w:rsidP="008A4F23">
      <w:pPr>
        <w:ind w:left="851"/>
        <w:rPr>
          <w:sz w:val="24"/>
          <w:szCs w:val="24"/>
        </w:rPr>
      </w:pPr>
    </w:p>
    <w:p w14:paraId="1096C093" w14:textId="77777777" w:rsidR="00BB2716" w:rsidRPr="00BB2716" w:rsidRDefault="00BB2716" w:rsidP="008A4F23">
      <w:pPr>
        <w:ind w:left="851"/>
        <w:rPr>
          <w:i/>
          <w:iCs/>
          <w:sz w:val="24"/>
          <w:szCs w:val="24"/>
          <w:u w:val="single"/>
        </w:rPr>
      </w:pPr>
      <w:r w:rsidRPr="00BB2716">
        <w:rPr>
          <w:i/>
          <w:iCs/>
          <w:sz w:val="24"/>
          <w:szCs w:val="24"/>
          <w:u w:val="single"/>
        </w:rPr>
        <w:t>Særlige advarsler/forsigtighedsregler vedrørende hjælpestoffer</w:t>
      </w:r>
    </w:p>
    <w:p w14:paraId="02667543" w14:textId="77777777" w:rsidR="00BB2716" w:rsidRPr="00BB2716" w:rsidRDefault="00BB2716" w:rsidP="008A4F23">
      <w:pPr>
        <w:ind w:left="851"/>
        <w:rPr>
          <w:sz w:val="24"/>
          <w:szCs w:val="24"/>
        </w:rPr>
      </w:pPr>
      <w:r w:rsidRPr="00BB2716">
        <w:rPr>
          <w:sz w:val="24"/>
          <w:szCs w:val="24"/>
        </w:rPr>
        <w:t>Dette lægemiddel indeholder mindre end 1 mmol natrium (23 mg) pr. ampul (10 ml), dvs. det er i det væsentlige ’natrium-frit’.</w:t>
      </w:r>
    </w:p>
    <w:p w14:paraId="7246A247" w14:textId="77777777" w:rsidR="009260DE" w:rsidRPr="008A4F23" w:rsidRDefault="009260DE" w:rsidP="009260DE">
      <w:pPr>
        <w:tabs>
          <w:tab w:val="left" w:pos="851"/>
        </w:tabs>
        <w:ind w:left="851"/>
        <w:rPr>
          <w:sz w:val="24"/>
          <w:szCs w:val="24"/>
        </w:rPr>
      </w:pPr>
    </w:p>
    <w:p w14:paraId="1ACC68DE" w14:textId="77777777" w:rsidR="009260DE" w:rsidRPr="008A4F23" w:rsidRDefault="009260DE" w:rsidP="009260DE">
      <w:pPr>
        <w:tabs>
          <w:tab w:val="left" w:pos="851"/>
        </w:tabs>
        <w:ind w:left="851" w:hanging="851"/>
        <w:rPr>
          <w:b/>
          <w:sz w:val="24"/>
          <w:szCs w:val="24"/>
        </w:rPr>
      </w:pPr>
      <w:r w:rsidRPr="008A4F23">
        <w:rPr>
          <w:b/>
          <w:sz w:val="24"/>
          <w:szCs w:val="24"/>
        </w:rPr>
        <w:t>4.5</w:t>
      </w:r>
      <w:r w:rsidRPr="008A4F23">
        <w:rPr>
          <w:b/>
          <w:sz w:val="24"/>
          <w:szCs w:val="24"/>
        </w:rPr>
        <w:tab/>
        <w:t>Interaktion med andre lægemidler og andre former for interaktion</w:t>
      </w:r>
    </w:p>
    <w:p w14:paraId="7366DDA9" w14:textId="77777777" w:rsidR="00BB2716" w:rsidRPr="00BB2716" w:rsidRDefault="00BB2716" w:rsidP="008A4F23">
      <w:pPr>
        <w:ind w:left="851"/>
        <w:rPr>
          <w:sz w:val="24"/>
          <w:szCs w:val="24"/>
        </w:rPr>
      </w:pPr>
      <w:r w:rsidRPr="00BB2716">
        <w:rPr>
          <w:sz w:val="24"/>
          <w:szCs w:val="24"/>
        </w:rPr>
        <w:t>Der er ikke udført interaktionsstudier.</w:t>
      </w:r>
    </w:p>
    <w:p w14:paraId="5C1BF7CA" w14:textId="77777777" w:rsidR="009260DE" w:rsidRPr="008A4F23" w:rsidRDefault="009260DE" w:rsidP="009260DE">
      <w:pPr>
        <w:tabs>
          <w:tab w:val="left" w:pos="851"/>
        </w:tabs>
        <w:ind w:left="851"/>
        <w:rPr>
          <w:sz w:val="24"/>
          <w:szCs w:val="24"/>
        </w:rPr>
      </w:pPr>
    </w:p>
    <w:p w14:paraId="37FDFA4B" w14:textId="77777777" w:rsidR="009260DE" w:rsidRPr="008A4F23" w:rsidRDefault="009260DE" w:rsidP="009260DE">
      <w:pPr>
        <w:tabs>
          <w:tab w:val="left" w:pos="851"/>
        </w:tabs>
        <w:ind w:left="851" w:hanging="851"/>
        <w:rPr>
          <w:b/>
          <w:sz w:val="24"/>
          <w:szCs w:val="24"/>
        </w:rPr>
      </w:pPr>
      <w:r w:rsidRPr="008A4F23">
        <w:rPr>
          <w:b/>
          <w:sz w:val="24"/>
          <w:szCs w:val="24"/>
        </w:rPr>
        <w:t>4.6</w:t>
      </w:r>
      <w:r w:rsidRPr="008A4F23">
        <w:rPr>
          <w:b/>
          <w:sz w:val="24"/>
          <w:szCs w:val="24"/>
        </w:rPr>
        <w:tab/>
      </w:r>
      <w:r w:rsidR="0071241E" w:rsidRPr="008A4F23">
        <w:rPr>
          <w:b/>
          <w:sz w:val="24"/>
          <w:szCs w:val="24"/>
        </w:rPr>
        <w:t>Fertilitet, g</w:t>
      </w:r>
      <w:r w:rsidRPr="008A4F23">
        <w:rPr>
          <w:b/>
          <w:sz w:val="24"/>
          <w:szCs w:val="24"/>
        </w:rPr>
        <w:t>raviditet og amning</w:t>
      </w:r>
    </w:p>
    <w:p w14:paraId="392241B3" w14:textId="77777777" w:rsidR="00717B2E" w:rsidRDefault="00717B2E" w:rsidP="008A4F23">
      <w:pPr>
        <w:ind w:left="851"/>
        <w:rPr>
          <w:sz w:val="24"/>
          <w:szCs w:val="24"/>
          <w:u w:val="single"/>
        </w:rPr>
      </w:pPr>
    </w:p>
    <w:p w14:paraId="0DDE094A" w14:textId="6CE570B8" w:rsidR="00BB2716" w:rsidRPr="00BB2716" w:rsidRDefault="00BB2716" w:rsidP="008A4F23">
      <w:pPr>
        <w:ind w:left="851"/>
        <w:rPr>
          <w:sz w:val="24"/>
          <w:szCs w:val="24"/>
          <w:u w:val="single"/>
        </w:rPr>
      </w:pPr>
      <w:r w:rsidRPr="00BB2716">
        <w:rPr>
          <w:sz w:val="24"/>
          <w:szCs w:val="24"/>
          <w:u w:val="single"/>
        </w:rPr>
        <w:t>Graviditet</w:t>
      </w:r>
    </w:p>
    <w:p w14:paraId="1A17046C" w14:textId="77777777" w:rsidR="00BB2716" w:rsidRPr="00BB2716" w:rsidRDefault="00BB2716" w:rsidP="008A4F23">
      <w:pPr>
        <w:ind w:left="851"/>
        <w:rPr>
          <w:sz w:val="24"/>
          <w:szCs w:val="24"/>
        </w:rPr>
      </w:pPr>
      <w:r w:rsidRPr="00BB2716">
        <w:rPr>
          <w:sz w:val="24"/>
          <w:szCs w:val="24"/>
        </w:rPr>
        <w:t>Der er ingen eller utilstrækkelige data fra anvendelse af Nutritrace Elements til gravide kvinder. Data fra dyreforsøg er utilstrækkelige hvad angår reproduktionstoksicitet (se pkt. 5.3). Kravene til sporstoffer hos en gravid kvinde er dog lidt forøget sammenlignet med ikke</w:t>
      </w:r>
      <w:r w:rsidRPr="00BB2716">
        <w:rPr>
          <w:sz w:val="24"/>
          <w:szCs w:val="24"/>
        </w:rPr>
        <w:noBreakHyphen/>
        <w:t>gravide kvinder. Nutritrace Elements bør ikke anvendes under graviditet, medmindre kvindens kliniske tilstand klart kræver behandling med Nutritrace Elements og kun efter en grundig overvejelse af de forventede fordele for moderen samt de potentielle risici for fostret.</w:t>
      </w:r>
    </w:p>
    <w:p w14:paraId="001160FB" w14:textId="77777777" w:rsidR="00BB2716" w:rsidRPr="00BB2716" w:rsidRDefault="00BB2716" w:rsidP="008A4F23">
      <w:pPr>
        <w:ind w:left="851"/>
        <w:rPr>
          <w:sz w:val="24"/>
          <w:szCs w:val="24"/>
          <w:u w:val="single"/>
        </w:rPr>
      </w:pPr>
    </w:p>
    <w:p w14:paraId="35C22413" w14:textId="77777777" w:rsidR="00BB2716" w:rsidRPr="00BB2716" w:rsidRDefault="00BB2716" w:rsidP="008A4F23">
      <w:pPr>
        <w:ind w:left="851"/>
        <w:rPr>
          <w:sz w:val="24"/>
          <w:szCs w:val="24"/>
          <w:u w:val="single"/>
        </w:rPr>
      </w:pPr>
      <w:r w:rsidRPr="00BB2716">
        <w:rPr>
          <w:sz w:val="24"/>
          <w:szCs w:val="24"/>
          <w:u w:val="single"/>
        </w:rPr>
        <w:t>Amning</w:t>
      </w:r>
    </w:p>
    <w:p w14:paraId="73EEAACB" w14:textId="77777777" w:rsidR="00BB2716" w:rsidRPr="00BB2716" w:rsidRDefault="00BB2716" w:rsidP="008A4F23">
      <w:pPr>
        <w:ind w:left="851"/>
        <w:rPr>
          <w:sz w:val="24"/>
          <w:szCs w:val="24"/>
        </w:rPr>
      </w:pPr>
      <w:r w:rsidRPr="00BB2716">
        <w:rPr>
          <w:sz w:val="24"/>
          <w:szCs w:val="24"/>
        </w:rPr>
        <w:t>De aktive stoffer/metabolitter i Nutritrace Elements udskilles i human mælk.</w:t>
      </w:r>
    </w:p>
    <w:p w14:paraId="261B1693" w14:textId="77777777" w:rsidR="00BB2716" w:rsidRPr="00BB2716" w:rsidRDefault="00BB2716" w:rsidP="008A4F23">
      <w:pPr>
        <w:ind w:left="851"/>
        <w:rPr>
          <w:sz w:val="24"/>
          <w:szCs w:val="24"/>
        </w:rPr>
      </w:pPr>
      <w:r w:rsidRPr="00BB2716">
        <w:rPr>
          <w:sz w:val="24"/>
          <w:szCs w:val="24"/>
        </w:rPr>
        <w:t>Nutritrace Elements bør ikke anvendes i ammeperioden undtagen efter omhyggelig afvejning af de forventede fordele for moderen samt de potentielle risici for barnet.</w:t>
      </w:r>
    </w:p>
    <w:p w14:paraId="783DBD5F" w14:textId="77777777" w:rsidR="00BB2716" w:rsidRPr="00BB2716" w:rsidRDefault="00BB2716" w:rsidP="008A4F23">
      <w:pPr>
        <w:ind w:left="851"/>
        <w:rPr>
          <w:sz w:val="24"/>
          <w:szCs w:val="24"/>
          <w:u w:val="single"/>
        </w:rPr>
      </w:pPr>
    </w:p>
    <w:p w14:paraId="7396D9A6" w14:textId="77777777" w:rsidR="00BB2716" w:rsidRPr="00BB2716" w:rsidRDefault="00BB2716" w:rsidP="008A4F23">
      <w:pPr>
        <w:ind w:left="851"/>
        <w:rPr>
          <w:sz w:val="24"/>
          <w:szCs w:val="24"/>
          <w:u w:val="single"/>
        </w:rPr>
      </w:pPr>
      <w:r w:rsidRPr="00BB2716">
        <w:rPr>
          <w:sz w:val="24"/>
          <w:szCs w:val="24"/>
          <w:u w:val="single"/>
        </w:rPr>
        <w:t>Fertilitet</w:t>
      </w:r>
    </w:p>
    <w:p w14:paraId="7D28A41F" w14:textId="77777777" w:rsidR="00BB2716" w:rsidRPr="00BB2716" w:rsidRDefault="00BB2716" w:rsidP="008A4F23">
      <w:pPr>
        <w:ind w:left="851"/>
        <w:rPr>
          <w:sz w:val="24"/>
          <w:szCs w:val="24"/>
        </w:rPr>
      </w:pPr>
      <w:r w:rsidRPr="00BB2716">
        <w:rPr>
          <w:sz w:val="24"/>
          <w:szCs w:val="24"/>
        </w:rPr>
        <w:t>Der er ingen tilgængelige data. Der forventes ingen virkning på fertiliteten ved terapeutiske doser.</w:t>
      </w:r>
    </w:p>
    <w:p w14:paraId="018101D6" w14:textId="77777777" w:rsidR="009260DE" w:rsidRPr="008A4F23" w:rsidRDefault="009260DE" w:rsidP="009260DE">
      <w:pPr>
        <w:tabs>
          <w:tab w:val="left" w:pos="851"/>
        </w:tabs>
        <w:ind w:left="851"/>
        <w:rPr>
          <w:sz w:val="24"/>
          <w:szCs w:val="24"/>
        </w:rPr>
      </w:pPr>
    </w:p>
    <w:p w14:paraId="4D301D7F" w14:textId="77777777" w:rsidR="009260DE" w:rsidRPr="008A4F23" w:rsidRDefault="009260DE" w:rsidP="009260DE">
      <w:pPr>
        <w:tabs>
          <w:tab w:val="left" w:pos="851"/>
        </w:tabs>
        <w:ind w:left="851" w:hanging="851"/>
        <w:rPr>
          <w:b/>
          <w:sz w:val="24"/>
          <w:szCs w:val="24"/>
        </w:rPr>
      </w:pPr>
      <w:r w:rsidRPr="008A4F23">
        <w:rPr>
          <w:b/>
          <w:sz w:val="24"/>
          <w:szCs w:val="24"/>
        </w:rPr>
        <w:t>4.7</w:t>
      </w:r>
      <w:r w:rsidRPr="008A4F23">
        <w:rPr>
          <w:b/>
          <w:sz w:val="24"/>
          <w:szCs w:val="24"/>
        </w:rPr>
        <w:tab/>
        <w:t xml:space="preserve">Virkning på evnen til at føre motorkøretøj </w:t>
      </w:r>
      <w:r w:rsidR="0071241E" w:rsidRPr="008A4F23">
        <w:rPr>
          <w:b/>
          <w:sz w:val="24"/>
          <w:szCs w:val="24"/>
        </w:rPr>
        <w:t>og</w:t>
      </w:r>
      <w:r w:rsidRPr="008A4F23">
        <w:rPr>
          <w:b/>
          <w:sz w:val="24"/>
          <w:szCs w:val="24"/>
        </w:rPr>
        <w:t xml:space="preserve"> betjene maskiner</w:t>
      </w:r>
    </w:p>
    <w:p w14:paraId="03E5A7F3" w14:textId="77777777" w:rsidR="00717B2E" w:rsidRDefault="00717B2E" w:rsidP="008A4F23">
      <w:pPr>
        <w:ind w:left="851"/>
        <w:rPr>
          <w:sz w:val="24"/>
          <w:szCs w:val="24"/>
        </w:rPr>
      </w:pPr>
      <w:r>
        <w:rPr>
          <w:sz w:val="24"/>
          <w:szCs w:val="24"/>
        </w:rPr>
        <w:t>Ikke mærkning.</w:t>
      </w:r>
    </w:p>
    <w:p w14:paraId="38C272D9" w14:textId="6ED531D5" w:rsidR="00BB2716" w:rsidRPr="00BB2716" w:rsidRDefault="00BB2716" w:rsidP="008A4F23">
      <w:pPr>
        <w:ind w:left="851"/>
        <w:rPr>
          <w:sz w:val="24"/>
          <w:szCs w:val="24"/>
        </w:rPr>
      </w:pPr>
      <w:r w:rsidRPr="00BB2716">
        <w:rPr>
          <w:sz w:val="24"/>
          <w:szCs w:val="24"/>
        </w:rPr>
        <w:t>Nutritrace Elements påvirker ikke eller kun i ubetydelig grad evnen til at føre motorkøretøj og betjene maskiner.</w:t>
      </w:r>
    </w:p>
    <w:p w14:paraId="7656BF31" w14:textId="77777777" w:rsidR="009260DE" w:rsidRPr="008A4F23" w:rsidRDefault="009260DE" w:rsidP="009260DE">
      <w:pPr>
        <w:tabs>
          <w:tab w:val="left" w:pos="851"/>
        </w:tabs>
        <w:ind w:left="851"/>
        <w:rPr>
          <w:sz w:val="24"/>
          <w:szCs w:val="24"/>
        </w:rPr>
      </w:pPr>
    </w:p>
    <w:p w14:paraId="78F1B621" w14:textId="77777777" w:rsidR="009260DE" w:rsidRPr="008A4F23" w:rsidRDefault="009260DE" w:rsidP="009260DE">
      <w:pPr>
        <w:tabs>
          <w:tab w:val="left" w:pos="851"/>
        </w:tabs>
        <w:ind w:left="851" w:hanging="851"/>
        <w:rPr>
          <w:b/>
          <w:sz w:val="24"/>
          <w:szCs w:val="24"/>
        </w:rPr>
      </w:pPr>
      <w:r w:rsidRPr="008A4F23">
        <w:rPr>
          <w:b/>
          <w:sz w:val="24"/>
          <w:szCs w:val="24"/>
        </w:rPr>
        <w:t>4.8</w:t>
      </w:r>
      <w:r w:rsidRPr="008A4F23">
        <w:rPr>
          <w:b/>
          <w:sz w:val="24"/>
          <w:szCs w:val="24"/>
        </w:rPr>
        <w:tab/>
        <w:t>Bivirkninger</w:t>
      </w:r>
    </w:p>
    <w:p w14:paraId="272A12C0" w14:textId="77777777" w:rsidR="00BB2716" w:rsidRPr="00BB2716" w:rsidRDefault="00BB2716" w:rsidP="008A4F23">
      <w:pPr>
        <w:ind w:left="851"/>
        <w:rPr>
          <w:sz w:val="24"/>
          <w:szCs w:val="24"/>
        </w:rPr>
      </w:pPr>
      <w:r w:rsidRPr="00BB2716">
        <w:rPr>
          <w:sz w:val="24"/>
          <w:szCs w:val="24"/>
        </w:rPr>
        <w:t>Liste med bivirkninger</w:t>
      </w:r>
    </w:p>
    <w:p w14:paraId="141E1DAE" w14:textId="77777777" w:rsidR="00BB2716" w:rsidRPr="00BB2716" w:rsidRDefault="00BB2716" w:rsidP="008A4F23">
      <w:pPr>
        <w:ind w:left="851"/>
        <w:rPr>
          <w:sz w:val="24"/>
          <w:szCs w:val="24"/>
        </w:rPr>
      </w:pPr>
      <w:r w:rsidRPr="00BB2716">
        <w:rPr>
          <w:sz w:val="24"/>
          <w:szCs w:val="24"/>
        </w:rPr>
        <w:t>Bivirkninger er listet i henhold til deres hyppighed som følger:</w:t>
      </w:r>
    </w:p>
    <w:p w14:paraId="62654C17" w14:textId="77777777" w:rsidR="00BB2716" w:rsidRPr="00BB2716" w:rsidRDefault="00BB2716" w:rsidP="008A4F23">
      <w:pPr>
        <w:ind w:left="851"/>
        <w:rPr>
          <w:sz w:val="24"/>
          <w:szCs w:val="24"/>
          <w:u w:val="single"/>
        </w:rPr>
      </w:pPr>
    </w:p>
    <w:p w14:paraId="6324EAD1" w14:textId="4F52294E" w:rsidR="00BB2716" w:rsidRPr="00BB2716" w:rsidRDefault="00BB2716" w:rsidP="00717B2E">
      <w:pPr>
        <w:tabs>
          <w:tab w:val="left" w:pos="2977"/>
        </w:tabs>
        <w:ind w:left="851"/>
        <w:rPr>
          <w:sz w:val="24"/>
          <w:szCs w:val="24"/>
        </w:rPr>
      </w:pPr>
      <w:r w:rsidRPr="00BB2716">
        <w:rPr>
          <w:sz w:val="24"/>
          <w:szCs w:val="24"/>
        </w:rPr>
        <w:t>Meget almindelig:</w:t>
      </w:r>
      <w:r w:rsidRPr="00BB2716">
        <w:rPr>
          <w:sz w:val="24"/>
          <w:szCs w:val="24"/>
        </w:rPr>
        <w:tab/>
        <w:t>≥ 1/10</w:t>
      </w:r>
    </w:p>
    <w:p w14:paraId="1A513350" w14:textId="0DE4372A" w:rsidR="00BB2716" w:rsidRPr="00BB2716" w:rsidRDefault="00BB2716" w:rsidP="00717B2E">
      <w:pPr>
        <w:tabs>
          <w:tab w:val="left" w:pos="2977"/>
        </w:tabs>
        <w:ind w:left="851"/>
        <w:rPr>
          <w:sz w:val="24"/>
          <w:szCs w:val="24"/>
        </w:rPr>
      </w:pPr>
      <w:r w:rsidRPr="00BB2716">
        <w:rPr>
          <w:sz w:val="24"/>
          <w:szCs w:val="24"/>
        </w:rPr>
        <w:t>Almindelig:</w:t>
      </w:r>
      <w:r w:rsidRPr="00BB2716">
        <w:rPr>
          <w:sz w:val="24"/>
          <w:szCs w:val="24"/>
        </w:rPr>
        <w:tab/>
        <w:t>≥ 1/100 til &lt; 1/10</w:t>
      </w:r>
    </w:p>
    <w:p w14:paraId="382A404E" w14:textId="0724F89D" w:rsidR="00BB2716" w:rsidRPr="00BB2716" w:rsidRDefault="00BB2716" w:rsidP="00717B2E">
      <w:pPr>
        <w:tabs>
          <w:tab w:val="left" w:pos="2977"/>
        </w:tabs>
        <w:ind w:left="851"/>
        <w:rPr>
          <w:sz w:val="24"/>
          <w:szCs w:val="24"/>
        </w:rPr>
      </w:pPr>
      <w:r w:rsidRPr="00BB2716">
        <w:rPr>
          <w:sz w:val="24"/>
          <w:szCs w:val="24"/>
        </w:rPr>
        <w:t>Ikke almindelig:</w:t>
      </w:r>
      <w:r w:rsidRPr="00BB2716">
        <w:rPr>
          <w:sz w:val="24"/>
          <w:szCs w:val="24"/>
        </w:rPr>
        <w:tab/>
        <w:t>≥ 1/1.000 til &lt; 1/100</w:t>
      </w:r>
    </w:p>
    <w:p w14:paraId="47F1CBAC" w14:textId="306254E9" w:rsidR="00BB2716" w:rsidRPr="00BB2716" w:rsidRDefault="00BB2716" w:rsidP="00717B2E">
      <w:pPr>
        <w:tabs>
          <w:tab w:val="left" w:pos="2977"/>
        </w:tabs>
        <w:ind w:left="851"/>
        <w:rPr>
          <w:sz w:val="24"/>
          <w:szCs w:val="24"/>
        </w:rPr>
      </w:pPr>
      <w:r w:rsidRPr="00BB2716">
        <w:rPr>
          <w:sz w:val="24"/>
          <w:szCs w:val="24"/>
        </w:rPr>
        <w:t>Sjælden:</w:t>
      </w:r>
      <w:r w:rsidRPr="00BB2716">
        <w:rPr>
          <w:sz w:val="24"/>
          <w:szCs w:val="24"/>
        </w:rPr>
        <w:tab/>
        <w:t>≥ 1/10.000 til &lt; 1/1.000</w:t>
      </w:r>
    </w:p>
    <w:p w14:paraId="221F6F6F" w14:textId="517C493B" w:rsidR="00BB2716" w:rsidRPr="00BB2716" w:rsidRDefault="00BB2716" w:rsidP="00717B2E">
      <w:pPr>
        <w:tabs>
          <w:tab w:val="left" w:pos="2977"/>
        </w:tabs>
        <w:ind w:left="851"/>
        <w:rPr>
          <w:sz w:val="24"/>
          <w:szCs w:val="24"/>
        </w:rPr>
      </w:pPr>
      <w:r w:rsidRPr="00BB2716">
        <w:rPr>
          <w:sz w:val="24"/>
          <w:szCs w:val="24"/>
        </w:rPr>
        <w:t>Meget sjælden:</w:t>
      </w:r>
      <w:r w:rsidRPr="00BB2716">
        <w:rPr>
          <w:sz w:val="24"/>
          <w:szCs w:val="24"/>
        </w:rPr>
        <w:tab/>
        <w:t>&lt; 1/10.000</w:t>
      </w:r>
    </w:p>
    <w:p w14:paraId="2B02C905" w14:textId="281236A6" w:rsidR="00BB2716" w:rsidRPr="00BB2716" w:rsidRDefault="00BB2716" w:rsidP="00717B2E">
      <w:pPr>
        <w:tabs>
          <w:tab w:val="left" w:pos="2977"/>
        </w:tabs>
        <w:ind w:left="851"/>
        <w:rPr>
          <w:sz w:val="24"/>
          <w:szCs w:val="24"/>
        </w:rPr>
      </w:pPr>
      <w:r w:rsidRPr="00BB2716">
        <w:rPr>
          <w:sz w:val="24"/>
          <w:szCs w:val="24"/>
        </w:rPr>
        <w:t>Ikke kendt</w:t>
      </w:r>
      <w:r w:rsidRPr="00BB2716">
        <w:rPr>
          <w:sz w:val="24"/>
          <w:szCs w:val="24"/>
        </w:rPr>
        <w:tab/>
        <w:t>(hyppighed kan ikke estimeres ud fra forhåndenværende data)</w:t>
      </w:r>
    </w:p>
    <w:p w14:paraId="24E69A89" w14:textId="77777777" w:rsidR="00BB2716" w:rsidRPr="00BB2716" w:rsidRDefault="00BB2716" w:rsidP="008A4F23">
      <w:pPr>
        <w:ind w:left="851"/>
        <w:rPr>
          <w:sz w:val="24"/>
          <w:szCs w:val="24"/>
        </w:rPr>
      </w:pPr>
    </w:p>
    <w:p w14:paraId="3DC34BD1" w14:textId="77777777" w:rsidR="00BB2716" w:rsidRPr="00BB2716" w:rsidRDefault="00BB2716" w:rsidP="008A4F23">
      <w:pPr>
        <w:ind w:left="851"/>
        <w:rPr>
          <w:b/>
          <w:sz w:val="24"/>
          <w:szCs w:val="24"/>
        </w:rPr>
      </w:pPr>
      <w:r w:rsidRPr="00BB2716">
        <w:rPr>
          <w:b/>
          <w:i/>
          <w:sz w:val="24"/>
          <w:szCs w:val="24"/>
        </w:rPr>
        <w:t>Immunsystemet</w:t>
      </w:r>
    </w:p>
    <w:p w14:paraId="084066CC" w14:textId="77777777" w:rsidR="00BB2716" w:rsidRPr="00BB2716" w:rsidRDefault="00BB2716" w:rsidP="0078127C">
      <w:pPr>
        <w:ind w:left="2603" w:hanging="1752"/>
        <w:rPr>
          <w:sz w:val="24"/>
          <w:szCs w:val="24"/>
        </w:rPr>
      </w:pPr>
      <w:r w:rsidRPr="00BB2716">
        <w:rPr>
          <w:sz w:val="24"/>
          <w:szCs w:val="24"/>
        </w:rPr>
        <w:t>Ikke kendt:</w:t>
      </w:r>
      <w:r w:rsidRPr="00BB2716">
        <w:rPr>
          <w:sz w:val="24"/>
          <w:szCs w:val="24"/>
        </w:rPr>
        <w:tab/>
        <w:t>Overfølsomhedsreaktioner (herunder allergiske eller anafylaktiske reaktioner, der kan fremkaldes af jern eller jod).</w:t>
      </w:r>
    </w:p>
    <w:p w14:paraId="29B459BB" w14:textId="77777777" w:rsidR="00BB2716" w:rsidRPr="00BB2716" w:rsidRDefault="00BB2716" w:rsidP="008A4F23">
      <w:pPr>
        <w:ind w:left="851"/>
        <w:rPr>
          <w:sz w:val="24"/>
          <w:szCs w:val="24"/>
        </w:rPr>
      </w:pPr>
    </w:p>
    <w:p w14:paraId="06E32890" w14:textId="77777777" w:rsidR="00BB2716" w:rsidRPr="00BB2716" w:rsidRDefault="00BB2716" w:rsidP="008A4F23">
      <w:pPr>
        <w:ind w:left="851"/>
        <w:rPr>
          <w:b/>
          <w:bCs/>
          <w:i/>
          <w:iCs/>
          <w:sz w:val="24"/>
          <w:szCs w:val="24"/>
        </w:rPr>
      </w:pPr>
      <w:r w:rsidRPr="00BB2716">
        <w:rPr>
          <w:b/>
          <w:bCs/>
          <w:i/>
          <w:iCs/>
          <w:sz w:val="24"/>
          <w:szCs w:val="24"/>
        </w:rPr>
        <w:t xml:space="preserve">Almene symptomer og reaktioner på administrationsstedet: </w:t>
      </w:r>
    </w:p>
    <w:p w14:paraId="5397D6AE" w14:textId="77777777" w:rsidR="00BB2716" w:rsidRPr="00BB2716" w:rsidRDefault="00BB2716" w:rsidP="008A4F23">
      <w:pPr>
        <w:ind w:left="851"/>
        <w:rPr>
          <w:sz w:val="24"/>
          <w:szCs w:val="24"/>
        </w:rPr>
      </w:pPr>
      <w:r w:rsidRPr="00BB2716">
        <w:rPr>
          <w:sz w:val="24"/>
          <w:szCs w:val="24"/>
        </w:rPr>
        <w:t>Ikke kendt:</w:t>
      </w:r>
      <w:r w:rsidRPr="00BB2716">
        <w:rPr>
          <w:sz w:val="24"/>
          <w:szCs w:val="24"/>
        </w:rPr>
        <w:tab/>
        <w:t>Smerter på applikationsstedet</w:t>
      </w:r>
    </w:p>
    <w:p w14:paraId="0313BE29" w14:textId="77777777" w:rsidR="00BB2716" w:rsidRPr="00BB2716" w:rsidRDefault="00BB2716" w:rsidP="008A4F23">
      <w:pPr>
        <w:ind w:left="851"/>
        <w:rPr>
          <w:i/>
          <w:sz w:val="24"/>
          <w:szCs w:val="24"/>
        </w:rPr>
      </w:pPr>
    </w:p>
    <w:p w14:paraId="2772E26B" w14:textId="77777777" w:rsidR="00BB2716" w:rsidRPr="00BB2716" w:rsidRDefault="00BB2716" w:rsidP="008A4F23">
      <w:pPr>
        <w:ind w:left="851"/>
        <w:rPr>
          <w:sz w:val="24"/>
          <w:szCs w:val="24"/>
          <w:u w:val="single"/>
        </w:rPr>
      </w:pPr>
      <w:r w:rsidRPr="00BB2716">
        <w:rPr>
          <w:sz w:val="24"/>
          <w:szCs w:val="24"/>
          <w:u w:val="single"/>
        </w:rPr>
        <w:t>Indberetning af formodede bivirkninger</w:t>
      </w:r>
    </w:p>
    <w:p w14:paraId="7D64ED33" w14:textId="77777777" w:rsidR="00BB2716" w:rsidRPr="00BB2716" w:rsidRDefault="00BB2716" w:rsidP="008A4F23">
      <w:pPr>
        <w:ind w:left="851"/>
        <w:rPr>
          <w:sz w:val="24"/>
          <w:szCs w:val="24"/>
        </w:rPr>
      </w:pPr>
      <w:r w:rsidRPr="00BB2716">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23ECB591" w14:textId="77777777" w:rsidR="00BB2716" w:rsidRPr="00BB2716" w:rsidRDefault="00BB2716" w:rsidP="008A4F23">
      <w:pPr>
        <w:ind w:left="851"/>
        <w:rPr>
          <w:sz w:val="24"/>
          <w:szCs w:val="24"/>
        </w:rPr>
      </w:pPr>
    </w:p>
    <w:p w14:paraId="4AFE2EDA" w14:textId="77777777" w:rsidR="00BB2716" w:rsidRPr="00BB2716" w:rsidRDefault="00BB2716" w:rsidP="008A4F23">
      <w:pPr>
        <w:ind w:left="851"/>
        <w:rPr>
          <w:sz w:val="24"/>
          <w:szCs w:val="24"/>
        </w:rPr>
      </w:pPr>
      <w:r w:rsidRPr="00BB2716">
        <w:rPr>
          <w:sz w:val="24"/>
          <w:szCs w:val="24"/>
        </w:rPr>
        <w:t>Lægemiddelstyrelsen</w:t>
      </w:r>
    </w:p>
    <w:p w14:paraId="14583D5C" w14:textId="77777777" w:rsidR="00BB2716" w:rsidRPr="00BB2716" w:rsidRDefault="00BB2716" w:rsidP="008A4F23">
      <w:pPr>
        <w:ind w:left="851"/>
        <w:rPr>
          <w:sz w:val="24"/>
          <w:szCs w:val="24"/>
        </w:rPr>
      </w:pPr>
      <w:r w:rsidRPr="00BB2716">
        <w:rPr>
          <w:sz w:val="24"/>
          <w:szCs w:val="24"/>
        </w:rPr>
        <w:t>Axel Heides Gade 1</w:t>
      </w:r>
    </w:p>
    <w:p w14:paraId="1836B5EF" w14:textId="77777777" w:rsidR="00BB2716" w:rsidRPr="00BB2716" w:rsidRDefault="00BB2716" w:rsidP="008A4F23">
      <w:pPr>
        <w:ind w:left="851"/>
        <w:rPr>
          <w:sz w:val="24"/>
          <w:szCs w:val="24"/>
        </w:rPr>
      </w:pPr>
      <w:r w:rsidRPr="00BB2716">
        <w:rPr>
          <w:sz w:val="24"/>
          <w:szCs w:val="24"/>
        </w:rPr>
        <w:t>DK-2300 København S</w:t>
      </w:r>
    </w:p>
    <w:p w14:paraId="05EE5E8E" w14:textId="77777777" w:rsidR="00BB2716" w:rsidRPr="00BB2716" w:rsidRDefault="00BB2716" w:rsidP="008A4F23">
      <w:pPr>
        <w:ind w:left="851"/>
        <w:rPr>
          <w:sz w:val="24"/>
          <w:szCs w:val="24"/>
        </w:rPr>
      </w:pPr>
      <w:r w:rsidRPr="00BB2716">
        <w:rPr>
          <w:sz w:val="24"/>
          <w:szCs w:val="24"/>
        </w:rPr>
        <w:t>Websted: www.meldenbivirkning.dk</w:t>
      </w:r>
    </w:p>
    <w:p w14:paraId="4D93FA95" w14:textId="77777777" w:rsidR="009260DE" w:rsidRPr="008A4F23" w:rsidRDefault="009260DE" w:rsidP="00A10294">
      <w:pPr>
        <w:tabs>
          <w:tab w:val="left" w:pos="851"/>
        </w:tabs>
        <w:ind w:left="851"/>
        <w:rPr>
          <w:sz w:val="24"/>
          <w:szCs w:val="24"/>
        </w:rPr>
      </w:pPr>
    </w:p>
    <w:p w14:paraId="4101012B" w14:textId="77777777" w:rsidR="009260DE" w:rsidRPr="008A4F23" w:rsidRDefault="009260DE" w:rsidP="009260DE">
      <w:pPr>
        <w:tabs>
          <w:tab w:val="left" w:pos="851"/>
        </w:tabs>
        <w:ind w:left="851" w:hanging="851"/>
        <w:rPr>
          <w:b/>
          <w:sz w:val="24"/>
          <w:szCs w:val="24"/>
        </w:rPr>
      </w:pPr>
      <w:r w:rsidRPr="008A4F23">
        <w:rPr>
          <w:b/>
          <w:sz w:val="24"/>
          <w:szCs w:val="24"/>
        </w:rPr>
        <w:t>4.9</w:t>
      </w:r>
      <w:r w:rsidRPr="008A4F23">
        <w:rPr>
          <w:b/>
          <w:sz w:val="24"/>
          <w:szCs w:val="24"/>
        </w:rPr>
        <w:tab/>
        <w:t>Overdosering</w:t>
      </w:r>
    </w:p>
    <w:p w14:paraId="2B4E6371" w14:textId="77777777" w:rsidR="00BB2716" w:rsidRPr="00BB2716" w:rsidRDefault="00BB2716" w:rsidP="008A4F23">
      <w:pPr>
        <w:ind w:left="851"/>
        <w:rPr>
          <w:sz w:val="24"/>
          <w:szCs w:val="24"/>
        </w:rPr>
      </w:pPr>
      <w:r w:rsidRPr="00BB2716">
        <w:rPr>
          <w:sz w:val="24"/>
          <w:szCs w:val="24"/>
        </w:rPr>
        <w:t>Det er meget usandsynligt, at Nutritrace Elements ved normal dosering (1 ampul pr. dag) kan føre til overdosering, da mængden af sporstoffer pr. ampul ligger betydeligt under toksiske niveauer.</w:t>
      </w:r>
    </w:p>
    <w:p w14:paraId="7949AE81" w14:textId="77777777" w:rsidR="00BB2716" w:rsidRPr="00BB2716" w:rsidRDefault="00BB2716" w:rsidP="008A4F23">
      <w:pPr>
        <w:ind w:left="851"/>
        <w:rPr>
          <w:sz w:val="24"/>
          <w:szCs w:val="24"/>
        </w:rPr>
      </w:pPr>
    </w:p>
    <w:p w14:paraId="1AB87D82" w14:textId="77777777" w:rsidR="00BB2716" w:rsidRPr="00BB2716" w:rsidRDefault="00BB2716" w:rsidP="008A4F23">
      <w:pPr>
        <w:ind w:left="851"/>
        <w:rPr>
          <w:sz w:val="24"/>
          <w:szCs w:val="24"/>
        </w:rPr>
      </w:pPr>
      <w:r w:rsidRPr="00BB2716">
        <w:rPr>
          <w:sz w:val="24"/>
          <w:szCs w:val="24"/>
        </w:rPr>
        <w:t>For patienter med nedsat funktion af nyrer, lever eller galdeveje er der en øget risiko for akkumulation af sporstoffer. I tilfælde af kronisk jernophobning er der risiko for hæmosiderose, som i alvorlige og sjældne tilfælde kan behandles ved venesektion.</w:t>
      </w:r>
    </w:p>
    <w:p w14:paraId="32B39468" w14:textId="77777777" w:rsidR="00BB2716" w:rsidRPr="00BB2716" w:rsidRDefault="00BB2716" w:rsidP="008A4F23">
      <w:pPr>
        <w:ind w:left="851"/>
        <w:rPr>
          <w:sz w:val="24"/>
          <w:szCs w:val="24"/>
        </w:rPr>
      </w:pPr>
    </w:p>
    <w:p w14:paraId="2E512BC1" w14:textId="77777777" w:rsidR="00BB2716" w:rsidRPr="00BB2716" w:rsidRDefault="00BB2716" w:rsidP="008A4F23">
      <w:pPr>
        <w:ind w:left="851"/>
        <w:rPr>
          <w:sz w:val="24"/>
          <w:szCs w:val="24"/>
        </w:rPr>
      </w:pPr>
      <w:r w:rsidRPr="00BB2716">
        <w:rPr>
          <w:sz w:val="24"/>
          <w:szCs w:val="24"/>
        </w:rPr>
        <w:t>Hvis der er mistanke om overdosering (se pkt. 4.4), skal behandling med Nutritrace Elements afbrydes. Overdosering kan påvises ved passende laboratorieprøver.</w:t>
      </w:r>
    </w:p>
    <w:p w14:paraId="53063CD8" w14:textId="77777777" w:rsidR="009260DE" w:rsidRPr="008A4F23" w:rsidRDefault="009260DE" w:rsidP="009260DE">
      <w:pPr>
        <w:tabs>
          <w:tab w:val="left" w:pos="851"/>
        </w:tabs>
        <w:ind w:left="851"/>
        <w:rPr>
          <w:sz w:val="24"/>
          <w:szCs w:val="24"/>
        </w:rPr>
      </w:pPr>
    </w:p>
    <w:p w14:paraId="3158FEB0" w14:textId="77777777" w:rsidR="009260DE" w:rsidRPr="008A4F23" w:rsidRDefault="009260DE" w:rsidP="009260DE">
      <w:pPr>
        <w:tabs>
          <w:tab w:val="left" w:pos="851"/>
        </w:tabs>
        <w:ind w:left="851" w:hanging="851"/>
        <w:rPr>
          <w:b/>
          <w:sz w:val="24"/>
          <w:szCs w:val="24"/>
        </w:rPr>
      </w:pPr>
      <w:r w:rsidRPr="008A4F23">
        <w:rPr>
          <w:b/>
          <w:sz w:val="24"/>
          <w:szCs w:val="24"/>
        </w:rPr>
        <w:t>4.10</w:t>
      </w:r>
      <w:r w:rsidRPr="008A4F23">
        <w:rPr>
          <w:b/>
          <w:sz w:val="24"/>
          <w:szCs w:val="24"/>
        </w:rPr>
        <w:tab/>
        <w:t>Udlevering</w:t>
      </w:r>
    </w:p>
    <w:p w14:paraId="3E2F8612" w14:textId="78983C26" w:rsidR="009260DE" w:rsidRPr="008A4F23" w:rsidRDefault="00BB2716" w:rsidP="009260DE">
      <w:pPr>
        <w:tabs>
          <w:tab w:val="left" w:pos="851"/>
        </w:tabs>
        <w:ind w:left="851"/>
        <w:rPr>
          <w:sz w:val="24"/>
          <w:szCs w:val="24"/>
        </w:rPr>
      </w:pPr>
      <w:r w:rsidRPr="008A4F23">
        <w:rPr>
          <w:sz w:val="24"/>
          <w:szCs w:val="24"/>
        </w:rPr>
        <w:t>B</w:t>
      </w:r>
    </w:p>
    <w:p w14:paraId="40373C1A" w14:textId="77777777" w:rsidR="009260DE" w:rsidRPr="008A4F23" w:rsidRDefault="009260DE" w:rsidP="009260DE">
      <w:pPr>
        <w:tabs>
          <w:tab w:val="left" w:pos="851"/>
        </w:tabs>
        <w:ind w:left="851"/>
        <w:rPr>
          <w:sz w:val="24"/>
          <w:szCs w:val="24"/>
        </w:rPr>
      </w:pPr>
    </w:p>
    <w:p w14:paraId="220989F0" w14:textId="77777777" w:rsidR="009260DE" w:rsidRPr="008A4F23" w:rsidRDefault="009260DE" w:rsidP="009260DE">
      <w:pPr>
        <w:tabs>
          <w:tab w:val="left" w:pos="851"/>
        </w:tabs>
        <w:ind w:left="851"/>
        <w:rPr>
          <w:sz w:val="24"/>
          <w:szCs w:val="24"/>
        </w:rPr>
      </w:pPr>
    </w:p>
    <w:p w14:paraId="62FD8384" w14:textId="77777777" w:rsidR="009260DE" w:rsidRPr="008A4F23" w:rsidRDefault="009260DE" w:rsidP="009260DE">
      <w:pPr>
        <w:tabs>
          <w:tab w:val="left" w:pos="851"/>
        </w:tabs>
        <w:ind w:left="851" w:hanging="851"/>
        <w:rPr>
          <w:b/>
          <w:sz w:val="24"/>
          <w:szCs w:val="24"/>
        </w:rPr>
      </w:pPr>
      <w:r w:rsidRPr="008A4F23">
        <w:rPr>
          <w:b/>
          <w:sz w:val="24"/>
          <w:szCs w:val="24"/>
        </w:rPr>
        <w:t>5.</w:t>
      </w:r>
      <w:r w:rsidRPr="008A4F23">
        <w:rPr>
          <w:b/>
          <w:sz w:val="24"/>
          <w:szCs w:val="24"/>
        </w:rPr>
        <w:tab/>
        <w:t>FARMAKOLOGISKE EGENSKABER</w:t>
      </w:r>
    </w:p>
    <w:p w14:paraId="32AB5C29" w14:textId="77777777" w:rsidR="009260DE" w:rsidRPr="008A4F23" w:rsidRDefault="009260DE" w:rsidP="009260DE">
      <w:pPr>
        <w:tabs>
          <w:tab w:val="left" w:pos="851"/>
        </w:tabs>
        <w:ind w:left="851"/>
        <w:rPr>
          <w:sz w:val="24"/>
          <w:szCs w:val="24"/>
        </w:rPr>
      </w:pPr>
    </w:p>
    <w:p w14:paraId="72FB5860" w14:textId="77777777" w:rsidR="009260DE" w:rsidRPr="008A4F23" w:rsidRDefault="009260DE" w:rsidP="009260DE">
      <w:pPr>
        <w:tabs>
          <w:tab w:val="num" w:pos="851"/>
        </w:tabs>
        <w:ind w:left="851" w:hanging="851"/>
        <w:rPr>
          <w:b/>
          <w:sz w:val="24"/>
          <w:szCs w:val="24"/>
        </w:rPr>
      </w:pPr>
      <w:r w:rsidRPr="008A4F23">
        <w:rPr>
          <w:b/>
          <w:sz w:val="24"/>
          <w:szCs w:val="24"/>
        </w:rPr>
        <w:t>5.1</w:t>
      </w:r>
      <w:r w:rsidRPr="008A4F23">
        <w:rPr>
          <w:b/>
          <w:sz w:val="24"/>
          <w:szCs w:val="24"/>
        </w:rPr>
        <w:tab/>
        <w:t>Farmakodynamiske egenskaber</w:t>
      </w:r>
    </w:p>
    <w:p w14:paraId="67E202AA" w14:textId="77777777" w:rsidR="00BB2716" w:rsidRPr="00BB2716" w:rsidRDefault="00BB2716" w:rsidP="008A4F23">
      <w:pPr>
        <w:ind w:left="851"/>
        <w:rPr>
          <w:sz w:val="24"/>
          <w:szCs w:val="24"/>
        </w:rPr>
      </w:pPr>
      <w:r w:rsidRPr="00BB2716">
        <w:rPr>
          <w:sz w:val="24"/>
          <w:szCs w:val="24"/>
        </w:rPr>
        <w:t>Farmakoterapeutisk klassifikation: Blodsubstitutter og perfusionsvæsker. Elektrolytter i komb. med andre stoffer, ATC-kode: B05XA31</w:t>
      </w:r>
    </w:p>
    <w:p w14:paraId="648D2B0B" w14:textId="77777777" w:rsidR="00BB2716" w:rsidRPr="00BB2716" w:rsidRDefault="00BB2716" w:rsidP="008A4F23">
      <w:pPr>
        <w:ind w:left="851"/>
        <w:rPr>
          <w:sz w:val="24"/>
          <w:szCs w:val="24"/>
        </w:rPr>
      </w:pPr>
    </w:p>
    <w:p w14:paraId="16B9256F" w14:textId="77777777" w:rsidR="00BB2716" w:rsidRPr="00BB2716" w:rsidRDefault="00BB2716" w:rsidP="008A4F23">
      <w:pPr>
        <w:ind w:left="851"/>
        <w:rPr>
          <w:sz w:val="24"/>
          <w:szCs w:val="24"/>
        </w:rPr>
      </w:pPr>
      <w:r w:rsidRPr="00BB2716">
        <w:rPr>
          <w:sz w:val="24"/>
          <w:szCs w:val="24"/>
        </w:rPr>
        <w:t>Nutritrace Elements er en afbalanceret opløsning, som indeholder alle de ni sporstoffer, som på nuværende tidspunkt betragtes som værende essentielle. De er nødvendige for at opretholde organismens metaboliske ligevægt. Mængden af sporstoffer indeholdt i Nutritrace Elements absorberes normalt fra den orale diæt og bør ikke have nogen farmakodynamisk virkning udover at opretholde eller genoprette ernæringsstatus.</w:t>
      </w:r>
    </w:p>
    <w:p w14:paraId="57DDBE08" w14:textId="77777777" w:rsidR="00BB2716" w:rsidRPr="00BB2716" w:rsidRDefault="00BB2716" w:rsidP="008A4F23">
      <w:pPr>
        <w:ind w:left="851"/>
        <w:rPr>
          <w:sz w:val="24"/>
          <w:szCs w:val="24"/>
        </w:rPr>
      </w:pPr>
    </w:p>
    <w:p w14:paraId="70D02746" w14:textId="77777777" w:rsidR="00BB2716" w:rsidRPr="00BB2716" w:rsidRDefault="00BB2716" w:rsidP="008A4F23">
      <w:pPr>
        <w:ind w:left="851"/>
        <w:rPr>
          <w:sz w:val="24"/>
          <w:szCs w:val="24"/>
        </w:rPr>
      </w:pPr>
      <w:r w:rsidRPr="00BB2716">
        <w:rPr>
          <w:sz w:val="24"/>
          <w:szCs w:val="24"/>
        </w:rPr>
        <w:t>Indholdsstoffernes farmakodynamiske og farmakokinetiske egenskaber svarer til egenskaberne af de naturligt forekommende stoffer.</w:t>
      </w:r>
    </w:p>
    <w:p w14:paraId="7C7F979F" w14:textId="77777777" w:rsidR="00BB2716" w:rsidRPr="00BB2716" w:rsidRDefault="00BB2716" w:rsidP="008A4F23">
      <w:pPr>
        <w:ind w:left="851"/>
        <w:rPr>
          <w:sz w:val="24"/>
          <w:szCs w:val="24"/>
        </w:rPr>
      </w:pPr>
    </w:p>
    <w:p w14:paraId="45E89DE1" w14:textId="77777777" w:rsidR="00BB2716" w:rsidRPr="00BB2716" w:rsidRDefault="00BB2716" w:rsidP="008A4F23">
      <w:pPr>
        <w:ind w:left="851"/>
        <w:rPr>
          <w:sz w:val="24"/>
          <w:szCs w:val="24"/>
        </w:rPr>
      </w:pPr>
      <w:r w:rsidRPr="00BB2716">
        <w:rPr>
          <w:sz w:val="24"/>
          <w:szCs w:val="24"/>
        </w:rPr>
        <w:t>Under parenteral ernæring er tilførsel af sporstoffer nødvendig, da mangel på disse kan fremkalde betydelige metaboliske og kliniske forstyrrelser.</w:t>
      </w:r>
    </w:p>
    <w:p w14:paraId="7FE8CF58" w14:textId="77777777" w:rsidR="009260DE" w:rsidRPr="008A4F23" w:rsidRDefault="009260DE" w:rsidP="008A4F23">
      <w:pPr>
        <w:ind w:left="851"/>
        <w:rPr>
          <w:sz w:val="24"/>
          <w:szCs w:val="24"/>
        </w:rPr>
      </w:pPr>
    </w:p>
    <w:p w14:paraId="21674F78" w14:textId="77777777" w:rsidR="009260DE" w:rsidRPr="008A4F23" w:rsidRDefault="009260DE" w:rsidP="009260DE">
      <w:pPr>
        <w:tabs>
          <w:tab w:val="left" w:pos="851"/>
        </w:tabs>
        <w:ind w:left="851" w:hanging="851"/>
        <w:rPr>
          <w:b/>
          <w:sz w:val="24"/>
          <w:szCs w:val="24"/>
        </w:rPr>
      </w:pPr>
      <w:r w:rsidRPr="008A4F23">
        <w:rPr>
          <w:b/>
          <w:sz w:val="24"/>
          <w:szCs w:val="24"/>
        </w:rPr>
        <w:t>5.2</w:t>
      </w:r>
      <w:r w:rsidRPr="008A4F23">
        <w:rPr>
          <w:b/>
          <w:sz w:val="24"/>
          <w:szCs w:val="24"/>
        </w:rPr>
        <w:tab/>
        <w:t>Farmakokinetiske egenskaber</w:t>
      </w:r>
    </w:p>
    <w:p w14:paraId="6209633B" w14:textId="77777777" w:rsidR="0078127C" w:rsidRDefault="0078127C" w:rsidP="008A4F23">
      <w:pPr>
        <w:ind w:left="851"/>
        <w:rPr>
          <w:sz w:val="24"/>
          <w:szCs w:val="24"/>
          <w:u w:val="single"/>
        </w:rPr>
      </w:pPr>
    </w:p>
    <w:p w14:paraId="38FE194A" w14:textId="51707370" w:rsidR="00BB2716" w:rsidRPr="00BB2716" w:rsidRDefault="00BB2716" w:rsidP="008A4F23">
      <w:pPr>
        <w:ind w:left="851"/>
        <w:rPr>
          <w:sz w:val="24"/>
          <w:szCs w:val="24"/>
          <w:u w:val="single"/>
        </w:rPr>
      </w:pPr>
      <w:r w:rsidRPr="00BB2716">
        <w:rPr>
          <w:sz w:val="24"/>
          <w:szCs w:val="24"/>
          <w:u w:val="single"/>
        </w:rPr>
        <w:t>Absorption</w:t>
      </w:r>
    </w:p>
    <w:p w14:paraId="071D111D" w14:textId="77777777" w:rsidR="00BB2716" w:rsidRPr="00BB2716" w:rsidRDefault="00BB2716" w:rsidP="008A4F23">
      <w:pPr>
        <w:ind w:left="851"/>
        <w:rPr>
          <w:sz w:val="24"/>
          <w:szCs w:val="24"/>
        </w:rPr>
      </w:pPr>
      <w:r w:rsidRPr="00BB2716">
        <w:rPr>
          <w:sz w:val="24"/>
          <w:szCs w:val="24"/>
        </w:rPr>
        <w:t>Da opløsningen administreres intravenøst, er biotilgængeligheden 100 %.</w:t>
      </w:r>
    </w:p>
    <w:p w14:paraId="0126483A" w14:textId="77777777" w:rsidR="00BB2716" w:rsidRPr="00BB2716" w:rsidRDefault="00BB2716" w:rsidP="008A4F23">
      <w:pPr>
        <w:ind w:left="851"/>
        <w:rPr>
          <w:sz w:val="24"/>
          <w:szCs w:val="24"/>
        </w:rPr>
      </w:pPr>
    </w:p>
    <w:p w14:paraId="34AD7F82" w14:textId="77777777" w:rsidR="00BB2716" w:rsidRPr="00BB2716" w:rsidRDefault="00BB2716" w:rsidP="008A4F23">
      <w:pPr>
        <w:ind w:left="851"/>
        <w:rPr>
          <w:sz w:val="24"/>
          <w:szCs w:val="24"/>
          <w:u w:val="single"/>
        </w:rPr>
      </w:pPr>
      <w:r w:rsidRPr="00BB2716">
        <w:rPr>
          <w:sz w:val="24"/>
          <w:szCs w:val="24"/>
          <w:u w:val="single"/>
        </w:rPr>
        <w:t>Fordeling</w:t>
      </w:r>
    </w:p>
    <w:p w14:paraId="7F017F08" w14:textId="77777777" w:rsidR="00BB2716" w:rsidRPr="00BB2716" w:rsidRDefault="00BB2716" w:rsidP="008A4F23">
      <w:pPr>
        <w:ind w:left="851"/>
        <w:rPr>
          <w:sz w:val="24"/>
          <w:szCs w:val="24"/>
        </w:rPr>
      </w:pPr>
      <w:r w:rsidRPr="00BB2716">
        <w:rPr>
          <w:sz w:val="24"/>
          <w:szCs w:val="24"/>
        </w:rPr>
        <w:t>Fordelingen af bestanddelene i Nutritrace Elements følger de samme fysiologiske veje som efter oral indtagelse. Forskellige sporstoffer vil blive optaget af væv i forskellig grad afhængigt af kravene inden for hvert væv til at opretholde eller genoprette koncentrationen af hvert element til vævets metaboliske behov.</w:t>
      </w:r>
    </w:p>
    <w:p w14:paraId="77735552" w14:textId="77777777" w:rsidR="00BB2716" w:rsidRPr="00BB2716" w:rsidRDefault="00BB2716" w:rsidP="008A4F23">
      <w:pPr>
        <w:ind w:left="851"/>
        <w:rPr>
          <w:sz w:val="24"/>
          <w:szCs w:val="24"/>
          <w:u w:val="single"/>
        </w:rPr>
      </w:pPr>
    </w:p>
    <w:p w14:paraId="1E9D1351" w14:textId="77777777" w:rsidR="00BB2716" w:rsidRPr="00BB2716" w:rsidRDefault="00BB2716" w:rsidP="008A4F23">
      <w:pPr>
        <w:ind w:left="851"/>
        <w:rPr>
          <w:sz w:val="24"/>
          <w:szCs w:val="24"/>
          <w:u w:val="single"/>
        </w:rPr>
      </w:pPr>
      <w:r w:rsidRPr="00BB2716">
        <w:rPr>
          <w:sz w:val="24"/>
          <w:szCs w:val="24"/>
          <w:u w:val="single"/>
        </w:rPr>
        <w:t>Metabolisme</w:t>
      </w:r>
    </w:p>
    <w:p w14:paraId="0AFACCE4" w14:textId="77777777" w:rsidR="00BB2716" w:rsidRPr="00BB2716" w:rsidRDefault="00BB2716" w:rsidP="008A4F23">
      <w:pPr>
        <w:ind w:left="851"/>
        <w:rPr>
          <w:sz w:val="24"/>
          <w:szCs w:val="24"/>
        </w:rPr>
      </w:pPr>
      <w:r w:rsidRPr="00BB2716">
        <w:rPr>
          <w:sz w:val="24"/>
          <w:szCs w:val="24"/>
        </w:rPr>
        <w:t>Selvom sporstoffer bliver absorberet, fordelt og elimineret er der ingen metabolisme i streng forstand.</w:t>
      </w:r>
    </w:p>
    <w:p w14:paraId="5292FEB9" w14:textId="77777777" w:rsidR="00BB2716" w:rsidRPr="00BB2716" w:rsidRDefault="00BB2716" w:rsidP="008A4F23">
      <w:pPr>
        <w:ind w:left="851"/>
        <w:rPr>
          <w:sz w:val="24"/>
          <w:szCs w:val="24"/>
          <w:u w:val="single"/>
        </w:rPr>
      </w:pPr>
    </w:p>
    <w:p w14:paraId="6C42EC60" w14:textId="77777777" w:rsidR="00BB2716" w:rsidRPr="00BB2716" w:rsidRDefault="00BB2716" w:rsidP="008A4F23">
      <w:pPr>
        <w:ind w:left="851"/>
        <w:rPr>
          <w:sz w:val="24"/>
          <w:szCs w:val="24"/>
          <w:u w:val="single"/>
        </w:rPr>
      </w:pPr>
      <w:r w:rsidRPr="00BB2716">
        <w:rPr>
          <w:sz w:val="24"/>
          <w:szCs w:val="24"/>
          <w:u w:val="single"/>
        </w:rPr>
        <w:t>Elimination</w:t>
      </w:r>
    </w:p>
    <w:p w14:paraId="5E7311AA" w14:textId="77777777" w:rsidR="00BB2716" w:rsidRPr="00BB2716" w:rsidRDefault="00BB2716" w:rsidP="008A4F23">
      <w:pPr>
        <w:ind w:left="851"/>
        <w:rPr>
          <w:sz w:val="24"/>
          <w:szCs w:val="24"/>
        </w:rPr>
      </w:pPr>
      <w:r w:rsidRPr="00BB2716">
        <w:rPr>
          <w:sz w:val="24"/>
          <w:szCs w:val="24"/>
        </w:rPr>
        <w:t>Elimination af de forskellige sporstoffer foregår ad forskellige veje:</w:t>
      </w:r>
    </w:p>
    <w:p w14:paraId="7F798B15" w14:textId="77777777" w:rsidR="00BB2716" w:rsidRPr="00BB2716" w:rsidRDefault="00BB2716" w:rsidP="008A4F23">
      <w:pPr>
        <w:ind w:left="851"/>
        <w:rPr>
          <w:sz w:val="24"/>
          <w:szCs w:val="24"/>
        </w:rPr>
      </w:pPr>
      <w:r w:rsidRPr="00BB2716">
        <w:rPr>
          <w:sz w:val="24"/>
          <w:szCs w:val="24"/>
        </w:rPr>
        <w:t>Størstedelen af</w:t>
      </w:r>
      <w:r w:rsidRPr="00BB2716">
        <w:rPr>
          <w:b/>
          <w:bCs/>
          <w:sz w:val="24"/>
          <w:szCs w:val="24"/>
        </w:rPr>
        <w:t xml:space="preserve"> jern</w:t>
      </w:r>
      <w:r w:rsidRPr="00BB2716">
        <w:rPr>
          <w:sz w:val="24"/>
          <w:szCs w:val="24"/>
        </w:rPr>
        <w:t xml:space="preserve"> elimineres i fæces og i mindre grad i urin og hud.</w:t>
      </w:r>
    </w:p>
    <w:p w14:paraId="74D9AD25" w14:textId="1D30BC95" w:rsidR="00BB2716" w:rsidRPr="00BB2716" w:rsidRDefault="00BB2716" w:rsidP="008A4F23">
      <w:pPr>
        <w:ind w:left="851"/>
        <w:rPr>
          <w:sz w:val="24"/>
          <w:szCs w:val="24"/>
        </w:rPr>
      </w:pPr>
      <w:r w:rsidRPr="00BB2716">
        <w:rPr>
          <w:sz w:val="24"/>
          <w:szCs w:val="24"/>
        </w:rPr>
        <w:t xml:space="preserve">Den primære vej for udskillelse af </w:t>
      </w:r>
      <w:r w:rsidRPr="00BB2716">
        <w:rPr>
          <w:b/>
          <w:bCs/>
          <w:sz w:val="24"/>
          <w:szCs w:val="24"/>
        </w:rPr>
        <w:t>zink</w:t>
      </w:r>
      <w:r w:rsidRPr="00BB2716">
        <w:rPr>
          <w:sz w:val="24"/>
          <w:szCs w:val="24"/>
        </w:rPr>
        <w:t xml:space="preserve"> er via fæces, hvor zinktab fra mave-tarm</w:t>
      </w:r>
      <w:r w:rsidR="0078127C">
        <w:rPr>
          <w:sz w:val="24"/>
          <w:szCs w:val="24"/>
        </w:rPr>
        <w:t>-</w:t>
      </w:r>
      <w:r w:rsidRPr="00BB2716">
        <w:rPr>
          <w:sz w:val="24"/>
          <w:szCs w:val="24"/>
        </w:rPr>
        <w:t>kanalen normalt overstiger tabet gennem nyrerne.</w:t>
      </w:r>
    </w:p>
    <w:p w14:paraId="5DD462D8" w14:textId="77777777" w:rsidR="00BB2716" w:rsidRPr="00BB2716" w:rsidRDefault="00BB2716" w:rsidP="008A4F23">
      <w:pPr>
        <w:ind w:left="851"/>
        <w:rPr>
          <w:sz w:val="24"/>
          <w:szCs w:val="24"/>
        </w:rPr>
      </w:pPr>
      <w:r w:rsidRPr="00BB2716">
        <w:rPr>
          <w:b/>
          <w:bCs/>
          <w:sz w:val="24"/>
          <w:szCs w:val="24"/>
        </w:rPr>
        <w:t>Mangan</w:t>
      </w:r>
      <w:r w:rsidRPr="00BB2716">
        <w:rPr>
          <w:sz w:val="24"/>
          <w:szCs w:val="24"/>
        </w:rPr>
        <w:t xml:space="preserve"> udskilles fortrinsvis via galden til tarmen og reabsorberes delvist fra tarmen (enterohepatisk kredsløb). Den primære udskillelsesvej er med fæces; elimination med urinen og gennem sved er ubetydelig.</w:t>
      </w:r>
    </w:p>
    <w:p w14:paraId="37E0E2CB" w14:textId="77777777" w:rsidR="00BB2716" w:rsidRPr="00BB2716" w:rsidRDefault="00BB2716" w:rsidP="008A4F23">
      <w:pPr>
        <w:ind w:left="851"/>
        <w:rPr>
          <w:sz w:val="24"/>
          <w:szCs w:val="24"/>
        </w:rPr>
      </w:pPr>
      <w:r w:rsidRPr="00BB2716">
        <w:rPr>
          <w:sz w:val="24"/>
          <w:szCs w:val="24"/>
        </w:rPr>
        <w:t xml:space="preserve">Den vigtigste udskillelsesvej for </w:t>
      </w:r>
      <w:r w:rsidRPr="00BB2716">
        <w:rPr>
          <w:b/>
          <w:bCs/>
          <w:sz w:val="24"/>
          <w:szCs w:val="24"/>
        </w:rPr>
        <w:t>kobber</w:t>
      </w:r>
      <w:r w:rsidRPr="00BB2716">
        <w:rPr>
          <w:sz w:val="24"/>
          <w:szCs w:val="24"/>
        </w:rPr>
        <w:t xml:space="preserve"> er via galden, og en lille mængde udskilles med urinen.</w:t>
      </w:r>
    </w:p>
    <w:p w14:paraId="496955EB" w14:textId="77777777" w:rsidR="00BB2716" w:rsidRPr="00BB2716" w:rsidRDefault="00BB2716" w:rsidP="008A4F23">
      <w:pPr>
        <w:ind w:left="851"/>
        <w:rPr>
          <w:sz w:val="24"/>
          <w:szCs w:val="24"/>
        </w:rPr>
      </w:pPr>
    </w:p>
    <w:p w14:paraId="6911FFD8" w14:textId="77777777" w:rsidR="00BB2716" w:rsidRPr="00BB2716" w:rsidRDefault="00BB2716" w:rsidP="008A4F23">
      <w:pPr>
        <w:ind w:left="851"/>
        <w:rPr>
          <w:sz w:val="24"/>
          <w:szCs w:val="24"/>
        </w:rPr>
      </w:pPr>
      <w:r w:rsidRPr="00BB2716">
        <w:rPr>
          <w:b/>
          <w:bCs/>
          <w:sz w:val="24"/>
          <w:szCs w:val="24"/>
        </w:rPr>
        <w:t>Chrom</w:t>
      </w:r>
      <w:r w:rsidRPr="00BB2716">
        <w:rPr>
          <w:sz w:val="24"/>
          <w:szCs w:val="24"/>
        </w:rPr>
        <w:t xml:space="preserve"> udskilles primært gennem urinen, men noget chrom udskilles i fæces gennem galde- og tyndtarmstab.</w:t>
      </w:r>
    </w:p>
    <w:p w14:paraId="7290FBC0" w14:textId="77777777" w:rsidR="00BB2716" w:rsidRPr="00BB2716" w:rsidRDefault="00BB2716" w:rsidP="008A4F23">
      <w:pPr>
        <w:ind w:left="851"/>
        <w:rPr>
          <w:sz w:val="24"/>
          <w:szCs w:val="24"/>
        </w:rPr>
      </w:pPr>
    </w:p>
    <w:p w14:paraId="3F16DF60" w14:textId="77777777" w:rsidR="00BB2716" w:rsidRPr="00BB2716" w:rsidRDefault="00BB2716" w:rsidP="008A4F23">
      <w:pPr>
        <w:ind w:left="851"/>
        <w:rPr>
          <w:sz w:val="24"/>
          <w:szCs w:val="24"/>
        </w:rPr>
      </w:pPr>
      <w:r w:rsidRPr="00BB2716">
        <w:rPr>
          <w:sz w:val="24"/>
          <w:szCs w:val="24"/>
        </w:rPr>
        <w:t xml:space="preserve">Elimination af </w:t>
      </w:r>
      <w:r w:rsidRPr="00BB2716">
        <w:rPr>
          <w:b/>
          <w:bCs/>
          <w:sz w:val="24"/>
          <w:szCs w:val="24"/>
        </w:rPr>
        <w:t>selen</w:t>
      </w:r>
      <w:r w:rsidRPr="00BB2716">
        <w:rPr>
          <w:sz w:val="24"/>
          <w:szCs w:val="24"/>
        </w:rPr>
        <w:t xml:space="preserve"> sker primært gennem nyrerne, men også gennem galde-, bugspytkirtel- og tarmsekretioner og i sidste ende udånding, fæces og urin.</w:t>
      </w:r>
    </w:p>
    <w:p w14:paraId="6B842BA2" w14:textId="77777777" w:rsidR="00BB2716" w:rsidRPr="00BB2716" w:rsidRDefault="00BB2716" w:rsidP="008A4F23">
      <w:pPr>
        <w:ind w:left="851"/>
        <w:rPr>
          <w:sz w:val="24"/>
          <w:szCs w:val="24"/>
        </w:rPr>
      </w:pPr>
      <w:r w:rsidRPr="00BB2716">
        <w:rPr>
          <w:b/>
          <w:bCs/>
          <w:sz w:val="24"/>
          <w:szCs w:val="24"/>
        </w:rPr>
        <w:t>Molybdæn</w:t>
      </w:r>
      <w:r w:rsidRPr="00BB2716">
        <w:rPr>
          <w:sz w:val="24"/>
          <w:szCs w:val="24"/>
        </w:rPr>
        <w:t xml:space="preserve"> udskilles primært i urinen og til en vis grad i galden.</w:t>
      </w:r>
    </w:p>
    <w:p w14:paraId="488AC3D0" w14:textId="77777777" w:rsidR="00BB2716" w:rsidRPr="00BB2716" w:rsidRDefault="00BB2716" w:rsidP="008A4F23">
      <w:pPr>
        <w:ind w:left="851"/>
        <w:rPr>
          <w:sz w:val="24"/>
          <w:szCs w:val="24"/>
        </w:rPr>
      </w:pPr>
      <w:r w:rsidRPr="00BB2716">
        <w:rPr>
          <w:b/>
          <w:bCs/>
          <w:sz w:val="24"/>
          <w:szCs w:val="24"/>
        </w:rPr>
        <w:t>Fluor</w:t>
      </w:r>
      <w:r w:rsidRPr="00BB2716">
        <w:rPr>
          <w:sz w:val="24"/>
          <w:szCs w:val="24"/>
        </w:rPr>
        <w:t xml:space="preserve"> udskilles i urinen, mens kun en lille mængde absorberet fluor udskilles i sved og fæces.</w:t>
      </w:r>
    </w:p>
    <w:p w14:paraId="0E86D403" w14:textId="77777777" w:rsidR="00BB2716" w:rsidRPr="00BB2716" w:rsidRDefault="00BB2716" w:rsidP="008A4F23">
      <w:pPr>
        <w:ind w:left="851"/>
        <w:rPr>
          <w:sz w:val="24"/>
          <w:szCs w:val="24"/>
        </w:rPr>
      </w:pPr>
      <w:r w:rsidRPr="00BB2716">
        <w:rPr>
          <w:b/>
          <w:bCs/>
          <w:sz w:val="24"/>
          <w:szCs w:val="24"/>
        </w:rPr>
        <w:t>Jod</w:t>
      </w:r>
      <w:r w:rsidRPr="00BB2716">
        <w:rPr>
          <w:sz w:val="24"/>
          <w:szCs w:val="24"/>
        </w:rPr>
        <w:t xml:space="preserve"> gennemgår primært renal udskillelse. Størstedelen af det resterende udskilles i fæces, og kun en lille mængde i sved.</w:t>
      </w:r>
    </w:p>
    <w:p w14:paraId="65803B93" w14:textId="77777777" w:rsidR="00BB2716" w:rsidRPr="00BB2716" w:rsidRDefault="00BB2716" w:rsidP="008A4F23">
      <w:pPr>
        <w:ind w:left="851"/>
        <w:rPr>
          <w:sz w:val="24"/>
          <w:szCs w:val="24"/>
        </w:rPr>
      </w:pPr>
    </w:p>
    <w:p w14:paraId="037A50FF" w14:textId="77777777" w:rsidR="00BB2716" w:rsidRPr="00BB2716" w:rsidRDefault="00BB2716" w:rsidP="008A4F23">
      <w:pPr>
        <w:ind w:left="851"/>
        <w:rPr>
          <w:i/>
          <w:iCs/>
          <w:sz w:val="24"/>
          <w:szCs w:val="24"/>
        </w:rPr>
      </w:pPr>
      <w:r w:rsidRPr="00BB2716">
        <w:rPr>
          <w:i/>
          <w:iCs/>
          <w:sz w:val="24"/>
          <w:szCs w:val="24"/>
        </w:rPr>
        <w:t>Særlige populationer</w:t>
      </w:r>
    </w:p>
    <w:p w14:paraId="0681EAE8" w14:textId="77777777" w:rsidR="00BB2716" w:rsidRPr="00BB2716" w:rsidRDefault="00BB2716" w:rsidP="008A4F23">
      <w:pPr>
        <w:ind w:left="851"/>
        <w:rPr>
          <w:sz w:val="24"/>
          <w:szCs w:val="24"/>
          <w:u w:val="single"/>
        </w:rPr>
      </w:pPr>
    </w:p>
    <w:p w14:paraId="411D7676" w14:textId="77777777" w:rsidR="00BB2716" w:rsidRPr="00BB2716" w:rsidRDefault="00BB2716" w:rsidP="008A4F23">
      <w:pPr>
        <w:ind w:left="851"/>
        <w:rPr>
          <w:sz w:val="24"/>
          <w:szCs w:val="24"/>
        </w:rPr>
      </w:pPr>
      <w:r w:rsidRPr="00BB2716">
        <w:rPr>
          <w:sz w:val="24"/>
          <w:szCs w:val="24"/>
        </w:rPr>
        <w:t>Pædiatrisk population</w:t>
      </w:r>
    </w:p>
    <w:p w14:paraId="22565ED7" w14:textId="77777777" w:rsidR="00BB2716" w:rsidRPr="00BB2716" w:rsidRDefault="00BB2716" w:rsidP="008A4F23">
      <w:pPr>
        <w:ind w:left="851"/>
        <w:rPr>
          <w:sz w:val="24"/>
          <w:szCs w:val="24"/>
        </w:rPr>
      </w:pPr>
      <w:r w:rsidRPr="00BB2716">
        <w:rPr>
          <w:sz w:val="24"/>
          <w:szCs w:val="24"/>
        </w:rPr>
        <w:t>Der er ingen tegn på, at farmakokinetikken hos unge på 12 år og derover, der vejer over 40 kg, adskiller sig fra farmakokinetikken hos voksne for de enkelte sporstoffer (se pkt. 4.2).</w:t>
      </w:r>
    </w:p>
    <w:p w14:paraId="66812D01" w14:textId="77777777" w:rsidR="00BB2716" w:rsidRPr="00BB2716" w:rsidRDefault="00BB2716" w:rsidP="008A4F23">
      <w:pPr>
        <w:ind w:left="851"/>
        <w:rPr>
          <w:sz w:val="24"/>
          <w:szCs w:val="24"/>
        </w:rPr>
      </w:pPr>
    </w:p>
    <w:p w14:paraId="04A86379" w14:textId="77777777" w:rsidR="00BB2716" w:rsidRPr="00BB2716" w:rsidRDefault="00BB2716" w:rsidP="008A4F23">
      <w:pPr>
        <w:ind w:left="851"/>
        <w:rPr>
          <w:sz w:val="24"/>
          <w:szCs w:val="24"/>
        </w:rPr>
      </w:pPr>
      <w:r w:rsidRPr="00BB2716">
        <w:rPr>
          <w:sz w:val="24"/>
          <w:szCs w:val="24"/>
        </w:rPr>
        <w:t>Nedsat leverfunktion</w:t>
      </w:r>
    </w:p>
    <w:p w14:paraId="4AFCBFD8" w14:textId="77777777" w:rsidR="00BB2716" w:rsidRPr="00BB2716" w:rsidRDefault="00BB2716" w:rsidP="008A4F23">
      <w:pPr>
        <w:ind w:left="851"/>
        <w:rPr>
          <w:sz w:val="24"/>
          <w:szCs w:val="24"/>
        </w:rPr>
      </w:pPr>
      <w:r w:rsidRPr="00BB2716">
        <w:rPr>
          <w:sz w:val="24"/>
          <w:szCs w:val="24"/>
        </w:rPr>
        <w:t>Da jern, mangan, kobber og zink hovedsageligt udskilles gennem galde og afføring, vil disse stoffers udskillelse muligvis være nedsat hos patienter med nedsat hepatobiliær funktion (se pkt. 4.2 og 4.4).</w:t>
      </w:r>
    </w:p>
    <w:p w14:paraId="5D58A5B9" w14:textId="77777777" w:rsidR="00BB2716" w:rsidRPr="00BB2716" w:rsidRDefault="00BB2716" w:rsidP="008A4F23">
      <w:pPr>
        <w:ind w:left="851"/>
        <w:rPr>
          <w:sz w:val="24"/>
          <w:szCs w:val="24"/>
        </w:rPr>
      </w:pPr>
    </w:p>
    <w:p w14:paraId="2CDA8565" w14:textId="77777777" w:rsidR="00BB2716" w:rsidRPr="00BB2716" w:rsidRDefault="00BB2716" w:rsidP="008A4F23">
      <w:pPr>
        <w:ind w:left="851"/>
        <w:rPr>
          <w:sz w:val="24"/>
          <w:szCs w:val="24"/>
        </w:rPr>
      </w:pPr>
      <w:r w:rsidRPr="00BB2716">
        <w:rPr>
          <w:sz w:val="24"/>
          <w:szCs w:val="24"/>
        </w:rPr>
        <w:t>Nedsat nyrefunktion</w:t>
      </w:r>
    </w:p>
    <w:p w14:paraId="563C4FB4" w14:textId="77777777" w:rsidR="00BB2716" w:rsidRPr="00BB2716" w:rsidRDefault="00BB2716" w:rsidP="008A4F23">
      <w:pPr>
        <w:ind w:left="851"/>
        <w:rPr>
          <w:sz w:val="24"/>
          <w:szCs w:val="24"/>
        </w:rPr>
      </w:pPr>
      <w:r w:rsidRPr="00BB2716">
        <w:rPr>
          <w:sz w:val="24"/>
          <w:szCs w:val="24"/>
        </w:rPr>
        <w:t>Chrom, selen, molybdæn, flour og jod udskilles overvejende renalt i urinen. Derfor vil disse stoffers udskillelse muligvis være nedsat hos patienter med nedsat nyrefunktion (se pkt. 4.2 og 4.4).</w:t>
      </w:r>
    </w:p>
    <w:p w14:paraId="73B61D2C" w14:textId="77777777" w:rsidR="009260DE" w:rsidRPr="008A4F23" w:rsidRDefault="009260DE" w:rsidP="009260DE">
      <w:pPr>
        <w:tabs>
          <w:tab w:val="left" w:pos="851"/>
        </w:tabs>
        <w:ind w:left="851"/>
        <w:rPr>
          <w:sz w:val="24"/>
          <w:szCs w:val="24"/>
        </w:rPr>
      </w:pPr>
    </w:p>
    <w:p w14:paraId="2C8A2622" w14:textId="77777777" w:rsidR="009260DE" w:rsidRPr="008A4F23" w:rsidRDefault="009260DE" w:rsidP="009260DE">
      <w:pPr>
        <w:tabs>
          <w:tab w:val="left" w:pos="851"/>
        </w:tabs>
        <w:ind w:left="851" w:hanging="851"/>
        <w:rPr>
          <w:b/>
          <w:sz w:val="24"/>
          <w:szCs w:val="24"/>
        </w:rPr>
      </w:pPr>
      <w:r w:rsidRPr="008A4F23">
        <w:rPr>
          <w:b/>
          <w:sz w:val="24"/>
          <w:szCs w:val="24"/>
        </w:rPr>
        <w:t>5.3</w:t>
      </w:r>
      <w:r w:rsidRPr="008A4F23">
        <w:rPr>
          <w:b/>
          <w:sz w:val="24"/>
          <w:szCs w:val="24"/>
        </w:rPr>
        <w:tab/>
      </w:r>
      <w:r w:rsidR="00BD7931" w:rsidRPr="008A4F23">
        <w:rPr>
          <w:b/>
          <w:sz w:val="24"/>
          <w:szCs w:val="24"/>
        </w:rPr>
        <w:t>Non-</w:t>
      </w:r>
      <w:r w:rsidRPr="008A4F23">
        <w:rPr>
          <w:b/>
          <w:sz w:val="24"/>
          <w:szCs w:val="24"/>
        </w:rPr>
        <w:t>kliniske sikkerhedsdata</w:t>
      </w:r>
    </w:p>
    <w:p w14:paraId="2711DD35" w14:textId="77777777" w:rsidR="00BB2716" w:rsidRPr="00BB2716" w:rsidRDefault="00BB2716" w:rsidP="008A4F23">
      <w:pPr>
        <w:ind w:left="851"/>
        <w:rPr>
          <w:sz w:val="24"/>
          <w:szCs w:val="24"/>
          <w:u w:val="single"/>
        </w:rPr>
      </w:pPr>
      <w:r w:rsidRPr="00BB2716">
        <w:rPr>
          <w:sz w:val="24"/>
          <w:szCs w:val="24"/>
        </w:rPr>
        <w:t>Der er ikke udført non-kliniske studier med Nutritrace Elements.</w:t>
      </w:r>
    </w:p>
    <w:p w14:paraId="69C33837" w14:textId="77777777" w:rsidR="009260DE" w:rsidRPr="008A4F23" w:rsidRDefault="009260DE" w:rsidP="009260DE">
      <w:pPr>
        <w:tabs>
          <w:tab w:val="left" w:pos="851"/>
        </w:tabs>
        <w:ind w:left="851"/>
        <w:rPr>
          <w:sz w:val="24"/>
          <w:szCs w:val="24"/>
        </w:rPr>
      </w:pPr>
    </w:p>
    <w:p w14:paraId="015078D1" w14:textId="77777777" w:rsidR="009260DE" w:rsidRPr="008A4F23" w:rsidRDefault="009260DE" w:rsidP="009260DE">
      <w:pPr>
        <w:tabs>
          <w:tab w:val="left" w:pos="851"/>
        </w:tabs>
        <w:ind w:left="851"/>
        <w:rPr>
          <w:sz w:val="24"/>
          <w:szCs w:val="24"/>
        </w:rPr>
      </w:pPr>
    </w:p>
    <w:p w14:paraId="07378D72" w14:textId="77777777" w:rsidR="009260DE" w:rsidRPr="008A4F23" w:rsidRDefault="009260DE" w:rsidP="009260DE">
      <w:pPr>
        <w:tabs>
          <w:tab w:val="left" w:pos="851"/>
        </w:tabs>
        <w:ind w:left="851" w:hanging="851"/>
        <w:rPr>
          <w:b/>
          <w:sz w:val="24"/>
          <w:szCs w:val="24"/>
        </w:rPr>
      </w:pPr>
      <w:r w:rsidRPr="008A4F23">
        <w:rPr>
          <w:b/>
          <w:sz w:val="24"/>
          <w:szCs w:val="24"/>
        </w:rPr>
        <w:t>6.</w:t>
      </w:r>
      <w:r w:rsidRPr="008A4F23">
        <w:rPr>
          <w:b/>
          <w:sz w:val="24"/>
          <w:szCs w:val="24"/>
        </w:rPr>
        <w:tab/>
        <w:t>FARMACEUTISKE OPLYSNINGER</w:t>
      </w:r>
    </w:p>
    <w:p w14:paraId="793A05A2" w14:textId="77777777" w:rsidR="009260DE" w:rsidRPr="008A4F23" w:rsidRDefault="009260DE" w:rsidP="009260DE">
      <w:pPr>
        <w:tabs>
          <w:tab w:val="left" w:pos="851"/>
        </w:tabs>
        <w:ind w:left="851"/>
        <w:rPr>
          <w:sz w:val="24"/>
          <w:szCs w:val="24"/>
        </w:rPr>
      </w:pPr>
    </w:p>
    <w:p w14:paraId="41F71E89" w14:textId="77777777" w:rsidR="009260DE" w:rsidRPr="008A4F23" w:rsidRDefault="009260DE" w:rsidP="009260DE">
      <w:pPr>
        <w:tabs>
          <w:tab w:val="left" w:pos="851"/>
        </w:tabs>
        <w:ind w:left="851" w:hanging="851"/>
        <w:rPr>
          <w:b/>
          <w:sz w:val="24"/>
          <w:szCs w:val="24"/>
        </w:rPr>
      </w:pPr>
      <w:r w:rsidRPr="008A4F23">
        <w:rPr>
          <w:b/>
          <w:sz w:val="24"/>
          <w:szCs w:val="24"/>
        </w:rPr>
        <w:t>6.1</w:t>
      </w:r>
      <w:r w:rsidRPr="008A4F23">
        <w:rPr>
          <w:b/>
          <w:sz w:val="24"/>
          <w:szCs w:val="24"/>
        </w:rPr>
        <w:tab/>
        <w:t>Hjælpestoffer</w:t>
      </w:r>
    </w:p>
    <w:p w14:paraId="7A3DBA19" w14:textId="77777777" w:rsidR="00BB2716" w:rsidRPr="00BB2716" w:rsidRDefault="00BB2716" w:rsidP="008A4F23">
      <w:pPr>
        <w:ind w:left="851"/>
        <w:rPr>
          <w:sz w:val="24"/>
          <w:szCs w:val="24"/>
        </w:rPr>
      </w:pPr>
      <w:bookmarkStart w:id="5" w:name="_Hlk115942403"/>
      <w:r w:rsidRPr="00BB2716">
        <w:rPr>
          <w:sz w:val="24"/>
          <w:szCs w:val="24"/>
        </w:rPr>
        <w:t>Xylitol</w:t>
      </w:r>
    </w:p>
    <w:bookmarkEnd w:id="5"/>
    <w:p w14:paraId="2D195C00" w14:textId="77777777" w:rsidR="00BB2716" w:rsidRPr="00BB2716" w:rsidRDefault="00BB2716" w:rsidP="008A4F23">
      <w:pPr>
        <w:ind w:left="851"/>
        <w:rPr>
          <w:sz w:val="24"/>
          <w:szCs w:val="24"/>
        </w:rPr>
      </w:pPr>
      <w:r w:rsidRPr="00BB2716">
        <w:rPr>
          <w:sz w:val="24"/>
          <w:szCs w:val="24"/>
        </w:rPr>
        <w:t>Saltsyre (til justering af pH)</w:t>
      </w:r>
    </w:p>
    <w:p w14:paraId="40EB3CD9" w14:textId="77777777" w:rsidR="00BB2716" w:rsidRPr="00BB2716" w:rsidRDefault="00BB2716" w:rsidP="008A4F23">
      <w:pPr>
        <w:ind w:left="851"/>
        <w:rPr>
          <w:sz w:val="24"/>
          <w:szCs w:val="24"/>
        </w:rPr>
      </w:pPr>
      <w:r w:rsidRPr="00BB2716">
        <w:rPr>
          <w:sz w:val="24"/>
          <w:szCs w:val="24"/>
        </w:rPr>
        <w:t>Natriumhydroxid (til justering af pH)</w:t>
      </w:r>
    </w:p>
    <w:p w14:paraId="1B8A2A4D" w14:textId="77777777" w:rsidR="00BB2716" w:rsidRPr="00BB2716" w:rsidRDefault="00BB2716" w:rsidP="008A4F23">
      <w:pPr>
        <w:ind w:left="851"/>
        <w:rPr>
          <w:sz w:val="24"/>
          <w:szCs w:val="24"/>
        </w:rPr>
      </w:pPr>
      <w:r w:rsidRPr="00BB2716">
        <w:rPr>
          <w:sz w:val="24"/>
          <w:szCs w:val="24"/>
        </w:rPr>
        <w:t>Vand til injektionsvæsker</w:t>
      </w:r>
    </w:p>
    <w:p w14:paraId="08D6FD59" w14:textId="77777777" w:rsidR="009260DE" w:rsidRPr="008A4F23" w:rsidRDefault="009260DE" w:rsidP="009260DE">
      <w:pPr>
        <w:tabs>
          <w:tab w:val="left" w:pos="851"/>
        </w:tabs>
        <w:ind w:left="851"/>
        <w:rPr>
          <w:sz w:val="24"/>
          <w:szCs w:val="24"/>
        </w:rPr>
      </w:pPr>
    </w:p>
    <w:p w14:paraId="3AC1F25C" w14:textId="77777777" w:rsidR="009260DE" w:rsidRPr="008A4F23" w:rsidRDefault="009260DE" w:rsidP="009260DE">
      <w:pPr>
        <w:tabs>
          <w:tab w:val="left" w:pos="851"/>
        </w:tabs>
        <w:ind w:left="851" w:hanging="851"/>
        <w:rPr>
          <w:b/>
          <w:sz w:val="24"/>
          <w:szCs w:val="24"/>
        </w:rPr>
      </w:pPr>
      <w:r w:rsidRPr="008A4F23">
        <w:rPr>
          <w:b/>
          <w:sz w:val="24"/>
          <w:szCs w:val="24"/>
        </w:rPr>
        <w:t>6.2</w:t>
      </w:r>
      <w:r w:rsidRPr="008A4F23">
        <w:rPr>
          <w:b/>
          <w:sz w:val="24"/>
          <w:szCs w:val="24"/>
        </w:rPr>
        <w:tab/>
        <w:t>Uforligeligheder</w:t>
      </w:r>
    </w:p>
    <w:p w14:paraId="130E2693" w14:textId="77777777" w:rsidR="00BB2716" w:rsidRPr="00BB2716" w:rsidRDefault="00BB2716" w:rsidP="008A4F23">
      <w:pPr>
        <w:ind w:left="851"/>
        <w:rPr>
          <w:sz w:val="24"/>
          <w:szCs w:val="24"/>
        </w:rPr>
      </w:pPr>
      <w:r w:rsidRPr="00BB2716">
        <w:rPr>
          <w:sz w:val="24"/>
          <w:szCs w:val="24"/>
        </w:rPr>
        <w:t>Dette lægemiddel må ikke blandes med andre lægemidler end dem, der er anført under pkt. 6.6, hvis kompatibilitet og stabilitet ikke er blevet påvist.</w:t>
      </w:r>
    </w:p>
    <w:p w14:paraId="4629890F" w14:textId="3C5903E1" w:rsidR="005540F9" w:rsidRDefault="005540F9">
      <w:pPr>
        <w:rPr>
          <w:sz w:val="24"/>
          <w:szCs w:val="24"/>
        </w:rPr>
      </w:pPr>
      <w:r>
        <w:rPr>
          <w:sz w:val="24"/>
          <w:szCs w:val="24"/>
        </w:rPr>
        <w:br w:type="page"/>
      </w:r>
    </w:p>
    <w:p w14:paraId="3DF6A49C" w14:textId="77777777" w:rsidR="009260DE" w:rsidRPr="008A4F23" w:rsidRDefault="009260DE" w:rsidP="009260DE">
      <w:pPr>
        <w:tabs>
          <w:tab w:val="left" w:pos="851"/>
        </w:tabs>
        <w:ind w:left="851"/>
        <w:rPr>
          <w:sz w:val="24"/>
          <w:szCs w:val="24"/>
        </w:rPr>
      </w:pPr>
    </w:p>
    <w:p w14:paraId="427BD06D" w14:textId="77777777" w:rsidR="009260DE" w:rsidRPr="008A4F23" w:rsidRDefault="009260DE" w:rsidP="009260DE">
      <w:pPr>
        <w:tabs>
          <w:tab w:val="left" w:pos="851"/>
        </w:tabs>
        <w:ind w:left="851" w:hanging="851"/>
        <w:rPr>
          <w:b/>
          <w:sz w:val="24"/>
          <w:szCs w:val="24"/>
        </w:rPr>
      </w:pPr>
      <w:r w:rsidRPr="008A4F23">
        <w:rPr>
          <w:b/>
          <w:sz w:val="24"/>
          <w:szCs w:val="24"/>
        </w:rPr>
        <w:t>6.3</w:t>
      </w:r>
      <w:r w:rsidRPr="008A4F23">
        <w:rPr>
          <w:b/>
          <w:sz w:val="24"/>
          <w:szCs w:val="24"/>
        </w:rPr>
        <w:tab/>
        <w:t>Opbevaringstid</w:t>
      </w:r>
    </w:p>
    <w:p w14:paraId="54087234" w14:textId="77777777" w:rsidR="0078127C" w:rsidRDefault="0078127C" w:rsidP="008A4F23">
      <w:pPr>
        <w:ind w:left="851"/>
        <w:rPr>
          <w:i/>
          <w:iCs/>
          <w:sz w:val="24"/>
          <w:szCs w:val="24"/>
        </w:rPr>
      </w:pPr>
    </w:p>
    <w:p w14:paraId="3A60D185" w14:textId="71BF540D" w:rsidR="00BB2716" w:rsidRPr="00BB2716" w:rsidRDefault="00BB2716" w:rsidP="008A4F23">
      <w:pPr>
        <w:ind w:left="851"/>
        <w:rPr>
          <w:i/>
          <w:iCs/>
          <w:sz w:val="24"/>
          <w:szCs w:val="24"/>
        </w:rPr>
      </w:pPr>
      <w:r w:rsidRPr="00BB2716">
        <w:rPr>
          <w:i/>
          <w:iCs/>
          <w:sz w:val="24"/>
          <w:szCs w:val="24"/>
        </w:rPr>
        <w:t>Uåbnet</w:t>
      </w:r>
    </w:p>
    <w:p w14:paraId="2F529E27" w14:textId="77777777" w:rsidR="00BB2716" w:rsidRPr="00BB2716" w:rsidRDefault="00BB2716" w:rsidP="008A4F23">
      <w:pPr>
        <w:ind w:left="851"/>
        <w:rPr>
          <w:sz w:val="24"/>
          <w:szCs w:val="24"/>
        </w:rPr>
      </w:pPr>
      <w:r w:rsidRPr="00BB2716">
        <w:rPr>
          <w:sz w:val="24"/>
          <w:szCs w:val="24"/>
        </w:rPr>
        <w:t>3 år</w:t>
      </w:r>
    </w:p>
    <w:p w14:paraId="6DA9E03D" w14:textId="77777777" w:rsidR="00BB2716" w:rsidRPr="00BB2716" w:rsidRDefault="00BB2716" w:rsidP="008A4F23">
      <w:pPr>
        <w:ind w:left="851"/>
        <w:rPr>
          <w:sz w:val="24"/>
          <w:szCs w:val="24"/>
        </w:rPr>
      </w:pPr>
    </w:p>
    <w:p w14:paraId="3FEA54D9" w14:textId="77777777" w:rsidR="00BB2716" w:rsidRPr="00BB2716" w:rsidRDefault="00BB2716" w:rsidP="008A4F23">
      <w:pPr>
        <w:ind w:left="851"/>
        <w:rPr>
          <w:i/>
          <w:iCs/>
          <w:sz w:val="24"/>
          <w:szCs w:val="24"/>
        </w:rPr>
      </w:pPr>
      <w:r w:rsidRPr="00BB2716">
        <w:rPr>
          <w:i/>
          <w:iCs/>
          <w:sz w:val="24"/>
          <w:szCs w:val="24"/>
        </w:rPr>
        <w:t>Efter første åbning af ampullen</w:t>
      </w:r>
    </w:p>
    <w:p w14:paraId="1BC5D722" w14:textId="77777777" w:rsidR="00BB2716" w:rsidRPr="00BB2716" w:rsidRDefault="00BB2716" w:rsidP="008A4F23">
      <w:pPr>
        <w:ind w:left="851"/>
        <w:rPr>
          <w:sz w:val="24"/>
          <w:szCs w:val="24"/>
        </w:rPr>
      </w:pPr>
      <w:r w:rsidRPr="00BB2716">
        <w:rPr>
          <w:sz w:val="24"/>
          <w:szCs w:val="24"/>
        </w:rPr>
        <w:t>Præparatet skal tilsættes til vehikelopløsningen straks efter åbning af ampullen. Tilbageværende indhold må ikke opbevares til senere brug.</w:t>
      </w:r>
    </w:p>
    <w:p w14:paraId="0FDB0613" w14:textId="77777777" w:rsidR="00BB2716" w:rsidRPr="00BB2716" w:rsidRDefault="00BB2716" w:rsidP="008A4F23">
      <w:pPr>
        <w:ind w:left="851"/>
        <w:rPr>
          <w:sz w:val="24"/>
          <w:szCs w:val="24"/>
        </w:rPr>
      </w:pPr>
    </w:p>
    <w:p w14:paraId="6084CEC2" w14:textId="77777777" w:rsidR="00BB2716" w:rsidRPr="00BB2716" w:rsidRDefault="00BB2716" w:rsidP="008A4F23">
      <w:pPr>
        <w:ind w:left="851"/>
        <w:rPr>
          <w:i/>
          <w:iCs/>
          <w:sz w:val="24"/>
          <w:szCs w:val="24"/>
        </w:rPr>
      </w:pPr>
      <w:r w:rsidRPr="00BB2716">
        <w:rPr>
          <w:i/>
          <w:iCs/>
          <w:sz w:val="24"/>
          <w:szCs w:val="24"/>
        </w:rPr>
        <w:t>Efter fortynding ifølge instruktionerne</w:t>
      </w:r>
    </w:p>
    <w:p w14:paraId="61FCC9BB" w14:textId="77777777" w:rsidR="00BB2716" w:rsidRPr="00BB2716" w:rsidRDefault="00BB2716" w:rsidP="008A4F23">
      <w:pPr>
        <w:ind w:left="851"/>
        <w:rPr>
          <w:sz w:val="24"/>
          <w:szCs w:val="24"/>
        </w:rPr>
      </w:pPr>
      <w:r w:rsidRPr="00BB2716">
        <w:rPr>
          <w:sz w:val="24"/>
          <w:szCs w:val="24"/>
        </w:rPr>
        <w:t>Kemisk og fysisk stabilitet under brug for fortyndinger med glucoseopløsning 50 mg/ml eller natriumchlorid 9 mg/ml, er blevet påvist op til 48 timer ved 25 °C.</w:t>
      </w:r>
    </w:p>
    <w:p w14:paraId="39D4024C" w14:textId="77777777" w:rsidR="00BB2716" w:rsidRPr="00BB2716" w:rsidRDefault="00BB2716" w:rsidP="008A4F23">
      <w:pPr>
        <w:ind w:left="851"/>
        <w:rPr>
          <w:sz w:val="24"/>
          <w:szCs w:val="24"/>
        </w:rPr>
      </w:pPr>
      <w:r w:rsidRPr="00BB2716">
        <w:rPr>
          <w:sz w:val="24"/>
          <w:szCs w:val="24"/>
        </w:rPr>
        <w:t>Kemisk og fysisk stabilitet under brug for fortyndinger i kompatible 2</w:t>
      </w:r>
      <w:r w:rsidRPr="00BB2716">
        <w:rPr>
          <w:sz w:val="24"/>
          <w:szCs w:val="24"/>
        </w:rPr>
        <w:noBreakHyphen/>
        <w:t xml:space="preserve"> og 3</w:t>
      </w:r>
      <w:r w:rsidRPr="00BB2716">
        <w:rPr>
          <w:sz w:val="24"/>
          <w:szCs w:val="24"/>
        </w:rPr>
        <w:noBreakHyphen/>
        <w:t>kammerposer (se pkt. 6.6) er blevet påvist op til 7 dage ved opbevaring i køleskab (2 til 8 °C) og 2 dage ved stuetemperatur (20 til 25 °C).</w:t>
      </w:r>
    </w:p>
    <w:p w14:paraId="1568DEA6" w14:textId="77777777" w:rsidR="00BB2716" w:rsidRPr="00BB2716" w:rsidRDefault="00BB2716" w:rsidP="008A4F23">
      <w:pPr>
        <w:ind w:left="851"/>
        <w:rPr>
          <w:sz w:val="24"/>
          <w:szCs w:val="24"/>
        </w:rPr>
      </w:pPr>
    </w:p>
    <w:p w14:paraId="73325341" w14:textId="77777777" w:rsidR="00BB2716" w:rsidRPr="00BB2716" w:rsidRDefault="00BB2716" w:rsidP="008A4F23">
      <w:pPr>
        <w:ind w:left="851"/>
        <w:rPr>
          <w:sz w:val="24"/>
          <w:szCs w:val="24"/>
        </w:rPr>
      </w:pPr>
      <w:r w:rsidRPr="00BB2716">
        <w:rPr>
          <w:sz w:val="24"/>
          <w:szCs w:val="24"/>
        </w:rPr>
        <w:t>Fra et mikrobiologisk synspunkt skal det fortyndede præparat anvendes straks. Hvis det ikke anvendes umiddelbart, er opbevaringstiden under brug og opbevarings-betingelserne før brug brugerens ansvar og bør normalt ikke være mere end 24 timer ved 2</w:t>
      </w:r>
      <w:r w:rsidRPr="00BB2716">
        <w:rPr>
          <w:sz w:val="24"/>
          <w:szCs w:val="24"/>
        </w:rPr>
        <w:noBreakHyphen/>
        <w:t>8 °C, medmindre fortyndingen har fundet sted under kontrollerede og validerede aseptiske forhold.</w:t>
      </w:r>
    </w:p>
    <w:p w14:paraId="6CB0D35B" w14:textId="77777777" w:rsidR="00BB2716" w:rsidRPr="00BB2716" w:rsidRDefault="00BB2716" w:rsidP="008A4F23">
      <w:pPr>
        <w:ind w:left="851"/>
        <w:rPr>
          <w:sz w:val="24"/>
          <w:szCs w:val="24"/>
        </w:rPr>
      </w:pPr>
    </w:p>
    <w:p w14:paraId="56A935E1" w14:textId="77777777" w:rsidR="00BB2716" w:rsidRPr="00BB2716" w:rsidRDefault="00BB2716" w:rsidP="008A4F23">
      <w:pPr>
        <w:ind w:left="851"/>
        <w:rPr>
          <w:sz w:val="24"/>
          <w:szCs w:val="24"/>
        </w:rPr>
      </w:pPr>
      <w:r w:rsidRPr="00BB2716">
        <w:rPr>
          <w:sz w:val="24"/>
          <w:szCs w:val="24"/>
        </w:rPr>
        <w:t>For instruktioner om fortynding af lægemidlet før administration, se pkt. 6.6.</w:t>
      </w:r>
    </w:p>
    <w:p w14:paraId="16863135" w14:textId="77777777" w:rsidR="009260DE" w:rsidRPr="008A4F23" w:rsidRDefault="009260DE" w:rsidP="009260DE">
      <w:pPr>
        <w:tabs>
          <w:tab w:val="left" w:pos="851"/>
        </w:tabs>
        <w:ind w:left="851"/>
        <w:rPr>
          <w:sz w:val="24"/>
          <w:szCs w:val="24"/>
        </w:rPr>
      </w:pPr>
    </w:p>
    <w:p w14:paraId="351A6D89" w14:textId="77777777" w:rsidR="009260DE" w:rsidRPr="008A4F23" w:rsidRDefault="009260DE" w:rsidP="009260DE">
      <w:pPr>
        <w:tabs>
          <w:tab w:val="left" w:pos="851"/>
        </w:tabs>
        <w:ind w:left="851" w:hanging="851"/>
        <w:rPr>
          <w:b/>
          <w:sz w:val="24"/>
          <w:szCs w:val="24"/>
        </w:rPr>
      </w:pPr>
      <w:r w:rsidRPr="008A4F23">
        <w:rPr>
          <w:b/>
          <w:sz w:val="24"/>
          <w:szCs w:val="24"/>
        </w:rPr>
        <w:t>6.4</w:t>
      </w:r>
      <w:r w:rsidRPr="008A4F23">
        <w:rPr>
          <w:b/>
          <w:sz w:val="24"/>
          <w:szCs w:val="24"/>
        </w:rPr>
        <w:tab/>
        <w:t>Særlige opbevaringsforhold</w:t>
      </w:r>
    </w:p>
    <w:p w14:paraId="541C616F" w14:textId="77777777" w:rsidR="00BB2716" w:rsidRPr="00BB2716" w:rsidRDefault="00BB2716" w:rsidP="008A4F23">
      <w:pPr>
        <w:ind w:left="851"/>
        <w:rPr>
          <w:sz w:val="24"/>
          <w:szCs w:val="24"/>
        </w:rPr>
      </w:pPr>
      <w:r w:rsidRPr="00BB2716">
        <w:rPr>
          <w:sz w:val="24"/>
          <w:szCs w:val="24"/>
        </w:rPr>
        <w:t>Må ikke opbevares ved temperaturer over 30 °C. Må ikke nedfryses.</w:t>
      </w:r>
    </w:p>
    <w:p w14:paraId="5FD2D4F6" w14:textId="77777777" w:rsidR="00BB2716" w:rsidRPr="00BB2716" w:rsidRDefault="00BB2716" w:rsidP="008A4F23">
      <w:pPr>
        <w:ind w:left="851"/>
        <w:rPr>
          <w:sz w:val="24"/>
          <w:szCs w:val="24"/>
        </w:rPr>
      </w:pPr>
      <w:r w:rsidRPr="00BB2716">
        <w:rPr>
          <w:sz w:val="24"/>
          <w:szCs w:val="24"/>
        </w:rPr>
        <w:t>For opbevaringsbetingelser efter fortynding af lægemidlet, se pkt. 6.3.</w:t>
      </w:r>
    </w:p>
    <w:p w14:paraId="6FACBDD1" w14:textId="77777777" w:rsidR="009260DE" w:rsidRPr="008A4F23" w:rsidRDefault="009260DE" w:rsidP="009260DE">
      <w:pPr>
        <w:tabs>
          <w:tab w:val="left" w:pos="851"/>
        </w:tabs>
        <w:ind w:left="851"/>
        <w:rPr>
          <w:sz w:val="24"/>
          <w:szCs w:val="24"/>
        </w:rPr>
      </w:pPr>
    </w:p>
    <w:p w14:paraId="50FB00E6" w14:textId="77777777" w:rsidR="009260DE" w:rsidRPr="008A4F23" w:rsidRDefault="009260DE" w:rsidP="009260DE">
      <w:pPr>
        <w:tabs>
          <w:tab w:val="left" w:pos="851"/>
        </w:tabs>
        <w:ind w:left="851" w:hanging="851"/>
        <w:rPr>
          <w:b/>
          <w:sz w:val="24"/>
          <w:szCs w:val="24"/>
        </w:rPr>
      </w:pPr>
      <w:r w:rsidRPr="008A4F23">
        <w:rPr>
          <w:b/>
          <w:sz w:val="24"/>
          <w:szCs w:val="24"/>
        </w:rPr>
        <w:t>6.5</w:t>
      </w:r>
      <w:r w:rsidRPr="008A4F23">
        <w:rPr>
          <w:b/>
          <w:sz w:val="24"/>
          <w:szCs w:val="24"/>
        </w:rPr>
        <w:tab/>
        <w:t>Emballagetype og pakningsstørrelser</w:t>
      </w:r>
    </w:p>
    <w:p w14:paraId="0C75D874" w14:textId="77777777" w:rsidR="00BB2716" w:rsidRPr="00BB2716" w:rsidRDefault="00BB2716" w:rsidP="008A4F23">
      <w:pPr>
        <w:ind w:left="851"/>
        <w:rPr>
          <w:sz w:val="24"/>
          <w:szCs w:val="24"/>
        </w:rPr>
      </w:pPr>
      <w:r w:rsidRPr="00BB2716">
        <w:rPr>
          <w:sz w:val="24"/>
          <w:szCs w:val="24"/>
        </w:rPr>
        <w:t xml:space="preserve">Nutritrace Elements leveres i 10 ml ampuller af polypropylen. </w:t>
      </w:r>
    </w:p>
    <w:p w14:paraId="1FFD994F" w14:textId="77777777" w:rsidR="00BB2716" w:rsidRPr="00BB2716" w:rsidRDefault="00BB2716" w:rsidP="008A4F23">
      <w:pPr>
        <w:ind w:left="851"/>
        <w:rPr>
          <w:sz w:val="24"/>
          <w:szCs w:val="24"/>
        </w:rPr>
      </w:pPr>
    </w:p>
    <w:p w14:paraId="5EEF23E5" w14:textId="77777777" w:rsidR="00BB2716" w:rsidRPr="00BB2716" w:rsidRDefault="00BB2716" w:rsidP="008A4F23">
      <w:pPr>
        <w:ind w:left="851"/>
        <w:rPr>
          <w:sz w:val="24"/>
          <w:szCs w:val="24"/>
        </w:rPr>
      </w:pPr>
      <w:r w:rsidRPr="00BB2716">
        <w:rPr>
          <w:sz w:val="24"/>
          <w:szCs w:val="24"/>
        </w:rPr>
        <w:t>Pakningsstørrelse:</w:t>
      </w:r>
    </w:p>
    <w:p w14:paraId="1740EAE0" w14:textId="68CFF974" w:rsidR="00BB2716" w:rsidRPr="00BB2716" w:rsidRDefault="00BB2716" w:rsidP="008A4F23">
      <w:pPr>
        <w:ind w:left="851"/>
        <w:rPr>
          <w:sz w:val="24"/>
          <w:szCs w:val="24"/>
        </w:rPr>
      </w:pPr>
      <w:r w:rsidRPr="00BB2716">
        <w:rPr>
          <w:sz w:val="24"/>
          <w:szCs w:val="24"/>
        </w:rPr>
        <w:t>10</w:t>
      </w:r>
      <w:r w:rsidR="0078127C">
        <w:rPr>
          <w:sz w:val="24"/>
          <w:szCs w:val="24"/>
        </w:rPr>
        <w:t>×</w:t>
      </w:r>
      <w:r w:rsidRPr="00BB2716">
        <w:rPr>
          <w:sz w:val="24"/>
          <w:szCs w:val="24"/>
        </w:rPr>
        <w:t>10 ml ampuller af polypropylen</w:t>
      </w:r>
    </w:p>
    <w:p w14:paraId="307F4F52" w14:textId="77777777" w:rsidR="00BB2716" w:rsidRPr="00BB2716" w:rsidRDefault="00BB2716" w:rsidP="008A4F23">
      <w:pPr>
        <w:ind w:left="851"/>
        <w:rPr>
          <w:sz w:val="24"/>
          <w:szCs w:val="24"/>
        </w:rPr>
      </w:pPr>
    </w:p>
    <w:p w14:paraId="1F12BC41" w14:textId="77777777" w:rsidR="00BB2716" w:rsidRPr="00BB2716" w:rsidRDefault="00BB2716" w:rsidP="008A4F23">
      <w:pPr>
        <w:ind w:left="851"/>
        <w:rPr>
          <w:sz w:val="24"/>
          <w:szCs w:val="24"/>
        </w:rPr>
      </w:pPr>
      <w:r w:rsidRPr="00BB2716">
        <w:rPr>
          <w:sz w:val="24"/>
          <w:szCs w:val="24"/>
        </w:rPr>
        <w:t>Ikke alle pakningsstørrelser er nødvendigvis markedsført.</w:t>
      </w:r>
    </w:p>
    <w:p w14:paraId="6417F05D" w14:textId="77777777" w:rsidR="009260DE" w:rsidRPr="008A4F23" w:rsidRDefault="009260DE" w:rsidP="009260DE">
      <w:pPr>
        <w:tabs>
          <w:tab w:val="left" w:pos="851"/>
        </w:tabs>
        <w:ind w:left="851"/>
        <w:rPr>
          <w:sz w:val="24"/>
          <w:szCs w:val="24"/>
        </w:rPr>
      </w:pPr>
    </w:p>
    <w:p w14:paraId="056D0ADD" w14:textId="77777777" w:rsidR="009260DE" w:rsidRPr="008A4F23" w:rsidRDefault="009260DE" w:rsidP="009260DE">
      <w:pPr>
        <w:tabs>
          <w:tab w:val="left" w:pos="851"/>
        </w:tabs>
        <w:ind w:left="851" w:hanging="851"/>
        <w:rPr>
          <w:b/>
          <w:sz w:val="24"/>
          <w:szCs w:val="24"/>
        </w:rPr>
      </w:pPr>
      <w:r w:rsidRPr="008A4F23">
        <w:rPr>
          <w:b/>
          <w:sz w:val="24"/>
          <w:szCs w:val="24"/>
        </w:rPr>
        <w:t>6.6</w:t>
      </w:r>
      <w:r w:rsidRPr="008A4F23">
        <w:rPr>
          <w:b/>
          <w:sz w:val="24"/>
          <w:szCs w:val="24"/>
        </w:rPr>
        <w:tab/>
        <w:t xml:space="preserve">Regler for </w:t>
      </w:r>
      <w:r w:rsidR="00BD7931" w:rsidRPr="008A4F23">
        <w:rPr>
          <w:b/>
          <w:sz w:val="24"/>
          <w:szCs w:val="24"/>
        </w:rPr>
        <w:t>bortskaffelse</w:t>
      </w:r>
      <w:r w:rsidRPr="008A4F23">
        <w:rPr>
          <w:b/>
          <w:sz w:val="24"/>
          <w:szCs w:val="24"/>
        </w:rPr>
        <w:t xml:space="preserve"> og anden håndtering</w:t>
      </w:r>
    </w:p>
    <w:p w14:paraId="1173A350" w14:textId="77777777" w:rsidR="0078127C" w:rsidRDefault="0078127C" w:rsidP="008A4F23">
      <w:pPr>
        <w:ind w:left="851"/>
        <w:rPr>
          <w:sz w:val="24"/>
          <w:szCs w:val="24"/>
          <w:u w:val="single"/>
        </w:rPr>
      </w:pPr>
    </w:p>
    <w:p w14:paraId="517419B6" w14:textId="0DA1C0F1" w:rsidR="00BB2716" w:rsidRPr="00BB2716" w:rsidRDefault="00BB2716" w:rsidP="008A4F23">
      <w:pPr>
        <w:ind w:left="851"/>
        <w:rPr>
          <w:sz w:val="24"/>
          <w:szCs w:val="24"/>
          <w:u w:val="single"/>
        </w:rPr>
      </w:pPr>
      <w:r w:rsidRPr="00BB2716">
        <w:rPr>
          <w:sz w:val="24"/>
          <w:szCs w:val="24"/>
          <w:u w:val="single"/>
        </w:rPr>
        <w:t>Regler for bortskaffelse</w:t>
      </w:r>
    </w:p>
    <w:p w14:paraId="425F859F" w14:textId="77777777" w:rsidR="00BB2716" w:rsidRPr="00BB2716" w:rsidRDefault="00BB2716" w:rsidP="008A4F23">
      <w:pPr>
        <w:ind w:left="851"/>
        <w:rPr>
          <w:sz w:val="24"/>
          <w:szCs w:val="24"/>
        </w:rPr>
      </w:pPr>
      <w:r w:rsidRPr="00BB2716">
        <w:rPr>
          <w:sz w:val="24"/>
          <w:szCs w:val="24"/>
        </w:rPr>
        <w:t>Ikke anvendt lægemiddel samt affald heraf skal bortskaffes i henhold til lokale retningslinjer.</w:t>
      </w:r>
    </w:p>
    <w:p w14:paraId="6595ED37" w14:textId="77777777" w:rsidR="00BB2716" w:rsidRPr="00BB2716" w:rsidRDefault="00BB2716" w:rsidP="008A4F23">
      <w:pPr>
        <w:ind w:left="851"/>
        <w:rPr>
          <w:sz w:val="24"/>
          <w:szCs w:val="24"/>
        </w:rPr>
      </w:pPr>
    </w:p>
    <w:p w14:paraId="43BA499F" w14:textId="77777777" w:rsidR="00BB2716" w:rsidRPr="00BB2716" w:rsidRDefault="00BB2716" w:rsidP="008A4F23">
      <w:pPr>
        <w:ind w:left="851"/>
        <w:rPr>
          <w:sz w:val="24"/>
          <w:szCs w:val="24"/>
          <w:u w:val="single"/>
        </w:rPr>
      </w:pPr>
      <w:r w:rsidRPr="00BB2716">
        <w:rPr>
          <w:sz w:val="24"/>
          <w:szCs w:val="24"/>
          <w:u w:val="single"/>
        </w:rPr>
        <w:t>Instruktioner for håndtering</w:t>
      </w:r>
    </w:p>
    <w:p w14:paraId="5CA72F27" w14:textId="77777777" w:rsidR="00BB2716" w:rsidRPr="00BB2716" w:rsidRDefault="00BB2716" w:rsidP="008A4F23">
      <w:pPr>
        <w:ind w:left="851"/>
        <w:rPr>
          <w:sz w:val="24"/>
          <w:szCs w:val="24"/>
        </w:rPr>
      </w:pPr>
      <w:r w:rsidRPr="00BB2716">
        <w:rPr>
          <w:sz w:val="24"/>
          <w:szCs w:val="24"/>
        </w:rPr>
        <w:t>Fortyndes før brug. Fortynding af produktet i en egnet opløsning/emulsion skal ske under strenge aseptiske betingelser.</w:t>
      </w:r>
    </w:p>
    <w:p w14:paraId="14C8D592" w14:textId="77777777" w:rsidR="00BB2716" w:rsidRPr="00BB2716" w:rsidRDefault="00BB2716" w:rsidP="008A4F23">
      <w:pPr>
        <w:ind w:left="851"/>
        <w:rPr>
          <w:sz w:val="24"/>
          <w:szCs w:val="24"/>
        </w:rPr>
      </w:pPr>
    </w:p>
    <w:p w14:paraId="77B5F2D0" w14:textId="77777777" w:rsidR="00BB2716" w:rsidRPr="00BB2716" w:rsidRDefault="00BB2716" w:rsidP="008A4F23">
      <w:pPr>
        <w:ind w:left="851"/>
        <w:rPr>
          <w:sz w:val="24"/>
          <w:szCs w:val="24"/>
        </w:rPr>
      </w:pPr>
      <w:r w:rsidRPr="00BB2716">
        <w:rPr>
          <w:sz w:val="24"/>
          <w:szCs w:val="24"/>
        </w:rPr>
        <w:t>Må kun anvendes hvis opløsningen er klar og næsten farveløs til let gullig-brunlig, praktisk taget fri for synlige partikler, og hvis beholderen er uskadet.</w:t>
      </w:r>
    </w:p>
    <w:p w14:paraId="1A311F49" w14:textId="77777777" w:rsidR="00BB2716" w:rsidRPr="00BB2716" w:rsidRDefault="00BB2716" w:rsidP="008A4F23">
      <w:pPr>
        <w:ind w:left="851"/>
        <w:rPr>
          <w:sz w:val="24"/>
          <w:szCs w:val="24"/>
        </w:rPr>
      </w:pPr>
    </w:p>
    <w:p w14:paraId="6989E199" w14:textId="77777777" w:rsidR="00BB2716" w:rsidRPr="00BB2716" w:rsidRDefault="00BB2716" w:rsidP="008A4F23">
      <w:pPr>
        <w:ind w:left="851"/>
        <w:rPr>
          <w:sz w:val="24"/>
          <w:szCs w:val="24"/>
        </w:rPr>
      </w:pPr>
      <w:r w:rsidRPr="00BB2716">
        <w:rPr>
          <w:sz w:val="24"/>
          <w:szCs w:val="24"/>
        </w:rPr>
        <w:t>Ampullerne er kun til engangsbrug. Efter anvendelse bortskaffes ampul og resterende indhold.</w:t>
      </w:r>
    </w:p>
    <w:p w14:paraId="69A09F9E" w14:textId="77777777" w:rsidR="00BB2716" w:rsidRPr="00BB2716" w:rsidRDefault="00BB2716" w:rsidP="008A4F23">
      <w:pPr>
        <w:ind w:left="851"/>
        <w:rPr>
          <w:sz w:val="24"/>
          <w:szCs w:val="24"/>
        </w:rPr>
      </w:pPr>
    </w:p>
    <w:p w14:paraId="521865F6" w14:textId="77777777" w:rsidR="00BB2716" w:rsidRPr="00BB2716" w:rsidRDefault="00BB2716" w:rsidP="008A4F23">
      <w:pPr>
        <w:ind w:left="851"/>
        <w:rPr>
          <w:sz w:val="24"/>
          <w:szCs w:val="24"/>
        </w:rPr>
      </w:pPr>
      <w:r w:rsidRPr="00BB2716">
        <w:rPr>
          <w:sz w:val="24"/>
          <w:szCs w:val="24"/>
        </w:rPr>
        <w:t>Nutritrace Elements anvendes som et additiv til parenterale ernæringssblandinger, hvor kompatibilitetsdata er tilgængelige.</w:t>
      </w:r>
    </w:p>
    <w:p w14:paraId="0D0C67FC" w14:textId="77777777" w:rsidR="00BB2716" w:rsidRPr="00BB2716" w:rsidRDefault="00BB2716" w:rsidP="008A4F23">
      <w:pPr>
        <w:ind w:left="851"/>
        <w:rPr>
          <w:sz w:val="24"/>
          <w:szCs w:val="24"/>
        </w:rPr>
      </w:pPr>
      <w:r w:rsidRPr="00BB2716">
        <w:rPr>
          <w:sz w:val="24"/>
          <w:szCs w:val="24"/>
        </w:rPr>
        <w:t>Op til 10 ml (1 ampul) Nutritrace Elements kan fortyndes i</w:t>
      </w:r>
    </w:p>
    <w:p w14:paraId="2FFDEB51" w14:textId="77777777" w:rsidR="00BB2716" w:rsidRPr="00BB2716" w:rsidRDefault="00BB2716" w:rsidP="0078127C">
      <w:pPr>
        <w:numPr>
          <w:ilvl w:val="0"/>
          <w:numId w:val="7"/>
        </w:numPr>
        <w:ind w:left="1276" w:hanging="425"/>
        <w:rPr>
          <w:sz w:val="24"/>
          <w:szCs w:val="24"/>
        </w:rPr>
      </w:pPr>
      <w:bookmarkStart w:id="6" w:name="_Hlk224827261"/>
      <w:r w:rsidRPr="00BB2716">
        <w:rPr>
          <w:sz w:val="24"/>
          <w:szCs w:val="24"/>
        </w:rPr>
        <w:t xml:space="preserve">50 ml til 250 ml </w:t>
      </w:r>
      <w:bookmarkEnd w:id="6"/>
      <w:r w:rsidRPr="00BB2716">
        <w:rPr>
          <w:sz w:val="24"/>
          <w:szCs w:val="24"/>
        </w:rPr>
        <w:t>glucoseopløsning 50 mg/ml</w:t>
      </w:r>
    </w:p>
    <w:p w14:paraId="3B3941D1" w14:textId="77777777" w:rsidR="00BB2716" w:rsidRPr="00BB2716" w:rsidRDefault="00BB2716" w:rsidP="0078127C">
      <w:pPr>
        <w:numPr>
          <w:ilvl w:val="0"/>
          <w:numId w:val="7"/>
        </w:numPr>
        <w:ind w:left="1276" w:hanging="425"/>
        <w:rPr>
          <w:sz w:val="24"/>
          <w:szCs w:val="24"/>
        </w:rPr>
      </w:pPr>
      <w:r w:rsidRPr="00BB2716">
        <w:rPr>
          <w:sz w:val="24"/>
          <w:szCs w:val="24"/>
        </w:rPr>
        <w:t>50 ml til 250 ml natriumchlorid 9 mg/ml</w:t>
      </w:r>
    </w:p>
    <w:p w14:paraId="1E9EBC08" w14:textId="77777777" w:rsidR="00BB2716" w:rsidRPr="00BB2716" w:rsidRDefault="00BB2716" w:rsidP="0078127C">
      <w:pPr>
        <w:numPr>
          <w:ilvl w:val="0"/>
          <w:numId w:val="7"/>
        </w:numPr>
        <w:ind w:left="1276" w:hanging="425"/>
        <w:rPr>
          <w:sz w:val="24"/>
          <w:szCs w:val="24"/>
        </w:rPr>
      </w:pPr>
      <w:r w:rsidRPr="00BB2716">
        <w:rPr>
          <w:sz w:val="24"/>
          <w:szCs w:val="24"/>
        </w:rPr>
        <w:t>2-kammerposer (der kombinerer glucose, elektrolyter og aminosyrer) eller 3</w:t>
      </w:r>
      <w:r w:rsidRPr="00BB2716">
        <w:rPr>
          <w:sz w:val="24"/>
          <w:szCs w:val="24"/>
        </w:rPr>
        <w:noBreakHyphen/>
        <w:t>kammerposer (der kombinerer glucose, elektrolyter, aminosyrer og lipider) til parenteral ernæring (se liste nedenfor)</w:t>
      </w:r>
    </w:p>
    <w:p w14:paraId="4AA02EDC" w14:textId="77777777" w:rsidR="00BB2716" w:rsidRPr="00BB2716" w:rsidRDefault="00BB2716" w:rsidP="008A4F23">
      <w:pPr>
        <w:ind w:left="851"/>
        <w:rPr>
          <w:sz w:val="24"/>
          <w:szCs w:val="24"/>
        </w:rPr>
      </w:pPr>
    </w:p>
    <w:p w14:paraId="7E329159" w14:textId="77777777" w:rsidR="00BB2716" w:rsidRPr="00BB2716" w:rsidRDefault="00BB2716" w:rsidP="008A4F23">
      <w:pPr>
        <w:ind w:left="851"/>
        <w:rPr>
          <w:sz w:val="24"/>
          <w:szCs w:val="24"/>
        </w:rPr>
      </w:pPr>
      <w:r w:rsidRPr="00BB2716">
        <w:rPr>
          <w:sz w:val="24"/>
          <w:szCs w:val="24"/>
        </w:rPr>
        <w:t>Liste med 2</w:t>
      </w:r>
      <w:r w:rsidRPr="00BB2716">
        <w:rPr>
          <w:sz w:val="24"/>
          <w:szCs w:val="24"/>
        </w:rPr>
        <w:noBreakHyphen/>
        <w:t>kammerposer:</w:t>
      </w:r>
    </w:p>
    <w:p w14:paraId="74FF04F5" w14:textId="77777777" w:rsidR="00BB2716" w:rsidRPr="00BB2716" w:rsidRDefault="00BB2716" w:rsidP="008A4F23">
      <w:pPr>
        <w:ind w:left="851"/>
        <w:rPr>
          <w:sz w:val="24"/>
          <w:szCs w:val="24"/>
        </w:rPr>
      </w:pPr>
      <w:r w:rsidRPr="00BB2716">
        <w:rPr>
          <w:sz w:val="24"/>
          <w:szCs w:val="24"/>
        </w:rPr>
        <w:t>Nutriflex peri 35/50 (aktiveret 1.000 ml, 1.500 ml eller 2.000 ml); Nutriflex basal 32/125, Nutriflex plus 48/150 (aktiveret 1.000 ml eller 2.000 ml); Nutriflex special 70/240 (aktiveret 1.000 ml eller 1.500 ml).</w:t>
      </w:r>
    </w:p>
    <w:p w14:paraId="766E0E22" w14:textId="77777777" w:rsidR="00BB2716" w:rsidRPr="00BB2716" w:rsidRDefault="00BB2716" w:rsidP="008A4F23">
      <w:pPr>
        <w:ind w:left="851"/>
        <w:rPr>
          <w:sz w:val="24"/>
          <w:szCs w:val="24"/>
        </w:rPr>
      </w:pPr>
    </w:p>
    <w:p w14:paraId="7721142D" w14:textId="77777777" w:rsidR="00BB2716" w:rsidRPr="00BB2716" w:rsidRDefault="00BB2716" w:rsidP="008A4F23">
      <w:pPr>
        <w:ind w:left="851"/>
        <w:rPr>
          <w:sz w:val="24"/>
          <w:szCs w:val="24"/>
        </w:rPr>
      </w:pPr>
      <w:r w:rsidRPr="00BB2716">
        <w:rPr>
          <w:sz w:val="24"/>
          <w:szCs w:val="24"/>
        </w:rPr>
        <w:t>Liste med 3</w:t>
      </w:r>
      <w:r w:rsidRPr="00BB2716">
        <w:rPr>
          <w:sz w:val="24"/>
          <w:szCs w:val="24"/>
        </w:rPr>
        <w:noBreakHyphen/>
        <w:t>kammerposer:</w:t>
      </w:r>
    </w:p>
    <w:p w14:paraId="4B0FFCDB" w14:textId="77777777" w:rsidR="00BB2716" w:rsidRPr="00BB2716" w:rsidRDefault="00BB2716" w:rsidP="008A4F23">
      <w:pPr>
        <w:ind w:left="851"/>
        <w:rPr>
          <w:sz w:val="24"/>
          <w:szCs w:val="24"/>
        </w:rPr>
      </w:pPr>
      <w:r w:rsidRPr="00BB2716">
        <w:rPr>
          <w:sz w:val="24"/>
          <w:szCs w:val="24"/>
        </w:rPr>
        <w:t>Lipoflex peri, Lipoflex plus, Nutriflex Omega peri, Nutriflex Omega plus (aktiveret 1.250 ml, 1.875 ml eller 2.500 ml); Lipoflex special, Nutriflex Lipid special without Electrolytes 56/144/40, Nutriflex Omega special, Nutriflex Omega special elektrolytfri (aktiveret 625 ml, 1.250 ml eller 1.875 ml);</w:t>
      </w:r>
    </w:p>
    <w:p w14:paraId="3F6436CC" w14:textId="77777777" w:rsidR="00BB2716" w:rsidRPr="00BB2716" w:rsidRDefault="00BB2716" w:rsidP="008A4F23">
      <w:pPr>
        <w:ind w:left="851"/>
        <w:rPr>
          <w:sz w:val="24"/>
          <w:szCs w:val="24"/>
        </w:rPr>
      </w:pPr>
      <w:r w:rsidRPr="00BB2716">
        <w:rPr>
          <w:sz w:val="24"/>
          <w:szCs w:val="24"/>
        </w:rPr>
        <w:t>Olimel Perifer N4E (aktiveret 1.000 ml, 1.500 ml, 2.000 ml eller 2.500 ml), Olimel N5E (aktiveret 1.500 ml, 2.000 ml eller 2.500 ml); Olimel N7, Olimel N7E, Olimel N9, Olimel N9E (aktiveret 1.000 ml, 1.500 ml eller 2.000 ml); Olimel N12, Olimel N12E (aktiveret 650 ml, 1.000 ml, 1.500 ml eller 2.000 ml); Finomel Perifer (aktiveret 1.085 ml, 1.450 ml eller 2.020 ml)</w:t>
      </w:r>
    </w:p>
    <w:p w14:paraId="029716C4" w14:textId="77777777" w:rsidR="00BB2716" w:rsidRPr="00BB2716" w:rsidRDefault="00BB2716" w:rsidP="008A4F23">
      <w:pPr>
        <w:ind w:left="851"/>
        <w:rPr>
          <w:sz w:val="24"/>
          <w:szCs w:val="24"/>
        </w:rPr>
      </w:pPr>
    </w:p>
    <w:p w14:paraId="79510AD5" w14:textId="77777777" w:rsidR="00BB2716" w:rsidRPr="00BB2716" w:rsidRDefault="00BB2716" w:rsidP="008A4F23">
      <w:pPr>
        <w:ind w:left="851"/>
        <w:rPr>
          <w:sz w:val="24"/>
          <w:szCs w:val="24"/>
        </w:rPr>
      </w:pPr>
      <w:r w:rsidRPr="00BB2716">
        <w:rPr>
          <w:sz w:val="24"/>
          <w:szCs w:val="24"/>
        </w:rPr>
        <w:t>Ikke alle 2-kammer og 3-kammer poser er nødvendigvis markedsført.</w:t>
      </w:r>
    </w:p>
    <w:p w14:paraId="35197EF9" w14:textId="77777777" w:rsidR="00BB2716" w:rsidRPr="00BB2716" w:rsidRDefault="00BB2716" w:rsidP="008A4F23">
      <w:pPr>
        <w:ind w:left="851"/>
        <w:rPr>
          <w:sz w:val="24"/>
          <w:szCs w:val="24"/>
        </w:rPr>
      </w:pPr>
    </w:p>
    <w:p w14:paraId="2E28EF19" w14:textId="77777777" w:rsidR="00BB2716" w:rsidRPr="00BB2716" w:rsidRDefault="00BB2716" w:rsidP="008A4F23">
      <w:pPr>
        <w:ind w:left="851"/>
        <w:rPr>
          <w:sz w:val="24"/>
          <w:szCs w:val="24"/>
        </w:rPr>
      </w:pPr>
      <w:r w:rsidRPr="00BB2716">
        <w:rPr>
          <w:sz w:val="24"/>
          <w:szCs w:val="24"/>
        </w:rPr>
        <w:t>Det anbefales, at makronæringsstofferne (aminosyreopløsning og glucose med eller uden lipidemulsion) blandes først, inden mikronæringsstofferne tilsættes. Bland den endelige opløsning grundigt.</w:t>
      </w:r>
    </w:p>
    <w:p w14:paraId="73696759" w14:textId="77777777" w:rsidR="00BB2716" w:rsidRPr="00BB2716" w:rsidRDefault="00BB2716" w:rsidP="008A4F23">
      <w:pPr>
        <w:ind w:left="851"/>
        <w:rPr>
          <w:sz w:val="24"/>
          <w:szCs w:val="24"/>
        </w:rPr>
      </w:pPr>
      <w:r w:rsidRPr="00BB2716">
        <w:rPr>
          <w:sz w:val="24"/>
          <w:szCs w:val="24"/>
        </w:rPr>
        <w:t>Efter tilsætning af Nutritrace Elements til en parenteral ernæringsopløsning kontrolleres eventuelle unormale farveændringer og/eller forekomst af bundfald, uopløselige komplekser eller krystaller.</w:t>
      </w:r>
    </w:p>
    <w:p w14:paraId="2DAEB64C" w14:textId="77777777" w:rsidR="00BB2716" w:rsidRPr="00BB2716" w:rsidRDefault="00BB2716" w:rsidP="008A4F23">
      <w:pPr>
        <w:ind w:left="851"/>
        <w:rPr>
          <w:sz w:val="24"/>
          <w:szCs w:val="24"/>
        </w:rPr>
      </w:pPr>
    </w:p>
    <w:p w14:paraId="229449EB" w14:textId="77777777" w:rsidR="00BB2716" w:rsidRPr="00BB2716" w:rsidRDefault="00BB2716" w:rsidP="008A4F23">
      <w:pPr>
        <w:ind w:left="851"/>
        <w:rPr>
          <w:sz w:val="24"/>
          <w:szCs w:val="24"/>
        </w:rPr>
      </w:pPr>
      <w:r w:rsidRPr="00BB2716">
        <w:rPr>
          <w:sz w:val="24"/>
          <w:szCs w:val="24"/>
        </w:rPr>
        <w:t>Nutritrace Elements må ikke blandes med andre lægemidler end dem, der er anført ovenfor medmindre der er påvist kompatibilitet og stabilitet.</w:t>
      </w:r>
    </w:p>
    <w:p w14:paraId="7E52CE59" w14:textId="77777777" w:rsidR="009260DE" w:rsidRPr="008A4F23" w:rsidRDefault="009260DE" w:rsidP="000730CA">
      <w:pPr>
        <w:tabs>
          <w:tab w:val="left" w:pos="851"/>
        </w:tabs>
        <w:ind w:left="851"/>
        <w:rPr>
          <w:sz w:val="24"/>
          <w:szCs w:val="24"/>
        </w:rPr>
      </w:pPr>
    </w:p>
    <w:p w14:paraId="49C32A5C" w14:textId="77777777" w:rsidR="009260DE" w:rsidRPr="008A4F23" w:rsidRDefault="009260DE" w:rsidP="009260DE">
      <w:pPr>
        <w:tabs>
          <w:tab w:val="left" w:pos="851"/>
        </w:tabs>
        <w:ind w:left="851" w:hanging="851"/>
        <w:rPr>
          <w:b/>
          <w:sz w:val="24"/>
          <w:szCs w:val="24"/>
        </w:rPr>
      </w:pPr>
      <w:r w:rsidRPr="008A4F23">
        <w:rPr>
          <w:b/>
          <w:sz w:val="24"/>
          <w:szCs w:val="24"/>
        </w:rPr>
        <w:t>7.</w:t>
      </w:r>
      <w:r w:rsidRPr="008A4F23">
        <w:rPr>
          <w:b/>
          <w:sz w:val="24"/>
          <w:szCs w:val="24"/>
        </w:rPr>
        <w:tab/>
        <w:t>INDEHAVER AF MARKEDSFØRINGSTILLADELSEN</w:t>
      </w:r>
    </w:p>
    <w:p w14:paraId="35E26620" w14:textId="77777777" w:rsidR="00BB2716" w:rsidRPr="00BB2716" w:rsidRDefault="00BB2716" w:rsidP="008A4F23">
      <w:pPr>
        <w:ind w:left="851"/>
        <w:rPr>
          <w:sz w:val="24"/>
          <w:szCs w:val="24"/>
        </w:rPr>
      </w:pPr>
      <w:r w:rsidRPr="00BB2716">
        <w:rPr>
          <w:sz w:val="24"/>
          <w:szCs w:val="24"/>
        </w:rPr>
        <w:t>B. Braun Melsungen AG</w:t>
      </w:r>
    </w:p>
    <w:p w14:paraId="4974AFB8" w14:textId="77777777" w:rsidR="00BB2716" w:rsidRPr="00BB2716" w:rsidRDefault="00BB2716" w:rsidP="008A4F23">
      <w:pPr>
        <w:ind w:left="851"/>
        <w:rPr>
          <w:sz w:val="24"/>
          <w:szCs w:val="24"/>
        </w:rPr>
      </w:pPr>
      <w:r w:rsidRPr="00BB2716">
        <w:rPr>
          <w:sz w:val="24"/>
          <w:szCs w:val="24"/>
        </w:rPr>
        <w:t>Carl-Braun-Strasse 1</w:t>
      </w:r>
    </w:p>
    <w:p w14:paraId="1C85F45F" w14:textId="77777777" w:rsidR="00BB2716" w:rsidRPr="00BB2716" w:rsidRDefault="00BB2716" w:rsidP="008A4F23">
      <w:pPr>
        <w:ind w:left="851"/>
        <w:rPr>
          <w:sz w:val="24"/>
          <w:szCs w:val="24"/>
        </w:rPr>
      </w:pPr>
      <w:r w:rsidRPr="00BB2716">
        <w:rPr>
          <w:sz w:val="24"/>
          <w:szCs w:val="24"/>
        </w:rPr>
        <w:t>34212 Melsungen</w:t>
      </w:r>
    </w:p>
    <w:p w14:paraId="59FCA1C6" w14:textId="77777777" w:rsidR="00BB2716" w:rsidRPr="00BB2716" w:rsidRDefault="00BB2716" w:rsidP="008A4F23">
      <w:pPr>
        <w:ind w:left="851"/>
        <w:rPr>
          <w:sz w:val="24"/>
          <w:szCs w:val="24"/>
        </w:rPr>
      </w:pPr>
      <w:r w:rsidRPr="00BB2716">
        <w:rPr>
          <w:sz w:val="24"/>
          <w:szCs w:val="24"/>
        </w:rPr>
        <w:t>Tyskland</w:t>
      </w:r>
    </w:p>
    <w:p w14:paraId="4BD70AC9" w14:textId="77777777" w:rsidR="00BB2716" w:rsidRPr="00BB2716" w:rsidRDefault="00BB2716" w:rsidP="008A4F23">
      <w:pPr>
        <w:ind w:left="851"/>
        <w:rPr>
          <w:sz w:val="24"/>
          <w:szCs w:val="24"/>
        </w:rPr>
      </w:pPr>
    </w:p>
    <w:p w14:paraId="13C5A367" w14:textId="77777777" w:rsidR="00BB2716" w:rsidRPr="00BB2716" w:rsidRDefault="00BB2716" w:rsidP="008A4F23">
      <w:pPr>
        <w:ind w:left="851"/>
        <w:rPr>
          <w:sz w:val="24"/>
          <w:szCs w:val="24"/>
        </w:rPr>
      </w:pPr>
      <w:r w:rsidRPr="00BB2716">
        <w:rPr>
          <w:b/>
          <w:bCs/>
          <w:sz w:val="24"/>
          <w:szCs w:val="24"/>
        </w:rPr>
        <w:t>Repræsentant</w:t>
      </w:r>
    </w:p>
    <w:p w14:paraId="201A6CDA" w14:textId="77777777" w:rsidR="00BB2716" w:rsidRPr="00BB2716" w:rsidRDefault="00BB2716" w:rsidP="008A4F23">
      <w:pPr>
        <w:ind w:left="851"/>
        <w:rPr>
          <w:sz w:val="24"/>
          <w:szCs w:val="24"/>
          <w:lang w:val="en-US"/>
        </w:rPr>
      </w:pPr>
      <w:r w:rsidRPr="00BB2716">
        <w:rPr>
          <w:sz w:val="24"/>
          <w:szCs w:val="24"/>
          <w:lang w:val="en-US"/>
        </w:rPr>
        <w:t>B. Braun Medical A/S</w:t>
      </w:r>
    </w:p>
    <w:p w14:paraId="30CEB725" w14:textId="77777777" w:rsidR="00BB2716" w:rsidRPr="00BB2716" w:rsidRDefault="00BB2716" w:rsidP="008A4F23">
      <w:pPr>
        <w:ind w:left="851"/>
        <w:rPr>
          <w:sz w:val="24"/>
          <w:szCs w:val="24"/>
          <w:lang w:val="en-US"/>
        </w:rPr>
      </w:pPr>
      <w:r w:rsidRPr="00BB2716">
        <w:rPr>
          <w:sz w:val="24"/>
          <w:szCs w:val="24"/>
          <w:lang w:val="en-US"/>
        </w:rPr>
        <w:t>Dirch Passers Allé 27, 3. sal</w:t>
      </w:r>
    </w:p>
    <w:p w14:paraId="0554D904" w14:textId="77777777" w:rsidR="00BB2716" w:rsidRPr="00BB2716" w:rsidRDefault="00BB2716" w:rsidP="008A4F23">
      <w:pPr>
        <w:ind w:left="851"/>
        <w:rPr>
          <w:sz w:val="24"/>
          <w:szCs w:val="24"/>
        </w:rPr>
      </w:pPr>
      <w:r w:rsidRPr="00BB2716">
        <w:rPr>
          <w:sz w:val="24"/>
          <w:szCs w:val="24"/>
        </w:rPr>
        <w:t>2000 Frederiksberg</w:t>
      </w:r>
    </w:p>
    <w:p w14:paraId="39BE248E" w14:textId="77777777" w:rsidR="00BB2716" w:rsidRPr="008A4F23" w:rsidRDefault="00BB2716" w:rsidP="009260DE">
      <w:pPr>
        <w:tabs>
          <w:tab w:val="left" w:pos="851"/>
        </w:tabs>
        <w:ind w:left="851" w:hanging="851"/>
        <w:rPr>
          <w:bCs/>
          <w:sz w:val="24"/>
          <w:szCs w:val="24"/>
        </w:rPr>
      </w:pPr>
    </w:p>
    <w:p w14:paraId="62B172F5" w14:textId="20E62FA2" w:rsidR="009260DE" w:rsidRPr="008A4F23" w:rsidRDefault="009260DE" w:rsidP="009260DE">
      <w:pPr>
        <w:tabs>
          <w:tab w:val="left" w:pos="851"/>
        </w:tabs>
        <w:ind w:left="851" w:hanging="851"/>
        <w:rPr>
          <w:b/>
          <w:sz w:val="24"/>
          <w:szCs w:val="24"/>
        </w:rPr>
      </w:pPr>
      <w:r w:rsidRPr="008A4F23">
        <w:rPr>
          <w:b/>
          <w:sz w:val="24"/>
          <w:szCs w:val="24"/>
        </w:rPr>
        <w:t>8.</w:t>
      </w:r>
      <w:r w:rsidRPr="008A4F23">
        <w:rPr>
          <w:b/>
          <w:sz w:val="24"/>
          <w:szCs w:val="24"/>
        </w:rPr>
        <w:tab/>
        <w:t>MARKEDSFØRINGSTILLADELSESNUMMER (</w:t>
      </w:r>
      <w:r w:rsidR="00BF6243" w:rsidRPr="008A4F23">
        <w:rPr>
          <w:b/>
          <w:sz w:val="24"/>
          <w:szCs w:val="24"/>
        </w:rPr>
        <w:t>-</w:t>
      </w:r>
      <w:r w:rsidRPr="008A4F23">
        <w:rPr>
          <w:b/>
          <w:sz w:val="24"/>
          <w:szCs w:val="24"/>
        </w:rPr>
        <w:t>NUMRE)</w:t>
      </w:r>
    </w:p>
    <w:p w14:paraId="4C94052F" w14:textId="21FB4555" w:rsidR="009260DE" w:rsidRPr="008A4F23" w:rsidRDefault="00BB2716" w:rsidP="009260DE">
      <w:pPr>
        <w:tabs>
          <w:tab w:val="left" w:pos="851"/>
        </w:tabs>
        <w:ind w:left="851"/>
        <w:rPr>
          <w:sz w:val="24"/>
          <w:szCs w:val="24"/>
        </w:rPr>
      </w:pPr>
      <w:r w:rsidRPr="008A4F23">
        <w:rPr>
          <w:sz w:val="24"/>
          <w:szCs w:val="24"/>
        </w:rPr>
        <w:t>71626</w:t>
      </w:r>
    </w:p>
    <w:p w14:paraId="6597B04B" w14:textId="77777777" w:rsidR="009260DE" w:rsidRPr="008A4F23" w:rsidRDefault="009260DE" w:rsidP="009260DE">
      <w:pPr>
        <w:tabs>
          <w:tab w:val="left" w:pos="851"/>
        </w:tabs>
        <w:ind w:left="851"/>
        <w:jc w:val="both"/>
        <w:rPr>
          <w:sz w:val="24"/>
          <w:szCs w:val="24"/>
        </w:rPr>
      </w:pPr>
    </w:p>
    <w:p w14:paraId="07530D62" w14:textId="77777777" w:rsidR="009260DE" w:rsidRPr="008A4F23" w:rsidRDefault="009260DE" w:rsidP="009260DE">
      <w:pPr>
        <w:tabs>
          <w:tab w:val="left" w:pos="851"/>
        </w:tabs>
        <w:ind w:left="851" w:hanging="851"/>
        <w:rPr>
          <w:b/>
          <w:sz w:val="24"/>
          <w:szCs w:val="24"/>
        </w:rPr>
      </w:pPr>
      <w:r w:rsidRPr="008A4F23">
        <w:rPr>
          <w:b/>
          <w:sz w:val="24"/>
          <w:szCs w:val="24"/>
        </w:rPr>
        <w:t>9.</w:t>
      </w:r>
      <w:r w:rsidRPr="008A4F23">
        <w:rPr>
          <w:b/>
          <w:sz w:val="24"/>
          <w:szCs w:val="24"/>
        </w:rPr>
        <w:tab/>
        <w:t>DATO FOR FØRSTE MARKEDSFØRINGSTILLADELSE</w:t>
      </w:r>
    </w:p>
    <w:p w14:paraId="18351DCE" w14:textId="1FE1CD71" w:rsidR="009260DE" w:rsidRPr="008A4F23" w:rsidRDefault="00BB2716" w:rsidP="008A4F23">
      <w:pPr>
        <w:ind w:left="851"/>
        <w:rPr>
          <w:sz w:val="24"/>
          <w:szCs w:val="24"/>
        </w:rPr>
      </w:pPr>
      <w:r w:rsidRPr="008A4F23">
        <w:rPr>
          <w:sz w:val="24"/>
          <w:szCs w:val="24"/>
        </w:rPr>
        <w:t>14. december 2000 (Nutritrace)</w:t>
      </w:r>
    </w:p>
    <w:p w14:paraId="48C519F6" w14:textId="77777777" w:rsidR="009260DE" w:rsidRPr="008A4F23" w:rsidRDefault="009260DE" w:rsidP="009260DE">
      <w:pPr>
        <w:tabs>
          <w:tab w:val="left" w:pos="851"/>
        </w:tabs>
        <w:ind w:left="851"/>
        <w:rPr>
          <w:sz w:val="24"/>
          <w:szCs w:val="24"/>
        </w:rPr>
      </w:pPr>
    </w:p>
    <w:p w14:paraId="4C81E010" w14:textId="77777777" w:rsidR="009260DE" w:rsidRPr="008A4F23" w:rsidRDefault="009260DE" w:rsidP="009260DE">
      <w:pPr>
        <w:tabs>
          <w:tab w:val="left" w:pos="851"/>
        </w:tabs>
        <w:ind w:left="851" w:hanging="851"/>
        <w:rPr>
          <w:b/>
          <w:sz w:val="24"/>
          <w:szCs w:val="24"/>
        </w:rPr>
      </w:pPr>
      <w:r w:rsidRPr="008A4F23">
        <w:rPr>
          <w:b/>
          <w:sz w:val="24"/>
          <w:szCs w:val="24"/>
        </w:rPr>
        <w:t>10.</w:t>
      </w:r>
      <w:r w:rsidRPr="008A4F23">
        <w:rPr>
          <w:b/>
          <w:sz w:val="24"/>
          <w:szCs w:val="24"/>
        </w:rPr>
        <w:tab/>
        <w:t>DATO FOR ÆNDRING AF TEKSTEN</w:t>
      </w:r>
    </w:p>
    <w:p w14:paraId="2D7D9CA8" w14:textId="0E904DCF" w:rsidR="009260DE" w:rsidRPr="008A4F23" w:rsidRDefault="00BB2716" w:rsidP="009260DE">
      <w:pPr>
        <w:tabs>
          <w:tab w:val="left" w:pos="851"/>
        </w:tabs>
        <w:ind w:left="851"/>
        <w:rPr>
          <w:sz w:val="24"/>
          <w:szCs w:val="24"/>
        </w:rPr>
      </w:pPr>
      <w:r w:rsidRPr="008A4F23">
        <w:rPr>
          <w:sz w:val="24"/>
          <w:szCs w:val="24"/>
        </w:rPr>
        <w:t>-</w:t>
      </w:r>
    </w:p>
    <w:sectPr w:rsidR="009260DE" w:rsidRPr="008A4F2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14FA" w14:textId="77777777" w:rsidR="00310225" w:rsidRDefault="00310225">
      <w:r>
        <w:separator/>
      </w:r>
    </w:p>
  </w:endnote>
  <w:endnote w:type="continuationSeparator" w:id="0">
    <w:p w14:paraId="3852F57C" w14:textId="77777777" w:rsidR="00310225" w:rsidRDefault="0031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176F" w14:textId="77777777" w:rsidR="000259B9" w:rsidRDefault="000259B9">
    <w:pPr>
      <w:pStyle w:val="Sidefod"/>
      <w:pBdr>
        <w:bottom w:val="single" w:sz="6" w:space="1" w:color="auto"/>
      </w:pBdr>
    </w:pPr>
  </w:p>
  <w:p w14:paraId="224BE840" w14:textId="77777777" w:rsidR="000259B9" w:rsidRDefault="000259B9" w:rsidP="00C42586">
    <w:pPr>
      <w:pStyle w:val="Sidefod"/>
      <w:tabs>
        <w:tab w:val="clear" w:pos="4819"/>
        <w:tab w:val="left" w:pos="8505"/>
      </w:tabs>
      <w:rPr>
        <w:i/>
        <w:sz w:val="18"/>
        <w:szCs w:val="18"/>
      </w:rPr>
    </w:pPr>
  </w:p>
  <w:p w14:paraId="55199A71" w14:textId="5E394CCF"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A5AFB">
      <w:rPr>
        <w:i/>
        <w:noProof/>
        <w:sz w:val="18"/>
        <w:szCs w:val="18"/>
      </w:rPr>
      <w:t>Nutritrace Elements, koncentrat til infusionsvæske, opløsning.docx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7E34" w14:textId="77777777" w:rsidR="00310225" w:rsidRDefault="00310225">
      <w:r>
        <w:separator/>
      </w:r>
    </w:p>
  </w:footnote>
  <w:footnote w:type="continuationSeparator" w:id="0">
    <w:p w14:paraId="1506E68A" w14:textId="77777777" w:rsidR="00310225" w:rsidRDefault="00310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189"/>
    <w:multiLevelType w:val="hybridMultilevel"/>
    <w:tmpl w:val="24183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447786A"/>
    <w:multiLevelType w:val="hybridMultilevel"/>
    <w:tmpl w:val="89666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775843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22792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8096984">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1972341">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389583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1639183">
    <w:abstractNumId w:val="5"/>
  </w:num>
  <w:num w:numId="7" w16cid:durableId="51669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25"/>
    <w:rsid w:val="000259B9"/>
    <w:rsid w:val="00041491"/>
    <w:rsid w:val="00050D16"/>
    <w:rsid w:val="000730CA"/>
    <w:rsid w:val="00074F2A"/>
    <w:rsid w:val="000A1CA8"/>
    <w:rsid w:val="000A466B"/>
    <w:rsid w:val="000B058C"/>
    <w:rsid w:val="000D68B0"/>
    <w:rsid w:val="000E4EE6"/>
    <w:rsid w:val="001454E2"/>
    <w:rsid w:val="001B5037"/>
    <w:rsid w:val="00206CE8"/>
    <w:rsid w:val="0021526C"/>
    <w:rsid w:val="00283A2B"/>
    <w:rsid w:val="002B30AD"/>
    <w:rsid w:val="002C1EC0"/>
    <w:rsid w:val="002C2C01"/>
    <w:rsid w:val="00310225"/>
    <w:rsid w:val="003A29AE"/>
    <w:rsid w:val="003A32D7"/>
    <w:rsid w:val="003B4074"/>
    <w:rsid w:val="003C769A"/>
    <w:rsid w:val="003D3A90"/>
    <w:rsid w:val="003F1838"/>
    <w:rsid w:val="004251C1"/>
    <w:rsid w:val="0045746C"/>
    <w:rsid w:val="0049104B"/>
    <w:rsid w:val="004E3B12"/>
    <w:rsid w:val="00532310"/>
    <w:rsid w:val="005540F9"/>
    <w:rsid w:val="00565F0F"/>
    <w:rsid w:val="00594A86"/>
    <w:rsid w:val="00596D86"/>
    <w:rsid w:val="005A5AFB"/>
    <w:rsid w:val="00637F5A"/>
    <w:rsid w:val="00641C65"/>
    <w:rsid w:val="006560B1"/>
    <w:rsid w:val="006756DD"/>
    <w:rsid w:val="0071241E"/>
    <w:rsid w:val="00717B2E"/>
    <w:rsid w:val="00737275"/>
    <w:rsid w:val="00740EEC"/>
    <w:rsid w:val="0078011A"/>
    <w:rsid w:val="0078127C"/>
    <w:rsid w:val="00782AF4"/>
    <w:rsid w:val="00790EE7"/>
    <w:rsid w:val="007B6649"/>
    <w:rsid w:val="0082576E"/>
    <w:rsid w:val="0089346F"/>
    <w:rsid w:val="008A4F23"/>
    <w:rsid w:val="00907F75"/>
    <w:rsid w:val="009260DE"/>
    <w:rsid w:val="0093258A"/>
    <w:rsid w:val="009C7BA3"/>
    <w:rsid w:val="009D1F5A"/>
    <w:rsid w:val="00A10294"/>
    <w:rsid w:val="00A55206"/>
    <w:rsid w:val="00B003BF"/>
    <w:rsid w:val="00B373D7"/>
    <w:rsid w:val="00B55271"/>
    <w:rsid w:val="00BB2716"/>
    <w:rsid w:val="00BD7931"/>
    <w:rsid w:val="00BF6243"/>
    <w:rsid w:val="00C36276"/>
    <w:rsid w:val="00C42586"/>
    <w:rsid w:val="00C45F6B"/>
    <w:rsid w:val="00C52F6A"/>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A0814"/>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4958F"/>
  <w15:chartTrackingRefBased/>
  <w15:docId w15:val="{3BC7696F-C005-4D62-BA14-51492C7D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798">
      <w:bodyDiv w:val="1"/>
      <w:marLeft w:val="0"/>
      <w:marRight w:val="0"/>
      <w:marTop w:val="0"/>
      <w:marBottom w:val="0"/>
      <w:divBdr>
        <w:top w:val="none" w:sz="0" w:space="0" w:color="auto"/>
        <w:left w:val="none" w:sz="0" w:space="0" w:color="auto"/>
        <w:bottom w:val="none" w:sz="0" w:space="0" w:color="auto"/>
        <w:right w:val="none" w:sz="0" w:space="0" w:color="auto"/>
      </w:divBdr>
    </w:div>
    <w:div w:id="2787492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17935723">
      <w:bodyDiv w:val="1"/>
      <w:marLeft w:val="0"/>
      <w:marRight w:val="0"/>
      <w:marTop w:val="0"/>
      <w:marBottom w:val="0"/>
      <w:divBdr>
        <w:top w:val="none" w:sz="0" w:space="0" w:color="auto"/>
        <w:left w:val="none" w:sz="0" w:space="0" w:color="auto"/>
        <w:bottom w:val="none" w:sz="0" w:space="0" w:color="auto"/>
        <w:right w:val="none" w:sz="0" w:space="0" w:color="auto"/>
      </w:divBdr>
    </w:div>
    <w:div w:id="240221843">
      <w:bodyDiv w:val="1"/>
      <w:marLeft w:val="0"/>
      <w:marRight w:val="0"/>
      <w:marTop w:val="0"/>
      <w:marBottom w:val="0"/>
      <w:divBdr>
        <w:top w:val="none" w:sz="0" w:space="0" w:color="auto"/>
        <w:left w:val="none" w:sz="0" w:space="0" w:color="auto"/>
        <w:bottom w:val="none" w:sz="0" w:space="0" w:color="auto"/>
        <w:right w:val="none" w:sz="0" w:space="0" w:color="auto"/>
      </w:divBdr>
    </w:div>
    <w:div w:id="249700405">
      <w:bodyDiv w:val="1"/>
      <w:marLeft w:val="0"/>
      <w:marRight w:val="0"/>
      <w:marTop w:val="0"/>
      <w:marBottom w:val="0"/>
      <w:divBdr>
        <w:top w:val="none" w:sz="0" w:space="0" w:color="auto"/>
        <w:left w:val="none" w:sz="0" w:space="0" w:color="auto"/>
        <w:bottom w:val="none" w:sz="0" w:space="0" w:color="auto"/>
        <w:right w:val="none" w:sz="0" w:space="0" w:color="auto"/>
      </w:divBdr>
    </w:div>
    <w:div w:id="253243473">
      <w:bodyDiv w:val="1"/>
      <w:marLeft w:val="0"/>
      <w:marRight w:val="0"/>
      <w:marTop w:val="0"/>
      <w:marBottom w:val="0"/>
      <w:divBdr>
        <w:top w:val="none" w:sz="0" w:space="0" w:color="auto"/>
        <w:left w:val="none" w:sz="0" w:space="0" w:color="auto"/>
        <w:bottom w:val="none" w:sz="0" w:space="0" w:color="auto"/>
        <w:right w:val="none" w:sz="0" w:space="0" w:color="auto"/>
      </w:divBdr>
    </w:div>
    <w:div w:id="289168322">
      <w:bodyDiv w:val="1"/>
      <w:marLeft w:val="0"/>
      <w:marRight w:val="0"/>
      <w:marTop w:val="0"/>
      <w:marBottom w:val="0"/>
      <w:divBdr>
        <w:top w:val="none" w:sz="0" w:space="0" w:color="auto"/>
        <w:left w:val="none" w:sz="0" w:space="0" w:color="auto"/>
        <w:bottom w:val="none" w:sz="0" w:space="0" w:color="auto"/>
        <w:right w:val="none" w:sz="0" w:space="0" w:color="auto"/>
      </w:divBdr>
    </w:div>
    <w:div w:id="299770060">
      <w:bodyDiv w:val="1"/>
      <w:marLeft w:val="0"/>
      <w:marRight w:val="0"/>
      <w:marTop w:val="0"/>
      <w:marBottom w:val="0"/>
      <w:divBdr>
        <w:top w:val="none" w:sz="0" w:space="0" w:color="auto"/>
        <w:left w:val="none" w:sz="0" w:space="0" w:color="auto"/>
        <w:bottom w:val="none" w:sz="0" w:space="0" w:color="auto"/>
        <w:right w:val="none" w:sz="0" w:space="0" w:color="auto"/>
      </w:divBdr>
    </w:div>
    <w:div w:id="304511884">
      <w:bodyDiv w:val="1"/>
      <w:marLeft w:val="0"/>
      <w:marRight w:val="0"/>
      <w:marTop w:val="0"/>
      <w:marBottom w:val="0"/>
      <w:divBdr>
        <w:top w:val="none" w:sz="0" w:space="0" w:color="auto"/>
        <w:left w:val="none" w:sz="0" w:space="0" w:color="auto"/>
        <w:bottom w:val="none" w:sz="0" w:space="0" w:color="auto"/>
        <w:right w:val="none" w:sz="0" w:space="0" w:color="auto"/>
      </w:divBdr>
    </w:div>
    <w:div w:id="316881650">
      <w:bodyDiv w:val="1"/>
      <w:marLeft w:val="0"/>
      <w:marRight w:val="0"/>
      <w:marTop w:val="0"/>
      <w:marBottom w:val="0"/>
      <w:divBdr>
        <w:top w:val="none" w:sz="0" w:space="0" w:color="auto"/>
        <w:left w:val="none" w:sz="0" w:space="0" w:color="auto"/>
        <w:bottom w:val="none" w:sz="0" w:space="0" w:color="auto"/>
        <w:right w:val="none" w:sz="0" w:space="0" w:color="auto"/>
      </w:divBdr>
    </w:div>
    <w:div w:id="357700766">
      <w:bodyDiv w:val="1"/>
      <w:marLeft w:val="0"/>
      <w:marRight w:val="0"/>
      <w:marTop w:val="0"/>
      <w:marBottom w:val="0"/>
      <w:divBdr>
        <w:top w:val="none" w:sz="0" w:space="0" w:color="auto"/>
        <w:left w:val="none" w:sz="0" w:space="0" w:color="auto"/>
        <w:bottom w:val="none" w:sz="0" w:space="0" w:color="auto"/>
        <w:right w:val="none" w:sz="0" w:space="0" w:color="auto"/>
      </w:divBdr>
    </w:div>
    <w:div w:id="404255871">
      <w:bodyDiv w:val="1"/>
      <w:marLeft w:val="0"/>
      <w:marRight w:val="0"/>
      <w:marTop w:val="0"/>
      <w:marBottom w:val="0"/>
      <w:divBdr>
        <w:top w:val="none" w:sz="0" w:space="0" w:color="auto"/>
        <w:left w:val="none" w:sz="0" w:space="0" w:color="auto"/>
        <w:bottom w:val="none" w:sz="0" w:space="0" w:color="auto"/>
        <w:right w:val="none" w:sz="0" w:space="0" w:color="auto"/>
      </w:divBdr>
    </w:div>
    <w:div w:id="448009530">
      <w:bodyDiv w:val="1"/>
      <w:marLeft w:val="0"/>
      <w:marRight w:val="0"/>
      <w:marTop w:val="0"/>
      <w:marBottom w:val="0"/>
      <w:divBdr>
        <w:top w:val="none" w:sz="0" w:space="0" w:color="auto"/>
        <w:left w:val="none" w:sz="0" w:space="0" w:color="auto"/>
        <w:bottom w:val="none" w:sz="0" w:space="0" w:color="auto"/>
        <w:right w:val="none" w:sz="0" w:space="0" w:color="auto"/>
      </w:divBdr>
    </w:div>
    <w:div w:id="464549042">
      <w:bodyDiv w:val="1"/>
      <w:marLeft w:val="0"/>
      <w:marRight w:val="0"/>
      <w:marTop w:val="0"/>
      <w:marBottom w:val="0"/>
      <w:divBdr>
        <w:top w:val="none" w:sz="0" w:space="0" w:color="auto"/>
        <w:left w:val="none" w:sz="0" w:space="0" w:color="auto"/>
        <w:bottom w:val="none" w:sz="0" w:space="0" w:color="auto"/>
        <w:right w:val="none" w:sz="0" w:space="0" w:color="auto"/>
      </w:divBdr>
    </w:div>
    <w:div w:id="691301655">
      <w:bodyDiv w:val="1"/>
      <w:marLeft w:val="0"/>
      <w:marRight w:val="0"/>
      <w:marTop w:val="0"/>
      <w:marBottom w:val="0"/>
      <w:divBdr>
        <w:top w:val="none" w:sz="0" w:space="0" w:color="auto"/>
        <w:left w:val="none" w:sz="0" w:space="0" w:color="auto"/>
        <w:bottom w:val="none" w:sz="0" w:space="0" w:color="auto"/>
        <w:right w:val="none" w:sz="0" w:space="0" w:color="auto"/>
      </w:divBdr>
    </w:div>
    <w:div w:id="846670802">
      <w:bodyDiv w:val="1"/>
      <w:marLeft w:val="0"/>
      <w:marRight w:val="0"/>
      <w:marTop w:val="0"/>
      <w:marBottom w:val="0"/>
      <w:divBdr>
        <w:top w:val="none" w:sz="0" w:space="0" w:color="auto"/>
        <w:left w:val="none" w:sz="0" w:space="0" w:color="auto"/>
        <w:bottom w:val="none" w:sz="0" w:space="0" w:color="auto"/>
        <w:right w:val="none" w:sz="0" w:space="0" w:color="auto"/>
      </w:divBdr>
    </w:div>
    <w:div w:id="856189820">
      <w:bodyDiv w:val="1"/>
      <w:marLeft w:val="0"/>
      <w:marRight w:val="0"/>
      <w:marTop w:val="0"/>
      <w:marBottom w:val="0"/>
      <w:divBdr>
        <w:top w:val="none" w:sz="0" w:space="0" w:color="auto"/>
        <w:left w:val="none" w:sz="0" w:space="0" w:color="auto"/>
        <w:bottom w:val="none" w:sz="0" w:space="0" w:color="auto"/>
        <w:right w:val="none" w:sz="0" w:space="0" w:color="auto"/>
      </w:divBdr>
    </w:div>
    <w:div w:id="950359319">
      <w:bodyDiv w:val="1"/>
      <w:marLeft w:val="0"/>
      <w:marRight w:val="0"/>
      <w:marTop w:val="0"/>
      <w:marBottom w:val="0"/>
      <w:divBdr>
        <w:top w:val="none" w:sz="0" w:space="0" w:color="auto"/>
        <w:left w:val="none" w:sz="0" w:space="0" w:color="auto"/>
        <w:bottom w:val="none" w:sz="0" w:space="0" w:color="auto"/>
        <w:right w:val="none" w:sz="0" w:space="0" w:color="auto"/>
      </w:divBdr>
    </w:div>
    <w:div w:id="1116220799">
      <w:bodyDiv w:val="1"/>
      <w:marLeft w:val="0"/>
      <w:marRight w:val="0"/>
      <w:marTop w:val="0"/>
      <w:marBottom w:val="0"/>
      <w:divBdr>
        <w:top w:val="none" w:sz="0" w:space="0" w:color="auto"/>
        <w:left w:val="none" w:sz="0" w:space="0" w:color="auto"/>
        <w:bottom w:val="none" w:sz="0" w:space="0" w:color="auto"/>
        <w:right w:val="none" w:sz="0" w:space="0" w:color="auto"/>
      </w:divBdr>
    </w:div>
    <w:div w:id="1227717667">
      <w:bodyDiv w:val="1"/>
      <w:marLeft w:val="0"/>
      <w:marRight w:val="0"/>
      <w:marTop w:val="0"/>
      <w:marBottom w:val="0"/>
      <w:divBdr>
        <w:top w:val="none" w:sz="0" w:space="0" w:color="auto"/>
        <w:left w:val="none" w:sz="0" w:space="0" w:color="auto"/>
        <w:bottom w:val="none" w:sz="0" w:space="0" w:color="auto"/>
        <w:right w:val="none" w:sz="0" w:space="0" w:color="auto"/>
      </w:divBdr>
    </w:div>
    <w:div w:id="1258825601">
      <w:bodyDiv w:val="1"/>
      <w:marLeft w:val="0"/>
      <w:marRight w:val="0"/>
      <w:marTop w:val="0"/>
      <w:marBottom w:val="0"/>
      <w:divBdr>
        <w:top w:val="none" w:sz="0" w:space="0" w:color="auto"/>
        <w:left w:val="none" w:sz="0" w:space="0" w:color="auto"/>
        <w:bottom w:val="none" w:sz="0" w:space="0" w:color="auto"/>
        <w:right w:val="none" w:sz="0" w:space="0" w:color="auto"/>
      </w:divBdr>
    </w:div>
    <w:div w:id="1315524365">
      <w:bodyDiv w:val="1"/>
      <w:marLeft w:val="0"/>
      <w:marRight w:val="0"/>
      <w:marTop w:val="0"/>
      <w:marBottom w:val="0"/>
      <w:divBdr>
        <w:top w:val="none" w:sz="0" w:space="0" w:color="auto"/>
        <w:left w:val="none" w:sz="0" w:space="0" w:color="auto"/>
        <w:bottom w:val="none" w:sz="0" w:space="0" w:color="auto"/>
        <w:right w:val="none" w:sz="0" w:space="0" w:color="auto"/>
      </w:divBdr>
    </w:div>
    <w:div w:id="1350259698">
      <w:bodyDiv w:val="1"/>
      <w:marLeft w:val="0"/>
      <w:marRight w:val="0"/>
      <w:marTop w:val="0"/>
      <w:marBottom w:val="0"/>
      <w:divBdr>
        <w:top w:val="none" w:sz="0" w:space="0" w:color="auto"/>
        <w:left w:val="none" w:sz="0" w:space="0" w:color="auto"/>
        <w:bottom w:val="none" w:sz="0" w:space="0" w:color="auto"/>
        <w:right w:val="none" w:sz="0" w:space="0" w:color="auto"/>
      </w:divBdr>
    </w:div>
    <w:div w:id="1384518536">
      <w:bodyDiv w:val="1"/>
      <w:marLeft w:val="0"/>
      <w:marRight w:val="0"/>
      <w:marTop w:val="0"/>
      <w:marBottom w:val="0"/>
      <w:divBdr>
        <w:top w:val="none" w:sz="0" w:space="0" w:color="auto"/>
        <w:left w:val="none" w:sz="0" w:space="0" w:color="auto"/>
        <w:bottom w:val="none" w:sz="0" w:space="0" w:color="auto"/>
        <w:right w:val="none" w:sz="0" w:space="0" w:color="auto"/>
      </w:divBdr>
    </w:div>
    <w:div w:id="1436754901">
      <w:bodyDiv w:val="1"/>
      <w:marLeft w:val="0"/>
      <w:marRight w:val="0"/>
      <w:marTop w:val="0"/>
      <w:marBottom w:val="0"/>
      <w:divBdr>
        <w:top w:val="none" w:sz="0" w:space="0" w:color="auto"/>
        <w:left w:val="none" w:sz="0" w:space="0" w:color="auto"/>
        <w:bottom w:val="none" w:sz="0" w:space="0" w:color="auto"/>
        <w:right w:val="none" w:sz="0" w:space="0" w:color="auto"/>
      </w:divBdr>
    </w:div>
    <w:div w:id="1444155426">
      <w:bodyDiv w:val="1"/>
      <w:marLeft w:val="0"/>
      <w:marRight w:val="0"/>
      <w:marTop w:val="0"/>
      <w:marBottom w:val="0"/>
      <w:divBdr>
        <w:top w:val="none" w:sz="0" w:space="0" w:color="auto"/>
        <w:left w:val="none" w:sz="0" w:space="0" w:color="auto"/>
        <w:bottom w:val="none" w:sz="0" w:space="0" w:color="auto"/>
        <w:right w:val="none" w:sz="0" w:space="0" w:color="auto"/>
      </w:divBdr>
    </w:div>
    <w:div w:id="1448811235">
      <w:bodyDiv w:val="1"/>
      <w:marLeft w:val="0"/>
      <w:marRight w:val="0"/>
      <w:marTop w:val="0"/>
      <w:marBottom w:val="0"/>
      <w:divBdr>
        <w:top w:val="none" w:sz="0" w:space="0" w:color="auto"/>
        <w:left w:val="none" w:sz="0" w:space="0" w:color="auto"/>
        <w:bottom w:val="none" w:sz="0" w:space="0" w:color="auto"/>
        <w:right w:val="none" w:sz="0" w:space="0" w:color="auto"/>
      </w:divBdr>
    </w:div>
    <w:div w:id="1462503793">
      <w:bodyDiv w:val="1"/>
      <w:marLeft w:val="0"/>
      <w:marRight w:val="0"/>
      <w:marTop w:val="0"/>
      <w:marBottom w:val="0"/>
      <w:divBdr>
        <w:top w:val="none" w:sz="0" w:space="0" w:color="auto"/>
        <w:left w:val="none" w:sz="0" w:space="0" w:color="auto"/>
        <w:bottom w:val="none" w:sz="0" w:space="0" w:color="auto"/>
        <w:right w:val="none" w:sz="0" w:space="0" w:color="auto"/>
      </w:divBdr>
    </w:div>
    <w:div w:id="1573849125">
      <w:bodyDiv w:val="1"/>
      <w:marLeft w:val="0"/>
      <w:marRight w:val="0"/>
      <w:marTop w:val="0"/>
      <w:marBottom w:val="0"/>
      <w:divBdr>
        <w:top w:val="none" w:sz="0" w:space="0" w:color="auto"/>
        <w:left w:val="none" w:sz="0" w:space="0" w:color="auto"/>
        <w:bottom w:val="none" w:sz="0" w:space="0" w:color="auto"/>
        <w:right w:val="none" w:sz="0" w:space="0" w:color="auto"/>
      </w:divBdr>
    </w:div>
    <w:div w:id="1575704232">
      <w:bodyDiv w:val="1"/>
      <w:marLeft w:val="0"/>
      <w:marRight w:val="0"/>
      <w:marTop w:val="0"/>
      <w:marBottom w:val="0"/>
      <w:divBdr>
        <w:top w:val="none" w:sz="0" w:space="0" w:color="auto"/>
        <w:left w:val="none" w:sz="0" w:space="0" w:color="auto"/>
        <w:bottom w:val="none" w:sz="0" w:space="0" w:color="auto"/>
        <w:right w:val="none" w:sz="0" w:space="0" w:color="auto"/>
      </w:divBdr>
    </w:div>
    <w:div w:id="1629311933">
      <w:bodyDiv w:val="1"/>
      <w:marLeft w:val="0"/>
      <w:marRight w:val="0"/>
      <w:marTop w:val="0"/>
      <w:marBottom w:val="0"/>
      <w:divBdr>
        <w:top w:val="none" w:sz="0" w:space="0" w:color="auto"/>
        <w:left w:val="none" w:sz="0" w:space="0" w:color="auto"/>
        <w:bottom w:val="none" w:sz="0" w:space="0" w:color="auto"/>
        <w:right w:val="none" w:sz="0" w:space="0" w:color="auto"/>
      </w:divBdr>
    </w:div>
    <w:div w:id="1744598489">
      <w:bodyDiv w:val="1"/>
      <w:marLeft w:val="0"/>
      <w:marRight w:val="0"/>
      <w:marTop w:val="0"/>
      <w:marBottom w:val="0"/>
      <w:divBdr>
        <w:top w:val="none" w:sz="0" w:space="0" w:color="auto"/>
        <w:left w:val="none" w:sz="0" w:space="0" w:color="auto"/>
        <w:bottom w:val="none" w:sz="0" w:space="0" w:color="auto"/>
        <w:right w:val="none" w:sz="0" w:space="0" w:color="auto"/>
      </w:divBdr>
    </w:div>
    <w:div w:id="1785533847">
      <w:bodyDiv w:val="1"/>
      <w:marLeft w:val="0"/>
      <w:marRight w:val="0"/>
      <w:marTop w:val="0"/>
      <w:marBottom w:val="0"/>
      <w:divBdr>
        <w:top w:val="none" w:sz="0" w:space="0" w:color="auto"/>
        <w:left w:val="none" w:sz="0" w:space="0" w:color="auto"/>
        <w:bottom w:val="none" w:sz="0" w:space="0" w:color="auto"/>
        <w:right w:val="none" w:sz="0" w:space="0" w:color="auto"/>
      </w:divBdr>
    </w:div>
    <w:div w:id="1785804042">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27815025">
      <w:bodyDiv w:val="1"/>
      <w:marLeft w:val="0"/>
      <w:marRight w:val="0"/>
      <w:marTop w:val="0"/>
      <w:marBottom w:val="0"/>
      <w:divBdr>
        <w:top w:val="none" w:sz="0" w:space="0" w:color="auto"/>
        <w:left w:val="none" w:sz="0" w:space="0" w:color="auto"/>
        <w:bottom w:val="none" w:sz="0" w:space="0" w:color="auto"/>
        <w:right w:val="none" w:sz="0" w:space="0" w:color="auto"/>
      </w:divBdr>
    </w:div>
    <w:div w:id="1828865527">
      <w:bodyDiv w:val="1"/>
      <w:marLeft w:val="0"/>
      <w:marRight w:val="0"/>
      <w:marTop w:val="0"/>
      <w:marBottom w:val="0"/>
      <w:divBdr>
        <w:top w:val="none" w:sz="0" w:space="0" w:color="auto"/>
        <w:left w:val="none" w:sz="0" w:space="0" w:color="auto"/>
        <w:bottom w:val="none" w:sz="0" w:space="0" w:color="auto"/>
        <w:right w:val="none" w:sz="0" w:space="0" w:color="auto"/>
      </w:divBdr>
    </w:div>
    <w:div w:id="1995449349">
      <w:bodyDiv w:val="1"/>
      <w:marLeft w:val="0"/>
      <w:marRight w:val="0"/>
      <w:marTop w:val="0"/>
      <w:marBottom w:val="0"/>
      <w:divBdr>
        <w:top w:val="none" w:sz="0" w:space="0" w:color="auto"/>
        <w:left w:val="none" w:sz="0" w:space="0" w:color="auto"/>
        <w:bottom w:val="none" w:sz="0" w:space="0" w:color="auto"/>
        <w:right w:val="none" w:sz="0" w:space="0" w:color="auto"/>
      </w:divBdr>
    </w:div>
    <w:div w:id="2085684021">
      <w:bodyDiv w:val="1"/>
      <w:marLeft w:val="0"/>
      <w:marRight w:val="0"/>
      <w:marTop w:val="0"/>
      <w:marBottom w:val="0"/>
      <w:divBdr>
        <w:top w:val="none" w:sz="0" w:space="0" w:color="auto"/>
        <w:left w:val="none" w:sz="0" w:space="0" w:color="auto"/>
        <w:bottom w:val="none" w:sz="0" w:space="0" w:color="auto"/>
        <w:right w:val="none" w:sz="0" w:space="0" w:color="auto"/>
      </w:divBdr>
    </w:div>
    <w:div w:id="2102212820">
      <w:bodyDiv w:val="1"/>
      <w:marLeft w:val="0"/>
      <w:marRight w:val="0"/>
      <w:marTop w:val="0"/>
      <w:marBottom w:val="0"/>
      <w:divBdr>
        <w:top w:val="none" w:sz="0" w:space="0" w:color="auto"/>
        <w:left w:val="none" w:sz="0" w:space="0" w:color="auto"/>
        <w:bottom w:val="none" w:sz="0" w:space="0" w:color="auto"/>
        <w:right w:val="none" w:sz="0" w:space="0" w:color="auto"/>
      </w:divBdr>
    </w:div>
    <w:div w:id="2113471625">
      <w:bodyDiv w:val="1"/>
      <w:marLeft w:val="0"/>
      <w:marRight w:val="0"/>
      <w:marTop w:val="0"/>
      <w:marBottom w:val="0"/>
      <w:divBdr>
        <w:top w:val="none" w:sz="0" w:space="0" w:color="auto"/>
        <w:left w:val="none" w:sz="0" w:space="0" w:color="auto"/>
        <w:bottom w:val="none" w:sz="0" w:space="0" w:color="auto"/>
        <w:right w:val="none" w:sz="0" w:space="0" w:color="auto"/>
      </w:divBdr>
    </w:div>
    <w:div w:id="212396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23</TotalTime>
  <Pages>10</Pages>
  <Words>2498</Words>
  <Characters>15690</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2024041545, MT</dc:description>
  <cp:lastModifiedBy>Gitte Jørgensen</cp:lastModifiedBy>
  <cp:revision>8</cp:revision>
  <cp:lastPrinted>2012-08-22T08:53:00Z</cp:lastPrinted>
  <dcterms:created xsi:type="dcterms:W3CDTF">2026-06-01T08:00:00Z</dcterms:created>
  <dcterms:modified xsi:type="dcterms:W3CDTF">2026-06-01T12:20:00Z</dcterms:modified>
</cp:coreProperties>
</file>