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1AD38" w14:textId="571528C9" w:rsidR="00B003BF" w:rsidRPr="00C84483" w:rsidRDefault="00052423" w:rsidP="00B003BF">
      <w:pPr>
        <w:rPr>
          <w:sz w:val="24"/>
          <w:szCs w:val="24"/>
        </w:rPr>
      </w:pPr>
      <w:r w:rsidRPr="008F49E1">
        <w:rPr>
          <w:noProof/>
          <w:sz w:val="24"/>
          <w:szCs w:val="24"/>
          <w:lang w:eastAsia="da-DK"/>
        </w:rPr>
        <w:drawing>
          <wp:inline distT="0" distB="0" distL="0" distR="0" wp14:anchorId="61CA9337" wp14:editId="337E89E9">
            <wp:extent cx="2430780" cy="683657"/>
            <wp:effectExtent l="0" t="0" r="7620" b="2540"/>
            <wp:docPr id="3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98" cy="69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F29EA" w14:textId="34D4CB94" w:rsidR="00B003BF" w:rsidRPr="00C84483" w:rsidRDefault="00B003BF" w:rsidP="00B003BF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14:paraId="6F97D769" w14:textId="17CCCF98" w:rsidR="00B003BF" w:rsidRPr="00C84483" w:rsidRDefault="00B003BF" w:rsidP="00B003BF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3C5677">
        <w:rPr>
          <w:szCs w:val="24"/>
        </w:rPr>
        <w:t>9</w:t>
      </w:r>
      <w:r w:rsidR="00052423">
        <w:rPr>
          <w:szCs w:val="24"/>
        </w:rPr>
        <w:t>. september 2019</w:t>
      </w:r>
    </w:p>
    <w:p w14:paraId="2F2FDC71" w14:textId="77777777" w:rsidR="00B003BF" w:rsidRPr="00C84483" w:rsidRDefault="00B003BF" w:rsidP="00B003BF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5A28BA49" w14:textId="77777777" w:rsidR="00B003BF" w:rsidRPr="00C84483" w:rsidRDefault="00B003BF" w:rsidP="00B003BF">
      <w:pPr>
        <w:pStyle w:val="Titel"/>
        <w:jc w:val="left"/>
        <w:rPr>
          <w:b w:val="0"/>
          <w:szCs w:val="24"/>
        </w:rPr>
      </w:pPr>
    </w:p>
    <w:p w14:paraId="677F5730" w14:textId="77777777" w:rsidR="00B003BF" w:rsidRPr="00C84483" w:rsidRDefault="00B003BF" w:rsidP="00B003BF">
      <w:pPr>
        <w:pStyle w:val="Titel"/>
        <w:jc w:val="left"/>
        <w:rPr>
          <w:b w:val="0"/>
          <w:szCs w:val="24"/>
        </w:rPr>
      </w:pPr>
    </w:p>
    <w:p w14:paraId="1B40B005" w14:textId="77777777" w:rsidR="00B003BF" w:rsidRPr="00C84483" w:rsidRDefault="00B003BF" w:rsidP="00B003BF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1BAD72A8" w14:textId="77777777" w:rsidR="00B003BF" w:rsidRPr="00C84483" w:rsidRDefault="00B003BF" w:rsidP="00B003BF">
      <w:pPr>
        <w:jc w:val="center"/>
        <w:rPr>
          <w:b/>
          <w:sz w:val="24"/>
          <w:szCs w:val="24"/>
        </w:rPr>
      </w:pPr>
    </w:p>
    <w:p w14:paraId="68144B67" w14:textId="77777777" w:rsidR="00B003BF" w:rsidRPr="00C84483" w:rsidRDefault="00B003BF" w:rsidP="00B003BF">
      <w:pPr>
        <w:jc w:val="center"/>
        <w:rPr>
          <w:b/>
          <w:sz w:val="24"/>
          <w:szCs w:val="24"/>
        </w:rPr>
      </w:pPr>
      <w:proofErr w:type="gramStart"/>
      <w:r w:rsidRPr="00C84483">
        <w:rPr>
          <w:b/>
          <w:sz w:val="24"/>
          <w:szCs w:val="24"/>
        </w:rPr>
        <w:t>for</w:t>
      </w:r>
      <w:proofErr w:type="gramEnd"/>
    </w:p>
    <w:p w14:paraId="6D9DAD58" w14:textId="77777777" w:rsidR="00B003BF" w:rsidRPr="00C84483" w:rsidRDefault="00B003BF" w:rsidP="00B003BF">
      <w:pPr>
        <w:jc w:val="center"/>
        <w:rPr>
          <w:b/>
          <w:sz w:val="24"/>
          <w:szCs w:val="24"/>
        </w:rPr>
      </w:pPr>
    </w:p>
    <w:p w14:paraId="550FFDA2" w14:textId="6AAC5CC8" w:rsidR="00B003BF" w:rsidRPr="00C84483" w:rsidRDefault="0091486A" w:rsidP="00B003B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Nystimex</w:t>
      </w:r>
      <w:proofErr w:type="spellEnd"/>
      <w:r>
        <w:rPr>
          <w:b/>
          <w:sz w:val="24"/>
          <w:szCs w:val="24"/>
        </w:rPr>
        <w:t>, oral suspension</w:t>
      </w:r>
      <w:r w:rsidR="00052423">
        <w:rPr>
          <w:b/>
          <w:sz w:val="24"/>
          <w:szCs w:val="24"/>
        </w:rPr>
        <w:t xml:space="preserve"> (2care4)</w:t>
      </w:r>
    </w:p>
    <w:p w14:paraId="618202A5" w14:textId="77777777" w:rsidR="00B003BF" w:rsidRPr="00C84483" w:rsidRDefault="00B003BF" w:rsidP="00B003BF">
      <w:pPr>
        <w:jc w:val="both"/>
        <w:rPr>
          <w:sz w:val="24"/>
          <w:szCs w:val="24"/>
        </w:rPr>
      </w:pPr>
    </w:p>
    <w:p w14:paraId="53AC6921" w14:textId="77777777" w:rsidR="00B003BF" w:rsidRPr="00205BED" w:rsidRDefault="00B003BF" w:rsidP="00205BED">
      <w:pPr>
        <w:ind w:left="851" w:hanging="851"/>
        <w:jc w:val="both"/>
        <w:rPr>
          <w:sz w:val="24"/>
          <w:szCs w:val="24"/>
        </w:rPr>
      </w:pPr>
    </w:p>
    <w:p w14:paraId="1849F420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0.</w:t>
      </w:r>
      <w:r w:rsidRPr="00205BED">
        <w:rPr>
          <w:b/>
          <w:sz w:val="24"/>
          <w:szCs w:val="24"/>
        </w:rPr>
        <w:tab/>
        <w:t>D.SP.NR.</w:t>
      </w:r>
    </w:p>
    <w:p w14:paraId="682740FF" w14:textId="264BC5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  <w:r w:rsidRPr="00205BED">
        <w:rPr>
          <w:sz w:val="24"/>
          <w:szCs w:val="24"/>
        </w:rPr>
        <w:tab/>
      </w:r>
      <w:r w:rsidR="0091486A" w:rsidRPr="00205BED">
        <w:rPr>
          <w:sz w:val="24"/>
          <w:szCs w:val="24"/>
        </w:rPr>
        <w:t>29043</w:t>
      </w:r>
    </w:p>
    <w:p w14:paraId="44F55A84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139E58AA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1.</w:t>
      </w:r>
      <w:r w:rsidRPr="00205BED">
        <w:rPr>
          <w:b/>
          <w:sz w:val="24"/>
          <w:szCs w:val="24"/>
        </w:rPr>
        <w:tab/>
        <w:t>LÆGEMIDLETS NAVN</w:t>
      </w:r>
    </w:p>
    <w:p w14:paraId="3CBC3C03" w14:textId="0B86B308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  <w:r w:rsidRPr="00205BED">
        <w:rPr>
          <w:sz w:val="24"/>
          <w:szCs w:val="24"/>
        </w:rPr>
        <w:tab/>
      </w:r>
      <w:proofErr w:type="spellStart"/>
      <w:r w:rsidR="0091486A" w:rsidRPr="00205BED">
        <w:rPr>
          <w:sz w:val="24"/>
          <w:szCs w:val="24"/>
        </w:rPr>
        <w:t>Nystimex</w:t>
      </w:r>
      <w:proofErr w:type="spellEnd"/>
    </w:p>
    <w:p w14:paraId="1C571928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  <w:r w:rsidRPr="00205BED">
        <w:rPr>
          <w:sz w:val="24"/>
          <w:szCs w:val="24"/>
        </w:rPr>
        <w:tab/>
      </w:r>
    </w:p>
    <w:p w14:paraId="546CD3BE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2.</w:t>
      </w:r>
      <w:r w:rsidRPr="00205BED">
        <w:rPr>
          <w:b/>
          <w:sz w:val="24"/>
          <w:szCs w:val="24"/>
        </w:rPr>
        <w:tab/>
        <w:t>KVALITATIV OG KVANTITATIV SAMMENSÆTNING</w:t>
      </w:r>
    </w:p>
    <w:p w14:paraId="17D590D1" w14:textId="31200A0E" w:rsidR="0091486A" w:rsidRPr="00205BED" w:rsidRDefault="0091486A" w:rsidP="00205BED">
      <w:pPr>
        <w:ind w:left="851"/>
        <w:rPr>
          <w:snapToGrid w:val="0"/>
          <w:color w:val="000000"/>
          <w:sz w:val="24"/>
          <w:szCs w:val="24"/>
          <w:lang w:eastAsia="da-DK"/>
        </w:rPr>
      </w:pPr>
      <w:r w:rsidRPr="00205BED">
        <w:rPr>
          <w:color w:val="000000"/>
          <w:sz w:val="24"/>
          <w:szCs w:val="24"/>
        </w:rPr>
        <w:t xml:space="preserve">1 ml indeholder 100.000 IE </w:t>
      </w:r>
      <w:proofErr w:type="spellStart"/>
      <w:r w:rsidRPr="00205BED">
        <w:rPr>
          <w:color w:val="000000"/>
          <w:sz w:val="24"/>
          <w:szCs w:val="24"/>
        </w:rPr>
        <w:t>nystatin</w:t>
      </w:r>
      <w:proofErr w:type="spellEnd"/>
      <w:r w:rsidRPr="00205BED">
        <w:rPr>
          <w:color w:val="000000"/>
          <w:sz w:val="24"/>
          <w:szCs w:val="24"/>
        </w:rPr>
        <w:t>.</w:t>
      </w:r>
    </w:p>
    <w:p w14:paraId="77215DCA" w14:textId="77777777" w:rsidR="0091486A" w:rsidRPr="00205BED" w:rsidRDefault="0091486A" w:rsidP="00205BED">
      <w:pPr>
        <w:ind w:left="851"/>
        <w:rPr>
          <w:snapToGrid w:val="0"/>
          <w:color w:val="000000"/>
          <w:sz w:val="24"/>
          <w:szCs w:val="24"/>
        </w:rPr>
      </w:pPr>
    </w:p>
    <w:p w14:paraId="5618139B" w14:textId="77777777" w:rsidR="0091486A" w:rsidRPr="00205BED" w:rsidRDefault="0091486A" w:rsidP="00205BED">
      <w:pPr>
        <w:tabs>
          <w:tab w:val="left" w:pos="1418"/>
        </w:tabs>
        <w:ind w:left="851"/>
        <w:rPr>
          <w:snapToGrid w:val="0"/>
          <w:color w:val="000000"/>
          <w:sz w:val="24"/>
          <w:szCs w:val="24"/>
        </w:rPr>
      </w:pPr>
      <w:r w:rsidRPr="00205BED">
        <w:rPr>
          <w:color w:val="000000"/>
          <w:sz w:val="24"/>
          <w:szCs w:val="24"/>
        </w:rPr>
        <w:t xml:space="preserve">Hjælpestoffer: </w:t>
      </w:r>
      <w:r w:rsidRPr="00205BED">
        <w:rPr>
          <w:color w:val="000000"/>
          <w:sz w:val="24"/>
          <w:szCs w:val="24"/>
        </w:rPr>
        <w:tab/>
      </w:r>
      <w:proofErr w:type="spellStart"/>
      <w:r w:rsidRPr="00205BED">
        <w:rPr>
          <w:color w:val="000000"/>
          <w:sz w:val="24"/>
          <w:szCs w:val="24"/>
        </w:rPr>
        <w:t>Methylparahydroxybenzoat</w:t>
      </w:r>
      <w:proofErr w:type="spellEnd"/>
      <w:r w:rsidRPr="00205BED">
        <w:rPr>
          <w:color w:val="000000"/>
          <w:sz w:val="24"/>
          <w:szCs w:val="24"/>
        </w:rPr>
        <w:t xml:space="preserve"> 1 mg</w:t>
      </w:r>
    </w:p>
    <w:p w14:paraId="74B4F9A5" w14:textId="01FAB076" w:rsidR="0091486A" w:rsidRPr="00205BED" w:rsidRDefault="00205BED" w:rsidP="00205BED">
      <w:pPr>
        <w:tabs>
          <w:tab w:val="left" w:pos="1418"/>
        </w:tabs>
        <w:ind w:left="851"/>
        <w:rPr>
          <w:snapToGrid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91486A" w:rsidRPr="00205BED">
        <w:rPr>
          <w:color w:val="000000"/>
          <w:sz w:val="24"/>
          <w:szCs w:val="24"/>
        </w:rPr>
        <w:t>Natrium 1,2 mg/ml svarende til 0,041 mmol/ml.</w:t>
      </w:r>
    </w:p>
    <w:p w14:paraId="5DDA3510" w14:textId="77777777" w:rsidR="0091486A" w:rsidRPr="00205BED" w:rsidRDefault="0091486A" w:rsidP="00205BED">
      <w:pPr>
        <w:ind w:left="851"/>
        <w:rPr>
          <w:snapToGrid w:val="0"/>
          <w:color w:val="000000"/>
          <w:sz w:val="24"/>
          <w:szCs w:val="24"/>
        </w:rPr>
      </w:pPr>
    </w:p>
    <w:p w14:paraId="1732860D" w14:textId="77777777" w:rsidR="0091486A" w:rsidRPr="00205BED" w:rsidRDefault="0091486A" w:rsidP="00205BED">
      <w:pPr>
        <w:ind w:left="851"/>
        <w:rPr>
          <w:sz w:val="24"/>
          <w:szCs w:val="24"/>
        </w:rPr>
      </w:pPr>
      <w:r w:rsidRPr="00205BED">
        <w:rPr>
          <w:sz w:val="24"/>
          <w:szCs w:val="24"/>
        </w:rPr>
        <w:t>Alle hjælpestoffer er anført under pkt. 6.1.</w:t>
      </w:r>
    </w:p>
    <w:p w14:paraId="2D6998DC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4719F12F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3.</w:t>
      </w:r>
      <w:r w:rsidRPr="00205BED">
        <w:rPr>
          <w:b/>
          <w:sz w:val="24"/>
          <w:szCs w:val="24"/>
        </w:rPr>
        <w:tab/>
        <w:t>LÆGEMIDDELFORM</w:t>
      </w:r>
    </w:p>
    <w:p w14:paraId="1CCAAAF5" w14:textId="717060D0" w:rsidR="0091486A" w:rsidRPr="00205BED" w:rsidRDefault="00B003BF" w:rsidP="00205BED">
      <w:pPr>
        <w:ind w:left="851" w:hanging="851"/>
        <w:rPr>
          <w:sz w:val="24"/>
          <w:szCs w:val="24"/>
          <w:lang w:eastAsia="da-DK"/>
        </w:rPr>
      </w:pPr>
      <w:r w:rsidRPr="00205BED">
        <w:rPr>
          <w:sz w:val="24"/>
          <w:szCs w:val="24"/>
        </w:rPr>
        <w:tab/>
      </w:r>
      <w:r w:rsidR="0091486A" w:rsidRPr="00205BED">
        <w:rPr>
          <w:sz w:val="24"/>
          <w:szCs w:val="24"/>
        </w:rPr>
        <w:t>Oral suspension</w:t>
      </w:r>
      <w:r w:rsidR="00052423">
        <w:rPr>
          <w:sz w:val="24"/>
          <w:szCs w:val="24"/>
        </w:rPr>
        <w:t xml:space="preserve"> (2care4)</w:t>
      </w:r>
      <w:r w:rsidR="00ED4B8A">
        <w:rPr>
          <w:sz w:val="24"/>
          <w:szCs w:val="24"/>
        </w:rPr>
        <w:t>.</w:t>
      </w:r>
    </w:p>
    <w:p w14:paraId="260D3CE4" w14:textId="77777777" w:rsidR="0091486A" w:rsidRPr="00205BED" w:rsidRDefault="0091486A" w:rsidP="00205BED">
      <w:pPr>
        <w:ind w:left="851" w:hanging="851"/>
        <w:rPr>
          <w:sz w:val="24"/>
          <w:szCs w:val="24"/>
        </w:rPr>
      </w:pPr>
    </w:p>
    <w:p w14:paraId="7F3EFB94" w14:textId="77777777" w:rsidR="00052423" w:rsidRDefault="00052423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14:paraId="0A4FCADF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4.</w:t>
      </w:r>
      <w:r w:rsidRPr="00205BED">
        <w:rPr>
          <w:b/>
          <w:sz w:val="24"/>
          <w:szCs w:val="24"/>
        </w:rPr>
        <w:tab/>
        <w:t>KLINISKE OPLYSNINGER</w:t>
      </w:r>
    </w:p>
    <w:p w14:paraId="32267938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14:paraId="090539A1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205BED">
        <w:rPr>
          <w:b/>
          <w:sz w:val="24"/>
          <w:szCs w:val="24"/>
        </w:rPr>
        <w:t>4.1</w:t>
      </w:r>
      <w:r w:rsidRPr="00205BED">
        <w:rPr>
          <w:b/>
          <w:sz w:val="24"/>
          <w:szCs w:val="24"/>
        </w:rPr>
        <w:tab/>
        <w:t>Terapeutiske indikationer</w:t>
      </w:r>
    </w:p>
    <w:p w14:paraId="1B5D8566" w14:textId="77777777" w:rsidR="0091486A" w:rsidRPr="00205BED" w:rsidRDefault="00B003BF" w:rsidP="00205BED">
      <w:pPr>
        <w:suppressAutoHyphens/>
        <w:ind w:left="851" w:hanging="851"/>
        <w:rPr>
          <w:snapToGrid w:val="0"/>
          <w:color w:val="000000"/>
          <w:sz w:val="24"/>
          <w:szCs w:val="24"/>
          <w:lang w:eastAsia="da-DK"/>
        </w:rPr>
      </w:pPr>
      <w:r w:rsidRPr="00205BED">
        <w:rPr>
          <w:sz w:val="24"/>
          <w:szCs w:val="24"/>
        </w:rPr>
        <w:tab/>
      </w:r>
      <w:r w:rsidR="0091486A" w:rsidRPr="00205BED">
        <w:rPr>
          <w:sz w:val="24"/>
          <w:szCs w:val="24"/>
        </w:rPr>
        <w:t xml:space="preserve">Oral og </w:t>
      </w:r>
      <w:proofErr w:type="spellStart"/>
      <w:r w:rsidR="0091486A" w:rsidRPr="00205BED">
        <w:rPr>
          <w:sz w:val="24"/>
          <w:szCs w:val="24"/>
        </w:rPr>
        <w:t>intestinal</w:t>
      </w:r>
      <w:proofErr w:type="spellEnd"/>
      <w:r w:rsidR="0091486A" w:rsidRPr="00205BED">
        <w:rPr>
          <w:sz w:val="24"/>
          <w:szCs w:val="24"/>
        </w:rPr>
        <w:t xml:space="preserve"> </w:t>
      </w:r>
      <w:proofErr w:type="spellStart"/>
      <w:r w:rsidR="0091486A" w:rsidRPr="00205BED">
        <w:rPr>
          <w:sz w:val="24"/>
          <w:szCs w:val="24"/>
        </w:rPr>
        <w:t>candidiasis</w:t>
      </w:r>
      <w:proofErr w:type="spellEnd"/>
      <w:r w:rsidR="0091486A" w:rsidRPr="00205BED">
        <w:rPr>
          <w:sz w:val="24"/>
          <w:szCs w:val="24"/>
        </w:rPr>
        <w:t>.</w:t>
      </w:r>
      <w:r w:rsidR="0091486A" w:rsidRPr="00205BED">
        <w:rPr>
          <w:color w:val="000000"/>
          <w:sz w:val="24"/>
          <w:szCs w:val="24"/>
        </w:rPr>
        <w:t xml:space="preserve"> Som </w:t>
      </w:r>
      <w:proofErr w:type="spellStart"/>
      <w:r w:rsidR="0091486A" w:rsidRPr="00205BED">
        <w:rPr>
          <w:color w:val="000000"/>
          <w:sz w:val="24"/>
          <w:szCs w:val="24"/>
        </w:rPr>
        <w:t>adjuverende</w:t>
      </w:r>
      <w:proofErr w:type="spellEnd"/>
      <w:r w:rsidR="0091486A" w:rsidRPr="00205BED">
        <w:rPr>
          <w:color w:val="000000"/>
          <w:sz w:val="24"/>
          <w:szCs w:val="24"/>
        </w:rPr>
        <w:t xml:space="preserve"> behandling sammen med andre lokale </w:t>
      </w:r>
      <w:proofErr w:type="spellStart"/>
      <w:r w:rsidR="0091486A" w:rsidRPr="00205BED">
        <w:rPr>
          <w:color w:val="000000"/>
          <w:sz w:val="24"/>
          <w:szCs w:val="24"/>
        </w:rPr>
        <w:t>nystatinpræparater</w:t>
      </w:r>
      <w:proofErr w:type="spellEnd"/>
      <w:r w:rsidR="0091486A" w:rsidRPr="00205BED">
        <w:rPr>
          <w:color w:val="000000"/>
          <w:sz w:val="24"/>
          <w:szCs w:val="24"/>
        </w:rPr>
        <w:t xml:space="preserve"> for at forebygge </w:t>
      </w:r>
      <w:proofErr w:type="spellStart"/>
      <w:r w:rsidR="0091486A" w:rsidRPr="00205BED">
        <w:rPr>
          <w:color w:val="000000"/>
          <w:sz w:val="24"/>
          <w:szCs w:val="24"/>
        </w:rPr>
        <w:t>reinfektion</w:t>
      </w:r>
      <w:proofErr w:type="spellEnd"/>
      <w:r w:rsidR="0091486A" w:rsidRPr="00205BED">
        <w:rPr>
          <w:color w:val="000000"/>
          <w:sz w:val="24"/>
          <w:szCs w:val="24"/>
        </w:rPr>
        <w:t>.</w:t>
      </w:r>
    </w:p>
    <w:p w14:paraId="686C025F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12A3E4F6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4.2</w:t>
      </w:r>
      <w:r w:rsidRPr="00205BED">
        <w:rPr>
          <w:b/>
          <w:sz w:val="24"/>
          <w:szCs w:val="24"/>
        </w:rPr>
        <w:tab/>
        <w:t>Dosering og indgivelsesmåde</w:t>
      </w:r>
    </w:p>
    <w:p w14:paraId="095052B9" w14:textId="77777777" w:rsidR="00205BED" w:rsidRDefault="00205BED" w:rsidP="00205BED">
      <w:pPr>
        <w:ind w:left="851" w:hanging="851"/>
        <w:rPr>
          <w:sz w:val="24"/>
          <w:szCs w:val="24"/>
        </w:rPr>
      </w:pPr>
    </w:p>
    <w:p w14:paraId="3B95BF6A" w14:textId="77777777" w:rsidR="0091486A" w:rsidRPr="00205BED" w:rsidRDefault="00B003BF" w:rsidP="00205BED">
      <w:pPr>
        <w:ind w:left="851" w:hanging="851"/>
        <w:rPr>
          <w:i/>
          <w:sz w:val="24"/>
          <w:szCs w:val="24"/>
          <w:u w:val="single"/>
          <w:lang w:eastAsia="da-DK"/>
        </w:rPr>
      </w:pPr>
      <w:r w:rsidRPr="00205BED">
        <w:rPr>
          <w:sz w:val="24"/>
          <w:szCs w:val="24"/>
        </w:rPr>
        <w:tab/>
      </w:r>
      <w:r w:rsidR="0091486A" w:rsidRPr="00205BED">
        <w:rPr>
          <w:i/>
          <w:sz w:val="24"/>
          <w:szCs w:val="24"/>
          <w:u w:val="single"/>
        </w:rPr>
        <w:t xml:space="preserve">Oral </w:t>
      </w:r>
      <w:proofErr w:type="spellStart"/>
      <w:r w:rsidR="0091486A" w:rsidRPr="00205BED">
        <w:rPr>
          <w:i/>
          <w:sz w:val="24"/>
          <w:szCs w:val="24"/>
          <w:u w:val="single"/>
        </w:rPr>
        <w:t>candidiasis</w:t>
      </w:r>
      <w:proofErr w:type="spellEnd"/>
      <w:r w:rsidR="0091486A" w:rsidRPr="00205BED">
        <w:rPr>
          <w:i/>
          <w:sz w:val="24"/>
          <w:szCs w:val="24"/>
          <w:u w:val="single"/>
        </w:rPr>
        <w:t>:</w:t>
      </w:r>
    </w:p>
    <w:p w14:paraId="7ADD1155" w14:textId="77777777" w:rsidR="0091486A" w:rsidRPr="00205BED" w:rsidRDefault="0091486A" w:rsidP="00205BED">
      <w:pPr>
        <w:ind w:left="851" w:hanging="851"/>
        <w:rPr>
          <w:sz w:val="24"/>
          <w:szCs w:val="24"/>
        </w:rPr>
      </w:pPr>
    </w:p>
    <w:p w14:paraId="0DEEE331" w14:textId="77777777" w:rsidR="0091486A" w:rsidRPr="00205BED" w:rsidRDefault="0091486A" w:rsidP="00205BED">
      <w:pPr>
        <w:ind w:left="851"/>
        <w:rPr>
          <w:sz w:val="24"/>
          <w:szCs w:val="24"/>
          <w:u w:val="single"/>
        </w:rPr>
      </w:pPr>
      <w:r w:rsidRPr="00205BED">
        <w:rPr>
          <w:sz w:val="24"/>
          <w:szCs w:val="24"/>
          <w:u w:val="single"/>
        </w:rPr>
        <w:t xml:space="preserve">Dosering </w:t>
      </w:r>
    </w:p>
    <w:p w14:paraId="208E8547" w14:textId="0F5399F1" w:rsidR="0091486A" w:rsidRPr="00205BED" w:rsidRDefault="0091486A" w:rsidP="00205BED">
      <w:pPr>
        <w:ind w:left="851"/>
        <w:rPr>
          <w:sz w:val="24"/>
          <w:szCs w:val="24"/>
        </w:rPr>
      </w:pPr>
      <w:r w:rsidRPr="00205BED">
        <w:rPr>
          <w:i/>
          <w:sz w:val="24"/>
          <w:szCs w:val="24"/>
        </w:rPr>
        <w:t>Voksne, børn og spædbørn:</w:t>
      </w:r>
      <w:r w:rsidRPr="00205BED">
        <w:rPr>
          <w:sz w:val="24"/>
          <w:szCs w:val="24"/>
        </w:rPr>
        <w:t xml:space="preserve"> 1 ml (100.000 IE) 4 gange </w:t>
      </w:r>
      <w:r w:rsidR="00A85C09">
        <w:rPr>
          <w:sz w:val="24"/>
          <w:szCs w:val="24"/>
        </w:rPr>
        <w:t>daglig</w:t>
      </w:r>
      <w:r w:rsidRPr="00205BED">
        <w:rPr>
          <w:sz w:val="24"/>
          <w:szCs w:val="24"/>
        </w:rPr>
        <w:t>. Om nødvendigt kan dosis øges.</w:t>
      </w:r>
    </w:p>
    <w:p w14:paraId="169BAA4B" w14:textId="77777777" w:rsidR="0091486A" w:rsidRPr="00205BED" w:rsidRDefault="0091486A" w:rsidP="00205BED">
      <w:pPr>
        <w:ind w:left="851"/>
        <w:rPr>
          <w:sz w:val="24"/>
          <w:szCs w:val="24"/>
        </w:rPr>
      </w:pPr>
    </w:p>
    <w:p w14:paraId="6CE0CD3E" w14:textId="77777777" w:rsidR="0091486A" w:rsidRPr="00205BED" w:rsidRDefault="0091486A" w:rsidP="00205BED">
      <w:pPr>
        <w:ind w:left="851"/>
        <w:rPr>
          <w:sz w:val="24"/>
          <w:szCs w:val="24"/>
          <w:u w:val="single"/>
        </w:rPr>
      </w:pPr>
      <w:r w:rsidRPr="00205BED">
        <w:rPr>
          <w:sz w:val="24"/>
          <w:szCs w:val="24"/>
          <w:u w:val="single"/>
        </w:rPr>
        <w:t>Behandlingsvarighed</w:t>
      </w:r>
    </w:p>
    <w:p w14:paraId="072EC71A" w14:textId="77777777" w:rsidR="0091486A" w:rsidRPr="00205BED" w:rsidRDefault="0091486A" w:rsidP="00205BED">
      <w:pPr>
        <w:ind w:left="851"/>
        <w:rPr>
          <w:sz w:val="24"/>
          <w:szCs w:val="24"/>
        </w:rPr>
      </w:pPr>
      <w:r w:rsidRPr="00205BED">
        <w:rPr>
          <w:sz w:val="24"/>
          <w:szCs w:val="24"/>
        </w:rPr>
        <w:t xml:space="preserve">Ved oral </w:t>
      </w:r>
      <w:proofErr w:type="spellStart"/>
      <w:r w:rsidRPr="00205BED">
        <w:rPr>
          <w:sz w:val="24"/>
          <w:szCs w:val="24"/>
        </w:rPr>
        <w:t>candidiasis</w:t>
      </w:r>
      <w:proofErr w:type="spellEnd"/>
      <w:r w:rsidRPr="00205BED">
        <w:rPr>
          <w:sz w:val="24"/>
          <w:szCs w:val="24"/>
        </w:rPr>
        <w:t xml:space="preserve"> er den sædvanlige behandlingsvarighed 1-2 uger. </w:t>
      </w:r>
    </w:p>
    <w:p w14:paraId="2898E26D" w14:textId="77777777" w:rsidR="0091486A" w:rsidRPr="00205BED" w:rsidRDefault="0091486A" w:rsidP="00205BED">
      <w:pPr>
        <w:ind w:left="851"/>
        <w:rPr>
          <w:sz w:val="24"/>
          <w:szCs w:val="24"/>
        </w:rPr>
      </w:pPr>
      <w:r w:rsidRPr="00205BED">
        <w:rPr>
          <w:sz w:val="24"/>
          <w:szCs w:val="24"/>
        </w:rPr>
        <w:lastRenderedPageBreak/>
        <w:t>Under særlige omstændigheder kan behandlingen forlænges til 4 til 6, for eksempel hos immunkompromitterede patienter.</w:t>
      </w:r>
    </w:p>
    <w:p w14:paraId="0C3328FF" w14:textId="77777777" w:rsidR="0091486A" w:rsidRPr="00205BED" w:rsidRDefault="0091486A" w:rsidP="00205BED">
      <w:pPr>
        <w:ind w:left="851"/>
        <w:rPr>
          <w:sz w:val="24"/>
          <w:szCs w:val="24"/>
        </w:rPr>
      </w:pPr>
    </w:p>
    <w:p w14:paraId="21B8775C" w14:textId="77777777" w:rsidR="0091486A" w:rsidRPr="00205BED" w:rsidRDefault="0091486A" w:rsidP="00205BED">
      <w:pPr>
        <w:ind w:left="851"/>
        <w:rPr>
          <w:sz w:val="24"/>
          <w:szCs w:val="24"/>
          <w:u w:val="single"/>
        </w:rPr>
      </w:pPr>
      <w:r w:rsidRPr="00205BED">
        <w:rPr>
          <w:sz w:val="24"/>
          <w:szCs w:val="24"/>
          <w:u w:val="single"/>
        </w:rPr>
        <w:t>Administration</w:t>
      </w:r>
    </w:p>
    <w:p w14:paraId="3CC7CB28" w14:textId="77777777" w:rsidR="0091486A" w:rsidRPr="00205BED" w:rsidRDefault="0091486A" w:rsidP="00205BED">
      <w:pPr>
        <w:ind w:left="851"/>
        <w:rPr>
          <w:sz w:val="24"/>
          <w:szCs w:val="24"/>
        </w:rPr>
      </w:pPr>
      <w:r w:rsidRPr="00205BED">
        <w:rPr>
          <w:sz w:val="24"/>
          <w:szCs w:val="24"/>
        </w:rPr>
        <w:t xml:space="preserve">Suspensionen bør tages efter måltiderne og beholdes i munden så længe som muligt, inden den synkes. Hos spædbørn kan suspensionen administreres dråbe for dråbe eller fortyndes i vand og pensles på læsionerne. </w:t>
      </w:r>
    </w:p>
    <w:p w14:paraId="57C982FD" w14:textId="77777777" w:rsidR="0091486A" w:rsidRPr="00205BED" w:rsidRDefault="0091486A" w:rsidP="00205BED">
      <w:pPr>
        <w:ind w:left="851"/>
        <w:rPr>
          <w:sz w:val="24"/>
          <w:szCs w:val="24"/>
        </w:rPr>
      </w:pPr>
      <w:r w:rsidRPr="00205BED">
        <w:rPr>
          <w:sz w:val="24"/>
          <w:szCs w:val="24"/>
        </w:rPr>
        <w:t>Flasken skal omrystes grundigt før brug.</w:t>
      </w:r>
    </w:p>
    <w:p w14:paraId="68B30C5C" w14:textId="77777777" w:rsidR="0091486A" w:rsidRPr="00205BED" w:rsidRDefault="0091486A" w:rsidP="00205BED">
      <w:pPr>
        <w:ind w:left="851"/>
        <w:rPr>
          <w:sz w:val="24"/>
          <w:szCs w:val="24"/>
        </w:rPr>
      </w:pPr>
    </w:p>
    <w:p w14:paraId="37EE0734" w14:textId="77777777" w:rsidR="0091486A" w:rsidRPr="00205BED" w:rsidRDefault="0091486A" w:rsidP="00205BED">
      <w:pPr>
        <w:ind w:left="851"/>
        <w:rPr>
          <w:i/>
          <w:sz w:val="24"/>
          <w:szCs w:val="24"/>
          <w:u w:val="single"/>
        </w:rPr>
      </w:pPr>
      <w:proofErr w:type="spellStart"/>
      <w:r w:rsidRPr="00205BED">
        <w:rPr>
          <w:i/>
          <w:sz w:val="24"/>
          <w:szCs w:val="24"/>
          <w:u w:val="single"/>
        </w:rPr>
        <w:t>Intestinal</w:t>
      </w:r>
      <w:proofErr w:type="spellEnd"/>
      <w:r w:rsidRPr="00205BED">
        <w:rPr>
          <w:i/>
          <w:sz w:val="24"/>
          <w:szCs w:val="24"/>
          <w:u w:val="single"/>
        </w:rPr>
        <w:t xml:space="preserve"> </w:t>
      </w:r>
      <w:proofErr w:type="spellStart"/>
      <w:r w:rsidRPr="00205BED">
        <w:rPr>
          <w:i/>
          <w:sz w:val="24"/>
          <w:szCs w:val="24"/>
          <w:u w:val="single"/>
        </w:rPr>
        <w:t>candidiasis</w:t>
      </w:r>
      <w:proofErr w:type="spellEnd"/>
    </w:p>
    <w:p w14:paraId="4197314E" w14:textId="77777777" w:rsidR="0091486A" w:rsidRPr="00205BED" w:rsidRDefault="0091486A" w:rsidP="00205BED">
      <w:pPr>
        <w:ind w:left="851"/>
        <w:rPr>
          <w:sz w:val="24"/>
          <w:szCs w:val="24"/>
        </w:rPr>
      </w:pPr>
    </w:p>
    <w:p w14:paraId="604B47E3" w14:textId="77777777" w:rsidR="0091486A" w:rsidRPr="00205BED" w:rsidRDefault="0091486A" w:rsidP="00205BED">
      <w:pPr>
        <w:ind w:left="851"/>
        <w:rPr>
          <w:sz w:val="24"/>
          <w:szCs w:val="24"/>
          <w:u w:val="single"/>
        </w:rPr>
      </w:pPr>
      <w:r w:rsidRPr="00205BED">
        <w:rPr>
          <w:sz w:val="24"/>
          <w:szCs w:val="24"/>
          <w:u w:val="single"/>
        </w:rPr>
        <w:t>Dosering</w:t>
      </w:r>
    </w:p>
    <w:p w14:paraId="4311C567" w14:textId="20E0FDCE" w:rsidR="0091486A" w:rsidRPr="00205BED" w:rsidRDefault="0091486A" w:rsidP="00205BED">
      <w:pPr>
        <w:ind w:left="851"/>
        <w:rPr>
          <w:sz w:val="24"/>
          <w:szCs w:val="24"/>
        </w:rPr>
      </w:pPr>
      <w:r w:rsidRPr="00205BED">
        <w:rPr>
          <w:i/>
          <w:sz w:val="24"/>
          <w:szCs w:val="24"/>
        </w:rPr>
        <w:t>Voksne:</w:t>
      </w:r>
      <w:r w:rsidRPr="00205BED">
        <w:rPr>
          <w:sz w:val="24"/>
          <w:szCs w:val="24"/>
        </w:rPr>
        <w:t xml:space="preserve"> 5 ml (500.000 IE) 3 gange </w:t>
      </w:r>
      <w:r w:rsidR="00A85C09">
        <w:rPr>
          <w:sz w:val="24"/>
          <w:szCs w:val="24"/>
        </w:rPr>
        <w:t>daglig</w:t>
      </w:r>
      <w:r w:rsidRPr="00205BED">
        <w:rPr>
          <w:sz w:val="24"/>
          <w:szCs w:val="24"/>
        </w:rPr>
        <w:t xml:space="preserve">. Om nødvendigt kan dosis fordobles. </w:t>
      </w:r>
    </w:p>
    <w:p w14:paraId="1BCED683" w14:textId="2378162A" w:rsidR="0091486A" w:rsidRPr="00205BED" w:rsidRDefault="0091486A" w:rsidP="00205BED">
      <w:pPr>
        <w:ind w:left="851"/>
        <w:rPr>
          <w:sz w:val="24"/>
          <w:szCs w:val="24"/>
        </w:rPr>
      </w:pPr>
      <w:r w:rsidRPr="00205BED">
        <w:rPr>
          <w:i/>
          <w:sz w:val="24"/>
          <w:szCs w:val="24"/>
        </w:rPr>
        <w:t>Børn og spædbørn:</w:t>
      </w:r>
      <w:r w:rsidRPr="00205BED">
        <w:rPr>
          <w:sz w:val="24"/>
          <w:szCs w:val="24"/>
        </w:rPr>
        <w:t xml:space="preserve"> 1 ml (100.000 IE) 4 gange </w:t>
      </w:r>
      <w:r w:rsidR="00A85C09">
        <w:rPr>
          <w:sz w:val="24"/>
          <w:szCs w:val="24"/>
        </w:rPr>
        <w:t>daglig</w:t>
      </w:r>
      <w:r w:rsidRPr="00205BED">
        <w:rPr>
          <w:sz w:val="24"/>
          <w:szCs w:val="24"/>
        </w:rPr>
        <w:t>.</w:t>
      </w:r>
    </w:p>
    <w:p w14:paraId="127B1F40" w14:textId="77777777" w:rsidR="00205BED" w:rsidRDefault="00205BED" w:rsidP="00205BED">
      <w:pPr>
        <w:ind w:left="851"/>
        <w:rPr>
          <w:sz w:val="24"/>
          <w:szCs w:val="24"/>
          <w:u w:val="single"/>
        </w:rPr>
      </w:pPr>
    </w:p>
    <w:p w14:paraId="79DDF628" w14:textId="77777777" w:rsidR="0091486A" w:rsidRPr="00205BED" w:rsidRDefault="0091486A" w:rsidP="00205BED">
      <w:pPr>
        <w:ind w:left="851"/>
        <w:rPr>
          <w:sz w:val="24"/>
          <w:szCs w:val="24"/>
          <w:u w:val="single"/>
        </w:rPr>
      </w:pPr>
      <w:r w:rsidRPr="00205BED">
        <w:rPr>
          <w:sz w:val="24"/>
          <w:szCs w:val="24"/>
          <w:u w:val="single"/>
        </w:rPr>
        <w:t xml:space="preserve">Behandlingsvarighed </w:t>
      </w:r>
    </w:p>
    <w:p w14:paraId="533964C0" w14:textId="77777777" w:rsidR="0091486A" w:rsidRPr="00205BED" w:rsidRDefault="0091486A" w:rsidP="00205BED">
      <w:pPr>
        <w:ind w:left="851"/>
        <w:rPr>
          <w:sz w:val="24"/>
          <w:szCs w:val="24"/>
        </w:rPr>
      </w:pPr>
      <w:r w:rsidRPr="00205BED">
        <w:rPr>
          <w:sz w:val="24"/>
          <w:szCs w:val="24"/>
        </w:rPr>
        <w:t>For at forhindre recidiv bør behandlingen fortsættes i 2-3 dage efter symptomophør.</w:t>
      </w:r>
    </w:p>
    <w:p w14:paraId="5BDAFC48" w14:textId="77777777" w:rsidR="0091486A" w:rsidRPr="00205BED" w:rsidRDefault="0091486A" w:rsidP="00205BED">
      <w:pPr>
        <w:ind w:left="851"/>
        <w:rPr>
          <w:sz w:val="24"/>
          <w:szCs w:val="24"/>
        </w:rPr>
      </w:pPr>
      <w:r w:rsidRPr="00205BED">
        <w:rPr>
          <w:sz w:val="24"/>
          <w:szCs w:val="24"/>
        </w:rPr>
        <w:t xml:space="preserve">Ved kombinationsbrug med antibiotika bør </w:t>
      </w:r>
      <w:proofErr w:type="spellStart"/>
      <w:r w:rsidRPr="00205BED">
        <w:rPr>
          <w:sz w:val="24"/>
          <w:szCs w:val="24"/>
        </w:rPr>
        <w:t>nystatinbehandlingen</w:t>
      </w:r>
      <w:proofErr w:type="spellEnd"/>
      <w:r w:rsidRPr="00205BED">
        <w:rPr>
          <w:sz w:val="24"/>
          <w:szCs w:val="24"/>
        </w:rPr>
        <w:t xml:space="preserve"> gives i mindst lige så lang tid som det pågældende antibiotikum.</w:t>
      </w:r>
    </w:p>
    <w:p w14:paraId="7B0D2A86" w14:textId="77777777" w:rsidR="0091486A" w:rsidRPr="00205BED" w:rsidRDefault="0091486A" w:rsidP="00205BED">
      <w:pPr>
        <w:ind w:left="851"/>
        <w:rPr>
          <w:sz w:val="24"/>
          <w:szCs w:val="24"/>
        </w:rPr>
      </w:pPr>
    </w:p>
    <w:p w14:paraId="432544C0" w14:textId="77777777" w:rsidR="0091486A" w:rsidRPr="00205BED" w:rsidRDefault="0091486A" w:rsidP="00205BED">
      <w:pPr>
        <w:ind w:left="851"/>
        <w:rPr>
          <w:sz w:val="24"/>
          <w:szCs w:val="24"/>
          <w:u w:val="single"/>
        </w:rPr>
      </w:pPr>
      <w:r w:rsidRPr="00205BED">
        <w:rPr>
          <w:sz w:val="24"/>
          <w:szCs w:val="24"/>
          <w:u w:val="single"/>
        </w:rPr>
        <w:t>Administration</w:t>
      </w:r>
    </w:p>
    <w:p w14:paraId="07CB4D26" w14:textId="77777777" w:rsidR="0091486A" w:rsidRPr="00205BED" w:rsidRDefault="0091486A" w:rsidP="00205BED">
      <w:pPr>
        <w:ind w:left="851"/>
        <w:rPr>
          <w:sz w:val="24"/>
          <w:szCs w:val="24"/>
        </w:rPr>
      </w:pPr>
      <w:r w:rsidRPr="00205BED">
        <w:rPr>
          <w:sz w:val="24"/>
          <w:szCs w:val="24"/>
        </w:rPr>
        <w:t xml:space="preserve">Suspension skal synkes med det samme. </w:t>
      </w:r>
    </w:p>
    <w:p w14:paraId="1D5B64A7" w14:textId="77777777" w:rsidR="0091486A" w:rsidRPr="00205BED" w:rsidRDefault="0091486A" w:rsidP="00205BED">
      <w:pPr>
        <w:ind w:left="851"/>
        <w:rPr>
          <w:sz w:val="24"/>
          <w:szCs w:val="24"/>
        </w:rPr>
      </w:pPr>
      <w:r w:rsidRPr="00205BED">
        <w:rPr>
          <w:sz w:val="24"/>
          <w:szCs w:val="24"/>
        </w:rPr>
        <w:t>Flasken skal omrystes grundigt før brug.</w:t>
      </w:r>
    </w:p>
    <w:p w14:paraId="140F5579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2B4EC51F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4.3</w:t>
      </w:r>
      <w:r w:rsidRPr="00205BED">
        <w:rPr>
          <w:b/>
          <w:sz w:val="24"/>
          <w:szCs w:val="24"/>
        </w:rPr>
        <w:tab/>
        <w:t>Kontraindikationer</w:t>
      </w:r>
    </w:p>
    <w:p w14:paraId="76CBE21C" w14:textId="77777777" w:rsidR="0091486A" w:rsidRPr="00205BED" w:rsidRDefault="00B003BF" w:rsidP="00205BED">
      <w:pPr>
        <w:ind w:left="851" w:hanging="851"/>
        <w:rPr>
          <w:sz w:val="24"/>
          <w:szCs w:val="24"/>
          <w:lang w:eastAsia="da-DK"/>
        </w:rPr>
      </w:pPr>
      <w:r w:rsidRPr="00205BED">
        <w:rPr>
          <w:sz w:val="24"/>
          <w:szCs w:val="24"/>
        </w:rPr>
        <w:tab/>
      </w:r>
      <w:r w:rsidR="0091486A" w:rsidRPr="00205BED">
        <w:rPr>
          <w:sz w:val="24"/>
          <w:szCs w:val="24"/>
        </w:rPr>
        <w:t>Overfølsomhed over for det aktive stof eller over for et eller flere af hjælpestofferne anført i pkt. 6.1.</w:t>
      </w:r>
    </w:p>
    <w:p w14:paraId="290BCF99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4527EB83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4.4</w:t>
      </w:r>
      <w:r w:rsidRPr="00205BED">
        <w:rPr>
          <w:b/>
          <w:sz w:val="24"/>
          <w:szCs w:val="24"/>
        </w:rPr>
        <w:tab/>
        <w:t>Særlige advarsler og forsigtighedsregler vedrørende brugen</w:t>
      </w:r>
    </w:p>
    <w:p w14:paraId="0128E4D6" w14:textId="77777777" w:rsidR="0091486A" w:rsidRPr="00205BED" w:rsidRDefault="00B003BF" w:rsidP="00205BED">
      <w:pPr>
        <w:ind w:left="851" w:hanging="851"/>
        <w:rPr>
          <w:sz w:val="24"/>
          <w:szCs w:val="24"/>
          <w:lang w:eastAsia="da-DK"/>
        </w:rPr>
      </w:pPr>
      <w:r w:rsidRPr="00205BED">
        <w:rPr>
          <w:sz w:val="24"/>
          <w:szCs w:val="24"/>
        </w:rPr>
        <w:tab/>
      </w:r>
      <w:proofErr w:type="spellStart"/>
      <w:r w:rsidR="0091486A" w:rsidRPr="00205BED">
        <w:rPr>
          <w:sz w:val="24"/>
          <w:szCs w:val="24"/>
        </w:rPr>
        <w:t>Nystimex</w:t>
      </w:r>
      <w:proofErr w:type="spellEnd"/>
      <w:r w:rsidR="0091486A" w:rsidRPr="00205BED">
        <w:rPr>
          <w:sz w:val="24"/>
          <w:szCs w:val="24"/>
        </w:rPr>
        <w:t xml:space="preserve"> oral suspension bør ikke anvendes til behandling af systemiske </w:t>
      </w:r>
      <w:proofErr w:type="spellStart"/>
      <w:r w:rsidR="0091486A" w:rsidRPr="00205BED">
        <w:rPr>
          <w:sz w:val="24"/>
          <w:szCs w:val="24"/>
        </w:rPr>
        <w:t>mykoser</w:t>
      </w:r>
      <w:proofErr w:type="spellEnd"/>
      <w:r w:rsidR="0091486A" w:rsidRPr="00205BED">
        <w:rPr>
          <w:sz w:val="24"/>
          <w:szCs w:val="24"/>
        </w:rPr>
        <w:t>.</w:t>
      </w:r>
    </w:p>
    <w:p w14:paraId="18DFA1D6" w14:textId="77777777" w:rsidR="0091486A" w:rsidRPr="00205BED" w:rsidRDefault="0091486A" w:rsidP="00205BED">
      <w:pPr>
        <w:ind w:left="851"/>
        <w:rPr>
          <w:sz w:val="24"/>
          <w:szCs w:val="24"/>
        </w:rPr>
      </w:pPr>
      <w:r w:rsidRPr="00205BED">
        <w:rPr>
          <w:sz w:val="24"/>
          <w:szCs w:val="24"/>
        </w:rPr>
        <w:t>Hvis der opstår irritation eller overfølsomhedsreaktioner, bør behandlingen seponeres.</w:t>
      </w:r>
    </w:p>
    <w:p w14:paraId="56505C25" w14:textId="77777777" w:rsidR="0091486A" w:rsidRPr="00205BED" w:rsidRDefault="0091486A" w:rsidP="00205BED">
      <w:pPr>
        <w:ind w:left="851" w:hanging="851"/>
        <w:rPr>
          <w:sz w:val="24"/>
          <w:szCs w:val="24"/>
        </w:rPr>
      </w:pPr>
    </w:p>
    <w:p w14:paraId="63EBCEC5" w14:textId="77777777" w:rsidR="0091486A" w:rsidRPr="00205BED" w:rsidRDefault="0091486A" w:rsidP="00205BED">
      <w:pPr>
        <w:ind w:left="851"/>
        <w:rPr>
          <w:sz w:val="24"/>
          <w:szCs w:val="24"/>
        </w:rPr>
      </w:pPr>
      <w:proofErr w:type="spellStart"/>
      <w:r w:rsidRPr="00205BED">
        <w:rPr>
          <w:sz w:val="24"/>
          <w:szCs w:val="24"/>
        </w:rPr>
        <w:t>Nystimex</w:t>
      </w:r>
      <w:proofErr w:type="spellEnd"/>
      <w:r w:rsidRPr="00205BED">
        <w:rPr>
          <w:sz w:val="24"/>
          <w:szCs w:val="24"/>
        </w:rPr>
        <w:t xml:space="preserve"> indeholder </w:t>
      </w:r>
      <w:proofErr w:type="spellStart"/>
      <w:r w:rsidRPr="00205BED">
        <w:rPr>
          <w:sz w:val="24"/>
          <w:szCs w:val="24"/>
        </w:rPr>
        <w:t>methylparahydroxybenzoat</w:t>
      </w:r>
      <w:proofErr w:type="spellEnd"/>
      <w:r w:rsidRPr="00205BED">
        <w:rPr>
          <w:sz w:val="24"/>
          <w:szCs w:val="24"/>
        </w:rPr>
        <w:t>. Kan forårsage allergiske reaktioner (kan optræde efter behandlingen).</w:t>
      </w:r>
    </w:p>
    <w:p w14:paraId="68683D1F" w14:textId="77777777" w:rsidR="0091486A" w:rsidRPr="00205BED" w:rsidRDefault="0091486A" w:rsidP="00205BED">
      <w:pPr>
        <w:ind w:left="851" w:hanging="851"/>
        <w:rPr>
          <w:sz w:val="24"/>
          <w:szCs w:val="24"/>
        </w:rPr>
      </w:pPr>
    </w:p>
    <w:p w14:paraId="01FDBB23" w14:textId="77777777" w:rsidR="0091486A" w:rsidRPr="00205BED" w:rsidRDefault="0091486A" w:rsidP="00205BED">
      <w:pPr>
        <w:ind w:left="851"/>
        <w:rPr>
          <w:sz w:val="24"/>
          <w:szCs w:val="24"/>
        </w:rPr>
      </w:pPr>
      <w:proofErr w:type="spellStart"/>
      <w:r w:rsidRPr="00205BED">
        <w:rPr>
          <w:sz w:val="24"/>
          <w:szCs w:val="24"/>
        </w:rPr>
        <w:t>Nystimex</w:t>
      </w:r>
      <w:proofErr w:type="spellEnd"/>
      <w:r w:rsidRPr="00205BED">
        <w:rPr>
          <w:sz w:val="24"/>
          <w:szCs w:val="24"/>
        </w:rPr>
        <w:t xml:space="preserve"> er i det væsentlige natriumfri.</w:t>
      </w:r>
    </w:p>
    <w:p w14:paraId="5FF1976D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524B275C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4.5</w:t>
      </w:r>
      <w:r w:rsidRPr="00205BED">
        <w:rPr>
          <w:b/>
          <w:sz w:val="24"/>
          <w:szCs w:val="24"/>
        </w:rPr>
        <w:tab/>
        <w:t>Interaktion med andre lægemidler og andre former for interaktion</w:t>
      </w:r>
    </w:p>
    <w:p w14:paraId="2C7FD2CC" w14:textId="77777777" w:rsidR="0091486A" w:rsidRPr="00205BED" w:rsidRDefault="00B003BF" w:rsidP="00205BED">
      <w:pPr>
        <w:ind w:left="851" w:hanging="851"/>
        <w:rPr>
          <w:sz w:val="24"/>
          <w:szCs w:val="24"/>
          <w:lang w:eastAsia="da-DK"/>
        </w:rPr>
      </w:pPr>
      <w:r w:rsidRPr="00205BED">
        <w:rPr>
          <w:sz w:val="24"/>
          <w:szCs w:val="24"/>
        </w:rPr>
        <w:tab/>
      </w:r>
      <w:r w:rsidR="0091486A" w:rsidRPr="00205BED">
        <w:rPr>
          <w:sz w:val="24"/>
          <w:szCs w:val="24"/>
        </w:rPr>
        <w:t>Ingen kendte.</w:t>
      </w:r>
    </w:p>
    <w:p w14:paraId="1930189C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652CDE0E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4.6</w:t>
      </w:r>
      <w:r w:rsidRPr="00205BED">
        <w:rPr>
          <w:b/>
          <w:sz w:val="24"/>
          <w:szCs w:val="24"/>
        </w:rPr>
        <w:tab/>
        <w:t>Graviditet og amning</w:t>
      </w:r>
    </w:p>
    <w:p w14:paraId="56B6472A" w14:textId="77777777" w:rsidR="0091486A" w:rsidRDefault="00B003BF" w:rsidP="00205BED">
      <w:pPr>
        <w:ind w:left="851" w:hanging="851"/>
        <w:rPr>
          <w:sz w:val="24"/>
          <w:szCs w:val="24"/>
        </w:rPr>
      </w:pPr>
      <w:r w:rsidRPr="00205BED">
        <w:rPr>
          <w:sz w:val="24"/>
          <w:szCs w:val="24"/>
        </w:rPr>
        <w:tab/>
      </w:r>
    </w:p>
    <w:p w14:paraId="658DBA76" w14:textId="77777777" w:rsidR="002B5773" w:rsidRPr="00205BED" w:rsidRDefault="002B5773" w:rsidP="002B5773">
      <w:pPr>
        <w:tabs>
          <w:tab w:val="left" w:pos="1304"/>
        </w:tabs>
        <w:ind w:left="851"/>
        <w:rPr>
          <w:sz w:val="24"/>
          <w:szCs w:val="24"/>
          <w:u w:val="single"/>
        </w:rPr>
      </w:pPr>
      <w:r w:rsidRPr="00205BED">
        <w:rPr>
          <w:sz w:val="24"/>
          <w:szCs w:val="24"/>
          <w:u w:val="single"/>
        </w:rPr>
        <w:t>Fertilitet</w:t>
      </w:r>
    </w:p>
    <w:p w14:paraId="09373010" w14:textId="77777777" w:rsidR="002B5773" w:rsidRPr="00205BED" w:rsidRDefault="002B5773" w:rsidP="002B5773">
      <w:pPr>
        <w:tabs>
          <w:tab w:val="left" w:pos="1304"/>
        </w:tabs>
        <w:ind w:left="851"/>
        <w:rPr>
          <w:sz w:val="24"/>
          <w:szCs w:val="24"/>
        </w:rPr>
      </w:pPr>
      <w:r w:rsidRPr="00205BED">
        <w:rPr>
          <w:sz w:val="24"/>
          <w:szCs w:val="24"/>
        </w:rPr>
        <w:t xml:space="preserve">Der foreligger ingen kliniske data vedrørende </w:t>
      </w:r>
      <w:proofErr w:type="spellStart"/>
      <w:r w:rsidRPr="00205BED">
        <w:rPr>
          <w:sz w:val="24"/>
          <w:szCs w:val="24"/>
        </w:rPr>
        <w:t>nystatins</w:t>
      </w:r>
      <w:proofErr w:type="spellEnd"/>
      <w:r w:rsidRPr="00205BED">
        <w:rPr>
          <w:sz w:val="24"/>
          <w:szCs w:val="24"/>
        </w:rPr>
        <w:t xml:space="preserve"> indvirkning på fertiliteten. I et studie med rotter blev der ikke set nogen negative virkninger på fertiliteten (se pkt. 5.3).</w:t>
      </w:r>
    </w:p>
    <w:p w14:paraId="268C0AF9" w14:textId="77777777" w:rsidR="002B5773" w:rsidRPr="00205BED" w:rsidRDefault="002B5773" w:rsidP="00205BED">
      <w:pPr>
        <w:ind w:left="851" w:hanging="851"/>
        <w:rPr>
          <w:i/>
          <w:sz w:val="24"/>
          <w:szCs w:val="24"/>
          <w:lang w:eastAsia="da-DK"/>
        </w:rPr>
      </w:pPr>
    </w:p>
    <w:p w14:paraId="29D4F2F2" w14:textId="7A4BACE8" w:rsidR="0091486A" w:rsidRPr="00205BED" w:rsidRDefault="0091486A" w:rsidP="00205BED">
      <w:pPr>
        <w:tabs>
          <w:tab w:val="left" w:pos="1304"/>
        </w:tabs>
        <w:ind w:left="851"/>
        <w:rPr>
          <w:sz w:val="24"/>
          <w:szCs w:val="24"/>
          <w:u w:val="single"/>
        </w:rPr>
      </w:pPr>
      <w:r w:rsidRPr="00205BED">
        <w:rPr>
          <w:sz w:val="24"/>
          <w:szCs w:val="24"/>
          <w:u w:val="single"/>
        </w:rPr>
        <w:t>Graviditet</w:t>
      </w:r>
    </w:p>
    <w:p w14:paraId="6978FBD6" w14:textId="77777777" w:rsidR="0091486A" w:rsidRPr="00205BED" w:rsidRDefault="0091486A" w:rsidP="00205BED">
      <w:pPr>
        <w:tabs>
          <w:tab w:val="left" w:pos="1304"/>
        </w:tabs>
        <w:ind w:left="851"/>
        <w:rPr>
          <w:sz w:val="24"/>
          <w:szCs w:val="24"/>
        </w:rPr>
      </w:pPr>
      <w:r w:rsidRPr="00205BED">
        <w:rPr>
          <w:sz w:val="24"/>
          <w:szCs w:val="24"/>
        </w:rPr>
        <w:t xml:space="preserve">Det er ukendt, om </w:t>
      </w:r>
      <w:proofErr w:type="spellStart"/>
      <w:r w:rsidRPr="00205BED">
        <w:rPr>
          <w:sz w:val="24"/>
          <w:szCs w:val="24"/>
        </w:rPr>
        <w:t>nystatin</w:t>
      </w:r>
      <w:proofErr w:type="spellEnd"/>
      <w:r w:rsidRPr="00205BED">
        <w:rPr>
          <w:sz w:val="24"/>
          <w:szCs w:val="24"/>
        </w:rPr>
        <w:t xml:space="preserve"> kan forårsage fosterskader, hvis det administreres til en gravid kvinde. Dyreforsøg har påvist reproduktionstoksicitet (se pkt. 5.3). </w:t>
      </w:r>
      <w:proofErr w:type="spellStart"/>
      <w:r w:rsidRPr="00205BED">
        <w:rPr>
          <w:sz w:val="24"/>
          <w:szCs w:val="24"/>
        </w:rPr>
        <w:t>Nystatin</w:t>
      </w:r>
      <w:proofErr w:type="spellEnd"/>
      <w:r w:rsidRPr="00205BED">
        <w:rPr>
          <w:sz w:val="24"/>
          <w:szCs w:val="24"/>
        </w:rPr>
        <w:t xml:space="preserve"> bør kun ordineres til gravide, hvis den potentielle gavnlige virkning for moderen overstiger den potentielle risiko for fostret.</w:t>
      </w:r>
    </w:p>
    <w:p w14:paraId="61623D59" w14:textId="77777777" w:rsidR="0091486A" w:rsidRPr="00205BED" w:rsidRDefault="0091486A" w:rsidP="00205BED">
      <w:pPr>
        <w:tabs>
          <w:tab w:val="left" w:pos="1304"/>
        </w:tabs>
        <w:ind w:left="851"/>
        <w:rPr>
          <w:sz w:val="24"/>
          <w:szCs w:val="24"/>
        </w:rPr>
      </w:pPr>
    </w:p>
    <w:p w14:paraId="10D85BCC" w14:textId="77777777" w:rsidR="0091486A" w:rsidRPr="00205BED" w:rsidRDefault="0091486A" w:rsidP="00205BED">
      <w:pPr>
        <w:tabs>
          <w:tab w:val="left" w:pos="1304"/>
        </w:tabs>
        <w:ind w:left="851"/>
        <w:rPr>
          <w:sz w:val="24"/>
          <w:szCs w:val="24"/>
          <w:u w:val="single"/>
        </w:rPr>
      </w:pPr>
      <w:r w:rsidRPr="00205BED">
        <w:rPr>
          <w:sz w:val="24"/>
          <w:szCs w:val="24"/>
          <w:u w:val="single"/>
        </w:rPr>
        <w:t>Amning</w:t>
      </w:r>
    </w:p>
    <w:p w14:paraId="57465A21" w14:textId="77777777" w:rsidR="0091486A" w:rsidRPr="00205BED" w:rsidRDefault="0091486A" w:rsidP="00205BED">
      <w:pPr>
        <w:tabs>
          <w:tab w:val="left" w:pos="1304"/>
        </w:tabs>
        <w:ind w:left="851"/>
        <w:rPr>
          <w:sz w:val="24"/>
          <w:szCs w:val="24"/>
        </w:rPr>
      </w:pPr>
      <w:r w:rsidRPr="00205BED">
        <w:rPr>
          <w:sz w:val="24"/>
          <w:szCs w:val="24"/>
        </w:rPr>
        <w:t xml:space="preserve">Det er ukendt, om </w:t>
      </w:r>
      <w:proofErr w:type="spellStart"/>
      <w:r w:rsidRPr="00205BED">
        <w:rPr>
          <w:sz w:val="24"/>
          <w:szCs w:val="24"/>
        </w:rPr>
        <w:t>nystatin</w:t>
      </w:r>
      <w:proofErr w:type="spellEnd"/>
      <w:r w:rsidRPr="00205BED">
        <w:rPr>
          <w:sz w:val="24"/>
          <w:szCs w:val="24"/>
        </w:rPr>
        <w:t xml:space="preserve"> udskilles i human mælk. Selvom den </w:t>
      </w:r>
      <w:proofErr w:type="spellStart"/>
      <w:r w:rsidRPr="00205BED">
        <w:rPr>
          <w:sz w:val="24"/>
          <w:szCs w:val="24"/>
        </w:rPr>
        <w:t>gastrointestinale</w:t>
      </w:r>
      <w:proofErr w:type="spellEnd"/>
      <w:r w:rsidRPr="00205BED">
        <w:rPr>
          <w:sz w:val="24"/>
          <w:szCs w:val="24"/>
        </w:rPr>
        <w:t xml:space="preserve"> absorption er ubetydelig, bør der udvises forsigtighed ved ordination af </w:t>
      </w:r>
      <w:proofErr w:type="spellStart"/>
      <w:r w:rsidRPr="00205BED">
        <w:rPr>
          <w:sz w:val="24"/>
          <w:szCs w:val="24"/>
        </w:rPr>
        <w:t>nystatin</w:t>
      </w:r>
      <w:proofErr w:type="spellEnd"/>
      <w:r w:rsidRPr="00205BED">
        <w:rPr>
          <w:sz w:val="24"/>
          <w:szCs w:val="24"/>
        </w:rPr>
        <w:t xml:space="preserve"> til ammende kvinder.</w:t>
      </w:r>
    </w:p>
    <w:p w14:paraId="5ACFC094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6F1BC8CD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4.7</w:t>
      </w:r>
      <w:r w:rsidRPr="00205BED">
        <w:rPr>
          <w:b/>
          <w:sz w:val="24"/>
          <w:szCs w:val="24"/>
        </w:rPr>
        <w:tab/>
        <w:t>Virkninger på evnen til at føre motorkøretøj eller betjene maskiner</w:t>
      </w:r>
    </w:p>
    <w:p w14:paraId="401DE91D" w14:textId="2211D785" w:rsidR="0091486A" w:rsidRDefault="00B003BF" w:rsidP="00205BED">
      <w:pPr>
        <w:ind w:left="851" w:hanging="851"/>
        <w:rPr>
          <w:sz w:val="24"/>
          <w:szCs w:val="24"/>
        </w:rPr>
      </w:pPr>
      <w:r w:rsidRPr="00205BED">
        <w:rPr>
          <w:sz w:val="24"/>
          <w:szCs w:val="24"/>
        </w:rPr>
        <w:tab/>
      </w:r>
      <w:r w:rsidR="00205BED">
        <w:rPr>
          <w:sz w:val="24"/>
          <w:szCs w:val="24"/>
        </w:rPr>
        <w:t>Ikke mærkning.</w:t>
      </w:r>
    </w:p>
    <w:p w14:paraId="5684C7DD" w14:textId="77777777" w:rsidR="0091486A" w:rsidRPr="00205BED" w:rsidRDefault="0091486A" w:rsidP="00205BED">
      <w:pPr>
        <w:ind w:left="851"/>
        <w:rPr>
          <w:sz w:val="24"/>
          <w:szCs w:val="24"/>
        </w:rPr>
      </w:pPr>
      <w:proofErr w:type="spellStart"/>
      <w:r w:rsidRPr="00205BED">
        <w:rPr>
          <w:sz w:val="24"/>
          <w:szCs w:val="24"/>
        </w:rPr>
        <w:t>Nystatin</w:t>
      </w:r>
      <w:proofErr w:type="spellEnd"/>
      <w:r w:rsidRPr="00205BED">
        <w:rPr>
          <w:sz w:val="24"/>
          <w:szCs w:val="24"/>
        </w:rPr>
        <w:t xml:space="preserve"> forventes ikke at påvirke evnen til at føre motorkøretøj og betjene maskiner.</w:t>
      </w:r>
    </w:p>
    <w:p w14:paraId="6D0D52F9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3334FC9D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4.8</w:t>
      </w:r>
      <w:r w:rsidRPr="00205BED">
        <w:rPr>
          <w:b/>
          <w:sz w:val="24"/>
          <w:szCs w:val="24"/>
        </w:rPr>
        <w:tab/>
        <w:t>Bivirkninger</w:t>
      </w:r>
    </w:p>
    <w:p w14:paraId="10F728CB" w14:textId="77777777" w:rsidR="0091486A" w:rsidRPr="00205BED" w:rsidRDefault="0091486A" w:rsidP="00205BED">
      <w:pPr>
        <w:ind w:left="851"/>
        <w:rPr>
          <w:sz w:val="24"/>
          <w:szCs w:val="24"/>
        </w:rPr>
      </w:pPr>
      <w:r w:rsidRPr="00205BED">
        <w:rPr>
          <w:sz w:val="24"/>
          <w:szCs w:val="24"/>
        </w:rPr>
        <w:t xml:space="preserve">Bivirkninger er angivet nedenfor efter systemorganklasse og absolut hyppighed. Hyppighederne er defineret som: Meget almindelig (≥ 1/10), almindelig (≥ 1/100 til </w:t>
      </w:r>
      <w:proofErr w:type="gramStart"/>
      <w:r w:rsidRPr="00205BED">
        <w:rPr>
          <w:sz w:val="24"/>
          <w:szCs w:val="24"/>
        </w:rPr>
        <w:t>&lt; 1</w:t>
      </w:r>
      <w:proofErr w:type="gramEnd"/>
      <w:r w:rsidRPr="00205BED">
        <w:rPr>
          <w:sz w:val="24"/>
          <w:szCs w:val="24"/>
        </w:rPr>
        <w:t>/10), ikke almindelig (≥ 1/1.000 til &lt; 1/100), sjælden (≥ 1/10.000 til &lt; 1/1.000), meget sjælden (&lt; 1/10.000), ikke kendt (kan ikke estimeres ud fra forhåndenværende data).</w:t>
      </w:r>
    </w:p>
    <w:p w14:paraId="74E4A4D2" w14:textId="77777777" w:rsidR="0091486A" w:rsidRPr="00205BED" w:rsidRDefault="0091486A" w:rsidP="00205BED">
      <w:pPr>
        <w:ind w:left="851" w:hanging="851"/>
        <w:rPr>
          <w:sz w:val="24"/>
          <w:szCs w:val="24"/>
        </w:rPr>
      </w:pPr>
    </w:p>
    <w:tbl>
      <w:tblPr>
        <w:tblW w:w="4513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3208"/>
        <w:gridCol w:w="3210"/>
      </w:tblGrid>
      <w:tr w:rsidR="0091486A" w:rsidRPr="00205BED" w14:paraId="725AC233" w14:textId="77777777" w:rsidTr="00205BED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0B85" w14:textId="77777777" w:rsidR="0091486A" w:rsidRPr="00205BED" w:rsidRDefault="0091486A" w:rsidP="00205BED">
            <w:pPr>
              <w:rPr>
                <w:i/>
                <w:sz w:val="24"/>
                <w:szCs w:val="24"/>
              </w:rPr>
            </w:pPr>
            <w:r w:rsidRPr="00205BED">
              <w:rPr>
                <w:i/>
                <w:sz w:val="24"/>
                <w:szCs w:val="24"/>
              </w:rPr>
              <w:t>Immunsystemet</w:t>
            </w:r>
            <w:r w:rsidRPr="00205BED">
              <w:rPr>
                <w:sz w:val="24"/>
                <w:szCs w:val="24"/>
              </w:rPr>
              <w:t>: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B148" w14:textId="77777777" w:rsidR="0091486A" w:rsidRPr="00205BED" w:rsidRDefault="0091486A" w:rsidP="00205BED">
            <w:pPr>
              <w:rPr>
                <w:sz w:val="24"/>
                <w:szCs w:val="24"/>
              </w:rPr>
            </w:pPr>
            <w:r w:rsidRPr="00205BED">
              <w:rPr>
                <w:sz w:val="24"/>
                <w:szCs w:val="24"/>
              </w:rPr>
              <w:t>Meget sjælden, hyppighed ikke kendt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C0F8" w14:textId="77777777" w:rsidR="0091486A" w:rsidRPr="00205BED" w:rsidRDefault="0091486A" w:rsidP="00205BED">
            <w:pPr>
              <w:rPr>
                <w:snapToGrid w:val="0"/>
                <w:sz w:val="24"/>
                <w:szCs w:val="24"/>
              </w:rPr>
            </w:pPr>
            <w:r w:rsidRPr="00205BED">
              <w:rPr>
                <w:sz w:val="24"/>
                <w:szCs w:val="24"/>
              </w:rPr>
              <w:t xml:space="preserve">Der er rapporteret om overfølsomhed og </w:t>
            </w:r>
            <w:proofErr w:type="spellStart"/>
            <w:r w:rsidRPr="00205BED">
              <w:rPr>
                <w:sz w:val="24"/>
                <w:szCs w:val="24"/>
              </w:rPr>
              <w:t>angioødem</w:t>
            </w:r>
            <w:proofErr w:type="spellEnd"/>
            <w:r w:rsidRPr="00205BED">
              <w:rPr>
                <w:sz w:val="24"/>
                <w:szCs w:val="24"/>
              </w:rPr>
              <w:t>, inklusive hævelse af ansigtet.</w:t>
            </w:r>
          </w:p>
        </w:tc>
      </w:tr>
      <w:tr w:rsidR="0091486A" w:rsidRPr="00205BED" w14:paraId="6265C539" w14:textId="77777777" w:rsidTr="00205BED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0076" w14:textId="77777777" w:rsidR="0091486A" w:rsidRPr="00205BED" w:rsidRDefault="0091486A" w:rsidP="00205BED">
            <w:pPr>
              <w:rPr>
                <w:snapToGrid w:val="0"/>
                <w:color w:val="000000"/>
                <w:sz w:val="24"/>
                <w:szCs w:val="24"/>
              </w:rPr>
            </w:pPr>
            <w:r w:rsidRPr="00205BED">
              <w:rPr>
                <w:i/>
                <w:sz w:val="24"/>
                <w:szCs w:val="24"/>
              </w:rPr>
              <w:t>Mave-tarm-kanalen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71EF" w14:textId="77777777" w:rsidR="0091486A" w:rsidRPr="00205BED" w:rsidRDefault="0091486A" w:rsidP="00205BED">
            <w:pPr>
              <w:rPr>
                <w:snapToGrid w:val="0"/>
                <w:color w:val="000000"/>
                <w:sz w:val="24"/>
                <w:szCs w:val="24"/>
              </w:rPr>
            </w:pPr>
            <w:r w:rsidRPr="00205BED">
              <w:rPr>
                <w:sz w:val="24"/>
                <w:szCs w:val="24"/>
              </w:rPr>
              <w:t xml:space="preserve">Ikke almindelig 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80BD" w14:textId="77777777" w:rsidR="0091486A" w:rsidRPr="00205BED" w:rsidRDefault="0091486A" w:rsidP="00205BED">
            <w:pPr>
              <w:rPr>
                <w:snapToGrid w:val="0"/>
                <w:color w:val="000000"/>
                <w:sz w:val="24"/>
                <w:szCs w:val="24"/>
              </w:rPr>
            </w:pPr>
            <w:r w:rsidRPr="00205BED">
              <w:rPr>
                <w:sz w:val="24"/>
                <w:szCs w:val="24"/>
              </w:rPr>
              <w:t>Kvalme, opkastning, dyspepsi og diarré.</w:t>
            </w:r>
          </w:p>
        </w:tc>
      </w:tr>
      <w:tr w:rsidR="0091486A" w:rsidRPr="00205BED" w14:paraId="391622D7" w14:textId="77777777" w:rsidTr="00205BED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117E" w14:textId="77777777" w:rsidR="0091486A" w:rsidRPr="00205BED" w:rsidRDefault="0091486A" w:rsidP="00205BED">
            <w:pPr>
              <w:rPr>
                <w:snapToGrid w:val="0"/>
                <w:color w:val="000000"/>
                <w:sz w:val="24"/>
                <w:szCs w:val="24"/>
              </w:rPr>
            </w:pPr>
            <w:r w:rsidRPr="00205BED">
              <w:rPr>
                <w:i/>
                <w:sz w:val="24"/>
                <w:szCs w:val="24"/>
              </w:rPr>
              <w:t>Hud og subkutane væv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FD4C" w14:textId="77777777" w:rsidR="0091486A" w:rsidRPr="00205BED" w:rsidRDefault="0091486A" w:rsidP="00205BED">
            <w:pPr>
              <w:rPr>
                <w:snapToGrid w:val="0"/>
                <w:color w:val="000000"/>
                <w:sz w:val="24"/>
                <w:szCs w:val="24"/>
              </w:rPr>
            </w:pPr>
            <w:r w:rsidRPr="00205BED">
              <w:rPr>
                <w:sz w:val="24"/>
                <w:szCs w:val="24"/>
              </w:rPr>
              <w:t xml:space="preserve">Ikke almindelig 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FD17" w14:textId="77777777" w:rsidR="0091486A" w:rsidRPr="00205BED" w:rsidRDefault="0091486A" w:rsidP="00205BED">
            <w:pPr>
              <w:rPr>
                <w:snapToGrid w:val="0"/>
                <w:color w:val="000000"/>
                <w:sz w:val="24"/>
                <w:szCs w:val="24"/>
              </w:rPr>
            </w:pPr>
            <w:r w:rsidRPr="00205BED">
              <w:rPr>
                <w:sz w:val="24"/>
                <w:szCs w:val="24"/>
              </w:rPr>
              <w:t xml:space="preserve">Udslæt og </w:t>
            </w:r>
            <w:proofErr w:type="spellStart"/>
            <w:r w:rsidRPr="00205BED">
              <w:rPr>
                <w:sz w:val="24"/>
                <w:szCs w:val="24"/>
              </w:rPr>
              <w:t>urticaria</w:t>
            </w:r>
            <w:proofErr w:type="spellEnd"/>
            <w:r w:rsidRPr="00205BED">
              <w:rPr>
                <w:sz w:val="24"/>
                <w:szCs w:val="24"/>
              </w:rPr>
              <w:t>.</w:t>
            </w:r>
          </w:p>
        </w:tc>
      </w:tr>
      <w:tr w:rsidR="0091486A" w:rsidRPr="00205BED" w14:paraId="36B2EB5D" w14:textId="77777777" w:rsidTr="00205BED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6787" w14:textId="77777777" w:rsidR="0091486A" w:rsidRPr="00205BED" w:rsidRDefault="0091486A" w:rsidP="00205BED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5C38" w14:textId="77777777" w:rsidR="0091486A" w:rsidRPr="00205BED" w:rsidRDefault="0091486A" w:rsidP="00205BED">
            <w:pPr>
              <w:rPr>
                <w:snapToGrid w:val="0"/>
                <w:color w:val="000000"/>
                <w:sz w:val="24"/>
                <w:szCs w:val="24"/>
              </w:rPr>
            </w:pPr>
            <w:r w:rsidRPr="00205BED">
              <w:rPr>
                <w:sz w:val="24"/>
                <w:szCs w:val="24"/>
              </w:rPr>
              <w:t xml:space="preserve">Sjælden 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9056" w14:textId="77777777" w:rsidR="0091486A" w:rsidRPr="00205BED" w:rsidRDefault="0091486A" w:rsidP="00205BED">
            <w:pPr>
              <w:rPr>
                <w:snapToGrid w:val="0"/>
                <w:color w:val="000000"/>
                <w:sz w:val="24"/>
                <w:szCs w:val="24"/>
              </w:rPr>
            </w:pPr>
            <w:r w:rsidRPr="00205BED">
              <w:rPr>
                <w:sz w:val="24"/>
                <w:szCs w:val="24"/>
              </w:rPr>
              <w:t>Stevens-Johnsons syndrom</w:t>
            </w:r>
          </w:p>
        </w:tc>
      </w:tr>
    </w:tbl>
    <w:p w14:paraId="08FC2A80" w14:textId="77777777" w:rsidR="0091486A" w:rsidRPr="00205BED" w:rsidRDefault="0091486A" w:rsidP="00205BED">
      <w:pPr>
        <w:ind w:left="851"/>
        <w:rPr>
          <w:sz w:val="24"/>
          <w:szCs w:val="24"/>
        </w:rPr>
      </w:pPr>
      <w:r w:rsidRPr="00205BED">
        <w:rPr>
          <w:sz w:val="24"/>
          <w:szCs w:val="24"/>
        </w:rPr>
        <w:t>Kvalme og diarré er dosisrelaterede.</w:t>
      </w:r>
    </w:p>
    <w:p w14:paraId="4CF73090" w14:textId="77777777" w:rsidR="0091486A" w:rsidRPr="00205BED" w:rsidRDefault="0091486A" w:rsidP="00205BED">
      <w:pPr>
        <w:ind w:left="851" w:hanging="851"/>
        <w:rPr>
          <w:sz w:val="24"/>
          <w:szCs w:val="24"/>
          <w:u w:val="single"/>
        </w:rPr>
      </w:pPr>
    </w:p>
    <w:p w14:paraId="14E3674D" w14:textId="77777777" w:rsidR="00052423" w:rsidRPr="008F49E1" w:rsidRDefault="00052423" w:rsidP="002A1420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14:paraId="72FEBC27" w14:textId="77777777" w:rsidR="00052423" w:rsidRPr="008F49E1" w:rsidRDefault="00052423" w:rsidP="002A1420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 xml:space="preserve">Når lægemidlet er godkendt, er indberetning af formodede bivirkninger vigtig. Det muliggør løbende overvågning af </w:t>
      </w:r>
      <w:proofErr w:type="spellStart"/>
      <w:r w:rsidRPr="008F49E1">
        <w:rPr>
          <w:sz w:val="24"/>
          <w:szCs w:val="24"/>
          <w:lang w:eastAsia="da-DK"/>
        </w:rPr>
        <w:t>benefit</w:t>
      </w:r>
      <w:proofErr w:type="spellEnd"/>
      <w:r w:rsidRPr="008F49E1">
        <w:rPr>
          <w:sz w:val="24"/>
          <w:szCs w:val="24"/>
          <w:lang w:eastAsia="da-DK"/>
        </w:rPr>
        <w:t>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>-forholdet for lægemidlet. Læger og sundhedspersonale anmodes om at indberette alle formodede bivirkninger via:</w:t>
      </w:r>
    </w:p>
    <w:p w14:paraId="31851370" w14:textId="77777777" w:rsidR="00052423" w:rsidRPr="008F49E1" w:rsidRDefault="00052423" w:rsidP="002A1420">
      <w:pPr>
        <w:ind w:left="851"/>
        <w:rPr>
          <w:sz w:val="24"/>
          <w:szCs w:val="24"/>
          <w:lang w:eastAsia="da-DK"/>
        </w:rPr>
      </w:pPr>
    </w:p>
    <w:p w14:paraId="59477F7C" w14:textId="77777777" w:rsidR="00052423" w:rsidRPr="007A276A" w:rsidRDefault="00052423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14:paraId="26F2A30C" w14:textId="77777777" w:rsidR="00052423" w:rsidRPr="007A276A" w:rsidRDefault="00052423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14:paraId="4565C585" w14:textId="77777777" w:rsidR="00052423" w:rsidRPr="007A276A" w:rsidRDefault="00052423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14:paraId="6C576810" w14:textId="55D45BA9" w:rsidR="00052423" w:rsidRPr="003C5677" w:rsidRDefault="00052423" w:rsidP="002A1420">
      <w:pPr>
        <w:ind w:left="851"/>
        <w:rPr>
          <w:sz w:val="24"/>
          <w:szCs w:val="24"/>
          <w:lang w:eastAsia="da-DK"/>
        </w:rPr>
      </w:pPr>
      <w:r w:rsidRPr="003C5677">
        <w:rPr>
          <w:sz w:val="24"/>
          <w:szCs w:val="24"/>
          <w:lang w:eastAsia="da-DK"/>
        </w:rPr>
        <w:t xml:space="preserve">Websted: </w:t>
      </w:r>
      <w:hyperlink r:id="rId8" w:history="1">
        <w:r w:rsidRPr="003C5677">
          <w:rPr>
            <w:rStyle w:val="Hyperlink"/>
            <w:sz w:val="24"/>
          </w:rPr>
          <w:t>www.meldenbivirkning.dk</w:t>
        </w:r>
      </w:hyperlink>
    </w:p>
    <w:p w14:paraId="34062227" w14:textId="77777777" w:rsidR="00B003BF" w:rsidRPr="003C5677" w:rsidRDefault="00B003BF" w:rsidP="00205BED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14:paraId="6A58FB5F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4.9</w:t>
      </w:r>
      <w:r w:rsidRPr="00205BED">
        <w:rPr>
          <w:b/>
          <w:sz w:val="24"/>
          <w:szCs w:val="24"/>
        </w:rPr>
        <w:tab/>
        <w:t>Overdosering</w:t>
      </w:r>
    </w:p>
    <w:p w14:paraId="3E900D16" w14:textId="785983E8" w:rsidR="0091486A" w:rsidRPr="00205BED" w:rsidRDefault="00B003BF" w:rsidP="00205BED">
      <w:pPr>
        <w:ind w:left="851" w:hanging="851"/>
        <w:rPr>
          <w:sz w:val="24"/>
          <w:szCs w:val="24"/>
        </w:rPr>
      </w:pPr>
      <w:r w:rsidRPr="00205BED">
        <w:rPr>
          <w:sz w:val="24"/>
          <w:szCs w:val="24"/>
        </w:rPr>
        <w:tab/>
      </w:r>
      <w:r w:rsidR="0091486A" w:rsidRPr="00205BED">
        <w:rPr>
          <w:sz w:val="24"/>
          <w:szCs w:val="24"/>
        </w:rPr>
        <w:t xml:space="preserve">Doser, der var 4-8 gange højere end de anbefalede daglige doser, har forårsaget kvalme og </w:t>
      </w:r>
      <w:proofErr w:type="spellStart"/>
      <w:r w:rsidR="0091486A" w:rsidRPr="00205BED">
        <w:rPr>
          <w:sz w:val="24"/>
          <w:szCs w:val="24"/>
        </w:rPr>
        <w:t>gastrointestinale</w:t>
      </w:r>
      <w:proofErr w:type="spellEnd"/>
      <w:r w:rsidR="0091486A" w:rsidRPr="00205BED">
        <w:rPr>
          <w:sz w:val="24"/>
          <w:szCs w:val="24"/>
        </w:rPr>
        <w:t xml:space="preserve"> problemer såsom opkastning og diarré. Behandling: ventrikeltømning, om nødvendigt aktivt kul. Symptomatisk behandling.</w:t>
      </w:r>
    </w:p>
    <w:p w14:paraId="720AA0B7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1CC47AB4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4.10</w:t>
      </w:r>
      <w:r w:rsidRPr="00205BED">
        <w:rPr>
          <w:b/>
          <w:sz w:val="24"/>
          <w:szCs w:val="24"/>
        </w:rPr>
        <w:tab/>
        <w:t>Udlevering</w:t>
      </w:r>
    </w:p>
    <w:p w14:paraId="38A4065C" w14:textId="7B3F08D3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  <w:r w:rsidRPr="00205BED">
        <w:rPr>
          <w:sz w:val="24"/>
          <w:szCs w:val="24"/>
        </w:rPr>
        <w:tab/>
      </w:r>
      <w:r w:rsidR="002B5773">
        <w:rPr>
          <w:sz w:val="24"/>
          <w:szCs w:val="24"/>
        </w:rPr>
        <w:t>B</w:t>
      </w:r>
    </w:p>
    <w:p w14:paraId="0794CF64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72E4EC3E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5347FA36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5.</w:t>
      </w:r>
      <w:r w:rsidRPr="00205BED">
        <w:rPr>
          <w:b/>
          <w:sz w:val="24"/>
          <w:szCs w:val="24"/>
        </w:rPr>
        <w:tab/>
        <w:t>FARMAKOLOGISKE EGENSKABER</w:t>
      </w:r>
    </w:p>
    <w:p w14:paraId="0B56D4D8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1D30132D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5.0</w:t>
      </w:r>
      <w:r w:rsidRPr="00205BED">
        <w:rPr>
          <w:b/>
          <w:sz w:val="24"/>
          <w:szCs w:val="24"/>
        </w:rPr>
        <w:tab/>
        <w:t>Terapeutisk klassifikation</w:t>
      </w:r>
    </w:p>
    <w:p w14:paraId="585C5B5F" w14:textId="2A1F4317" w:rsidR="00B003BF" w:rsidRPr="00205BED" w:rsidRDefault="00B003BF" w:rsidP="00205BED">
      <w:pPr>
        <w:ind w:left="851" w:hanging="851"/>
        <w:rPr>
          <w:sz w:val="24"/>
          <w:szCs w:val="24"/>
        </w:rPr>
      </w:pPr>
      <w:r w:rsidRPr="00205BED">
        <w:rPr>
          <w:sz w:val="24"/>
          <w:szCs w:val="24"/>
        </w:rPr>
        <w:tab/>
      </w:r>
      <w:r w:rsidR="00205BED" w:rsidRPr="00205BED">
        <w:rPr>
          <w:sz w:val="24"/>
          <w:szCs w:val="24"/>
        </w:rPr>
        <w:t>ATC-kode: A07AA02</w:t>
      </w:r>
      <w:r w:rsidR="00205BED">
        <w:rPr>
          <w:sz w:val="24"/>
          <w:szCs w:val="24"/>
        </w:rPr>
        <w:t>. A</w:t>
      </w:r>
      <w:r w:rsidR="0091486A" w:rsidRPr="00205BED">
        <w:rPr>
          <w:sz w:val="24"/>
          <w:szCs w:val="24"/>
        </w:rPr>
        <w:t xml:space="preserve">ntibiotisk </w:t>
      </w:r>
      <w:proofErr w:type="spellStart"/>
      <w:r w:rsidR="0091486A" w:rsidRPr="00205BED">
        <w:rPr>
          <w:sz w:val="24"/>
          <w:szCs w:val="24"/>
        </w:rPr>
        <w:t>antimykotikum</w:t>
      </w:r>
      <w:proofErr w:type="spellEnd"/>
      <w:r w:rsidR="00205BED">
        <w:rPr>
          <w:sz w:val="24"/>
          <w:szCs w:val="24"/>
        </w:rPr>
        <w:t>.</w:t>
      </w:r>
    </w:p>
    <w:p w14:paraId="6A2A23ED" w14:textId="77777777" w:rsidR="00B003BF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4ECD3B69" w14:textId="77777777" w:rsidR="00052423" w:rsidRPr="00205BED" w:rsidRDefault="00052423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6DB121D2" w14:textId="77777777" w:rsidR="00B003BF" w:rsidRPr="00205BED" w:rsidRDefault="00B003BF" w:rsidP="00205BED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lastRenderedPageBreak/>
        <w:t>5.1</w:t>
      </w:r>
      <w:r w:rsidRPr="00205BED">
        <w:rPr>
          <w:b/>
          <w:sz w:val="24"/>
          <w:szCs w:val="24"/>
        </w:rPr>
        <w:tab/>
      </w:r>
      <w:proofErr w:type="spellStart"/>
      <w:r w:rsidRPr="00205BED">
        <w:rPr>
          <w:b/>
          <w:sz w:val="24"/>
          <w:szCs w:val="24"/>
        </w:rPr>
        <w:t>Farmakodynamiske</w:t>
      </w:r>
      <w:proofErr w:type="spellEnd"/>
      <w:r w:rsidRPr="00205BED">
        <w:rPr>
          <w:b/>
          <w:sz w:val="24"/>
          <w:szCs w:val="24"/>
        </w:rPr>
        <w:t xml:space="preserve"> egenskaber</w:t>
      </w:r>
    </w:p>
    <w:p w14:paraId="60529140" w14:textId="77777777" w:rsidR="0091486A" w:rsidRPr="00205BED" w:rsidRDefault="00B003BF" w:rsidP="00205BED">
      <w:pPr>
        <w:ind w:left="851" w:hanging="851"/>
        <w:rPr>
          <w:sz w:val="24"/>
          <w:szCs w:val="24"/>
          <w:lang w:eastAsia="da-DK"/>
        </w:rPr>
      </w:pPr>
      <w:r w:rsidRPr="00205BED">
        <w:rPr>
          <w:sz w:val="24"/>
          <w:szCs w:val="24"/>
        </w:rPr>
        <w:tab/>
      </w:r>
      <w:proofErr w:type="spellStart"/>
      <w:r w:rsidR="0091486A" w:rsidRPr="00205BED">
        <w:rPr>
          <w:sz w:val="24"/>
          <w:szCs w:val="24"/>
        </w:rPr>
        <w:t>Nystatin</w:t>
      </w:r>
      <w:proofErr w:type="spellEnd"/>
      <w:r w:rsidR="0091486A" w:rsidRPr="00205BED">
        <w:rPr>
          <w:sz w:val="24"/>
          <w:szCs w:val="24"/>
        </w:rPr>
        <w:t xml:space="preserve"> fremstilles af </w:t>
      </w:r>
      <w:proofErr w:type="spellStart"/>
      <w:r w:rsidR="0091486A" w:rsidRPr="00205BED">
        <w:rPr>
          <w:i/>
          <w:sz w:val="24"/>
          <w:szCs w:val="24"/>
        </w:rPr>
        <w:t>Streptomyces</w:t>
      </w:r>
      <w:proofErr w:type="spellEnd"/>
      <w:r w:rsidR="0091486A" w:rsidRPr="00205BED">
        <w:rPr>
          <w:i/>
          <w:sz w:val="24"/>
          <w:szCs w:val="24"/>
        </w:rPr>
        <w:t xml:space="preserve"> </w:t>
      </w:r>
      <w:proofErr w:type="spellStart"/>
      <w:r w:rsidR="0091486A" w:rsidRPr="00205BED">
        <w:rPr>
          <w:i/>
          <w:sz w:val="24"/>
          <w:szCs w:val="24"/>
        </w:rPr>
        <w:t>noursei</w:t>
      </w:r>
      <w:proofErr w:type="spellEnd"/>
      <w:r w:rsidR="0091486A" w:rsidRPr="00205BED">
        <w:rPr>
          <w:sz w:val="24"/>
          <w:szCs w:val="24"/>
        </w:rPr>
        <w:t xml:space="preserve"> og består af et gult pulver, der er stort set uopløseligt i vand. Afhængigt af den opnåede koncentration og svampens følsomhed har </w:t>
      </w:r>
      <w:proofErr w:type="spellStart"/>
      <w:r w:rsidR="0091486A" w:rsidRPr="00205BED">
        <w:rPr>
          <w:sz w:val="24"/>
          <w:szCs w:val="24"/>
        </w:rPr>
        <w:t>nystatin</w:t>
      </w:r>
      <w:proofErr w:type="spellEnd"/>
      <w:r w:rsidR="0091486A" w:rsidRPr="00205BED">
        <w:rPr>
          <w:sz w:val="24"/>
          <w:szCs w:val="24"/>
        </w:rPr>
        <w:t xml:space="preserve"> </w:t>
      </w:r>
      <w:proofErr w:type="spellStart"/>
      <w:r w:rsidR="0091486A" w:rsidRPr="00205BED">
        <w:rPr>
          <w:sz w:val="24"/>
          <w:szCs w:val="24"/>
        </w:rPr>
        <w:t>fungistatisk</w:t>
      </w:r>
      <w:proofErr w:type="spellEnd"/>
      <w:r w:rsidR="0091486A" w:rsidRPr="00205BED">
        <w:rPr>
          <w:sz w:val="24"/>
          <w:szCs w:val="24"/>
        </w:rPr>
        <w:t xml:space="preserve"> eller fungicid virkning. </w:t>
      </w:r>
      <w:proofErr w:type="spellStart"/>
      <w:r w:rsidR="0091486A" w:rsidRPr="00205BED">
        <w:rPr>
          <w:sz w:val="24"/>
          <w:szCs w:val="24"/>
        </w:rPr>
        <w:t>Nystatin</w:t>
      </w:r>
      <w:proofErr w:type="spellEnd"/>
      <w:r w:rsidR="0091486A" w:rsidRPr="00205BED">
        <w:rPr>
          <w:sz w:val="24"/>
          <w:szCs w:val="24"/>
        </w:rPr>
        <w:t xml:space="preserve"> virker mod adskillige svampearter, men ikke på bakterier, protozoer og vira, og det påvirker ikke kroppens normale bakterieflora. De mest følsomme arter er gærlignende svampe, og virkningen på </w:t>
      </w:r>
      <w:proofErr w:type="spellStart"/>
      <w:r w:rsidR="0091486A" w:rsidRPr="00205BED">
        <w:rPr>
          <w:i/>
          <w:sz w:val="24"/>
          <w:szCs w:val="24"/>
        </w:rPr>
        <w:t>Candida</w:t>
      </w:r>
      <w:proofErr w:type="spellEnd"/>
      <w:r w:rsidR="0091486A" w:rsidRPr="00205BED">
        <w:rPr>
          <w:i/>
          <w:sz w:val="24"/>
          <w:szCs w:val="24"/>
        </w:rPr>
        <w:t xml:space="preserve"> </w:t>
      </w:r>
      <w:proofErr w:type="spellStart"/>
      <w:r w:rsidR="0091486A" w:rsidRPr="00205BED">
        <w:rPr>
          <w:i/>
          <w:sz w:val="24"/>
          <w:szCs w:val="24"/>
        </w:rPr>
        <w:t>albicans</w:t>
      </w:r>
      <w:proofErr w:type="spellEnd"/>
      <w:r w:rsidR="0091486A" w:rsidRPr="00205BED">
        <w:rPr>
          <w:sz w:val="24"/>
          <w:szCs w:val="24"/>
        </w:rPr>
        <w:t xml:space="preserve"> er specifik.</w:t>
      </w:r>
    </w:p>
    <w:p w14:paraId="3F6B769E" w14:textId="3C4272ED" w:rsidR="00B003BF" w:rsidRPr="00205BED" w:rsidRDefault="0091486A" w:rsidP="002B5773">
      <w:pPr>
        <w:ind w:left="851"/>
        <w:rPr>
          <w:sz w:val="24"/>
          <w:szCs w:val="24"/>
        </w:rPr>
      </w:pPr>
      <w:r w:rsidRPr="00205BED">
        <w:rPr>
          <w:sz w:val="24"/>
          <w:szCs w:val="24"/>
        </w:rPr>
        <w:t xml:space="preserve">Som følge af binding til </w:t>
      </w:r>
      <w:proofErr w:type="spellStart"/>
      <w:r w:rsidRPr="00205BED">
        <w:rPr>
          <w:sz w:val="24"/>
          <w:szCs w:val="24"/>
        </w:rPr>
        <w:t>steroler</w:t>
      </w:r>
      <w:proofErr w:type="spellEnd"/>
      <w:r w:rsidRPr="00205BED">
        <w:rPr>
          <w:sz w:val="24"/>
          <w:szCs w:val="24"/>
        </w:rPr>
        <w:t xml:space="preserve"> i svampens cellevæg ændres membranens uigennemtrængelighed, hvilket resulterer i, at celleindholdet siver ud. Det er veltolereret, også ved langtidsbehandling, og der er ikke set resistensudvikling med </w:t>
      </w:r>
      <w:proofErr w:type="spellStart"/>
      <w:r w:rsidRPr="00205BED">
        <w:rPr>
          <w:sz w:val="24"/>
          <w:szCs w:val="24"/>
        </w:rPr>
        <w:t>nystatin</w:t>
      </w:r>
      <w:proofErr w:type="spellEnd"/>
      <w:r w:rsidRPr="00205BED">
        <w:rPr>
          <w:sz w:val="24"/>
          <w:szCs w:val="24"/>
        </w:rPr>
        <w:t xml:space="preserve">. </w:t>
      </w:r>
      <w:proofErr w:type="spellStart"/>
      <w:r w:rsidRPr="00205BED">
        <w:rPr>
          <w:sz w:val="24"/>
          <w:szCs w:val="24"/>
        </w:rPr>
        <w:t>Nystatin</w:t>
      </w:r>
      <w:proofErr w:type="spellEnd"/>
      <w:r w:rsidRPr="00205BED">
        <w:rPr>
          <w:sz w:val="24"/>
          <w:szCs w:val="24"/>
        </w:rPr>
        <w:t xml:space="preserve"> forebygger </w:t>
      </w:r>
      <w:proofErr w:type="spellStart"/>
      <w:r w:rsidRPr="00205BED">
        <w:rPr>
          <w:sz w:val="24"/>
          <w:szCs w:val="24"/>
        </w:rPr>
        <w:t>gastrointestinale</w:t>
      </w:r>
      <w:proofErr w:type="spellEnd"/>
      <w:r w:rsidRPr="00205BED">
        <w:rPr>
          <w:sz w:val="24"/>
          <w:szCs w:val="24"/>
        </w:rPr>
        <w:t xml:space="preserve"> superinfektioner med </w:t>
      </w:r>
      <w:proofErr w:type="spellStart"/>
      <w:r w:rsidRPr="00205BED">
        <w:rPr>
          <w:sz w:val="24"/>
          <w:szCs w:val="24"/>
        </w:rPr>
        <w:t>Candida</w:t>
      </w:r>
      <w:proofErr w:type="spellEnd"/>
      <w:r w:rsidRPr="00205BED">
        <w:rPr>
          <w:sz w:val="24"/>
          <w:szCs w:val="24"/>
        </w:rPr>
        <w:t xml:space="preserve"> i forbindelse med antibiotisk behandling.</w:t>
      </w:r>
    </w:p>
    <w:p w14:paraId="18B252A8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0C19C6E9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5.2</w:t>
      </w:r>
      <w:r w:rsidRPr="00205BED">
        <w:rPr>
          <w:b/>
          <w:sz w:val="24"/>
          <w:szCs w:val="24"/>
        </w:rPr>
        <w:tab/>
      </w:r>
      <w:proofErr w:type="spellStart"/>
      <w:r w:rsidRPr="00205BED">
        <w:rPr>
          <w:b/>
          <w:sz w:val="24"/>
          <w:szCs w:val="24"/>
        </w:rPr>
        <w:t>Farmakokinetiske</w:t>
      </w:r>
      <w:proofErr w:type="spellEnd"/>
      <w:r w:rsidRPr="00205BED">
        <w:rPr>
          <w:b/>
          <w:sz w:val="24"/>
          <w:szCs w:val="24"/>
        </w:rPr>
        <w:t xml:space="preserve"> egenskaber</w:t>
      </w:r>
    </w:p>
    <w:p w14:paraId="0CEADB38" w14:textId="77777777" w:rsidR="0091486A" w:rsidRPr="00205BED" w:rsidRDefault="00B003BF" w:rsidP="00205BED">
      <w:pPr>
        <w:ind w:left="851" w:hanging="851"/>
        <w:rPr>
          <w:sz w:val="24"/>
          <w:szCs w:val="24"/>
          <w:lang w:eastAsia="da-DK"/>
        </w:rPr>
      </w:pPr>
      <w:r w:rsidRPr="00205BED">
        <w:rPr>
          <w:sz w:val="24"/>
          <w:szCs w:val="24"/>
        </w:rPr>
        <w:tab/>
      </w:r>
      <w:proofErr w:type="spellStart"/>
      <w:r w:rsidR="0091486A" w:rsidRPr="00205BED">
        <w:rPr>
          <w:sz w:val="24"/>
          <w:szCs w:val="24"/>
        </w:rPr>
        <w:t>Nystatin</w:t>
      </w:r>
      <w:proofErr w:type="spellEnd"/>
      <w:r w:rsidR="0091486A" w:rsidRPr="00205BED">
        <w:rPr>
          <w:sz w:val="24"/>
          <w:szCs w:val="24"/>
        </w:rPr>
        <w:t xml:space="preserve"> absorberes i lav grad i mave-tarm-kanalen og udskilles stort set uforandret i fæces.</w:t>
      </w:r>
    </w:p>
    <w:p w14:paraId="4C1A2B81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2303DCFD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5.3</w:t>
      </w:r>
      <w:r w:rsidRPr="00205BED">
        <w:rPr>
          <w:b/>
          <w:sz w:val="24"/>
          <w:szCs w:val="24"/>
        </w:rPr>
        <w:tab/>
        <w:t>Prækliniske sikkerhedsdata</w:t>
      </w:r>
    </w:p>
    <w:p w14:paraId="448F1754" w14:textId="77777777" w:rsidR="0091486A" w:rsidRPr="00205BED" w:rsidRDefault="0091486A" w:rsidP="00205BED">
      <w:pPr>
        <w:ind w:left="851"/>
        <w:rPr>
          <w:sz w:val="24"/>
          <w:szCs w:val="24"/>
        </w:rPr>
      </w:pPr>
      <w:r w:rsidRPr="00205BED">
        <w:rPr>
          <w:sz w:val="24"/>
          <w:szCs w:val="24"/>
        </w:rPr>
        <w:t xml:space="preserve">Der er ikke udført studier til evaluering af </w:t>
      </w:r>
      <w:proofErr w:type="spellStart"/>
      <w:r w:rsidRPr="00205BED">
        <w:rPr>
          <w:sz w:val="24"/>
          <w:szCs w:val="24"/>
        </w:rPr>
        <w:t>nystatins</w:t>
      </w:r>
      <w:proofErr w:type="spellEnd"/>
      <w:r w:rsidRPr="00205BED">
        <w:rPr>
          <w:sz w:val="24"/>
          <w:szCs w:val="24"/>
        </w:rPr>
        <w:t xml:space="preserve"> mutagene eller </w:t>
      </w:r>
      <w:proofErr w:type="spellStart"/>
      <w:r w:rsidRPr="00205BED">
        <w:rPr>
          <w:sz w:val="24"/>
          <w:szCs w:val="24"/>
        </w:rPr>
        <w:t>karcinogene</w:t>
      </w:r>
      <w:proofErr w:type="spellEnd"/>
      <w:r w:rsidRPr="00205BED">
        <w:rPr>
          <w:sz w:val="24"/>
          <w:szCs w:val="24"/>
        </w:rPr>
        <w:t xml:space="preserve"> virkninger.</w:t>
      </w:r>
    </w:p>
    <w:p w14:paraId="407EBC72" w14:textId="77777777" w:rsidR="0091486A" w:rsidRPr="00205BED" w:rsidRDefault="0091486A" w:rsidP="00205BED">
      <w:pPr>
        <w:ind w:left="851"/>
        <w:rPr>
          <w:sz w:val="24"/>
          <w:szCs w:val="24"/>
        </w:rPr>
      </w:pPr>
      <w:r w:rsidRPr="00205BED">
        <w:rPr>
          <w:sz w:val="24"/>
          <w:szCs w:val="24"/>
        </w:rPr>
        <w:t xml:space="preserve">Der er udført studier af fertilitets- og udviklingstoksicitet (segment I, II og III) hos rotter og kaniner. Der blev set mortalitet og toksicitet hos forældredyrene med den høje dosis (3,0 mg/kg/dag) i alle studierne. </w:t>
      </w:r>
      <w:proofErr w:type="spellStart"/>
      <w:r w:rsidRPr="00205BED">
        <w:rPr>
          <w:sz w:val="24"/>
          <w:szCs w:val="24"/>
        </w:rPr>
        <w:t>Nystatin</w:t>
      </w:r>
      <w:proofErr w:type="spellEnd"/>
      <w:r w:rsidRPr="00205BED">
        <w:rPr>
          <w:sz w:val="24"/>
          <w:szCs w:val="24"/>
        </w:rPr>
        <w:t xml:space="preserve"> havde ingen indvirkning på forekomsten af </w:t>
      </w:r>
      <w:proofErr w:type="spellStart"/>
      <w:r w:rsidRPr="00205BED">
        <w:rPr>
          <w:sz w:val="24"/>
          <w:szCs w:val="24"/>
        </w:rPr>
        <w:t>føtale</w:t>
      </w:r>
      <w:proofErr w:type="spellEnd"/>
      <w:r w:rsidRPr="00205BED">
        <w:rPr>
          <w:sz w:val="24"/>
          <w:szCs w:val="24"/>
        </w:rPr>
        <w:t xml:space="preserve"> misdannelser hos kaniner. Til trods for de forældretoksiske doser udviste </w:t>
      </w:r>
      <w:proofErr w:type="spellStart"/>
      <w:r w:rsidRPr="00205BED">
        <w:rPr>
          <w:sz w:val="24"/>
          <w:szCs w:val="24"/>
        </w:rPr>
        <w:t>nystatin</w:t>
      </w:r>
      <w:proofErr w:type="spellEnd"/>
      <w:r w:rsidRPr="00205BED">
        <w:rPr>
          <w:sz w:val="24"/>
          <w:szCs w:val="24"/>
        </w:rPr>
        <w:t xml:space="preserve"> ingen virkning på F0-hannernes og -hunnernes fertilitet eller den tidlige embryoudvikling hos F1-afkommet hos rotter. Hos F1-rotter blev der set udviklingstoksicitet efter afvænning på alle doseringsniveauer. Som følge af disse toksiske virkninger på den </w:t>
      </w:r>
      <w:proofErr w:type="spellStart"/>
      <w:r w:rsidRPr="00205BED">
        <w:rPr>
          <w:sz w:val="24"/>
          <w:szCs w:val="24"/>
        </w:rPr>
        <w:t>postnatale</w:t>
      </w:r>
      <w:proofErr w:type="spellEnd"/>
      <w:r w:rsidRPr="00205BED">
        <w:rPr>
          <w:sz w:val="24"/>
          <w:szCs w:val="24"/>
        </w:rPr>
        <w:t xml:space="preserve"> udvikling hos F1-rotter bør der udvises forsigtig ved brug af </w:t>
      </w:r>
      <w:proofErr w:type="spellStart"/>
      <w:r w:rsidRPr="00205BED">
        <w:rPr>
          <w:sz w:val="24"/>
          <w:szCs w:val="24"/>
        </w:rPr>
        <w:t>nystatin</w:t>
      </w:r>
      <w:proofErr w:type="spellEnd"/>
      <w:r w:rsidRPr="00205BED">
        <w:rPr>
          <w:sz w:val="24"/>
          <w:szCs w:val="24"/>
        </w:rPr>
        <w:t xml:space="preserve"> hos kvinder i den fertile alder.</w:t>
      </w:r>
    </w:p>
    <w:p w14:paraId="59102D77" w14:textId="77777777" w:rsidR="0091486A" w:rsidRPr="00205BED" w:rsidRDefault="0091486A" w:rsidP="00205BED">
      <w:pPr>
        <w:ind w:left="851" w:hanging="851"/>
        <w:rPr>
          <w:sz w:val="24"/>
          <w:szCs w:val="24"/>
        </w:rPr>
      </w:pPr>
    </w:p>
    <w:p w14:paraId="5CAD1614" w14:textId="7EF16AD7" w:rsidR="0091486A" w:rsidRPr="00205BED" w:rsidRDefault="00205BED" w:rsidP="00205BED">
      <w:pPr>
        <w:tabs>
          <w:tab w:val="left" w:pos="1304"/>
        </w:tabs>
        <w:ind w:left="851" w:hanging="851"/>
        <w:rPr>
          <w:sz w:val="24"/>
          <w:szCs w:val="24"/>
          <w:u w:val="single"/>
        </w:rPr>
      </w:pPr>
      <w:r w:rsidRPr="00205BED">
        <w:rPr>
          <w:sz w:val="24"/>
          <w:szCs w:val="24"/>
        </w:rPr>
        <w:tab/>
      </w:r>
      <w:r w:rsidR="0091486A" w:rsidRPr="00205BED">
        <w:rPr>
          <w:sz w:val="24"/>
          <w:szCs w:val="24"/>
          <w:u w:val="single"/>
        </w:rPr>
        <w:t>Miljørisikovurdering</w:t>
      </w:r>
    </w:p>
    <w:p w14:paraId="7734F406" w14:textId="0E9CC686" w:rsidR="0091486A" w:rsidRPr="00205BED" w:rsidRDefault="00205BED" w:rsidP="00205BED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91486A" w:rsidRPr="00205BED">
        <w:rPr>
          <w:sz w:val="24"/>
          <w:szCs w:val="24"/>
        </w:rPr>
        <w:t>Nystatin</w:t>
      </w:r>
      <w:proofErr w:type="spellEnd"/>
      <w:r w:rsidR="0091486A" w:rsidRPr="00205BED">
        <w:rPr>
          <w:sz w:val="24"/>
          <w:szCs w:val="24"/>
        </w:rPr>
        <w:t xml:space="preserve"> kan være svært nedbrydelig i miljøet, og det kan ikke udelukkes, at der er en miljørisiko.</w:t>
      </w:r>
    </w:p>
    <w:p w14:paraId="001754E7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1A20C97C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76DE49ED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6.</w:t>
      </w:r>
      <w:r w:rsidRPr="00205BED">
        <w:rPr>
          <w:b/>
          <w:sz w:val="24"/>
          <w:szCs w:val="24"/>
        </w:rPr>
        <w:tab/>
        <w:t>FARMACEUTISKE OPLYSNINGER</w:t>
      </w:r>
    </w:p>
    <w:p w14:paraId="48C6F337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14:paraId="136D5ED3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6.1</w:t>
      </w:r>
      <w:r w:rsidRPr="00205BED">
        <w:rPr>
          <w:b/>
          <w:sz w:val="24"/>
          <w:szCs w:val="24"/>
        </w:rPr>
        <w:tab/>
        <w:t>Hjælpestoffer</w:t>
      </w:r>
    </w:p>
    <w:p w14:paraId="28A61368" w14:textId="77777777" w:rsidR="0091486A" w:rsidRPr="00205BED" w:rsidRDefault="00B003BF" w:rsidP="00205BED">
      <w:pPr>
        <w:ind w:left="851" w:hanging="851"/>
        <w:rPr>
          <w:snapToGrid w:val="0"/>
          <w:color w:val="000000"/>
          <w:sz w:val="24"/>
          <w:szCs w:val="24"/>
          <w:lang w:eastAsia="da-DK"/>
        </w:rPr>
      </w:pPr>
      <w:r w:rsidRPr="00205BED">
        <w:rPr>
          <w:sz w:val="24"/>
          <w:szCs w:val="24"/>
        </w:rPr>
        <w:tab/>
      </w:r>
      <w:proofErr w:type="spellStart"/>
      <w:r w:rsidR="0091486A" w:rsidRPr="00205BED">
        <w:rPr>
          <w:color w:val="000000"/>
          <w:sz w:val="24"/>
          <w:szCs w:val="24"/>
        </w:rPr>
        <w:t>Xylitol</w:t>
      </w:r>
      <w:proofErr w:type="spellEnd"/>
    </w:p>
    <w:p w14:paraId="064340E5" w14:textId="77777777" w:rsidR="0091486A" w:rsidRPr="00205BED" w:rsidRDefault="0091486A" w:rsidP="00205BED">
      <w:pPr>
        <w:ind w:left="851"/>
        <w:rPr>
          <w:snapToGrid w:val="0"/>
          <w:color w:val="000000"/>
          <w:sz w:val="24"/>
          <w:szCs w:val="24"/>
        </w:rPr>
      </w:pPr>
      <w:proofErr w:type="spellStart"/>
      <w:r w:rsidRPr="00205BED">
        <w:rPr>
          <w:color w:val="000000"/>
          <w:sz w:val="24"/>
          <w:szCs w:val="24"/>
        </w:rPr>
        <w:t>Carmellosenatrium</w:t>
      </w:r>
      <w:proofErr w:type="spellEnd"/>
    </w:p>
    <w:p w14:paraId="5D1D48F0" w14:textId="77777777" w:rsidR="0091486A" w:rsidRPr="00205BED" w:rsidRDefault="0091486A" w:rsidP="00205BED">
      <w:pPr>
        <w:ind w:left="851"/>
        <w:rPr>
          <w:snapToGrid w:val="0"/>
          <w:color w:val="000000"/>
          <w:sz w:val="24"/>
          <w:szCs w:val="24"/>
        </w:rPr>
      </w:pPr>
      <w:proofErr w:type="spellStart"/>
      <w:r w:rsidRPr="00205BED">
        <w:rPr>
          <w:color w:val="000000"/>
          <w:sz w:val="24"/>
          <w:szCs w:val="24"/>
        </w:rPr>
        <w:t>Methylparahydroxybenzoat</w:t>
      </w:r>
      <w:proofErr w:type="spellEnd"/>
      <w:r w:rsidRPr="00205BED">
        <w:rPr>
          <w:color w:val="000000"/>
          <w:sz w:val="24"/>
          <w:szCs w:val="24"/>
        </w:rPr>
        <w:t xml:space="preserve"> (E218)</w:t>
      </w:r>
    </w:p>
    <w:p w14:paraId="4783FE6C" w14:textId="77777777" w:rsidR="0091486A" w:rsidRPr="00205BED" w:rsidRDefault="0091486A" w:rsidP="00205BED">
      <w:pPr>
        <w:ind w:left="851"/>
        <w:rPr>
          <w:snapToGrid w:val="0"/>
          <w:color w:val="000000"/>
          <w:sz w:val="24"/>
          <w:szCs w:val="24"/>
        </w:rPr>
      </w:pPr>
      <w:r w:rsidRPr="00205BED">
        <w:rPr>
          <w:color w:val="000000"/>
          <w:sz w:val="24"/>
          <w:szCs w:val="24"/>
        </w:rPr>
        <w:t>Pebermynteolie</w:t>
      </w:r>
    </w:p>
    <w:p w14:paraId="2DC449E8" w14:textId="77777777" w:rsidR="0091486A" w:rsidRPr="00205BED" w:rsidRDefault="0091486A" w:rsidP="00205BED">
      <w:pPr>
        <w:ind w:left="851"/>
        <w:rPr>
          <w:snapToGrid w:val="0"/>
          <w:color w:val="000000"/>
          <w:sz w:val="24"/>
          <w:szCs w:val="24"/>
        </w:rPr>
      </w:pPr>
      <w:r w:rsidRPr="00205BED">
        <w:rPr>
          <w:color w:val="000000"/>
          <w:sz w:val="24"/>
          <w:szCs w:val="24"/>
        </w:rPr>
        <w:t>Renset vand</w:t>
      </w:r>
    </w:p>
    <w:p w14:paraId="2E6309C2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287A25B4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6.2</w:t>
      </w:r>
      <w:r w:rsidRPr="00205BED">
        <w:rPr>
          <w:b/>
          <w:sz w:val="24"/>
          <w:szCs w:val="24"/>
        </w:rPr>
        <w:tab/>
        <w:t>Uforligeligheder</w:t>
      </w:r>
    </w:p>
    <w:p w14:paraId="70A7C534" w14:textId="77777777" w:rsidR="0091486A" w:rsidRPr="00205BED" w:rsidRDefault="0091486A" w:rsidP="00205BED">
      <w:pPr>
        <w:ind w:left="851"/>
        <w:rPr>
          <w:sz w:val="24"/>
          <w:szCs w:val="24"/>
        </w:rPr>
      </w:pPr>
      <w:r w:rsidRPr="00205BED">
        <w:rPr>
          <w:sz w:val="24"/>
          <w:szCs w:val="24"/>
        </w:rPr>
        <w:t>Ikke relevant.</w:t>
      </w:r>
    </w:p>
    <w:p w14:paraId="6FFAF56B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09A5EAE8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6.3</w:t>
      </w:r>
      <w:r w:rsidRPr="00205BED">
        <w:rPr>
          <w:b/>
          <w:sz w:val="24"/>
          <w:szCs w:val="24"/>
        </w:rPr>
        <w:tab/>
        <w:t>Opbevaringstid</w:t>
      </w:r>
    </w:p>
    <w:p w14:paraId="52FDF64F" w14:textId="1FBD3519" w:rsidR="0091486A" w:rsidRPr="00205BED" w:rsidRDefault="00B003BF" w:rsidP="00205BED">
      <w:pPr>
        <w:ind w:left="851" w:hanging="851"/>
        <w:rPr>
          <w:sz w:val="24"/>
          <w:szCs w:val="24"/>
          <w:lang w:eastAsia="da-DK"/>
        </w:rPr>
      </w:pPr>
      <w:r w:rsidRPr="00205BED">
        <w:rPr>
          <w:sz w:val="24"/>
          <w:szCs w:val="24"/>
        </w:rPr>
        <w:tab/>
      </w:r>
      <w:r w:rsidR="0091486A" w:rsidRPr="00205BED">
        <w:rPr>
          <w:i/>
          <w:sz w:val="24"/>
          <w:szCs w:val="24"/>
        </w:rPr>
        <w:t>Uåbnet flaske:</w:t>
      </w:r>
      <w:r w:rsidR="00A264A4">
        <w:rPr>
          <w:sz w:val="24"/>
          <w:szCs w:val="24"/>
        </w:rPr>
        <w:t xml:space="preserve"> 18</w:t>
      </w:r>
      <w:r w:rsidR="0091486A" w:rsidRPr="00205BED">
        <w:rPr>
          <w:sz w:val="24"/>
          <w:szCs w:val="24"/>
        </w:rPr>
        <w:t xml:space="preserve"> måneder</w:t>
      </w:r>
      <w:r w:rsidR="002B5773">
        <w:rPr>
          <w:sz w:val="24"/>
          <w:szCs w:val="24"/>
        </w:rPr>
        <w:t>.</w:t>
      </w:r>
    </w:p>
    <w:p w14:paraId="73DF1A86" w14:textId="12DDF6C8" w:rsidR="0091486A" w:rsidRPr="00205BED" w:rsidRDefault="0091486A" w:rsidP="00205BED">
      <w:pPr>
        <w:ind w:left="851"/>
        <w:rPr>
          <w:sz w:val="24"/>
          <w:szCs w:val="24"/>
        </w:rPr>
      </w:pPr>
      <w:r w:rsidRPr="00205BED">
        <w:rPr>
          <w:i/>
          <w:sz w:val="24"/>
          <w:szCs w:val="24"/>
        </w:rPr>
        <w:t>Åbnet flaske:</w:t>
      </w:r>
      <w:r w:rsidRPr="00205BED">
        <w:rPr>
          <w:sz w:val="24"/>
          <w:szCs w:val="24"/>
        </w:rPr>
        <w:t xml:space="preserve"> 1 måned</w:t>
      </w:r>
      <w:r w:rsidR="002B5773">
        <w:rPr>
          <w:sz w:val="24"/>
          <w:szCs w:val="24"/>
        </w:rPr>
        <w:t>.</w:t>
      </w:r>
    </w:p>
    <w:p w14:paraId="2F664A26" w14:textId="77777777" w:rsidR="00B003BF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326CFCE4" w14:textId="77777777" w:rsidR="00052423" w:rsidRDefault="00052423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1A2E9730" w14:textId="77777777" w:rsidR="00052423" w:rsidRPr="00205BED" w:rsidRDefault="00052423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02375B84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lastRenderedPageBreak/>
        <w:t>6.4</w:t>
      </w:r>
      <w:r w:rsidRPr="00205BED">
        <w:rPr>
          <w:b/>
          <w:sz w:val="24"/>
          <w:szCs w:val="24"/>
        </w:rPr>
        <w:tab/>
        <w:t>Særlige opbevaringsforhold</w:t>
      </w:r>
    </w:p>
    <w:p w14:paraId="2E394081" w14:textId="685109D5" w:rsidR="0091486A" w:rsidRPr="00205BED" w:rsidRDefault="0091486A" w:rsidP="00205BED">
      <w:pPr>
        <w:ind w:left="851"/>
        <w:rPr>
          <w:sz w:val="24"/>
          <w:szCs w:val="24"/>
        </w:rPr>
      </w:pPr>
      <w:r w:rsidRPr="00205BED">
        <w:rPr>
          <w:i/>
          <w:sz w:val="24"/>
          <w:szCs w:val="24"/>
        </w:rPr>
        <w:t xml:space="preserve">Uåbnet flaske </w:t>
      </w:r>
      <w:r w:rsidRPr="00205BED">
        <w:rPr>
          <w:sz w:val="24"/>
          <w:szCs w:val="24"/>
        </w:rPr>
        <w:t>opbevares i køleskab (2° C - 8° C)</w:t>
      </w:r>
      <w:r w:rsidR="002B5773">
        <w:rPr>
          <w:sz w:val="24"/>
          <w:szCs w:val="24"/>
        </w:rPr>
        <w:t>.</w:t>
      </w:r>
    </w:p>
    <w:p w14:paraId="656C5B5E" w14:textId="77777777" w:rsidR="0091486A" w:rsidRPr="00205BED" w:rsidRDefault="0091486A" w:rsidP="00205BED">
      <w:pPr>
        <w:ind w:left="851"/>
        <w:rPr>
          <w:sz w:val="24"/>
          <w:szCs w:val="24"/>
        </w:rPr>
      </w:pPr>
      <w:r w:rsidRPr="00205BED">
        <w:rPr>
          <w:i/>
          <w:sz w:val="24"/>
          <w:szCs w:val="24"/>
        </w:rPr>
        <w:t xml:space="preserve">Åbnet flaske </w:t>
      </w:r>
      <w:r w:rsidRPr="00205BED">
        <w:rPr>
          <w:sz w:val="24"/>
          <w:szCs w:val="24"/>
        </w:rPr>
        <w:t>opbevares ved temperaturer under 25° C.</w:t>
      </w:r>
    </w:p>
    <w:p w14:paraId="47D75AE3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2BC68DC2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6.5</w:t>
      </w:r>
      <w:r w:rsidRPr="00205BED">
        <w:rPr>
          <w:b/>
          <w:sz w:val="24"/>
          <w:szCs w:val="24"/>
        </w:rPr>
        <w:tab/>
        <w:t>Emballagetyper og pakningsstørrelser</w:t>
      </w:r>
    </w:p>
    <w:p w14:paraId="2849DDE9" w14:textId="70166867" w:rsidR="0091486A" w:rsidRPr="00205BED" w:rsidRDefault="00B003BF" w:rsidP="00205BED">
      <w:pPr>
        <w:ind w:left="851" w:hanging="851"/>
        <w:rPr>
          <w:sz w:val="24"/>
          <w:szCs w:val="24"/>
        </w:rPr>
      </w:pPr>
      <w:r w:rsidRPr="00205BED">
        <w:rPr>
          <w:sz w:val="24"/>
          <w:szCs w:val="24"/>
        </w:rPr>
        <w:tab/>
      </w:r>
      <w:r w:rsidR="00052423">
        <w:rPr>
          <w:sz w:val="24"/>
          <w:szCs w:val="24"/>
        </w:rPr>
        <w:t>G</w:t>
      </w:r>
      <w:r w:rsidR="0091486A" w:rsidRPr="00205BED">
        <w:rPr>
          <w:sz w:val="24"/>
          <w:szCs w:val="24"/>
        </w:rPr>
        <w:t>lasflaske.</w:t>
      </w:r>
    </w:p>
    <w:p w14:paraId="581D5FD5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79F2564D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6.6</w:t>
      </w:r>
      <w:r w:rsidRPr="00205BED">
        <w:rPr>
          <w:b/>
          <w:sz w:val="24"/>
          <w:szCs w:val="24"/>
        </w:rPr>
        <w:tab/>
        <w:t>Regler for destruktion og anden håndtering</w:t>
      </w:r>
    </w:p>
    <w:p w14:paraId="30818F72" w14:textId="77777777" w:rsidR="0091486A" w:rsidRPr="00205BED" w:rsidRDefault="00B003BF" w:rsidP="00205BED">
      <w:pPr>
        <w:ind w:left="851" w:hanging="851"/>
        <w:rPr>
          <w:sz w:val="24"/>
          <w:szCs w:val="24"/>
          <w:lang w:eastAsia="da-DK"/>
        </w:rPr>
      </w:pPr>
      <w:r w:rsidRPr="00205BED">
        <w:rPr>
          <w:sz w:val="24"/>
          <w:szCs w:val="24"/>
        </w:rPr>
        <w:tab/>
      </w:r>
      <w:r w:rsidR="0091486A" w:rsidRPr="00205BED">
        <w:rPr>
          <w:sz w:val="24"/>
          <w:szCs w:val="24"/>
        </w:rPr>
        <w:t>Ingen særlige forholdsregler.</w:t>
      </w:r>
    </w:p>
    <w:p w14:paraId="7568E339" w14:textId="77777777" w:rsidR="0091486A" w:rsidRPr="00205BED" w:rsidRDefault="0091486A" w:rsidP="00205BED">
      <w:pPr>
        <w:ind w:left="851" w:hanging="851"/>
        <w:rPr>
          <w:sz w:val="24"/>
          <w:szCs w:val="24"/>
        </w:rPr>
      </w:pPr>
      <w:bookmarkStart w:id="0" w:name="_GoBack"/>
      <w:bookmarkEnd w:id="0"/>
    </w:p>
    <w:p w14:paraId="53E2079A" w14:textId="77777777" w:rsidR="0091486A" w:rsidRPr="00205BED" w:rsidRDefault="0091486A" w:rsidP="00205BED">
      <w:pPr>
        <w:ind w:left="851"/>
        <w:rPr>
          <w:sz w:val="24"/>
          <w:szCs w:val="24"/>
        </w:rPr>
      </w:pPr>
      <w:r w:rsidRPr="00205BED">
        <w:rPr>
          <w:sz w:val="24"/>
          <w:szCs w:val="24"/>
        </w:rPr>
        <w:t>Ikke anvendt lægemiddel samt affald heraf skal bortskaffes i henhold til lokale retningslinjer.</w:t>
      </w:r>
    </w:p>
    <w:p w14:paraId="214A8F91" w14:textId="77777777" w:rsidR="0091486A" w:rsidRPr="00205BED" w:rsidRDefault="0091486A" w:rsidP="00205BED">
      <w:pPr>
        <w:ind w:left="851" w:hanging="851"/>
        <w:rPr>
          <w:sz w:val="24"/>
          <w:szCs w:val="24"/>
        </w:rPr>
      </w:pPr>
    </w:p>
    <w:p w14:paraId="128D0A8F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7.</w:t>
      </w:r>
      <w:r w:rsidRPr="00205BED">
        <w:rPr>
          <w:b/>
          <w:sz w:val="24"/>
          <w:szCs w:val="24"/>
        </w:rPr>
        <w:tab/>
        <w:t>INDEHAVER AF MARKEDSFØRINGSTILLADELSEN</w:t>
      </w:r>
    </w:p>
    <w:p w14:paraId="48AB08E0" w14:textId="5C230D3D" w:rsidR="00052423" w:rsidRPr="002F2B9C" w:rsidRDefault="00052423" w:rsidP="00052423">
      <w:pPr>
        <w:ind w:firstLine="851"/>
        <w:rPr>
          <w:lang w:eastAsia="da-DK"/>
        </w:rPr>
      </w:pPr>
      <w:r w:rsidRPr="002F2B9C">
        <w:rPr>
          <w:lang w:eastAsia="da-DK"/>
        </w:rPr>
        <w:t>2care4 ApS</w:t>
      </w:r>
    </w:p>
    <w:p w14:paraId="64806293" w14:textId="77777777" w:rsidR="00052423" w:rsidRPr="002F2B9C" w:rsidRDefault="00052423" w:rsidP="00052423">
      <w:pPr>
        <w:ind w:firstLine="851"/>
        <w:rPr>
          <w:lang w:eastAsia="da-DK"/>
        </w:rPr>
      </w:pPr>
      <w:r>
        <w:rPr>
          <w:lang w:eastAsia="da-DK"/>
        </w:rPr>
        <w:t>Stenhuggervej 12</w:t>
      </w:r>
    </w:p>
    <w:p w14:paraId="2C527C24" w14:textId="77777777" w:rsidR="00052423" w:rsidRPr="002F2B9C" w:rsidRDefault="00052423" w:rsidP="00052423">
      <w:pPr>
        <w:ind w:firstLine="851"/>
        <w:rPr>
          <w:lang w:eastAsia="da-DK"/>
        </w:rPr>
      </w:pPr>
      <w:r w:rsidRPr="002F2B9C">
        <w:rPr>
          <w:lang w:eastAsia="da-DK"/>
        </w:rPr>
        <w:t>6710 Esbjerg V</w:t>
      </w:r>
    </w:p>
    <w:p w14:paraId="737149A4" w14:textId="77777777" w:rsidR="00052423" w:rsidRDefault="00052423"/>
    <w:p w14:paraId="04C0617F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8.</w:t>
      </w:r>
      <w:r w:rsidRPr="00205BED">
        <w:rPr>
          <w:b/>
          <w:sz w:val="24"/>
          <w:szCs w:val="24"/>
        </w:rPr>
        <w:tab/>
        <w:t>MARKEDSFØRINGSTILLADELSESNUMMER (NUMRE)</w:t>
      </w:r>
    </w:p>
    <w:p w14:paraId="6368E55B" w14:textId="4D6F222C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  <w:r w:rsidRPr="00205BED">
        <w:rPr>
          <w:sz w:val="24"/>
          <w:szCs w:val="24"/>
        </w:rPr>
        <w:tab/>
      </w:r>
      <w:r w:rsidR="00052423" w:rsidRPr="00052423">
        <w:rPr>
          <w:sz w:val="24"/>
          <w:szCs w:val="24"/>
        </w:rPr>
        <w:t>62665</w:t>
      </w:r>
    </w:p>
    <w:p w14:paraId="4A33B1F2" w14:textId="77777777" w:rsidR="00B003BF" w:rsidRPr="00205BED" w:rsidRDefault="00B003BF" w:rsidP="00205BED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14:paraId="3C3E5B3E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9.</w:t>
      </w:r>
      <w:r w:rsidRPr="00205BED">
        <w:rPr>
          <w:b/>
          <w:sz w:val="24"/>
          <w:szCs w:val="24"/>
        </w:rPr>
        <w:tab/>
        <w:t>DATO FOR FØRSTE MARKEDSFØRINGSTILLADELSE</w:t>
      </w:r>
    </w:p>
    <w:p w14:paraId="3F3F3A8E" w14:textId="14185130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  <w:r w:rsidRPr="00205BED">
        <w:rPr>
          <w:sz w:val="24"/>
          <w:szCs w:val="24"/>
        </w:rPr>
        <w:tab/>
      </w:r>
      <w:r w:rsidR="003C5677">
        <w:rPr>
          <w:sz w:val="24"/>
          <w:szCs w:val="24"/>
        </w:rPr>
        <w:t>9</w:t>
      </w:r>
      <w:r w:rsidR="00052423">
        <w:rPr>
          <w:sz w:val="24"/>
          <w:szCs w:val="24"/>
        </w:rPr>
        <w:t>. september 2019</w:t>
      </w:r>
    </w:p>
    <w:p w14:paraId="77B63C0A" w14:textId="77777777" w:rsidR="00B003BF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252A3F66" w14:textId="77777777" w:rsidR="00B003BF" w:rsidRPr="00205BED" w:rsidRDefault="00B003BF" w:rsidP="00205BE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05BED">
        <w:rPr>
          <w:b/>
          <w:sz w:val="24"/>
          <w:szCs w:val="24"/>
        </w:rPr>
        <w:t>10.</w:t>
      </w:r>
      <w:r w:rsidRPr="00205BED">
        <w:rPr>
          <w:b/>
          <w:sz w:val="24"/>
          <w:szCs w:val="24"/>
        </w:rPr>
        <w:tab/>
        <w:t>DATO FOR ÆNDRING AF TEKSTEN</w:t>
      </w:r>
    </w:p>
    <w:p w14:paraId="7F0B4BEA" w14:textId="354C4E37" w:rsidR="00790EE7" w:rsidRPr="00205BED" w:rsidRDefault="00B003BF" w:rsidP="00205BED">
      <w:pPr>
        <w:tabs>
          <w:tab w:val="left" w:pos="851"/>
        </w:tabs>
        <w:ind w:left="851" w:hanging="851"/>
        <w:rPr>
          <w:sz w:val="24"/>
          <w:szCs w:val="24"/>
        </w:rPr>
      </w:pPr>
      <w:r w:rsidRPr="00205BED">
        <w:rPr>
          <w:sz w:val="24"/>
          <w:szCs w:val="24"/>
        </w:rPr>
        <w:tab/>
      </w:r>
      <w:r w:rsidR="00052423">
        <w:rPr>
          <w:sz w:val="24"/>
          <w:szCs w:val="24"/>
        </w:rPr>
        <w:t>-</w:t>
      </w:r>
    </w:p>
    <w:sectPr w:rsidR="00790EE7" w:rsidRPr="00205BED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CD811" w14:textId="77777777" w:rsidR="0054379A" w:rsidRDefault="0054379A">
      <w:r>
        <w:separator/>
      </w:r>
    </w:p>
  </w:endnote>
  <w:endnote w:type="continuationSeparator" w:id="0">
    <w:p w14:paraId="46EB91A4" w14:textId="77777777" w:rsidR="0054379A" w:rsidRDefault="0054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C70DE" w14:textId="77777777" w:rsidR="000259B9" w:rsidRDefault="000259B9">
    <w:pPr>
      <w:pStyle w:val="Sidefod"/>
      <w:pBdr>
        <w:bottom w:val="single" w:sz="6" w:space="1" w:color="auto"/>
      </w:pBdr>
    </w:pPr>
  </w:p>
  <w:p w14:paraId="1F92CE7D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5E086315" w14:textId="77777777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C5677">
      <w:rPr>
        <w:i/>
        <w:noProof/>
        <w:sz w:val="18"/>
        <w:szCs w:val="18"/>
      </w:rPr>
      <w:t>Nystimex (2care4), oral suspension 100.000 IE-ml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3C5677">
      <w:rPr>
        <w:rStyle w:val="Sidetal"/>
        <w:i/>
        <w:noProof/>
        <w:sz w:val="18"/>
        <w:szCs w:val="18"/>
      </w:rPr>
      <w:t>5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3C5677">
      <w:rPr>
        <w:rStyle w:val="Sidetal"/>
        <w:i/>
        <w:noProof/>
        <w:sz w:val="18"/>
        <w:szCs w:val="18"/>
      </w:rPr>
      <w:t>5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EB531" w14:textId="77777777" w:rsidR="0054379A" w:rsidRDefault="0054379A">
      <w:r>
        <w:separator/>
      </w:r>
    </w:p>
  </w:footnote>
  <w:footnote w:type="continuationSeparator" w:id="0">
    <w:p w14:paraId="153F26E7" w14:textId="77777777" w:rsidR="0054379A" w:rsidRDefault="0054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9A"/>
    <w:rsid w:val="000259B9"/>
    <w:rsid w:val="00041491"/>
    <w:rsid w:val="00050D16"/>
    <w:rsid w:val="00052423"/>
    <w:rsid w:val="0005799B"/>
    <w:rsid w:val="00074F2A"/>
    <w:rsid w:val="000A1CA8"/>
    <w:rsid w:val="000A466B"/>
    <w:rsid w:val="000E4EE6"/>
    <w:rsid w:val="00144776"/>
    <w:rsid w:val="00205BED"/>
    <w:rsid w:val="00206CE8"/>
    <w:rsid w:val="00283A2B"/>
    <w:rsid w:val="002B30AD"/>
    <w:rsid w:val="002B5773"/>
    <w:rsid w:val="002C2C01"/>
    <w:rsid w:val="003A29AE"/>
    <w:rsid w:val="003A32D7"/>
    <w:rsid w:val="003B4074"/>
    <w:rsid w:val="003C5677"/>
    <w:rsid w:val="003C769A"/>
    <w:rsid w:val="0045746C"/>
    <w:rsid w:val="0049104B"/>
    <w:rsid w:val="004E3B12"/>
    <w:rsid w:val="0054379A"/>
    <w:rsid w:val="00565F0F"/>
    <w:rsid w:val="00594A86"/>
    <w:rsid w:val="00596D86"/>
    <w:rsid w:val="0064196C"/>
    <w:rsid w:val="006560B1"/>
    <w:rsid w:val="006756DD"/>
    <w:rsid w:val="00740EEC"/>
    <w:rsid w:val="0078011A"/>
    <w:rsid w:val="00782AF4"/>
    <w:rsid w:val="00790EE7"/>
    <w:rsid w:val="007B6649"/>
    <w:rsid w:val="0082576E"/>
    <w:rsid w:val="00907F75"/>
    <w:rsid w:val="0091486A"/>
    <w:rsid w:val="0093258A"/>
    <w:rsid w:val="009C7BA3"/>
    <w:rsid w:val="009D1F5A"/>
    <w:rsid w:val="00A264A4"/>
    <w:rsid w:val="00A85C09"/>
    <w:rsid w:val="00B003BF"/>
    <w:rsid w:val="00B373D7"/>
    <w:rsid w:val="00B84A2F"/>
    <w:rsid w:val="00C36276"/>
    <w:rsid w:val="00C42586"/>
    <w:rsid w:val="00C80580"/>
    <w:rsid w:val="00C84483"/>
    <w:rsid w:val="00C95551"/>
    <w:rsid w:val="00CB20D7"/>
    <w:rsid w:val="00D020B0"/>
    <w:rsid w:val="00D11748"/>
    <w:rsid w:val="00D366CF"/>
    <w:rsid w:val="00E108AA"/>
    <w:rsid w:val="00E3749A"/>
    <w:rsid w:val="00E7437F"/>
    <w:rsid w:val="00E865B8"/>
    <w:rsid w:val="00EC0B9B"/>
    <w:rsid w:val="00ED4B8A"/>
    <w:rsid w:val="00ED5E9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F01BA"/>
  <w15:chartTrackingRefBased/>
  <w15:docId w15:val="{EAC302A8-B3ED-47B1-AE1B-721ACDA0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basedOn w:val="Standardskrifttypeiafsnit"/>
    <w:link w:val="Sidehoved"/>
    <w:rsid w:val="00B003BF"/>
    <w:rPr>
      <w:sz w:val="24"/>
    </w:rPr>
  </w:style>
  <w:style w:type="character" w:customStyle="1" w:styleId="TitelTegn">
    <w:name w:val="Titel Tegn"/>
    <w:basedOn w:val="Standardskrifttypeiafsnit"/>
    <w:link w:val="Titel"/>
    <w:rsid w:val="00B003BF"/>
    <w:rPr>
      <w:b/>
      <w:sz w:val="24"/>
    </w:rPr>
  </w:style>
  <w:style w:type="character" w:styleId="Hyperlink">
    <w:name w:val="Hyperlink"/>
    <w:unhideWhenUsed/>
    <w:rsid w:val="0091486A"/>
    <w:rPr>
      <w:color w:val="0000FF"/>
      <w:u w:val="single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984</Words>
  <Characters>6526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Malmros</dc:creator>
  <cp:keywords/>
  <dc:description>2019043745 - nyt PI-SPC</dc:description>
  <cp:lastModifiedBy>Annette Malmros</cp:lastModifiedBy>
  <cp:revision>4</cp:revision>
  <cp:lastPrinted>2019-09-09T11:21:00Z</cp:lastPrinted>
  <dcterms:created xsi:type="dcterms:W3CDTF">2019-09-06T07:29:00Z</dcterms:created>
  <dcterms:modified xsi:type="dcterms:W3CDTF">2019-09-09T11:21:00Z</dcterms:modified>
</cp:coreProperties>
</file>